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11C3" w14:textId="6993CA6A" w:rsidR="00570C22" w:rsidRPr="00DD5603" w:rsidRDefault="009A5A63" w:rsidP="576CB36C">
      <w:pPr>
        <w:rPr>
          <w:rFonts w:asciiTheme="minorBidi" w:hAnsiTheme="minorBidi" w:cstheme="minorBidi"/>
        </w:rPr>
      </w:pPr>
      <w:r>
        <w:rPr>
          <w:noProof/>
        </w:rPr>
        <w:drawing>
          <wp:anchor distT="0" distB="0" distL="114300" distR="114300" simplePos="0" relativeHeight="251658246" behindDoc="0" locked="0" layoutInCell="1" allowOverlap="1" wp14:anchorId="1DCA46B5" wp14:editId="65C92A42">
            <wp:simplePos x="0" y="0"/>
            <wp:positionH relativeFrom="margin">
              <wp:align>center</wp:align>
            </wp:positionH>
            <wp:positionV relativeFrom="page">
              <wp:posOffset>355600</wp:posOffset>
            </wp:positionV>
            <wp:extent cx="4172585" cy="1478280"/>
            <wp:effectExtent l="0" t="0" r="0" b="7620"/>
            <wp:wrapSquare wrapText="bothSides"/>
            <wp:docPr id="2756" name="Picture 275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6" name="Picture 2756" descr="Text&#10;&#10;Description automatically generated with medium confidence"/>
                    <pic:cNvPicPr/>
                  </pic:nvPicPr>
                  <pic:blipFill>
                    <a:blip r:embed="rId11" cstate="screen">
                      <a:extLst>
                        <a:ext uri="{28A0092B-C50C-407E-A947-70E740481C1C}">
                          <a14:useLocalDpi xmlns:a14="http://schemas.microsoft.com/office/drawing/2010/main"/>
                        </a:ext>
                      </a:extLst>
                    </a:blip>
                    <a:stretch>
                      <a:fillRect/>
                    </a:stretch>
                  </pic:blipFill>
                  <pic:spPr>
                    <a:xfrm>
                      <a:off x="0" y="0"/>
                      <a:ext cx="4172585" cy="1478280"/>
                    </a:xfrm>
                    <a:prstGeom prst="rect">
                      <a:avLst/>
                    </a:prstGeom>
                  </pic:spPr>
                </pic:pic>
              </a:graphicData>
            </a:graphic>
            <wp14:sizeRelH relativeFrom="page">
              <wp14:pctWidth>0</wp14:pctWidth>
            </wp14:sizeRelH>
            <wp14:sizeRelV relativeFrom="page">
              <wp14:pctHeight>0</wp14:pctHeight>
            </wp14:sizeRelV>
          </wp:anchor>
        </w:drawing>
      </w:r>
      <w:r w:rsidR="00E132E9">
        <w:rPr>
          <w:noProof/>
        </w:rPr>
        <w:drawing>
          <wp:anchor distT="0" distB="0" distL="114300" distR="114300" simplePos="0" relativeHeight="251658244" behindDoc="0" locked="0" layoutInCell="1" allowOverlap="1" wp14:anchorId="263E3F13" wp14:editId="66D8C7A1">
            <wp:simplePos x="0" y="0"/>
            <wp:positionH relativeFrom="page">
              <wp:align>right</wp:align>
            </wp:positionH>
            <wp:positionV relativeFrom="paragraph">
              <wp:posOffset>-913130</wp:posOffset>
            </wp:positionV>
            <wp:extent cx="7559675" cy="8654415"/>
            <wp:effectExtent l="0" t="0" r="3175" b="0"/>
            <wp:wrapNone/>
            <wp:docPr id="41606" name="Picture 41606"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41606" name="Picture 41606" descr="Shape, arrow&#10;&#10;Description automatically generated"/>
                    <pic:cNvPicPr/>
                  </pic:nvPicPr>
                  <pic:blipFill>
                    <a:blip r:embed="rId12" cstate="email">
                      <a:extLst>
                        <a:ext uri="{28A0092B-C50C-407E-A947-70E740481C1C}">
                          <a14:useLocalDpi xmlns:a14="http://schemas.microsoft.com/office/drawing/2010/main"/>
                        </a:ext>
                      </a:extLst>
                    </a:blip>
                    <a:stretch>
                      <a:fillRect/>
                    </a:stretch>
                  </pic:blipFill>
                  <pic:spPr>
                    <a:xfrm>
                      <a:off x="0" y="0"/>
                      <a:ext cx="7559675" cy="8654415"/>
                    </a:xfrm>
                    <a:prstGeom prst="rect">
                      <a:avLst/>
                    </a:prstGeom>
                  </pic:spPr>
                </pic:pic>
              </a:graphicData>
            </a:graphic>
          </wp:anchor>
        </w:drawing>
      </w:r>
      <w:r w:rsidR="00C34092">
        <w:rPr>
          <w:noProof/>
        </w:rPr>
        <w:drawing>
          <wp:anchor distT="0" distB="0" distL="114300" distR="114300" simplePos="0" relativeHeight="251658242" behindDoc="1" locked="0" layoutInCell="1" allowOverlap="1" wp14:anchorId="468077E4" wp14:editId="39EB5207">
            <wp:simplePos x="0" y="0"/>
            <wp:positionH relativeFrom="page">
              <wp:align>left</wp:align>
            </wp:positionH>
            <wp:positionV relativeFrom="paragraph">
              <wp:posOffset>-895350</wp:posOffset>
            </wp:positionV>
            <wp:extent cx="7686628" cy="10672445"/>
            <wp:effectExtent l="0" t="0" r="0" b="0"/>
            <wp:wrapNone/>
            <wp:docPr id="399282152" name="Picture 399282152" descr="A picture containing text, documen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document&#10;&#10;Description automatically generated"/>
                    <pic:cNvPicPr/>
                  </pic:nvPicPr>
                  <pic:blipFill>
                    <a:blip r:embed="rId13" cstate="email">
                      <a:extLst>
                        <a:ext uri="{28A0092B-C50C-407E-A947-70E740481C1C}">
                          <a14:useLocalDpi xmlns:a14="http://schemas.microsoft.com/office/drawing/2010/main"/>
                        </a:ext>
                      </a:extLst>
                    </a:blip>
                    <a:stretch>
                      <a:fillRect/>
                    </a:stretch>
                  </pic:blipFill>
                  <pic:spPr>
                    <a:xfrm>
                      <a:off x="0" y="0"/>
                      <a:ext cx="7686628" cy="10672445"/>
                    </a:xfrm>
                    <a:prstGeom prst="rect">
                      <a:avLst/>
                    </a:prstGeom>
                  </pic:spPr>
                </pic:pic>
              </a:graphicData>
            </a:graphic>
            <wp14:sizeRelH relativeFrom="margin">
              <wp14:pctWidth>0</wp14:pctWidth>
            </wp14:sizeRelH>
          </wp:anchor>
        </w:drawing>
      </w:r>
      <w:r w:rsidR="007C10DD">
        <w:rPr>
          <w:rFonts w:asciiTheme="minorBidi" w:hAnsiTheme="minorBidi" w:cstheme="minorBidi"/>
        </w:rPr>
        <w:tab/>
      </w:r>
    </w:p>
    <w:p w14:paraId="5FAB93E9" w14:textId="4A3480AF" w:rsidR="00A3512D" w:rsidRPr="00DD5603" w:rsidRDefault="00A3512D" w:rsidP="00A3512D">
      <w:pPr>
        <w:spacing w:after="240"/>
        <w:rPr>
          <w:rFonts w:asciiTheme="minorBidi" w:hAnsiTheme="minorBidi" w:cstheme="minorBidi"/>
        </w:rPr>
      </w:pPr>
    </w:p>
    <w:p w14:paraId="545646E8" w14:textId="55B82B4A" w:rsidR="00A3512D" w:rsidRPr="00DD5603" w:rsidRDefault="00A3512D" w:rsidP="00A3512D">
      <w:pPr>
        <w:spacing w:after="240"/>
        <w:rPr>
          <w:rFonts w:asciiTheme="minorBidi" w:hAnsiTheme="minorBidi" w:cstheme="minorBidi"/>
        </w:rPr>
      </w:pPr>
    </w:p>
    <w:p w14:paraId="65CA2BD2" w14:textId="2369A6BD" w:rsidR="00BF00CA" w:rsidRPr="00DD5603" w:rsidRDefault="00BF00CA" w:rsidP="00BF00CA">
      <w:pPr>
        <w:spacing w:after="240"/>
        <w:rPr>
          <w:rFonts w:asciiTheme="minorBidi" w:hAnsiTheme="minorBidi" w:cstheme="minorBidi"/>
        </w:rPr>
      </w:pPr>
    </w:p>
    <w:p w14:paraId="54926577" w14:textId="6871277A" w:rsidR="00E211F6" w:rsidRPr="00DD5603" w:rsidRDefault="00E132E9" w:rsidP="00BF00CA">
      <w:pPr>
        <w:spacing w:after="240"/>
        <w:rPr>
          <w:rFonts w:asciiTheme="minorBidi" w:hAnsiTheme="minorBidi" w:cstheme="minorBidi"/>
        </w:rPr>
      </w:pPr>
      <w:r>
        <w:rPr>
          <w:noProof/>
        </w:rPr>
        <mc:AlternateContent>
          <mc:Choice Requires="wps">
            <w:drawing>
              <wp:anchor distT="0" distB="0" distL="114300" distR="114300" simplePos="0" relativeHeight="251658245" behindDoc="0" locked="0" layoutInCell="1" allowOverlap="1" wp14:anchorId="3F165255" wp14:editId="18408737">
                <wp:simplePos x="0" y="0"/>
                <wp:positionH relativeFrom="margin">
                  <wp:posOffset>65405</wp:posOffset>
                </wp:positionH>
                <wp:positionV relativeFrom="paragraph">
                  <wp:posOffset>12065</wp:posOffset>
                </wp:positionV>
                <wp:extent cx="5962650" cy="2533650"/>
                <wp:effectExtent l="0" t="0" r="0" b="0"/>
                <wp:wrapNone/>
                <wp:docPr id="18" name="Rectangle 18"/>
                <wp:cNvGraphicFramePr/>
                <a:graphic xmlns:a="http://schemas.openxmlformats.org/drawingml/2006/main">
                  <a:graphicData uri="http://schemas.microsoft.com/office/word/2010/wordprocessingShape">
                    <wps:wsp>
                      <wps:cNvSpPr/>
                      <wps:spPr>
                        <a:xfrm>
                          <a:off x="0" y="0"/>
                          <a:ext cx="5962650" cy="2533650"/>
                        </a:xfrm>
                        <a:prstGeom prst="rect">
                          <a:avLst/>
                        </a:prstGeom>
                        <a:ln>
                          <a:noFill/>
                        </a:ln>
                      </wps:spPr>
                      <wps:txbx>
                        <w:txbxContent>
                          <w:p w14:paraId="52CD1401" w14:textId="77777777" w:rsidR="00E132E9" w:rsidRPr="00E132E9" w:rsidRDefault="00E132E9" w:rsidP="00E132E9">
                            <w:pPr>
                              <w:spacing w:after="240"/>
                              <w:jc w:val="right"/>
                              <w:rPr>
                                <w:rFonts w:ascii="Rockwell" w:hAnsi="Rockwell" w:cstheme="minorBidi"/>
                                <w:b/>
                                <w:color w:val="FFFFFF" w:themeColor="background1"/>
                                <w:sz w:val="48"/>
                                <w:szCs w:val="48"/>
                              </w:rPr>
                            </w:pPr>
                            <w:r w:rsidRPr="00E132E9">
                              <w:rPr>
                                <w:rFonts w:ascii="Rockwell" w:hAnsi="Rockwell" w:cstheme="minorBidi"/>
                                <w:b/>
                                <w:color w:val="FFFFFF" w:themeColor="background1"/>
                                <w:sz w:val="48"/>
                                <w:szCs w:val="48"/>
                              </w:rPr>
                              <w:t>Essex County Fire and Rescue Service</w:t>
                            </w:r>
                            <w:r w:rsidRPr="00E132E9">
                              <w:rPr>
                                <w:rFonts w:ascii="Rockwell" w:hAnsi="Rockwell" w:cstheme="minorBidi"/>
                                <w:b/>
                                <w:color w:val="FFFFFF" w:themeColor="background1"/>
                                <w:sz w:val="48"/>
                                <w:szCs w:val="48"/>
                              </w:rPr>
                              <w:br/>
                              <w:t>Treasury Management Strategy</w:t>
                            </w:r>
                          </w:p>
                          <w:p w14:paraId="20853CA3" w14:textId="77777777" w:rsidR="00E132E9" w:rsidRPr="00E132E9" w:rsidRDefault="00E132E9" w:rsidP="00E132E9">
                            <w:pPr>
                              <w:spacing w:after="240"/>
                              <w:jc w:val="right"/>
                              <w:rPr>
                                <w:rFonts w:ascii="Rockwell" w:hAnsi="Rockwell" w:cstheme="minorBidi"/>
                                <w:b/>
                                <w:color w:val="FFFFFF" w:themeColor="background1"/>
                                <w:sz w:val="48"/>
                                <w:szCs w:val="48"/>
                              </w:rPr>
                            </w:pPr>
                            <w:r w:rsidRPr="00E132E9">
                              <w:rPr>
                                <w:rFonts w:ascii="Rockwell" w:hAnsi="Rockwell" w:cstheme="minorBidi"/>
                                <w:b/>
                                <w:color w:val="FFFFFF" w:themeColor="background1"/>
                                <w:sz w:val="48"/>
                                <w:szCs w:val="48"/>
                              </w:rPr>
                              <w:t>2024/25</w:t>
                            </w:r>
                          </w:p>
                          <w:p w14:paraId="1BB08880" w14:textId="236773AA" w:rsidR="00E132E9" w:rsidRPr="00ED0D98" w:rsidRDefault="00E132E9" w:rsidP="00E132E9">
                            <w:pPr>
                              <w:spacing w:after="160" w:line="259" w:lineRule="auto"/>
                              <w:jc w:val="right"/>
                              <w:rPr>
                                <w:b/>
                                <w:bCs/>
                                <w:color w:val="FFFFFF" w:themeColor="background1"/>
                                <w:sz w:val="48"/>
                                <w:szCs w:val="48"/>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165255" id="Rectangle 18" o:spid="_x0000_s1026" style="position:absolute;margin-left:5.15pt;margin-top:.95pt;width:469.5pt;height:199.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" filled="f" stroked="f">
                <v:textbox inset="0,0,0,0">
                  <w:txbxContent>
                    <w:p w14:paraId="52CD1401" w14:textId="77777777" w:rsidR="00E132E9" w:rsidRPr="00E132E9" w:rsidRDefault="00E132E9" w:rsidP="00E132E9">
                      <w:pPr>
                        <w:spacing w:after="240"/>
                        <w:jc w:val="right"/>
                        <w:rPr>
                          <w:rFonts w:ascii="Rockwell" w:hAnsi="Rockwell" w:cstheme="minorBidi"/>
                          <w:b/>
                          <w:color w:val="FFFFFF" w:themeColor="background1"/>
                          <w:sz w:val="48"/>
                          <w:szCs w:val="48"/>
                        </w:rPr>
                      </w:pPr>
                      <w:r w:rsidRPr="00E132E9">
                        <w:rPr>
                          <w:rFonts w:ascii="Rockwell" w:hAnsi="Rockwell" w:cstheme="minorBidi"/>
                          <w:b/>
                          <w:color w:val="FFFFFF" w:themeColor="background1"/>
                          <w:sz w:val="48"/>
                          <w:szCs w:val="48"/>
                        </w:rPr>
                        <w:t>Essex County Fire and Rescue Service</w:t>
                      </w:r>
                      <w:r w:rsidRPr="00E132E9">
                        <w:rPr>
                          <w:rFonts w:ascii="Rockwell" w:hAnsi="Rockwell" w:cstheme="minorBidi"/>
                          <w:b/>
                          <w:color w:val="FFFFFF" w:themeColor="background1"/>
                          <w:sz w:val="48"/>
                          <w:szCs w:val="48"/>
                        </w:rPr>
                        <w:br/>
                        <w:t>Treasury Management Strategy</w:t>
                      </w:r>
                    </w:p>
                    <w:p w14:paraId="20853CA3" w14:textId="77777777" w:rsidR="00E132E9" w:rsidRPr="00E132E9" w:rsidRDefault="00E132E9" w:rsidP="00E132E9">
                      <w:pPr>
                        <w:spacing w:after="240"/>
                        <w:jc w:val="right"/>
                        <w:rPr>
                          <w:rFonts w:ascii="Rockwell" w:hAnsi="Rockwell" w:cstheme="minorBidi"/>
                          <w:b/>
                          <w:color w:val="FFFFFF" w:themeColor="background1"/>
                          <w:sz w:val="48"/>
                          <w:szCs w:val="48"/>
                        </w:rPr>
                      </w:pPr>
                      <w:r w:rsidRPr="00E132E9">
                        <w:rPr>
                          <w:rFonts w:ascii="Rockwell" w:hAnsi="Rockwell" w:cstheme="minorBidi"/>
                          <w:b/>
                          <w:color w:val="FFFFFF" w:themeColor="background1"/>
                          <w:sz w:val="48"/>
                          <w:szCs w:val="48"/>
                        </w:rPr>
                        <w:t>2024/25</w:t>
                      </w:r>
                    </w:p>
                    <w:p w14:paraId="1BB08880" w14:textId="236773AA" w:rsidR="00E132E9" w:rsidRPr="00ED0D98" w:rsidRDefault="00E132E9" w:rsidP="00E132E9">
                      <w:pPr>
                        <w:spacing w:after="160" w:line="259" w:lineRule="auto"/>
                        <w:jc w:val="right"/>
                        <w:rPr>
                          <w:b/>
                          <w:bCs/>
                          <w:color w:val="FFFFFF" w:themeColor="background1"/>
                          <w:sz w:val="48"/>
                          <w:szCs w:val="48"/>
                        </w:rPr>
                      </w:pPr>
                    </w:p>
                  </w:txbxContent>
                </v:textbox>
                <w10:wrap anchorx="margin"/>
              </v:rect>
            </w:pict>
          </mc:Fallback>
        </mc:AlternateContent>
      </w:r>
    </w:p>
    <w:p w14:paraId="1B0EAB1D" w14:textId="2D8BD4D8"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239857EC" w14:textId="3AA20EC8"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75329F65" w14:textId="2722DB4E"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23C99438" w14:textId="53482E92"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6B5B725D" w14:textId="43E346AD"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4C9A910B" w14:textId="29232CDE"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2D6D2541" w14:textId="0EEE5DDE" w:rsidR="00AE1C7C" w:rsidRDefault="00AE1C7C" w:rsidP="00AE1C7C">
      <w:pPr>
        <w:spacing w:after="160" w:line="259" w:lineRule="auto"/>
        <w:jc w:val="right"/>
        <w:rPr>
          <w:rFonts w:asciiTheme="minorBidi" w:hAnsiTheme="minorBidi" w:cstheme="minorBidi"/>
          <w:b/>
          <w:color w:val="000000"/>
        </w:rPr>
      </w:pPr>
    </w:p>
    <w:p w14:paraId="2E8417E2" w14:textId="16FDC956" w:rsidR="00D819D0" w:rsidRDefault="00D819D0" w:rsidP="002F0596">
      <w:pPr>
        <w:tabs>
          <w:tab w:val="left" w:pos="709"/>
        </w:tabs>
        <w:autoSpaceDE w:val="0"/>
        <w:autoSpaceDN w:val="0"/>
        <w:adjustRightInd w:val="0"/>
        <w:spacing w:before="120" w:after="60"/>
        <w:rPr>
          <w:rFonts w:asciiTheme="minorBidi" w:hAnsiTheme="minorBidi" w:cstheme="minorBidi"/>
          <w:b/>
          <w:color w:val="000000"/>
        </w:rPr>
      </w:pPr>
    </w:p>
    <w:p w14:paraId="3C37D2D8" w14:textId="02253066" w:rsidR="00AE1C7C" w:rsidRDefault="00AE1C7C" w:rsidP="002F0596">
      <w:pPr>
        <w:tabs>
          <w:tab w:val="left" w:pos="709"/>
        </w:tabs>
        <w:autoSpaceDE w:val="0"/>
        <w:autoSpaceDN w:val="0"/>
        <w:adjustRightInd w:val="0"/>
        <w:spacing w:before="120" w:after="60"/>
        <w:rPr>
          <w:rFonts w:asciiTheme="minorBidi" w:hAnsiTheme="minorBidi" w:cstheme="minorBidi"/>
          <w:b/>
          <w:color w:val="000000"/>
        </w:rPr>
      </w:pPr>
    </w:p>
    <w:p w14:paraId="590DAC67" w14:textId="26F0D43A" w:rsidR="00AE1C7C" w:rsidRDefault="005C684E" w:rsidP="002F0596">
      <w:pPr>
        <w:tabs>
          <w:tab w:val="left" w:pos="709"/>
        </w:tabs>
        <w:autoSpaceDE w:val="0"/>
        <w:autoSpaceDN w:val="0"/>
        <w:adjustRightInd w:val="0"/>
        <w:spacing w:before="120" w:after="60"/>
        <w:rPr>
          <w:rFonts w:asciiTheme="minorBidi" w:hAnsiTheme="minorBidi" w:cstheme="minorBidi"/>
          <w:b/>
          <w:color w:val="000000"/>
        </w:rPr>
      </w:pPr>
      <w:r w:rsidRPr="00481134">
        <w:rPr>
          <w:b/>
          <w:noProof/>
          <w:color w:val="FFFFFF"/>
          <w:sz w:val="32"/>
          <w:szCs w:val="32"/>
        </w:rPr>
        <mc:AlternateContent>
          <mc:Choice Requires="wps">
            <w:drawing>
              <wp:anchor distT="45720" distB="45720" distL="114300" distR="114300" simplePos="0" relativeHeight="251658251" behindDoc="0" locked="0" layoutInCell="1" allowOverlap="1" wp14:anchorId="74B82D5B" wp14:editId="4D13A893">
                <wp:simplePos x="0" y="0"/>
                <wp:positionH relativeFrom="margin">
                  <wp:posOffset>-166370</wp:posOffset>
                </wp:positionH>
                <wp:positionV relativeFrom="paragraph">
                  <wp:posOffset>5450739</wp:posOffset>
                </wp:positionV>
                <wp:extent cx="6546850" cy="419100"/>
                <wp:effectExtent l="0" t="0" r="0" b="0"/>
                <wp:wrapNone/>
                <wp:docPr id="14357220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19100"/>
                        </a:xfrm>
                        <a:prstGeom prst="rect">
                          <a:avLst/>
                        </a:prstGeom>
                        <a:solidFill>
                          <a:srgbClr val="FFFFFF">
                            <a:alpha val="0"/>
                          </a:srgbClr>
                        </a:solidFill>
                        <a:ln w="9525">
                          <a:noFill/>
                          <a:miter lim="800000"/>
                          <a:headEnd/>
                          <a:tailEnd/>
                        </a:ln>
                      </wps:spPr>
                      <wps:txbx>
                        <w:txbxContent>
                          <w:p w14:paraId="03D9FB29" w14:textId="2D815A6D" w:rsidR="005C684E" w:rsidRPr="005C684E" w:rsidRDefault="005C684E" w:rsidP="005C684E">
                            <w:pPr>
                              <w:jc w:val="right"/>
                              <w:rPr>
                                <w:b/>
                                <w:bCs/>
                                <w:color w:val="FFFFFF" w:themeColor="background1"/>
                              </w:rPr>
                            </w:pPr>
                            <w:r w:rsidRPr="005C684E">
                              <w:rPr>
                                <w:b/>
                                <w:bCs/>
                                <w:color w:val="FFFFFF" w:themeColor="background1"/>
                              </w:rPr>
                              <w:t>Last updated 13 February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4B82D5B" id="_x0000_t202" coordsize="21600,21600" o:spt="202" path="m,l,21600r21600,l21600,xe">
                <v:stroke joinstyle="miter"/>
                <v:path gradientshapeok="t" o:connecttype="rect"/>
              </v:shapetype>
              <v:shape id="Text Box 2" o:spid="_x0000_s1027" type="#_x0000_t202" style="position:absolute;margin-left:-13.1pt;margin-top:429.2pt;width:515.5pt;height:33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" stroked="f">
                <v:fill opacity="0"/>
                <v:textbox>
                  <w:txbxContent>
                    <w:p w14:paraId="03D9FB29" w14:textId="2D815A6D" w:rsidR="005C684E" w:rsidRPr="005C684E" w:rsidRDefault="005C684E" w:rsidP="005C684E">
                      <w:pPr>
                        <w:jc w:val="right"/>
                        <w:rPr>
                          <w:b/>
                          <w:bCs/>
                          <w:color w:val="FFFFFF" w:themeColor="background1"/>
                        </w:rPr>
                      </w:pPr>
                      <w:r w:rsidRPr="005C684E">
                        <w:rPr>
                          <w:b/>
                          <w:bCs/>
                          <w:color w:val="FFFFFF" w:themeColor="background1"/>
                        </w:rPr>
                        <w:t>Last updated 13 February 2024</w:t>
                      </w:r>
                    </w:p>
                  </w:txbxContent>
                </v:textbox>
                <w10:wrap anchorx="margin"/>
              </v:shape>
            </w:pict>
          </mc:Fallback>
        </mc:AlternateContent>
      </w:r>
      <w:r w:rsidR="00E132E9">
        <w:rPr>
          <w:rFonts w:eastAsia="Calibri" w:cs="Calibri"/>
          <w:noProof/>
          <w:color w:val="2B579A"/>
          <w:sz w:val="22"/>
        </w:rPr>
        <mc:AlternateContent>
          <mc:Choice Requires="wps">
            <w:drawing>
              <wp:anchor distT="0" distB="0" distL="114300" distR="114300" simplePos="0" relativeHeight="251658243" behindDoc="0" locked="0" layoutInCell="1" allowOverlap="1" wp14:anchorId="2998951A" wp14:editId="000A72D1">
                <wp:simplePos x="0" y="0"/>
                <wp:positionH relativeFrom="margin">
                  <wp:align>center</wp:align>
                </wp:positionH>
                <wp:positionV relativeFrom="paragraph">
                  <wp:posOffset>1609090</wp:posOffset>
                </wp:positionV>
                <wp:extent cx="7936230" cy="4415155"/>
                <wp:effectExtent l="38100" t="19050" r="26670" b="23495"/>
                <wp:wrapNone/>
                <wp:docPr id="2753" name="Right Triangle 2753"/>
                <wp:cNvGraphicFramePr/>
                <a:graphic xmlns:a="http://schemas.openxmlformats.org/drawingml/2006/main">
                  <a:graphicData uri="http://schemas.microsoft.com/office/word/2010/wordprocessingShape">
                    <wps:wsp>
                      <wps:cNvSpPr/>
                      <wps:spPr>
                        <a:xfrm flipH="1">
                          <a:off x="0" y="0"/>
                          <a:ext cx="7936230" cy="441515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type id="_x0000_t6" coordsize="21600,21600" o:spt="6" path="m,l,21600r21600,xe" w14:anchorId="17108C28">
                <v:stroke joinstyle="miter"/>
                <v:path textboxrect="1800,12600,12600,19800" gradientshapeok="t" o:connecttype="custom" o:connectlocs="0,0;0,10800;0,21600;10800,21600;21600,21600;10800,10800"/>
              </v:shapetype>
              <v:shape id="Right Triangle 2753" style="position:absolute;margin-left:0;margin-top:126.7pt;width:624.9pt;height:347.65pt;flip:x;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black [3200]" strokecolor="black [1600]" strokeweight="1pt" type="#_x0000_t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">
                <w10:wrap anchorx="margin"/>
              </v:shape>
            </w:pict>
          </mc:Fallback>
        </mc:AlternateContent>
      </w:r>
    </w:p>
    <w:p w14:paraId="120D4102" w14:textId="563B896A" w:rsidR="005B0053" w:rsidRPr="005B0053" w:rsidRDefault="005B0053" w:rsidP="005B0053">
      <w:pPr>
        <w:rPr>
          <w:rFonts w:asciiTheme="minorBidi" w:hAnsiTheme="minorBidi" w:cstheme="minorBidi"/>
        </w:rPr>
        <w:sectPr w:rsidR="005B0053" w:rsidRPr="005B0053" w:rsidSect="003C5184">
          <w:headerReference w:type="even" r:id="rId14"/>
          <w:footerReference w:type="even" r:id="rId15"/>
          <w:footerReference w:type="default" r:id="rId16"/>
          <w:footerReference w:type="first" r:id="rId17"/>
          <w:pgSz w:w="11906" w:h="16838" w:code="9"/>
          <w:pgMar w:top="1440" w:right="1440" w:bottom="1440" w:left="1440" w:header="709" w:footer="709" w:gutter="0"/>
          <w:cols w:space="708"/>
          <w:titlePg/>
          <w:docGrid w:linePitch="360"/>
        </w:sectPr>
      </w:pPr>
    </w:p>
    <w:p w14:paraId="223EF1C5" w14:textId="30A69206" w:rsidR="00DD5603" w:rsidRDefault="00DD5603" w:rsidP="00D819D0">
      <w:pPr>
        <w:pStyle w:val="TOC1"/>
      </w:pPr>
    </w:p>
    <w:sdt>
      <w:sdtPr>
        <w:rPr>
          <w:rFonts w:ascii="Arial" w:hAnsi="Arial" w:cs="Arial"/>
          <w:color w:val="auto"/>
          <w:sz w:val="24"/>
          <w:szCs w:val="24"/>
          <w:lang w:val="en-GB"/>
        </w:rPr>
        <w:id w:val="1223872591"/>
        <w:docPartObj>
          <w:docPartGallery w:val="Table of Contents"/>
          <w:docPartUnique/>
        </w:docPartObj>
      </w:sdtPr>
      <w:sdtEndPr>
        <w:rPr>
          <w:b/>
          <w:bCs/>
          <w:noProof/>
        </w:rPr>
      </w:sdtEndPr>
      <w:sdtContent>
        <w:p w14:paraId="53FBF9F9" w14:textId="2FCECD76" w:rsidR="000B2D53" w:rsidRDefault="000B2D53">
          <w:pPr>
            <w:pStyle w:val="TOCHeading"/>
            <w:rPr>
              <w:rFonts w:ascii="Arial" w:hAnsi="Arial" w:cs="Arial"/>
              <w:b/>
              <w:bCs/>
              <w:color w:val="auto"/>
            </w:rPr>
          </w:pPr>
          <w:r w:rsidRPr="00797E5A">
            <w:rPr>
              <w:rFonts w:ascii="Arial" w:hAnsi="Arial" w:cs="Arial"/>
              <w:b/>
              <w:bCs/>
              <w:color w:val="auto"/>
            </w:rPr>
            <w:t>Contents</w:t>
          </w:r>
        </w:p>
        <w:p w14:paraId="2BACFC9D" w14:textId="77777777" w:rsidR="00797E5A" w:rsidRPr="00797E5A" w:rsidRDefault="00797E5A" w:rsidP="00797E5A">
          <w:pPr>
            <w:rPr>
              <w:lang w:val="en-US"/>
            </w:rPr>
          </w:pPr>
        </w:p>
        <w:p w14:paraId="3B922C20" w14:textId="5C76A474" w:rsidR="0054146B" w:rsidRDefault="000B2D53">
          <w:pPr>
            <w:pStyle w:val="TOC1"/>
            <w:tabs>
              <w:tab w:val="left" w:pos="480"/>
            </w:tabs>
            <w:rPr>
              <w:rFonts w:asciiTheme="minorHAnsi" w:eastAsiaTheme="minorEastAsia" w:hAnsiTheme="minorHAnsi"/>
              <w:b w:val="0"/>
              <w:bCs w:val="0"/>
              <w:noProof/>
              <w:kern w:val="2"/>
              <w:lang w:eastAsia="en-GB"/>
              <w14:ligatures w14:val="standardContextual"/>
            </w:rPr>
          </w:pPr>
          <w:r>
            <w:fldChar w:fldCharType="begin"/>
          </w:r>
          <w:r>
            <w:instrText xml:space="preserve"> TOC \o "1-3" \h \z \u </w:instrText>
          </w:r>
          <w:r>
            <w:fldChar w:fldCharType="separate"/>
          </w:r>
          <w:hyperlink w:anchor="_Toc158793241" w:history="1">
            <w:r w:rsidR="0054146B" w:rsidRPr="00463387">
              <w:rPr>
                <w:rStyle w:val="Hyperlink"/>
                <w:noProof/>
              </w:rPr>
              <w:t>1.</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Background</w:t>
            </w:r>
            <w:r w:rsidR="0054146B">
              <w:rPr>
                <w:noProof/>
                <w:webHidden/>
              </w:rPr>
              <w:tab/>
            </w:r>
            <w:r w:rsidR="0054146B">
              <w:rPr>
                <w:noProof/>
                <w:webHidden/>
              </w:rPr>
              <w:fldChar w:fldCharType="begin"/>
            </w:r>
            <w:r w:rsidR="0054146B">
              <w:rPr>
                <w:noProof/>
                <w:webHidden/>
              </w:rPr>
              <w:instrText xml:space="preserve"> PAGEREF _Toc158793241 \h </w:instrText>
            </w:r>
            <w:r w:rsidR="0054146B">
              <w:rPr>
                <w:noProof/>
                <w:webHidden/>
              </w:rPr>
            </w:r>
            <w:r w:rsidR="0054146B">
              <w:rPr>
                <w:noProof/>
                <w:webHidden/>
              </w:rPr>
              <w:fldChar w:fldCharType="separate"/>
            </w:r>
            <w:r w:rsidR="0054146B">
              <w:rPr>
                <w:noProof/>
                <w:webHidden/>
              </w:rPr>
              <w:t>3</w:t>
            </w:r>
            <w:r w:rsidR="0054146B">
              <w:rPr>
                <w:noProof/>
                <w:webHidden/>
              </w:rPr>
              <w:fldChar w:fldCharType="end"/>
            </w:r>
          </w:hyperlink>
        </w:p>
        <w:p w14:paraId="71B398EB" w14:textId="0D1F2A3D"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42" w:history="1">
            <w:r w:rsidR="0054146B" w:rsidRPr="00463387">
              <w:rPr>
                <w:rStyle w:val="Hyperlink"/>
                <w:noProof/>
              </w:rPr>
              <w:t>2.</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Policy Statement</w:t>
            </w:r>
            <w:r w:rsidR="0054146B">
              <w:rPr>
                <w:noProof/>
                <w:webHidden/>
              </w:rPr>
              <w:tab/>
            </w:r>
            <w:r w:rsidR="0054146B">
              <w:rPr>
                <w:noProof/>
                <w:webHidden/>
              </w:rPr>
              <w:fldChar w:fldCharType="begin"/>
            </w:r>
            <w:r w:rsidR="0054146B">
              <w:rPr>
                <w:noProof/>
                <w:webHidden/>
              </w:rPr>
              <w:instrText xml:space="preserve"> PAGEREF _Toc158793242 \h </w:instrText>
            </w:r>
            <w:r w:rsidR="0054146B">
              <w:rPr>
                <w:noProof/>
                <w:webHidden/>
              </w:rPr>
            </w:r>
            <w:r w:rsidR="0054146B">
              <w:rPr>
                <w:noProof/>
                <w:webHidden/>
              </w:rPr>
              <w:fldChar w:fldCharType="separate"/>
            </w:r>
            <w:r w:rsidR="0054146B">
              <w:rPr>
                <w:noProof/>
                <w:webHidden/>
              </w:rPr>
              <w:t>3</w:t>
            </w:r>
            <w:r w:rsidR="0054146B">
              <w:rPr>
                <w:noProof/>
                <w:webHidden/>
              </w:rPr>
              <w:fldChar w:fldCharType="end"/>
            </w:r>
          </w:hyperlink>
        </w:p>
        <w:p w14:paraId="11FE72A6" w14:textId="0BD29543"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43" w:history="1">
            <w:r w:rsidR="0054146B" w:rsidRPr="00463387">
              <w:rPr>
                <w:rStyle w:val="Hyperlink"/>
                <w:noProof/>
              </w:rPr>
              <w:t>3.</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Highlights</w:t>
            </w:r>
            <w:r w:rsidR="0054146B">
              <w:rPr>
                <w:noProof/>
                <w:webHidden/>
              </w:rPr>
              <w:tab/>
            </w:r>
            <w:r w:rsidR="0054146B">
              <w:rPr>
                <w:noProof/>
                <w:webHidden/>
              </w:rPr>
              <w:fldChar w:fldCharType="begin"/>
            </w:r>
            <w:r w:rsidR="0054146B">
              <w:rPr>
                <w:noProof/>
                <w:webHidden/>
              </w:rPr>
              <w:instrText xml:space="preserve"> PAGEREF _Toc158793243 \h </w:instrText>
            </w:r>
            <w:r w:rsidR="0054146B">
              <w:rPr>
                <w:noProof/>
                <w:webHidden/>
              </w:rPr>
            </w:r>
            <w:r w:rsidR="0054146B">
              <w:rPr>
                <w:noProof/>
                <w:webHidden/>
              </w:rPr>
              <w:fldChar w:fldCharType="separate"/>
            </w:r>
            <w:r w:rsidR="0054146B">
              <w:rPr>
                <w:noProof/>
                <w:webHidden/>
              </w:rPr>
              <w:t>3</w:t>
            </w:r>
            <w:r w:rsidR="0054146B">
              <w:rPr>
                <w:noProof/>
                <w:webHidden/>
              </w:rPr>
              <w:fldChar w:fldCharType="end"/>
            </w:r>
          </w:hyperlink>
        </w:p>
        <w:p w14:paraId="698106C5" w14:textId="1B03A7D8"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44" w:history="1">
            <w:r w:rsidR="0054146B" w:rsidRPr="00463387">
              <w:rPr>
                <w:rStyle w:val="Hyperlink"/>
                <w:noProof/>
              </w:rPr>
              <w:t>4.</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Changes Since 2023/24 Treasury Management Strategy</w:t>
            </w:r>
            <w:r w:rsidR="0054146B">
              <w:rPr>
                <w:noProof/>
                <w:webHidden/>
              </w:rPr>
              <w:tab/>
            </w:r>
            <w:r w:rsidR="0054146B">
              <w:rPr>
                <w:noProof/>
                <w:webHidden/>
              </w:rPr>
              <w:fldChar w:fldCharType="begin"/>
            </w:r>
            <w:r w:rsidR="0054146B">
              <w:rPr>
                <w:noProof/>
                <w:webHidden/>
              </w:rPr>
              <w:instrText xml:space="preserve"> PAGEREF _Toc158793244 \h </w:instrText>
            </w:r>
            <w:r w:rsidR="0054146B">
              <w:rPr>
                <w:noProof/>
                <w:webHidden/>
              </w:rPr>
            </w:r>
            <w:r w:rsidR="0054146B">
              <w:rPr>
                <w:noProof/>
                <w:webHidden/>
              </w:rPr>
              <w:fldChar w:fldCharType="separate"/>
            </w:r>
            <w:r w:rsidR="0054146B">
              <w:rPr>
                <w:noProof/>
                <w:webHidden/>
              </w:rPr>
              <w:t>4</w:t>
            </w:r>
            <w:r w:rsidR="0054146B">
              <w:rPr>
                <w:noProof/>
                <w:webHidden/>
              </w:rPr>
              <w:fldChar w:fldCharType="end"/>
            </w:r>
          </w:hyperlink>
        </w:p>
        <w:p w14:paraId="15EDA3D0" w14:textId="7AF62F47"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45" w:history="1">
            <w:r w:rsidR="0054146B" w:rsidRPr="00463387">
              <w:rPr>
                <w:rStyle w:val="Hyperlink"/>
                <w:noProof/>
              </w:rPr>
              <w:t>4.</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Local Context</w:t>
            </w:r>
            <w:r w:rsidR="0054146B">
              <w:rPr>
                <w:noProof/>
                <w:webHidden/>
              </w:rPr>
              <w:tab/>
            </w:r>
            <w:r w:rsidR="0054146B">
              <w:rPr>
                <w:noProof/>
                <w:webHidden/>
              </w:rPr>
              <w:fldChar w:fldCharType="begin"/>
            </w:r>
            <w:r w:rsidR="0054146B">
              <w:rPr>
                <w:noProof/>
                <w:webHidden/>
              </w:rPr>
              <w:instrText xml:space="preserve"> PAGEREF _Toc158793245 \h </w:instrText>
            </w:r>
            <w:r w:rsidR="0054146B">
              <w:rPr>
                <w:noProof/>
                <w:webHidden/>
              </w:rPr>
            </w:r>
            <w:r w:rsidR="0054146B">
              <w:rPr>
                <w:noProof/>
                <w:webHidden/>
              </w:rPr>
              <w:fldChar w:fldCharType="separate"/>
            </w:r>
            <w:r w:rsidR="0054146B">
              <w:rPr>
                <w:noProof/>
                <w:webHidden/>
              </w:rPr>
              <w:t>5</w:t>
            </w:r>
            <w:r w:rsidR="0054146B">
              <w:rPr>
                <w:noProof/>
                <w:webHidden/>
              </w:rPr>
              <w:fldChar w:fldCharType="end"/>
            </w:r>
          </w:hyperlink>
        </w:p>
        <w:p w14:paraId="58B219C9" w14:textId="2ECD27B2"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46" w:history="1">
            <w:r w:rsidR="0054146B" w:rsidRPr="00463387">
              <w:rPr>
                <w:rStyle w:val="Hyperlink"/>
                <w:noProof/>
              </w:rPr>
              <w:t>5.</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Borrowing Strategy</w:t>
            </w:r>
            <w:r w:rsidR="0054146B">
              <w:rPr>
                <w:noProof/>
                <w:webHidden/>
              </w:rPr>
              <w:tab/>
            </w:r>
            <w:r w:rsidR="0054146B">
              <w:rPr>
                <w:noProof/>
                <w:webHidden/>
              </w:rPr>
              <w:fldChar w:fldCharType="begin"/>
            </w:r>
            <w:r w:rsidR="0054146B">
              <w:rPr>
                <w:noProof/>
                <w:webHidden/>
              </w:rPr>
              <w:instrText xml:space="preserve"> PAGEREF _Toc158793246 \h </w:instrText>
            </w:r>
            <w:r w:rsidR="0054146B">
              <w:rPr>
                <w:noProof/>
                <w:webHidden/>
              </w:rPr>
            </w:r>
            <w:r w:rsidR="0054146B">
              <w:rPr>
                <w:noProof/>
                <w:webHidden/>
              </w:rPr>
              <w:fldChar w:fldCharType="separate"/>
            </w:r>
            <w:r w:rsidR="0054146B">
              <w:rPr>
                <w:noProof/>
                <w:webHidden/>
              </w:rPr>
              <w:t>9</w:t>
            </w:r>
            <w:r w:rsidR="0054146B">
              <w:rPr>
                <w:noProof/>
                <w:webHidden/>
              </w:rPr>
              <w:fldChar w:fldCharType="end"/>
            </w:r>
          </w:hyperlink>
        </w:p>
        <w:p w14:paraId="439408D7" w14:textId="69D3546E"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47" w:history="1">
            <w:r w:rsidR="0054146B" w:rsidRPr="00463387">
              <w:rPr>
                <w:rStyle w:val="Hyperlink"/>
                <w:noProof/>
              </w:rPr>
              <w:t>6.</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Investment Strategy</w:t>
            </w:r>
            <w:r w:rsidR="0054146B">
              <w:rPr>
                <w:noProof/>
                <w:webHidden/>
              </w:rPr>
              <w:tab/>
            </w:r>
            <w:r w:rsidR="0054146B">
              <w:rPr>
                <w:noProof/>
                <w:webHidden/>
              </w:rPr>
              <w:fldChar w:fldCharType="begin"/>
            </w:r>
            <w:r w:rsidR="0054146B">
              <w:rPr>
                <w:noProof/>
                <w:webHidden/>
              </w:rPr>
              <w:instrText xml:space="preserve"> PAGEREF _Toc158793247 \h </w:instrText>
            </w:r>
            <w:r w:rsidR="0054146B">
              <w:rPr>
                <w:noProof/>
                <w:webHidden/>
              </w:rPr>
            </w:r>
            <w:r w:rsidR="0054146B">
              <w:rPr>
                <w:noProof/>
                <w:webHidden/>
              </w:rPr>
              <w:fldChar w:fldCharType="separate"/>
            </w:r>
            <w:r w:rsidR="0054146B">
              <w:rPr>
                <w:noProof/>
                <w:webHidden/>
              </w:rPr>
              <w:t>11</w:t>
            </w:r>
            <w:r w:rsidR="0054146B">
              <w:rPr>
                <w:noProof/>
                <w:webHidden/>
              </w:rPr>
              <w:fldChar w:fldCharType="end"/>
            </w:r>
          </w:hyperlink>
        </w:p>
        <w:p w14:paraId="2123EB43" w14:textId="70730046"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48" w:history="1">
            <w:r w:rsidR="0054146B" w:rsidRPr="00463387">
              <w:rPr>
                <w:rStyle w:val="Hyperlink"/>
                <w:noProof/>
              </w:rPr>
              <w:t>7.</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Treasury Management Prudential Indicators</w:t>
            </w:r>
            <w:r w:rsidR="0054146B">
              <w:rPr>
                <w:noProof/>
                <w:webHidden/>
              </w:rPr>
              <w:tab/>
            </w:r>
            <w:r w:rsidR="0054146B">
              <w:rPr>
                <w:noProof/>
                <w:webHidden/>
              </w:rPr>
              <w:fldChar w:fldCharType="begin"/>
            </w:r>
            <w:r w:rsidR="0054146B">
              <w:rPr>
                <w:noProof/>
                <w:webHidden/>
              </w:rPr>
              <w:instrText xml:space="preserve"> PAGEREF _Toc158793248 \h </w:instrText>
            </w:r>
            <w:r w:rsidR="0054146B">
              <w:rPr>
                <w:noProof/>
                <w:webHidden/>
              </w:rPr>
            </w:r>
            <w:r w:rsidR="0054146B">
              <w:rPr>
                <w:noProof/>
                <w:webHidden/>
              </w:rPr>
              <w:fldChar w:fldCharType="separate"/>
            </w:r>
            <w:r w:rsidR="0054146B">
              <w:rPr>
                <w:noProof/>
                <w:webHidden/>
              </w:rPr>
              <w:t>18</w:t>
            </w:r>
            <w:r w:rsidR="0054146B">
              <w:rPr>
                <w:noProof/>
                <w:webHidden/>
              </w:rPr>
              <w:fldChar w:fldCharType="end"/>
            </w:r>
          </w:hyperlink>
        </w:p>
        <w:p w14:paraId="32406350" w14:textId="6AA3B9B7" w:rsidR="0054146B" w:rsidRDefault="00B6740C">
          <w:pPr>
            <w:pStyle w:val="TOC1"/>
            <w:tabs>
              <w:tab w:val="left" w:pos="480"/>
            </w:tabs>
            <w:rPr>
              <w:rFonts w:asciiTheme="minorHAnsi" w:eastAsiaTheme="minorEastAsia" w:hAnsiTheme="minorHAnsi"/>
              <w:b w:val="0"/>
              <w:bCs w:val="0"/>
              <w:noProof/>
              <w:kern w:val="2"/>
              <w:lang w:eastAsia="en-GB"/>
              <w14:ligatures w14:val="standardContextual"/>
            </w:rPr>
          </w:pPr>
          <w:hyperlink w:anchor="_Toc158793250" w:history="1">
            <w:r w:rsidR="0054146B" w:rsidRPr="00463387">
              <w:rPr>
                <w:rStyle w:val="Hyperlink"/>
                <w:noProof/>
              </w:rPr>
              <w:t>8.</w:t>
            </w:r>
            <w:r w:rsidR="0054146B">
              <w:rPr>
                <w:rFonts w:asciiTheme="minorHAnsi" w:eastAsiaTheme="minorEastAsia" w:hAnsiTheme="minorHAnsi"/>
                <w:b w:val="0"/>
                <w:bCs w:val="0"/>
                <w:noProof/>
                <w:kern w:val="2"/>
                <w:lang w:eastAsia="en-GB"/>
                <w14:ligatures w14:val="standardContextual"/>
              </w:rPr>
              <w:tab/>
            </w:r>
            <w:r w:rsidR="0054146B" w:rsidRPr="00463387">
              <w:rPr>
                <w:rStyle w:val="Hyperlink"/>
                <w:noProof/>
              </w:rPr>
              <w:t>Related Matters</w:t>
            </w:r>
            <w:r w:rsidR="0054146B">
              <w:rPr>
                <w:noProof/>
                <w:webHidden/>
              </w:rPr>
              <w:tab/>
            </w:r>
            <w:r w:rsidR="0054146B">
              <w:rPr>
                <w:noProof/>
                <w:webHidden/>
              </w:rPr>
              <w:fldChar w:fldCharType="begin"/>
            </w:r>
            <w:r w:rsidR="0054146B">
              <w:rPr>
                <w:noProof/>
                <w:webHidden/>
              </w:rPr>
              <w:instrText xml:space="preserve"> PAGEREF _Toc158793250 \h </w:instrText>
            </w:r>
            <w:r w:rsidR="0054146B">
              <w:rPr>
                <w:noProof/>
                <w:webHidden/>
              </w:rPr>
            </w:r>
            <w:r w:rsidR="0054146B">
              <w:rPr>
                <w:noProof/>
                <w:webHidden/>
              </w:rPr>
              <w:fldChar w:fldCharType="separate"/>
            </w:r>
            <w:r w:rsidR="0054146B">
              <w:rPr>
                <w:noProof/>
                <w:webHidden/>
              </w:rPr>
              <w:t>20</w:t>
            </w:r>
            <w:r w:rsidR="0054146B">
              <w:rPr>
                <w:noProof/>
                <w:webHidden/>
              </w:rPr>
              <w:fldChar w:fldCharType="end"/>
            </w:r>
          </w:hyperlink>
        </w:p>
        <w:p w14:paraId="6B2EC5A8" w14:textId="701BFDDD" w:rsidR="0054146B" w:rsidRDefault="00B6740C">
          <w:pPr>
            <w:pStyle w:val="TOC1"/>
            <w:rPr>
              <w:rFonts w:asciiTheme="minorHAnsi" w:eastAsiaTheme="minorEastAsia" w:hAnsiTheme="minorHAnsi"/>
              <w:b w:val="0"/>
              <w:bCs w:val="0"/>
              <w:noProof/>
              <w:kern w:val="2"/>
              <w:lang w:eastAsia="en-GB"/>
              <w14:ligatures w14:val="standardContextual"/>
            </w:rPr>
          </w:pPr>
          <w:hyperlink w:anchor="_Toc158793251" w:history="1">
            <w:r w:rsidR="0054146B" w:rsidRPr="00463387">
              <w:rPr>
                <w:rStyle w:val="Hyperlink"/>
                <w:noProof/>
              </w:rPr>
              <w:t>Appendix A – Arlingclose Economic &amp; Interest Rate Forecast –</w:t>
            </w:r>
            <w:r w:rsidR="0054146B">
              <w:rPr>
                <w:rStyle w:val="Hyperlink"/>
                <w:noProof/>
              </w:rPr>
              <w:t xml:space="preserve"> </w:t>
            </w:r>
            <w:r w:rsidR="0054146B" w:rsidRPr="00463387">
              <w:rPr>
                <w:rStyle w:val="Hyperlink"/>
                <w:noProof/>
              </w:rPr>
              <w:t>December 2023</w:t>
            </w:r>
            <w:r w:rsidR="0054146B">
              <w:rPr>
                <w:noProof/>
                <w:webHidden/>
              </w:rPr>
              <w:tab/>
            </w:r>
            <w:r w:rsidR="0054146B">
              <w:rPr>
                <w:noProof/>
                <w:webHidden/>
              </w:rPr>
              <w:fldChar w:fldCharType="begin"/>
            </w:r>
            <w:r w:rsidR="0054146B">
              <w:rPr>
                <w:noProof/>
                <w:webHidden/>
              </w:rPr>
              <w:instrText xml:space="preserve"> PAGEREF _Toc158793251 \h </w:instrText>
            </w:r>
            <w:r w:rsidR="0054146B">
              <w:rPr>
                <w:noProof/>
                <w:webHidden/>
              </w:rPr>
            </w:r>
            <w:r w:rsidR="0054146B">
              <w:rPr>
                <w:noProof/>
                <w:webHidden/>
              </w:rPr>
              <w:fldChar w:fldCharType="separate"/>
            </w:r>
            <w:r w:rsidR="0054146B">
              <w:rPr>
                <w:noProof/>
                <w:webHidden/>
              </w:rPr>
              <w:t>22</w:t>
            </w:r>
            <w:r w:rsidR="0054146B">
              <w:rPr>
                <w:noProof/>
                <w:webHidden/>
              </w:rPr>
              <w:fldChar w:fldCharType="end"/>
            </w:r>
          </w:hyperlink>
        </w:p>
        <w:p w14:paraId="7C61B6D0" w14:textId="596EF1AB" w:rsidR="0054146B" w:rsidRDefault="00B6740C">
          <w:pPr>
            <w:pStyle w:val="TOC1"/>
            <w:rPr>
              <w:rFonts w:asciiTheme="minorHAnsi" w:eastAsiaTheme="minorEastAsia" w:hAnsiTheme="minorHAnsi"/>
              <w:b w:val="0"/>
              <w:bCs w:val="0"/>
              <w:noProof/>
              <w:kern w:val="2"/>
              <w:lang w:eastAsia="en-GB"/>
              <w14:ligatures w14:val="standardContextual"/>
            </w:rPr>
          </w:pPr>
          <w:hyperlink w:anchor="_Toc158793252" w:history="1">
            <w:r w:rsidR="0054146B" w:rsidRPr="00463387">
              <w:rPr>
                <w:rStyle w:val="Hyperlink"/>
                <w:noProof/>
              </w:rPr>
              <w:t>Appendix B – Existing Investment &amp; Debt Portfolio Position</w:t>
            </w:r>
            <w:r w:rsidR="0054146B">
              <w:rPr>
                <w:noProof/>
                <w:webHidden/>
              </w:rPr>
              <w:tab/>
            </w:r>
            <w:r w:rsidR="0054146B">
              <w:rPr>
                <w:noProof/>
                <w:webHidden/>
              </w:rPr>
              <w:fldChar w:fldCharType="begin"/>
            </w:r>
            <w:r w:rsidR="0054146B">
              <w:rPr>
                <w:noProof/>
                <w:webHidden/>
              </w:rPr>
              <w:instrText xml:space="preserve"> PAGEREF _Toc158793252 \h </w:instrText>
            </w:r>
            <w:r w:rsidR="0054146B">
              <w:rPr>
                <w:noProof/>
                <w:webHidden/>
              </w:rPr>
            </w:r>
            <w:r w:rsidR="0054146B">
              <w:rPr>
                <w:noProof/>
                <w:webHidden/>
              </w:rPr>
              <w:fldChar w:fldCharType="separate"/>
            </w:r>
            <w:r w:rsidR="0054146B">
              <w:rPr>
                <w:noProof/>
                <w:webHidden/>
              </w:rPr>
              <w:t>25</w:t>
            </w:r>
            <w:r w:rsidR="0054146B">
              <w:rPr>
                <w:noProof/>
                <w:webHidden/>
              </w:rPr>
              <w:fldChar w:fldCharType="end"/>
            </w:r>
          </w:hyperlink>
        </w:p>
        <w:p w14:paraId="4BAF4246" w14:textId="5C25D40A" w:rsidR="0054146B" w:rsidRDefault="00B6740C">
          <w:pPr>
            <w:pStyle w:val="TOC1"/>
            <w:rPr>
              <w:rFonts w:asciiTheme="minorHAnsi" w:eastAsiaTheme="minorEastAsia" w:hAnsiTheme="minorHAnsi"/>
              <w:b w:val="0"/>
              <w:bCs w:val="0"/>
              <w:noProof/>
              <w:kern w:val="2"/>
              <w:lang w:eastAsia="en-GB"/>
              <w14:ligatures w14:val="standardContextual"/>
            </w:rPr>
          </w:pPr>
          <w:hyperlink w:anchor="_Toc158793253" w:history="1">
            <w:r w:rsidR="0054146B" w:rsidRPr="00463387">
              <w:rPr>
                <w:rStyle w:val="Hyperlink"/>
                <w:noProof/>
              </w:rPr>
              <w:t>Appendix C – Balance sheet analysis as at 31st March 2023</w:t>
            </w:r>
            <w:r w:rsidR="0054146B">
              <w:rPr>
                <w:noProof/>
                <w:webHidden/>
              </w:rPr>
              <w:tab/>
            </w:r>
            <w:r w:rsidR="0054146B">
              <w:rPr>
                <w:noProof/>
                <w:webHidden/>
              </w:rPr>
              <w:fldChar w:fldCharType="begin"/>
            </w:r>
            <w:r w:rsidR="0054146B">
              <w:rPr>
                <w:noProof/>
                <w:webHidden/>
              </w:rPr>
              <w:instrText xml:space="preserve"> PAGEREF _Toc158793253 \h </w:instrText>
            </w:r>
            <w:r w:rsidR="0054146B">
              <w:rPr>
                <w:noProof/>
                <w:webHidden/>
              </w:rPr>
            </w:r>
            <w:r w:rsidR="0054146B">
              <w:rPr>
                <w:noProof/>
                <w:webHidden/>
              </w:rPr>
              <w:fldChar w:fldCharType="separate"/>
            </w:r>
            <w:r w:rsidR="0054146B">
              <w:rPr>
                <w:noProof/>
                <w:webHidden/>
              </w:rPr>
              <w:t>26</w:t>
            </w:r>
            <w:r w:rsidR="0054146B">
              <w:rPr>
                <w:noProof/>
                <w:webHidden/>
              </w:rPr>
              <w:fldChar w:fldCharType="end"/>
            </w:r>
          </w:hyperlink>
        </w:p>
        <w:p w14:paraId="27BD6ED0" w14:textId="1D8E42E3" w:rsidR="000B2D53" w:rsidRPr="000B2D53" w:rsidRDefault="000B2D53" w:rsidP="000B2D53">
          <w:r>
            <w:rPr>
              <w:b/>
              <w:bCs/>
              <w:noProof/>
            </w:rPr>
            <w:fldChar w:fldCharType="end"/>
          </w:r>
        </w:p>
      </w:sdtContent>
    </w:sdt>
    <w:p w14:paraId="5A525CF8" w14:textId="6E9B8C5E" w:rsidR="005F6851" w:rsidRPr="00DD5603" w:rsidRDefault="002F0596" w:rsidP="00CC41E8">
      <w:pPr>
        <w:tabs>
          <w:tab w:val="left" w:pos="709"/>
        </w:tabs>
        <w:autoSpaceDE w:val="0"/>
        <w:autoSpaceDN w:val="0"/>
        <w:adjustRightInd w:val="0"/>
        <w:spacing w:before="120" w:after="60"/>
        <w:rPr>
          <w:rFonts w:asciiTheme="minorBidi" w:hAnsiTheme="minorBidi" w:cstheme="minorBidi"/>
          <w:b/>
          <w:color w:val="000000"/>
        </w:rPr>
      </w:pPr>
      <w:r w:rsidRPr="00DD5603">
        <w:rPr>
          <w:rFonts w:asciiTheme="minorBidi" w:hAnsiTheme="minorBidi" w:cstheme="minorBidi"/>
          <w:b/>
          <w:color w:val="000000"/>
        </w:rPr>
        <w:br w:type="page"/>
      </w:r>
    </w:p>
    <w:p w14:paraId="7EC6B972" w14:textId="2DE092C0" w:rsidR="00727888" w:rsidRPr="00797E5A" w:rsidRDefault="007E570A" w:rsidP="00191AA6">
      <w:pPr>
        <w:pStyle w:val="Heading1"/>
        <w:numPr>
          <w:ilvl w:val="0"/>
          <w:numId w:val="7"/>
        </w:numPr>
        <w:spacing w:before="0" w:after="240"/>
        <w:ind w:left="425" w:hanging="425"/>
        <w:rPr>
          <w:rFonts w:asciiTheme="minorBidi" w:hAnsiTheme="minorBidi" w:cstheme="minorBidi"/>
          <w:sz w:val="28"/>
          <w:szCs w:val="28"/>
        </w:rPr>
      </w:pPr>
      <w:bookmarkStart w:id="0" w:name="_Toc73025258"/>
      <w:bookmarkStart w:id="1" w:name="_Toc158793241"/>
      <w:r w:rsidRPr="00797E5A">
        <w:rPr>
          <w:rFonts w:asciiTheme="minorBidi" w:hAnsiTheme="minorBidi" w:cstheme="minorBidi"/>
          <w:sz w:val="28"/>
          <w:szCs w:val="28"/>
        </w:rPr>
        <w:lastRenderedPageBreak/>
        <w:t>Background</w:t>
      </w:r>
      <w:bookmarkEnd w:id="0"/>
      <w:bookmarkEnd w:id="1"/>
    </w:p>
    <w:p w14:paraId="20EB54F6" w14:textId="374334B7" w:rsidR="007E570A" w:rsidRDefault="007E570A" w:rsidP="00FE351D">
      <w:pPr>
        <w:pStyle w:val="ListParagraph"/>
        <w:spacing w:after="240"/>
        <w:ind w:left="426"/>
        <w:jc w:val="both"/>
      </w:pPr>
      <w:r w:rsidRPr="00BF68BB">
        <w:t>The Authority has engaged with Arlingclose, treasury management advisors, to provide support in producing this strategy. All decisions relating to treasury management are the responsibility of the Authority.</w:t>
      </w:r>
    </w:p>
    <w:p w14:paraId="36736304" w14:textId="428D7051" w:rsidR="006E468E" w:rsidRDefault="007E570A" w:rsidP="009B5615">
      <w:pPr>
        <w:pStyle w:val="ListParagraph"/>
        <w:spacing w:after="240"/>
        <w:ind w:left="425"/>
        <w:jc w:val="both"/>
        <w:rPr>
          <w:rFonts w:eastAsia="Calibri"/>
        </w:rPr>
      </w:pPr>
      <w:r w:rsidRPr="0041076E">
        <w:t xml:space="preserve">Treasury risk management at the Authority is conducted within the framework of the Chartered Institute of Public Finance and Accountancy’s </w:t>
      </w:r>
      <w:r w:rsidRPr="0041076E">
        <w:rPr>
          <w:i/>
        </w:rPr>
        <w:t xml:space="preserve">Treasury Management in the Public Services: Code of Practice </w:t>
      </w:r>
      <w:r w:rsidR="0071299E">
        <w:rPr>
          <w:i/>
        </w:rPr>
        <w:t>2021</w:t>
      </w:r>
      <w:r w:rsidRPr="0041076E">
        <w:rPr>
          <w:i/>
        </w:rPr>
        <w:t xml:space="preserve"> Edition</w:t>
      </w:r>
      <w:r w:rsidRPr="0041076E">
        <w:t xml:space="preserve"> (the CIPFA Code) which requires the Authority to approve a treasury management strategy before the start of each financial year. </w:t>
      </w:r>
      <w:r w:rsidRPr="00B70E48">
        <w:rPr>
          <w:rFonts w:eastAsia="Calibri"/>
        </w:rPr>
        <w:t xml:space="preserve">This report fulfils the Authority’s legal obligation under the </w:t>
      </w:r>
      <w:r w:rsidRPr="00B70E48">
        <w:rPr>
          <w:rFonts w:eastAsia="Calibri"/>
          <w:i/>
        </w:rPr>
        <w:t>Local Government Act 2003</w:t>
      </w:r>
      <w:r w:rsidRPr="00B70E48">
        <w:rPr>
          <w:rFonts w:eastAsia="Calibri"/>
        </w:rPr>
        <w:t xml:space="preserve"> to have regard to the CIPFA Code.</w:t>
      </w:r>
      <w:r>
        <w:rPr>
          <w:rFonts w:eastAsia="Calibri"/>
        </w:rPr>
        <w:t xml:space="preserve"> </w:t>
      </w:r>
    </w:p>
    <w:p w14:paraId="1692036A" w14:textId="754F19A1" w:rsidR="00524676" w:rsidRDefault="00524676" w:rsidP="00524676">
      <w:pPr>
        <w:pStyle w:val="Heading1"/>
        <w:numPr>
          <w:ilvl w:val="0"/>
          <w:numId w:val="7"/>
        </w:numPr>
        <w:spacing w:before="0" w:after="240"/>
        <w:ind w:left="425" w:hanging="425"/>
        <w:rPr>
          <w:rFonts w:asciiTheme="minorBidi" w:hAnsiTheme="minorBidi" w:cstheme="minorBidi"/>
          <w:sz w:val="28"/>
          <w:szCs w:val="28"/>
        </w:rPr>
      </w:pPr>
      <w:bookmarkStart w:id="2" w:name="_Toc158793242"/>
      <w:bookmarkStart w:id="3" w:name="_Toc73025259"/>
      <w:r>
        <w:rPr>
          <w:rFonts w:asciiTheme="minorBidi" w:hAnsiTheme="minorBidi" w:cstheme="minorBidi"/>
          <w:sz w:val="28"/>
          <w:szCs w:val="28"/>
        </w:rPr>
        <w:t>Policy Statement</w:t>
      </w:r>
      <w:bookmarkEnd w:id="2"/>
    </w:p>
    <w:p w14:paraId="1D7A8149" w14:textId="464550CA" w:rsidR="00BD6D0E" w:rsidRDefault="007C401D" w:rsidP="00BD6D0E">
      <w:pPr>
        <w:pStyle w:val="ListParagraph"/>
        <w:spacing w:after="240"/>
        <w:ind w:left="425"/>
        <w:jc w:val="both"/>
      </w:pPr>
      <w:r>
        <w:t>T</w:t>
      </w:r>
      <w:r w:rsidR="00BD6D0E">
        <w:t xml:space="preserve">reasury management activities </w:t>
      </w:r>
      <w:r>
        <w:t xml:space="preserve">are defined as </w:t>
      </w:r>
      <w:r w:rsidR="00BD6D0E">
        <w:t xml:space="preserve">the management of the organisation’s borrowing, </w:t>
      </w:r>
      <w:proofErr w:type="gramStart"/>
      <w:r w:rsidR="00BD6D0E">
        <w:t>investments</w:t>
      </w:r>
      <w:proofErr w:type="gramEnd"/>
      <w:r w:rsidR="00BD6D0E">
        <w:t xml:space="preserve"> and cash flows, including its banking, money market and capital market transactions, the effective control of the risks associated with those activities and the pursuit of optimum performance consistent with those risks.</w:t>
      </w:r>
    </w:p>
    <w:p w14:paraId="26068A0A" w14:textId="263AFC41" w:rsidR="00BD6D0E" w:rsidRDefault="000A013A" w:rsidP="00BD6D0E">
      <w:pPr>
        <w:pStyle w:val="ListParagraph"/>
        <w:spacing w:after="240"/>
        <w:ind w:left="425"/>
        <w:jc w:val="both"/>
      </w:pPr>
      <w:r>
        <w:t>The Authority</w:t>
      </w:r>
      <w:r w:rsidR="00BD6D0E">
        <w:t xml:space="preserve"> regards the successful identification, </w:t>
      </w:r>
      <w:proofErr w:type="gramStart"/>
      <w:r w:rsidR="00BD6D0E">
        <w:t>monitoring</w:t>
      </w:r>
      <w:proofErr w:type="gramEnd"/>
      <w:r w:rsidR="00BD6D0E">
        <w:t xml:space="preserve"> and control of risk to be the prime criteria by which the effectiveness of its treasury management activities </w:t>
      </w:r>
      <w:r w:rsidR="006455F7">
        <w:t>are</w:t>
      </w:r>
      <w:r w:rsidR="00BD6D0E">
        <w:t xml:space="preserve"> measured. Accordingly, the analysis and reporting of treasury management activities will focus on their risk implications for the organisation and any financial instruments </w:t>
      </w:r>
      <w:proofErr w:type="gramStart"/>
      <w:r w:rsidR="00BD6D0E">
        <w:t>entered into</w:t>
      </w:r>
      <w:proofErr w:type="gramEnd"/>
      <w:r w:rsidR="00BD6D0E">
        <w:t xml:space="preserve"> to manage these risks.</w:t>
      </w:r>
    </w:p>
    <w:p w14:paraId="1E5EA23B" w14:textId="32D7BB13" w:rsidR="00524676" w:rsidRDefault="00F1515A" w:rsidP="00D14CD4">
      <w:pPr>
        <w:pStyle w:val="ListParagraph"/>
        <w:ind w:left="425"/>
        <w:jc w:val="both"/>
      </w:pPr>
      <w:r>
        <w:t>The Authority</w:t>
      </w:r>
      <w:r w:rsidR="00BD6D0E">
        <w:t xml:space="preserve"> acknowledges that effective treasury management will provide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14:paraId="39E17F3F" w14:textId="77777777" w:rsidR="00524676" w:rsidRPr="00524676" w:rsidRDefault="00524676" w:rsidP="00D14CD4"/>
    <w:p w14:paraId="1B23B281" w14:textId="408507C3" w:rsidR="00DE5C6A" w:rsidRPr="00680F86" w:rsidRDefault="00DE5C6A" w:rsidP="00191AA6">
      <w:pPr>
        <w:pStyle w:val="Heading1"/>
        <w:numPr>
          <w:ilvl w:val="0"/>
          <w:numId w:val="7"/>
        </w:numPr>
        <w:spacing w:before="0" w:after="240"/>
        <w:ind w:left="425" w:hanging="425"/>
        <w:rPr>
          <w:rFonts w:asciiTheme="minorBidi" w:hAnsiTheme="minorBidi" w:cstheme="minorBidi"/>
          <w:sz w:val="28"/>
          <w:szCs w:val="28"/>
        </w:rPr>
      </w:pPr>
      <w:bookmarkStart w:id="4" w:name="_Toc158793243"/>
      <w:r w:rsidRPr="00680F86">
        <w:rPr>
          <w:rFonts w:asciiTheme="minorBidi" w:hAnsiTheme="minorBidi" w:cstheme="minorBidi"/>
          <w:sz w:val="28"/>
          <w:szCs w:val="28"/>
        </w:rPr>
        <w:t>Highlights</w:t>
      </w:r>
      <w:bookmarkEnd w:id="3"/>
      <w:bookmarkEnd w:id="4"/>
    </w:p>
    <w:p w14:paraId="250DEB2F" w14:textId="621FEB5B" w:rsidR="00DE5C6A" w:rsidRPr="00680F86" w:rsidRDefault="00DE5C6A" w:rsidP="0004046D">
      <w:pPr>
        <w:pStyle w:val="ListParagraph"/>
        <w:numPr>
          <w:ilvl w:val="0"/>
          <w:numId w:val="14"/>
        </w:numPr>
        <w:spacing w:after="120"/>
        <w:ind w:left="851"/>
      </w:pPr>
      <w:r w:rsidRPr="00680F86">
        <w:t xml:space="preserve">The Authority </w:t>
      </w:r>
      <w:r w:rsidR="00ED3C47" w:rsidRPr="00680F86">
        <w:t>may need</w:t>
      </w:r>
      <w:r w:rsidR="00E308AD" w:rsidRPr="00680F86">
        <w:t xml:space="preserve"> to borrow </w:t>
      </w:r>
      <w:r w:rsidR="00ED3C47" w:rsidRPr="00680F86">
        <w:t>in 202</w:t>
      </w:r>
      <w:r w:rsidR="00DA3BA5" w:rsidRPr="00680F86">
        <w:t>5</w:t>
      </w:r>
      <w:r w:rsidR="00ED3C47" w:rsidRPr="00680F86">
        <w:t>/2</w:t>
      </w:r>
      <w:r w:rsidR="00DA3BA5" w:rsidRPr="00680F86">
        <w:t>6</w:t>
      </w:r>
      <w:r w:rsidR="00ED3C47" w:rsidRPr="00680F86">
        <w:t xml:space="preserve"> to </w:t>
      </w:r>
      <w:r w:rsidR="00C3718C" w:rsidRPr="00680F86">
        <w:t>deliver the capital programme</w:t>
      </w:r>
      <w:r w:rsidRPr="00680F86">
        <w:t>.</w:t>
      </w:r>
      <w:r w:rsidR="00B440C5" w:rsidRPr="00680F86">
        <w:t xml:space="preserve"> </w:t>
      </w:r>
    </w:p>
    <w:p w14:paraId="22A9681C" w14:textId="16B199ED" w:rsidR="00E308AD" w:rsidRPr="00680F86" w:rsidRDefault="00E308AD" w:rsidP="0004046D">
      <w:pPr>
        <w:pStyle w:val="ListParagraph"/>
        <w:numPr>
          <w:ilvl w:val="0"/>
          <w:numId w:val="14"/>
        </w:numPr>
        <w:spacing w:after="120"/>
        <w:ind w:left="851"/>
      </w:pPr>
      <w:r w:rsidRPr="00680F86">
        <w:t>The Authority is compliant with the recommendations of the CIPFA’s Prudential Code for Capital Finance.</w:t>
      </w:r>
    </w:p>
    <w:p w14:paraId="080CF274" w14:textId="2C2C86F9" w:rsidR="00DE5C6A" w:rsidRPr="00680F86" w:rsidRDefault="00FD7B27" w:rsidP="0004046D">
      <w:pPr>
        <w:pStyle w:val="ListParagraph"/>
        <w:numPr>
          <w:ilvl w:val="0"/>
          <w:numId w:val="14"/>
        </w:numPr>
        <w:spacing w:after="120"/>
        <w:ind w:left="851"/>
      </w:pPr>
      <w:r w:rsidRPr="00680F86">
        <w:t>At the time of this report, l</w:t>
      </w:r>
      <w:r w:rsidR="00DE5C6A" w:rsidRPr="00680F86">
        <w:t>oans of £2</w:t>
      </w:r>
      <w:r w:rsidR="00680F86" w:rsidRPr="00680F86">
        <w:t>3</w:t>
      </w:r>
      <w:r w:rsidR="00DE5C6A" w:rsidRPr="00680F86">
        <w:t>.5m are held against an approved limit of £40m of debt.</w:t>
      </w:r>
    </w:p>
    <w:p w14:paraId="2E187616" w14:textId="664AA54B" w:rsidR="00DE5C6A" w:rsidRPr="00680F86" w:rsidRDefault="00DE5C6A" w:rsidP="0004046D">
      <w:pPr>
        <w:pStyle w:val="ListParagraph"/>
        <w:numPr>
          <w:ilvl w:val="0"/>
          <w:numId w:val="14"/>
        </w:numPr>
        <w:spacing w:after="120"/>
        <w:ind w:left="851"/>
      </w:pPr>
      <w:r w:rsidRPr="00680F86">
        <w:t>The Authority is unable to repay loans early without significant penalties.</w:t>
      </w:r>
    </w:p>
    <w:p w14:paraId="166B43E0" w14:textId="77777777" w:rsidR="008E3208" w:rsidRPr="008C7436" w:rsidRDefault="00DE5C6A" w:rsidP="008C7436">
      <w:pPr>
        <w:pStyle w:val="ListParagraph"/>
        <w:numPr>
          <w:ilvl w:val="0"/>
          <w:numId w:val="14"/>
        </w:numPr>
        <w:spacing w:after="120"/>
        <w:ind w:left="851"/>
      </w:pPr>
      <w:r w:rsidRPr="00680F86">
        <w:t>The Authority aims to maintain an investment portfolio of high credit quality investments with a liquid maturity profile.</w:t>
      </w:r>
    </w:p>
    <w:p w14:paraId="016A8CCA" w14:textId="1CFCC4C9" w:rsidR="008E3208" w:rsidRDefault="008E3208" w:rsidP="008C7436">
      <w:pPr>
        <w:pStyle w:val="ListParagraph"/>
        <w:numPr>
          <w:ilvl w:val="0"/>
          <w:numId w:val="14"/>
        </w:numPr>
        <w:spacing w:after="120"/>
        <w:ind w:left="851"/>
      </w:pPr>
      <w:r w:rsidRPr="008C7436">
        <w:t>The Approved Counterparty Limits (table 4) shows the latest risk profile of the Authority.</w:t>
      </w:r>
    </w:p>
    <w:p w14:paraId="11277F5E" w14:textId="20A398F5" w:rsidR="008C7436" w:rsidRPr="008C7436" w:rsidRDefault="008C7436" w:rsidP="008C7436">
      <w:pPr>
        <w:pStyle w:val="ListParagraph"/>
        <w:numPr>
          <w:ilvl w:val="0"/>
          <w:numId w:val="14"/>
        </w:numPr>
        <w:spacing w:after="120"/>
        <w:ind w:left="851"/>
      </w:pPr>
      <w:r>
        <w:t xml:space="preserve">There is strong governance at the Authority in respect of treasury management, including reporting of </w:t>
      </w:r>
      <w:r w:rsidR="006F4AF5">
        <w:t>KPI’s in the monthly Performance &amp; Resources Board.</w:t>
      </w:r>
    </w:p>
    <w:p w14:paraId="5861214F" w14:textId="77777777" w:rsidR="008E3208" w:rsidRPr="00680F86" w:rsidRDefault="008E3208" w:rsidP="008E3208">
      <w:pPr>
        <w:pStyle w:val="ListParagraph"/>
        <w:spacing w:after="240"/>
        <w:ind w:left="851"/>
        <w:jc w:val="both"/>
        <w:rPr>
          <w:rFonts w:asciiTheme="minorBidi" w:hAnsiTheme="minorBidi" w:cstheme="minorBidi"/>
          <w:bCs/>
          <w:color w:val="000000"/>
        </w:rPr>
      </w:pPr>
    </w:p>
    <w:p w14:paraId="401A046F" w14:textId="77777777" w:rsidR="00B87767" w:rsidRDefault="00B87767" w:rsidP="00B87767">
      <w:pPr>
        <w:pStyle w:val="ListParagraph"/>
        <w:spacing w:after="240"/>
        <w:ind w:left="851"/>
        <w:jc w:val="both"/>
        <w:rPr>
          <w:rFonts w:asciiTheme="minorBidi" w:hAnsiTheme="minorBidi" w:cstheme="minorBidi"/>
          <w:bCs/>
          <w:color w:val="000000"/>
        </w:rPr>
      </w:pPr>
    </w:p>
    <w:p w14:paraId="1CC548AF" w14:textId="0DD89298" w:rsidR="00EF49D9" w:rsidRPr="00EA4466" w:rsidRDefault="00EF49D9" w:rsidP="00191AA6">
      <w:pPr>
        <w:pStyle w:val="Heading1"/>
        <w:numPr>
          <w:ilvl w:val="0"/>
          <w:numId w:val="7"/>
        </w:numPr>
        <w:spacing w:before="0" w:after="240"/>
        <w:ind w:left="425" w:hanging="425"/>
        <w:rPr>
          <w:rFonts w:asciiTheme="minorBidi" w:hAnsiTheme="minorBidi" w:cstheme="minorBidi"/>
          <w:sz w:val="28"/>
          <w:szCs w:val="28"/>
        </w:rPr>
      </w:pPr>
      <w:bookmarkStart w:id="5" w:name="_Toc158793244"/>
      <w:r w:rsidRPr="00EA4466">
        <w:rPr>
          <w:rFonts w:asciiTheme="minorBidi" w:hAnsiTheme="minorBidi" w:cstheme="minorBidi"/>
          <w:sz w:val="28"/>
          <w:szCs w:val="28"/>
        </w:rPr>
        <w:lastRenderedPageBreak/>
        <w:t xml:space="preserve">Changes Since </w:t>
      </w:r>
      <w:r w:rsidR="00807767" w:rsidRPr="00EA4466">
        <w:rPr>
          <w:rFonts w:asciiTheme="minorBidi" w:hAnsiTheme="minorBidi" w:cstheme="minorBidi"/>
          <w:sz w:val="28"/>
          <w:szCs w:val="28"/>
        </w:rPr>
        <w:t>202</w:t>
      </w:r>
      <w:r w:rsidR="009B5615">
        <w:rPr>
          <w:rFonts w:asciiTheme="minorBidi" w:hAnsiTheme="minorBidi" w:cstheme="minorBidi"/>
          <w:sz w:val="28"/>
          <w:szCs w:val="28"/>
        </w:rPr>
        <w:t>3</w:t>
      </w:r>
      <w:r w:rsidR="00807767" w:rsidRPr="00EA4466">
        <w:rPr>
          <w:rFonts w:asciiTheme="minorBidi" w:hAnsiTheme="minorBidi" w:cstheme="minorBidi"/>
          <w:sz w:val="28"/>
          <w:szCs w:val="28"/>
        </w:rPr>
        <w:t>/2</w:t>
      </w:r>
      <w:r w:rsidR="009B5615">
        <w:rPr>
          <w:rFonts w:asciiTheme="minorBidi" w:hAnsiTheme="minorBidi" w:cstheme="minorBidi"/>
          <w:sz w:val="28"/>
          <w:szCs w:val="28"/>
        </w:rPr>
        <w:t>4</w:t>
      </w:r>
      <w:r w:rsidR="00807767" w:rsidRPr="00EA4466">
        <w:rPr>
          <w:rFonts w:asciiTheme="minorBidi" w:hAnsiTheme="minorBidi" w:cstheme="minorBidi"/>
          <w:sz w:val="28"/>
          <w:szCs w:val="28"/>
        </w:rPr>
        <w:t xml:space="preserve"> Treasury Management Strategy</w:t>
      </w:r>
      <w:bookmarkEnd w:id="5"/>
    </w:p>
    <w:p w14:paraId="112631B8" w14:textId="110699D6" w:rsidR="00EA4466" w:rsidRPr="008C250E" w:rsidRDefault="00940B46" w:rsidP="0004046D">
      <w:pPr>
        <w:pStyle w:val="ListParagraph"/>
        <w:numPr>
          <w:ilvl w:val="0"/>
          <w:numId w:val="15"/>
        </w:numPr>
        <w:spacing w:after="120"/>
      </w:pPr>
      <w:r w:rsidRPr="004E3544">
        <w:t>The Capital Financing Requirement</w:t>
      </w:r>
      <w:r w:rsidR="00AE7F9E" w:rsidRPr="004E3544">
        <w:t xml:space="preserve"> (CFR)</w:t>
      </w:r>
      <w:r w:rsidRPr="004E3544">
        <w:t xml:space="preserve"> is forecast to increase to </w:t>
      </w:r>
      <w:r w:rsidR="00A522B2" w:rsidRPr="004E3544">
        <w:t>£3</w:t>
      </w:r>
      <w:r w:rsidR="0043468E" w:rsidRPr="004E3544">
        <w:t>1</w:t>
      </w:r>
      <w:r w:rsidR="00A522B2" w:rsidRPr="004E3544">
        <w:t>.</w:t>
      </w:r>
      <w:r w:rsidR="0043468E" w:rsidRPr="004E3544">
        <w:t>9</w:t>
      </w:r>
      <w:r w:rsidR="00A522B2" w:rsidRPr="004E3544">
        <w:t>m by 2024/25</w:t>
      </w:r>
      <w:r w:rsidRPr="004E3544">
        <w:t xml:space="preserve">, which is </w:t>
      </w:r>
      <w:r w:rsidR="00E23EC1" w:rsidRPr="004E3544">
        <w:t>£</w:t>
      </w:r>
      <w:r w:rsidR="004E3544" w:rsidRPr="004E3544">
        <w:t>0</w:t>
      </w:r>
      <w:r w:rsidR="00DD385C" w:rsidRPr="004E3544">
        <w:t>.</w:t>
      </w:r>
      <w:r w:rsidR="004E3544" w:rsidRPr="004E3544">
        <w:t>7</w:t>
      </w:r>
      <w:r w:rsidR="00E23EC1" w:rsidRPr="004E3544">
        <w:t xml:space="preserve">m </w:t>
      </w:r>
      <w:r w:rsidR="00D601F5" w:rsidRPr="004E3544">
        <w:t>higher</w:t>
      </w:r>
      <w:r w:rsidR="00E23EC1" w:rsidRPr="004E3544">
        <w:t xml:space="preserve"> than under the previous strategy (£</w:t>
      </w:r>
      <w:r w:rsidR="00D601F5" w:rsidRPr="004E3544">
        <w:t>31.2</w:t>
      </w:r>
      <w:r w:rsidR="00E23EC1" w:rsidRPr="004E3544">
        <w:t>m)</w:t>
      </w:r>
      <w:r w:rsidR="00EA4466" w:rsidRPr="004E3544">
        <w:t>.</w:t>
      </w:r>
      <w:r w:rsidR="005D09DF" w:rsidRPr="004E3544">
        <w:t xml:space="preserve"> This is </w:t>
      </w:r>
      <w:r w:rsidR="005D09DF" w:rsidRPr="008C250E">
        <w:t xml:space="preserve">due to </w:t>
      </w:r>
      <w:r w:rsidR="001532FC" w:rsidRPr="008C250E">
        <w:t xml:space="preserve">changes reflected in the </w:t>
      </w:r>
      <w:r w:rsidR="001C3493">
        <w:t>C</w:t>
      </w:r>
      <w:r w:rsidR="001532FC" w:rsidRPr="008C250E">
        <w:t xml:space="preserve">apital </w:t>
      </w:r>
      <w:r w:rsidR="001C3493">
        <w:t>P</w:t>
      </w:r>
      <w:r w:rsidR="001532FC" w:rsidRPr="008C250E">
        <w:t>rogramme (see Capital Strategy</w:t>
      </w:r>
      <w:r w:rsidR="001C3493">
        <w:t xml:space="preserve"> 2024/25</w:t>
      </w:r>
      <w:r w:rsidR="001532FC" w:rsidRPr="008C250E">
        <w:t>).</w:t>
      </w:r>
      <w:r w:rsidR="00EA4466" w:rsidRPr="008C250E">
        <w:t xml:space="preserve"> </w:t>
      </w:r>
    </w:p>
    <w:p w14:paraId="76F5EE16" w14:textId="26474FE7" w:rsidR="00940B46" w:rsidRPr="008C250E" w:rsidRDefault="00E23EC1" w:rsidP="0004046D">
      <w:pPr>
        <w:pStyle w:val="ListParagraph"/>
        <w:numPr>
          <w:ilvl w:val="0"/>
          <w:numId w:val="15"/>
        </w:numPr>
        <w:spacing w:after="120"/>
      </w:pPr>
      <w:r w:rsidRPr="008C250E">
        <w:t>As a result, t</w:t>
      </w:r>
      <w:r w:rsidR="00940B46" w:rsidRPr="008C250E">
        <w:t xml:space="preserve">he Authority may need to borrow </w:t>
      </w:r>
      <w:r w:rsidRPr="008C250E">
        <w:t>£</w:t>
      </w:r>
      <w:r w:rsidR="00D601F5" w:rsidRPr="008C250E">
        <w:t>1</w:t>
      </w:r>
      <w:r w:rsidR="00615EAE" w:rsidRPr="008C250E">
        <w:t>5</w:t>
      </w:r>
      <w:r w:rsidR="001629F5" w:rsidRPr="008C250E">
        <w:t>.</w:t>
      </w:r>
      <w:r w:rsidR="00615EAE" w:rsidRPr="008C250E">
        <w:t>5</w:t>
      </w:r>
      <w:r w:rsidRPr="008C250E">
        <w:t xml:space="preserve">m </w:t>
      </w:r>
      <w:r w:rsidR="00940B46" w:rsidRPr="008C250E">
        <w:t>in 202</w:t>
      </w:r>
      <w:r w:rsidR="00615EAE" w:rsidRPr="008C250E">
        <w:t>6</w:t>
      </w:r>
      <w:r w:rsidR="00940B46" w:rsidRPr="008C250E">
        <w:t>/2</w:t>
      </w:r>
      <w:r w:rsidR="00615EAE" w:rsidRPr="008C250E">
        <w:t>7</w:t>
      </w:r>
      <w:r w:rsidR="00A94834" w:rsidRPr="008C250E">
        <w:t>. Under the previous strategy, the Authority was forecast to</w:t>
      </w:r>
      <w:r w:rsidR="005D1AE0" w:rsidRPr="008C250E">
        <w:t xml:space="preserve"> borrow £</w:t>
      </w:r>
      <w:r w:rsidR="00D601F5" w:rsidRPr="008C250E">
        <w:t>9.4</w:t>
      </w:r>
      <w:r w:rsidR="005D1AE0" w:rsidRPr="008C250E">
        <w:t>m in 202</w:t>
      </w:r>
      <w:r w:rsidR="00D601F5" w:rsidRPr="008C250E">
        <w:t>5</w:t>
      </w:r>
      <w:r w:rsidR="005D1AE0" w:rsidRPr="008C250E">
        <w:t>/2</w:t>
      </w:r>
      <w:r w:rsidR="00D601F5" w:rsidRPr="008C250E">
        <w:t>6</w:t>
      </w:r>
      <w:r w:rsidR="00A94834" w:rsidRPr="008C250E">
        <w:t>.</w:t>
      </w:r>
      <w:r w:rsidR="000D101B" w:rsidRPr="008C250E">
        <w:t xml:space="preserve"> </w:t>
      </w:r>
    </w:p>
    <w:p w14:paraId="3A2116E1" w14:textId="2109DB9D" w:rsidR="00D601F5" w:rsidRPr="00FE44E3" w:rsidRDefault="00D601F5" w:rsidP="0004046D">
      <w:pPr>
        <w:pStyle w:val="ListParagraph"/>
        <w:numPr>
          <w:ilvl w:val="0"/>
          <w:numId w:val="15"/>
        </w:numPr>
        <w:spacing w:after="120"/>
      </w:pPr>
      <w:r w:rsidRPr="008C250E">
        <w:t xml:space="preserve">This is in addition to assumed borrowing required </w:t>
      </w:r>
      <w:r w:rsidR="00BB385A" w:rsidRPr="008C250E">
        <w:t xml:space="preserve">for the </w:t>
      </w:r>
      <w:r w:rsidR="00681704">
        <w:t>J</w:t>
      </w:r>
      <w:r w:rsidR="00BB385A" w:rsidRPr="008C250E">
        <w:t xml:space="preserve">oint </w:t>
      </w:r>
      <w:r w:rsidR="00681704">
        <w:t>F</w:t>
      </w:r>
      <w:r w:rsidR="00BB385A" w:rsidRPr="008C250E">
        <w:t xml:space="preserve">leet </w:t>
      </w:r>
      <w:r w:rsidR="00681704">
        <w:t>W</w:t>
      </w:r>
      <w:r w:rsidR="00BB385A" w:rsidRPr="008C250E">
        <w:t xml:space="preserve">orkshops </w:t>
      </w:r>
      <w:r w:rsidR="00681704">
        <w:t>P</w:t>
      </w:r>
      <w:r w:rsidR="00BB385A" w:rsidRPr="00FE44E3">
        <w:t>roject</w:t>
      </w:r>
      <w:r w:rsidR="00C4692A" w:rsidRPr="00FE44E3">
        <w:t>, which totals</w:t>
      </w:r>
      <w:r w:rsidR="006E703F" w:rsidRPr="00FE44E3">
        <w:t xml:space="preserve"> </w:t>
      </w:r>
      <w:r w:rsidR="003A75EC">
        <w:t>£</w:t>
      </w:r>
      <w:r w:rsidR="00C4692A" w:rsidRPr="00FE44E3">
        <w:t>8.2m</w:t>
      </w:r>
      <w:r w:rsidR="00C76F8C" w:rsidRPr="00FE44E3">
        <w:t xml:space="preserve"> by</w:t>
      </w:r>
      <w:r w:rsidR="00604770" w:rsidRPr="00FE44E3">
        <w:t xml:space="preserve"> 2027/28.</w:t>
      </w:r>
      <w:r w:rsidR="006A35AE">
        <w:t xml:space="preserve"> This was not included in the previous Strategy.</w:t>
      </w:r>
    </w:p>
    <w:p w14:paraId="28B96713" w14:textId="6DA4D884" w:rsidR="00592AD5" w:rsidRPr="00FE44E3" w:rsidRDefault="00592AD5" w:rsidP="0004046D">
      <w:pPr>
        <w:pStyle w:val="ListParagraph"/>
        <w:numPr>
          <w:ilvl w:val="0"/>
          <w:numId w:val="15"/>
        </w:numPr>
        <w:spacing w:after="120"/>
      </w:pPr>
      <w:r w:rsidRPr="00FE44E3">
        <w:t>The Liability Benchmark is forecast to increase to £</w:t>
      </w:r>
      <w:r w:rsidR="002751C4" w:rsidRPr="00FE44E3">
        <w:t>4</w:t>
      </w:r>
      <w:r w:rsidR="00FE44E3" w:rsidRPr="00FE44E3">
        <w:t>9</w:t>
      </w:r>
      <w:r w:rsidRPr="00FE44E3">
        <w:t>.</w:t>
      </w:r>
      <w:r w:rsidR="007E384E" w:rsidRPr="00FE44E3">
        <w:t>2</w:t>
      </w:r>
      <w:r w:rsidRPr="00FE44E3">
        <w:t>m</w:t>
      </w:r>
      <w:r w:rsidR="005B5D37" w:rsidRPr="00FE44E3">
        <w:t>. Under the previous strategy, this was forecast as £</w:t>
      </w:r>
      <w:r w:rsidR="007E384E" w:rsidRPr="00FE44E3">
        <w:t>40.9m</w:t>
      </w:r>
      <w:r w:rsidR="00AE7F9E" w:rsidRPr="00FE44E3">
        <w:t xml:space="preserve">. The increase is a result </w:t>
      </w:r>
      <w:r w:rsidR="007E384E" w:rsidRPr="00FE44E3">
        <w:t>of additional</w:t>
      </w:r>
      <w:r w:rsidR="0059775A" w:rsidRPr="00FE44E3">
        <w:t xml:space="preserve"> forecast</w:t>
      </w:r>
      <w:r w:rsidR="007E384E" w:rsidRPr="00FE44E3">
        <w:t xml:space="preserve"> capital expenditure</w:t>
      </w:r>
      <w:r w:rsidR="0059775A" w:rsidRPr="00FE44E3">
        <w:t>, see the Capital Strategy 2024/25 for further detail</w:t>
      </w:r>
      <w:r w:rsidR="00AE7F9E" w:rsidRPr="00FE44E3">
        <w:t>.</w:t>
      </w:r>
    </w:p>
    <w:p w14:paraId="7A499C21" w14:textId="367DF609" w:rsidR="0041128E" w:rsidRPr="00FE44E3" w:rsidRDefault="00134C4A" w:rsidP="0004046D">
      <w:pPr>
        <w:pStyle w:val="ListParagraph"/>
        <w:numPr>
          <w:ilvl w:val="0"/>
          <w:numId w:val="15"/>
        </w:numPr>
        <w:spacing w:after="120"/>
      </w:pPr>
      <w:r w:rsidRPr="00FE44E3">
        <w:t>The Approved Counterparty Limits (table 4)</w:t>
      </w:r>
      <w:r w:rsidR="0041128E" w:rsidRPr="00FE44E3">
        <w:t xml:space="preserve"> has been updated to reflect the latest risk profile of the Authority.</w:t>
      </w:r>
    </w:p>
    <w:p w14:paraId="6DC28ACB" w14:textId="34613640" w:rsidR="00FF3E00" w:rsidRPr="00EA4466" w:rsidRDefault="00FF3E00" w:rsidP="00EA4466">
      <w:pPr>
        <w:pStyle w:val="ListParagraph"/>
        <w:spacing w:after="240"/>
        <w:ind w:left="2520"/>
        <w:jc w:val="both"/>
        <w:rPr>
          <w:rFonts w:asciiTheme="minorBidi" w:hAnsiTheme="minorBidi" w:cstheme="minorBidi"/>
          <w:b/>
          <w:bCs/>
          <w:kern w:val="32"/>
          <w:sz w:val="28"/>
          <w:szCs w:val="28"/>
        </w:rPr>
      </w:pPr>
    </w:p>
    <w:p w14:paraId="69F32486" w14:textId="77777777" w:rsidR="00EA4466" w:rsidRDefault="00EA4466" w:rsidP="00EA4466">
      <w:pPr>
        <w:rPr>
          <w:rFonts w:asciiTheme="minorBidi" w:hAnsiTheme="minorBidi" w:cstheme="minorBidi"/>
          <w:b/>
          <w:bCs/>
          <w:kern w:val="32"/>
          <w:sz w:val="28"/>
          <w:szCs w:val="28"/>
        </w:rPr>
      </w:pPr>
    </w:p>
    <w:p w14:paraId="1B752B1A" w14:textId="77777777" w:rsidR="00EA4466" w:rsidRDefault="00EA4466" w:rsidP="00EA4466">
      <w:pPr>
        <w:rPr>
          <w:rFonts w:asciiTheme="minorBidi" w:hAnsiTheme="minorBidi" w:cstheme="minorBidi"/>
        </w:rPr>
      </w:pPr>
    </w:p>
    <w:p w14:paraId="2F47882C" w14:textId="77777777" w:rsidR="00BB2E60" w:rsidRPr="00BB2E60" w:rsidRDefault="00BB2E60" w:rsidP="00BB2E60">
      <w:pPr>
        <w:rPr>
          <w:rFonts w:asciiTheme="minorBidi" w:hAnsiTheme="minorBidi" w:cstheme="minorBidi"/>
        </w:rPr>
      </w:pPr>
    </w:p>
    <w:p w14:paraId="35DCFBA4" w14:textId="77777777" w:rsidR="00BB2E60" w:rsidRPr="00BB2E60" w:rsidRDefault="00BB2E60" w:rsidP="00BB2E60">
      <w:pPr>
        <w:rPr>
          <w:rFonts w:asciiTheme="minorBidi" w:hAnsiTheme="minorBidi" w:cstheme="minorBidi"/>
        </w:rPr>
      </w:pPr>
    </w:p>
    <w:p w14:paraId="3B4EBF8F" w14:textId="77777777" w:rsidR="00BB2E60" w:rsidRPr="00BB2E60" w:rsidRDefault="00BB2E60" w:rsidP="00BB2E60">
      <w:pPr>
        <w:rPr>
          <w:rFonts w:asciiTheme="minorBidi" w:hAnsiTheme="minorBidi" w:cstheme="minorBidi"/>
        </w:rPr>
      </w:pPr>
    </w:p>
    <w:p w14:paraId="4313CCA4" w14:textId="77777777" w:rsidR="00BB2E60" w:rsidRPr="00BB2E60" w:rsidRDefault="00BB2E60" w:rsidP="00BB2E60">
      <w:pPr>
        <w:rPr>
          <w:rFonts w:asciiTheme="minorBidi" w:hAnsiTheme="minorBidi" w:cstheme="minorBidi"/>
        </w:rPr>
      </w:pPr>
    </w:p>
    <w:p w14:paraId="002D7504" w14:textId="77777777" w:rsidR="00BB2E60" w:rsidRPr="00BB2E60" w:rsidRDefault="00BB2E60" w:rsidP="00BB2E60">
      <w:pPr>
        <w:rPr>
          <w:rFonts w:asciiTheme="minorBidi" w:hAnsiTheme="minorBidi" w:cstheme="minorBidi"/>
        </w:rPr>
      </w:pPr>
    </w:p>
    <w:p w14:paraId="65568108" w14:textId="77777777" w:rsidR="00BB2E60" w:rsidRPr="00BB2E60" w:rsidRDefault="00BB2E60" w:rsidP="00BB2E60">
      <w:pPr>
        <w:rPr>
          <w:rFonts w:asciiTheme="minorBidi" w:hAnsiTheme="minorBidi" w:cstheme="minorBidi"/>
        </w:rPr>
      </w:pPr>
    </w:p>
    <w:p w14:paraId="339E45C4" w14:textId="77777777" w:rsidR="00BB2E60" w:rsidRPr="00BB2E60" w:rsidRDefault="00BB2E60" w:rsidP="00BB2E60">
      <w:pPr>
        <w:rPr>
          <w:rFonts w:asciiTheme="minorBidi" w:hAnsiTheme="minorBidi" w:cstheme="minorBidi"/>
        </w:rPr>
      </w:pPr>
    </w:p>
    <w:p w14:paraId="15EB7DE2" w14:textId="77777777" w:rsidR="00BB2E60" w:rsidRPr="00BB2E60" w:rsidRDefault="00BB2E60" w:rsidP="00BB2E60">
      <w:pPr>
        <w:rPr>
          <w:rFonts w:asciiTheme="minorBidi" w:hAnsiTheme="minorBidi" w:cstheme="minorBidi"/>
        </w:rPr>
      </w:pPr>
    </w:p>
    <w:p w14:paraId="39238D0B" w14:textId="77777777" w:rsidR="00BB2E60" w:rsidRPr="00BB2E60" w:rsidRDefault="00BB2E60" w:rsidP="00BB2E60">
      <w:pPr>
        <w:rPr>
          <w:rFonts w:asciiTheme="minorBidi" w:hAnsiTheme="minorBidi" w:cstheme="minorBidi"/>
        </w:rPr>
      </w:pPr>
    </w:p>
    <w:p w14:paraId="617C6762" w14:textId="77777777" w:rsidR="00BB2E60" w:rsidRPr="00BB2E60" w:rsidRDefault="00BB2E60" w:rsidP="00BB2E60">
      <w:pPr>
        <w:rPr>
          <w:rFonts w:asciiTheme="minorBidi" w:hAnsiTheme="minorBidi" w:cstheme="minorBidi"/>
        </w:rPr>
      </w:pPr>
    </w:p>
    <w:p w14:paraId="491D82D7" w14:textId="77777777" w:rsidR="00BB2E60" w:rsidRPr="00BB2E60" w:rsidRDefault="00BB2E60" w:rsidP="00BB2E60">
      <w:pPr>
        <w:rPr>
          <w:rFonts w:asciiTheme="minorBidi" w:hAnsiTheme="minorBidi" w:cstheme="minorBidi"/>
        </w:rPr>
      </w:pPr>
    </w:p>
    <w:p w14:paraId="59555EEE" w14:textId="77777777" w:rsidR="00BB2E60" w:rsidRPr="00BB2E60" w:rsidRDefault="00BB2E60" w:rsidP="00BB2E60">
      <w:pPr>
        <w:rPr>
          <w:rFonts w:asciiTheme="minorBidi" w:hAnsiTheme="minorBidi" w:cstheme="minorBidi"/>
        </w:rPr>
      </w:pPr>
    </w:p>
    <w:p w14:paraId="7F15B71A" w14:textId="77777777" w:rsidR="00BB2E60" w:rsidRPr="00BB2E60" w:rsidRDefault="00BB2E60" w:rsidP="00BB2E60">
      <w:pPr>
        <w:rPr>
          <w:rFonts w:asciiTheme="minorBidi" w:hAnsiTheme="minorBidi" w:cstheme="minorBidi"/>
        </w:rPr>
      </w:pPr>
    </w:p>
    <w:p w14:paraId="4B4C139A" w14:textId="77777777" w:rsidR="00BB2E60" w:rsidRPr="00BB2E60" w:rsidRDefault="00BB2E60" w:rsidP="00BB2E60">
      <w:pPr>
        <w:rPr>
          <w:rFonts w:asciiTheme="minorBidi" w:hAnsiTheme="minorBidi" w:cstheme="minorBidi"/>
        </w:rPr>
      </w:pPr>
    </w:p>
    <w:p w14:paraId="44CE562C" w14:textId="77777777" w:rsidR="00BB2E60" w:rsidRPr="00BB2E60" w:rsidRDefault="00BB2E60" w:rsidP="00BB2E60">
      <w:pPr>
        <w:rPr>
          <w:rFonts w:asciiTheme="minorBidi" w:hAnsiTheme="minorBidi" w:cstheme="minorBidi"/>
        </w:rPr>
      </w:pPr>
    </w:p>
    <w:p w14:paraId="576B5B61" w14:textId="77777777" w:rsidR="00BB2E60" w:rsidRPr="00BB2E60" w:rsidRDefault="00BB2E60" w:rsidP="00BB2E60">
      <w:pPr>
        <w:rPr>
          <w:rFonts w:asciiTheme="minorBidi" w:hAnsiTheme="minorBidi" w:cstheme="minorBidi"/>
        </w:rPr>
      </w:pPr>
    </w:p>
    <w:p w14:paraId="4F003D02" w14:textId="77777777" w:rsidR="00BB2E60" w:rsidRPr="00BB2E60" w:rsidRDefault="00BB2E60" w:rsidP="00BB2E60">
      <w:pPr>
        <w:rPr>
          <w:rFonts w:asciiTheme="minorBidi" w:hAnsiTheme="minorBidi" w:cstheme="minorBidi"/>
        </w:rPr>
      </w:pPr>
    </w:p>
    <w:p w14:paraId="181712C0" w14:textId="77777777" w:rsidR="00BB2E60" w:rsidRPr="00BB2E60" w:rsidRDefault="00BB2E60" w:rsidP="00BB2E60">
      <w:pPr>
        <w:rPr>
          <w:rFonts w:asciiTheme="minorBidi" w:hAnsiTheme="minorBidi" w:cstheme="minorBidi"/>
        </w:rPr>
      </w:pPr>
    </w:p>
    <w:p w14:paraId="345BB91C" w14:textId="77777777" w:rsidR="00B70DBE" w:rsidRDefault="00B70DBE" w:rsidP="00BB2E60">
      <w:pPr>
        <w:ind w:firstLine="720"/>
        <w:rPr>
          <w:rFonts w:asciiTheme="minorBidi" w:hAnsiTheme="minorBidi" w:cstheme="minorBidi"/>
        </w:rPr>
        <w:sectPr w:rsidR="00B70DBE" w:rsidSect="003C5184">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42" w:left="1276" w:header="709" w:footer="709" w:gutter="0"/>
          <w:pgNumType w:start="2"/>
          <w:cols w:space="708"/>
          <w:docGrid w:linePitch="360"/>
        </w:sectPr>
      </w:pPr>
    </w:p>
    <w:p w14:paraId="0A38E17F" w14:textId="42D36424" w:rsidR="007E570A" w:rsidRPr="00797E5A" w:rsidRDefault="00BB2E60" w:rsidP="0004046D">
      <w:pPr>
        <w:pStyle w:val="Heading1"/>
        <w:numPr>
          <w:ilvl w:val="0"/>
          <w:numId w:val="13"/>
        </w:numPr>
        <w:spacing w:before="0" w:after="240"/>
        <w:ind w:left="426" w:hanging="426"/>
        <w:rPr>
          <w:rFonts w:asciiTheme="minorBidi" w:hAnsiTheme="minorBidi" w:cstheme="minorBidi"/>
          <w:sz w:val="28"/>
          <w:szCs w:val="28"/>
        </w:rPr>
      </w:pPr>
      <w:bookmarkStart w:id="6" w:name="_Toc73025260"/>
      <w:bookmarkStart w:id="7" w:name="_Toc158793245"/>
      <w:r>
        <w:rPr>
          <w:rFonts w:asciiTheme="minorBidi" w:hAnsiTheme="minorBidi" w:cstheme="minorBidi"/>
          <w:sz w:val="28"/>
          <w:szCs w:val="28"/>
        </w:rPr>
        <w:lastRenderedPageBreak/>
        <w:t>L</w:t>
      </w:r>
      <w:r w:rsidR="007E570A" w:rsidRPr="00797E5A">
        <w:rPr>
          <w:rFonts w:asciiTheme="minorBidi" w:hAnsiTheme="minorBidi" w:cstheme="minorBidi"/>
          <w:sz w:val="28"/>
          <w:szCs w:val="28"/>
        </w:rPr>
        <w:t>ocal Context</w:t>
      </w:r>
      <w:bookmarkEnd w:id="6"/>
      <w:bookmarkEnd w:id="7"/>
    </w:p>
    <w:p w14:paraId="115AD7E1" w14:textId="6F746217" w:rsidR="007E570A" w:rsidRPr="00797E5A" w:rsidRDefault="007E570A" w:rsidP="0021055C">
      <w:pPr>
        <w:spacing w:after="120"/>
        <w:ind w:left="425" w:firstLine="1"/>
        <w:jc w:val="both"/>
      </w:pPr>
      <w:r w:rsidRPr="00797E5A">
        <w:t>On 31</w:t>
      </w:r>
      <w:r w:rsidRPr="00797E5A">
        <w:rPr>
          <w:vertAlign w:val="superscript"/>
        </w:rPr>
        <w:t>st</w:t>
      </w:r>
      <w:r w:rsidRPr="00797E5A">
        <w:t xml:space="preserve"> March 202</w:t>
      </w:r>
      <w:r w:rsidR="009B5615">
        <w:t>3</w:t>
      </w:r>
      <w:r w:rsidRPr="00797E5A">
        <w:t>, the Authority held £2</w:t>
      </w:r>
      <w:r w:rsidR="00D42E44">
        <w:t>3</w:t>
      </w:r>
      <w:r w:rsidRPr="00797E5A">
        <w:t>.5m of borrowing and £</w:t>
      </w:r>
      <w:r w:rsidR="009629EA">
        <w:t>1</w:t>
      </w:r>
      <w:r w:rsidR="008A59FF">
        <w:t>6.1</w:t>
      </w:r>
      <w:r w:rsidRPr="00797E5A">
        <w:t xml:space="preserve">m of </w:t>
      </w:r>
      <w:r w:rsidR="008A59FF">
        <w:t>cash available to invest</w:t>
      </w:r>
      <w:r w:rsidRPr="00797E5A">
        <w:t xml:space="preserve">. This is set out in further detail at </w:t>
      </w:r>
      <w:r w:rsidRPr="00797E5A">
        <w:rPr>
          <w:b/>
          <w:i/>
        </w:rPr>
        <w:t>Appendix C</w:t>
      </w:r>
      <w:r w:rsidRPr="00797E5A">
        <w:t xml:space="preserve">. Forecast changes in these sums are shown in the balance sheet analysis in table 1 below. </w:t>
      </w:r>
    </w:p>
    <w:p w14:paraId="332B4669" w14:textId="4FA13144" w:rsidR="00C51318" w:rsidRPr="00A8539A" w:rsidRDefault="007E570A" w:rsidP="00A8539A">
      <w:pPr>
        <w:ind w:left="425"/>
        <w:jc w:val="both"/>
        <w:rPr>
          <w:i/>
          <w:iCs/>
        </w:rPr>
      </w:pPr>
      <w:r w:rsidRPr="0069258D">
        <w:rPr>
          <w:b/>
          <w:bCs/>
        </w:rPr>
        <w:t>Table 1: Balance sheet summary and forecast (further detail 31.3.2</w:t>
      </w:r>
      <w:r w:rsidR="00832CEA">
        <w:rPr>
          <w:b/>
          <w:bCs/>
        </w:rPr>
        <w:t>3</w:t>
      </w:r>
      <w:r w:rsidRPr="0069258D">
        <w:rPr>
          <w:b/>
          <w:bCs/>
        </w:rPr>
        <w:t xml:space="preserve"> at appendix</w:t>
      </w:r>
      <w:r w:rsidR="0069258D">
        <w:rPr>
          <w:b/>
          <w:bCs/>
        </w:rPr>
        <w:t xml:space="preserve"> </w:t>
      </w:r>
      <w:r w:rsidRPr="0069258D">
        <w:rPr>
          <w:b/>
          <w:bCs/>
        </w:rPr>
        <w:t>D)</w:t>
      </w:r>
      <w:r w:rsidR="00A8539A">
        <w:rPr>
          <w:b/>
          <w:bCs/>
        </w:rPr>
        <w:t xml:space="preserve"> (</w:t>
      </w:r>
      <w:r w:rsidR="00A8539A" w:rsidRPr="00A8539A">
        <w:rPr>
          <w:b/>
          <w:bCs/>
          <w:i/>
          <w:iCs/>
        </w:rPr>
        <w:t>31.3.23 as per unaudited financial statements)</w:t>
      </w:r>
    </w:p>
    <w:tbl>
      <w:tblPr>
        <w:tblW w:w="15025" w:type="dxa"/>
        <w:tblInd w:w="416" w:type="dxa"/>
        <w:tblLook w:val="04A0" w:firstRow="1" w:lastRow="0" w:firstColumn="1" w:lastColumn="0" w:noHBand="0" w:noVBand="1"/>
      </w:tblPr>
      <w:tblGrid>
        <w:gridCol w:w="3545"/>
        <w:gridCol w:w="963"/>
        <w:gridCol w:w="1050"/>
        <w:gridCol w:w="1052"/>
        <w:gridCol w:w="1055"/>
        <w:gridCol w:w="1055"/>
        <w:gridCol w:w="1050"/>
        <w:gridCol w:w="1050"/>
        <w:gridCol w:w="1055"/>
        <w:gridCol w:w="1050"/>
        <w:gridCol w:w="1050"/>
        <w:gridCol w:w="1050"/>
      </w:tblGrid>
      <w:tr w:rsidR="005410AD" w:rsidRPr="00832CEA" w14:paraId="4FB4CE6D" w14:textId="3860411E" w:rsidTr="00977D85">
        <w:trPr>
          <w:trHeight w:val="431"/>
        </w:trPr>
        <w:tc>
          <w:tcPr>
            <w:tcW w:w="3545" w:type="dxa"/>
            <w:vMerge w:val="restart"/>
            <w:tcBorders>
              <w:top w:val="single" w:sz="12" w:space="0" w:color="auto"/>
              <w:left w:val="single" w:sz="12" w:space="0" w:color="auto"/>
              <w:bottom w:val="single" w:sz="12" w:space="0" w:color="000000"/>
              <w:right w:val="single" w:sz="12" w:space="0" w:color="auto"/>
            </w:tcBorders>
            <w:shd w:val="clear" w:color="auto" w:fill="B4C6E7" w:themeFill="accent1" w:themeFillTint="66"/>
            <w:vAlign w:val="center"/>
            <w:hideMark/>
          </w:tcPr>
          <w:p w14:paraId="13B75055" w14:textId="77777777" w:rsidR="00E22FAE" w:rsidRPr="005410AD" w:rsidRDefault="00E22FAE" w:rsidP="00E22FAE">
            <w:pPr>
              <w:rPr>
                <w:b/>
                <w:bCs/>
                <w:sz w:val="20"/>
                <w:szCs w:val="20"/>
                <w:lang w:eastAsia="en-GB"/>
              </w:rPr>
            </w:pPr>
            <w:r w:rsidRPr="005410AD">
              <w:rPr>
                <w:b/>
                <w:bCs/>
                <w:sz w:val="20"/>
                <w:szCs w:val="20"/>
                <w:lang w:eastAsia="en-GB"/>
              </w:rPr>
              <w:t> </w:t>
            </w:r>
          </w:p>
        </w:tc>
        <w:tc>
          <w:tcPr>
            <w:tcW w:w="963" w:type="dxa"/>
            <w:tcBorders>
              <w:top w:val="single" w:sz="12" w:space="0" w:color="auto"/>
              <w:left w:val="single" w:sz="12" w:space="0" w:color="auto"/>
              <w:bottom w:val="nil"/>
              <w:right w:val="single" w:sz="12" w:space="0" w:color="auto"/>
            </w:tcBorders>
            <w:shd w:val="clear" w:color="auto" w:fill="B4C6E7" w:themeFill="accent1" w:themeFillTint="66"/>
            <w:hideMark/>
          </w:tcPr>
          <w:p w14:paraId="7A918C57" w14:textId="718D5EE2" w:rsidR="00E22FAE" w:rsidRPr="005410AD" w:rsidRDefault="00E22FAE" w:rsidP="00E22FAE">
            <w:pPr>
              <w:jc w:val="center"/>
              <w:rPr>
                <w:b/>
                <w:bCs/>
                <w:sz w:val="20"/>
                <w:szCs w:val="20"/>
                <w:lang w:eastAsia="en-GB"/>
              </w:rPr>
            </w:pPr>
            <w:r w:rsidRPr="005410AD">
              <w:rPr>
                <w:b/>
                <w:bCs/>
                <w:sz w:val="20"/>
                <w:szCs w:val="20"/>
                <w:lang w:eastAsia="en-GB"/>
              </w:rPr>
              <w:t>Actual 2022/23</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3CC1E00A" w14:textId="555A454B" w:rsidR="00E22FAE" w:rsidRPr="005410AD" w:rsidRDefault="00E22FAE" w:rsidP="00E22FAE">
            <w:pPr>
              <w:jc w:val="center"/>
              <w:rPr>
                <w:b/>
                <w:bCs/>
                <w:sz w:val="20"/>
                <w:szCs w:val="20"/>
                <w:lang w:eastAsia="en-GB"/>
              </w:rPr>
            </w:pPr>
            <w:r w:rsidRPr="005410AD">
              <w:rPr>
                <w:b/>
                <w:bCs/>
                <w:sz w:val="20"/>
                <w:szCs w:val="20"/>
                <w:lang w:eastAsia="en-GB"/>
              </w:rPr>
              <w:t>Forecast 2023/24</w:t>
            </w:r>
          </w:p>
        </w:tc>
        <w:tc>
          <w:tcPr>
            <w:tcW w:w="1052" w:type="dxa"/>
            <w:tcBorders>
              <w:top w:val="single" w:sz="12" w:space="0" w:color="auto"/>
              <w:left w:val="single" w:sz="12" w:space="0" w:color="auto"/>
              <w:bottom w:val="nil"/>
              <w:right w:val="single" w:sz="12" w:space="0" w:color="auto"/>
            </w:tcBorders>
            <w:shd w:val="clear" w:color="auto" w:fill="B4C6E7" w:themeFill="accent1" w:themeFillTint="66"/>
            <w:hideMark/>
          </w:tcPr>
          <w:p w14:paraId="74BCB1FA" w14:textId="291A3087" w:rsidR="00E22FAE" w:rsidRPr="005410AD" w:rsidRDefault="00E22FAE" w:rsidP="00E22FAE">
            <w:pPr>
              <w:jc w:val="center"/>
              <w:rPr>
                <w:b/>
                <w:bCs/>
                <w:sz w:val="20"/>
                <w:szCs w:val="20"/>
                <w:lang w:eastAsia="en-GB"/>
              </w:rPr>
            </w:pPr>
            <w:r w:rsidRPr="005410AD">
              <w:rPr>
                <w:b/>
                <w:bCs/>
                <w:sz w:val="20"/>
                <w:szCs w:val="20"/>
                <w:lang w:eastAsia="en-GB"/>
              </w:rPr>
              <w:t>Forecast 2024/25</w:t>
            </w:r>
          </w:p>
        </w:tc>
        <w:tc>
          <w:tcPr>
            <w:tcW w:w="1055" w:type="dxa"/>
            <w:tcBorders>
              <w:top w:val="single" w:sz="12" w:space="0" w:color="auto"/>
              <w:left w:val="single" w:sz="12" w:space="0" w:color="auto"/>
              <w:bottom w:val="nil"/>
              <w:right w:val="single" w:sz="12" w:space="0" w:color="auto"/>
            </w:tcBorders>
            <w:shd w:val="clear" w:color="auto" w:fill="B4C6E7" w:themeFill="accent1" w:themeFillTint="66"/>
            <w:hideMark/>
          </w:tcPr>
          <w:p w14:paraId="0604B591" w14:textId="4A3BFA00" w:rsidR="00E22FAE" w:rsidRPr="005410AD" w:rsidRDefault="00E22FAE" w:rsidP="00E22FAE">
            <w:pPr>
              <w:jc w:val="center"/>
              <w:rPr>
                <w:b/>
                <w:bCs/>
                <w:sz w:val="20"/>
                <w:szCs w:val="20"/>
                <w:lang w:eastAsia="en-GB"/>
              </w:rPr>
            </w:pPr>
            <w:r w:rsidRPr="005410AD">
              <w:rPr>
                <w:b/>
                <w:bCs/>
                <w:sz w:val="20"/>
                <w:szCs w:val="20"/>
                <w:lang w:eastAsia="en-GB"/>
              </w:rPr>
              <w:t>Forecast 2025/26</w:t>
            </w:r>
          </w:p>
        </w:tc>
        <w:tc>
          <w:tcPr>
            <w:tcW w:w="1055" w:type="dxa"/>
            <w:tcBorders>
              <w:top w:val="single" w:sz="12" w:space="0" w:color="auto"/>
              <w:left w:val="single" w:sz="12" w:space="0" w:color="auto"/>
              <w:bottom w:val="nil"/>
              <w:right w:val="single" w:sz="12" w:space="0" w:color="auto"/>
            </w:tcBorders>
            <w:shd w:val="clear" w:color="auto" w:fill="B4C6E7" w:themeFill="accent1" w:themeFillTint="66"/>
            <w:hideMark/>
          </w:tcPr>
          <w:p w14:paraId="7DB624F5" w14:textId="6E582188" w:rsidR="00E22FAE" w:rsidRPr="005410AD" w:rsidRDefault="00E22FAE" w:rsidP="00E22FAE">
            <w:pPr>
              <w:jc w:val="center"/>
              <w:rPr>
                <w:b/>
                <w:bCs/>
                <w:sz w:val="20"/>
                <w:szCs w:val="20"/>
                <w:lang w:eastAsia="en-GB"/>
              </w:rPr>
            </w:pPr>
            <w:r w:rsidRPr="005410AD">
              <w:rPr>
                <w:b/>
                <w:bCs/>
                <w:sz w:val="20"/>
                <w:szCs w:val="20"/>
                <w:lang w:eastAsia="en-GB"/>
              </w:rPr>
              <w:t>Forecast 2026/27</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18F39E13" w14:textId="3D16D9F9" w:rsidR="00E22FAE" w:rsidRPr="005410AD" w:rsidRDefault="00E22FAE" w:rsidP="00E22FAE">
            <w:pPr>
              <w:jc w:val="center"/>
              <w:rPr>
                <w:b/>
                <w:bCs/>
                <w:sz w:val="20"/>
                <w:szCs w:val="20"/>
                <w:lang w:eastAsia="en-GB"/>
              </w:rPr>
            </w:pPr>
            <w:r w:rsidRPr="005410AD">
              <w:rPr>
                <w:b/>
                <w:bCs/>
                <w:sz w:val="20"/>
                <w:szCs w:val="20"/>
                <w:lang w:eastAsia="en-GB"/>
              </w:rPr>
              <w:t>Forecast 2027/28</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66CF3B8B" w14:textId="27969C1B" w:rsidR="00E22FAE" w:rsidRPr="005410AD" w:rsidRDefault="00E22FAE" w:rsidP="00E22FAE">
            <w:pPr>
              <w:jc w:val="center"/>
              <w:rPr>
                <w:b/>
                <w:bCs/>
                <w:sz w:val="20"/>
                <w:szCs w:val="20"/>
                <w:lang w:eastAsia="en-GB"/>
              </w:rPr>
            </w:pPr>
            <w:r w:rsidRPr="005410AD">
              <w:rPr>
                <w:b/>
                <w:bCs/>
                <w:sz w:val="20"/>
                <w:szCs w:val="20"/>
                <w:lang w:eastAsia="en-GB"/>
              </w:rPr>
              <w:t>Forecast 2028/29</w:t>
            </w:r>
          </w:p>
        </w:tc>
        <w:tc>
          <w:tcPr>
            <w:tcW w:w="1055" w:type="dxa"/>
            <w:tcBorders>
              <w:top w:val="single" w:sz="12" w:space="0" w:color="auto"/>
              <w:left w:val="single" w:sz="12" w:space="0" w:color="auto"/>
              <w:bottom w:val="nil"/>
              <w:right w:val="single" w:sz="12" w:space="0" w:color="auto"/>
            </w:tcBorders>
            <w:shd w:val="clear" w:color="auto" w:fill="B4C6E7" w:themeFill="accent1" w:themeFillTint="66"/>
          </w:tcPr>
          <w:p w14:paraId="7F44E977" w14:textId="1B3ACFEC" w:rsidR="00E22FAE" w:rsidRPr="005410AD" w:rsidRDefault="00E22FAE" w:rsidP="00E22FAE">
            <w:pPr>
              <w:jc w:val="center"/>
              <w:rPr>
                <w:b/>
                <w:bCs/>
                <w:sz w:val="20"/>
                <w:szCs w:val="20"/>
                <w:lang w:eastAsia="en-GB"/>
              </w:rPr>
            </w:pPr>
            <w:r w:rsidRPr="005410AD">
              <w:rPr>
                <w:b/>
                <w:bCs/>
                <w:sz w:val="20"/>
                <w:szCs w:val="20"/>
                <w:lang w:eastAsia="en-GB"/>
              </w:rPr>
              <w:t>Forecast 2029/30</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134789BD" w14:textId="5B69B947" w:rsidR="00E22FAE" w:rsidRPr="005410AD" w:rsidRDefault="00E22FAE" w:rsidP="00E22FAE">
            <w:pPr>
              <w:jc w:val="center"/>
              <w:rPr>
                <w:b/>
                <w:bCs/>
                <w:sz w:val="20"/>
                <w:szCs w:val="20"/>
                <w:lang w:eastAsia="en-GB"/>
              </w:rPr>
            </w:pPr>
            <w:r w:rsidRPr="005410AD">
              <w:rPr>
                <w:b/>
                <w:bCs/>
                <w:sz w:val="20"/>
                <w:szCs w:val="20"/>
                <w:lang w:eastAsia="en-GB"/>
              </w:rPr>
              <w:t>Forecast 2030/31</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3BB1EC34" w14:textId="4D9B76F1" w:rsidR="00E22FAE" w:rsidRPr="005410AD" w:rsidRDefault="00E22FAE" w:rsidP="00E22FAE">
            <w:pPr>
              <w:jc w:val="center"/>
              <w:rPr>
                <w:b/>
                <w:bCs/>
                <w:sz w:val="20"/>
                <w:szCs w:val="20"/>
                <w:lang w:eastAsia="en-GB"/>
              </w:rPr>
            </w:pPr>
            <w:r w:rsidRPr="005410AD">
              <w:rPr>
                <w:b/>
                <w:bCs/>
                <w:sz w:val="20"/>
                <w:szCs w:val="20"/>
                <w:lang w:eastAsia="en-GB"/>
              </w:rPr>
              <w:t>Forecast 2031/32</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5FAEF4E9" w14:textId="3A831970" w:rsidR="00E22FAE" w:rsidRPr="005410AD" w:rsidRDefault="00E22FAE" w:rsidP="00E22FAE">
            <w:pPr>
              <w:jc w:val="center"/>
              <w:rPr>
                <w:b/>
                <w:bCs/>
                <w:sz w:val="20"/>
                <w:szCs w:val="20"/>
                <w:lang w:eastAsia="en-GB"/>
              </w:rPr>
            </w:pPr>
            <w:r w:rsidRPr="005410AD">
              <w:rPr>
                <w:b/>
                <w:bCs/>
                <w:sz w:val="20"/>
                <w:szCs w:val="20"/>
                <w:lang w:eastAsia="en-GB"/>
              </w:rPr>
              <w:t>Forecast 2032/33</w:t>
            </w:r>
          </w:p>
        </w:tc>
      </w:tr>
      <w:tr w:rsidR="005410AD" w:rsidRPr="00832CEA" w14:paraId="57C5BFC1" w14:textId="27133E10" w:rsidTr="00977D85">
        <w:trPr>
          <w:trHeight w:val="246"/>
        </w:trPr>
        <w:tc>
          <w:tcPr>
            <w:tcW w:w="3545" w:type="dxa"/>
            <w:vMerge/>
            <w:tcBorders>
              <w:top w:val="single" w:sz="8" w:space="0" w:color="auto"/>
              <w:left w:val="single" w:sz="12" w:space="0" w:color="auto"/>
              <w:bottom w:val="single" w:sz="12" w:space="0" w:color="auto"/>
              <w:right w:val="single" w:sz="12" w:space="0" w:color="auto"/>
            </w:tcBorders>
            <w:shd w:val="clear" w:color="auto" w:fill="B4C6E7" w:themeFill="accent1" w:themeFillTint="66"/>
            <w:vAlign w:val="center"/>
            <w:hideMark/>
          </w:tcPr>
          <w:p w14:paraId="66601C83" w14:textId="77777777" w:rsidR="00E22FAE" w:rsidRPr="005410AD" w:rsidRDefault="00E22FAE" w:rsidP="00E22FAE">
            <w:pPr>
              <w:rPr>
                <w:b/>
                <w:bCs/>
                <w:sz w:val="20"/>
                <w:szCs w:val="20"/>
                <w:lang w:eastAsia="en-GB"/>
              </w:rPr>
            </w:pPr>
          </w:p>
        </w:tc>
        <w:tc>
          <w:tcPr>
            <w:tcW w:w="963" w:type="dxa"/>
            <w:tcBorders>
              <w:top w:val="nil"/>
              <w:left w:val="single" w:sz="12" w:space="0" w:color="auto"/>
              <w:bottom w:val="single" w:sz="12" w:space="0" w:color="auto"/>
              <w:right w:val="single" w:sz="12" w:space="0" w:color="auto"/>
            </w:tcBorders>
            <w:shd w:val="clear" w:color="auto" w:fill="B4C6E7" w:themeFill="accent1" w:themeFillTint="66"/>
            <w:hideMark/>
          </w:tcPr>
          <w:p w14:paraId="1032C388" w14:textId="7E83F419"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0683E824" w14:textId="362C5CF6"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2" w:type="dxa"/>
            <w:tcBorders>
              <w:top w:val="nil"/>
              <w:left w:val="single" w:sz="12" w:space="0" w:color="auto"/>
              <w:bottom w:val="single" w:sz="12" w:space="0" w:color="auto"/>
              <w:right w:val="single" w:sz="12" w:space="0" w:color="auto"/>
            </w:tcBorders>
            <w:shd w:val="clear" w:color="auto" w:fill="B4C6E7" w:themeFill="accent1" w:themeFillTint="66"/>
            <w:hideMark/>
          </w:tcPr>
          <w:p w14:paraId="0D6D553E" w14:textId="490325F4"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5" w:type="dxa"/>
            <w:tcBorders>
              <w:top w:val="nil"/>
              <w:left w:val="single" w:sz="12" w:space="0" w:color="auto"/>
              <w:bottom w:val="single" w:sz="12" w:space="0" w:color="auto"/>
              <w:right w:val="single" w:sz="12" w:space="0" w:color="auto"/>
            </w:tcBorders>
            <w:shd w:val="clear" w:color="auto" w:fill="B4C6E7" w:themeFill="accent1" w:themeFillTint="66"/>
            <w:hideMark/>
          </w:tcPr>
          <w:p w14:paraId="366BECC9" w14:textId="127830C8"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5" w:type="dxa"/>
            <w:tcBorders>
              <w:top w:val="nil"/>
              <w:left w:val="single" w:sz="12" w:space="0" w:color="auto"/>
              <w:bottom w:val="single" w:sz="12" w:space="0" w:color="auto"/>
              <w:right w:val="single" w:sz="12" w:space="0" w:color="auto"/>
            </w:tcBorders>
            <w:shd w:val="clear" w:color="auto" w:fill="B4C6E7" w:themeFill="accent1" w:themeFillTint="66"/>
            <w:hideMark/>
          </w:tcPr>
          <w:p w14:paraId="6567BCE0" w14:textId="5BE22AC5"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488A7C58" w14:textId="3AE199E8"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0BFB6471" w14:textId="7ADFB557"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5" w:type="dxa"/>
            <w:tcBorders>
              <w:top w:val="nil"/>
              <w:left w:val="single" w:sz="12" w:space="0" w:color="auto"/>
              <w:bottom w:val="single" w:sz="12" w:space="0" w:color="auto"/>
              <w:right w:val="single" w:sz="12" w:space="0" w:color="auto"/>
            </w:tcBorders>
            <w:shd w:val="clear" w:color="auto" w:fill="B4C6E7" w:themeFill="accent1" w:themeFillTint="66"/>
          </w:tcPr>
          <w:p w14:paraId="609E361C" w14:textId="7AFB9E72"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14017F37" w14:textId="234258AE"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3D199E17" w14:textId="0DA1813D" w:rsidR="00E22FAE" w:rsidRPr="005410AD" w:rsidRDefault="00E22FAE" w:rsidP="00E22FAE">
            <w:pPr>
              <w:jc w:val="center"/>
              <w:rPr>
                <w:b/>
                <w:bCs/>
                <w:sz w:val="20"/>
                <w:szCs w:val="20"/>
                <w:lang w:eastAsia="en-GB"/>
              </w:rPr>
            </w:pPr>
            <w:r w:rsidRPr="005410AD">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2840B804" w14:textId="2B1977B6" w:rsidR="00E22FAE" w:rsidRPr="005410AD" w:rsidRDefault="00E22FAE" w:rsidP="00E22FAE">
            <w:pPr>
              <w:jc w:val="center"/>
              <w:rPr>
                <w:b/>
                <w:bCs/>
                <w:sz w:val="20"/>
                <w:szCs w:val="20"/>
                <w:lang w:eastAsia="en-GB"/>
              </w:rPr>
            </w:pPr>
            <w:r w:rsidRPr="005410AD">
              <w:rPr>
                <w:b/>
                <w:bCs/>
                <w:sz w:val="20"/>
                <w:szCs w:val="20"/>
                <w:lang w:eastAsia="en-GB"/>
              </w:rPr>
              <w:t>£Million</w:t>
            </w:r>
          </w:p>
        </w:tc>
      </w:tr>
      <w:tr w:rsidR="00846B07" w:rsidRPr="00832CEA" w14:paraId="682D2F26" w14:textId="1E3F8AF6" w:rsidTr="00977D85">
        <w:trPr>
          <w:trHeight w:val="254"/>
        </w:trPr>
        <w:tc>
          <w:tcPr>
            <w:tcW w:w="3545" w:type="dxa"/>
            <w:tcBorders>
              <w:top w:val="single" w:sz="12" w:space="0" w:color="auto"/>
              <w:left w:val="single" w:sz="12" w:space="0" w:color="auto"/>
              <w:right w:val="single" w:sz="12" w:space="0" w:color="auto"/>
            </w:tcBorders>
            <w:shd w:val="clear" w:color="auto" w:fill="auto"/>
            <w:noWrap/>
            <w:vAlign w:val="bottom"/>
            <w:hideMark/>
          </w:tcPr>
          <w:p w14:paraId="585A3BE8" w14:textId="77777777" w:rsidR="00846B07" w:rsidRPr="005410AD" w:rsidRDefault="00846B07" w:rsidP="00846B07">
            <w:pPr>
              <w:rPr>
                <w:sz w:val="20"/>
                <w:szCs w:val="20"/>
                <w:lang w:eastAsia="en-GB"/>
              </w:rPr>
            </w:pPr>
            <w:r w:rsidRPr="005410AD">
              <w:rPr>
                <w:sz w:val="20"/>
                <w:szCs w:val="20"/>
                <w:lang w:eastAsia="en-GB"/>
              </w:rPr>
              <w:t>General Fund CFR</w:t>
            </w:r>
          </w:p>
        </w:tc>
        <w:tc>
          <w:tcPr>
            <w:tcW w:w="963" w:type="dxa"/>
            <w:tcBorders>
              <w:top w:val="single" w:sz="12" w:space="0" w:color="auto"/>
              <w:left w:val="single" w:sz="12" w:space="0" w:color="auto"/>
              <w:right w:val="single" w:sz="12" w:space="0" w:color="auto"/>
            </w:tcBorders>
            <w:shd w:val="clear" w:color="auto" w:fill="auto"/>
            <w:hideMark/>
          </w:tcPr>
          <w:p w14:paraId="18B92999" w14:textId="4A4BC4DE" w:rsidR="00846B07" w:rsidRPr="005410AD" w:rsidRDefault="00846B07" w:rsidP="00846B07">
            <w:pPr>
              <w:jc w:val="right"/>
              <w:rPr>
                <w:color w:val="000000"/>
                <w:sz w:val="20"/>
                <w:szCs w:val="20"/>
                <w:lang w:eastAsia="en-GB"/>
              </w:rPr>
            </w:pPr>
            <w:r>
              <w:rPr>
                <w:sz w:val="20"/>
                <w:szCs w:val="20"/>
              </w:rPr>
              <w:t>32</w:t>
            </w:r>
            <w:r w:rsidRPr="005410AD">
              <w:rPr>
                <w:sz w:val="20"/>
                <w:szCs w:val="20"/>
              </w:rPr>
              <w:t>.1</w:t>
            </w:r>
          </w:p>
        </w:tc>
        <w:tc>
          <w:tcPr>
            <w:tcW w:w="1050" w:type="dxa"/>
            <w:tcBorders>
              <w:top w:val="single" w:sz="12" w:space="0" w:color="auto"/>
              <w:left w:val="single" w:sz="12" w:space="0" w:color="auto"/>
              <w:right w:val="single" w:sz="12" w:space="0" w:color="auto"/>
            </w:tcBorders>
            <w:shd w:val="clear" w:color="auto" w:fill="auto"/>
            <w:hideMark/>
          </w:tcPr>
          <w:p w14:paraId="127D7ECB" w14:textId="52D799FB" w:rsidR="00846B07" w:rsidRPr="00846B07" w:rsidRDefault="00846B07" w:rsidP="00846B07">
            <w:pPr>
              <w:jc w:val="right"/>
              <w:rPr>
                <w:sz w:val="20"/>
                <w:szCs w:val="20"/>
              </w:rPr>
            </w:pPr>
            <w:r w:rsidRPr="00846B07">
              <w:rPr>
                <w:sz w:val="20"/>
                <w:szCs w:val="20"/>
              </w:rPr>
              <w:t>29.1</w:t>
            </w:r>
          </w:p>
        </w:tc>
        <w:tc>
          <w:tcPr>
            <w:tcW w:w="1052" w:type="dxa"/>
            <w:tcBorders>
              <w:top w:val="single" w:sz="12" w:space="0" w:color="auto"/>
              <w:left w:val="single" w:sz="12" w:space="0" w:color="auto"/>
              <w:right w:val="single" w:sz="12" w:space="0" w:color="auto"/>
            </w:tcBorders>
            <w:shd w:val="clear" w:color="auto" w:fill="auto"/>
            <w:hideMark/>
          </w:tcPr>
          <w:p w14:paraId="7375EBAA" w14:textId="56DEE425" w:rsidR="00846B07" w:rsidRPr="00846B07" w:rsidRDefault="00846B07" w:rsidP="00846B07">
            <w:pPr>
              <w:jc w:val="right"/>
              <w:rPr>
                <w:sz w:val="20"/>
                <w:szCs w:val="20"/>
              </w:rPr>
            </w:pPr>
            <w:r w:rsidRPr="00846B07">
              <w:rPr>
                <w:sz w:val="20"/>
                <w:szCs w:val="20"/>
              </w:rPr>
              <w:t>31.9</w:t>
            </w:r>
          </w:p>
        </w:tc>
        <w:tc>
          <w:tcPr>
            <w:tcW w:w="1055" w:type="dxa"/>
            <w:tcBorders>
              <w:top w:val="single" w:sz="12" w:space="0" w:color="auto"/>
              <w:left w:val="single" w:sz="12" w:space="0" w:color="auto"/>
              <w:right w:val="single" w:sz="12" w:space="0" w:color="auto"/>
            </w:tcBorders>
            <w:shd w:val="clear" w:color="auto" w:fill="auto"/>
            <w:hideMark/>
          </w:tcPr>
          <w:p w14:paraId="0DDEC243" w14:textId="0E1BAE2C" w:rsidR="00846B07" w:rsidRPr="00846B07" w:rsidRDefault="00846B07" w:rsidP="00846B07">
            <w:pPr>
              <w:jc w:val="right"/>
              <w:rPr>
                <w:sz w:val="20"/>
                <w:szCs w:val="20"/>
              </w:rPr>
            </w:pPr>
            <w:r w:rsidRPr="00846B07">
              <w:rPr>
                <w:sz w:val="20"/>
                <w:szCs w:val="20"/>
              </w:rPr>
              <w:t>33.0</w:t>
            </w:r>
          </w:p>
        </w:tc>
        <w:tc>
          <w:tcPr>
            <w:tcW w:w="1055" w:type="dxa"/>
            <w:tcBorders>
              <w:top w:val="single" w:sz="12" w:space="0" w:color="auto"/>
              <w:left w:val="single" w:sz="12" w:space="0" w:color="auto"/>
              <w:right w:val="single" w:sz="12" w:space="0" w:color="auto"/>
            </w:tcBorders>
            <w:shd w:val="clear" w:color="auto" w:fill="auto"/>
            <w:hideMark/>
          </w:tcPr>
          <w:p w14:paraId="35CF2E3A" w14:textId="2499905A" w:rsidR="00846B07" w:rsidRPr="00846B07" w:rsidRDefault="00846B07" w:rsidP="00846B07">
            <w:pPr>
              <w:jc w:val="right"/>
              <w:rPr>
                <w:sz w:val="20"/>
                <w:szCs w:val="20"/>
              </w:rPr>
            </w:pPr>
            <w:r w:rsidRPr="00846B07">
              <w:rPr>
                <w:sz w:val="20"/>
                <w:szCs w:val="20"/>
              </w:rPr>
              <w:t>44.1</w:t>
            </w:r>
          </w:p>
        </w:tc>
        <w:tc>
          <w:tcPr>
            <w:tcW w:w="1050" w:type="dxa"/>
            <w:tcBorders>
              <w:top w:val="single" w:sz="12" w:space="0" w:color="auto"/>
              <w:left w:val="single" w:sz="12" w:space="0" w:color="auto"/>
              <w:right w:val="single" w:sz="12" w:space="0" w:color="auto"/>
            </w:tcBorders>
            <w:shd w:val="clear" w:color="auto" w:fill="auto"/>
          </w:tcPr>
          <w:p w14:paraId="6810506B" w14:textId="62C6E796" w:rsidR="00846B07" w:rsidRPr="00846B07" w:rsidRDefault="00846B07" w:rsidP="00846B07">
            <w:pPr>
              <w:jc w:val="right"/>
              <w:rPr>
                <w:sz w:val="20"/>
                <w:szCs w:val="20"/>
              </w:rPr>
            </w:pPr>
            <w:r w:rsidRPr="00846B07">
              <w:rPr>
                <w:sz w:val="20"/>
                <w:szCs w:val="20"/>
              </w:rPr>
              <w:t>43.9</w:t>
            </w:r>
          </w:p>
        </w:tc>
        <w:tc>
          <w:tcPr>
            <w:tcW w:w="1050" w:type="dxa"/>
            <w:tcBorders>
              <w:top w:val="single" w:sz="12" w:space="0" w:color="auto"/>
              <w:left w:val="single" w:sz="12" w:space="0" w:color="auto"/>
              <w:right w:val="single" w:sz="12" w:space="0" w:color="auto"/>
            </w:tcBorders>
            <w:shd w:val="clear" w:color="auto" w:fill="auto"/>
          </w:tcPr>
          <w:p w14:paraId="61CBD6ED" w14:textId="76AA1FB3" w:rsidR="00846B07" w:rsidRPr="00846B07" w:rsidRDefault="00846B07" w:rsidP="00846B07">
            <w:pPr>
              <w:jc w:val="right"/>
              <w:rPr>
                <w:sz w:val="20"/>
                <w:szCs w:val="20"/>
              </w:rPr>
            </w:pPr>
            <w:r w:rsidRPr="00846B07">
              <w:rPr>
                <w:sz w:val="20"/>
                <w:szCs w:val="20"/>
              </w:rPr>
              <w:t>40.8</w:t>
            </w:r>
          </w:p>
        </w:tc>
        <w:tc>
          <w:tcPr>
            <w:tcW w:w="1055" w:type="dxa"/>
            <w:tcBorders>
              <w:top w:val="single" w:sz="12" w:space="0" w:color="auto"/>
              <w:left w:val="single" w:sz="12" w:space="0" w:color="auto"/>
              <w:right w:val="single" w:sz="12" w:space="0" w:color="auto"/>
            </w:tcBorders>
            <w:shd w:val="clear" w:color="auto" w:fill="auto"/>
          </w:tcPr>
          <w:p w14:paraId="24F276E6" w14:textId="48461C51" w:rsidR="00846B07" w:rsidRPr="00846B07" w:rsidRDefault="00846B07" w:rsidP="00846B07">
            <w:pPr>
              <w:jc w:val="right"/>
              <w:rPr>
                <w:sz w:val="20"/>
                <w:szCs w:val="20"/>
              </w:rPr>
            </w:pPr>
            <w:r w:rsidRPr="00846B07">
              <w:rPr>
                <w:sz w:val="20"/>
                <w:szCs w:val="20"/>
              </w:rPr>
              <w:t>37.7</w:t>
            </w:r>
          </w:p>
        </w:tc>
        <w:tc>
          <w:tcPr>
            <w:tcW w:w="1050" w:type="dxa"/>
            <w:tcBorders>
              <w:top w:val="single" w:sz="12" w:space="0" w:color="auto"/>
              <w:left w:val="single" w:sz="12" w:space="0" w:color="auto"/>
              <w:right w:val="single" w:sz="12" w:space="0" w:color="auto"/>
            </w:tcBorders>
            <w:shd w:val="clear" w:color="auto" w:fill="auto"/>
          </w:tcPr>
          <w:p w14:paraId="3FCAED84" w14:textId="0F4B5D8D" w:rsidR="00846B07" w:rsidRPr="00846B07" w:rsidRDefault="00846B07" w:rsidP="00846B07">
            <w:pPr>
              <w:jc w:val="right"/>
              <w:rPr>
                <w:sz w:val="20"/>
                <w:szCs w:val="20"/>
              </w:rPr>
            </w:pPr>
            <w:r w:rsidRPr="00846B07">
              <w:rPr>
                <w:sz w:val="20"/>
                <w:szCs w:val="20"/>
              </w:rPr>
              <w:t>32.6</w:t>
            </w:r>
          </w:p>
        </w:tc>
        <w:tc>
          <w:tcPr>
            <w:tcW w:w="1050" w:type="dxa"/>
            <w:tcBorders>
              <w:top w:val="single" w:sz="12" w:space="0" w:color="auto"/>
              <w:left w:val="single" w:sz="12" w:space="0" w:color="auto"/>
              <w:right w:val="single" w:sz="12" w:space="0" w:color="auto"/>
            </w:tcBorders>
            <w:shd w:val="clear" w:color="auto" w:fill="auto"/>
          </w:tcPr>
          <w:p w14:paraId="728EB25A" w14:textId="03BBF958" w:rsidR="00846B07" w:rsidRPr="00846B07" w:rsidRDefault="00846B07" w:rsidP="00846B07">
            <w:pPr>
              <w:jc w:val="right"/>
              <w:rPr>
                <w:sz w:val="20"/>
                <w:szCs w:val="20"/>
              </w:rPr>
            </w:pPr>
            <w:r w:rsidRPr="00846B07">
              <w:rPr>
                <w:sz w:val="20"/>
                <w:szCs w:val="20"/>
              </w:rPr>
              <w:t>27.9</w:t>
            </w:r>
          </w:p>
        </w:tc>
        <w:tc>
          <w:tcPr>
            <w:tcW w:w="1050" w:type="dxa"/>
            <w:tcBorders>
              <w:top w:val="single" w:sz="12" w:space="0" w:color="auto"/>
              <w:left w:val="single" w:sz="12" w:space="0" w:color="auto"/>
              <w:right w:val="single" w:sz="12" w:space="0" w:color="auto"/>
            </w:tcBorders>
            <w:shd w:val="clear" w:color="auto" w:fill="auto"/>
          </w:tcPr>
          <w:p w14:paraId="06C2BFE2" w14:textId="45A8F5D9" w:rsidR="00846B07" w:rsidRPr="00846B07" w:rsidRDefault="00846B07" w:rsidP="00846B07">
            <w:pPr>
              <w:jc w:val="right"/>
              <w:rPr>
                <w:sz w:val="20"/>
                <w:szCs w:val="20"/>
              </w:rPr>
            </w:pPr>
            <w:r w:rsidRPr="00846B07">
              <w:rPr>
                <w:sz w:val="20"/>
                <w:szCs w:val="20"/>
              </w:rPr>
              <w:t>23.9</w:t>
            </w:r>
          </w:p>
        </w:tc>
      </w:tr>
      <w:tr w:rsidR="00846B07" w:rsidRPr="00832CEA" w14:paraId="27F7A0F3" w14:textId="5999FD2D" w:rsidTr="00977D85">
        <w:trPr>
          <w:trHeight w:val="246"/>
        </w:trPr>
        <w:tc>
          <w:tcPr>
            <w:tcW w:w="3545" w:type="dxa"/>
            <w:tcBorders>
              <w:top w:val="nil"/>
              <w:left w:val="single" w:sz="12" w:space="0" w:color="auto"/>
              <w:right w:val="single" w:sz="12" w:space="0" w:color="auto"/>
            </w:tcBorders>
            <w:shd w:val="clear" w:color="auto" w:fill="auto"/>
            <w:noWrap/>
            <w:vAlign w:val="bottom"/>
            <w:hideMark/>
          </w:tcPr>
          <w:p w14:paraId="2876BAF8" w14:textId="05817F27" w:rsidR="00846B07" w:rsidRPr="005410AD" w:rsidRDefault="00846B07" w:rsidP="00846B07">
            <w:pPr>
              <w:rPr>
                <w:sz w:val="20"/>
                <w:szCs w:val="20"/>
                <w:lang w:eastAsia="en-GB"/>
              </w:rPr>
            </w:pPr>
            <w:r w:rsidRPr="005410AD">
              <w:rPr>
                <w:sz w:val="20"/>
                <w:szCs w:val="20"/>
                <w:lang w:eastAsia="en-GB"/>
              </w:rPr>
              <w:t xml:space="preserve">Less: External Borrowing </w:t>
            </w:r>
            <w:r w:rsidRPr="005410AD">
              <w:rPr>
                <w:b/>
                <w:sz w:val="20"/>
                <w:szCs w:val="20"/>
                <w:lang w:eastAsia="en-GB"/>
              </w:rPr>
              <w:t>¹</w:t>
            </w:r>
          </w:p>
        </w:tc>
        <w:tc>
          <w:tcPr>
            <w:tcW w:w="963" w:type="dxa"/>
            <w:tcBorders>
              <w:top w:val="nil"/>
              <w:left w:val="single" w:sz="12" w:space="0" w:color="auto"/>
              <w:right w:val="single" w:sz="12" w:space="0" w:color="auto"/>
            </w:tcBorders>
            <w:shd w:val="clear" w:color="auto" w:fill="auto"/>
            <w:hideMark/>
          </w:tcPr>
          <w:p w14:paraId="6DEF80BA" w14:textId="34A6CF08" w:rsidR="00846B07" w:rsidRPr="005410AD" w:rsidRDefault="00846B07" w:rsidP="00846B07">
            <w:pPr>
              <w:jc w:val="right"/>
              <w:rPr>
                <w:color w:val="000000"/>
                <w:sz w:val="20"/>
                <w:szCs w:val="20"/>
                <w:lang w:eastAsia="en-GB"/>
              </w:rPr>
            </w:pPr>
            <w:r w:rsidRPr="005410AD">
              <w:rPr>
                <w:sz w:val="20"/>
                <w:szCs w:val="20"/>
              </w:rPr>
              <w:t>(23.5)</w:t>
            </w:r>
          </w:p>
        </w:tc>
        <w:tc>
          <w:tcPr>
            <w:tcW w:w="1050" w:type="dxa"/>
            <w:tcBorders>
              <w:top w:val="nil"/>
              <w:left w:val="single" w:sz="12" w:space="0" w:color="auto"/>
              <w:right w:val="single" w:sz="12" w:space="0" w:color="auto"/>
            </w:tcBorders>
            <w:shd w:val="clear" w:color="auto" w:fill="auto"/>
            <w:hideMark/>
          </w:tcPr>
          <w:p w14:paraId="182A4819" w14:textId="6F83E223" w:rsidR="00846B07" w:rsidRPr="00846B07" w:rsidRDefault="00846B07" w:rsidP="00846B07">
            <w:pPr>
              <w:jc w:val="right"/>
              <w:rPr>
                <w:sz w:val="20"/>
                <w:szCs w:val="20"/>
              </w:rPr>
            </w:pPr>
            <w:r w:rsidRPr="00846B07">
              <w:rPr>
                <w:sz w:val="20"/>
                <w:szCs w:val="20"/>
              </w:rPr>
              <w:t>(23.5)</w:t>
            </w:r>
          </w:p>
        </w:tc>
        <w:tc>
          <w:tcPr>
            <w:tcW w:w="1052" w:type="dxa"/>
            <w:tcBorders>
              <w:top w:val="nil"/>
              <w:left w:val="single" w:sz="12" w:space="0" w:color="auto"/>
              <w:right w:val="single" w:sz="12" w:space="0" w:color="auto"/>
            </w:tcBorders>
            <w:shd w:val="clear" w:color="auto" w:fill="auto"/>
            <w:hideMark/>
          </w:tcPr>
          <w:p w14:paraId="291CA98C" w14:textId="2F348F16" w:rsidR="00846B07" w:rsidRPr="00846B07" w:rsidRDefault="00846B07" w:rsidP="00846B07">
            <w:pPr>
              <w:jc w:val="right"/>
              <w:rPr>
                <w:sz w:val="20"/>
                <w:szCs w:val="20"/>
              </w:rPr>
            </w:pPr>
            <w:r w:rsidRPr="00846B07">
              <w:rPr>
                <w:sz w:val="20"/>
                <w:szCs w:val="20"/>
              </w:rPr>
              <w:t>(22.5)</w:t>
            </w:r>
          </w:p>
        </w:tc>
        <w:tc>
          <w:tcPr>
            <w:tcW w:w="1055" w:type="dxa"/>
            <w:tcBorders>
              <w:top w:val="nil"/>
              <w:left w:val="single" w:sz="12" w:space="0" w:color="auto"/>
              <w:right w:val="single" w:sz="12" w:space="0" w:color="auto"/>
            </w:tcBorders>
            <w:shd w:val="clear" w:color="auto" w:fill="auto"/>
            <w:hideMark/>
          </w:tcPr>
          <w:p w14:paraId="4BA117C1" w14:textId="630F242E" w:rsidR="00846B07" w:rsidRPr="00846B07" w:rsidRDefault="00846B07" w:rsidP="00846B07">
            <w:pPr>
              <w:jc w:val="right"/>
              <w:rPr>
                <w:sz w:val="20"/>
                <w:szCs w:val="20"/>
              </w:rPr>
            </w:pPr>
            <w:r w:rsidRPr="00846B07">
              <w:rPr>
                <w:sz w:val="20"/>
                <w:szCs w:val="20"/>
              </w:rPr>
              <w:t>(21.5)</w:t>
            </w:r>
          </w:p>
        </w:tc>
        <w:tc>
          <w:tcPr>
            <w:tcW w:w="1055" w:type="dxa"/>
            <w:tcBorders>
              <w:top w:val="nil"/>
              <w:left w:val="single" w:sz="12" w:space="0" w:color="auto"/>
              <w:right w:val="single" w:sz="12" w:space="0" w:color="auto"/>
            </w:tcBorders>
            <w:shd w:val="clear" w:color="auto" w:fill="auto"/>
            <w:hideMark/>
          </w:tcPr>
          <w:p w14:paraId="7E193448" w14:textId="332C780A" w:rsidR="00846B07" w:rsidRPr="00846B07" w:rsidRDefault="00846B07" w:rsidP="00846B07">
            <w:pPr>
              <w:jc w:val="right"/>
              <w:rPr>
                <w:sz w:val="20"/>
                <w:szCs w:val="20"/>
              </w:rPr>
            </w:pPr>
            <w:r w:rsidRPr="00846B07">
              <w:rPr>
                <w:sz w:val="20"/>
                <w:szCs w:val="20"/>
              </w:rPr>
              <w:t>(21.5)</w:t>
            </w:r>
          </w:p>
        </w:tc>
        <w:tc>
          <w:tcPr>
            <w:tcW w:w="1050" w:type="dxa"/>
            <w:tcBorders>
              <w:top w:val="nil"/>
              <w:left w:val="single" w:sz="12" w:space="0" w:color="auto"/>
              <w:right w:val="single" w:sz="12" w:space="0" w:color="auto"/>
            </w:tcBorders>
            <w:shd w:val="clear" w:color="auto" w:fill="auto"/>
          </w:tcPr>
          <w:p w14:paraId="496BCE8A" w14:textId="1772CA25" w:rsidR="00846B07" w:rsidRPr="00846B07" w:rsidRDefault="00846B07" w:rsidP="00846B07">
            <w:pPr>
              <w:jc w:val="right"/>
              <w:rPr>
                <w:sz w:val="20"/>
                <w:szCs w:val="20"/>
              </w:rPr>
            </w:pPr>
            <w:r w:rsidRPr="00846B07">
              <w:rPr>
                <w:sz w:val="20"/>
                <w:szCs w:val="20"/>
              </w:rPr>
              <w:t>(21.5)</w:t>
            </w:r>
          </w:p>
        </w:tc>
        <w:tc>
          <w:tcPr>
            <w:tcW w:w="1050" w:type="dxa"/>
            <w:tcBorders>
              <w:top w:val="nil"/>
              <w:left w:val="single" w:sz="12" w:space="0" w:color="auto"/>
              <w:right w:val="single" w:sz="12" w:space="0" w:color="auto"/>
            </w:tcBorders>
            <w:shd w:val="clear" w:color="auto" w:fill="auto"/>
          </w:tcPr>
          <w:p w14:paraId="311651ED" w14:textId="06FBE9E1" w:rsidR="00846B07" w:rsidRPr="00846B07" w:rsidRDefault="00846B07" w:rsidP="00846B07">
            <w:pPr>
              <w:jc w:val="right"/>
              <w:rPr>
                <w:sz w:val="20"/>
                <w:szCs w:val="20"/>
              </w:rPr>
            </w:pPr>
            <w:r w:rsidRPr="00846B07">
              <w:rPr>
                <w:sz w:val="20"/>
                <w:szCs w:val="20"/>
              </w:rPr>
              <w:t>(16.5)</w:t>
            </w:r>
          </w:p>
        </w:tc>
        <w:tc>
          <w:tcPr>
            <w:tcW w:w="1055" w:type="dxa"/>
            <w:tcBorders>
              <w:top w:val="nil"/>
              <w:left w:val="single" w:sz="12" w:space="0" w:color="auto"/>
              <w:right w:val="single" w:sz="12" w:space="0" w:color="auto"/>
            </w:tcBorders>
            <w:shd w:val="clear" w:color="auto" w:fill="auto"/>
          </w:tcPr>
          <w:p w14:paraId="07D0DFEA" w14:textId="2D35790F" w:rsidR="00846B07" w:rsidRPr="00846B07" w:rsidRDefault="00846B07" w:rsidP="00846B07">
            <w:pPr>
              <w:jc w:val="right"/>
              <w:rPr>
                <w:sz w:val="20"/>
                <w:szCs w:val="20"/>
              </w:rPr>
            </w:pPr>
            <w:r w:rsidRPr="00846B07">
              <w:rPr>
                <w:sz w:val="20"/>
                <w:szCs w:val="20"/>
              </w:rPr>
              <w:t>(11.5)</w:t>
            </w:r>
          </w:p>
        </w:tc>
        <w:tc>
          <w:tcPr>
            <w:tcW w:w="1050" w:type="dxa"/>
            <w:tcBorders>
              <w:top w:val="nil"/>
              <w:left w:val="single" w:sz="12" w:space="0" w:color="auto"/>
              <w:right w:val="single" w:sz="12" w:space="0" w:color="auto"/>
            </w:tcBorders>
            <w:shd w:val="clear" w:color="auto" w:fill="auto"/>
          </w:tcPr>
          <w:p w14:paraId="205411E6" w14:textId="6AC97F03" w:rsidR="00846B07" w:rsidRPr="00846B07" w:rsidRDefault="00846B07" w:rsidP="00846B07">
            <w:pPr>
              <w:jc w:val="right"/>
              <w:rPr>
                <w:sz w:val="20"/>
                <w:szCs w:val="20"/>
              </w:rPr>
            </w:pPr>
            <w:r w:rsidRPr="00846B07">
              <w:rPr>
                <w:sz w:val="20"/>
                <w:szCs w:val="20"/>
              </w:rPr>
              <w:t>(6.5)</w:t>
            </w:r>
          </w:p>
        </w:tc>
        <w:tc>
          <w:tcPr>
            <w:tcW w:w="1050" w:type="dxa"/>
            <w:tcBorders>
              <w:top w:val="nil"/>
              <w:left w:val="single" w:sz="12" w:space="0" w:color="auto"/>
              <w:right w:val="single" w:sz="12" w:space="0" w:color="auto"/>
            </w:tcBorders>
            <w:shd w:val="clear" w:color="auto" w:fill="auto"/>
          </w:tcPr>
          <w:p w14:paraId="5899C41F" w14:textId="49BF9019" w:rsidR="00846B07" w:rsidRPr="00846B07" w:rsidRDefault="00846B07" w:rsidP="00846B07">
            <w:pPr>
              <w:jc w:val="right"/>
              <w:rPr>
                <w:sz w:val="20"/>
                <w:szCs w:val="20"/>
              </w:rPr>
            </w:pPr>
            <w:r w:rsidRPr="00846B07">
              <w:rPr>
                <w:sz w:val="20"/>
                <w:szCs w:val="20"/>
              </w:rPr>
              <w:t>(6.5)</w:t>
            </w:r>
          </w:p>
        </w:tc>
        <w:tc>
          <w:tcPr>
            <w:tcW w:w="1050" w:type="dxa"/>
            <w:tcBorders>
              <w:top w:val="nil"/>
              <w:left w:val="single" w:sz="12" w:space="0" w:color="auto"/>
              <w:right w:val="single" w:sz="12" w:space="0" w:color="auto"/>
            </w:tcBorders>
            <w:shd w:val="clear" w:color="auto" w:fill="auto"/>
          </w:tcPr>
          <w:p w14:paraId="03927B32" w14:textId="2A0CA817" w:rsidR="00846B07" w:rsidRPr="00846B07" w:rsidRDefault="00846B07" w:rsidP="00846B07">
            <w:pPr>
              <w:jc w:val="right"/>
              <w:rPr>
                <w:sz w:val="20"/>
                <w:szCs w:val="20"/>
              </w:rPr>
            </w:pPr>
            <w:r w:rsidRPr="00846B07">
              <w:rPr>
                <w:sz w:val="20"/>
                <w:szCs w:val="20"/>
              </w:rPr>
              <w:t>(4.5)</w:t>
            </w:r>
          </w:p>
        </w:tc>
      </w:tr>
      <w:tr w:rsidR="00846B07" w:rsidRPr="00832CEA" w14:paraId="39B5A33C" w14:textId="77777777" w:rsidTr="00977D85">
        <w:trPr>
          <w:trHeight w:val="246"/>
        </w:trPr>
        <w:tc>
          <w:tcPr>
            <w:tcW w:w="3545" w:type="dxa"/>
            <w:tcBorders>
              <w:left w:val="single" w:sz="12" w:space="0" w:color="auto"/>
              <w:bottom w:val="single" w:sz="12" w:space="0" w:color="auto"/>
              <w:right w:val="single" w:sz="12" w:space="0" w:color="auto"/>
            </w:tcBorders>
            <w:shd w:val="clear" w:color="auto" w:fill="auto"/>
            <w:vAlign w:val="center"/>
          </w:tcPr>
          <w:p w14:paraId="02D6F17D" w14:textId="238F017E" w:rsidR="00846B07" w:rsidRPr="005410AD" w:rsidRDefault="00846B07" w:rsidP="00846B07">
            <w:pPr>
              <w:rPr>
                <w:color w:val="000000"/>
                <w:sz w:val="20"/>
                <w:szCs w:val="20"/>
                <w:lang w:eastAsia="en-GB"/>
              </w:rPr>
            </w:pPr>
            <w:r w:rsidRPr="005410AD">
              <w:rPr>
                <w:color w:val="000000"/>
                <w:sz w:val="20"/>
                <w:szCs w:val="20"/>
                <w:lang w:eastAsia="en-GB"/>
              </w:rPr>
              <w:t xml:space="preserve">Less: Assumed Borrowing </w:t>
            </w:r>
            <w:r w:rsidRPr="005410AD">
              <w:rPr>
                <w:b/>
                <w:sz w:val="20"/>
                <w:szCs w:val="20"/>
                <w:lang w:eastAsia="en-GB"/>
              </w:rPr>
              <w:t>²</w:t>
            </w:r>
          </w:p>
        </w:tc>
        <w:tc>
          <w:tcPr>
            <w:tcW w:w="963" w:type="dxa"/>
            <w:tcBorders>
              <w:left w:val="single" w:sz="12" w:space="0" w:color="auto"/>
              <w:bottom w:val="single" w:sz="12" w:space="0" w:color="auto"/>
              <w:right w:val="single" w:sz="12" w:space="0" w:color="auto"/>
            </w:tcBorders>
            <w:shd w:val="clear" w:color="auto" w:fill="auto"/>
          </w:tcPr>
          <w:p w14:paraId="0AFB0003" w14:textId="535A7211" w:rsidR="00846B07" w:rsidRPr="005410AD" w:rsidRDefault="00846B07" w:rsidP="00846B07">
            <w:pPr>
              <w:jc w:val="right"/>
              <w:rPr>
                <w:sz w:val="20"/>
                <w:szCs w:val="20"/>
              </w:rPr>
            </w:pPr>
            <w:r w:rsidRPr="005410AD">
              <w:rPr>
                <w:sz w:val="20"/>
                <w:szCs w:val="20"/>
              </w:rPr>
              <w:t>0.0</w:t>
            </w:r>
          </w:p>
        </w:tc>
        <w:tc>
          <w:tcPr>
            <w:tcW w:w="1050" w:type="dxa"/>
            <w:tcBorders>
              <w:left w:val="single" w:sz="12" w:space="0" w:color="auto"/>
              <w:bottom w:val="single" w:sz="12" w:space="0" w:color="auto"/>
              <w:right w:val="single" w:sz="12" w:space="0" w:color="auto"/>
            </w:tcBorders>
            <w:shd w:val="clear" w:color="auto" w:fill="auto"/>
          </w:tcPr>
          <w:p w14:paraId="5A3C1E06" w14:textId="0E5CBE0E" w:rsidR="00846B07" w:rsidRPr="005410AD" w:rsidRDefault="00846B07" w:rsidP="00846B07">
            <w:pPr>
              <w:jc w:val="right"/>
              <w:rPr>
                <w:sz w:val="20"/>
                <w:szCs w:val="20"/>
              </w:rPr>
            </w:pPr>
            <w:r w:rsidRPr="00846B07">
              <w:rPr>
                <w:sz w:val="20"/>
                <w:szCs w:val="20"/>
              </w:rPr>
              <w:t>0.0</w:t>
            </w:r>
          </w:p>
        </w:tc>
        <w:tc>
          <w:tcPr>
            <w:tcW w:w="1052" w:type="dxa"/>
            <w:tcBorders>
              <w:left w:val="single" w:sz="12" w:space="0" w:color="auto"/>
              <w:bottom w:val="single" w:sz="12" w:space="0" w:color="auto"/>
              <w:right w:val="single" w:sz="12" w:space="0" w:color="auto"/>
            </w:tcBorders>
            <w:shd w:val="clear" w:color="auto" w:fill="auto"/>
          </w:tcPr>
          <w:p w14:paraId="4F58C015" w14:textId="259C308F" w:rsidR="00846B07" w:rsidRPr="005410AD" w:rsidRDefault="00846B07" w:rsidP="00846B07">
            <w:pPr>
              <w:jc w:val="right"/>
              <w:rPr>
                <w:sz w:val="20"/>
                <w:szCs w:val="20"/>
              </w:rPr>
            </w:pPr>
            <w:r w:rsidRPr="00846B07">
              <w:rPr>
                <w:sz w:val="20"/>
                <w:szCs w:val="20"/>
              </w:rPr>
              <w:t>0.0</w:t>
            </w:r>
          </w:p>
        </w:tc>
        <w:tc>
          <w:tcPr>
            <w:tcW w:w="1055" w:type="dxa"/>
            <w:tcBorders>
              <w:left w:val="single" w:sz="12" w:space="0" w:color="auto"/>
              <w:bottom w:val="single" w:sz="12" w:space="0" w:color="auto"/>
              <w:right w:val="single" w:sz="12" w:space="0" w:color="auto"/>
            </w:tcBorders>
            <w:shd w:val="clear" w:color="auto" w:fill="auto"/>
          </w:tcPr>
          <w:p w14:paraId="1ACDD679" w14:textId="3390F9B0" w:rsidR="00846B07" w:rsidRPr="005410AD" w:rsidRDefault="00846B07" w:rsidP="00846B07">
            <w:pPr>
              <w:jc w:val="right"/>
              <w:rPr>
                <w:sz w:val="20"/>
                <w:szCs w:val="20"/>
              </w:rPr>
            </w:pPr>
            <w:r w:rsidRPr="00846B07">
              <w:rPr>
                <w:sz w:val="20"/>
                <w:szCs w:val="20"/>
              </w:rPr>
              <w:t>(0.2)</w:t>
            </w:r>
          </w:p>
        </w:tc>
        <w:tc>
          <w:tcPr>
            <w:tcW w:w="1055" w:type="dxa"/>
            <w:tcBorders>
              <w:left w:val="single" w:sz="12" w:space="0" w:color="auto"/>
              <w:bottom w:val="single" w:sz="12" w:space="0" w:color="auto"/>
              <w:right w:val="single" w:sz="12" w:space="0" w:color="auto"/>
            </w:tcBorders>
            <w:shd w:val="clear" w:color="auto" w:fill="auto"/>
          </w:tcPr>
          <w:p w14:paraId="65A9A890" w14:textId="12AC0675" w:rsidR="00846B07" w:rsidRPr="005410AD" w:rsidRDefault="00846B07" w:rsidP="00846B07">
            <w:pPr>
              <w:jc w:val="right"/>
              <w:rPr>
                <w:sz w:val="20"/>
                <w:szCs w:val="20"/>
              </w:rPr>
            </w:pPr>
            <w:r w:rsidRPr="00846B07">
              <w:rPr>
                <w:sz w:val="20"/>
                <w:szCs w:val="20"/>
              </w:rPr>
              <w:t>(1.6)</w:t>
            </w:r>
          </w:p>
        </w:tc>
        <w:tc>
          <w:tcPr>
            <w:tcW w:w="1050" w:type="dxa"/>
            <w:tcBorders>
              <w:left w:val="single" w:sz="12" w:space="0" w:color="auto"/>
              <w:bottom w:val="single" w:sz="12" w:space="0" w:color="auto"/>
              <w:right w:val="single" w:sz="12" w:space="0" w:color="auto"/>
            </w:tcBorders>
            <w:shd w:val="clear" w:color="auto" w:fill="auto"/>
          </w:tcPr>
          <w:p w14:paraId="38B47687" w14:textId="151857BD" w:rsidR="00846B07" w:rsidRPr="005410AD" w:rsidRDefault="00846B07" w:rsidP="00846B07">
            <w:pPr>
              <w:jc w:val="right"/>
              <w:rPr>
                <w:sz w:val="20"/>
                <w:szCs w:val="20"/>
              </w:rPr>
            </w:pPr>
            <w:r w:rsidRPr="00846B07">
              <w:rPr>
                <w:sz w:val="20"/>
                <w:szCs w:val="20"/>
              </w:rPr>
              <w:t>(8.2)</w:t>
            </w:r>
          </w:p>
        </w:tc>
        <w:tc>
          <w:tcPr>
            <w:tcW w:w="1050" w:type="dxa"/>
            <w:tcBorders>
              <w:left w:val="single" w:sz="12" w:space="0" w:color="auto"/>
              <w:bottom w:val="single" w:sz="12" w:space="0" w:color="auto"/>
              <w:right w:val="single" w:sz="12" w:space="0" w:color="auto"/>
            </w:tcBorders>
            <w:shd w:val="clear" w:color="auto" w:fill="auto"/>
          </w:tcPr>
          <w:p w14:paraId="7E33E731" w14:textId="026AFF6C" w:rsidR="00846B07" w:rsidRPr="005410AD" w:rsidRDefault="00846B07" w:rsidP="00846B07">
            <w:pPr>
              <w:jc w:val="right"/>
              <w:rPr>
                <w:sz w:val="20"/>
                <w:szCs w:val="20"/>
              </w:rPr>
            </w:pPr>
            <w:r w:rsidRPr="00846B07">
              <w:rPr>
                <w:sz w:val="20"/>
                <w:szCs w:val="20"/>
              </w:rPr>
              <w:t>(5.1)</w:t>
            </w:r>
          </w:p>
        </w:tc>
        <w:tc>
          <w:tcPr>
            <w:tcW w:w="1055" w:type="dxa"/>
            <w:tcBorders>
              <w:left w:val="single" w:sz="12" w:space="0" w:color="auto"/>
              <w:bottom w:val="single" w:sz="12" w:space="0" w:color="auto"/>
              <w:right w:val="single" w:sz="12" w:space="0" w:color="auto"/>
            </w:tcBorders>
            <w:shd w:val="clear" w:color="auto" w:fill="auto"/>
          </w:tcPr>
          <w:p w14:paraId="28392DF3" w14:textId="65B08F2F" w:rsidR="00846B07" w:rsidRPr="005410AD" w:rsidRDefault="00846B07" w:rsidP="00846B07">
            <w:pPr>
              <w:jc w:val="right"/>
              <w:rPr>
                <w:sz w:val="20"/>
                <w:szCs w:val="20"/>
              </w:rPr>
            </w:pPr>
            <w:r w:rsidRPr="00846B07">
              <w:rPr>
                <w:sz w:val="20"/>
                <w:szCs w:val="20"/>
              </w:rPr>
              <w:t>(5.1)</w:t>
            </w:r>
          </w:p>
        </w:tc>
        <w:tc>
          <w:tcPr>
            <w:tcW w:w="1050" w:type="dxa"/>
            <w:tcBorders>
              <w:left w:val="single" w:sz="12" w:space="0" w:color="auto"/>
              <w:bottom w:val="single" w:sz="12" w:space="0" w:color="auto"/>
              <w:right w:val="single" w:sz="12" w:space="0" w:color="auto"/>
            </w:tcBorders>
            <w:shd w:val="clear" w:color="auto" w:fill="auto"/>
          </w:tcPr>
          <w:p w14:paraId="34A49387" w14:textId="49498899" w:rsidR="00846B07" w:rsidRPr="005410AD" w:rsidRDefault="00846B07" w:rsidP="00846B07">
            <w:pPr>
              <w:jc w:val="right"/>
              <w:rPr>
                <w:sz w:val="20"/>
                <w:szCs w:val="20"/>
              </w:rPr>
            </w:pPr>
            <w:r w:rsidRPr="00846B07">
              <w:rPr>
                <w:sz w:val="20"/>
                <w:szCs w:val="20"/>
              </w:rPr>
              <w:t>(5.1)</w:t>
            </w:r>
          </w:p>
        </w:tc>
        <w:tc>
          <w:tcPr>
            <w:tcW w:w="1050" w:type="dxa"/>
            <w:tcBorders>
              <w:left w:val="single" w:sz="12" w:space="0" w:color="auto"/>
              <w:bottom w:val="single" w:sz="12" w:space="0" w:color="auto"/>
              <w:right w:val="single" w:sz="12" w:space="0" w:color="auto"/>
            </w:tcBorders>
            <w:shd w:val="clear" w:color="auto" w:fill="auto"/>
          </w:tcPr>
          <w:p w14:paraId="28BC6A20" w14:textId="158A5439" w:rsidR="00846B07" w:rsidRPr="005410AD" w:rsidRDefault="00846B07" w:rsidP="00846B07">
            <w:pPr>
              <w:jc w:val="right"/>
              <w:rPr>
                <w:sz w:val="20"/>
                <w:szCs w:val="20"/>
              </w:rPr>
            </w:pPr>
            <w:r w:rsidRPr="00846B07">
              <w:rPr>
                <w:sz w:val="20"/>
                <w:szCs w:val="20"/>
              </w:rPr>
              <w:t>(5.1)</w:t>
            </w:r>
          </w:p>
        </w:tc>
        <w:tc>
          <w:tcPr>
            <w:tcW w:w="1050" w:type="dxa"/>
            <w:tcBorders>
              <w:left w:val="single" w:sz="12" w:space="0" w:color="auto"/>
              <w:bottom w:val="single" w:sz="12" w:space="0" w:color="auto"/>
              <w:right w:val="single" w:sz="12" w:space="0" w:color="auto"/>
            </w:tcBorders>
            <w:shd w:val="clear" w:color="auto" w:fill="auto"/>
          </w:tcPr>
          <w:p w14:paraId="5F401D6C" w14:textId="52794A63" w:rsidR="00846B07" w:rsidRPr="005410AD" w:rsidRDefault="00846B07" w:rsidP="00846B07">
            <w:pPr>
              <w:jc w:val="right"/>
              <w:rPr>
                <w:sz w:val="20"/>
                <w:szCs w:val="20"/>
              </w:rPr>
            </w:pPr>
            <w:r w:rsidRPr="00846B07">
              <w:rPr>
                <w:sz w:val="20"/>
                <w:szCs w:val="20"/>
              </w:rPr>
              <w:t>(5.1)</w:t>
            </w:r>
          </w:p>
        </w:tc>
      </w:tr>
      <w:tr w:rsidR="00846B07" w:rsidRPr="00832CEA" w14:paraId="7E19F5B7" w14:textId="0FAE3152" w:rsidTr="00977D85">
        <w:trPr>
          <w:trHeight w:val="246"/>
        </w:trPr>
        <w:tc>
          <w:tcPr>
            <w:tcW w:w="354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1E6483E" w14:textId="2472C44E" w:rsidR="00846B07" w:rsidRPr="005410AD" w:rsidRDefault="00846B07" w:rsidP="00846B07">
            <w:pPr>
              <w:rPr>
                <w:b/>
                <w:bCs/>
                <w:color w:val="000000"/>
                <w:sz w:val="20"/>
                <w:szCs w:val="20"/>
                <w:lang w:eastAsia="en-GB"/>
              </w:rPr>
            </w:pPr>
            <w:r w:rsidRPr="005410AD">
              <w:rPr>
                <w:b/>
                <w:bCs/>
                <w:color w:val="000000"/>
                <w:sz w:val="20"/>
                <w:szCs w:val="20"/>
                <w:lang w:eastAsia="en-GB"/>
              </w:rPr>
              <w:t xml:space="preserve">Internal financing </w:t>
            </w:r>
            <w:r w:rsidRPr="005410AD">
              <w:rPr>
                <w:b/>
                <w:sz w:val="20"/>
                <w:szCs w:val="20"/>
                <w:lang w:eastAsia="en-GB"/>
              </w:rPr>
              <w:t>³</w:t>
            </w:r>
          </w:p>
        </w:tc>
        <w:tc>
          <w:tcPr>
            <w:tcW w:w="963" w:type="dxa"/>
            <w:tcBorders>
              <w:top w:val="single" w:sz="12" w:space="0" w:color="auto"/>
              <w:left w:val="single" w:sz="12" w:space="0" w:color="auto"/>
              <w:bottom w:val="single" w:sz="12" w:space="0" w:color="auto"/>
              <w:right w:val="single" w:sz="12" w:space="0" w:color="auto"/>
            </w:tcBorders>
            <w:shd w:val="clear" w:color="auto" w:fill="auto"/>
            <w:hideMark/>
          </w:tcPr>
          <w:p w14:paraId="5A6E54AE" w14:textId="11968721" w:rsidR="00846B07" w:rsidRPr="00303304" w:rsidRDefault="00846B07" w:rsidP="00846B07">
            <w:pPr>
              <w:jc w:val="right"/>
              <w:rPr>
                <w:b/>
                <w:bCs/>
                <w:color w:val="000000"/>
                <w:sz w:val="20"/>
                <w:szCs w:val="20"/>
                <w:lang w:eastAsia="en-GB"/>
              </w:rPr>
            </w:pPr>
            <w:r>
              <w:rPr>
                <w:b/>
                <w:bCs/>
                <w:color w:val="000000"/>
                <w:sz w:val="20"/>
                <w:szCs w:val="20"/>
                <w:lang w:eastAsia="en-GB"/>
              </w:rPr>
              <w:t>8.6</w:t>
            </w:r>
          </w:p>
        </w:tc>
        <w:tc>
          <w:tcPr>
            <w:tcW w:w="1050" w:type="dxa"/>
            <w:tcBorders>
              <w:top w:val="single" w:sz="12" w:space="0" w:color="auto"/>
              <w:left w:val="single" w:sz="12" w:space="0" w:color="auto"/>
              <w:bottom w:val="single" w:sz="12" w:space="0" w:color="auto"/>
              <w:right w:val="single" w:sz="12" w:space="0" w:color="auto"/>
            </w:tcBorders>
            <w:shd w:val="clear" w:color="auto" w:fill="auto"/>
            <w:hideMark/>
          </w:tcPr>
          <w:p w14:paraId="55B36F1A" w14:textId="13E613F1" w:rsidR="00846B07" w:rsidRPr="00846B07" w:rsidRDefault="00846B07" w:rsidP="00846B07">
            <w:pPr>
              <w:jc w:val="right"/>
              <w:rPr>
                <w:b/>
                <w:bCs/>
                <w:sz w:val="20"/>
                <w:szCs w:val="20"/>
              </w:rPr>
            </w:pPr>
            <w:r w:rsidRPr="00846B07">
              <w:rPr>
                <w:b/>
                <w:bCs/>
                <w:sz w:val="20"/>
                <w:szCs w:val="20"/>
              </w:rPr>
              <w:t>5.6</w:t>
            </w:r>
          </w:p>
        </w:tc>
        <w:tc>
          <w:tcPr>
            <w:tcW w:w="1052" w:type="dxa"/>
            <w:tcBorders>
              <w:top w:val="single" w:sz="12" w:space="0" w:color="auto"/>
              <w:left w:val="single" w:sz="12" w:space="0" w:color="auto"/>
              <w:bottom w:val="single" w:sz="12" w:space="0" w:color="auto"/>
              <w:right w:val="single" w:sz="12" w:space="0" w:color="auto"/>
            </w:tcBorders>
            <w:shd w:val="clear" w:color="auto" w:fill="auto"/>
            <w:hideMark/>
          </w:tcPr>
          <w:p w14:paraId="5FBA14C1" w14:textId="63B533A0" w:rsidR="00846B07" w:rsidRPr="00846B07" w:rsidRDefault="00846B07" w:rsidP="00846B07">
            <w:pPr>
              <w:jc w:val="right"/>
              <w:rPr>
                <w:b/>
                <w:bCs/>
                <w:sz w:val="20"/>
                <w:szCs w:val="20"/>
              </w:rPr>
            </w:pPr>
            <w:r w:rsidRPr="00846B07">
              <w:rPr>
                <w:b/>
                <w:bCs/>
                <w:sz w:val="20"/>
                <w:szCs w:val="20"/>
              </w:rPr>
              <w:t>9.4</w:t>
            </w:r>
          </w:p>
        </w:tc>
        <w:tc>
          <w:tcPr>
            <w:tcW w:w="1055" w:type="dxa"/>
            <w:tcBorders>
              <w:top w:val="single" w:sz="12" w:space="0" w:color="auto"/>
              <w:left w:val="single" w:sz="12" w:space="0" w:color="auto"/>
              <w:bottom w:val="single" w:sz="12" w:space="0" w:color="auto"/>
              <w:right w:val="single" w:sz="12" w:space="0" w:color="auto"/>
            </w:tcBorders>
            <w:shd w:val="clear" w:color="auto" w:fill="auto"/>
            <w:hideMark/>
          </w:tcPr>
          <w:p w14:paraId="00BB27EE" w14:textId="10AA4F89" w:rsidR="00846B07" w:rsidRPr="00846B07" w:rsidRDefault="00846B07" w:rsidP="00846B07">
            <w:pPr>
              <w:jc w:val="right"/>
              <w:rPr>
                <w:b/>
                <w:bCs/>
                <w:sz w:val="20"/>
                <w:szCs w:val="20"/>
              </w:rPr>
            </w:pPr>
            <w:r w:rsidRPr="00846B07">
              <w:rPr>
                <w:b/>
                <w:bCs/>
                <w:sz w:val="20"/>
                <w:szCs w:val="20"/>
              </w:rPr>
              <w:t>11.3</w:t>
            </w:r>
          </w:p>
        </w:tc>
        <w:tc>
          <w:tcPr>
            <w:tcW w:w="1055" w:type="dxa"/>
            <w:tcBorders>
              <w:top w:val="single" w:sz="12" w:space="0" w:color="auto"/>
              <w:left w:val="single" w:sz="12" w:space="0" w:color="auto"/>
              <w:bottom w:val="single" w:sz="12" w:space="0" w:color="auto"/>
              <w:right w:val="single" w:sz="12" w:space="0" w:color="auto"/>
            </w:tcBorders>
            <w:shd w:val="clear" w:color="auto" w:fill="auto"/>
            <w:hideMark/>
          </w:tcPr>
          <w:p w14:paraId="26F77395" w14:textId="2B4E5205" w:rsidR="00846B07" w:rsidRPr="00846B07" w:rsidRDefault="00846B07" w:rsidP="00846B07">
            <w:pPr>
              <w:jc w:val="right"/>
              <w:rPr>
                <w:b/>
                <w:bCs/>
                <w:sz w:val="20"/>
                <w:szCs w:val="20"/>
              </w:rPr>
            </w:pPr>
            <w:r w:rsidRPr="00846B07">
              <w:rPr>
                <w:b/>
                <w:bCs/>
                <w:sz w:val="20"/>
                <w:szCs w:val="20"/>
              </w:rPr>
              <w:t>21.0</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1EA4FDE4" w14:textId="74B27741" w:rsidR="00846B07" w:rsidRPr="00846B07" w:rsidRDefault="00846B07" w:rsidP="00846B07">
            <w:pPr>
              <w:jc w:val="right"/>
              <w:rPr>
                <w:b/>
                <w:bCs/>
                <w:sz w:val="20"/>
                <w:szCs w:val="20"/>
              </w:rPr>
            </w:pPr>
            <w:r w:rsidRPr="00846B07">
              <w:rPr>
                <w:b/>
                <w:bCs/>
                <w:sz w:val="20"/>
                <w:szCs w:val="20"/>
              </w:rPr>
              <w:t>14.3</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5E0578B8" w14:textId="79556B43" w:rsidR="00846B07" w:rsidRPr="00846B07" w:rsidRDefault="00846B07" w:rsidP="00846B07">
            <w:pPr>
              <w:jc w:val="right"/>
              <w:rPr>
                <w:b/>
                <w:bCs/>
                <w:sz w:val="20"/>
                <w:szCs w:val="20"/>
              </w:rPr>
            </w:pPr>
            <w:r w:rsidRPr="00846B07">
              <w:rPr>
                <w:b/>
                <w:bCs/>
                <w:sz w:val="20"/>
                <w:szCs w:val="20"/>
              </w:rPr>
              <w:t>19.2</w:t>
            </w:r>
          </w:p>
        </w:tc>
        <w:tc>
          <w:tcPr>
            <w:tcW w:w="1055" w:type="dxa"/>
            <w:tcBorders>
              <w:top w:val="single" w:sz="12" w:space="0" w:color="auto"/>
              <w:left w:val="single" w:sz="12" w:space="0" w:color="auto"/>
              <w:bottom w:val="single" w:sz="12" w:space="0" w:color="auto"/>
              <w:right w:val="single" w:sz="12" w:space="0" w:color="auto"/>
            </w:tcBorders>
            <w:shd w:val="clear" w:color="auto" w:fill="auto"/>
          </w:tcPr>
          <w:p w14:paraId="05CFDDE4" w14:textId="05575EE8" w:rsidR="00846B07" w:rsidRPr="00846B07" w:rsidRDefault="00846B07" w:rsidP="00846B07">
            <w:pPr>
              <w:jc w:val="right"/>
              <w:rPr>
                <w:b/>
                <w:bCs/>
                <w:sz w:val="20"/>
                <w:szCs w:val="20"/>
              </w:rPr>
            </w:pPr>
            <w:r w:rsidRPr="00846B07">
              <w:rPr>
                <w:b/>
                <w:bCs/>
                <w:sz w:val="20"/>
                <w:szCs w:val="20"/>
              </w:rPr>
              <w:t>21.1</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78FB33D4" w14:textId="582E2E62" w:rsidR="00846B07" w:rsidRPr="00846B07" w:rsidRDefault="00846B07" w:rsidP="00846B07">
            <w:pPr>
              <w:jc w:val="right"/>
              <w:rPr>
                <w:b/>
                <w:bCs/>
                <w:sz w:val="20"/>
                <w:szCs w:val="20"/>
              </w:rPr>
            </w:pPr>
            <w:r w:rsidRPr="00846B07">
              <w:rPr>
                <w:b/>
                <w:bCs/>
                <w:sz w:val="20"/>
                <w:szCs w:val="20"/>
              </w:rPr>
              <w:t>21.0</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6A9D9DC7" w14:textId="34195C47" w:rsidR="00846B07" w:rsidRPr="00846B07" w:rsidRDefault="00846B07" w:rsidP="00846B07">
            <w:pPr>
              <w:jc w:val="right"/>
              <w:rPr>
                <w:b/>
                <w:bCs/>
                <w:sz w:val="20"/>
                <w:szCs w:val="20"/>
              </w:rPr>
            </w:pPr>
            <w:r w:rsidRPr="00846B07">
              <w:rPr>
                <w:b/>
                <w:bCs/>
                <w:sz w:val="20"/>
                <w:szCs w:val="20"/>
              </w:rPr>
              <w:t>16.4</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28A6C95E" w14:textId="355E2E86" w:rsidR="00846B07" w:rsidRPr="00846B07" w:rsidRDefault="00846B07" w:rsidP="00846B07">
            <w:pPr>
              <w:jc w:val="right"/>
              <w:rPr>
                <w:b/>
                <w:bCs/>
                <w:sz w:val="20"/>
                <w:szCs w:val="20"/>
              </w:rPr>
            </w:pPr>
            <w:r w:rsidRPr="00846B07">
              <w:rPr>
                <w:b/>
                <w:bCs/>
                <w:sz w:val="20"/>
                <w:szCs w:val="20"/>
              </w:rPr>
              <w:t>14.3</w:t>
            </w:r>
          </w:p>
        </w:tc>
      </w:tr>
      <w:tr w:rsidR="00846B07" w:rsidRPr="00832CEA" w14:paraId="4F03888C" w14:textId="2DEC8C7F" w:rsidTr="00977D85">
        <w:trPr>
          <w:trHeight w:val="292"/>
        </w:trPr>
        <w:tc>
          <w:tcPr>
            <w:tcW w:w="3545" w:type="dxa"/>
            <w:tcBorders>
              <w:top w:val="single" w:sz="12" w:space="0" w:color="auto"/>
              <w:left w:val="single" w:sz="12" w:space="0" w:color="auto"/>
              <w:bottom w:val="nil"/>
              <w:right w:val="single" w:sz="12" w:space="0" w:color="auto"/>
            </w:tcBorders>
            <w:shd w:val="clear" w:color="auto" w:fill="auto"/>
            <w:noWrap/>
            <w:vAlign w:val="bottom"/>
            <w:hideMark/>
          </w:tcPr>
          <w:p w14:paraId="44F469F9" w14:textId="7353925E" w:rsidR="00846B07" w:rsidRPr="005410AD" w:rsidRDefault="00846B07" w:rsidP="00846B07">
            <w:pPr>
              <w:rPr>
                <w:sz w:val="20"/>
                <w:szCs w:val="20"/>
                <w:lang w:eastAsia="en-GB"/>
              </w:rPr>
            </w:pPr>
            <w:r w:rsidRPr="005410AD">
              <w:rPr>
                <w:sz w:val="20"/>
                <w:szCs w:val="20"/>
                <w:lang w:eastAsia="en-GB"/>
              </w:rPr>
              <w:t xml:space="preserve">Earmarked and General Reserves </w:t>
            </w:r>
            <w:r w:rsidRPr="005410AD">
              <w:rPr>
                <w:b/>
                <w:sz w:val="20"/>
                <w:szCs w:val="20"/>
                <w:lang w:eastAsia="en-GB"/>
              </w:rPr>
              <w:t>⁴</w:t>
            </w:r>
          </w:p>
        </w:tc>
        <w:tc>
          <w:tcPr>
            <w:tcW w:w="963" w:type="dxa"/>
            <w:tcBorders>
              <w:top w:val="single" w:sz="12" w:space="0" w:color="auto"/>
              <w:left w:val="single" w:sz="12" w:space="0" w:color="auto"/>
              <w:bottom w:val="nil"/>
              <w:right w:val="single" w:sz="12" w:space="0" w:color="auto"/>
            </w:tcBorders>
            <w:shd w:val="clear" w:color="auto" w:fill="auto"/>
            <w:hideMark/>
          </w:tcPr>
          <w:p w14:paraId="6F925AAF" w14:textId="4361001E" w:rsidR="00846B07" w:rsidRPr="005410AD" w:rsidRDefault="00846B07" w:rsidP="00846B07">
            <w:pPr>
              <w:jc w:val="right"/>
              <w:rPr>
                <w:color w:val="000000"/>
                <w:sz w:val="20"/>
                <w:szCs w:val="20"/>
                <w:lang w:eastAsia="en-GB"/>
              </w:rPr>
            </w:pPr>
            <w:r w:rsidRPr="005410AD">
              <w:rPr>
                <w:sz w:val="20"/>
                <w:szCs w:val="20"/>
              </w:rPr>
              <w:t>(11.0)</w:t>
            </w:r>
          </w:p>
        </w:tc>
        <w:tc>
          <w:tcPr>
            <w:tcW w:w="1050" w:type="dxa"/>
            <w:tcBorders>
              <w:top w:val="single" w:sz="12" w:space="0" w:color="auto"/>
              <w:left w:val="single" w:sz="12" w:space="0" w:color="auto"/>
              <w:bottom w:val="nil"/>
              <w:right w:val="single" w:sz="12" w:space="0" w:color="auto"/>
            </w:tcBorders>
            <w:shd w:val="clear" w:color="auto" w:fill="auto"/>
            <w:hideMark/>
          </w:tcPr>
          <w:p w14:paraId="5CADD49F" w14:textId="179BB34A" w:rsidR="00846B07" w:rsidRPr="00846B07" w:rsidRDefault="00846B07" w:rsidP="00846B07">
            <w:pPr>
              <w:jc w:val="right"/>
              <w:rPr>
                <w:sz w:val="20"/>
                <w:szCs w:val="20"/>
              </w:rPr>
            </w:pPr>
            <w:r w:rsidRPr="00846B07">
              <w:rPr>
                <w:sz w:val="20"/>
                <w:szCs w:val="20"/>
              </w:rPr>
              <w:t>(8.4)</w:t>
            </w:r>
          </w:p>
        </w:tc>
        <w:tc>
          <w:tcPr>
            <w:tcW w:w="1052" w:type="dxa"/>
            <w:tcBorders>
              <w:top w:val="single" w:sz="12" w:space="0" w:color="auto"/>
              <w:left w:val="single" w:sz="12" w:space="0" w:color="auto"/>
              <w:bottom w:val="nil"/>
              <w:right w:val="single" w:sz="12" w:space="0" w:color="auto"/>
            </w:tcBorders>
            <w:shd w:val="clear" w:color="auto" w:fill="auto"/>
            <w:hideMark/>
          </w:tcPr>
          <w:p w14:paraId="13C2CB14" w14:textId="040A8922" w:rsidR="00846B07" w:rsidRPr="00846B07" w:rsidRDefault="00846B07" w:rsidP="00846B07">
            <w:pPr>
              <w:jc w:val="right"/>
              <w:rPr>
                <w:sz w:val="20"/>
                <w:szCs w:val="20"/>
              </w:rPr>
            </w:pPr>
            <w:r w:rsidRPr="00846B07">
              <w:rPr>
                <w:sz w:val="20"/>
                <w:szCs w:val="20"/>
              </w:rPr>
              <w:t>(7.1)</w:t>
            </w:r>
          </w:p>
        </w:tc>
        <w:tc>
          <w:tcPr>
            <w:tcW w:w="1055" w:type="dxa"/>
            <w:tcBorders>
              <w:top w:val="single" w:sz="12" w:space="0" w:color="auto"/>
              <w:left w:val="single" w:sz="12" w:space="0" w:color="auto"/>
              <w:bottom w:val="nil"/>
              <w:right w:val="single" w:sz="12" w:space="0" w:color="auto"/>
            </w:tcBorders>
            <w:shd w:val="clear" w:color="auto" w:fill="auto"/>
            <w:hideMark/>
          </w:tcPr>
          <w:p w14:paraId="32F586A6" w14:textId="3E4FB0C6" w:rsidR="00846B07" w:rsidRPr="00846B07" w:rsidRDefault="00846B07" w:rsidP="00846B07">
            <w:pPr>
              <w:jc w:val="right"/>
              <w:rPr>
                <w:sz w:val="20"/>
                <w:szCs w:val="20"/>
              </w:rPr>
            </w:pPr>
            <w:r w:rsidRPr="00846B07">
              <w:rPr>
                <w:sz w:val="20"/>
                <w:szCs w:val="20"/>
              </w:rPr>
              <w:t>(6.8)</w:t>
            </w:r>
          </w:p>
        </w:tc>
        <w:tc>
          <w:tcPr>
            <w:tcW w:w="1055" w:type="dxa"/>
            <w:tcBorders>
              <w:top w:val="single" w:sz="12" w:space="0" w:color="auto"/>
              <w:left w:val="single" w:sz="12" w:space="0" w:color="auto"/>
              <w:bottom w:val="nil"/>
              <w:right w:val="single" w:sz="12" w:space="0" w:color="auto"/>
            </w:tcBorders>
            <w:shd w:val="clear" w:color="auto" w:fill="auto"/>
            <w:hideMark/>
          </w:tcPr>
          <w:p w14:paraId="103B539E" w14:textId="5CF83FEC" w:rsidR="00846B07" w:rsidRPr="00846B07" w:rsidRDefault="00846B07" w:rsidP="00846B07">
            <w:pPr>
              <w:jc w:val="right"/>
              <w:rPr>
                <w:sz w:val="20"/>
                <w:szCs w:val="20"/>
              </w:rPr>
            </w:pPr>
            <w:r w:rsidRPr="00846B07">
              <w:rPr>
                <w:sz w:val="20"/>
                <w:szCs w:val="20"/>
              </w:rPr>
              <w:t>(6.8)</w:t>
            </w:r>
          </w:p>
        </w:tc>
        <w:tc>
          <w:tcPr>
            <w:tcW w:w="1050" w:type="dxa"/>
            <w:tcBorders>
              <w:top w:val="single" w:sz="12" w:space="0" w:color="auto"/>
              <w:left w:val="single" w:sz="12" w:space="0" w:color="auto"/>
              <w:bottom w:val="nil"/>
              <w:right w:val="single" w:sz="12" w:space="0" w:color="auto"/>
            </w:tcBorders>
            <w:shd w:val="clear" w:color="auto" w:fill="auto"/>
          </w:tcPr>
          <w:p w14:paraId="2A6EDC4B" w14:textId="6ECC5691" w:rsidR="00846B07" w:rsidRPr="005410AD" w:rsidRDefault="00846B07" w:rsidP="00846B07">
            <w:pPr>
              <w:jc w:val="right"/>
              <w:rPr>
                <w:sz w:val="20"/>
                <w:szCs w:val="20"/>
              </w:rPr>
            </w:pPr>
            <w:r w:rsidRPr="00846B07">
              <w:rPr>
                <w:sz w:val="20"/>
                <w:szCs w:val="20"/>
              </w:rPr>
              <w:t>(6.8)</w:t>
            </w:r>
          </w:p>
        </w:tc>
        <w:tc>
          <w:tcPr>
            <w:tcW w:w="1050" w:type="dxa"/>
            <w:tcBorders>
              <w:top w:val="single" w:sz="12" w:space="0" w:color="auto"/>
              <w:left w:val="single" w:sz="12" w:space="0" w:color="auto"/>
              <w:bottom w:val="nil"/>
              <w:right w:val="single" w:sz="12" w:space="0" w:color="auto"/>
            </w:tcBorders>
            <w:shd w:val="clear" w:color="auto" w:fill="auto"/>
          </w:tcPr>
          <w:p w14:paraId="2AB869DC" w14:textId="1EBDCADF" w:rsidR="00846B07" w:rsidRPr="005410AD" w:rsidRDefault="00846B07" w:rsidP="00846B07">
            <w:pPr>
              <w:jc w:val="right"/>
              <w:rPr>
                <w:sz w:val="20"/>
                <w:szCs w:val="20"/>
              </w:rPr>
            </w:pPr>
            <w:r w:rsidRPr="00846B07">
              <w:rPr>
                <w:sz w:val="20"/>
                <w:szCs w:val="20"/>
              </w:rPr>
              <w:t>(6.8)</w:t>
            </w:r>
          </w:p>
        </w:tc>
        <w:tc>
          <w:tcPr>
            <w:tcW w:w="1055" w:type="dxa"/>
            <w:tcBorders>
              <w:top w:val="single" w:sz="12" w:space="0" w:color="auto"/>
              <w:left w:val="single" w:sz="12" w:space="0" w:color="auto"/>
              <w:bottom w:val="nil"/>
              <w:right w:val="single" w:sz="12" w:space="0" w:color="auto"/>
            </w:tcBorders>
            <w:shd w:val="clear" w:color="auto" w:fill="auto"/>
          </w:tcPr>
          <w:p w14:paraId="6CEEB0D5" w14:textId="4D9C0900" w:rsidR="00846B07" w:rsidRPr="005410AD" w:rsidRDefault="00846B07" w:rsidP="00846B07">
            <w:pPr>
              <w:jc w:val="right"/>
              <w:rPr>
                <w:sz w:val="20"/>
                <w:szCs w:val="20"/>
              </w:rPr>
            </w:pPr>
            <w:r w:rsidRPr="00846B07">
              <w:rPr>
                <w:sz w:val="20"/>
                <w:szCs w:val="20"/>
              </w:rPr>
              <w:t>(6.8)</w:t>
            </w:r>
          </w:p>
        </w:tc>
        <w:tc>
          <w:tcPr>
            <w:tcW w:w="1050" w:type="dxa"/>
            <w:tcBorders>
              <w:top w:val="single" w:sz="12" w:space="0" w:color="auto"/>
              <w:left w:val="single" w:sz="12" w:space="0" w:color="auto"/>
              <w:bottom w:val="nil"/>
              <w:right w:val="single" w:sz="12" w:space="0" w:color="auto"/>
            </w:tcBorders>
            <w:shd w:val="clear" w:color="auto" w:fill="auto"/>
          </w:tcPr>
          <w:p w14:paraId="30ECBBA8" w14:textId="3052AE7C" w:rsidR="00846B07" w:rsidRPr="005410AD" w:rsidRDefault="00846B07" w:rsidP="00846B07">
            <w:pPr>
              <w:jc w:val="right"/>
              <w:rPr>
                <w:sz w:val="20"/>
                <w:szCs w:val="20"/>
              </w:rPr>
            </w:pPr>
            <w:r w:rsidRPr="00846B07">
              <w:rPr>
                <w:sz w:val="20"/>
                <w:szCs w:val="20"/>
              </w:rPr>
              <w:t>(6.8)</w:t>
            </w:r>
          </w:p>
        </w:tc>
        <w:tc>
          <w:tcPr>
            <w:tcW w:w="1050" w:type="dxa"/>
            <w:tcBorders>
              <w:top w:val="single" w:sz="12" w:space="0" w:color="auto"/>
              <w:left w:val="single" w:sz="12" w:space="0" w:color="auto"/>
              <w:bottom w:val="nil"/>
              <w:right w:val="single" w:sz="12" w:space="0" w:color="auto"/>
            </w:tcBorders>
            <w:shd w:val="clear" w:color="auto" w:fill="auto"/>
          </w:tcPr>
          <w:p w14:paraId="6D256663" w14:textId="6CCFEFD3" w:rsidR="00846B07" w:rsidRPr="005410AD" w:rsidRDefault="00846B07" w:rsidP="00846B07">
            <w:pPr>
              <w:jc w:val="right"/>
              <w:rPr>
                <w:sz w:val="20"/>
                <w:szCs w:val="20"/>
              </w:rPr>
            </w:pPr>
            <w:r w:rsidRPr="00846B07">
              <w:rPr>
                <w:sz w:val="20"/>
                <w:szCs w:val="20"/>
              </w:rPr>
              <w:t>(6.8)</w:t>
            </w:r>
          </w:p>
        </w:tc>
        <w:tc>
          <w:tcPr>
            <w:tcW w:w="1050" w:type="dxa"/>
            <w:tcBorders>
              <w:top w:val="single" w:sz="12" w:space="0" w:color="auto"/>
              <w:left w:val="single" w:sz="12" w:space="0" w:color="auto"/>
              <w:bottom w:val="nil"/>
              <w:right w:val="single" w:sz="12" w:space="0" w:color="auto"/>
            </w:tcBorders>
            <w:shd w:val="clear" w:color="auto" w:fill="auto"/>
          </w:tcPr>
          <w:p w14:paraId="66D6B3C9" w14:textId="5BEEC2ED" w:rsidR="00846B07" w:rsidRPr="005410AD" w:rsidRDefault="00846B07" w:rsidP="00846B07">
            <w:pPr>
              <w:jc w:val="right"/>
              <w:rPr>
                <w:sz w:val="20"/>
                <w:szCs w:val="20"/>
              </w:rPr>
            </w:pPr>
            <w:r w:rsidRPr="00846B07">
              <w:rPr>
                <w:sz w:val="20"/>
                <w:szCs w:val="20"/>
              </w:rPr>
              <w:t>(6.8)</w:t>
            </w:r>
          </w:p>
        </w:tc>
      </w:tr>
      <w:tr w:rsidR="00846B07" w:rsidRPr="00832CEA" w14:paraId="5FB58716" w14:textId="294DA5E9" w:rsidTr="00977D85">
        <w:trPr>
          <w:trHeight w:val="114"/>
        </w:trPr>
        <w:tc>
          <w:tcPr>
            <w:tcW w:w="3545" w:type="dxa"/>
            <w:tcBorders>
              <w:top w:val="nil"/>
              <w:left w:val="single" w:sz="12" w:space="0" w:color="auto"/>
              <w:right w:val="single" w:sz="12" w:space="0" w:color="auto"/>
            </w:tcBorders>
            <w:shd w:val="clear" w:color="auto" w:fill="auto"/>
            <w:noWrap/>
            <w:vAlign w:val="bottom"/>
            <w:hideMark/>
          </w:tcPr>
          <w:p w14:paraId="559A4CE2" w14:textId="0A780F11" w:rsidR="00846B07" w:rsidRPr="005410AD" w:rsidRDefault="00846B07" w:rsidP="00846B07">
            <w:pPr>
              <w:rPr>
                <w:sz w:val="20"/>
                <w:szCs w:val="20"/>
                <w:lang w:eastAsia="en-GB"/>
              </w:rPr>
            </w:pPr>
            <w:r w:rsidRPr="005410AD">
              <w:rPr>
                <w:sz w:val="20"/>
                <w:szCs w:val="20"/>
                <w:lang w:eastAsia="en-GB"/>
              </w:rPr>
              <w:t xml:space="preserve">Capital Receipts Reserve </w:t>
            </w:r>
            <w:r w:rsidRPr="005410AD">
              <w:rPr>
                <w:b/>
                <w:sz w:val="20"/>
                <w:szCs w:val="20"/>
                <w:lang w:eastAsia="en-GB"/>
              </w:rPr>
              <w:t>⁴</w:t>
            </w:r>
          </w:p>
        </w:tc>
        <w:tc>
          <w:tcPr>
            <w:tcW w:w="963" w:type="dxa"/>
            <w:tcBorders>
              <w:top w:val="nil"/>
              <w:left w:val="single" w:sz="12" w:space="0" w:color="auto"/>
              <w:right w:val="single" w:sz="12" w:space="0" w:color="auto"/>
            </w:tcBorders>
            <w:shd w:val="clear" w:color="auto" w:fill="auto"/>
            <w:hideMark/>
          </w:tcPr>
          <w:p w14:paraId="1B8454C4" w14:textId="74912CA8" w:rsidR="00846B07" w:rsidRPr="005410AD" w:rsidRDefault="00846B07" w:rsidP="00846B07">
            <w:pPr>
              <w:jc w:val="right"/>
              <w:rPr>
                <w:color w:val="000000"/>
                <w:sz w:val="20"/>
                <w:szCs w:val="20"/>
                <w:lang w:eastAsia="en-GB"/>
              </w:rPr>
            </w:pPr>
            <w:r w:rsidRPr="005410AD">
              <w:rPr>
                <w:sz w:val="20"/>
                <w:szCs w:val="20"/>
              </w:rPr>
              <w:t>(15.7)</w:t>
            </w:r>
          </w:p>
        </w:tc>
        <w:tc>
          <w:tcPr>
            <w:tcW w:w="1050" w:type="dxa"/>
            <w:tcBorders>
              <w:top w:val="nil"/>
              <w:left w:val="single" w:sz="12" w:space="0" w:color="auto"/>
              <w:right w:val="single" w:sz="12" w:space="0" w:color="auto"/>
            </w:tcBorders>
            <w:shd w:val="clear" w:color="auto" w:fill="auto"/>
            <w:hideMark/>
          </w:tcPr>
          <w:p w14:paraId="3EB4B4CD" w14:textId="5EECE7F4" w:rsidR="00846B07" w:rsidRPr="00846B07" w:rsidRDefault="00846B07" w:rsidP="00846B07">
            <w:pPr>
              <w:jc w:val="right"/>
              <w:rPr>
                <w:sz w:val="20"/>
                <w:szCs w:val="20"/>
              </w:rPr>
            </w:pPr>
            <w:r w:rsidRPr="00846B07">
              <w:rPr>
                <w:sz w:val="20"/>
                <w:szCs w:val="20"/>
              </w:rPr>
              <w:t>(12.3)</w:t>
            </w:r>
          </w:p>
        </w:tc>
        <w:tc>
          <w:tcPr>
            <w:tcW w:w="1052" w:type="dxa"/>
            <w:tcBorders>
              <w:top w:val="nil"/>
              <w:left w:val="single" w:sz="12" w:space="0" w:color="auto"/>
              <w:right w:val="single" w:sz="12" w:space="0" w:color="auto"/>
            </w:tcBorders>
            <w:shd w:val="clear" w:color="auto" w:fill="auto"/>
            <w:hideMark/>
          </w:tcPr>
          <w:p w14:paraId="3588EEE5" w14:textId="1D99B079" w:rsidR="00846B07" w:rsidRPr="00846B07" w:rsidRDefault="00846B07" w:rsidP="00846B07">
            <w:pPr>
              <w:jc w:val="right"/>
              <w:rPr>
                <w:sz w:val="20"/>
                <w:szCs w:val="20"/>
              </w:rPr>
            </w:pPr>
            <w:r w:rsidRPr="00846B07">
              <w:rPr>
                <w:sz w:val="20"/>
                <w:szCs w:val="20"/>
              </w:rPr>
              <w:t>(10.5)</w:t>
            </w:r>
          </w:p>
        </w:tc>
        <w:tc>
          <w:tcPr>
            <w:tcW w:w="1055" w:type="dxa"/>
            <w:tcBorders>
              <w:top w:val="nil"/>
              <w:left w:val="single" w:sz="12" w:space="0" w:color="auto"/>
              <w:right w:val="single" w:sz="12" w:space="0" w:color="auto"/>
            </w:tcBorders>
            <w:shd w:val="clear" w:color="auto" w:fill="auto"/>
            <w:hideMark/>
          </w:tcPr>
          <w:p w14:paraId="61419989" w14:textId="0FBD6BA7" w:rsidR="00846B07" w:rsidRPr="00846B07" w:rsidRDefault="00846B07" w:rsidP="00846B07">
            <w:pPr>
              <w:jc w:val="right"/>
              <w:rPr>
                <w:sz w:val="20"/>
                <w:szCs w:val="20"/>
              </w:rPr>
            </w:pPr>
            <w:r w:rsidRPr="00846B07">
              <w:rPr>
                <w:sz w:val="20"/>
                <w:szCs w:val="20"/>
              </w:rPr>
              <w:t>(6.2)</w:t>
            </w:r>
          </w:p>
        </w:tc>
        <w:tc>
          <w:tcPr>
            <w:tcW w:w="1055" w:type="dxa"/>
            <w:tcBorders>
              <w:top w:val="nil"/>
              <w:left w:val="single" w:sz="12" w:space="0" w:color="auto"/>
              <w:right w:val="single" w:sz="12" w:space="0" w:color="auto"/>
            </w:tcBorders>
            <w:shd w:val="clear" w:color="auto" w:fill="auto"/>
            <w:hideMark/>
          </w:tcPr>
          <w:p w14:paraId="2CAC0E83" w14:textId="19B93683" w:rsidR="00846B07" w:rsidRPr="00846B07" w:rsidRDefault="00846B07" w:rsidP="00846B07">
            <w:pPr>
              <w:jc w:val="right"/>
              <w:rPr>
                <w:sz w:val="20"/>
                <w:szCs w:val="20"/>
              </w:rPr>
            </w:pPr>
            <w:r w:rsidRPr="00846B07">
              <w:rPr>
                <w:sz w:val="20"/>
                <w:szCs w:val="20"/>
              </w:rPr>
              <w:t>(0.7)</w:t>
            </w:r>
          </w:p>
        </w:tc>
        <w:tc>
          <w:tcPr>
            <w:tcW w:w="1050" w:type="dxa"/>
            <w:tcBorders>
              <w:top w:val="nil"/>
              <w:left w:val="single" w:sz="12" w:space="0" w:color="auto"/>
              <w:right w:val="single" w:sz="12" w:space="0" w:color="auto"/>
            </w:tcBorders>
            <w:shd w:val="clear" w:color="auto" w:fill="auto"/>
          </w:tcPr>
          <w:p w14:paraId="384FDFEF" w14:textId="7F647A6D" w:rsidR="00846B07" w:rsidRPr="005410AD" w:rsidRDefault="00846B07" w:rsidP="00846B07">
            <w:pPr>
              <w:jc w:val="right"/>
              <w:rPr>
                <w:sz w:val="20"/>
                <w:szCs w:val="20"/>
              </w:rPr>
            </w:pPr>
            <w:r w:rsidRPr="00846B07">
              <w:rPr>
                <w:sz w:val="20"/>
                <w:szCs w:val="20"/>
              </w:rPr>
              <w:t>0.0</w:t>
            </w:r>
          </w:p>
        </w:tc>
        <w:tc>
          <w:tcPr>
            <w:tcW w:w="1050" w:type="dxa"/>
            <w:tcBorders>
              <w:top w:val="nil"/>
              <w:left w:val="single" w:sz="12" w:space="0" w:color="auto"/>
              <w:right w:val="single" w:sz="12" w:space="0" w:color="auto"/>
            </w:tcBorders>
            <w:shd w:val="clear" w:color="auto" w:fill="auto"/>
          </w:tcPr>
          <w:p w14:paraId="1E2379DF" w14:textId="0802C542" w:rsidR="00846B07" w:rsidRPr="005410AD" w:rsidRDefault="00846B07" w:rsidP="00846B07">
            <w:pPr>
              <w:jc w:val="right"/>
              <w:rPr>
                <w:sz w:val="20"/>
                <w:szCs w:val="20"/>
              </w:rPr>
            </w:pPr>
            <w:r w:rsidRPr="00846B07">
              <w:rPr>
                <w:sz w:val="20"/>
                <w:szCs w:val="20"/>
              </w:rPr>
              <w:t>0.0</w:t>
            </w:r>
          </w:p>
        </w:tc>
        <w:tc>
          <w:tcPr>
            <w:tcW w:w="1055" w:type="dxa"/>
            <w:tcBorders>
              <w:top w:val="nil"/>
              <w:left w:val="single" w:sz="12" w:space="0" w:color="auto"/>
              <w:right w:val="single" w:sz="12" w:space="0" w:color="auto"/>
            </w:tcBorders>
            <w:shd w:val="clear" w:color="auto" w:fill="auto"/>
          </w:tcPr>
          <w:p w14:paraId="093587FF" w14:textId="202C3B5B" w:rsidR="00846B07" w:rsidRPr="005410AD" w:rsidRDefault="00846B07" w:rsidP="00846B07">
            <w:pPr>
              <w:jc w:val="right"/>
              <w:rPr>
                <w:sz w:val="20"/>
                <w:szCs w:val="20"/>
              </w:rPr>
            </w:pPr>
            <w:r w:rsidRPr="00846B07">
              <w:rPr>
                <w:sz w:val="20"/>
                <w:szCs w:val="20"/>
              </w:rPr>
              <w:t>0.0</w:t>
            </w:r>
          </w:p>
        </w:tc>
        <w:tc>
          <w:tcPr>
            <w:tcW w:w="1050" w:type="dxa"/>
            <w:tcBorders>
              <w:top w:val="nil"/>
              <w:left w:val="single" w:sz="12" w:space="0" w:color="auto"/>
              <w:right w:val="single" w:sz="12" w:space="0" w:color="auto"/>
            </w:tcBorders>
            <w:shd w:val="clear" w:color="auto" w:fill="auto"/>
          </w:tcPr>
          <w:p w14:paraId="6CCEC4EA" w14:textId="4BE828A1" w:rsidR="00846B07" w:rsidRPr="005410AD" w:rsidRDefault="00846B07" w:rsidP="00846B07">
            <w:pPr>
              <w:jc w:val="right"/>
              <w:rPr>
                <w:sz w:val="20"/>
                <w:szCs w:val="20"/>
              </w:rPr>
            </w:pPr>
            <w:r w:rsidRPr="00846B07">
              <w:rPr>
                <w:sz w:val="20"/>
                <w:szCs w:val="20"/>
              </w:rPr>
              <w:t>0.0</w:t>
            </w:r>
          </w:p>
        </w:tc>
        <w:tc>
          <w:tcPr>
            <w:tcW w:w="1050" w:type="dxa"/>
            <w:tcBorders>
              <w:top w:val="nil"/>
              <w:left w:val="single" w:sz="12" w:space="0" w:color="auto"/>
              <w:right w:val="single" w:sz="12" w:space="0" w:color="auto"/>
            </w:tcBorders>
            <w:shd w:val="clear" w:color="auto" w:fill="auto"/>
          </w:tcPr>
          <w:p w14:paraId="3007E94B" w14:textId="4E3C821D" w:rsidR="00846B07" w:rsidRPr="005410AD" w:rsidRDefault="00846B07" w:rsidP="00846B07">
            <w:pPr>
              <w:jc w:val="right"/>
              <w:rPr>
                <w:sz w:val="20"/>
                <w:szCs w:val="20"/>
              </w:rPr>
            </w:pPr>
            <w:r w:rsidRPr="00846B07">
              <w:rPr>
                <w:sz w:val="20"/>
                <w:szCs w:val="20"/>
              </w:rPr>
              <w:t>0.0</w:t>
            </w:r>
          </w:p>
        </w:tc>
        <w:tc>
          <w:tcPr>
            <w:tcW w:w="1050" w:type="dxa"/>
            <w:tcBorders>
              <w:top w:val="nil"/>
              <w:left w:val="single" w:sz="12" w:space="0" w:color="auto"/>
              <w:right w:val="single" w:sz="12" w:space="0" w:color="auto"/>
            </w:tcBorders>
            <w:shd w:val="clear" w:color="auto" w:fill="auto"/>
          </w:tcPr>
          <w:p w14:paraId="22E2939E" w14:textId="17421988" w:rsidR="00846B07" w:rsidRPr="005410AD" w:rsidRDefault="00846B07" w:rsidP="00846B07">
            <w:pPr>
              <w:jc w:val="right"/>
              <w:rPr>
                <w:sz w:val="20"/>
                <w:szCs w:val="20"/>
              </w:rPr>
            </w:pPr>
            <w:r w:rsidRPr="00846B07">
              <w:rPr>
                <w:sz w:val="20"/>
                <w:szCs w:val="20"/>
              </w:rPr>
              <w:t>0.0</w:t>
            </w:r>
          </w:p>
        </w:tc>
      </w:tr>
      <w:tr w:rsidR="00846B07" w:rsidRPr="00832CEA" w14:paraId="1A42D60B" w14:textId="34DA0B5F" w:rsidTr="00977D85">
        <w:trPr>
          <w:trHeight w:val="246"/>
        </w:trPr>
        <w:tc>
          <w:tcPr>
            <w:tcW w:w="3545" w:type="dxa"/>
            <w:tcBorders>
              <w:top w:val="nil"/>
              <w:left w:val="single" w:sz="12" w:space="0" w:color="auto"/>
              <w:bottom w:val="single" w:sz="12" w:space="0" w:color="auto"/>
              <w:right w:val="single" w:sz="12" w:space="0" w:color="auto"/>
            </w:tcBorders>
            <w:shd w:val="clear" w:color="auto" w:fill="auto"/>
            <w:noWrap/>
            <w:vAlign w:val="bottom"/>
            <w:hideMark/>
          </w:tcPr>
          <w:p w14:paraId="520C4C7B" w14:textId="2054594F" w:rsidR="00846B07" w:rsidRPr="005410AD" w:rsidRDefault="00846B07" w:rsidP="00846B07">
            <w:pPr>
              <w:rPr>
                <w:sz w:val="20"/>
                <w:szCs w:val="20"/>
                <w:lang w:eastAsia="en-GB"/>
              </w:rPr>
            </w:pPr>
            <w:r w:rsidRPr="005410AD">
              <w:rPr>
                <w:sz w:val="20"/>
                <w:szCs w:val="20"/>
                <w:lang w:eastAsia="en-GB"/>
              </w:rPr>
              <w:t>Plus: Working Capital</w:t>
            </w:r>
          </w:p>
        </w:tc>
        <w:tc>
          <w:tcPr>
            <w:tcW w:w="963" w:type="dxa"/>
            <w:tcBorders>
              <w:top w:val="nil"/>
              <w:left w:val="single" w:sz="12" w:space="0" w:color="auto"/>
              <w:bottom w:val="single" w:sz="12" w:space="0" w:color="auto"/>
              <w:right w:val="single" w:sz="12" w:space="0" w:color="auto"/>
            </w:tcBorders>
            <w:shd w:val="clear" w:color="auto" w:fill="auto"/>
            <w:hideMark/>
          </w:tcPr>
          <w:p w14:paraId="3CDEDD54" w14:textId="780C1BB7" w:rsidR="00846B07" w:rsidRPr="005410AD" w:rsidRDefault="00846B07" w:rsidP="00846B07">
            <w:pPr>
              <w:jc w:val="right"/>
              <w:rPr>
                <w:color w:val="000000"/>
                <w:sz w:val="20"/>
                <w:szCs w:val="20"/>
                <w:lang w:eastAsia="en-GB"/>
              </w:rPr>
            </w:pPr>
            <w:r>
              <w:rPr>
                <w:sz w:val="20"/>
                <w:szCs w:val="20"/>
              </w:rPr>
              <w:t>2</w:t>
            </w:r>
            <w:r w:rsidRPr="005410AD">
              <w:rPr>
                <w:sz w:val="20"/>
                <w:szCs w:val="20"/>
              </w:rPr>
              <w:t>.0</w:t>
            </w:r>
          </w:p>
        </w:tc>
        <w:tc>
          <w:tcPr>
            <w:tcW w:w="1050" w:type="dxa"/>
            <w:tcBorders>
              <w:top w:val="nil"/>
              <w:left w:val="single" w:sz="12" w:space="0" w:color="auto"/>
              <w:bottom w:val="single" w:sz="12" w:space="0" w:color="auto"/>
              <w:right w:val="single" w:sz="12" w:space="0" w:color="auto"/>
            </w:tcBorders>
            <w:shd w:val="clear" w:color="auto" w:fill="auto"/>
            <w:hideMark/>
          </w:tcPr>
          <w:p w14:paraId="4CDDC6C4" w14:textId="14C23493" w:rsidR="00846B07" w:rsidRPr="00846B07" w:rsidRDefault="00846B07" w:rsidP="00846B07">
            <w:pPr>
              <w:jc w:val="right"/>
              <w:rPr>
                <w:sz w:val="20"/>
                <w:szCs w:val="20"/>
              </w:rPr>
            </w:pPr>
            <w:r w:rsidRPr="00846B07">
              <w:rPr>
                <w:sz w:val="20"/>
                <w:szCs w:val="20"/>
              </w:rPr>
              <w:t>2.0</w:t>
            </w:r>
          </w:p>
        </w:tc>
        <w:tc>
          <w:tcPr>
            <w:tcW w:w="1052" w:type="dxa"/>
            <w:tcBorders>
              <w:top w:val="nil"/>
              <w:left w:val="single" w:sz="12" w:space="0" w:color="auto"/>
              <w:bottom w:val="single" w:sz="12" w:space="0" w:color="auto"/>
              <w:right w:val="single" w:sz="12" w:space="0" w:color="auto"/>
            </w:tcBorders>
            <w:shd w:val="clear" w:color="auto" w:fill="auto"/>
            <w:hideMark/>
          </w:tcPr>
          <w:p w14:paraId="731F3294" w14:textId="179A4BAA" w:rsidR="00846B07" w:rsidRPr="00846B07" w:rsidRDefault="00846B07" w:rsidP="00846B07">
            <w:pPr>
              <w:jc w:val="right"/>
              <w:rPr>
                <w:sz w:val="20"/>
                <w:szCs w:val="20"/>
              </w:rPr>
            </w:pPr>
            <w:r w:rsidRPr="00846B07">
              <w:rPr>
                <w:sz w:val="20"/>
                <w:szCs w:val="20"/>
              </w:rPr>
              <w:t>2.0</w:t>
            </w:r>
          </w:p>
        </w:tc>
        <w:tc>
          <w:tcPr>
            <w:tcW w:w="1055" w:type="dxa"/>
            <w:tcBorders>
              <w:top w:val="nil"/>
              <w:left w:val="single" w:sz="12" w:space="0" w:color="auto"/>
              <w:bottom w:val="single" w:sz="12" w:space="0" w:color="auto"/>
              <w:right w:val="single" w:sz="12" w:space="0" w:color="auto"/>
            </w:tcBorders>
            <w:shd w:val="clear" w:color="auto" w:fill="auto"/>
            <w:hideMark/>
          </w:tcPr>
          <w:p w14:paraId="0EE44EC1" w14:textId="086E13C0" w:rsidR="00846B07" w:rsidRPr="00846B07" w:rsidRDefault="00846B07" w:rsidP="00846B07">
            <w:pPr>
              <w:jc w:val="right"/>
              <w:rPr>
                <w:sz w:val="20"/>
                <w:szCs w:val="20"/>
              </w:rPr>
            </w:pPr>
            <w:r w:rsidRPr="00846B07">
              <w:rPr>
                <w:sz w:val="20"/>
                <w:szCs w:val="20"/>
              </w:rPr>
              <w:t>2.0</w:t>
            </w:r>
          </w:p>
        </w:tc>
        <w:tc>
          <w:tcPr>
            <w:tcW w:w="1055" w:type="dxa"/>
            <w:tcBorders>
              <w:top w:val="nil"/>
              <w:left w:val="single" w:sz="12" w:space="0" w:color="auto"/>
              <w:bottom w:val="single" w:sz="12" w:space="0" w:color="auto"/>
              <w:right w:val="single" w:sz="12" w:space="0" w:color="auto"/>
            </w:tcBorders>
            <w:shd w:val="clear" w:color="auto" w:fill="auto"/>
            <w:hideMark/>
          </w:tcPr>
          <w:p w14:paraId="67AE06AC" w14:textId="2FC72BCC" w:rsidR="00846B07" w:rsidRPr="00846B07" w:rsidRDefault="00846B07" w:rsidP="00846B07">
            <w:pPr>
              <w:jc w:val="right"/>
              <w:rPr>
                <w:sz w:val="20"/>
                <w:szCs w:val="20"/>
              </w:rPr>
            </w:pPr>
            <w:r w:rsidRPr="00846B07">
              <w:rPr>
                <w:sz w:val="20"/>
                <w:szCs w:val="20"/>
              </w:rPr>
              <w:t>2.0</w:t>
            </w:r>
          </w:p>
        </w:tc>
        <w:tc>
          <w:tcPr>
            <w:tcW w:w="1050" w:type="dxa"/>
            <w:tcBorders>
              <w:top w:val="nil"/>
              <w:left w:val="single" w:sz="12" w:space="0" w:color="auto"/>
              <w:bottom w:val="single" w:sz="12" w:space="0" w:color="auto"/>
              <w:right w:val="single" w:sz="12" w:space="0" w:color="auto"/>
            </w:tcBorders>
            <w:shd w:val="clear" w:color="auto" w:fill="auto"/>
          </w:tcPr>
          <w:p w14:paraId="7DC02078" w14:textId="0C24958C" w:rsidR="00846B07" w:rsidRPr="005410AD" w:rsidRDefault="00846B07" w:rsidP="00846B07">
            <w:pPr>
              <w:jc w:val="right"/>
              <w:rPr>
                <w:sz w:val="20"/>
                <w:szCs w:val="20"/>
              </w:rPr>
            </w:pPr>
            <w:r w:rsidRPr="00846B07">
              <w:rPr>
                <w:sz w:val="20"/>
                <w:szCs w:val="20"/>
              </w:rPr>
              <w:t>2.0</w:t>
            </w:r>
          </w:p>
        </w:tc>
        <w:tc>
          <w:tcPr>
            <w:tcW w:w="1050" w:type="dxa"/>
            <w:tcBorders>
              <w:top w:val="nil"/>
              <w:left w:val="single" w:sz="12" w:space="0" w:color="auto"/>
              <w:bottom w:val="single" w:sz="12" w:space="0" w:color="auto"/>
              <w:right w:val="single" w:sz="12" w:space="0" w:color="auto"/>
            </w:tcBorders>
            <w:shd w:val="clear" w:color="auto" w:fill="auto"/>
          </w:tcPr>
          <w:p w14:paraId="2BF4F0EA" w14:textId="2ADE53AF" w:rsidR="00846B07" w:rsidRPr="005410AD" w:rsidRDefault="00846B07" w:rsidP="00846B07">
            <w:pPr>
              <w:jc w:val="right"/>
              <w:rPr>
                <w:sz w:val="20"/>
                <w:szCs w:val="20"/>
              </w:rPr>
            </w:pPr>
            <w:r w:rsidRPr="00846B07">
              <w:rPr>
                <w:sz w:val="20"/>
                <w:szCs w:val="20"/>
              </w:rPr>
              <w:t>2.0</w:t>
            </w:r>
          </w:p>
        </w:tc>
        <w:tc>
          <w:tcPr>
            <w:tcW w:w="1055" w:type="dxa"/>
            <w:tcBorders>
              <w:top w:val="nil"/>
              <w:left w:val="single" w:sz="12" w:space="0" w:color="auto"/>
              <w:bottom w:val="single" w:sz="12" w:space="0" w:color="auto"/>
              <w:right w:val="single" w:sz="12" w:space="0" w:color="auto"/>
            </w:tcBorders>
            <w:shd w:val="clear" w:color="auto" w:fill="auto"/>
          </w:tcPr>
          <w:p w14:paraId="6528E5D5" w14:textId="7C9DD5B2" w:rsidR="00846B07" w:rsidRPr="005410AD" w:rsidRDefault="00846B07" w:rsidP="00846B07">
            <w:pPr>
              <w:jc w:val="right"/>
              <w:rPr>
                <w:sz w:val="20"/>
                <w:szCs w:val="20"/>
              </w:rPr>
            </w:pPr>
            <w:r w:rsidRPr="00846B07">
              <w:rPr>
                <w:sz w:val="20"/>
                <w:szCs w:val="20"/>
              </w:rPr>
              <w:t>2.0</w:t>
            </w:r>
          </w:p>
        </w:tc>
        <w:tc>
          <w:tcPr>
            <w:tcW w:w="1050" w:type="dxa"/>
            <w:tcBorders>
              <w:top w:val="nil"/>
              <w:left w:val="single" w:sz="12" w:space="0" w:color="auto"/>
              <w:bottom w:val="single" w:sz="12" w:space="0" w:color="auto"/>
              <w:right w:val="single" w:sz="12" w:space="0" w:color="auto"/>
            </w:tcBorders>
            <w:shd w:val="clear" w:color="auto" w:fill="auto"/>
          </w:tcPr>
          <w:p w14:paraId="0860DBB0" w14:textId="249A976A" w:rsidR="00846B07" w:rsidRPr="005410AD" w:rsidRDefault="00846B07" w:rsidP="00846B07">
            <w:pPr>
              <w:jc w:val="right"/>
              <w:rPr>
                <w:sz w:val="20"/>
                <w:szCs w:val="20"/>
              </w:rPr>
            </w:pPr>
            <w:r w:rsidRPr="00846B07">
              <w:rPr>
                <w:sz w:val="20"/>
                <w:szCs w:val="20"/>
              </w:rPr>
              <w:t>2.0</w:t>
            </w:r>
          </w:p>
        </w:tc>
        <w:tc>
          <w:tcPr>
            <w:tcW w:w="1050" w:type="dxa"/>
            <w:tcBorders>
              <w:top w:val="nil"/>
              <w:left w:val="single" w:sz="12" w:space="0" w:color="auto"/>
              <w:bottom w:val="single" w:sz="12" w:space="0" w:color="auto"/>
              <w:right w:val="single" w:sz="12" w:space="0" w:color="auto"/>
            </w:tcBorders>
            <w:shd w:val="clear" w:color="auto" w:fill="auto"/>
          </w:tcPr>
          <w:p w14:paraId="15387D49" w14:textId="3F53EE41" w:rsidR="00846B07" w:rsidRPr="005410AD" w:rsidRDefault="00846B07" w:rsidP="00846B07">
            <w:pPr>
              <w:jc w:val="right"/>
              <w:rPr>
                <w:sz w:val="20"/>
                <w:szCs w:val="20"/>
              </w:rPr>
            </w:pPr>
            <w:r w:rsidRPr="00846B07">
              <w:rPr>
                <w:sz w:val="20"/>
                <w:szCs w:val="20"/>
              </w:rPr>
              <w:t>2.0</w:t>
            </w:r>
          </w:p>
        </w:tc>
        <w:tc>
          <w:tcPr>
            <w:tcW w:w="1050" w:type="dxa"/>
            <w:tcBorders>
              <w:top w:val="nil"/>
              <w:left w:val="single" w:sz="12" w:space="0" w:color="auto"/>
              <w:bottom w:val="single" w:sz="12" w:space="0" w:color="auto"/>
              <w:right w:val="single" w:sz="12" w:space="0" w:color="auto"/>
            </w:tcBorders>
            <w:shd w:val="clear" w:color="auto" w:fill="auto"/>
          </w:tcPr>
          <w:p w14:paraId="2BF31A26" w14:textId="104476B3" w:rsidR="00846B07" w:rsidRPr="005410AD" w:rsidRDefault="00846B07" w:rsidP="00846B07">
            <w:pPr>
              <w:jc w:val="right"/>
              <w:rPr>
                <w:sz w:val="20"/>
                <w:szCs w:val="20"/>
              </w:rPr>
            </w:pPr>
            <w:r w:rsidRPr="00846B07">
              <w:rPr>
                <w:sz w:val="20"/>
                <w:szCs w:val="20"/>
              </w:rPr>
              <w:t>2.0</w:t>
            </w:r>
          </w:p>
        </w:tc>
      </w:tr>
      <w:tr w:rsidR="00846B07" w:rsidRPr="004F48AD" w14:paraId="46E54A4B" w14:textId="3EDD0356" w:rsidTr="00977D85">
        <w:trPr>
          <w:trHeight w:val="276"/>
        </w:trPr>
        <w:tc>
          <w:tcPr>
            <w:tcW w:w="354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1A2A82" w14:textId="07D75CF5" w:rsidR="00846B07" w:rsidRPr="005410AD" w:rsidRDefault="00846B07" w:rsidP="00846B07">
            <w:pPr>
              <w:rPr>
                <w:b/>
                <w:bCs/>
                <w:color w:val="000000"/>
                <w:sz w:val="20"/>
                <w:szCs w:val="20"/>
                <w:lang w:eastAsia="en-GB"/>
              </w:rPr>
            </w:pPr>
            <w:r w:rsidRPr="005410AD">
              <w:rPr>
                <w:b/>
                <w:bCs/>
                <w:color w:val="000000"/>
                <w:sz w:val="20"/>
                <w:szCs w:val="20"/>
                <w:lang w:eastAsia="en-GB"/>
              </w:rPr>
              <w:t xml:space="preserve">Investments/ (external financing) </w:t>
            </w:r>
            <w:r>
              <w:rPr>
                <w:b/>
                <w:bCs/>
                <w:color w:val="000000"/>
                <w:sz w:val="20"/>
                <w:szCs w:val="20"/>
                <w:lang w:eastAsia="en-GB"/>
              </w:rPr>
              <w:t>⁵</w:t>
            </w:r>
          </w:p>
        </w:tc>
        <w:tc>
          <w:tcPr>
            <w:tcW w:w="963" w:type="dxa"/>
            <w:tcBorders>
              <w:top w:val="single" w:sz="12" w:space="0" w:color="auto"/>
              <w:left w:val="single" w:sz="12" w:space="0" w:color="auto"/>
              <w:bottom w:val="single" w:sz="12" w:space="0" w:color="auto"/>
              <w:right w:val="single" w:sz="12" w:space="0" w:color="auto"/>
            </w:tcBorders>
            <w:shd w:val="clear" w:color="auto" w:fill="auto"/>
            <w:hideMark/>
          </w:tcPr>
          <w:p w14:paraId="33DD6DC8" w14:textId="69B4C203" w:rsidR="00846B07" w:rsidRPr="00303304" w:rsidRDefault="00846B07" w:rsidP="00846B07">
            <w:pPr>
              <w:jc w:val="right"/>
              <w:rPr>
                <w:b/>
                <w:bCs/>
                <w:color w:val="000000"/>
                <w:sz w:val="20"/>
                <w:szCs w:val="20"/>
                <w:lang w:eastAsia="en-GB"/>
              </w:rPr>
            </w:pPr>
            <w:r>
              <w:rPr>
                <w:b/>
                <w:bCs/>
                <w:sz w:val="20"/>
                <w:szCs w:val="20"/>
              </w:rPr>
              <w:t>16</w:t>
            </w:r>
            <w:r w:rsidRPr="00303304">
              <w:rPr>
                <w:b/>
                <w:bCs/>
                <w:sz w:val="20"/>
                <w:szCs w:val="20"/>
              </w:rPr>
              <w:t>.1</w:t>
            </w:r>
          </w:p>
        </w:tc>
        <w:tc>
          <w:tcPr>
            <w:tcW w:w="1050" w:type="dxa"/>
            <w:tcBorders>
              <w:top w:val="single" w:sz="12" w:space="0" w:color="auto"/>
              <w:left w:val="single" w:sz="12" w:space="0" w:color="auto"/>
              <w:bottom w:val="single" w:sz="12" w:space="0" w:color="auto"/>
              <w:right w:val="single" w:sz="12" w:space="0" w:color="auto"/>
            </w:tcBorders>
            <w:shd w:val="clear" w:color="auto" w:fill="auto"/>
            <w:hideMark/>
          </w:tcPr>
          <w:p w14:paraId="50C9601B" w14:textId="34CDB18A" w:rsidR="00846B07" w:rsidRPr="00846B07" w:rsidRDefault="00846B07" w:rsidP="00846B07">
            <w:pPr>
              <w:jc w:val="right"/>
              <w:rPr>
                <w:b/>
                <w:bCs/>
                <w:sz w:val="20"/>
                <w:szCs w:val="20"/>
              </w:rPr>
            </w:pPr>
            <w:r w:rsidRPr="00846B07">
              <w:rPr>
                <w:b/>
                <w:bCs/>
                <w:sz w:val="20"/>
                <w:szCs w:val="20"/>
              </w:rPr>
              <w:t>13.0</w:t>
            </w:r>
          </w:p>
        </w:tc>
        <w:tc>
          <w:tcPr>
            <w:tcW w:w="1052" w:type="dxa"/>
            <w:tcBorders>
              <w:top w:val="single" w:sz="12" w:space="0" w:color="auto"/>
              <w:left w:val="single" w:sz="12" w:space="0" w:color="auto"/>
              <w:bottom w:val="single" w:sz="12" w:space="0" w:color="auto"/>
              <w:right w:val="single" w:sz="12" w:space="0" w:color="auto"/>
            </w:tcBorders>
            <w:shd w:val="clear" w:color="auto" w:fill="auto"/>
            <w:hideMark/>
          </w:tcPr>
          <w:p w14:paraId="5878CC77" w14:textId="50384A65" w:rsidR="00846B07" w:rsidRPr="00846B07" w:rsidRDefault="00846B07" w:rsidP="00846B07">
            <w:pPr>
              <w:jc w:val="right"/>
              <w:rPr>
                <w:b/>
                <w:bCs/>
                <w:sz w:val="20"/>
                <w:szCs w:val="20"/>
              </w:rPr>
            </w:pPr>
            <w:r w:rsidRPr="00846B07">
              <w:rPr>
                <w:b/>
                <w:bCs/>
                <w:sz w:val="20"/>
                <w:szCs w:val="20"/>
              </w:rPr>
              <w:t>6.2</w:t>
            </w:r>
          </w:p>
        </w:tc>
        <w:tc>
          <w:tcPr>
            <w:tcW w:w="1055" w:type="dxa"/>
            <w:tcBorders>
              <w:top w:val="single" w:sz="12" w:space="0" w:color="auto"/>
              <w:left w:val="single" w:sz="12" w:space="0" w:color="auto"/>
              <w:bottom w:val="single" w:sz="12" w:space="0" w:color="auto"/>
              <w:right w:val="single" w:sz="12" w:space="0" w:color="auto"/>
            </w:tcBorders>
            <w:shd w:val="clear" w:color="auto" w:fill="auto"/>
            <w:hideMark/>
          </w:tcPr>
          <w:p w14:paraId="2D48D736" w14:textId="5F9895C5" w:rsidR="00846B07" w:rsidRPr="00846B07" w:rsidRDefault="00846B07" w:rsidP="00846B07">
            <w:pPr>
              <w:jc w:val="right"/>
              <w:rPr>
                <w:b/>
                <w:bCs/>
                <w:sz w:val="20"/>
                <w:szCs w:val="20"/>
              </w:rPr>
            </w:pPr>
            <w:r w:rsidRPr="00846B07">
              <w:rPr>
                <w:b/>
                <w:bCs/>
                <w:sz w:val="20"/>
                <w:szCs w:val="20"/>
              </w:rPr>
              <w:t>(0.3)</w:t>
            </w:r>
          </w:p>
        </w:tc>
        <w:tc>
          <w:tcPr>
            <w:tcW w:w="1055" w:type="dxa"/>
            <w:tcBorders>
              <w:top w:val="single" w:sz="12" w:space="0" w:color="auto"/>
              <w:left w:val="single" w:sz="12" w:space="0" w:color="auto"/>
              <w:bottom w:val="single" w:sz="12" w:space="0" w:color="auto"/>
              <w:right w:val="single" w:sz="12" w:space="0" w:color="auto"/>
            </w:tcBorders>
            <w:shd w:val="clear" w:color="auto" w:fill="auto"/>
            <w:hideMark/>
          </w:tcPr>
          <w:p w14:paraId="5E74EE42" w14:textId="27375B9D" w:rsidR="00846B07" w:rsidRPr="00846B07" w:rsidRDefault="00846B07" w:rsidP="00846B07">
            <w:pPr>
              <w:jc w:val="right"/>
              <w:rPr>
                <w:b/>
                <w:bCs/>
                <w:sz w:val="20"/>
                <w:szCs w:val="20"/>
              </w:rPr>
            </w:pPr>
            <w:r w:rsidRPr="00846B07">
              <w:rPr>
                <w:b/>
                <w:bCs/>
                <w:sz w:val="20"/>
                <w:szCs w:val="20"/>
              </w:rPr>
              <w:t>(15.5)</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4FEE3C3D" w14:textId="68D8123D" w:rsidR="00846B07" w:rsidRPr="00846B07" w:rsidRDefault="00846B07" w:rsidP="00846B07">
            <w:pPr>
              <w:jc w:val="right"/>
              <w:rPr>
                <w:b/>
                <w:bCs/>
                <w:sz w:val="20"/>
                <w:szCs w:val="20"/>
              </w:rPr>
            </w:pPr>
            <w:r w:rsidRPr="00846B07">
              <w:rPr>
                <w:b/>
                <w:bCs/>
                <w:sz w:val="20"/>
                <w:szCs w:val="20"/>
              </w:rPr>
              <w:t>(9.5)</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662F689F" w14:textId="7D041EC5" w:rsidR="00846B07" w:rsidRPr="00846B07" w:rsidRDefault="00846B07" w:rsidP="00846B07">
            <w:pPr>
              <w:jc w:val="right"/>
              <w:rPr>
                <w:b/>
                <w:bCs/>
                <w:sz w:val="20"/>
                <w:szCs w:val="20"/>
              </w:rPr>
            </w:pPr>
            <w:r w:rsidRPr="00846B07">
              <w:rPr>
                <w:b/>
                <w:bCs/>
                <w:sz w:val="20"/>
                <w:szCs w:val="20"/>
              </w:rPr>
              <w:t>(14.4)</w:t>
            </w:r>
          </w:p>
        </w:tc>
        <w:tc>
          <w:tcPr>
            <w:tcW w:w="1055" w:type="dxa"/>
            <w:tcBorders>
              <w:top w:val="single" w:sz="12" w:space="0" w:color="auto"/>
              <w:left w:val="single" w:sz="12" w:space="0" w:color="auto"/>
              <w:bottom w:val="single" w:sz="12" w:space="0" w:color="auto"/>
              <w:right w:val="single" w:sz="12" w:space="0" w:color="auto"/>
            </w:tcBorders>
            <w:shd w:val="clear" w:color="auto" w:fill="auto"/>
          </w:tcPr>
          <w:p w14:paraId="75143ED2" w14:textId="5BB10DD9" w:rsidR="00846B07" w:rsidRPr="00846B07" w:rsidRDefault="00846B07" w:rsidP="00846B07">
            <w:pPr>
              <w:jc w:val="right"/>
              <w:rPr>
                <w:b/>
                <w:bCs/>
                <w:sz w:val="20"/>
                <w:szCs w:val="20"/>
              </w:rPr>
            </w:pPr>
            <w:r w:rsidRPr="00846B07">
              <w:rPr>
                <w:b/>
                <w:bCs/>
                <w:sz w:val="20"/>
                <w:szCs w:val="20"/>
              </w:rPr>
              <w:t>(16.3)</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40A2CA58" w14:textId="2256A370" w:rsidR="00846B07" w:rsidRPr="00846B07" w:rsidRDefault="00846B07" w:rsidP="00846B07">
            <w:pPr>
              <w:jc w:val="right"/>
              <w:rPr>
                <w:b/>
                <w:bCs/>
                <w:sz w:val="20"/>
                <w:szCs w:val="20"/>
              </w:rPr>
            </w:pPr>
            <w:r w:rsidRPr="00846B07">
              <w:rPr>
                <w:b/>
                <w:bCs/>
                <w:sz w:val="20"/>
                <w:szCs w:val="20"/>
              </w:rPr>
              <w:t>(16.2)</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6B5C9849" w14:textId="6090ACC7" w:rsidR="00846B07" w:rsidRPr="00846B07" w:rsidRDefault="00846B07" w:rsidP="00846B07">
            <w:pPr>
              <w:jc w:val="right"/>
              <w:rPr>
                <w:b/>
                <w:bCs/>
                <w:sz w:val="20"/>
                <w:szCs w:val="20"/>
              </w:rPr>
            </w:pPr>
            <w:r w:rsidRPr="00846B07">
              <w:rPr>
                <w:b/>
                <w:bCs/>
                <w:sz w:val="20"/>
                <w:szCs w:val="20"/>
              </w:rPr>
              <w:t>(11.6)</w:t>
            </w:r>
          </w:p>
        </w:tc>
        <w:tc>
          <w:tcPr>
            <w:tcW w:w="1050" w:type="dxa"/>
            <w:tcBorders>
              <w:top w:val="single" w:sz="12" w:space="0" w:color="auto"/>
              <w:left w:val="single" w:sz="12" w:space="0" w:color="auto"/>
              <w:bottom w:val="single" w:sz="12" w:space="0" w:color="auto"/>
              <w:right w:val="single" w:sz="12" w:space="0" w:color="auto"/>
            </w:tcBorders>
            <w:shd w:val="clear" w:color="auto" w:fill="auto"/>
          </w:tcPr>
          <w:p w14:paraId="3FD5CACA" w14:textId="480E7F96" w:rsidR="00846B07" w:rsidRPr="00846B07" w:rsidRDefault="00846B07" w:rsidP="00846B07">
            <w:pPr>
              <w:jc w:val="right"/>
              <w:rPr>
                <w:b/>
                <w:bCs/>
                <w:sz w:val="20"/>
                <w:szCs w:val="20"/>
              </w:rPr>
            </w:pPr>
            <w:r w:rsidRPr="00846B07">
              <w:rPr>
                <w:b/>
                <w:bCs/>
                <w:sz w:val="20"/>
                <w:szCs w:val="20"/>
              </w:rPr>
              <w:t>(9.5)</w:t>
            </w:r>
          </w:p>
        </w:tc>
      </w:tr>
    </w:tbl>
    <w:p w14:paraId="4918E359" w14:textId="77777777" w:rsidR="00804806" w:rsidRDefault="00804806" w:rsidP="007E570A">
      <w:pPr>
        <w:jc w:val="both"/>
        <w:rPr>
          <w:b/>
          <w:sz w:val="28"/>
          <w:szCs w:val="28"/>
          <w:lang w:eastAsia="en-GB"/>
        </w:rPr>
      </w:pPr>
    </w:p>
    <w:p w14:paraId="355DD183" w14:textId="41A63BC2" w:rsidR="00CA151C" w:rsidRDefault="00E308AD" w:rsidP="0069258D">
      <w:pPr>
        <w:spacing w:after="120"/>
        <w:ind w:left="426"/>
        <w:jc w:val="both"/>
        <w:rPr>
          <w:bCs/>
          <w:lang w:val="en-US"/>
        </w:rPr>
      </w:pPr>
      <w:r w:rsidRPr="00E308AD">
        <w:rPr>
          <w:b/>
          <w:sz w:val="28"/>
          <w:szCs w:val="28"/>
          <w:lang w:eastAsia="en-GB"/>
        </w:rPr>
        <w:t>¹</w:t>
      </w:r>
      <w:r w:rsidR="00BE1DEB">
        <w:rPr>
          <w:bCs/>
          <w:lang w:val="en-US"/>
        </w:rPr>
        <w:t xml:space="preserve"> </w:t>
      </w:r>
      <w:r>
        <w:rPr>
          <w:bCs/>
          <w:lang w:val="en-US"/>
        </w:rPr>
        <w:t>S</w:t>
      </w:r>
      <w:r w:rsidR="007E570A" w:rsidRPr="0041076E">
        <w:rPr>
          <w:bCs/>
          <w:lang w:val="en-US"/>
        </w:rPr>
        <w:t>hows only loans to which the Authority is committed and excludes optional refinancing</w:t>
      </w:r>
      <w:r w:rsidR="00CB73BF">
        <w:rPr>
          <w:bCs/>
          <w:lang w:val="en-US"/>
        </w:rPr>
        <w:t>, assumed borrowing</w:t>
      </w:r>
      <w:r w:rsidR="0041585B">
        <w:rPr>
          <w:bCs/>
          <w:lang w:val="en-US"/>
        </w:rPr>
        <w:t xml:space="preserve"> is additional committed borrowing</w:t>
      </w:r>
      <w:r w:rsidR="009738D2">
        <w:rPr>
          <w:bCs/>
          <w:lang w:val="en-US"/>
        </w:rPr>
        <w:t>.</w:t>
      </w:r>
    </w:p>
    <w:p w14:paraId="79BFE8CE" w14:textId="43C5E9A5" w:rsidR="00A8539A" w:rsidRDefault="00E308AD" w:rsidP="00B70DBE">
      <w:pPr>
        <w:spacing w:after="120"/>
        <w:ind w:left="426"/>
        <w:jc w:val="both"/>
        <w:rPr>
          <w:bCs/>
          <w:lang w:val="en-US"/>
        </w:rPr>
      </w:pPr>
      <w:r w:rsidRPr="00E308AD">
        <w:rPr>
          <w:b/>
          <w:sz w:val="28"/>
          <w:szCs w:val="28"/>
          <w:lang w:eastAsia="en-GB"/>
        </w:rPr>
        <w:t>²</w:t>
      </w:r>
      <w:r w:rsidR="00CA151C" w:rsidRPr="00CA151C">
        <w:rPr>
          <w:bCs/>
          <w:lang w:val="en-US"/>
        </w:rPr>
        <w:t xml:space="preserve"> </w:t>
      </w:r>
      <w:r w:rsidR="00A8539A">
        <w:rPr>
          <w:bCs/>
          <w:lang w:val="en-US"/>
        </w:rPr>
        <w:t xml:space="preserve">Assumed borrowing to finance the Joint Fleet Workshop project (see </w:t>
      </w:r>
      <w:r w:rsidR="00D329A1">
        <w:rPr>
          <w:bCs/>
          <w:lang w:val="en-US"/>
        </w:rPr>
        <w:t xml:space="preserve">Assumed Borrowing, page </w:t>
      </w:r>
      <w:r w:rsidR="009E27B7">
        <w:rPr>
          <w:bCs/>
          <w:lang w:val="en-US"/>
        </w:rPr>
        <w:t>8</w:t>
      </w:r>
      <w:r w:rsidR="00D329A1">
        <w:rPr>
          <w:bCs/>
          <w:lang w:val="en-US"/>
        </w:rPr>
        <w:t>).</w:t>
      </w:r>
    </w:p>
    <w:p w14:paraId="28981402" w14:textId="35A77B12" w:rsidR="00B70DBE" w:rsidRDefault="00D329A1" w:rsidP="00B70DBE">
      <w:pPr>
        <w:spacing w:after="120"/>
        <w:ind w:left="426"/>
        <w:jc w:val="both"/>
        <w:rPr>
          <w:bCs/>
          <w:lang w:val="en-US"/>
        </w:rPr>
      </w:pPr>
      <w:r w:rsidRPr="003957F2">
        <w:rPr>
          <w:b/>
          <w:sz w:val="28"/>
          <w:szCs w:val="28"/>
          <w:lang w:eastAsia="en-GB"/>
        </w:rPr>
        <w:t>³</w:t>
      </w:r>
      <w:r>
        <w:rPr>
          <w:b/>
          <w:sz w:val="28"/>
          <w:szCs w:val="28"/>
          <w:lang w:eastAsia="en-GB"/>
        </w:rPr>
        <w:t xml:space="preserve"> </w:t>
      </w:r>
      <w:r w:rsidR="00E308AD">
        <w:rPr>
          <w:bCs/>
          <w:lang w:val="en-US"/>
        </w:rPr>
        <w:t xml:space="preserve">Refers to capital expenditure funded through internal </w:t>
      </w:r>
      <w:r w:rsidR="007D5B93">
        <w:rPr>
          <w:bCs/>
          <w:lang w:val="en-US"/>
        </w:rPr>
        <w:t xml:space="preserve">financing </w:t>
      </w:r>
      <w:r w:rsidR="00E2586D">
        <w:rPr>
          <w:bCs/>
          <w:lang w:val="en-US"/>
        </w:rPr>
        <w:t xml:space="preserve">such as reserves and </w:t>
      </w:r>
      <w:r w:rsidR="00E2586D" w:rsidRPr="003957F2">
        <w:rPr>
          <w:bCs/>
          <w:lang w:val="en-US"/>
        </w:rPr>
        <w:t>working capital</w:t>
      </w:r>
      <w:r w:rsidR="00E308AD" w:rsidRPr="003957F2">
        <w:rPr>
          <w:bCs/>
          <w:lang w:val="en-US"/>
        </w:rPr>
        <w:t>.</w:t>
      </w:r>
    </w:p>
    <w:p w14:paraId="4E0EEEEC" w14:textId="0A7397F4" w:rsidR="00CA151C" w:rsidRDefault="00D329A1" w:rsidP="00B70DBE">
      <w:pPr>
        <w:spacing w:after="120"/>
        <w:ind w:left="426"/>
        <w:jc w:val="both"/>
        <w:rPr>
          <w:bCs/>
          <w:lang w:val="en-US"/>
        </w:rPr>
      </w:pPr>
      <w:r w:rsidRPr="00B948F9">
        <w:rPr>
          <w:b/>
          <w:sz w:val="28"/>
          <w:szCs w:val="28"/>
          <w:lang w:eastAsia="en-GB"/>
        </w:rPr>
        <w:t>⁴</w:t>
      </w:r>
      <w:r>
        <w:rPr>
          <w:b/>
          <w:sz w:val="28"/>
          <w:szCs w:val="28"/>
          <w:lang w:eastAsia="en-GB"/>
        </w:rPr>
        <w:t xml:space="preserve"> </w:t>
      </w:r>
      <w:r w:rsidR="009832CB" w:rsidRPr="00B12528">
        <w:rPr>
          <w:bCs/>
          <w:lang w:val="en-US"/>
        </w:rPr>
        <w:t>Earmarked</w:t>
      </w:r>
      <w:r w:rsidR="008F13DE">
        <w:rPr>
          <w:bCs/>
          <w:lang w:val="en-US"/>
        </w:rPr>
        <w:t>, Capital</w:t>
      </w:r>
      <w:r w:rsidR="009832CB" w:rsidRPr="00B12528">
        <w:rPr>
          <w:bCs/>
          <w:lang w:val="en-US"/>
        </w:rPr>
        <w:t xml:space="preserve"> and General Reserves </w:t>
      </w:r>
      <w:r w:rsidR="00573A1B" w:rsidRPr="00B12528">
        <w:rPr>
          <w:bCs/>
          <w:lang w:val="en-US"/>
        </w:rPr>
        <w:t>a</w:t>
      </w:r>
      <w:r w:rsidR="00B12528" w:rsidRPr="00B12528">
        <w:rPr>
          <w:bCs/>
          <w:lang w:val="en-US"/>
        </w:rPr>
        <w:t>re forecast</w:t>
      </w:r>
      <w:r w:rsidR="00B12528">
        <w:rPr>
          <w:bCs/>
          <w:lang w:val="en-US"/>
        </w:rPr>
        <w:t xml:space="preserve"> to fall going forward as </w:t>
      </w:r>
      <w:r w:rsidR="008F13DE">
        <w:rPr>
          <w:bCs/>
          <w:lang w:val="en-US"/>
        </w:rPr>
        <w:t>r</w:t>
      </w:r>
      <w:r w:rsidR="00B12528">
        <w:rPr>
          <w:bCs/>
          <w:lang w:val="en-US"/>
        </w:rPr>
        <w:t>eserves are utilized for projects.</w:t>
      </w:r>
    </w:p>
    <w:p w14:paraId="48090CC2" w14:textId="503DDAD5" w:rsidR="0023105D" w:rsidRDefault="00D329A1" w:rsidP="0069258D">
      <w:pPr>
        <w:spacing w:after="360"/>
        <w:ind w:left="426"/>
        <w:jc w:val="both"/>
        <w:rPr>
          <w:bCs/>
          <w:lang w:val="en-US"/>
        </w:rPr>
      </w:pPr>
      <w:r w:rsidRPr="00D329A1">
        <w:rPr>
          <w:b/>
          <w:sz w:val="28"/>
          <w:szCs w:val="28"/>
          <w:lang w:eastAsia="en-GB"/>
        </w:rPr>
        <w:t>⁵</w:t>
      </w:r>
      <w:r>
        <w:rPr>
          <w:b/>
          <w:bCs/>
          <w:color w:val="000000"/>
          <w:sz w:val="20"/>
          <w:szCs w:val="20"/>
          <w:lang w:eastAsia="en-GB"/>
        </w:rPr>
        <w:t xml:space="preserve"> </w:t>
      </w:r>
      <w:r w:rsidR="004211EF">
        <w:rPr>
          <w:bCs/>
          <w:lang w:val="en-US"/>
        </w:rPr>
        <w:t>Cash available to invest could reduce, as reserves are utilized for projects</w:t>
      </w:r>
      <w:r w:rsidR="0023105D">
        <w:rPr>
          <w:bCs/>
          <w:lang w:val="en-US"/>
        </w:rPr>
        <w:t>.</w:t>
      </w:r>
      <w:r w:rsidR="00F8343A">
        <w:rPr>
          <w:bCs/>
          <w:lang w:val="en-US"/>
        </w:rPr>
        <w:t xml:space="preserve"> A negative investment balance indicates additional borrowing.</w:t>
      </w:r>
      <w:r w:rsidR="0023105D">
        <w:rPr>
          <w:bCs/>
          <w:lang w:val="en-US"/>
        </w:rPr>
        <w:t xml:space="preserve"> </w:t>
      </w:r>
    </w:p>
    <w:p w14:paraId="54D7C7D4" w14:textId="45AE4F41" w:rsidR="00E8189C" w:rsidRDefault="007E570A" w:rsidP="0069258D">
      <w:pPr>
        <w:spacing w:after="120"/>
        <w:ind w:left="426"/>
        <w:jc w:val="both"/>
      </w:pPr>
      <w:r w:rsidRPr="0041076E">
        <w:t>The underlying need to borrow for capital purposes is measured by the Capital Financing Requirement</w:t>
      </w:r>
      <w:r>
        <w:t xml:space="preserve"> </w:t>
      </w:r>
      <w:r w:rsidRPr="0041076E">
        <w:t xml:space="preserve">(CFR), while usable reserves and working capital are the underlying resources available for investment. The Authority’s current strategy is to maintain borrowing and investments below their underlying levels, sometimes known as internal </w:t>
      </w:r>
      <w:r w:rsidR="00734944">
        <w:t>financing</w:t>
      </w:r>
      <w:r w:rsidRPr="0041076E">
        <w:t>.</w:t>
      </w:r>
      <w:r w:rsidR="00AF3EDC">
        <w:t xml:space="preserve"> </w:t>
      </w:r>
      <w:r w:rsidRPr="00EF3056">
        <w:t>The Authority’s capital expenditure plans</w:t>
      </w:r>
      <w:r w:rsidR="00432A6D">
        <w:t xml:space="preserve"> </w:t>
      </w:r>
      <w:r w:rsidR="00E73D5A">
        <w:t xml:space="preserve">may require additional </w:t>
      </w:r>
      <w:r w:rsidR="00B96916">
        <w:t xml:space="preserve">external </w:t>
      </w:r>
      <w:r w:rsidR="00E73D5A">
        <w:t xml:space="preserve">borrowing in </w:t>
      </w:r>
      <w:r w:rsidR="00E73D5A" w:rsidRPr="0041585B">
        <w:t>202</w:t>
      </w:r>
      <w:r w:rsidR="00470E4B" w:rsidRPr="0041585B">
        <w:t>5</w:t>
      </w:r>
      <w:r w:rsidR="00E73D5A" w:rsidRPr="0041585B">
        <w:t>/2</w:t>
      </w:r>
      <w:r w:rsidR="00470E4B" w:rsidRPr="0041585B">
        <w:t>6</w:t>
      </w:r>
      <w:r w:rsidR="00E73D5A">
        <w:t xml:space="preserve"> based on </w:t>
      </w:r>
      <w:r w:rsidR="00B12528">
        <w:t>the table above - t</w:t>
      </w:r>
      <w:r>
        <w:t>he liability benchmark and borrowing strategy is set out later in this report</w:t>
      </w:r>
      <w:r w:rsidRPr="0041076E">
        <w:t xml:space="preserve">. </w:t>
      </w:r>
      <w:r>
        <w:t>Funds available for i</w:t>
      </w:r>
      <w:r w:rsidRPr="0041076E">
        <w:t xml:space="preserve">nvestment are forecast to fall </w:t>
      </w:r>
      <w:r>
        <w:t>due to higher budgeted capital expenditure in later years, which cannot be fully funded by capital receipts</w:t>
      </w:r>
      <w:r w:rsidRPr="0041076E">
        <w:t>.</w:t>
      </w:r>
      <w:r w:rsidR="003853EF">
        <w:t xml:space="preserve"> </w:t>
      </w:r>
    </w:p>
    <w:p w14:paraId="32188F57" w14:textId="1A7AEF85" w:rsidR="003C4815" w:rsidRDefault="00E8189C" w:rsidP="0069258D">
      <w:pPr>
        <w:spacing w:after="120"/>
        <w:ind w:left="426"/>
        <w:jc w:val="both"/>
      </w:pPr>
      <w:r w:rsidRPr="00F01896">
        <w:t>Investment</w:t>
      </w:r>
      <w:r w:rsidR="00996DC2" w:rsidRPr="00F01896">
        <w:t>s</w:t>
      </w:r>
      <w:r w:rsidRPr="00F01896">
        <w:t xml:space="preserve"> fall from 2</w:t>
      </w:r>
      <w:r w:rsidR="00F01896" w:rsidRPr="00F01896">
        <w:t>2</w:t>
      </w:r>
      <w:r w:rsidRPr="00F01896">
        <w:t>/2</w:t>
      </w:r>
      <w:r w:rsidR="00F01896" w:rsidRPr="00F01896">
        <w:t>3</w:t>
      </w:r>
      <w:r w:rsidRPr="00F01896">
        <w:t xml:space="preserve"> due</w:t>
      </w:r>
      <w:r>
        <w:t xml:space="preserve"> to the </w:t>
      </w:r>
      <w:r w:rsidR="003C4815">
        <w:t xml:space="preserve">planned </w:t>
      </w:r>
      <w:r>
        <w:t>use of Earmarked and Capital Receipts Reserves to fund projects.</w:t>
      </w:r>
    </w:p>
    <w:p w14:paraId="60B3A580" w14:textId="75BAD993" w:rsidR="007E570A" w:rsidRDefault="007E570A" w:rsidP="00D854D0">
      <w:pPr>
        <w:pStyle w:val="ListParagraph"/>
        <w:spacing w:after="240"/>
        <w:ind w:left="426"/>
        <w:jc w:val="both"/>
      </w:pPr>
      <w:r w:rsidRPr="0041076E">
        <w:lastRenderedPageBreak/>
        <w:t xml:space="preserve">CIPFA’s </w:t>
      </w:r>
      <w:r w:rsidRPr="003853EF">
        <w:rPr>
          <w:i/>
        </w:rPr>
        <w:t>Prudential Code for Capital Finance in Local Authorities</w:t>
      </w:r>
      <w:r w:rsidRPr="003853EF">
        <w:t xml:space="preserve"> </w:t>
      </w:r>
      <w:r w:rsidR="00D854D0" w:rsidRPr="003853EF">
        <w:t xml:space="preserve">requires </w:t>
      </w:r>
      <w:r w:rsidR="00AD40E5" w:rsidRPr="003853EF">
        <w:t xml:space="preserve">authorities to estimate and measure its liability benchmark over </w:t>
      </w:r>
      <w:r w:rsidR="003802C7" w:rsidRPr="003853EF">
        <w:t xml:space="preserve">as a minimum, </w:t>
      </w:r>
      <w:r w:rsidR="00AD40E5" w:rsidRPr="003853EF">
        <w:t>the next three years</w:t>
      </w:r>
      <w:r w:rsidR="00082783" w:rsidRPr="003853EF">
        <w:t xml:space="preserve">, </w:t>
      </w:r>
      <w:r w:rsidR="0041075B" w:rsidRPr="003853EF">
        <w:t>however,</w:t>
      </w:r>
      <w:r w:rsidR="00082783" w:rsidRPr="003853EF">
        <w:t xml:space="preserve"> recommends that the liability benchmark is produced</w:t>
      </w:r>
      <w:r w:rsidR="0041075B" w:rsidRPr="003853EF">
        <w:t xml:space="preserve"> for at least ten years and should ideally cover the full debt maturity profile of the authority</w:t>
      </w:r>
      <w:r w:rsidR="003802C7" w:rsidRPr="003853EF">
        <w:t>.</w:t>
      </w:r>
      <w:r w:rsidR="00D854D0" w:rsidRPr="003853EF">
        <w:t xml:space="preserve"> </w:t>
      </w:r>
      <w:r w:rsidR="003802C7" w:rsidRPr="003853EF">
        <w:t>T</w:t>
      </w:r>
      <w:r w:rsidRPr="003853EF">
        <w:t>he</w:t>
      </w:r>
      <w:r w:rsidRPr="0041076E">
        <w:t xml:space="preserve"> Authority’s total debt should be lower than its highest forecast CFR. Table 1 shows that the Authority expects to comply with this recommendation during 20</w:t>
      </w:r>
      <w:r>
        <w:t>2</w:t>
      </w:r>
      <w:r w:rsidR="001849AD">
        <w:t>4</w:t>
      </w:r>
      <w:r w:rsidRPr="0041076E">
        <w:t>/2</w:t>
      </w:r>
      <w:r w:rsidR="001849AD">
        <w:t>5</w:t>
      </w:r>
      <w:r w:rsidRPr="0041076E">
        <w:t>.</w:t>
      </w:r>
    </w:p>
    <w:p w14:paraId="5C902CE9" w14:textId="6745BDC2" w:rsidR="00EF3056" w:rsidRDefault="007E570A" w:rsidP="00711110">
      <w:pPr>
        <w:spacing w:after="240"/>
        <w:ind w:left="425"/>
        <w:jc w:val="both"/>
      </w:pPr>
      <w:r w:rsidRPr="0041076E">
        <w:rPr>
          <w:b/>
        </w:rPr>
        <w:t xml:space="preserve">Liability benchmark: </w:t>
      </w:r>
      <w:r w:rsidRPr="0041076E">
        <w:t>To compare the Authority’s actual borrowing against an alternative strategy, a liability benchmark has been calculated showing the lowest risk level of borrowing. This assumes the same forecasts as table 1 above, but that cash and investment balances are kept to a minimum level of £</w:t>
      </w:r>
      <w:r>
        <w:t>10</w:t>
      </w:r>
      <w:r w:rsidRPr="0041076E">
        <w:t>m at each year-end to maintain sufficient liquidity but minimise credit risk.</w:t>
      </w:r>
      <w:r>
        <w:t xml:space="preserve"> </w:t>
      </w:r>
    </w:p>
    <w:p w14:paraId="4592F8EF" w14:textId="77777777" w:rsidR="0021055C" w:rsidRDefault="00853BCE" w:rsidP="0021055C">
      <w:pPr>
        <w:spacing w:after="240"/>
        <w:ind w:left="425"/>
        <w:jc w:val="both"/>
      </w:pPr>
      <w:r w:rsidRPr="00853BCE">
        <w:t xml:space="preserve">The liability benchmark is an important tool to help establish whether the </w:t>
      </w:r>
      <w:r w:rsidR="001F6719">
        <w:t>Service</w:t>
      </w:r>
      <w:r w:rsidR="001F6719" w:rsidRPr="00853BCE">
        <w:t xml:space="preserve"> </w:t>
      </w:r>
      <w:r w:rsidRPr="00853BCE">
        <w:t>is likely to be a long-term borrower or long-term investor in the future, and so shape its strategic focus and decision making. The liability benchmark itself represents an estimate of the cumulative amount of external borrowing the Council must hold to fund its current capital and revenue plans while keeping treasury investments at the minimum level required to manage day-to-day cash flow.</w:t>
      </w:r>
    </w:p>
    <w:p w14:paraId="7A019984" w14:textId="6A186977" w:rsidR="007E570A" w:rsidRDefault="007E570A" w:rsidP="0021055C">
      <w:pPr>
        <w:spacing w:after="240"/>
        <w:ind w:left="425"/>
        <w:jc w:val="both"/>
        <w:rPr>
          <w:b/>
          <w:bCs/>
        </w:rPr>
      </w:pPr>
      <w:r w:rsidRPr="0069258D">
        <w:rPr>
          <w:b/>
          <w:bCs/>
        </w:rPr>
        <w:t xml:space="preserve">Table 2: </w:t>
      </w:r>
      <w:r w:rsidR="00631D2C">
        <w:rPr>
          <w:b/>
          <w:bCs/>
        </w:rPr>
        <w:t xml:space="preserve">Prudential Indicator: </w:t>
      </w:r>
      <w:r w:rsidRPr="0069258D">
        <w:rPr>
          <w:b/>
          <w:bCs/>
        </w:rPr>
        <w:t>Liability benchmark</w:t>
      </w:r>
    </w:p>
    <w:tbl>
      <w:tblPr>
        <w:tblW w:w="15095" w:type="dxa"/>
        <w:tblInd w:w="416" w:type="dxa"/>
        <w:tblLook w:val="04A0" w:firstRow="1" w:lastRow="0" w:firstColumn="1" w:lastColumn="0" w:noHBand="0" w:noVBand="1"/>
      </w:tblPr>
      <w:tblGrid>
        <w:gridCol w:w="3545"/>
        <w:gridCol w:w="1050"/>
        <w:gridCol w:w="1050"/>
        <w:gridCol w:w="1050"/>
        <w:gridCol w:w="1050"/>
        <w:gridCol w:w="1050"/>
        <w:gridCol w:w="1050"/>
        <w:gridCol w:w="1050"/>
        <w:gridCol w:w="1050"/>
        <w:gridCol w:w="1050"/>
        <w:gridCol w:w="1050"/>
        <w:gridCol w:w="1050"/>
      </w:tblGrid>
      <w:tr w:rsidR="00312578" w:rsidRPr="00E41D09" w14:paraId="3E65999B" w14:textId="77777777" w:rsidTr="00312578">
        <w:trPr>
          <w:trHeight w:val="431"/>
        </w:trPr>
        <w:tc>
          <w:tcPr>
            <w:tcW w:w="3545" w:type="dxa"/>
            <w:vMerge w:val="restart"/>
            <w:tcBorders>
              <w:top w:val="single" w:sz="12" w:space="0" w:color="auto"/>
              <w:left w:val="single" w:sz="12" w:space="0" w:color="auto"/>
              <w:bottom w:val="single" w:sz="12" w:space="0" w:color="000000"/>
              <w:right w:val="single" w:sz="12" w:space="0" w:color="auto"/>
            </w:tcBorders>
            <w:shd w:val="clear" w:color="auto" w:fill="B4C6E7" w:themeFill="accent1" w:themeFillTint="66"/>
            <w:vAlign w:val="center"/>
            <w:hideMark/>
          </w:tcPr>
          <w:p w14:paraId="480BBDE7" w14:textId="420C1C69" w:rsidR="0021055C" w:rsidRPr="00F01896" w:rsidRDefault="0021055C" w:rsidP="0021055C">
            <w:pPr>
              <w:rPr>
                <w:b/>
                <w:bCs/>
                <w:sz w:val="20"/>
                <w:szCs w:val="20"/>
                <w:lang w:eastAsia="en-GB"/>
              </w:rPr>
            </w:pPr>
            <w:r w:rsidRPr="00F01896">
              <w:rPr>
                <w:b/>
                <w:bCs/>
                <w:sz w:val="20"/>
                <w:szCs w:val="20"/>
                <w:lang w:eastAsia="en-GB"/>
              </w:rPr>
              <w:t> Liability Benchmark</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05812A47" w14:textId="7B39201F" w:rsidR="0021055C" w:rsidRPr="00F01896" w:rsidRDefault="00835DC1" w:rsidP="0021055C">
            <w:pPr>
              <w:jc w:val="center"/>
              <w:rPr>
                <w:b/>
                <w:bCs/>
                <w:sz w:val="20"/>
                <w:szCs w:val="20"/>
                <w:lang w:eastAsia="en-GB"/>
              </w:rPr>
            </w:pPr>
            <w:r>
              <w:rPr>
                <w:b/>
                <w:bCs/>
                <w:sz w:val="20"/>
                <w:szCs w:val="20"/>
                <w:lang w:eastAsia="en-GB"/>
              </w:rPr>
              <w:t>Actual</w:t>
            </w:r>
            <w:r w:rsidR="0021055C" w:rsidRPr="00F01896">
              <w:rPr>
                <w:b/>
                <w:bCs/>
                <w:sz w:val="20"/>
                <w:szCs w:val="20"/>
                <w:lang w:eastAsia="en-GB"/>
              </w:rPr>
              <w:t xml:space="preserve"> 2022/23</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473F93B9" w14:textId="2E047CD6" w:rsidR="0021055C" w:rsidRPr="00F01896" w:rsidRDefault="0021055C" w:rsidP="0021055C">
            <w:pPr>
              <w:jc w:val="center"/>
              <w:rPr>
                <w:b/>
                <w:bCs/>
                <w:sz w:val="20"/>
                <w:szCs w:val="20"/>
                <w:lang w:eastAsia="en-GB"/>
              </w:rPr>
            </w:pPr>
            <w:r w:rsidRPr="00F01896">
              <w:rPr>
                <w:b/>
                <w:bCs/>
                <w:sz w:val="20"/>
                <w:szCs w:val="20"/>
                <w:lang w:eastAsia="en-GB"/>
              </w:rPr>
              <w:t>Forecast 2023/24</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6D13074E" w14:textId="16BECAF7" w:rsidR="0021055C" w:rsidRPr="00F01896" w:rsidRDefault="0021055C" w:rsidP="0021055C">
            <w:pPr>
              <w:jc w:val="center"/>
              <w:rPr>
                <w:b/>
                <w:bCs/>
                <w:sz w:val="20"/>
                <w:szCs w:val="20"/>
                <w:lang w:eastAsia="en-GB"/>
              </w:rPr>
            </w:pPr>
            <w:r w:rsidRPr="00F01896">
              <w:rPr>
                <w:b/>
                <w:bCs/>
                <w:sz w:val="20"/>
                <w:szCs w:val="20"/>
                <w:lang w:eastAsia="en-GB"/>
              </w:rPr>
              <w:t>Forecast 2024/25</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0E0C3925" w14:textId="4A485768" w:rsidR="0021055C" w:rsidRPr="00F01896" w:rsidRDefault="0021055C" w:rsidP="0021055C">
            <w:pPr>
              <w:jc w:val="center"/>
              <w:rPr>
                <w:b/>
                <w:bCs/>
                <w:sz w:val="20"/>
                <w:szCs w:val="20"/>
                <w:lang w:eastAsia="en-GB"/>
              </w:rPr>
            </w:pPr>
            <w:r w:rsidRPr="00F01896">
              <w:rPr>
                <w:b/>
                <w:bCs/>
                <w:sz w:val="20"/>
                <w:szCs w:val="20"/>
                <w:lang w:eastAsia="en-GB"/>
              </w:rPr>
              <w:t>Forecast 2025/26</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05F8F306" w14:textId="54306272" w:rsidR="0021055C" w:rsidRPr="00F01896" w:rsidRDefault="0021055C" w:rsidP="0021055C">
            <w:pPr>
              <w:jc w:val="center"/>
              <w:rPr>
                <w:b/>
                <w:bCs/>
                <w:sz w:val="20"/>
                <w:szCs w:val="20"/>
                <w:lang w:eastAsia="en-GB"/>
              </w:rPr>
            </w:pPr>
            <w:r w:rsidRPr="00F01896">
              <w:rPr>
                <w:b/>
                <w:bCs/>
                <w:sz w:val="20"/>
                <w:szCs w:val="20"/>
                <w:lang w:eastAsia="en-GB"/>
              </w:rPr>
              <w:t>Forecast 2026/27</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3A8FD198" w14:textId="584E42B2" w:rsidR="0021055C" w:rsidRPr="00F01896" w:rsidRDefault="0021055C" w:rsidP="0021055C">
            <w:pPr>
              <w:jc w:val="center"/>
              <w:rPr>
                <w:b/>
                <w:bCs/>
                <w:sz w:val="20"/>
                <w:szCs w:val="20"/>
                <w:lang w:eastAsia="en-GB"/>
              </w:rPr>
            </w:pPr>
            <w:r w:rsidRPr="00F01896">
              <w:rPr>
                <w:b/>
                <w:bCs/>
                <w:sz w:val="20"/>
                <w:szCs w:val="20"/>
                <w:lang w:eastAsia="en-GB"/>
              </w:rPr>
              <w:t>Forecast 2027/28</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3A6898B3" w14:textId="32B94D72" w:rsidR="0021055C" w:rsidRPr="00F01896" w:rsidRDefault="0021055C" w:rsidP="0021055C">
            <w:pPr>
              <w:jc w:val="center"/>
              <w:rPr>
                <w:b/>
                <w:bCs/>
                <w:sz w:val="20"/>
                <w:szCs w:val="20"/>
                <w:lang w:eastAsia="en-GB"/>
              </w:rPr>
            </w:pPr>
            <w:r w:rsidRPr="00F01896">
              <w:rPr>
                <w:b/>
                <w:bCs/>
                <w:sz w:val="20"/>
                <w:szCs w:val="20"/>
                <w:lang w:eastAsia="en-GB"/>
              </w:rPr>
              <w:t>Forecast 2028/29</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59B6D4C1" w14:textId="7BA14D74" w:rsidR="0021055C" w:rsidRPr="00F01896" w:rsidRDefault="0021055C" w:rsidP="0021055C">
            <w:pPr>
              <w:jc w:val="center"/>
              <w:rPr>
                <w:b/>
                <w:bCs/>
                <w:sz w:val="20"/>
                <w:szCs w:val="20"/>
                <w:lang w:eastAsia="en-GB"/>
              </w:rPr>
            </w:pPr>
            <w:r w:rsidRPr="00F01896">
              <w:rPr>
                <w:b/>
                <w:bCs/>
                <w:sz w:val="20"/>
                <w:szCs w:val="20"/>
                <w:lang w:eastAsia="en-GB"/>
              </w:rPr>
              <w:t>Forecast 2029/30</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560CE620" w14:textId="112B5C5C" w:rsidR="0021055C" w:rsidRPr="00F01896" w:rsidRDefault="0021055C" w:rsidP="0021055C">
            <w:pPr>
              <w:jc w:val="center"/>
              <w:rPr>
                <w:b/>
                <w:bCs/>
                <w:sz w:val="20"/>
                <w:szCs w:val="20"/>
                <w:lang w:eastAsia="en-GB"/>
              </w:rPr>
            </w:pPr>
            <w:r w:rsidRPr="00F01896">
              <w:rPr>
                <w:b/>
                <w:bCs/>
                <w:sz w:val="20"/>
                <w:szCs w:val="20"/>
                <w:lang w:eastAsia="en-GB"/>
              </w:rPr>
              <w:t>Forecast 2030/31</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47E536B0" w14:textId="0341DBD6" w:rsidR="0021055C" w:rsidRPr="00F01896" w:rsidRDefault="0021055C" w:rsidP="0021055C">
            <w:pPr>
              <w:jc w:val="center"/>
              <w:rPr>
                <w:b/>
                <w:bCs/>
                <w:sz w:val="20"/>
                <w:szCs w:val="20"/>
                <w:lang w:eastAsia="en-GB"/>
              </w:rPr>
            </w:pPr>
            <w:r w:rsidRPr="00F01896">
              <w:rPr>
                <w:b/>
                <w:bCs/>
                <w:sz w:val="20"/>
                <w:szCs w:val="20"/>
                <w:lang w:eastAsia="en-GB"/>
              </w:rPr>
              <w:t>Forecast 2031/32</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3F6FC857" w14:textId="43C09D6E" w:rsidR="0021055C" w:rsidRPr="00F01896" w:rsidRDefault="0021055C" w:rsidP="0021055C">
            <w:pPr>
              <w:jc w:val="center"/>
              <w:rPr>
                <w:b/>
                <w:bCs/>
                <w:sz w:val="20"/>
                <w:szCs w:val="20"/>
                <w:lang w:eastAsia="en-GB"/>
              </w:rPr>
            </w:pPr>
            <w:r w:rsidRPr="00F01896">
              <w:rPr>
                <w:b/>
                <w:bCs/>
                <w:sz w:val="20"/>
                <w:szCs w:val="20"/>
                <w:lang w:eastAsia="en-GB"/>
              </w:rPr>
              <w:t>Forecast 203</w:t>
            </w:r>
            <w:r>
              <w:rPr>
                <w:b/>
                <w:bCs/>
                <w:sz w:val="20"/>
                <w:szCs w:val="20"/>
                <w:lang w:eastAsia="en-GB"/>
              </w:rPr>
              <w:t>2</w:t>
            </w:r>
            <w:r w:rsidRPr="00F01896">
              <w:rPr>
                <w:b/>
                <w:bCs/>
                <w:sz w:val="20"/>
                <w:szCs w:val="20"/>
                <w:lang w:eastAsia="en-GB"/>
              </w:rPr>
              <w:t>/3</w:t>
            </w:r>
            <w:r>
              <w:rPr>
                <w:b/>
                <w:bCs/>
                <w:sz w:val="20"/>
                <w:szCs w:val="20"/>
                <w:lang w:eastAsia="en-GB"/>
              </w:rPr>
              <w:t>3</w:t>
            </w:r>
          </w:p>
        </w:tc>
      </w:tr>
      <w:tr w:rsidR="00312578" w:rsidRPr="00E41D09" w14:paraId="45A04CBA" w14:textId="77777777" w:rsidTr="00835DC1">
        <w:trPr>
          <w:trHeight w:val="246"/>
        </w:trPr>
        <w:tc>
          <w:tcPr>
            <w:tcW w:w="3545" w:type="dxa"/>
            <w:vMerge/>
            <w:tcBorders>
              <w:top w:val="single" w:sz="8" w:space="0" w:color="auto"/>
              <w:left w:val="single" w:sz="12" w:space="0" w:color="auto"/>
              <w:bottom w:val="single" w:sz="12" w:space="0" w:color="auto"/>
              <w:right w:val="single" w:sz="12" w:space="0" w:color="auto"/>
            </w:tcBorders>
            <w:shd w:val="clear" w:color="auto" w:fill="B4C6E7" w:themeFill="accent1" w:themeFillTint="66"/>
            <w:vAlign w:val="center"/>
            <w:hideMark/>
          </w:tcPr>
          <w:p w14:paraId="5AC2ADA4" w14:textId="77777777" w:rsidR="0021055C" w:rsidRPr="00F01896" w:rsidRDefault="0021055C" w:rsidP="0021055C">
            <w:pPr>
              <w:rPr>
                <w:b/>
                <w:bCs/>
                <w:sz w:val="20"/>
                <w:szCs w:val="20"/>
                <w:lang w:eastAsia="en-GB"/>
              </w:rPr>
            </w:pP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798C60B7" w14:textId="30CFC778"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19673B27" w14:textId="399B83E7"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28550596" w14:textId="500B0CD4"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60C40ABB" w14:textId="0DEF5A47"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5BDC8D76" w14:textId="36E101F8"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372BC66D" w14:textId="5D6DD466"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25682648" w14:textId="3FD0DE3E"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2791541A" w14:textId="299F0346"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0D5428EA" w14:textId="362DC589"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70B246B6" w14:textId="3B474E1E" w:rsidR="0021055C" w:rsidRPr="00F01896" w:rsidRDefault="0021055C" w:rsidP="0021055C">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024FACAE" w14:textId="77777777" w:rsidR="0021055C" w:rsidRPr="00F01896" w:rsidRDefault="0021055C" w:rsidP="0021055C">
            <w:pPr>
              <w:jc w:val="center"/>
              <w:rPr>
                <w:b/>
                <w:bCs/>
                <w:sz w:val="20"/>
                <w:szCs w:val="20"/>
                <w:lang w:eastAsia="en-GB"/>
              </w:rPr>
            </w:pPr>
            <w:r w:rsidRPr="00F01896">
              <w:rPr>
                <w:b/>
                <w:bCs/>
                <w:sz w:val="20"/>
                <w:szCs w:val="20"/>
                <w:lang w:eastAsia="en-GB"/>
              </w:rPr>
              <w:t>£Million</w:t>
            </w:r>
          </w:p>
        </w:tc>
      </w:tr>
      <w:tr w:rsidR="00211904" w:rsidRPr="009C39EA" w14:paraId="763CB385" w14:textId="77777777" w:rsidTr="00835DC1">
        <w:trPr>
          <w:trHeight w:val="254"/>
        </w:trPr>
        <w:tc>
          <w:tcPr>
            <w:tcW w:w="3545" w:type="dxa"/>
            <w:tcBorders>
              <w:top w:val="single" w:sz="12" w:space="0" w:color="auto"/>
              <w:left w:val="single" w:sz="12" w:space="0" w:color="auto"/>
              <w:bottom w:val="nil"/>
              <w:right w:val="single" w:sz="12" w:space="0" w:color="auto"/>
            </w:tcBorders>
            <w:shd w:val="clear" w:color="000000" w:fill="FFFFFF"/>
            <w:noWrap/>
            <w:vAlign w:val="bottom"/>
            <w:hideMark/>
          </w:tcPr>
          <w:p w14:paraId="31AC5A49" w14:textId="453A9493" w:rsidR="00211904" w:rsidRPr="00F01896" w:rsidRDefault="00211904" w:rsidP="00211904">
            <w:pPr>
              <w:rPr>
                <w:sz w:val="20"/>
                <w:szCs w:val="20"/>
                <w:lang w:eastAsia="en-GB"/>
              </w:rPr>
            </w:pPr>
            <w:r w:rsidRPr="00F01896">
              <w:rPr>
                <w:sz w:val="20"/>
                <w:szCs w:val="20"/>
                <w:lang w:eastAsia="en-GB"/>
              </w:rPr>
              <w:t>Loans CFR</w:t>
            </w:r>
          </w:p>
        </w:tc>
        <w:tc>
          <w:tcPr>
            <w:tcW w:w="1050" w:type="dxa"/>
            <w:tcBorders>
              <w:top w:val="single" w:sz="12" w:space="0" w:color="auto"/>
              <w:left w:val="single" w:sz="12" w:space="0" w:color="auto"/>
              <w:bottom w:val="nil"/>
              <w:right w:val="single" w:sz="12" w:space="0" w:color="auto"/>
            </w:tcBorders>
            <w:shd w:val="clear" w:color="000000" w:fill="FFFFFF"/>
            <w:hideMark/>
          </w:tcPr>
          <w:p w14:paraId="3C105D6A" w14:textId="38754082" w:rsidR="00211904" w:rsidRPr="0021055C" w:rsidRDefault="00211904" w:rsidP="00211904">
            <w:pPr>
              <w:jc w:val="right"/>
              <w:rPr>
                <w:color w:val="000000"/>
                <w:sz w:val="20"/>
                <w:szCs w:val="20"/>
                <w:lang w:eastAsia="en-GB"/>
              </w:rPr>
            </w:pPr>
            <w:r>
              <w:rPr>
                <w:sz w:val="20"/>
                <w:szCs w:val="20"/>
              </w:rPr>
              <w:t>32.1</w:t>
            </w:r>
          </w:p>
        </w:tc>
        <w:tc>
          <w:tcPr>
            <w:tcW w:w="1050" w:type="dxa"/>
            <w:tcBorders>
              <w:top w:val="single" w:sz="12" w:space="0" w:color="auto"/>
              <w:left w:val="single" w:sz="12" w:space="0" w:color="auto"/>
              <w:bottom w:val="nil"/>
              <w:right w:val="single" w:sz="12" w:space="0" w:color="auto"/>
            </w:tcBorders>
            <w:shd w:val="clear" w:color="000000" w:fill="FFFFFF"/>
            <w:hideMark/>
          </w:tcPr>
          <w:p w14:paraId="5ADC7C81" w14:textId="180D70EA" w:rsidR="00211904" w:rsidRPr="00211904" w:rsidRDefault="00211904" w:rsidP="00211904">
            <w:pPr>
              <w:jc w:val="right"/>
              <w:rPr>
                <w:sz w:val="20"/>
                <w:szCs w:val="20"/>
              </w:rPr>
            </w:pPr>
            <w:r w:rsidRPr="00211904">
              <w:rPr>
                <w:sz w:val="20"/>
                <w:szCs w:val="20"/>
              </w:rPr>
              <w:t>29.1</w:t>
            </w:r>
          </w:p>
        </w:tc>
        <w:tc>
          <w:tcPr>
            <w:tcW w:w="1050" w:type="dxa"/>
            <w:tcBorders>
              <w:top w:val="single" w:sz="12" w:space="0" w:color="auto"/>
              <w:left w:val="single" w:sz="12" w:space="0" w:color="auto"/>
              <w:bottom w:val="nil"/>
              <w:right w:val="single" w:sz="12" w:space="0" w:color="auto"/>
            </w:tcBorders>
            <w:shd w:val="clear" w:color="000000" w:fill="FFFFFF"/>
            <w:hideMark/>
          </w:tcPr>
          <w:p w14:paraId="57A14843" w14:textId="73FEE5FD" w:rsidR="00211904" w:rsidRPr="00211904" w:rsidRDefault="00211904" w:rsidP="00211904">
            <w:pPr>
              <w:jc w:val="right"/>
              <w:rPr>
                <w:sz w:val="20"/>
                <w:szCs w:val="20"/>
              </w:rPr>
            </w:pPr>
            <w:r w:rsidRPr="00211904">
              <w:rPr>
                <w:sz w:val="20"/>
                <w:szCs w:val="20"/>
              </w:rPr>
              <w:t>31.9</w:t>
            </w:r>
          </w:p>
        </w:tc>
        <w:tc>
          <w:tcPr>
            <w:tcW w:w="1050" w:type="dxa"/>
            <w:tcBorders>
              <w:top w:val="single" w:sz="12" w:space="0" w:color="auto"/>
              <w:left w:val="single" w:sz="12" w:space="0" w:color="auto"/>
              <w:bottom w:val="nil"/>
              <w:right w:val="single" w:sz="12" w:space="0" w:color="auto"/>
            </w:tcBorders>
            <w:shd w:val="clear" w:color="000000" w:fill="FFFFFF"/>
            <w:hideMark/>
          </w:tcPr>
          <w:p w14:paraId="615E25A7" w14:textId="25825BAF" w:rsidR="00211904" w:rsidRPr="00211904" w:rsidRDefault="00211904" w:rsidP="00211904">
            <w:pPr>
              <w:jc w:val="right"/>
              <w:rPr>
                <w:sz w:val="20"/>
                <w:szCs w:val="20"/>
              </w:rPr>
            </w:pPr>
            <w:r w:rsidRPr="00211904">
              <w:rPr>
                <w:sz w:val="20"/>
                <w:szCs w:val="20"/>
              </w:rPr>
              <w:t>33.0</w:t>
            </w:r>
          </w:p>
        </w:tc>
        <w:tc>
          <w:tcPr>
            <w:tcW w:w="1050" w:type="dxa"/>
            <w:tcBorders>
              <w:top w:val="single" w:sz="12" w:space="0" w:color="auto"/>
              <w:left w:val="single" w:sz="12" w:space="0" w:color="auto"/>
              <w:bottom w:val="nil"/>
              <w:right w:val="single" w:sz="12" w:space="0" w:color="auto"/>
            </w:tcBorders>
            <w:shd w:val="clear" w:color="000000" w:fill="FFFFFF"/>
            <w:hideMark/>
          </w:tcPr>
          <w:p w14:paraId="73D76669" w14:textId="59307F1F" w:rsidR="00211904" w:rsidRPr="00211904" w:rsidRDefault="00211904" w:rsidP="00211904">
            <w:pPr>
              <w:jc w:val="right"/>
              <w:rPr>
                <w:sz w:val="20"/>
                <w:szCs w:val="20"/>
              </w:rPr>
            </w:pPr>
            <w:r w:rsidRPr="00211904">
              <w:rPr>
                <w:sz w:val="20"/>
                <w:szCs w:val="20"/>
              </w:rPr>
              <w:t>44.1</w:t>
            </w:r>
          </w:p>
        </w:tc>
        <w:tc>
          <w:tcPr>
            <w:tcW w:w="1050" w:type="dxa"/>
            <w:tcBorders>
              <w:top w:val="single" w:sz="12" w:space="0" w:color="auto"/>
              <w:left w:val="single" w:sz="12" w:space="0" w:color="auto"/>
              <w:bottom w:val="nil"/>
              <w:right w:val="single" w:sz="12" w:space="0" w:color="auto"/>
            </w:tcBorders>
            <w:shd w:val="clear" w:color="000000" w:fill="FFFFFF"/>
          </w:tcPr>
          <w:p w14:paraId="2980B5D1" w14:textId="1F75AD1C" w:rsidR="00211904" w:rsidRPr="00211904" w:rsidRDefault="00211904" w:rsidP="00211904">
            <w:pPr>
              <w:jc w:val="right"/>
              <w:rPr>
                <w:sz w:val="20"/>
                <w:szCs w:val="20"/>
              </w:rPr>
            </w:pPr>
            <w:r w:rsidRPr="00211904">
              <w:rPr>
                <w:sz w:val="20"/>
                <w:szCs w:val="20"/>
              </w:rPr>
              <w:t>43.9</w:t>
            </w:r>
          </w:p>
        </w:tc>
        <w:tc>
          <w:tcPr>
            <w:tcW w:w="1050" w:type="dxa"/>
            <w:tcBorders>
              <w:top w:val="single" w:sz="12" w:space="0" w:color="auto"/>
              <w:left w:val="single" w:sz="12" w:space="0" w:color="auto"/>
              <w:bottom w:val="nil"/>
              <w:right w:val="single" w:sz="12" w:space="0" w:color="auto"/>
            </w:tcBorders>
            <w:shd w:val="clear" w:color="000000" w:fill="FFFFFF"/>
          </w:tcPr>
          <w:p w14:paraId="49CBED84" w14:textId="1D2D6C65" w:rsidR="00211904" w:rsidRPr="00211904" w:rsidRDefault="00211904" w:rsidP="00211904">
            <w:pPr>
              <w:jc w:val="right"/>
              <w:rPr>
                <w:sz w:val="20"/>
                <w:szCs w:val="20"/>
              </w:rPr>
            </w:pPr>
            <w:r w:rsidRPr="00211904">
              <w:rPr>
                <w:sz w:val="20"/>
                <w:szCs w:val="20"/>
              </w:rPr>
              <w:t>40.8</w:t>
            </w:r>
          </w:p>
        </w:tc>
        <w:tc>
          <w:tcPr>
            <w:tcW w:w="1050" w:type="dxa"/>
            <w:tcBorders>
              <w:top w:val="single" w:sz="12" w:space="0" w:color="auto"/>
              <w:left w:val="single" w:sz="12" w:space="0" w:color="auto"/>
              <w:bottom w:val="nil"/>
              <w:right w:val="single" w:sz="12" w:space="0" w:color="auto"/>
            </w:tcBorders>
            <w:shd w:val="clear" w:color="000000" w:fill="FFFFFF"/>
          </w:tcPr>
          <w:p w14:paraId="2F63AB95" w14:textId="1FE044AE" w:rsidR="00211904" w:rsidRPr="00211904" w:rsidRDefault="00211904" w:rsidP="00211904">
            <w:pPr>
              <w:jc w:val="right"/>
              <w:rPr>
                <w:sz w:val="20"/>
                <w:szCs w:val="20"/>
              </w:rPr>
            </w:pPr>
            <w:r w:rsidRPr="00211904">
              <w:rPr>
                <w:sz w:val="20"/>
                <w:szCs w:val="20"/>
              </w:rPr>
              <w:t>37.7</w:t>
            </w:r>
          </w:p>
        </w:tc>
        <w:tc>
          <w:tcPr>
            <w:tcW w:w="1050" w:type="dxa"/>
            <w:tcBorders>
              <w:top w:val="single" w:sz="12" w:space="0" w:color="auto"/>
              <w:left w:val="single" w:sz="12" w:space="0" w:color="auto"/>
              <w:bottom w:val="nil"/>
              <w:right w:val="single" w:sz="12" w:space="0" w:color="auto"/>
            </w:tcBorders>
            <w:shd w:val="clear" w:color="000000" w:fill="FFFFFF"/>
          </w:tcPr>
          <w:p w14:paraId="1DBA49AC" w14:textId="0F633E2E" w:rsidR="00211904" w:rsidRPr="00211904" w:rsidRDefault="00211904" w:rsidP="00211904">
            <w:pPr>
              <w:jc w:val="right"/>
              <w:rPr>
                <w:sz w:val="20"/>
                <w:szCs w:val="20"/>
              </w:rPr>
            </w:pPr>
            <w:r w:rsidRPr="00211904">
              <w:rPr>
                <w:sz w:val="20"/>
                <w:szCs w:val="20"/>
              </w:rPr>
              <w:t>32.6</w:t>
            </w:r>
          </w:p>
        </w:tc>
        <w:tc>
          <w:tcPr>
            <w:tcW w:w="1050" w:type="dxa"/>
            <w:tcBorders>
              <w:top w:val="single" w:sz="12" w:space="0" w:color="auto"/>
              <w:left w:val="single" w:sz="12" w:space="0" w:color="auto"/>
              <w:bottom w:val="nil"/>
              <w:right w:val="single" w:sz="12" w:space="0" w:color="auto"/>
            </w:tcBorders>
            <w:shd w:val="clear" w:color="000000" w:fill="FFFFFF"/>
          </w:tcPr>
          <w:p w14:paraId="0EA91D76" w14:textId="7831498D" w:rsidR="00211904" w:rsidRPr="00211904" w:rsidRDefault="00211904" w:rsidP="00211904">
            <w:pPr>
              <w:jc w:val="right"/>
              <w:rPr>
                <w:sz w:val="20"/>
                <w:szCs w:val="20"/>
              </w:rPr>
            </w:pPr>
            <w:r w:rsidRPr="00211904">
              <w:rPr>
                <w:sz w:val="20"/>
                <w:szCs w:val="20"/>
              </w:rPr>
              <w:t>27.9</w:t>
            </w:r>
          </w:p>
        </w:tc>
        <w:tc>
          <w:tcPr>
            <w:tcW w:w="1050" w:type="dxa"/>
            <w:tcBorders>
              <w:top w:val="single" w:sz="12" w:space="0" w:color="auto"/>
              <w:left w:val="single" w:sz="12" w:space="0" w:color="auto"/>
              <w:bottom w:val="nil"/>
              <w:right w:val="single" w:sz="12" w:space="0" w:color="auto"/>
            </w:tcBorders>
            <w:shd w:val="clear" w:color="000000" w:fill="FFFFFF"/>
          </w:tcPr>
          <w:p w14:paraId="08DBE068" w14:textId="3EBE83D4" w:rsidR="00211904" w:rsidRPr="00211904" w:rsidRDefault="00211904" w:rsidP="00211904">
            <w:pPr>
              <w:jc w:val="right"/>
              <w:rPr>
                <w:sz w:val="20"/>
                <w:szCs w:val="20"/>
              </w:rPr>
            </w:pPr>
            <w:r w:rsidRPr="00211904">
              <w:rPr>
                <w:sz w:val="20"/>
                <w:szCs w:val="20"/>
              </w:rPr>
              <w:t>23.9</w:t>
            </w:r>
          </w:p>
        </w:tc>
      </w:tr>
      <w:tr w:rsidR="00211904" w:rsidRPr="009C39EA" w14:paraId="54619453" w14:textId="77777777" w:rsidTr="00835DC1">
        <w:trPr>
          <w:trHeight w:val="246"/>
        </w:trPr>
        <w:tc>
          <w:tcPr>
            <w:tcW w:w="3545" w:type="dxa"/>
            <w:tcBorders>
              <w:top w:val="nil"/>
              <w:left w:val="single" w:sz="12" w:space="0" w:color="auto"/>
              <w:bottom w:val="nil"/>
              <w:right w:val="single" w:sz="12" w:space="0" w:color="auto"/>
            </w:tcBorders>
            <w:shd w:val="clear" w:color="000000" w:fill="FFFFFF"/>
            <w:noWrap/>
            <w:vAlign w:val="bottom"/>
            <w:hideMark/>
          </w:tcPr>
          <w:p w14:paraId="11BFE8EF" w14:textId="2A58CDF9" w:rsidR="00211904" w:rsidRPr="00F01896" w:rsidRDefault="00211904" w:rsidP="00211904">
            <w:pPr>
              <w:rPr>
                <w:sz w:val="20"/>
                <w:szCs w:val="20"/>
                <w:lang w:eastAsia="en-GB"/>
              </w:rPr>
            </w:pPr>
            <w:r w:rsidRPr="00F01896">
              <w:rPr>
                <w:sz w:val="20"/>
                <w:szCs w:val="20"/>
                <w:lang w:eastAsia="en-GB"/>
              </w:rPr>
              <w:t>Less: Usable reserves</w:t>
            </w:r>
          </w:p>
        </w:tc>
        <w:tc>
          <w:tcPr>
            <w:tcW w:w="1050" w:type="dxa"/>
            <w:tcBorders>
              <w:top w:val="nil"/>
              <w:left w:val="single" w:sz="12" w:space="0" w:color="auto"/>
              <w:bottom w:val="nil"/>
              <w:right w:val="single" w:sz="12" w:space="0" w:color="auto"/>
            </w:tcBorders>
            <w:shd w:val="clear" w:color="000000" w:fill="FFFFFF"/>
            <w:hideMark/>
          </w:tcPr>
          <w:p w14:paraId="0A57D6CB" w14:textId="2BABD785" w:rsidR="00211904" w:rsidRPr="0021055C" w:rsidRDefault="00211904" w:rsidP="00211904">
            <w:pPr>
              <w:jc w:val="right"/>
              <w:rPr>
                <w:color w:val="000000"/>
                <w:sz w:val="20"/>
                <w:szCs w:val="20"/>
                <w:lang w:eastAsia="en-GB"/>
              </w:rPr>
            </w:pPr>
            <w:r w:rsidRPr="0021055C">
              <w:rPr>
                <w:sz w:val="20"/>
                <w:szCs w:val="20"/>
              </w:rPr>
              <w:t>(26.7)</w:t>
            </w:r>
          </w:p>
        </w:tc>
        <w:tc>
          <w:tcPr>
            <w:tcW w:w="1050" w:type="dxa"/>
            <w:tcBorders>
              <w:top w:val="nil"/>
              <w:left w:val="single" w:sz="12" w:space="0" w:color="auto"/>
              <w:bottom w:val="nil"/>
              <w:right w:val="single" w:sz="12" w:space="0" w:color="auto"/>
            </w:tcBorders>
            <w:shd w:val="clear" w:color="000000" w:fill="FFFFFF"/>
            <w:hideMark/>
          </w:tcPr>
          <w:p w14:paraId="66D7E589" w14:textId="424AF6E9" w:rsidR="00211904" w:rsidRPr="00211904" w:rsidRDefault="00211904" w:rsidP="00211904">
            <w:pPr>
              <w:jc w:val="right"/>
              <w:rPr>
                <w:sz w:val="20"/>
                <w:szCs w:val="20"/>
              </w:rPr>
            </w:pPr>
            <w:r w:rsidRPr="00211904">
              <w:rPr>
                <w:sz w:val="20"/>
                <w:szCs w:val="20"/>
              </w:rPr>
              <w:t>(20.7)</w:t>
            </w:r>
          </w:p>
        </w:tc>
        <w:tc>
          <w:tcPr>
            <w:tcW w:w="1050" w:type="dxa"/>
            <w:tcBorders>
              <w:top w:val="nil"/>
              <w:left w:val="single" w:sz="12" w:space="0" w:color="auto"/>
              <w:bottom w:val="nil"/>
              <w:right w:val="single" w:sz="12" w:space="0" w:color="auto"/>
            </w:tcBorders>
            <w:shd w:val="clear" w:color="000000" w:fill="FFFFFF"/>
            <w:hideMark/>
          </w:tcPr>
          <w:p w14:paraId="038DB707" w14:textId="009AA5C4" w:rsidR="00211904" w:rsidRPr="00211904" w:rsidRDefault="00211904" w:rsidP="00211904">
            <w:pPr>
              <w:jc w:val="right"/>
              <w:rPr>
                <w:sz w:val="20"/>
                <w:szCs w:val="20"/>
              </w:rPr>
            </w:pPr>
            <w:r w:rsidRPr="00211904">
              <w:rPr>
                <w:sz w:val="20"/>
                <w:szCs w:val="20"/>
              </w:rPr>
              <w:t>(17.6)</w:t>
            </w:r>
          </w:p>
        </w:tc>
        <w:tc>
          <w:tcPr>
            <w:tcW w:w="1050" w:type="dxa"/>
            <w:tcBorders>
              <w:top w:val="nil"/>
              <w:left w:val="single" w:sz="12" w:space="0" w:color="auto"/>
              <w:bottom w:val="nil"/>
              <w:right w:val="single" w:sz="12" w:space="0" w:color="auto"/>
            </w:tcBorders>
            <w:shd w:val="clear" w:color="000000" w:fill="FFFFFF"/>
            <w:hideMark/>
          </w:tcPr>
          <w:p w14:paraId="6EB33D7D" w14:textId="795D901D" w:rsidR="00211904" w:rsidRPr="00211904" w:rsidRDefault="00211904" w:rsidP="00211904">
            <w:pPr>
              <w:jc w:val="right"/>
              <w:rPr>
                <w:sz w:val="20"/>
                <w:szCs w:val="20"/>
              </w:rPr>
            </w:pPr>
            <w:r w:rsidRPr="00211904">
              <w:rPr>
                <w:sz w:val="20"/>
                <w:szCs w:val="20"/>
              </w:rPr>
              <w:t>(13.0)</w:t>
            </w:r>
          </w:p>
        </w:tc>
        <w:tc>
          <w:tcPr>
            <w:tcW w:w="1050" w:type="dxa"/>
            <w:tcBorders>
              <w:top w:val="nil"/>
              <w:left w:val="single" w:sz="12" w:space="0" w:color="auto"/>
              <w:bottom w:val="nil"/>
              <w:right w:val="single" w:sz="12" w:space="0" w:color="auto"/>
            </w:tcBorders>
            <w:shd w:val="clear" w:color="000000" w:fill="FFFFFF"/>
            <w:hideMark/>
          </w:tcPr>
          <w:p w14:paraId="6D4ADC38" w14:textId="4E7D8CBD" w:rsidR="00211904" w:rsidRPr="00211904" w:rsidRDefault="00211904" w:rsidP="00211904">
            <w:pPr>
              <w:jc w:val="right"/>
              <w:rPr>
                <w:sz w:val="20"/>
                <w:szCs w:val="20"/>
              </w:rPr>
            </w:pPr>
            <w:r w:rsidRPr="00211904">
              <w:rPr>
                <w:sz w:val="20"/>
                <w:szCs w:val="20"/>
              </w:rPr>
              <w:t>(7.5)</w:t>
            </w:r>
          </w:p>
        </w:tc>
        <w:tc>
          <w:tcPr>
            <w:tcW w:w="1050" w:type="dxa"/>
            <w:tcBorders>
              <w:top w:val="nil"/>
              <w:left w:val="single" w:sz="12" w:space="0" w:color="auto"/>
              <w:bottom w:val="nil"/>
              <w:right w:val="single" w:sz="12" w:space="0" w:color="auto"/>
            </w:tcBorders>
            <w:shd w:val="clear" w:color="000000" w:fill="FFFFFF"/>
          </w:tcPr>
          <w:p w14:paraId="6BEF3B44" w14:textId="5AB1467D" w:rsidR="00211904" w:rsidRPr="00211904" w:rsidRDefault="00211904" w:rsidP="00211904">
            <w:pPr>
              <w:jc w:val="right"/>
              <w:rPr>
                <w:sz w:val="20"/>
                <w:szCs w:val="20"/>
              </w:rPr>
            </w:pPr>
            <w:r w:rsidRPr="00211904">
              <w:rPr>
                <w:sz w:val="20"/>
                <w:szCs w:val="20"/>
              </w:rPr>
              <w:t>(6.8)</w:t>
            </w:r>
          </w:p>
        </w:tc>
        <w:tc>
          <w:tcPr>
            <w:tcW w:w="1050" w:type="dxa"/>
            <w:tcBorders>
              <w:top w:val="nil"/>
              <w:left w:val="single" w:sz="12" w:space="0" w:color="auto"/>
              <w:bottom w:val="nil"/>
              <w:right w:val="single" w:sz="12" w:space="0" w:color="auto"/>
            </w:tcBorders>
            <w:shd w:val="clear" w:color="000000" w:fill="FFFFFF"/>
          </w:tcPr>
          <w:p w14:paraId="53C18155" w14:textId="78F278BC" w:rsidR="00211904" w:rsidRPr="00211904" w:rsidRDefault="00211904" w:rsidP="00211904">
            <w:pPr>
              <w:jc w:val="right"/>
              <w:rPr>
                <w:sz w:val="20"/>
                <w:szCs w:val="20"/>
              </w:rPr>
            </w:pPr>
            <w:r w:rsidRPr="00211904">
              <w:rPr>
                <w:sz w:val="20"/>
                <w:szCs w:val="20"/>
              </w:rPr>
              <w:t>(6.8)</w:t>
            </w:r>
          </w:p>
        </w:tc>
        <w:tc>
          <w:tcPr>
            <w:tcW w:w="1050" w:type="dxa"/>
            <w:tcBorders>
              <w:top w:val="nil"/>
              <w:left w:val="single" w:sz="12" w:space="0" w:color="auto"/>
              <w:bottom w:val="nil"/>
              <w:right w:val="single" w:sz="12" w:space="0" w:color="auto"/>
            </w:tcBorders>
            <w:shd w:val="clear" w:color="000000" w:fill="FFFFFF"/>
          </w:tcPr>
          <w:p w14:paraId="418B8DCB" w14:textId="135C394B" w:rsidR="00211904" w:rsidRPr="00211904" w:rsidRDefault="00211904" w:rsidP="00211904">
            <w:pPr>
              <w:jc w:val="right"/>
              <w:rPr>
                <w:sz w:val="20"/>
                <w:szCs w:val="20"/>
              </w:rPr>
            </w:pPr>
            <w:r w:rsidRPr="00211904">
              <w:rPr>
                <w:sz w:val="20"/>
                <w:szCs w:val="20"/>
              </w:rPr>
              <w:t>(6.8)</w:t>
            </w:r>
          </w:p>
        </w:tc>
        <w:tc>
          <w:tcPr>
            <w:tcW w:w="1050" w:type="dxa"/>
            <w:tcBorders>
              <w:top w:val="nil"/>
              <w:left w:val="single" w:sz="12" w:space="0" w:color="auto"/>
              <w:bottom w:val="nil"/>
              <w:right w:val="single" w:sz="12" w:space="0" w:color="auto"/>
            </w:tcBorders>
            <w:shd w:val="clear" w:color="000000" w:fill="FFFFFF"/>
          </w:tcPr>
          <w:p w14:paraId="21CB7E83" w14:textId="4FED27E8" w:rsidR="00211904" w:rsidRPr="00211904" w:rsidRDefault="00211904" w:rsidP="00211904">
            <w:pPr>
              <w:jc w:val="right"/>
              <w:rPr>
                <w:sz w:val="20"/>
                <w:szCs w:val="20"/>
              </w:rPr>
            </w:pPr>
            <w:r w:rsidRPr="00211904">
              <w:rPr>
                <w:sz w:val="20"/>
                <w:szCs w:val="20"/>
              </w:rPr>
              <w:t>(6.8)</w:t>
            </w:r>
          </w:p>
        </w:tc>
        <w:tc>
          <w:tcPr>
            <w:tcW w:w="1050" w:type="dxa"/>
            <w:tcBorders>
              <w:top w:val="nil"/>
              <w:left w:val="single" w:sz="12" w:space="0" w:color="auto"/>
              <w:bottom w:val="nil"/>
              <w:right w:val="single" w:sz="12" w:space="0" w:color="auto"/>
            </w:tcBorders>
            <w:shd w:val="clear" w:color="000000" w:fill="FFFFFF"/>
          </w:tcPr>
          <w:p w14:paraId="16C1324C" w14:textId="7CB0DD5A" w:rsidR="00211904" w:rsidRPr="00211904" w:rsidRDefault="00211904" w:rsidP="00211904">
            <w:pPr>
              <w:jc w:val="right"/>
              <w:rPr>
                <w:sz w:val="20"/>
                <w:szCs w:val="20"/>
              </w:rPr>
            </w:pPr>
            <w:r w:rsidRPr="00211904">
              <w:rPr>
                <w:sz w:val="20"/>
                <w:szCs w:val="20"/>
              </w:rPr>
              <w:t>(6.8)</w:t>
            </w:r>
          </w:p>
        </w:tc>
        <w:tc>
          <w:tcPr>
            <w:tcW w:w="1050" w:type="dxa"/>
            <w:tcBorders>
              <w:top w:val="nil"/>
              <w:left w:val="single" w:sz="12" w:space="0" w:color="auto"/>
              <w:bottom w:val="nil"/>
              <w:right w:val="single" w:sz="12" w:space="0" w:color="auto"/>
            </w:tcBorders>
            <w:shd w:val="clear" w:color="000000" w:fill="FFFFFF"/>
          </w:tcPr>
          <w:p w14:paraId="0CB344C3" w14:textId="4036EF20" w:rsidR="00211904" w:rsidRPr="00211904" w:rsidRDefault="00211904" w:rsidP="00211904">
            <w:pPr>
              <w:jc w:val="right"/>
              <w:rPr>
                <w:sz w:val="20"/>
                <w:szCs w:val="20"/>
              </w:rPr>
            </w:pPr>
            <w:r w:rsidRPr="00211904">
              <w:rPr>
                <w:sz w:val="20"/>
                <w:szCs w:val="20"/>
              </w:rPr>
              <w:t>(6.8)</w:t>
            </w:r>
          </w:p>
        </w:tc>
      </w:tr>
      <w:tr w:rsidR="00211904" w:rsidRPr="009C39EA" w14:paraId="21C7E7FE" w14:textId="77777777" w:rsidTr="00835DC1">
        <w:trPr>
          <w:trHeight w:val="292"/>
        </w:trPr>
        <w:tc>
          <w:tcPr>
            <w:tcW w:w="3545" w:type="dxa"/>
            <w:tcBorders>
              <w:top w:val="nil"/>
              <w:left w:val="single" w:sz="12" w:space="0" w:color="auto"/>
              <w:bottom w:val="nil"/>
              <w:right w:val="single" w:sz="12" w:space="0" w:color="auto"/>
            </w:tcBorders>
            <w:shd w:val="clear" w:color="000000" w:fill="FFFFFF"/>
            <w:noWrap/>
            <w:vAlign w:val="bottom"/>
            <w:hideMark/>
          </w:tcPr>
          <w:p w14:paraId="41AA9CDD" w14:textId="2E830499" w:rsidR="00211904" w:rsidRPr="00F01896" w:rsidRDefault="00211904" w:rsidP="00211904">
            <w:pPr>
              <w:rPr>
                <w:sz w:val="20"/>
                <w:szCs w:val="20"/>
                <w:lang w:eastAsia="en-GB"/>
              </w:rPr>
            </w:pPr>
            <w:r w:rsidRPr="00F01896">
              <w:rPr>
                <w:sz w:val="20"/>
                <w:szCs w:val="20"/>
                <w:lang w:eastAsia="en-GB"/>
              </w:rPr>
              <w:t>Plus: Working capital</w:t>
            </w:r>
          </w:p>
        </w:tc>
        <w:tc>
          <w:tcPr>
            <w:tcW w:w="1050" w:type="dxa"/>
            <w:tcBorders>
              <w:top w:val="nil"/>
              <w:left w:val="single" w:sz="12" w:space="0" w:color="auto"/>
              <w:bottom w:val="nil"/>
              <w:right w:val="single" w:sz="12" w:space="0" w:color="auto"/>
            </w:tcBorders>
            <w:shd w:val="clear" w:color="000000" w:fill="FFFFFF"/>
            <w:hideMark/>
          </w:tcPr>
          <w:p w14:paraId="49509CA2" w14:textId="4840E1F4" w:rsidR="00211904" w:rsidRPr="0021055C" w:rsidRDefault="00211904" w:rsidP="00211904">
            <w:pPr>
              <w:jc w:val="right"/>
              <w:rPr>
                <w:color w:val="000000"/>
                <w:sz w:val="20"/>
                <w:szCs w:val="20"/>
                <w:lang w:eastAsia="en-GB"/>
              </w:rPr>
            </w:pPr>
            <w:r w:rsidRPr="0021055C">
              <w:rPr>
                <w:sz w:val="20"/>
                <w:szCs w:val="20"/>
              </w:rPr>
              <w:t>2.0</w:t>
            </w:r>
          </w:p>
        </w:tc>
        <w:tc>
          <w:tcPr>
            <w:tcW w:w="1050" w:type="dxa"/>
            <w:tcBorders>
              <w:top w:val="nil"/>
              <w:left w:val="single" w:sz="12" w:space="0" w:color="auto"/>
              <w:bottom w:val="nil"/>
              <w:right w:val="single" w:sz="12" w:space="0" w:color="auto"/>
            </w:tcBorders>
            <w:shd w:val="clear" w:color="000000" w:fill="FFFFFF"/>
            <w:hideMark/>
          </w:tcPr>
          <w:p w14:paraId="3495BE3B" w14:textId="59A2DE83" w:rsidR="00211904" w:rsidRPr="00211904"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hideMark/>
          </w:tcPr>
          <w:p w14:paraId="6FAFACEE" w14:textId="0CC67E89" w:rsidR="00211904" w:rsidRPr="00211904"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hideMark/>
          </w:tcPr>
          <w:p w14:paraId="418A1BF3" w14:textId="7BD7A7E3" w:rsidR="00211904" w:rsidRPr="00211904"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hideMark/>
          </w:tcPr>
          <w:p w14:paraId="6A5F0BEC" w14:textId="0355CEF1" w:rsidR="00211904" w:rsidRPr="00211904"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tcPr>
          <w:p w14:paraId="5B5943FC" w14:textId="63503435" w:rsidR="00211904" w:rsidRPr="0021055C"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tcPr>
          <w:p w14:paraId="0A91FFEE" w14:textId="04CC5581" w:rsidR="00211904" w:rsidRPr="0021055C"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tcPr>
          <w:p w14:paraId="1E13F7B9" w14:textId="439D8370" w:rsidR="00211904" w:rsidRPr="0021055C"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tcPr>
          <w:p w14:paraId="7F1338C3" w14:textId="78849F83" w:rsidR="00211904" w:rsidRPr="0021055C"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tcPr>
          <w:p w14:paraId="1F7598C3" w14:textId="795E26D5" w:rsidR="00211904" w:rsidRPr="0021055C" w:rsidRDefault="00211904" w:rsidP="00211904">
            <w:pPr>
              <w:jc w:val="right"/>
              <w:rPr>
                <w:sz w:val="20"/>
                <w:szCs w:val="20"/>
              </w:rPr>
            </w:pPr>
            <w:r w:rsidRPr="00211904">
              <w:rPr>
                <w:sz w:val="20"/>
                <w:szCs w:val="20"/>
              </w:rPr>
              <w:t>2.0</w:t>
            </w:r>
          </w:p>
        </w:tc>
        <w:tc>
          <w:tcPr>
            <w:tcW w:w="1050" w:type="dxa"/>
            <w:tcBorders>
              <w:top w:val="nil"/>
              <w:left w:val="single" w:sz="12" w:space="0" w:color="auto"/>
              <w:bottom w:val="nil"/>
              <w:right w:val="single" w:sz="12" w:space="0" w:color="auto"/>
            </w:tcBorders>
            <w:shd w:val="clear" w:color="000000" w:fill="FFFFFF"/>
          </w:tcPr>
          <w:p w14:paraId="7D72377E" w14:textId="4911A053" w:rsidR="00211904" w:rsidRPr="0021055C" w:rsidRDefault="00211904" w:rsidP="00211904">
            <w:pPr>
              <w:jc w:val="right"/>
              <w:rPr>
                <w:sz w:val="20"/>
                <w:szCs w:val="20"/>
              </w:rPr>
            </w:pPr>
            <w:r w:rsidRPr="00211904">
              <w:rPr>
                <w:sz w:val="20"/>
                <w:szCs w:val="20"/>
              </w:rPr>
              <w:t>2.0</w:t>
            </w:r>
          </w:p>
        </w:tc>
      </w:tr>
      <w:tr w:rsidR="00211904" w:rsidRPr="009C39EA" w14:paraId="5B3EE174" w14:textId="77777777" w:rsidTr="00835DC1">
        <w:trPr>
          <w:trHeight w:val="246"/>
        </w:trPr>
        <w:tc>
          <w:tcPr>
            <w:tcW w:w="3545" w:type="dxa"/>
            <w:tcBorders>
              <w:top w:val="nil"/>
              <w:left w:val="single" w:sz="12" w:space="0" w:color="auto"/>
              <w:bottom w:val="single" w:sz="12" w:space="0" w:color="auto"/>
              <w:right w:val="single" w:sz="12" w:space="0" w:color="auto"/>
            </w:tcBorders>
            <w:shd w:val="clear" w:color="000000" w:fill="FFFFFF"/>
            <w:noWrap/>
            <w:vAlign w:val="bottom"/>
            <w:hideMark/>
          </w:tcPr>
          <w:p w14:paraId="0D1BC1A2" w14:textId="17CA8A2F" w:rsidR="00211904" w:rsidRPr="00F01896" w:rsidRDefault="00211904" w:rsidP="00211904">
            <w:pPr>
              <w:rPr>
                <w:sz w:val="20"/>
                <w:szCs w:val="20"/>
                <w:lang w:eastAsia="en-GB"/>
              </w:rPr>
            </w:pPr>
            <w:r w:rsidRPr="00F01896">
              <w:rPr>
                <w:sz w:val="20"/>
                <w:szCs w:val="20"/>
                <w:lang w:eastAsia="en-GB"/>
              </w:rPr>
              <w:t>Plus: Minimum investments</w:t>
            </w:r>
          </w:p>
        </w:tc>
        <w:tc>
          <w:tcPr>
            <w:tcW w:w="1050" w:type="dxa"/>
            <w:tcBorders>
              <w:top w:val="nil"/>
              <w:left w:val="single" w:sz="12" w:space="0" w:color="auto"/>
              <w:bottom w:val="single" w:sz="12" w:space="0" w:color="auto"/>
              <w:right w:val="single" w:sz="12" w:space="0" w:color="auto"/>
            </w:tcBorders>
            <w:shd w:val="clear" w:color="000000" w:fill="FFFFFF"/>
            <w:hideMark/>
          </w:tcPr>
          <w:p w14:paraId="7CE02CD4" w14:textId="02A97BEA" w:rsidR="00211904" w:rsidRPr="0021055C" w:rsidRDefault="00211904" w:rsidP="00211904">
            <w:pPr>
              <w:jc w:val="right"/>
              <w:rPr>
                <w:color w:val="000000"/>
                <w:sz w:val="20"/>
                <w:szCs w:val="20"/>
                <w:lang w:eastAsia="en-GB"/>
              </w:rPr>
            </w:pPr>
            <w:r w:rsidRPr="0021055C">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hideMark/>
          </w:tcPr>
          <w:p w14:paraId="3F24BE12" w14:textId="78768CB0" w:rsidR="00211904" w:rsidRPr="00211904"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hideMark/>
          </w:tcPr>
          <w:p w14:paraId="7F9C9885" w14:textId="601B56B9" w:rsidR="00211904" w:rsidRPr="00211904"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hideMark/>
          </w:tcPr>
          <w:p w14:paraId="35941A4E" w14:textId="4C928B08" w:rsidR="00211904" w:rsidRPr="00211904"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hideMark/>
          </w:tcPr>
          <w:p w14:paraId="0DC20312" w14:textId="09A8B0D7" w:rsidR="00211904" w:rsidRPr="00211904"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tcPr>
          <w:p w14:paraId="66FC901F" w14:textId="129C4D1E" w:rsidR="00211904" w:rsidRPr="0021055C"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tcPr>
          <w:p w14:paraId="0231D327" w14:textId="73660763" w:rsidR="00211904" w:rsidRPr="0021055C"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tcPr>
          <w:p w14:paraId="4C7E2322" w14:textId="3C99879C" w:rsidR="00211904" w:rsidRPr="0021055C"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tcPr>
          <w:p w14:paraId="1E16B063" w14:textId="7F2C97F9" w:rsidR="00211904" w:rsidRPr="0021055C"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tcPr>
          <w:p w14:paraId="6779990F" w14:textId="618BB26B" w:rsidR="00211904" w:rsidRPr="0021055C" w:rsidRDefault="00211904" w:rsidP="00211904">
            <w:pPr>
              <w:jc w:val="right"/>
              <w:rPr>
                <w:sz w:val="20"/>
                <w:szCs w:val="20"/>
              </w:rPr>
            </w:pPr>
            <w:r w:rsidRPr="00211904">
              <w:rPr>
                <w:sz w:val="20"/>
                <w:szCs w:val="20"/>
              </w:rPr>
              <w:t>10.0</w:t>
            </w:r>
          </w:p>
        </w:tc>
        <w:tc>
          <w:tcPr>
            <w:tcW w:w="1050" w:type="dxa"/>
            <w:tcBorders>
              <w:top w:val="nil"/>
              <w:left w:val="single" w:sz="12" w:space="0" w:color="auto"/>
              <w:bottom w:val="single" w:sz="12" w:space="0" w:color="auto"/>
              <w:right w:val="single" w:sz="12" w:space="0" w:color="auto"/>
            </w:tcBorders>
            <w:shd w:val="clear" w:color="000000" w:fill="FFFFFF"/>
          </w:tcPr>
          <w:p w14:paraId="3EF1BF26" w14:textId="4A8C3744" w:rsidR="00211904" w:rsidRPr="0021055C" w:rsidRDefault="00211904" w:rsidP="00211904">
            <w:pPr>
              <w:jc w:val="right"/>
              <w:rPr>
                <w:sz w:val="20"/>
                <w:szCs w:val="20"/>
              </w:rPr>
            </w:pPr>
            <w:r w:rsidRPr="00211904">
              <w:rPr>
                <w:sz w:val="20"/>
                <w:szCs w:val="20"/>
              </w:rPr>
              <w:t>10.0</w:t>
            </w:r>
          </w:p>
        </w:tc>
      </w:tr>
      <w:tr w:rsidR="00211904" w:rsidRPr="005432C2" w14:paraId="4A2E2AF7" w14:textId="77777777" w:rsidTr="00835DC1">
        <w:trPr>
          <w:trHeight w:val="276"/>
        </w:trPr>
        <w:tc>
          <w:tcPr>
            <w:tcW w:w="354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9BF010F" w14:textId="6AE4776A" w:rsidR="00211904" w:rsidRPr="00F01896" w:rsidRDefault="00211904" w:rsidP="00211904">
            <w:pPr>
              <w:rPr>
                <w:b/>
                <w:bCs/>
                <w:color w:val="000000"/>
                <w:sz w:val="20"/>
                <w:szCs w:val="20"/>
                <w:lang w:eastAsia="en-GB"/>
              </w:rPr>
            </w:pPr>
            <w:r w:rsidRPr="00F01896">
              <w:rPr>
                <w:b/>
                <w:bCs/>
                <w:color w:val="000000"/>
                <w:sz w:val="20"/>
                <w:szCs w:val="20"/>
                <w:lang w:eastAsia="en-GB"/>
              </w:rPr>
              <w:t>Liability Benchmark</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6F9864D4" w14:textId="4C3A14E8" w:rsidR="00211904" w:rsidRPr="00835DC1" w:rsidRDefault="00211904" w:rsidP="00211904">
            <w:pPr>
              <w:jc w:val="right"/>
              <w:rPr>
                <w:b/>
                <w:bCs/>
                <w:color w:val="000000"/>
                <w:sz w:val="20"/>
                <w:szCs w:val="20"/>
                <w:lang w:eastAsia="en-GB"/>
              </w:rPr>
            </w:pPr>
            <w:r w:rsidRPr="00835DC1">
              <w:rPr>
                <w:b/>
                <w:bCs/>
                <w:sz w:val="20"/>
                <w:szCs w:val="20"/>
              </w:rPr>
              <w:t>17.4</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446104B0" w14:textId="720ACA0C" w:rsidR="00211904" w:rsidRPr="00211904" w:rsidRDefault="00211904" w:rsidP="00211904">
            <w:pPr>
              <w:jc w:val="right"/>
              <w:rPr>
                <w:b/>
                <w:bCs/>
                <w:sz w:val="20"/>
                <w:szCs w:val="20"/>
              </w:rPr>
            </w:pPr>
            <w:r w:rsidRPr="00211904">
              <w:rPr>
                <w:b/>
                <w:bCs/>
                <w:sz w:val="20"/>
                <w:szCs w:val="20"/>
              </w:rPr>
              <w:t>20.5</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58FDAE86" w14:textId="5782402C" w:rsidR="00211904" w:rsidRPr="00211904" w:rsidRDefault="00211904" w:rsidP="00211904">
            <w:pPr>
              <w:jc w:val="right"/>
              <w:rPr>
                <w:b/>
                <w:bCs/>
                <w:sz w:val="20"/>
                <w:szCs w:val="20"/>
              </w:rPr>
            </w:pPr>
            <w:r w:rsidRPr="00211904">
              <w:rPr>
                <w:b/>
                <w:bCs/>
                <w:sz w:val="20"/>
                <w:szCs w:val="20"/>
              </w:rPr>
              <w:t>26.3</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171D3BAD" w14:textId="730DD73E" w:rsidR="00211904" w:rsidRPr="00211904" w:rsidRDefault="00211904" w:rsidP="00211904">
            <w:pPr>
              <w:jc w:val="right"/>
              <w:rPr>
                <w:b/>
                <w:bCs/>
                <w:sz w:val="20"/>
                <w:szCs w:val="20"/>
              </w:rPr>
            </w:pPr>
            <w:r w:rsidRPr="00211904">
              <w:rPr>
                <w:b/>
                <w:bCs/>
                <w:sz w:val="20"/>
                <w:szCs w:val="20"/>
              </w:rPr>
              <w:t>32.1</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57870C07" w14:textId="377D4641" w:rsidR="00211904" w:rsidRPr="00211904" w:rsidRDefault="00211904" w:rsidP="00211904">
            <w:pPr>
              <w:jc w:val="right"/>
              <w:rPr>
                <w:b/>
                <w:bCs/>
                <w:sz w:val="20"/>
                <w:szCs w:val="20"/>
              </w:rPr>
            </w:pPr>
            <w:r w:rsidRPr="00211904">
              <w:rPr>
                <w:b/>
                <w:bCs/>
                <w:sz w:val="20"/>
                <w:szCs w:val="20"/>
              </w:rPr>
              <w:t>48.6</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72E53A83" w14:textId="10DEB1D2" w:rsidR="00211904" w:rsidRPr="00211904" w:rsidRDefault="00211904" w:rsidP="00211904">
            <w:pPr>
              <w:jc w:val="right"/>
              <w:rPr>
                <w:b/>
                <w:bCs/>
                <w:sz w:val="20"/>
                <w:szCs w:val="20"/>
              </w:rPr>
            </w:pPr>
            <w:r w:rsidRPr="00211904">
              <w:rPr>
                <w:b/>
                <w:bCs/>
                <w:sz w:val="20"/>
                <w:szCs w:val="20"/>
              </w:rPr>
              <w:t>49.2</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5F02A8DA" w14:textId="413FF04E" w:rsidR="00211904" w:rsidRPr="00211904" w:rsidRDefault="00211904" w:rsidP="00211904">
            <w:pPr>
              <w:jc w:val="right"/>
              <w:rPr>
                <w:b/>
                <w:bCs/>
                <w:sz w:val="20"/>
                <w:szCs w:val="20"/>
              </w:rPr>
            </w:pPr>
            <w:r w:rsidRPr="00211904">
              <w:rPr>
                <w:b/>
                <w:bCs/>
                <w:sz w:val="20"/>
                <w:szCs w:val="20"/>
              </w:rPr>
              <w:t>46.0</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04149761" w14:textId="14703DF5" w:rsidR="00211904" w:rsidRPr="00211904" w:rsidRDefault="00211904" w:rsidP="00211904">
            <w:pPr>
              <w:jc w:val="right"/>
              <w:rPr>
                <w:b/>
                <w:bCs/>
                <w:sz w:val="20"/>
                <w:szCs w:val="20"/>
              </w:rPr>
            </w:pPr>
            <w:r w:rsidRPr="00211904">
              <w:rPr>
                <w:b/>
                <w:bCs/>
                <w:sz w:val="20"/>
                <w:szCs w:val="20"/>
              </w:rPr>
              <w:t>42.9</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25001219" w14:textId="3F115AAF" w:rsidR="00211904" w:rsidRPr="00211904" w:rsidRDefault="00211904" w:rsidP="00211904">
            <w:pPr>
              <w:jc w:val="right"/>
              <w:rPr>
                <w:b/>
                <w:bCs/>
                <w:sz w:val="20"/>
                <w:szCs w:val="20"/>
              </w:rPr>
            </w:pPr>
            <w:r w:rsidRPr="00211904">
              <w:rPr>
                <w:b/>
                <w:bCs/>
                <w:sz w:val="20"/>
                <w:szCs w:val="20"/>
              </w:rPr>
              <w:t>37.8</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0EC302DB" w14:textId="3C18E8E0" w:rsidR="00211904" w:rsidRPr="00211904" w:rsidRDefault="00211904" w:rsidP="00211904">
            <w:pPr>
              <w:jc w:val="right"/>
              <w:rPr>
                <w:b/>
                <w:bCs/>
                <w:sz w:val="20"/>
                <w:szCs w:val="20"/>
              </w:rPr>
            </w:pPr>
            <w:r w:rsidRPr="00211904">
              <w:rPr>
                <w:b/>
                <w:bCs/>
                <w:sz w:val="20"/>
                <w:szCs w:val="20"/>
              </w:rPr>
              <w:t>33.2</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6A5140C1" w14:textId="07936EB6" w:rsidR="00211904" w:rsidRPr="00211904" w:rsidRDefault="00211904" w:rsidP="00211904">
            <w:pPr>
              <w:jc w:val="right"/>
              <w:rPr>
                <w:b/>
                <w:bCs/>
                <w:sz w:val="20"/>
                <w:szCs w:val="20"/>
              </w:rPr>
            </w:pPr>
            <w:r w:rsidRPr="00211904">
              <w:rPr>
                <w:b/>
                <w:bCs/>
                <w:sz w:val="20"/>
                <w:szCs w:val="20"/>
              </w:rPr>
              <w:t>29.1</w:t>
            </w:r>
          </w:p>
        </w:tc>
      </w:tr>
    </w:tbl>
    <w:p w14:paraId="58D2774C" w14:textId="77777777" w:rsidR="00326A29" w:rsidRDefault="00326A29" w:rsidP="0069258D">
      <w:pPr>
        <w:jc w:val="both"/>
        <w:rPr>
          <w:u w:val="single"/>
        </w:rPr>
      </w:pPr>
    </w:p>
    <w:p w14:paraId="6AD65C66" w14:textId="64B64263" w:rsidR="00EF3056" w:rsidRDefault="00EF3056" w:rsidP="00FE351D">
      <w:pPr>
        <w:pStyle w:val="ListParagraph"/>
        <w:spacing w:after="240"/>
        <w:ind w:left="425"/>
        <w:jc w:val="both"/>
      </w:pPr>
      <w:r>
        <w:t xml:space="preserve">The table above shows that the liability benchmark of the Authority </w:t>
      </w:r>
      <w:r w:rsidRPr="0021055C">
        <w:t>could increase to £</w:t>
      </w:r>
      <w:r w:rsidR="00BE3D17" w:rsidRPr="0021055C">
        <w:t>4</w:t>
      </w:r>
      <w:r w:rsidR="0049498D">
        <w:t>9</w:t>
      </w:r>
      <w:r w:rsidRPr="0021055C">
        <w:t>.</w:t>
      </w:r>
      <w:r w:rsidR="0021055C" w:rsidRPr="0021055C">
        <w:t>2</w:t>
      </w:r>
      <w:r w:rsidRPr="0021055C">
        <w:t>m by 2</w:t>
      </w:r>
      <w:r w:rsidR="001D3A5B" w:rsidRPr="0021055C">
        <w:t>02</w:t>
      </w:r>
      <w:r w:rsidR="0049498D">
        <w:t>7</w:t>
      </w:r>
      <w:r w:rsidRPr="0021055C">
        <w:t>/2</w:t>
      </w:r>
      <w:r w:rsidR="0049498D">
        <w:t>8</w:t>
      </w:r>
      <w:r w:rsidRPr="0021055C">
        <w:t xml:space="preserve">. This indicates an underlying need to borrow due to a reduction in usable reserves and </w:t>
      </w:r>
      <w:r w:rsidR="008E1522" w:rsidRPr="0021055C">
        <w:t>a significant increase in the</w:t>
      </w:r>
      <w:r w:rsidRPr="0021055C">
        <w:t xml:space="preserve"> capital finance requirement</w:t>
      </w:r>
      <w:r>
        <w:t xml:space="preserve">. </w:t>
      </w:r>
      <w:r w:rsidR="005C547E">
        <w:t>The main conclusions to be drawn from this are:</w:t>
      </w:r>
    </w:p>
    <w:p w14:paraId="1099B866" w14:textId="7AE12B88" w:rsidR="006B18F1" w:rsidRDefault="00EA2ABD" w:rsidP="00D56E1F">
      <w:pPr>
        <w:pStyle w:val="ListParagraph"/>
        <w:numPr>
          <w:ilvl w:val="1"/>
          <w:numId w:val="13"/>
        </w:numPr>
        <w:spacing w:after="240"/>
        <w:jc w:val="both"/>
      </w:pPr>
      <w:r>
        <w:t xml:space="preserve">The </w:t>
      </w:r>
      <w:r w:rsidR="00312578">
        <w:t>Authority</w:t>
      </w:r>
      <w:r>
        <w:t xml:space="preserve"> does not have sufficient existing borrowing</w:t>
      </w:r>
      <w:r w:rsidR="00D56E1F">
        <w:t xml:space="preserve"> to fund the</w:t>
      </w:r>
      <w:r w:rsidR="002751C4">
        <w:t xml:space="preserve"> existing</w:t>
      </w:r>
      <w:r w:rsidR="00D56E1F">
        <w:t xml:space="preserve"> Capital Programme.</w:t>
      </w:r>
    </w:p>
    <w:p w14:paraId="2385056B" w14:textId="69D519FE" w:rsidR="00D56E1F" w:rsidRDefault="008E1522" w:rsidP="00D56E1F">
      <w:pPr>
        <w:pStyle w:val="ListParagraph"/>
        <w:numPr>
          <w:ilvl w:val="1"/>
          <w:numId w:val="13"/>
        </w:numPr>
        <w:spacing w:after="240"/>
        <w:jc w:val="both"/>
      </w:pPr>
      <w:r>
        <w:t xml:space="preserve">The </w:t>
      </w:r>
      <w:r w:rsidR="00312578">
        <w:t>Authority</w:t>
      </w:r>
      <w:r w:rsidR="00E84D8B">
        <w:t xml:space="preserve"> may need to increase the </w:t>
      </w:r>
      <w:r w:rsidR="001D3A5B">
        <w:t xml:space="preserve">authorised limit on external debt of £40m </w:t>
      </w:r>
      <w:r w:rsidR="00E84D8B">
        <w:t xml:space="preserve">given </w:t>
      </w:r>
      <w:r w:rsidR="00E84D8B" w:rsidRPr="00301422">
        <w:t>a</w:t>
      </w:r>
      <w:r w:rsidR="001D3A5B" w:rsidRPr="00301422">
        <w:t xml:space="preserve"> liability benchmark of £</w:t>
      </w:r>
      <w:r w:rsidR="00301422" w:rsidRPr="00301422">
        <w:t>4</w:t>
      </w:r>
      <w:r w:rsidR="00DB5410">
        <w:t>9</w:t>
      </w:r>
      <w:r w:rsidR="00301422" w:rsidRPr="00301422">
        <w:t>.</w:t>
      </w:r>
      <w:r w:rsidR="00DB5410">
        <w:t>2</w:t>
      </w:r>
      <w:r w:rsidR="001D3A5B" w:rsidRPr="00301422">
        <w:t>m in 202</w:t>
      </w:r>
      <w:r w:rsidR="00DB5410">
        <w:t>7</w:t>
      </w:r>
      <w:r w:rsidR="001D3A5B" w:rsidRPr="00301422">
        <w:t>/2</w:t>
      </w:r>
      <w:r w:rsidR="00DB5410">
        <w:t>8</w:t>
      </w:r>
      <w:r w:rsidR="001D3A5B" w:rsidRPr="00301422">
        <w:t>.</w:t>
      </w:r>
      <w:r w:rsidR="00E84D8B">
        <w:t xml:space="preserve"> This is a forecast of the amount the Service could be required to borrow.</w:t>
      </w:r>
    </w:p>
    <w:p w14:paraId="4BDAB3DC" w14:textId="77777777" w:rsidR="00312578" w:rsidRDefault="00312578" w:rsidP="00312578">
      <w:pPr>
        <w:pStyle w:val="ListParagraph"/>
        <w:spacing w:after="240"/>
        <w:ind w:left="1570"/>
        <w:jc w:val="both"/>
      </w:pPr>
    </w:p>
    <w:p w14:paraId="318E21DD" w14:textId="3508F38C" w:rsidR="00864378" w:rsidRPr="00EA3939" w:rsidRDefault="00864378" w:rsidP="00FE351D">
      <w:pPr>
        <w:pStyle w:val="ListParagraph"/>
        <w:spacing w:after="240"/>
        <w:ind w:left="425"/>
        <w:jc w:val="both"/>
        <w:rPr>
          <w:b/>
          <w:bCs/>
        </w:rPr>
      </w:pPr>
      <w:r w:rsidRPr="00EA3939">
        <w:rPr>
          <w:b/>
          <w:bCs/>
        </w:rPr>
        <w:lastRenderedPageBreak/>
        <w:t>Graph 1: Liability benchmark</w:t>
      </w:r>
    </w:p>
    <w:p w14:paraId="43DF71DC" w14:textId="3E07F648" w:rsidR="00EA3939" w:rsidRDefault="00EA3939" w:rsidP="00FE351D">
      <w:pPr>
        <w:pStyle w:val="ListParagraph"/>
        <w:spacing w:after="240"/>
        <w:ind w:left="425"/>
        <w:jc w:val="both"/>
      </w:pPr>
      <w:r>
        <w:t xml:space="preserve">In the graph below, the </w:t>
      </w:r>
      <w:r w:rsidR="00177B90">
        <w:t>c</w:t>
      </w:r>
      <w:r>
        <w:t xml:space="preserve">apital </w:t>
      </w:r>
      <w:r w:rsidR="00177B90">
        <w:t>f</w:t>
      </w:r>
      <w:r>
        <w:t xml:space="preserve">inancing </w:t>
      </w:r>
      <w:r w:rsidR="00177B90">
        <w:t>r</w:t>
      </w:r>
      <w:r>
        <w:t xml:space="preserve">equirement, </w:t>
      </w:r>
      <w:r w:rsidR="001D30F4">
        <w:t>assumed</w:t>
      </w:r>
      <w:r>
        <w:t xml:space="preserve"> borrowing</w:t>
      </w:r>
      <w:r w:rsidR="00177B90">
        <w:t xml:space="preserve"> and liability benchmark have been extrapolated across the life of the capital programme</w:t>
      </w:r>
      <w:r w:rsidR="001D30F4">
        <w:t xml:space="preserve">. </w:t>
      </w:r>
      <w:r w:rsidR="001D30F4" w:rsidRPr="001D30F4">
        <w:t xml:space="preserve">CIPFA recommends that the liability benchmark should be produced to cover the full debt maturity profile of the </w:t>
      </w:r>
      <w:r w:rsidR="001D30F4">
        <w:t>Authority:</w:t>
      </w:r>
    </w:p>
    <w:p w14:paraId="77386DC2" w14:textId="6658EBE6" w:rsidR="00EA3939" w:rsidRDefault="001D02EF" w:rsidP="00FE351D">
      <w:pPr>
        <w:pStyle w:val="ListParagraph"/>
        <w:spacing w:after="240"/>
        <w:ind w:left="425"/>
        <w:jc w:val="both"/>
      </w:pPr>
      <w:r>
        <w:rPr>
          <w:noProof/>
        </w:rPr>
        <mc:AlternateContent>
          <mc:Choice Requires="wps">
            <w:drawing>
              <wp:anchor distT="0" distB="0" distL="114300" distR="114300" simplePos="0" relativeHeight="251658250" behindDoc="0" locked="0" layoutInCell="1" allowOverlap="1" wp14:anchorId="54165553" wp14:editId="5CF10438">
                <wp:simplePos x="0" y="0"/>
                <wp:positionH relativeFrom="column">
                  <wp:posOffset>8385614</wp:posOffset>
                </wp:positionH>
                <wp:positionV relativeFrom="paragraph">
                  <wp:posOffset>2031414</wp:posOffset>
                </wp:positionV>
                <wp:extent cx="45719" cy="1409700"/>
                <wp:effectExtent l="76200" t="38100" r="50165" b="19050"/>
                <wp:wrapNone/>
                <wp:docPr id="294892051" name="Straight Arrow Connector 4"/>
                <wp:cNvGraphicFramePr/>
                <a:graphic xmlns:a="http://schemas.openxmlformats.org/drawingml/2006/main">
                  <a:graphicData uri="http://schemas.microsoft.com/office/word/2010/wordprocessingShape">
                    <wps:wsp>
                      <wps:cNvCnPr/>
                      <wps:spPr>
                        <a:xfrm flipH="1" flipV="1">
                          <a:off x="0" y="0"/>
                          <a:ext cx="45719" cy="1409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type id="_x0000_t32" coordsize="21600,21600" o:oned="t" filled="f" o:spt="32" path="m,l21600,21600e" w14:anchorId="21E403C5">
                <v:path fillok="f" arrowok="t" o:connecttype="none"/>
                <o:lock v:ext="edit" shapetype="t"/>
              </v:shapetype>
              <v:shape id="Straight Arrow Connector 4" style="position:absolute;margin-left:660.3pt;margin-top:159.95pt;width:3.6pt;height:111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">
                <v:stroke joinstyle="miter" endarrow="block"/>
              </v:shape>
            </w:pict>
          </mc:Fallback>
        </mc:AlternateContent>
      </w:r>
      <w:r>
        <w:rPr>
          <w:noProof/>
        </w:rPr>
        <mc:AlternateContent>
          <mc:Choice Requires="wps">
            <w:drawing>
              <wp:anchor distT="0" distB="0" distL="114300" distR="114300" simplePos="0" relativeHeight="251658248" behindDoc="0" locked="0" layoutInCell="1" allowOverlap="1" wp14:anchorId="6D09F51A" wp14:editId="356714C3">
                <wp:simplePos x="0" y="0"/>
                <wp:positionH relativeFrom="column">
                  <wp:posOffset>1858792</wp:posOffset>
                </wp:positionH>
                <wp:positionV relativeFrom="paragraph">
                  <wp:posOffset>1111152</wp:posOffset>
                </wp:positionV>
                <wp:extent cx="1585546" cy="2324100"/>
                <wp:effectExtent l="38100" t="38100" r="34290" b="19050"/>
                <wp:wrapNone/>
                <wp:docPr id="1264535529" name="Straight Arrow Connector 4"/>
                <wp:cNvGraphicFramePr/>
                <a:graphic xmlns:a="http://schemas.openxmlformats.org/drawingml/2006/main">
                  <a:graphicData uri="http://schemas.microsoft.com/office/word/2010/wordprocessingShape">
                    <wps:wsp>
                      <wps:cNvCnPr/>
                      <wps:spPr>
                        <a:xfrm flipH="1" flipV="1">
                          <a:off x="0" y="0"/>
                          <a:ext cx="1585546" cy="2324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Straight Arrow Connector 4" style="position:absolute;margin-left:146.35pt;margin-top:87.5pt;width:124.85pt;height:183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" w14:anchorId="7047BCA2">
                <v:stroke joinstyle="miter" endarrow="block"/>
              </v:shape>
            </w:pict>
          </mc:Fallback>
        </mc:AlternateContent>
      </w:r>
      <w:r>
        <w:rPr>
          <w:noProof/>
        </w:rPr>
        <mc:AlternateContent>
          <mc:Choice Requires="wps">
            <w:drawing>
              <wp:anchor distT="0" distB="0" distL="114300" distR="114300" simplePos="0" relativeHeight="251658247" behindDoc="0" locked="0" layoutInCell="1" allowOverlap="1" wp14:anchorId="7B9C55B2" wp14:editId="4575F6F3">
                <wp:simplePos x="0" y="0"/>
                <wp:positionH relativeFrom="column">
                  <wp:posOffset>1168595</wp:posOffset>
                </wp:positionH>
                <wp:positionV relativeFrom="paragraph">
                  <wp:posOffset>1556629</wp:posOffset>
                </wp:positionV>
                <wp:extent cx="429358" cy="1913793"/>
                <wp:effectExtent l="57150" t="38100" r="27940" b="29845"/>
                <wp:wrapNone/>
                <wp:docPr id="1605620856" name="Straight Arrow Connector 4"/>
                <wp:cNvGraphicFramePr/>
                <a:graphic xmlns:a="http://schemas.openxmlformats.org/drawingml/2006/main">
                  <a:graphicData uri="http://schemas.microsoft.com/office/word/2010/wordprocessingShape">
                    <wps:wsp>
                      <wps:cNvCnPr/>
                      <wps:spPr>
                        <a:xfrm flipH="1" flipV="1">
                          <a:off x="0" y="0"/>
                          <a:ext cx="429358" cy="19137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 id="Straight Arrow Connector 4" style="position:absolute;margin-left:92pt;margin-top:122.55pt;width:33.8pt;height:150.7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" w14:anchorId="6AF338EE">
                <v:stroke joinstyle="miter" endarrow="block"/>
              </v:shape>
            </w:pict>
          </mc:Fallback>
        </mc:AlternateContent>
      </w:r>
      <w:r w:rsidR="00AD4099">
        <w:rPr>
          <w:noProof/>
        </w:rPr>
        <mc:AlternateContent>
          <mc:Choice Requires="wps">
            <w:drawing>
              <wp:anchor distT="0" distB="0" distL="114300" distR="114300" simplePos="0" relativeHeight="251658252" behindDoc="0" locked="0" layoutInCell="1" allowOverlap="1" wp14:anchorId="6D532340" wp14:editId="52309B78">
                <wp:simplePos x="0" y="0"/>
                <wp:positionH relativeFrom="column">
                  <wp:posOffset>1839449</wp:posOffset>
                </wp:positionH>
                <wp:positionV relativeFrom="paragraph">
                  <wp:posOffset>774114</wp:posOffset>
                </wp:positionV>
                <wp:extent cx="45719" cy="691661"/>
                <wp:effectExtent l="0" t="0" r="12065" b="13335"/>
                <wp:wrapNone/>
                <wp:docPr id="1416028123" name="Right Brace 7"/>
                <wp:cNvGraphicFramePr/>
                <a:graphic xmlns:a="http://schemas.openxmlformats.org/drawingml/2006/main">
                  <a:graphicData uri="http://schemas.microsoft.com/office/word/2010/wordprocessingShape">
                    <wps:wsp>
                      <wps:cNvSpPr/>
                      <wps:spPr>
                        <a:xfrm>
                          <a:off x="0" y="0"/>
                          <a:ext cx="45719" cy="69166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shapetype id="_x0000_t88" coordsize="21600,21600" filled="f" o:spt="88" adj="1800,10800" path="m,qx10800@0l10800@2qy21600@11,10800@3l10800@1qy,21600e" w14:anchorId="750055A0">
                <v:formulas>
                  <v:f eqn="val #0"/>
                  <v:f eqn="sum 21600 0 #0"/>
                  <v:f eqn="sum #1 0 #0"/>
                  <v:f eqn="sum #1 #0 0"/>
                  <v:f eqn="prod #0 9598 32768"/>
                  <v:f eqn="sum 21600 0 @4"/>
                  <v:f eqn="sum 21600 0 #1"/>
                  <v:f eqn="min #1 @6"/>
                  <v:f eqn="prod @7 1 2"/>
                  <v:f eqn="prod #0 2 1"/>
                  <v:f eqn="sum 21600 0 @9"/>
                  <v:f eqn="val #1"/>
                </v:formulas>
                <v:path textboxrect="0,@4,7637,@5" arrowok="t" o:connecttype="custom" o:connectlocs="0,0;21600,@11;0,21600"/>
                <v:handles>
                  <v:h position="center,#0" yrange="0,@8"/>
                  <v:h position="bottomRight,#1" yrange="@9,@10"/>
                </v:handles>
              </v:shapetype>
              <v:shape id="Right Brace 7" style="position:absolute;margin-left:144.85pt;margin-top:60.95pt;width:3.6pt;height:54.45pt;z-index:251723776;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00]" strokeweight=".5pt" type="#_x0000_t88" adj="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">
                <v:stroke joinstyle="miter"/>
              </v:shape>
            </w:pict>
          </mc:Fallback>
        </mc:AlternateContent>
      </w:r>
      <w:r w:rsidR="005948AE">
        <w:rPr>
          <w:noProof/>
        </w:rPr>
        <w:drawing>
          <wp:inline distT="0" distB="0" distL="0" distR="0" wp14:anchorId="62CB5F66" wp14:editId="23C0D3E1">
            <wp:extent cx="9752721" cy="2819120"/>
            <wp:effectExtent l="0" t="0" r="1270" b="635"/>
            <wp:docPr id="1091568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60885" cy="2850386"/>
                    </a:xfrm>
                    <a:prstGeom prst="rect">
                      <a:avLst/>
                    </a:prstGeom>
                    <a:noFill/>
                  </pic:spPr>
                </pic:pic>
              </a:graphicData>
            </a:graphic>
          </wp:inline>
        </w:drawing>
      </w:r>
    </w:p>
    <w:p w14:paraId="717D2D88" w14:textId="76490B46" w:rsidR="00B94DF4" w:rsidRDefault="00B94DF4" w:rsidP="00FE351D">
      <w:pPr>
        <w:pStyle w:val="ListParagraph"/>
        <w:spacing w:after="240"/>
        <w:ind w:left="425"/>
        <w:jc w:val="both"/>
      </w:pPr>
    </w:p>
    <w:p w14:paraId="5D4310DA" w14:textId="7EDB34AB" w:rsidR="00B94DF4" w:rsidRDefault="003F7AA3" w:rsidP="00FE351D">
      <w:pPr>
        <w:pStyle w:val="ListParagraph"/>
        <w:spacing w:after="240"/>
        <w:ind w:left="425"/>
        <w:jc w:val="both"/>
      </w:pPr>
      <w:r>
        <w:rPr>
          <w:noProof/>
        </w:rPr>
        <mc:AlternateContent>
          <mc:Choice Requires="wps">
            <w:drawing>
              <wp:anchor distT="45720" distB="45720" distL="114300" distR="114300" simplePos="0" relativeHeight="251658249" behindDoc="0" locked="0" layoutInCell="1" allowOverlap="1" wp14:anchorId="3A808A52" wp14:editId="346D87CD">
                <wp:simplePos x="0" y="0"/>
                <wp:positionH relativeFrom="page">
                  <wp:posOffset>6986270</wp:posOffset>
                </wp:positionH>
                <wp:positionV relativeFrom="paragraph">
                  <wp:posOffset>143510</wp:posOffset>
                </wp:positionV>
                <wp:extent cx="3176270" cy="1384300"/>
                <wp:effectExtent l="0" t="0" r="24130" b="25400"/>
                <wp:wrapSquare wrapText="bothSides"/>
                <wp:docPr id="651830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384300"/>
                        </a:xfrm>
                        <a:prstGeom prst="rect">
                          <a:avLst/>
                        </a:prstGeom>
                        <a:solidFill>
                          <a:srgbClr val="FFFFFF"/>
                        </a:solidFill>
                        <a:ln w="9525">
                          <a:solidFill>
                            <a:srgbClr val="000000"/>
                          </a:solidFill>
                          <a:miter lim="800000"/>
                          <a:headEnd/>
                          <a:tailEnd/>
                        </a:ln>
                      </wps:spPr>
                      <wps:txbx>
                        <w:txbxContent>
                          <w:p w14:paraId="1A7B3170" w14:textId="5D827564" w:rsidR="003F7AA3" w:rsidRPr="00C41208" w:rsidRDefault="003F7AA3" w:rsidP="003F7AA3">
                            <w:pPr>
                              <w:rPr>
                                <w:b/>
                                <w:bCs/>
                              </w:rPr>
                            </w:pPr>
                            <w:r w:rsidRPr="00C41208">
                              <w:rPr>
                                <w:b/>
                                <w:bCs/>
                              </w:rPr>
                              <w:t xml:space="preserve">Borrowing </w:t>
                            </w:r>
                            <w:r>
                              <w:rPr>
                                <w:b/>
                                <w:bCs/>
                              </w:rPr>
                              <w:t xml:space="preserve">equal to the </w:t>
                            </w:r>
                            <w:r w:rsidR="00D84050">
                              <w:rPr>
                                <w:b/>
                                <w:bCs/>
                              </w:rPr>
                              <w:t>liability benchmark</w:t>
                            </w:r>
                            <w:r w:rsidRPr="00C41208">
                              <w:rPr>
                                <w:b/>
                                <w:bCs/>
                              </w:rPr>
                              <w:t>:</w:t>
                            </w:r>
                          </w:p>
                          <w:p w14:paraId="08F03AF6" w14:textId="7CFBD87A" w:rsidR="003F7AA3" w:rsidRDefault="00D84050" w:rsidP="003F7AA3">
                            <w:r>
                              <w:t xml:space="preserve">Over time, </w:t>
                            </w:r>
                            <w:r w:rsidR="00657B2B">
                              <w:t>new and assumed loans are equal to the liability benchmark, but this assumes no capital expenditure after</w:t>
                            </w:r>
                            <w:r w:rsidR="001452D9">
                              <w:t xml:space="preserve"> 2028/29.</w:t>
                            </w:r>
                            <w:r w:rsidR="003F7AA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A808A52" id="_x0000_s1028" type="#_x0000_t202" style="position:absolute;left:0;text-align:left;margin-left:550.1pt;margin-top:11.3pt;width:250.1pt;height:109pt;z-index:25165824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">
                <v:textbox>
                  <w:txbxContent>
                    <w:p w14:paraId="1A7B3170" w14:textId="5D827564" w:rsidR="003F7AA3" w:rsidRPr="00C41208" w:rsidRDefault="003F7AA3" w:rsidP="003F7AA3">
                      <w:pPr>
                        <w:rPr>
                          <w:b/>
                          <w:bCs/>
                        </w:rPr>
                      </w:pPr>
                      <w:r w:rsidRPr="00C41208">
                        <w:rPr>
                          <w:b/>
                          <w:bCs/>
                        </w:rPr>
                        <w:t xml:space="preserve">Borrowing </w:t>
                      </w:r>
                      <w:r>
                        <w:rPr>
                          <w:b/>
                          <w:bCs/>
                        </w:rPr>
                        <w:t xml:space="preserve">equal to the </w:t>
                      </w:r>
                      <w:r w:rsidR="00D84050">
                        <w:rPr>
                          <w:b/>
                          <w:bCs/>
                        </w:rPr>
                        <w:t>liability benchmark</w:t>
                      </w:r>
                      <w:r w:rsidRPr="00C41208">
                        <w:rPr>
                          <w:b/>
                          <w:bCs/>
                        </w:rPr>
                        <w:t>:</w:t>
                      </w:r>
                    </w:p>
                    <w:p w14:paraId="08F03AF6" w14:textId="7CFBD87A" w:rsidR="003F7AA3" w:rsidRDefault="00D84050" w:rsidP="003F7AA3">
                      <w:r>
                        <w:t xml:space="preserve">Over time, </w:t>
                      </w:r>
                      <w:r w:rsidR="00657B2B">
                        <w:t>new and assumed loans are equal to the liability benchmark, but this assumes no capital expenditure after</w:t>
                      </w:r>
                      <w:r w:rsidR="001452D9">
                        <w:t xml:space="preserve"> 2028/29.</w:t>
                      </w:r>
                      <w:r w:rsidR="003F7AA3">
                        <w:t xml:space="preserve"> </w:t>
                      </w: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1E73FE1F" wp14:editId="264410F8">
                <wp:simplePos x="0" y="0"/>
                <wp:positionH relativeFrom="page">
                  <wp:posOffset>3536315</wp:posOffset>
                </wp:positionH>
                <wp:positionV relativeFrom="paragraph">
                  <wp:posOffset>143510</wp:posOffset>
                </wp:positionV>
                <wp:extent cx="3176270" cy="1384300"/>
                <wp:effectExtent l="0" t="0" r="2413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384300"/>
                        </a:xfrm>
                        <a:prstGeom prst="rect">
                          <a:avLst/>
                        </a:prstGeom>
                        <a:solidFill>
                          <a:srgbClr val="FFFFFF"/>
                        </a:solidFill>
                        <a:ln w="9525">
                          <a:solidFill>
                            <a:srgbClr val="000000"/>
                          </a:solidFill>
                          <a:miter lim="800000"/>
                          <a:headEnd/>
                          <a:tailEnd/>
                        </a:ln>
                      </wps:spPr>
                      <wps:txbx>
                        <w:txbxContent>
                          <w:p w14:paraId="42F1E400" w14:textId="77777777" w:rsidR="00C41208" w:rsidRPr="00C41208" w:rsidRDefault="00C41208" w:rsidP="00C41208">
                            <w:pPr>
                              <w:rPr>
                                <w:b/>
                                <w:bCs/>
                              </w:rPr>
                            </w:pPr>
                            <w:r w:rsidRPr="00C41208">
                              <w:rPr>
                                <w:b/>
                                <w:bCs/>
                              </w:rPr>
                              <w:t>Borrowing lower than liability benchmark:</w:t>
                            </w:r>
                          </w:p>
                          <w:p w14:paraId="5EA4A983" w14:textId="170B831C" w:rsidR="00E90DA3" w:rsidRDefault="00E90DA3" w:rsidP="00C41208">
                            <w:r>
                              <w:t xml:space="preserve">CFR increases in line with </w:t>
                            </w:r>
                            <w:r w:rsidR="007647D0">
                              <w:t>capital programme.</w:t>
                            </w:r>
                          </w:p>
                          <w:p w14:paraId="4452B2EB" w14:textId="77777777" w:rsidR="00E90DA3" w:rsidRDefault="00E90DA3" w:rsidP="00C41208"/>
                          <w:p w14:paraId="17C6DF42" w14:textId="211837C5" w:rsidR="00C41208" w:rsidRDefault="00C41208" w:rsidP="00C41208">
                            <w:r>
                              <w:t xml:space="preserve">The Service needs more debt to finance the capital programme.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E73FE1F" id="_x0000_s1029" type="#_x0000_t202" style="position:absolute;left:0;text-align:left;margin-left:278.45pt;margin-top:11.3pt;width:250.1pt;height:1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">
                <v:textbox>
                  <w:txbxContent>
                    <w:p w14:paraId="42F1E400" w14:textId="77777777" w:rsidR="00C41208" w:rsidRPr="00C41208" w:rsidRDefault="00C41208" w:rsidP="00C41208">
                      <w:pPr>
                        <w:rPr>
                          <w:b/>
                          <w:bCs/>
                        </w:rPr>
                      </w:pPr>
                      <w:r w:rsidRPr="00C41208">
                        <w:rPr>
                          <w:b/>
                          <w:bCs/>
                        </w:rPr>
                        <w:t>Borrowing lower than liability benchmark:</w:t>
                      </w:r>
                    </w:p>
                    <w:p w14:paraId="5EA4A983" w14:textId="170B831C" w:rsidR="00E90DA3" w:rsidRDefault="00E90DA3" w:rsidP="00C41208">
                      <w:r>
                        <w:t xml:space="preserve">CFR increases in line with </w:t>
                      </w:r>
                      <w:r w:rsidR="007647D0">
                        <w:t>capital programme.</w:t>
                      </w:r>
                    </w:p>
                    <w:p w14:paraId="4452B2EB" w14:textId="77777777" w:rsidR="00E90DA3" w:rsidRDefault="00E90DA3" w:rsidP="00C41208"/>
                    <w:p w14:paraId="17C6DF42" w14:textId="211837C5" w:rsidR="00C41208" w:rsidRDefault="00C41208" w:rsidP="00C41208">
                      <w:r>
                        <w:t xml:space="preserve">The Service needs more debt to finance the capital programme. </w:t>
                      </w:r>
                    </w:p>
                  </w:txbxContent>
                </v:textbox>
                <w10:wrap type="square" anchorx="page"/>
              </v:shape>
            </w:pict>
          </mc:Fallback>
        </mc:AlternateContent>
      </w:r>
      <w:r w:rsidR="0072460B">
        <w:rPr>
          <w:noProof/>
        </w:rPr>
        <mc:AlternateContent>
          <mc:Choice Requires="wps">
            <w:drawing>
              <wp:anchor distT="45720" distB="45720" distL="114300" distR="114300" simplePos="0" relativeHeight="251658241" behindDoc="0" locked="0" layoutInCell="1" allowOverlap="1" wp14:anchorId="591646AF" wp14:editId="137BBA19">
                <wp:simplePos x="0" y="0"/>
                <wp:positionH relativeFrom="column">
                  <wp:posOffset>405130</wp:posOffset>
                </wp:positionH>
                <wp:positionV relativeFrom="paragraph">
                  <wp:posOffset>163830</wp:posOffset>
                </wp:positionV>
                <wp:extent cx="2719070" cy="13525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352550"/>
                        </a:xfrm>
                        <a:prstGeom prst="rect">
                          <a:avLst/>
                        </a:prstGeom>
                        <a:solidFill>
                          <a:srgbClr val="FFFFFF"/>
                        </a:solidFill>
                        <a:ln w="9525">
                          <a:solidFill>
                            <a:srgbClr val="000000"/>
                          </a:solidFill>
                          <a:miter lim="800000"/>
                          <a:headEnd/>
                          <a:tailEnd/>
                        </a:ln>
                      </wps:spPr>
                      <wps:txbx>
                        <w:txbxContent>
                          <w:p w14:paraId="5B37CA78" w14:textId="77777777" w:rsidR="00C41208" w:rsidRPr="00C41208" w:rsidRDefault="00C41208">
                            <w:pPr>
                              <w:rPr>
                                <w:b/>
                                <w:bCs/>
                              </w:rPr>
                            </w:pPr>
                            <w:r w:rsidRPr="00C41208">
                              <w:rPr>
                                <w:b/>
                                <w:bCs/>
                              </w:rPr>
                              <w:t>Borrowing higher than liability benchmark:</w:t>
                            </w:r>
                          </w:p>
                          <w:p w14:paraId="132F4058" w14:textId="59923461" w:rsidR="00C41208" w:rsidRDefault="00C41208">
                            <w:r>
                              <w:t xml:space="preserve">The </w:t>
                            </w:r>
                            <w:r w:rsidR="00235F53">
                              <w:t>Authority</w:t>
                            </w:r>
                            <w:r>
                              <w:t xml:space="preserve"> has more debt that it requires, meaning excess cash is available to invest.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1646AF" id="_x0000_s1030" type="#_x0000_t202" style="position:absolute;left:0;text-align:left;margin-left:31.9pt;margin-top:12.9pt;width:214.1pt;height:1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">
                <v:textbox>
                  <w:txbxContent>
                    <w:p w14:paraId="5B37CA78" w14:textId="77777777" w:rsidR="00C41208" w:rsidRPr="00C41208" w:rsidRDefault="00C41208">
                      <w:pPr>
                        <w:rPr>
                          <w:b/>
                          <w:bCs/>
                        </w:rPr>
                      </w:pPr>
                      <w:r w:rsidRPr="00C41208">
                        <w:rPr>
                          <w:b/>
                          <w:bCs/>
                        </w:rPr>
                        <w:t>Borrowing higher than liability benchmark:</w:t>
                      </w:r>
                    </w:p>
                    <w:p w14:paraId="132F4058" w14:textId="59923461" w:rsidR="00C41208" w:rsidRDefault="00C41208">
                      <w:r>
                        <w:t xml:space="preserve">The </w:t>
                      </w:r>
                      <w:r w:rsidR="00235F53">
                        <w:t>Authority</w:t>
                      </w:r>
                      <w:r>
                        <w:t xml:space="preserve"> has more debt that it requires, meaning excess cash is available to invest.</w:t>
                      </w:r>
                    </w:p>
                  </w:txbxContent>
                </v:textbox>
                <w10:wrap type="square"/>
              </v:shape>
            </w:pict>
          </mc:Fallback>
        </mc:AlternateContent>
      </w:r>
    </w:p>
    <w:p w14:paraId="699C02A1" w14:textId="6A64597F" w:rsidR="00B94DF4" w:rsidRDefault="00B94DF4" w:rsidP="00FE351D">
      <w:pPr>
        <w:pStyle w:val="ListParagraph"/>
        <w:spacing w:after="240"/>
        <w:ind w:left="425"/>
        <w:jc w:val="both"/>
      </w:pPr>
    </w:p>
    <w:p w14:paraId="0D173B1F" w14:textId="5A647A8A" w:rsidR="00B94DF4" w:rsidRDefault="00B94DF4" w:rsidP="00FE351D">
      <w:pPr>
        <w:pStyle w:val="ListParagraph"/>
        <w:spacing w:after="240"/>
        <w:ind w:left="425"/>
        <w:jc w:val="both"/>
      </w:pPr>
    </w:p>
    <w:p w14:paraId="7538BC01" w14:textId="7FEE1527" w:rsidR="00B94DF4" w:rsidRDefault="00B94DF4" w:rsidP="00FE351D">
      <w:pPr>
        <w:pStyle w:val="ListParagraph"/>
        <w:spacing w:after="240"/>
        <w:ind w:left="425"/>
        <w:jc w:val="both"/>
      </w:pPr>
    </w:p>
    <w:p w14:paraId="555C684D" w14:textId="28246313" w:rsidR="00616FF4" w:rsidRDefault="00616FF4" w:rsidP="0004046D">
      <w:pPr>
        <w:spacing w:after="120"/>
        <w:ind w:left="426"/>
        <w:jc w:val="both"/>
        <w:rPr>
          <w:b/>
          <w:bCs/>
        </w:rPr>
      </w:pPr>
    </w:p>
    <w:p w14:paraId="7DD85039" w14:textId="77777777" w:rsidR="00EB5C63" w:rsidRDefault="00EB5C63" w:rsidP="0004046D">
      <w:pPr>
        <w:spacing w:after="120"/>
        <w:ind w:left="426"/>
        <w:jc w:val="both"/>
        <w:rPr>
          <w:b/>
          <w:bCs/>
        </w:rPr>
      </w:pPr>
    </w:p>
    <w:p w14:paraId="71C53197" w14:textId="23AEA40D" w:rsidR="007E570A" w:rsidRPr="0069258D" w:rsidRDefault="007E570A" w:rsidP="0004046D">
      <w:pPr>
        <w:spacing w:after="120"/>
        <w:ind w:left="426"/>
        <w:jc w:val="both"/>
        <w:rPr>
          <w:b/>
          <w:bCs/>
        </w:rPr>
      </w:pPr>
      <w:r w:rsidRPr="0069258D">
        <w:rPr>
          <w:b/>
          <w:bCs/>
        </w:rPr>
        <w:lastRenderedPageBreak/>
        <w:t>Table 3: Debt profile</w:t>
      </w:r>
      <w:r w:rsidR="00B805E3">
        <w:rPr>
          <w:b/>
          <w:bCs/>
        </w:rPr>
        <w:t xml:space="preserve"> as at 31</w:t>
      </w:r>
      <w:r w:rsidR="00B805E3" w:rsidRPr="00B805E3">
        <w:rPr>
          <w:b/>
          <w:bCs/>
          <w:vertAlign w:val="superscript"/>
        </w:rPr>
        <w:t>st</w:t>
      </w:r>
      <w:r w:rsidR="00B805E3">
        <w:rPr>
          <w:b/>
          <w:bCs/>
        </w:rPr>
        <w:t xml:space="preserve"> March 202</w:t>
      </w:r>
      <w:r w:rsidR="00C312F3">
        <w:rPr>
          <w:b/>
          <w:bCs/>
        </w:rPr>
        <w:t>3</w:t>
      </w:r>
    </w:p>
    <w:tbl>
      <w:tblPr>
        <w:tblW w:w="5131" w:type="dxa"/>
        <w:tblInd w:w="4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1"/>
        <w:gridCol w:w="1450"/>
      </w:tblGrid>
      <w:tr w:rsidR="007A1C21" w:rsidRPr="00C85289" w14:paraId="1DB33FD5" w14:textId="77777777" w:rsidTr="00D3373B">
        <w:trPr>
          <w:trHeight w:val="235"/>
        </w:trPr>
        <w:tc>
          <w:tcPr>
            <w:tcW w:w="3681" w:type="dxa"/>
            <w:tcBorders>
              <w:top w:val="single" w:sz="12" w:space="0" w:color="auto"/>
              <w:bottom w:val="single" w:sz="12" w:space="0" w:color="auto"/>
              <w:right w:val="single" w:sz="12" w:space="0" w:color="auto"/>
            </w:tcBorders>
            <w:shd w:val="clear" w:color="auto" w:fill="B4C6E7" w:themeFill="accent1" w:themeFillTint="66"/>
            <w:vAlign w:val="center"/>
          </w:tcPr>
          <w:p w14:paraId="15905754" w14:textId="615EE8DF" w:rsidR="007A1C21" w:rsidRPr="001E06C3" w:rsidRDefault="007A1C21" w:rsidP="007A1C21">
            <w:pPr>
              <w:rPr>
                <w:b/>
                <w:bCs/>
                <w:sz w:val="22"/>
                <w:szCs w:val="22"/>
                <w:lang w:eastAsia="en-GB"/>
              </w:rPr>
            </w:pPr>
            <w:r w:rsidRPr="001E06C3">
              <w:rPr>
                <w:b/>
                <w:bCs/>
                <w:sz w:val="22"/>
                <w:szCs w:val="22"/>
              </w:rPr>
              <w:t>Total capital repayable</w:t>
            </w:r>
          </w:p>
        </w:tc>
        <w:tc>
          <w:tcPr>
            <w:tcW w:w="1450" w:type="dxa"/>
            <w:tcBorders>
              <w:top w:val="single" w:sz="12" w:space="0" w:color="auto"/>
              <w:left w:val="single" w:sz="12" w:space="0" w:color="auto"/>
              <w:bottom w:val="single" w:sz="12" w:space="0" w:color="auto"/>
            </w:tcBorders>
            <w:shd w:val="clear" w:color="auto" w:fill="B4C6E7" w:themeFill="accent1" w:themeFillTint="66"/>
            <w:vAlign w:val="center"/>
          </w:tcPr>
          <w:p w14:paraId="5D72F1CD" w14:textId="35DFEECD" w:rsidR="007A1C21" w:rsidRPr="001E06C3" w:rsidRDefault="007A1C21" w:rsidP="007A1C21">
            <w:pPr>
              <w:jc w:val="center"/>
              <w:rPr>
                <w:b/>
                <w:bCs/>
                <w:sz w:val="22"/>
                <w:szCs w:val="22"/>
                <w:lang w:eastAsia="en-GB"/>
              </w:rPr>
            </w:pPr>
            <w:r w:rsidRPr="001E06C3">
              <w:rPr>
                <w:b/>
                <w:bCs/>
                <w:sz w:val="22"/>
                <w:szCs w:val="22"/>
              </w:rPr>
              <w:t>£</w:t>
            </w:r>
            <w:r w:rsidR="001E06C3">
              <w:rPr>
                <w:b/>
                <w:bCs/>
                <w:sz w:val="22"/>
                <w:szCs w:val="22"/>
              </w:rPr>
              <w:t>M</w:t>
            </w:r>
            <w:r w:rsidR="00C14B83" w:rsidRPr="001E06C3">
              <w:rPr>
                <w:b/>
                <w:bCs/>
                <w:sz w:val="22"/>
                <w:szCs w:val="22"/>
              </w:rPr>
              <w:t>illion</w:t>
            </w:r>
          </w:p>
        </w:tc>
      </w:tr>
      <w:tr w:rsidR="007A1C21" w:rsidRPr="00C85289" w14:paraId="0173502B" w14:textId="77777777" w:rsidTr="00D3373B">
        <w:trPr>
          <w:trHeight w:val="235"/>
        </w:trPr>
        <w:tc>
          <w:tcPr>
            <w:tcW w:w="3681" w:type="dxa"/>
            <w:tcBorders>
              <w:top w:val="single" w:sz="12" w:space="0" w:color="auto"/>
              <w:left w:val="single" w:sz="12" w:space="0" w:color="auto"/>
              <w:bottom w:val="nil"/>
              <w:right w:val="single" w:sz="12" w:space="0" w:color="auto"/>
            </w:tcBorders>
            <w:shd w:val="clear" w:color="auto" w:fill="auto"/>
            <w:noWrap/>
            <w:vAlign w:val="bottom"/>
          </w:tcPr>
          <w:p w14:paraId="00A4999C" w14:textId="776FFDE4" w:rsidR="007A1C21" w:rsidRPr="001E06C3" w:rsidRDefault="007A1C21" w:rsidP="007A1C21">
            <w:pPr>
              <w:rPr>
                <w:color w:val="000000"/>
                <w:sz w:val="22"/>
                <w:szCs w:val="22"/>
                <w:lang w:eastAsia="en-GB"/>
              </w:rPr>
            </w:pPr>
            <w:r w:rsidRPr="001E06C3">
              <w:rPr>
                <w:color w:val="000000"/>
                <w:sz w:val="22"/>
                <w:szCs w:val="22"/>
              </w:rPr>
              <w:t>Repayable within 1 year</w:t>
            </w:r>
          </w:p>
        </w:tc>
        <w:tc>
          <w:tcPr>
            <w:tcW w:w="1450" w:type="dxa"/>
            <w:tcBorders>
              <w:top w:val="single" w:sz="12" w:space="0" w:color="auto"/>
              <w:left w:val="single" w:sz="12" w:space="0" w:color="auto"/>
              <w:bottom w:val="nil"/>
              <w:right w:val="single" w:sz="12" w:space="0" w:color="auto"/>
            </w:tcBorders>
            <w:shd w:val="clear" w:color="auto" w:fill="auto"/>
            <w:noWrap/>
            <w:vAlign w:val="bottom"/>
          </w:tcPr>
          <w:p w14:paraId="45A5B73C" w14:textId="22278A49" w:rsidR="007A1C21" w:rsidRPr="001E06C3" w:rsidRDefault="00E4423B" w:rsidP="00C14B83">
            <w:pPr>
              <w:jc w:val="right"/>
              <w:rPr>
                <w:color w:val="000000"/>
                <w:sz w:val="22"/>
                <w:szCs w:val="22"/>
                <w:lang w:eastAsia="en-GB"/>
              </w:rPr>
            </w:pPr>
            <w:r w:rsidRPr="001E06C3">
              <w:rPr>
                <w:color w:val="000000"/>
                <w:sz w:val="22"/>
                <w:szCs w:val="22"/>
                <w:lang w:eastAsia="en-GB"/>
              </w:rPr>
              <w:t>nil</w:t>
            </w:r>
          </w:p>
        </w:tc>
      </w:tr>
      <w:tr w:rsidR="007A1C21" w:rsidRPr="00C85289" w14:paraId="31952ED4" w14:textId="77777777" w:rsidTr="00D3373B">
        <w:trPr>
          <w:trHeight w:val="235"/>
        </w:trPr>
        <w:tc>
          <w:tcPr>
            <w:tcW w:w="3681" w:type="dxa"/>
            <w:tcBorders>
              <w:top w:val="nil"/>
              <w:left w:val="single" w:sz="12" w:space="0" w:color="auto"/>
              <w:bottom w:val="nil"/>
              <w:right w:val="single" w:sz="12" w:space="0" w:color="auto"/>
            </w:tcBorders>
            <w:shd w:val="clear" w:color="auto" w:fill="auto"/>
            <w:noWrap/>
            <w:vAlign w:val="bottom"/>
          </w:tcPr>
          <w:p w14:paraId="3FD7389E" w14:textId="3240D48D" w:rsidR="007A1C21" w:rsidRPr="001E06C3" w:rsidRDefault="007A1C21" w:rsidP="007A1C21">
            <w:pPr>
              <w:rPr>
                <w:color w:val="000000"/>
                <w:sz w:val="22"/>
                <w:szCs w:val="22"/>
                <w:lang w:eastAsia="en-GB"/>
              </w:rPr>
            </w:pPr>
            <w:r w:rsidRPr="001E06C3">
              <w:rPr>
                <w:color w:val="000000"/>
                <w:sz w:val="22"/>
                <w:szCs w:val="22"/>
              </w:rPr>
              <w:t>Repayable within 2-5 years</w:t>
            </w:r>
          </w:p>
        </w:tc>
        <w:tc>
          <w:tcPr>
            <w:tcW w:w="1450" w:type="dxa"/>
            <w:tcBorders>
              <w:top w:val="nil"/>
              <w:left w:val="single" w:sz="12" w:space="0" w:color="auto"/>
              <w:bottom w:val="nil"/>
              <w:right w:val="single" w:sz="12" w:space="0" w:color="auto"/>
            </w:tcBorders>
            <w:shd w:val="clear" w:color="auto" w:fill="auto"/>
            <w:noWrap/>
            <w:vAlign w:val="bottom"/>
          </w:tcPr>
          <w:p w14:paraId="3EA3EBAD" w14:textId="2046110B" w:rsidR="007A1C21" w:rsidRPr="001E06C3" w:rsidRDefault="007A1C21" w:rsidP="00C14B83">
            <w:pPr>
              <w:jc w:val="right"/>
              <w:rPr>
                <w:color w:val="000000"/>
                <w:sz w:val="22"/>
                <w:szCs w:val="22"/>
                <w:lang w:eastAsia="en-GB"/>
              </w:rPr>
            </w:pPr>
            <w:r w:rsidRPr="001E06C3">
              <w:rPr>
                <w:color w:val="000000"/>
                <w:sz w:val="22"/>
                <w:szCs w:val="22"/>
              </w:rPr>
              <w:t>2</w:t>
            </w:r>
            <w:r w:rsidR="00B805E3" w:rsidRPr="001E06C3">
              <w:rPr>
                <w:color w:val="000000"/>
                <w:sz w:val="22"/>
                <w:szCs w:val="22"/>
              </w:rPr>
              <w:t>.0</w:t>
            </w:r>
          </w:p>
        </w:tc>
      </w:tr>
      <w:tr w:rsidR="007A1C21" w:rsidRPr="00C85289" w14:paraId="35F6B0C7" w14:textId="77777777" w:rsidTr="00D3373B">
        <w:trPr>
          <w:trHeight w:val="235"/>
        </w:trPr>
        <w:tc>
          <w:tcPr>
            <w:tcW w:w="3681" w:type="dxa"/>
            <w:tcBorders>
              <w:top w:val="nil"/>
              <w:left w:val="single" w:sz="12" w:space="0" w:color="auto"/>
              <w:bottom w:val="nil"/>
              <w:right w:val="single" w:sz="12" w:space="0" w:color="auto"/>
            </w:tcBorders>
            <w:shd w:val="clear" w:color="auto" w:fill="auto"/>
            <w:noWrap/>
            <w:vAlign w:val="bottom"/>
          </w:tcPr>
          <w:p w14:paraId="433252D5" w14:textId="7F6176FD" w:rsidR="007A1C21" w:rsidRPr="001E06C3" w:rsidRDefault="007A1C21" w:rsidP="007A1C21">
            <w:pPr>
              <w:rPr>
                <w:color w:val="000000"/>
                <w:sz w:val="22"/>
                <w:szCs w:val="22"/>
                <w:lang w:eastAsia="en-GB"/>
              </w:rPr>
            </w:pPr>
            <w:r w:rsidRPr="001E06C3">
              <w:rPr>
                <w:color w:val="000000"/>
                <w:sz w:val="22"/>
                <w:szCs w:val="22"/>
              </w:rPr>
              <w:t>Repayable within 5-10 years</w:t>
            </w:r>
          </w:p>
        </w:tc>
        <w:tc>
          <w:tcPr>
            <w:tcW w:w="1450" w:type="dxa"/>
            <w:tcBorders>
              <w:top w:val="nil"/>
              <w:left w:val="single" w:sz="12" w:space="0" w:color="auto"/>
              <w:bottom w:val="nil"/>
              <w:right w:val="single" w:sz="12" w:space="0" w:color="auto"/>
            </w:tcBorders>
            <w:shd w:val="clear" w:color="auto" w:fill="auto"/>
            <w:noWrap/>
            <w:vAlign w:val="bottom"/>
          </w:tcPr>
          <w:p w14:paraId="7CA08AB8" w14:textId="37966555" w:rsidR="007A1C21" w:rsidRPr="001E06C3" w:rsidRDefault="007A1C21" w:rsidP="00C14B83">
            <w:pPr>
              <w:jc w:val="right"/>
              <w:rPr>
                <w:color w:val="000000"/>
                <w:sz w:val="22"/>
                <w:szCs w:val="22"/>
                <w:lang w:eastAsia="en-GB"/>
              </w:rPr>
            </w:pPr>
            <w:r w:rsidRPr="001E06C3">
              <w:rPr>
                <w:color w:val="000000"/>
                <w:sz w:val="22"/>
                <w:szCs w:val="22"/>
              </w:rPr>
              <w:t>17</w:t>
            </w:r>
            <w:r w:rsidR="00EC3361" w:rsidRPr="001E06C3">
              <w:rPr>
                <w:color w:val="000000"/>
                <w:sz w:val="22"/>
                <w:szCs w:val="22"/>
              </w:rPr>
              <w:t>.0</w:t>
            </w:r>
          </w:p>
        </w:tc>
      </w:tr>
      <w:tr w:rsidR="007A1C21" w:rsidRPr="00C85289" w14:paraId="0AE31D10" w14:textId="77777777" w:rsidTr="00D3373B">
        <w:trPr>
          <w:trHeight w:val="235"/>
        </w:trPr>
        <w:tc>
          <w:tcPr>
            <w:tcW w:w="3681" w:type="dxa"/>
            <w:tcBorders>
              <w:top w:val="nil"/>
              <w:left w:val="single" w:sz="12" w:space="0" w:color="auto"/>
              <w:bottom w:val="single" w:sz="12" w:space="0" w:color="auto"/>
              <w:right w:val="single" w:sz="12" w:space="0" w:color="auto"/>
            </w:tcBorders>
            <w:shd w:val="clear" w:color="auto" w:fill="auto"/>
            <w:noWrap/>
            <w:vAlign w:val="bottom"/>
          </w:tcPr>
          <w:p w14:paraId="53E8868D" w14:textId="0D740C56" w:rsidR="007A1C21" w:rsidRPr="001E06C3" w:rsidRDefault="007A1C21" w:rsidP="007A1C21">
            <w:pPr>
              <w:rPr>
                <w:color w:val="000000"/>
                <w:sz w:val="22"/>
                <w:szCs w:val="22"/>
                <w:lang w:eastAsia="en-GB"/>
              </w:rPr>
            </w:pPr>
            <w:r w:rsidRPr="001E06C3">
              <w:rPr>
                <w:color w:val="000000"/>
                <w:sz w:val="22"/>
                <w:szCs w:val="22"/>
              </w:rPr>
              <w:t>Repayable within 10-15 years</w:t>
            </w:r>
          </w:p>
        </w:tc>
        <w:tc>
          <w:tcPr>
            <w:tcW w:w="1450" w:type="dxa"/>
            <w:tcBorders>
              <w:top w:val="nil"/>
              <w:left w:val="single" w:sz="12" w:space="0" w:color="auto"/>
              <w:bottom w:val="single" w:sz="12" w:space="0" w:color="auto"/>
              <w:right w:val="single" w:sz="12" w:space="0" w:color="auto"/>
            </w:tcBorders>
            <w:shd w:val="clear" w:color="auto" w:fill="auto"/>
            <w:noWrap/>
            <w:vAlign w:val="bottom"/>
          </w:tcPr>
          <w:p w14:paraId="1A7EBB46" w14:textId="3809FB7C" w:rsidR="007A1C21" w:rsidRPr="001E06C3" w:rsidRDefault="007A1C21" w:rsidP="00C14B83">
            <w:pPr>
              <w:jc w:val="right"/>
              <w:rPr>
                <w:color w:val="000000"/>
                <w:sz w:val="22"/>
                <w:szCs w:val="22"/>
                <w:lang w:eastAsia="en-GB"/>
              </w:rPr>
            </w:pPr>
            <w:r w:rsidRPr="001E06C3">
              <w:rPr>
                <w:color w:val="000000"/>
                <w:sz w:val="22"/>
                <w:szCs w:val="22"/>
              </w:rPr>
              <w:t>4.5</w:t>
            </w:r>
          </w:p>
        </w:tc>
      </w:tr>
      <w:tr w:rsidR="007A1C21" w:rsidRPr="00C85289" w14:paraId="2C6E336E" w14:textId="77777777" w:rsidTr="00D3373B">
        <w:trPr>
          <w:trHeight w:val="235"/>
        </w:trPr>
        <w:tc>
          <w:tcPr>
            <w:tcW w:w="3681" w:type="dxa"/>
            <w:tcBorders>
              <w:top w:val="single" w:sz="12" w:space="0" w:color="auto"/>
              <w:right w:val="single" w:sz="12" w:space="0" w:color="auto"/>
            </w:tcBorders>
            <w:shd w:val="clear" w:color="auto" w:fill="auto"/>
            <w:noWrap/>
            <w:vAlign w:val="bottom"/>
          </w:tcPr>
          <w:p w14:paraId="45DE9DDE" w14:textId="72019F62" w:rsidR="007A1C21" w:rsidRPr="001E06C3" w:rsidRDefault="007A1C21" w:rsidP="007A1C21">
            <w:pPr>
              <w:rPr>
                <w:b/>
                <w:bCs/>
                <w:color w:val="000000"/>
                <w:sz w:val="22"/>
                <w:szCs w:val="22"/>
                <w:lang w:eastAsia="en-GB"/>
              </w:rPr>
            </w:pPr>
            <w:r w:rsidRPr="001E06C3">
              <w:rPr>
                <w:b/>
                <w:bCs/>
                <w:color w:val="000000"/>
                <w:sz w:val="22"/>
                <w:szCs w:val="22"/>
              </w:rPr>
              <w:t>Total</w:t>
            </w:r>
          </w:p>
        </w:tc>
        <w:tc>
          <w:tcPr>
            <w:tcW w:w="1450" w:type="dxa"/>
            <w:tcBorders>
              <w:top w:val="single" w:sz="12" w:space="0" w:color="auto"/>
              <w:left w:val="single" w:sz="12" w:space="0" w:color="auto"/>
              <w:bottom w:val="single" w:sz="12" w:space="0" w:color="auto"/>
            </w:tcBorders>
            <w:shd w:val="clear" w:color="auto" w:fill="auto"/>
            <w:noWrap/>
            <w:vAlign w:val="bottom"/>
          </w:tcPr>
          <w:p w14:paraId="085B2A30" w14:textId="6D729319" w:rsidR="007A1C21" w:rsidRPr="001E06C3" w:rsidRDefault="007A1C21" w:rsidP="00C14B83">
            <w:pPr>
              <w:jc w:val="right"/>
              <w:rPr>
                <w:b/>
                <w:bCs/>
                <w:color w:val="000000"/>
                <w:sz w:val="22"/>
                <w:szCs w:val="22"/>
                <w:lang w:eastAsia="en-GB"/>
              </w:rPr>
            </w:pPr>
            <w:r w:rsidRPr="001E06C3">
              <w:rPr>
                <w:b/>
                <w:bCs/>
                <w:color w:val="000000"/>
                <w:sz w:val="22"/>
                <w:szCs w:val="22"/>
              </w:rPr>
              <w:t>2</w:t>
            </w:r>
            <w:r w:rsidR="00E4423B" w:rsidRPr="001E06C3">
              <w:rPr>
                <w:b/>
                <w:bCs/>
                <w:color w:val="000000"/>
                <w:sz w:val="22"/>
                <w:szCs w:val="22"/>
              </w:rPr>
              <w:t>3</w:t>
            </w:r>
            <w:r w:rsidRPr="001E06C3">
              <w:rPr>
                <w:b/>
                <w:bCs/>
                <w:color w:val="000000"/>
                <w:sz w:val="22"/>
                <w:szCs w:val="22"/>
              </w:rPr>
              <w:t>.5</w:t>
            </w:r>
          </w:p>
        </w:tc>
      </w:tr>
    </w:tbl>
    <w:p w14:paraId="5A56F716" w14:textId="6889007D" w:rsidR="00C85289" w:rsidRDefault="00C85289" w:rsidP="0069258D">
      <w:pPr>
        <w:rPr>
          <w:color w:val="000000" w:themeColor="text1"/>
        </w:rPr>
      </w:pPr>
    </w:p>
    <w:p w14:paraId="5143503E" w14:textId="526D51B0" w:rsidR="00B85B38" w:rsidRDefault="00EF3056" w:rsidP="00B85B38">
      <w:pPr>
        <w:spacing w:after="360"/>
        <w:ind w:left="425"/>
        <w:jc w:val="both"/>
        <w:rPr>
          <w:color w:val="000000" w:themeColor="text1"/>
        </w:rPr>
      </w:pPr>
      <w:r>
        <w:rPr>
          <w:color w:val="000000" w:themeColor="text1"/>
        </w:rPr>
        <w:t xml:space="preserve">The table above shows high debt </w:t>
      </w:r>
      <w:r w:rsidR="00DE0B99">
        <w:rPr>
          <w:color w:val="000000" w:themeColor="text1"/>
        </w:rPr>
        <w:t>expiry</w:t>
      </w:r>
      <w:r>
        <w:rPr>
          <w:color w:val="000000" w:themeColor="text1"/>
        </w:rPr>
        <w:t xml:space="preserve"> in </w:t>
      </w:r>
      <w:r w:rsidR="00DE0B99">
        <w:rPr>
          <w:color w:val="000000" w:themeColor="text1"/>
        </w:rPr>
        <w:t>5</w:t>
      </w:r>
      <w:r>
        <w:rPr>
          <w:color w:val="000000" w:themeColor="text1"/>
        </w:rPr>
        <w:t>-1</w:t>
      </w:r>
      <w:r w:rsidR="00DE0B99">
        <w:rPr>
          <w:color w:val="000000" w:themeColor="text1"/>
        </w:rPr>
        <w:t>0</w:t>
      </w:r>
      <w:r>
        <w:rPr>
          <w:color w:val="000000" w:themeColor="text1"/>
        </w:rPr>
        <w:t xml:space="preserve"> years</w:t>
      </w:r>
      <w:r w:rsidR="00DE0B99">
        <w:rPr>
          <w:color w:val="000000" w:themeColor="text1"/>
        </w:rPr>
        <w:t xml:space="preserve"> of £1</w:t>
      </w:r>
      <w:r w:rsidR="007A1C21">
        <w:rPr>
          <w:color w:val="000000" w:themeColor="text1"/>
        </w:rPr>
        <w:t>7</w:t>
      </w:r>
      <w:r w:rsidR="00DE0B99">
        <w:rPr>
          <w:color w:val="000000" w:themeColor="text1"/>
        </w:rPr>
        <w:t>m. The Authority will need to refinance to meet these repayments. The borrowing strategy is considered in the next section.</w:t>
      </w:r>
    </w:p>
    <w:p w14:paraId="44EC1C28" w14:textId="59AAF625" w:rsidR="00C97D97" w:rsidRDefault="00C97D97" w:rsidP="00E5009B">
      <w:pPr>
        <w:ind w:left="425"/>
        <w:jc w:val="both"/>
        <w:rPr>
          <w:b/>
          <w:bCs/>
          <w:color w:val="000000" w:themeColor="text1"/>
        </w:rPr>
      </w:pPr>
      <w:r w:rsidRPr="00C97D97">
        <w:rPr>
          <w:b/>
          <w:bCs/>
          <w:color w:val="000000" w:themeColor="text1"/>
        </w:rPr>
        <w:t>Table 4: Assumed Borrowing</w:t>
      </w:r>
    </w:p>
    <w:tbl>
      <w:tblPr>
        <w:tblW w:w="15095" w:type="dxa"/>
        <w:tblInd w:w="416" w:type="dxa"/>
        <w:tblLook w:val="04A0" w:firstRow="1" w:lastRow="0" w:firstColumn="1" w:lastColumn="0" w:noHBand="0" w:noVBand="1"/>
      </w:tblPr>
      <w:tblGrid>
        <w:gridCol w:w="3545"/>
        <w:gridCol w:w="1050"/>
        <w:gridCol w:w="1050"/>
        <w:gridCol w:w="1050"/>
        <w:gridCol w:w="1050"/>
        <w:gridCol w:w="1050"/>
        <w:gridCol w:w="1050"/>
        <w:gridCol w:w="1050"/>
        <w:gridCol w:w="1050"/>
        <w:gridCol w:w="1050"/>
        <w:gridCol w:w="1050"/>
        <w:gridCol w:w="1050"/>
      </w:tblGrid>
      <w:tr w:rsidR="0002755A" w:rsidRPr="00F01896" w14:paraId="342194AC" w14:textId="77777777" w:rsidTr="0002755A">
        <w:trPr>
          <w:trHeight w:val="431"/>
        </w:trPr>
        <w:tc>
          <w:tcPr>
            <w:tcW w:w="3545" w:type="dxa"/>
            <w:vMerge w:val="restart"/>
            <w:tcBorders>
              <w:top w:val="single" w:sz="12" w:space="0" w:color="auto"/>
              <w:left w:val="single" w:sz="12" w:space="0" w:color="auto"/>
              <w:bottom w:val="single" w:sz="12" w:space="0" w:color="000000"/>
              <w:right w:val="single" w:sz="12" w:space="0" w:color="auto"/>
            </w:tcBorders>
            <w:shd w:val="clear" w:color="auto" w:fill="B4C6E7" w:themeFill="accent1" w:themeFillTint="66"/>
            <w:vAlign w:val="center"/>
            <w:hideMark/>
          </w:tcPr>
          <w:p w14:paraId="187FB645" w14:textId="64727B54" w:rsidR="00E5009B" w:rsidRPr="00F01896" w:rsidRDefault="00E5009B" w:rsidP="00827328">
            <w:pPr>
              <w:rPr>
                <w:b/>
                <w:bCs/>
                <w:sz w:val="20"/>
                <w:szCs w:val="20"/>
                <w:lang w:eastAsia="en-GB"/>
              </w:rPr>
            </w:pPr>
            <w:r w:rsidRPr="00F01896">
              <w:rPr>
                <w:b/>
                <w:bCs/>
                <w:sz w:val="20"/>
                <w:szCs w:val="20"/>
                <w:lang w:eastAsia="en-GB"/>
              </w:rPr>
              <w:t> </w:t>
            </w:r>
            <w:r>
              <w:rPr>
                <w:b/>
                <w:bCs/>
                <w:sz w:val="20"/>
                <w:szCs w:val="20"/>
                <w:lang w:eastAsia="en-GB"/>
              </w:rPr>
              <w:t>Assumed Borrowing</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76803042" w14:textId="77777777" w:rsidR="00E5009B" w:rsidRPr="00F01896" w:rsidRDefault="00E5009B" w:rsidP="00827328">
            <w:pPr>
              <w:jc w:val="center"/>
              <w:rPr>
                <w:b/>
                <w:bCs/>
                <w:sz w:val="20"/>
                <w:szCs w:val="20"/>
                <w:lang w:eastAsia="en-GB"/>
              </w:rPr>
            </w:pPr>
            <w:r w:rsidRPr="00F01896">
              <w:rPr>
                <w:b/>
                <w:bCs/>
                <w:sz w:val="20"/>
                <w:szCs w:val="20"/>
                <w:lang w:eastAsia="en-GB"/>
              </w:rPr>
              <w:t>Forecast 2022/23</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2EC840D9" w14:textId="77777777" w:rsidR="00E5009B" w:rsidRPr="00F01896" w:rsidRDefault="00E5009B" w:rsidP="00827328">
            <w:pPr>
              <w:jc w:val="center"/>
              <w:rPr>
                <w:b/>
                <w:bCs/>
                <w:sz w:val="20"/>
                <w:szCs w:val="20"/>
                <w:lang w:eastAsia="en-GB"/>
              </w:rPr>
            </w:pPr>
            <w:r w:rsidRPr="00F01896">
              <w:rPr>
                <w:b/>
                <w:bCs/>
                <w:sz w:val="20"/>
                <w:szCs w:val="20"/>
                <w:lang w:eastAsia="en-GB"/>
              </w:rPr>
              <w:t>Forecast 2023/24</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536C9BD3" w14:textId="77777777" w:rsidR="00E5009B" w:rsidRPr="00F01896" w:rsidRDefault="00E5009B" w:rsidP="00827328">
            <w:pPr>
              <w:jc w:val="center"/>
              <w:rPr>
                <w:b/>
                <w:bCs/>
                <w:sz w:val="20"/>
                <w:szCs w:val="20"/>
                <w:lang w:eastAsia="en-GB"/>
              </w:rPr>
            </w:pPr>
            <w:r w:rsidRPr="00F01896">
              <w:rPr>
                <w:b/>
                <w:bCs/>
                <w:sz w:val="20"/>
                <w:szCs w:val="20"/>
                <w:lang w:eastAsia="en-GB"/>
              </w:rPr>
              <w:t>Forecast 2024/25</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08A2C313" w14:textId="77777777" w:rsidR="00E5009B" w:rsidRPr="00F01896" w:rsidRDefault="00E5009B" w:rsidP="00827328">
            <w:pPr>
              <w:jc w:val="center"/>
              <w:rPr>
                <w:b/>
                <w:bCs/>
                <w:sz w:val="20"/>
                <w:szCs w:val="20"/>
                <w:lang w:eastAsia="en-GB"/>
              </w:rPr>
            </w:pPr>
            <w:r w:rsidRPr="00F01896">
              <w:rPr>
                <w:b/>
                <w:bCs/>
                <w:sz w:val="20"/>
                <w:szCs w:val="20"/>
                <w:lang w:eastAsia="en-GB"/>
              </w:rPr>
              <w:t>Forecast 2025/26</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hideMark/>
          </w:tcPr>
          <w:p w14:paraId="67226613" w14:textId="77777777" w:rsidR="00E5009B" w:rsidRPr="00F01896" w:rsidRDefault="00E5009B" w:rsidP="00827328">
            <w:pPr>
              <w:jc w:val="center"/>
              <w:rPr>
                <w:b/>
                <w:bCs/>
                <w:sz w:val="20"/>
                <w:szCs w:val="20"/>
                <w:lang w:eastAsia="en-GB"/>
              </w:rPr>
            </w:pPr>
            <w:r w:rsidRPr="00F01896">
              <w:rPr>
                <w:b/>
                <w:bCs/>
                <w:sz w:val="20"/>
                <w:szCs w:val="20"/>
                <w:lang w:eastAsia="en-GB"/>
              </w:rPr>
              <w:t>Forecast 2026/27</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2DB2CD41" w14:textId="77777777" w:rsidR="00E5009B" w:rsidRPr="00F01896" w:rsidRDefault="00E5009B" w:rsidP="00827328">
            <w:pPr>
              <w:jc w:val="center"/>
              <w:rPr>
                <w:b/>
                <w:bCs/>
                <w:sz w:val="20"/>
                <w:szCs w:val="20"/>
                <w:lang w:eastAsia="en-GB"/>
              </w:rPr>
            </w:pPr>
            <w:r w:rsidRPr="00F01896">
              <w:rPr>
                <w:b/>
                <w:bCs/>
                <w:sz w:val="20"/>
                <w:szCs w:val="20"/>
                <w:lang w:eastAsia="en-GB"/>
              </w:rPr>
              <w:t>Forecast 2027/28</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3F791519" w14:textId="77777777" w:rsidR="00E5009B" w:rsidRPr="00F01896" w:rsidRDefault="00E5009B" w:rsidP="00827328">
            <w:pPr>
              <w:jc w:val="center"/>
              <w:rPr>
                <w:b/>
                <w:bCs/>
                <w:sz w:val="20"/>
                <w:szCs w:val="20"/>
                <w:lang w:eastAsia="en-GB"/>
              </w:rPr>
            </w:pPr>
            <w:r w:rsidRPr="00F01896">
              <w:rPr>
                <w:b/>
                <w:bCs/>
                <w:sz w:val="20"/>
                <w:szCs w:val="20"/>
                <w:lang w:eastAsia="en-GB"/>
              </w:rPr>
              <w:t>Forecast 2028/29</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232B3BCC" w14:textId="77777777" w:rsidR="00E5009B" w:rsidRPr="00F01896" w:rsidRDefault="00E5009B" w:rsidP="00827328">
            <w:pPr>
              <w:jc w:val="center"/>
              <w:rPr>
                <w:b/>
                <w:bCs/>
                <w:sz w:val="20"/>
                <w:szCs w:val="20"/>
                <w:lang w:eastAsia="en-GB"/>
              </w:rPr>
            </w:pPr>
            <w:r w:rsidRPr="00F01896">
              <w:rPr>
                <w:b/>
                <w:bCs/>
                <w:sz w:val="20"/>
                <w:szCs w:val="20"/>
                <w:lang w:eastAsia="en-GB"/>
              </w:rPr>
              <w:t>Forecast 2029/30</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4CA1C12C" w14:textId="77777777" w:rsidR="00E5009B" w:rsidRPr="00F01896" w:rsidRDefault="00E5009B" w:rsidP="00827328">
            <w:pPr>
              <w:jc w:val="center"/>
              <w:rPr>
                <w:b/>
                <w:bCs/>
                <w:sz w:val="20"/>
                <w:szCs w:val="20"/>
                <w:lang w:eastAsia="en-GB"/>
              </w:rPr>
            </w:pPr>
            <w:r w:rsidRPr="00F01896">
              <w:rPr>
                <w:b/>
                <w:bCs/>
                <w:sz w:val="20"/>
                <w:szCs w:val="20"/>
                <w:lang w:eastAsia="en-GB"/>
              </w:rPr>
              <w:t>Forecast 2030/31</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747C9A6F" w14:textId="77777777" w:rsidR="00E5009B" w:rsidRPr="00F01896" w:rsidRDefault="00E5009B" w:rsidP="00827328">
            <w:pPr>
              <w:jc w:val="center"/>
              <w:rPr>
                <w:b/>
                <w:bCs/>
                <w:sz w:val="20"/>
                <w:szCs w:val="20"/>
                <w:lang w:eastAsia="en-GB"/>
              </w:rPr>
            </w:pPr>
            <w:r w:rsidRPr="00F01896">
              <w:rPr>
                <w:b/>
                <w:bCs/>
                <w:sz w:val="20"/>
                <w:szCs w:val="20"/>
                <w:lang w:eastAsia="en-GB"/>
              </w:rPr>
              <w:t>Forecast 2031/32</w:t>
            </w:r>
          </w:p>
        </w:tc>
        <w:tc>
          <w:tcPr>
            <w:tcW w:w="1050" w:type="dxa"/>
            <w:tcBorders>
              <w:top w:val="single" w:sz="12" w:space="0" w:color="auto"/>
              <w:left w:val="single" w:sz="12" w:space="0" w:color="auto"/>
              <w:bottom w:val="nil"/>
              <w:right w:val="single" w:sz="12" w:space="0" w:color="auto"/>
            </w:tcBorders>
            <w:shd w:val="clear" w:color="auto" w:fill="B4C6E7" w:themeFill="accent1" w:themeFillTint="66"/>
          </w:tcPr>
          <w:p w14:paraId="6B3D9247" w14:textId="77777777" w:rsidR="00E5009B" w:rsidRPr="00F01896" w:rsidRDefault="00E5009B" w:rsidP="00827328">
            <w:pPr>
              <w:jc w:val="center"/>
              <w:rPr>
                <w:b/>
                <w:bCs/>
                <w:sz w:val="20"/>
                <w:szCs w:val="20"/>
                <w:lang w:eastAsia="en-GB"/>
              </w:rPr>
            </w:pPr>
            <w:r w:rsidRPr="00F01896">
              <w:rPr>
                <w:b/>
                <w:bCs/>
                <w:sz w:val="20"/>
                <w:szCs w:val="20"/>
                <w:lang w:eastAsia="en-GB"/>
              </w:rPr>
              <w:t>Forecast 203</w:t>
            </w:r>
            <w:r>
              <w:rPr>
                <w:b/>
                <w:bCs/>
                <w:sz w:val="20"/>
                <w:szCs w:val="20"/>
                <w:lang w:eastAsia="en-GB"/>
              </w:rPr>
              <w:t>2</w:t>
            </w:r>
            <w:r w:rsidRPr="00F01896">
              <w:rPr>
                <w:b/>
                <w:bCs/>
                <w:sz w:val="20"/>
                <w:szCs w:val="20"/>
                <w:lang w:eastAsia="en-GB"/>
              </w:rPr>
              <w:t>/3</w:t>
            </w:r>
            <w:r>
              <w:rPr>
                <w:b/>
                <w:bCs/>
                <w:sz w:val="20"/>
                <w:szCs w:val="20"/>
                <w:lang w:eastAsia="en-GB"/>
              </w:rPr>
              <w:t>3</w:t>
            </w:r>
          </w:p>
        </w:tc>
      </w:tr>
      <w:tr w:rsidR="0002755A" w:rsidRPr="00F01896" w14:paraId="796AD647" w14:textId="77777777" w:rsidTr="0002755A">
        <w:trPr>
          <w:trHeight w:val="246"/>
        </w:trPr>
        <w:tc>
          <w:tcPr>
            <w:tcW w:w="3545" w:type="dxa"/>
            <w:vMerge/>
            <w:tcBorders>
              <w:top w:val="single" w:sz="8" w:space="0" w:color="auto"/>
              <w:left w:val="single" w:sz="12" w:space="0" w:color="auto"/>
              <w:bottom w:val="single" w:sz="12" w:space="0" w:color="auto"/>
              <w:right w:val="single" w:sz="12" w:space="0" w:color="auto"/>
            </w:tcBorders>
            <w:shd w:val="clear" w:color="auto" w:fill="B4C6E7" w:themeFill="accent1" w:themeFillTint="66"/>
            <w:vAlign w:val="center"/>
            <w:hideMark/>
          </w:tcPr>
          <w:p w14:paraId="07514D19" w14:textId="77777777" w:rsidR="00E5009B" w:rsidRPr="00F01896" w:rsidRDefault="00E5009B" w:rsidP="00827328">
            <w:pPr>
              <w:rPr>
                <w:b/>
                <w:bCs/>
                <w:sz w:val="20"/>
                <w:szCs w:val="20"/>
                <w:lang w:eastAsia="en-GB"/>
              </w:rPr>
            </w:pP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55077DEA"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1B765EF0"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2724EA5E"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4E3FCF12"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hideMark/>
          </w:tcPr>
          <w:p w14:paraId="00F7C4DA"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3C479478"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21179F0E"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223DAAC3"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32CCCA0A"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756FBB3E"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c>
          <w:tcPr>
            <w:tcW w:w="1050" w:type="dxa"/>
            <w:tcBorders>
              <w:top w:val="nil"/>
              <w:left w:val="single" w:sz="12" w:space="0" w:color="auto"/>
              <w:bottom w:val="single" w:sz="12" w:space="0" w:color="auto"/>
              <w:right w:val="single" w:sz="12" w:space="0" w:color="auto"/>
            </w:tcBorders>
            <w:shd w:val="clear" w:color="auto" w:fill="B4C6E7" w:themeFill="accent1" w:themeFillTint="66"/>
          </w:tcPr>
          <w:p w14:paraId="5A6F4304" w14:textId="77777777" w:rsidR="00E5009B" w:rsidRPr="00F01896" w:rsidRDefault="00E5009B" w:rsidP="00827328">
            <w:pPr>
              <w:jc w:val="center"/>
              <w:rPr>
                <w:b/>
                <w:bCs/>
                <w:sz w:val="20"/>
                <w:szCs w:val="20"/>
                <w:lang w:eastAsia="en-GB"/>
              </w:rPr>
            </w:pPr>
            <w:r w:rsidRPr="00F01896">
              <w:rPr>
                <w:b/>
                <w:bCs/>
                <w:sz w:val="20"/>
                <w:szCs w:val="20"/>
                <w:lang w:eastAsia="en-GB"/>
              </w:rPr>
              <w:t>£Million</w:t>
            </w:r>
          </w:p>
        </w:tc>
      </w:tr>
      <w:tr w:rsidR="0002755A" w:rsidRPr="0021055C" w14:paraId="38DD99EF" w14:textId="77777777" w:rsidTr="0002755A">
        <w:trPr>
          <w:trHeight w:val="284"/>
        </w:trPr>
        <w:tc>
          <w:tcPr>
            <w:tcW w:w="3545" w:type="dxa"/>
            <w:tcBorders>
              <w:top w:val="single" w:sz="12" w:space="0" w:color="auto"/>
              <w:left w:val="single" w:sz="12" w:space="0" w:color="auto"/>
              <w:right w:val="single" w:sz="12" w:space="0" w:color="auto"/>
            </w:tcBorders>
            <w:shd w:val="clear" w:color="000000" w:fill="FFFFFF"/>
            <w:noWrap/>
            <w:vAlign w:val="bottom"/>
            <w:hideMark/>
          </w:tcPr>
          <w:p w14:paraId="12AB5C3B" w14:textId="495F2D07" w:rsidR="00406560" w:rsidRPr="00F01896" w:rsidRDefault="00406560" w:rsidP="00406560">
            <w:pPr>
              <w:rPr>
                <w:sz w:val="20"/>
                <w:szCs w:val="20"/>
                <w:lang w:eastAsia="en-GB"/>
              </w:rPr>
            </w:pPr>
            <w:r>
              <w:rPr>
                <w:sz w:val="20"/>
                <w:szCs w:val="20"/>
                <w:lang w:eastAsia="en-GB"/>
              </w:rPr>
              <w:t>Existing Borrowing</w:t>
            </w:r>
          </w:p>
        </w:tc>
        <w:tc>
          <w:tcPr>
            <w:tcW w:w="1050" w:type="dxa"/>
            <w:tcBorders>
              <w:top w:val="nil"/>
              <w:left w:val="single" w:sz="12" w:space="0" w:color="auto"/>
              <w:right w:val="single" w:sz="12" w:space="0" w:color="auto"/>
            </w:tcBorders>
            <w:shd w:val="clear" w:color="000000" w:fill="FFFFFF"/>
            <w:hideMark/>
          </w:tcPr>
          <w:p w14:paraId="52FDEF6A" w14:textId="4B8D4282" w:rsidR="00406560" w:rsidRPr="00406560" w:rsidRDefault="00406560" w:rsidP="00406560">
            <w:pPr>
              <w:jc w:val="right"/>
              <w:rPr>
                <w:color w:val="000000"/>
                <w:sz w:val="20"/>
                <w:szCs w:val="20"/>
                <w:lang w:eastAsia="en-GB"/>
              </w:rPr>
            </w:pPr>
            <w:r w:rsidRPr="00406560">
              <w:rPr>
                <w:sz w:val="20"/>
                <w:szCs w:val="20"/>
              </w:rPr>
              <w:t>23.5</w:t>
            </w:r>
          </w:p>
        </w:tc>
        <w:tc>
          <w:tcPr>
            <w:tcW w:w="1050" w:type="dxa"/>
            <w:tcBorders>
              <w:top w:val="single" w:sz="12" w:space="0" w:color="auto"/>
              <w:left w:val="single" w:sz="12" w:space="0" w:color="auto"/>
              <w:right w:val="single" w:sz="12" w:space="0" w:color="auto"/>
            </w:tcBorders>
            <w:shd w:val="clear" w:color="000000" w:fill="FFFFFF"/>
            <w:hideMark/>
          </w:tcPr>
          <w:p w14:paraId="72D6A73F" w14:textId="1CD2880E" w:rsidR="00406560" w:rsidRPr="00406560" w:rsidRDefault="00406560" w:rsidP="00406560">
            <w:pPr>
              <w:jc w:val="right"/>
              <w:rPr>
                <w:color w:val="000000"/>
                <w:sz w:val="20"/>
                <w:szCs w:val="20"/>
                <w:lang w:eastAsia="en-GB"/>
              </w:rPr>
            </w:pPr>
            <w:r w:rsidRPr="00406560">
              <w:rPr>
                <w:sz w:val="20"/>
                <w:szCs w:val="20"/>
              </w:rPr>
              <w:t>23.5</w:t>
            </w:r>
          </w:p>
        </w:tc>
        <w:tc>
          <w:tcPr>
            <w:tcW w:w="1050" w:type="dxa"/>
            <w:tcBorders>
              <w:top w:val="nil"/>
              <w:left w:val="single" w:sz="12" w:space="0" w:color="auto"/>
              <w:right w:val="single" w:sz="12" w:space="0" w:color="auto"/>
            </w:tcBorders>
            <w:shd w:val="clear" w:color="000000" w:fill="FFFFFF"/>
            <w:hideMark/>
          </w:tcPr>
          <w:p w14:paraId="2FDB11C0" w14:textId="31A55DAD" w:rsidR="00406560" w:rsidRPr="00406560" w:rsidRDefault="00406560" w:rsidP="00406560">
            <w:pPr>
              <w:jc w:val="right"/>
              <w:rPr>
                <w:color w:val="000000"/>
                <w:sz w:val="20"/>
                <w:szCs w:val="20"/>
                <w:lang w:eastAsia="en-GB"/>
              </w:rPr>
            </w:pPr>
            <w:r w:rsidRPr="00406560">
              <w:rPr>
                <w:sz w:val="20"/>
                <w:szCs w:val="20"/>
              </w:rPr>
              <w:t>22.5</w:t>
            </w:r>
          </w:p>
        </w:tc>
        <w:tc>
          <w:tcPr>
            <w:tcW w:w="1050" w:type="dxa"/>
            <w:tcBorders>
              <w:top w:val="single" w:sz="12" w:space="0" w:color="auto"/>
              <w:left w:val="single" w:sz="12" w:space="0" w:color="auto"/>
              <w:right w:val="single" w:sz="12" w:space="0" w:color="auto"/>
            </w:tcBorders>
            <w:shd w:val="clear" w:color="000000" w:fill="FFFFFF"/>
            <w:hideMark/>
          </w:tcPr>
          <w:p w14:paraId="0244C1F4" w14:textId="63F6CD1F" w:rsidR="00406560" w:rsidRPr="00406560" w:rsidRDefault="00406560" w:rsidP="00406560">
            <w:pPr>
              <w:jc w:val="right"/>
              <w:rPr>
                <w:color w:val="000000"/>
                <w:sz w:val="20"/>
                <w:szCs w:val="20"/>
                <w:lang w:eastAsia="en-GB"/>
              </w:rPr>
            </w:pPr>
            <w:r w:rsidRPr="00406560">
              <w:rPr>
                <w:sz w:val="20"/>
                <w:szCs w:val="20"/>
              </w:rPr>
              <w:t>21.5</w:t>
            </w:r>
          </w:p>
        </w:tc>
        <w:tc>
          <w:tcPr>
            <w:tcW w:w="1050" w:type="dxa"/>
            <w:tcBorders>
              <w:top w:val="nil"/>
              <w:left w:val="single" w:sz="12" w:space="0" w:color="auto"/>
              <w:right w:val="single" w:sz="12" w:space="0" w:color="auto"/>
            </w:tcBorders>
            <w:shd w:val="clear" w:color="000000" w:fill="FFFFFF"/>
            <w:hideMark/>
          </w:tcPr>
          <w:p w14:paraId="22D160E5" w14:textId="48AA3EE9" w:rsidR="00406560" w:rsidRPr="00406560" w:rsidRDefault="00406560" w:rsidP="00406560">
            <w:pPr>
              <w:jc w:val="right"/>
              <w:rPr>
                <w:color w:val="000000"/>
                <w:sz w:val="20"/>
                <w:szCs w:val="20"/>
                <w:lang w:eastAsia="en-GB"/>
              </w:rPr>
            </w:pPr>
            <w:r w:rsidRPr="00406560">
              <w:rPr>
                <w:sz w:val="20"/>
                <w:szCs w:val="20"/>
              </w:rPr>
              <w:t>21.5</w:t>
            </w:r>
          </w:p>
        </w:tc>
        <w:tc>
          <w:tcPr>
            <w:tcW w:w="1050" w:type="dxa"/>
            <w:tcBorders>
              <w:top w:val="single" w:sz="12" w:space="0" w:color="auto"/>
              <w:left w:val="single" w:sz="12" w:space="0" w:color="auto"/>
              <w:right w:val="single" w:sz="12" w:space="0" w:color="auto"/>
            </w:tcBorders>
            <w:shd w:val="clear" w:color="000000" w:fill="FFFFFF"/>
          </w:tcPr>
          <w:p w14:paraId="557EEDF6" w14:textId="1E2211A6" w:rsidR="00406560" w:rsidRPr="00406560" w:rsidRDefault="00406560" w:rsidP="00406560">
            <w:pPr>
              <w:jc w:val="right"/>
              <w:rPr>
                <w:color w:val="000000"/>
                <w:sz w:val="20"/>
                <w:szCs w:val="20"/>
                <w:lang w:eastAsia="en-GB"/>
              </w:rPr>
            </w:pPr>
            <w:r>
              <w:rPr>
                <w:sz w:val="20"/>
                <w:szCs w:val="20"/>
              </w:rPr>
              <w:t>2</w:t>
            </w:r>
            <w:r w:rsidRPr="00406560">
              <w:rPr>
                <w:sz w:val="20"/>
                <w:szCs w:val="20"/>
              </w:rPr>
              <w:t>1.5</w:t>
            </w:r>
          </w:p>
        </w:tc>
        <w:tc>
          <w:tcPr>
            <w:tcW w:w="1050" w:type="dxa"/>
            <w:tcBorders>
              <w:top w:val="nil"/>
              <w:left w:val="single" w:sz="12" w:space="0" w:color="auto"/>
              <w:right w:val="single" w:sz="12" w:space="0" w:color="auto"/>
            </w:tcBorders>
            <w:shd w:val="clear" w:color="000000" w:fill="FFFFFF"/>
          </w:tcPr>
          <w:p w14:paraId="017BCCC3" w14:textId="095A110F" w:rsidR="00406560" w:rsidRPr="00406560" w:rsidRDefault="00406560" w:rsidP="00406560">
            <w:pPr>
              <w:jc w:val="right"/>
              <w:rPr>
                <w:color w:val="000000"/>
                <w:sz w:val="20"/>
                <w:szCs w:val="20"/>
                <w:lang w:eastAsia="en-GB"/>
              </w:rPr>
            </w:pPr>
            <w:r w:rsidRPr="00406560">
              <w:rPr>
                <w:sz w:val="20"/>
                <w:szCs w:val="20"/>
              </w:rPr>
              <w:t>16.5</w:t>
            </w:r>
          </w:p>
        </w:tc>
        <w:tc>
          <w:tcPr>
            <w:tcW w:w="1050" w:type="dxa"/>
            <w:tcBorders>
              <w:top w:val="single" w:sz="12" w:space="0" w:color="auto"/>
              <w:left w:val="single" w:sz="12" w:space="0" w:color="auto"/>
              <w:right w:val="single" w:sz="12" w:space="0" w:color="auto"/>
            </w:tcBorders>
            <w:shd w:val="clear" w:color="000000" w:fill="FFFFFF"/>
          </w:tcPr>
          <w:p w14:paraId="056B18E1" w14:textId="2A5BF4F7" w:rsidR="00406560" w:rsidRPr="00406560" w:rsidRDefault="00406560" w:rsidP="00406560">
            <w:pPr>
              <w:jc w:val="right"/>
              <w:rPr>
                <w:color w:val="000000"/>
                <w:sz w:val="20"/>
                <w:szCs w:val="20"/>
                <w:lang w:eastAsia="en-GB"/>
              </w:rPr>
            </w:pPr>
            <w:r w:rsidRPr="00406560">
              <w:rPr>
                <w:sz w:val="20"/>
                <w:szCs w:val="20"/>
              </w:rPr>
              <w:t>11.5</w:t>
            </w:r>
          </w:p>
        </w:tc>
        <w:tc>
          <w:tcPr>
            <w:tcW w:w="1050" w:type="dxa"/>
            <w:tcBorders>
              <w:top w:val="nil"/>
              <w:left w:val="single" w:sz="12" w:space="0" w:color="auto"/>
              <w:right w:val="single" w:sz="12" w:space="0" w:color="auto"/>
            </w:tcBorders>
            <w:shd w:val="clear" w:color="000000" w:fill="FFFFFF"/>
          </w:tcPr>
          <w:p w14:paraId="78A62084" w14:textId="10FAB707" w:rsidR="00406560" w:rsidRPr="00406560" w:rsidRDefault="00406560" w:rsidP="00406560">
            <w:pPr>
              <w:jc w:val="right"/>
              <w:rPr>
                <w:color w:val="000000"/>
                <w:sz w:val="20"/>
                <w:szCs w:val="20"/>
                <w:lang w:eastAsia="en-GB"/>
              </w:rPr>
            </w:pPr>
            <w:r w:rsidRPr="00406560">
              <w:rPr>
                <w:sz w:val="20"/>
                <w:szCs w:val="20"/>
              </w:rPr>
              <w:t>6.5</w:t>
            </w:r>
          </w:p>
        </w:tc>
        <w:tc>
          <w:tcPr>
            <w:tcW w:w="1050" w:type="dxa"/>
            <w:tcBorders>
              <w:top w:val="single" w:sz="12" w:space="0" w:color="auto"/>
              <w:left w:val="single" w:sz="12" w:space="0" w:color="auto"/>
              <w:right w:val="single" w:sz="12" w:space="0" w:color="auto"/>
            </w:tcBorders>
            <w:shd w:val="clear" w:color="000000" w:fill="FFFFFF"/>
          </w:tcPr>
          <w:p w14:paraId="183A56CF" w14:textId="743595CF" w:rsidR="00406560" w:rsidRPr="00406560" w:rsidRDefault="00406560" w:rsidP="00406560">
            <w:pPr>
              <w:jc w:val="right"/>
              <w:rPr>
                <w:color w:val="000000"/>
                <w:sz w:val="20"/>
                <w:szCs w:val="20"/>
                <w:lang w:eastAsia="en-GB"/>
              </w:rPr>
            </w:pPr>
            <w:r w:rsidRPr="00406560">
              <w:rPr>
                <w:sz w:val="20"/>
                <w:szCs w:val="20"/>
              </w:rPr>
              <w:t>6.5</w:t>
            </w:r>
          </w:p>
        </w:tc>
        <w:tc>
          <w:tcPr>
            <w:tcW w:w="1050" w:type="dxa"/>
            <w:tcBorders>
              <w:top w:val="nil"/>
              <w:left w:val="single" w:sz="12" w:space="0" w:color="auto"/>
              <w:right w:val="single" w:sz="12" w:space="0" w:color="auto"/>
            </w:tcBorders>
            <w:shd w:val="clear" w:color="000000" w:fill="FFFFFF"/>
          </w:tcPr>
          <w:p w14:paraId="1120F82D" w14:textId="7844ADAF" w:rsidR="00406560" w:rsidRPr="00406560" w:rsidRDefault="00406560" w:rsidP="00406560">
            <w:pPr>
              <w:jc w:val="right"/>
              <w:rPr>
                <w:color w:val="000000"/>
                <w:sz w:val="20"/>
                <w:szCs w:val="20"/>
                <w:lang w:eastAsia="en-GB"/>
              </w:rPr>
            </w:pPr>
            <w:r w:rsidRPr="00406560">
              <w:rPr>
                <w:sz w:val="20"/>
                <w:szCs w:val="20"/>
              </w:rPr>
              <w:t>4.5</w:t>
            </w:r>
          </w:p>
        </w:tc>
      </w:tr>
      <w:tr w:rsidR="0002755A" w:rsidRPr="0021055C" w14:paraId="2F6829AF" w14:textId="77777777" w:rsidTr="0002755A">
        <w:trPr>
          <w:trHeight w:val="284"/>
        </w:trPr>
        <w:tc>
          <w:tcPr>
            <w:tcW w:w="3545" w:type="dxa"/>
            <w:tcBorders>
              <w:top w:val="nil"/>
              <w:left w:val="single" w:sz="12" w:space="0" w:color="auto"/>
              <w:bottom w:val="single" w:sz="12" w:space="0" w:color="auto"/>
              <w:right w:val="single" w:sz="12" w:space="0" w:color="auto"/>
            </w:tcBorders>
            <w:shd w:val="clear" w:color="000000" w:fill="FFFFFF"/>
            <w:noWrap/>
            <w:vAlign w:val="bottom"/>
            <w:hideMark/>
          </w:tcPr>
          <w:p w14:paraId="28673985" w14:textId="028EA6E9" w:rsidR="00406560" w:rsidRPr="00F01896" w:rsidRDefault="00406560" w:rsidP="00406560">
            <w:pPr>
              <w:rPr>
                <w:sz w:val="20"/>
                <w:szCs w:val="20"/>
                <w:lang w:eastAsia="en-GB"/>
              </w:rPr>
            </w:pPr>
            <w:r>
              <w:rPr>
                <w:sz w:val="20"/>
                <w:szCs w:val="20"/>
                <w:lang w:eastAsia="en-GB"/>
              </w:rPr>
              <w:t>New Borrowing</w:t>
            </w:r>
          </w:p>
        </w:tc>
        <w:tc>
          <w:tcPr>
            <w:tcW w:w="1050" w:type="dxa"/>
            <w:tcBorders>
              <w:top w:val="nil"/>
              <w:left w:val="single" w:sz="12" w:space="0" w:color="auto"/>
              <w:bottom w:val="single" w:sz="12" w:space="0" w:color="auto"/>
              <w:right w:val="single" w:sz="12" w:space="0" w:color="auto"/>
            </w:tcBorders>
            <w:shd w:val="clear" w:color="000000" w:fill="FFFFFF"/>
            <w:hideMark/>
          </w:tcPr>
          <w:p w14:paraId="1B167909" w14:textId="51C7BC1B" w:rsidR="00406560" w:rsidRPr="00406560" w:rsidRDefault="00406560" w:rsidP="00406560">
            <w:pPr>
              <w:jc w:val="right"/>
              <w:rPr>
                <w:color w:val="000000"/>
                <w:sz w:val="20"/>
                <w:szCs w:val="20"/>
                <w:lang w:eastAsia="en-GB"/>
              </w:rPr>
            </w:pPr>
            <w:r w:rsidRPr="00406560">
              <w:rPr>
                <w:sz w:val="20"/>
                <w:szCs w:val="20"/>
              </w:rPr>
              <w:t>0.0</w:t>
            </w:r>
          </w:p>
        </w:tc>
        <w:tc>
          <w:tcPr>
            <w:tcW w:w="1050" w:type="dxa"/>
            <w:tcBorders>
              <w:top w:val="nil"/>
              <w:left w:val="single" w:sz="12" w:space="0" w:color="auto"/>
              <w:bottom w:val="single" w:sz="12" w:space="0" w:color="auto"/>
              <w:right w:val="single" w:sz="12" w:space="0" w:color="auto"/>
            </w:tcBorders>
            <w:shd w:val="clear" w:color="000000" w:fill="FFFFFF"/>
            <w:hideMark/>
          </w:tcPr>
          <w:p w14:paraId="482E2051" w14:textId="63D108DC" w:rsidR="00406560" w:rsidRPr="00406560" w:rsidRDefault="00406560" w:rsidP="00406560">
            <w:pPr>
              <w:jc w:val="right"/>
              <w:rPr>
                <w:color w:val="000000"/>
                <w:sz w:val="20"/>
                <w:szCs w:val="20"/>
                <w:lang w:eastAsia="en-GB"/>
              </w:rPr>
            </w:pPr>
            <w:r w:rsidRPr="00406560">
              <w:rPr>
                <w:sz w:val="20"/>
                <w:szCs w:val="20"/>
              </w:rPr>
              <w:t>0.0</w:t>
            </w:r>
          </w:p>
        </w:tc>
        <w:tc>
          <w:tcPr>
            <w:tcW w:w="1050" w:type="dxa"/>
            <w:tcBorders>
              <w:top w:val="nil"/>
              <w:left w:val="single" w:sz="12" w:space="0" w:color="auto"/>
              <w:bottom w:val="single" w:sz="12" w:space="0" w:color="auto"/>
              <w:right w:val="single" w:sz="12" w:space="0" w:color="auto"/>
            </w:tcBorders>
            <w:shd w:val="clear" w:color="000000" w:fill="FFFFFF"/>
            <w:hideMark/>
          </w:tcPr>
          <w:p w14:paraId="2C9A994C" w14:textId="756E5662" w:rsidR="00406560" w:rsidRPr="00406560" w:rsidRDefault="00406560" w:rsidP="00406560">
            <w:pPr>
              <w:jc w:val="right"/>
              <w:rPr>
                <w:color w:val="000000"/>
                <w:sz w:val="20"/>
                <w:szCs w:val="20"/>
                <w:lang w:eastAsia="en-GB"/>
              </w:rPr>
            </w:pPr>
            <w:r w:rsidRPr="00406560">
              <w:rPr>
                <w:sz w:val="20"/>
                <w:szCs w:val="20"/>
              </w:rPr>
              <w:t>0.0</w:t>
            </w:r>
          </w:p>
        </w:tc>
        <w:tc>
          <w:tcPr>
            <w:tcW w:w="1050" w:type="dxa"/>
            <w:tcBorders>
              <w:top w:val="nil"/>
              <w:left w:val="single" w:sz="12" w:space="0" w:color="auto"/>
              <w:bottom w:val="single" w:sz="12" w:space="0" w:color="auto"/>
              <w:right w:val="single" w:sz="12" w:space="0" w:color="auto"/>
            </w:tcBorders>
            <w:shd w:val="clear" w:color="000000" w:fill="FFFFFF"/>
            <w:hideMark/>
          </w:tcPr>
          <w:p w14:paraId="41F7B23B" w14:textId="0E280DD5" w:rsidR="00406560" w:rsidRPr="00406560" w:rsidRDefault="00406560" w:rsidP="00406560">
            <w:pPr>
              <w:jc w:val="right"/>
              <w:rPr>
                <w:color w:val="000000"/>
                <w:sz w:val="20"/>
                <w:szCs w:val="20"/>
                <w:lang w:eastAsia="en-GB"/>
              </w:rPr>
            </w:pPr>
            <w:r w:rsidRPr="00406560">
              <w:rPr>
                <w:sz w:val="20"/>
                <w:szCs w:val="20"/>
              </w:rPr>
              <w:t>0.2</w:t>
            </w:r>
          </w:p>
        </w:tc>
        <w:tc>
          <w:tcPr>
            <w:tcW w:w="1050" w:type="dxa"/>
            <w:tcBorders>
              <w:top w:val="nil"/>
              <w:left w:val="single" w:sz="12" w:space="0" w:color="auto"/>
              <w:bottom w:val="single" w:sz="12" w:space="0" w:color="auto"/>
              <w:right w:val="single" w:sz="12" w:space="0" w:color="auto"/>
            </w:tcBorders>
            <w:shd w:val="clear" w:color="000000" w:fill="FFFFFF"/>
            <w:hideMark/>
          </w:tcPr>
          <w:p w14:paraId="567D4F0F" w14:textId="7DC8006A" w:rsidR="00406560" w:rsidRPr="00406560" w:rsidRDefault="00406560" w:rsidP="00406560">
            <w:pPr>
              <w:jc w:val="right"/>
              <w:rPr>
                <w:color w:val="000000"/>
                <w:sz w:val="20"/>
                <w:szCs w:val="20"/>
                <w:lang w:eastAsia="en-GB"/>
              </w:rPr>
            </w:pPr>
            <w:r w:rsidRPr="00406560">
              <w:rPr>
                <w:sz w:val="20"/>
                <w:szCs w:val="20"/>
              </w:rPr>
              <w:t>1.6</w:t>
            </w:r>
          </w:p>
        </w:tc>
        <w:tc>
          <w:tcPr>
            <w:tcW w:w="1050" w:type="dxa"/>
            <w:tcBorders>
              <w:top w:val="nil"/>
              <w:left w:val="single" w:sz="12" w:space="0" w:color="auto"/>
              <w:bottom w:val="single" w:sz="12" w:space="0" w:color="auto"/>
              <w:right w:val="single" w:sz="12" w:space="0" w:color="auto"/>
            </w:tcBorders>
            <w:shd w:val="clear" w:color="000000" w:fill="FFFFFF"/>
          </w:tcPr>
          <w:p w14:paraId="204ED32F" w14:textId="29E39EBA" w:rsidR="00406560" w:rsidRPr="00406560" w:rsidRDefault="00406560" w:rsidP="00406560">
            <w:pPr>
              <w:jc w:val="right"/>
              <w:rPr>
                <w:color w:val="000000"/>
                <w:sz w:val="20"/>
                <w:szCs w:val="20"/>
                <w:lang w:eastAsia="en-GB"/>
              </w:rPr>
            </w:pPr>
            <w:r w:rsidRPr="00406560">
              <w:rPr>
                <w:sz w:val="20"/>
                <w:szCs w:val="20"/>
              </w:rPr>
              <w:t>8.2</w:t>
            </w:r>
          </w:p>
        </w:tc>
        <w:tc>
          <w:tcPr>
            <w:tcW w:w="1050" w:type="dxa"/>
            <w:tcBorders>
              <w:top w:val="nil"/>
              <w:left w:val="single" w:sz="12" w:space="0" w:color="auto"/>
              <w:bottom w:val="single" w:sz="12" w:space="0" w:color="auto"/>
              <w:right w:val="single" w:sz="12" w:space="0" w:color="auto"/>
            </w:tcBorders>
            <w:shd w:val="clear" w:color="000000" w:fill="FFFFFF"/>
          </w:tcPr>
          <w:p w14:paraId="0B0878A9" w14:textId="518D80ED" w:rsidR="00406560" w:rsidRPr="00406560" w:rsidRDefault="00406560" w:rsidP="00406560">
            <w:pPr>
              <w:jc w:val="right"/>
              <w:rPr>
                <w:color w:val="000000"/>
                <w:sz w:val="20"/>
                <w:szCs w:val="20"/>
                <w:lang w:eastAsia="en-GB"/>
              </w:rPr>
            </w:pPr>
            <w:r w:rsidRPr="00406560">
              <w:rPr>
                <w:sz w:val="20"/>
                <w:szCs w:val="20"/>
              </w:rPr>
              <w:t>5.1</w:t>
            </w:r>
          </w:p>
        </w:tc>
        <w:tc>
          <w:tcPr>
            <w:tcW w:w="1050" w:type="dxa"/>
            <w:tcBorders>
              <w:top w:val="nil"/>
              <w:left w:val="single" w:sz="12" w:space="0" w:color="auto"/>
              <w:bottom w:val="single" w:sz="12" w:space="0" w:color="auto"/>
              <w:right w:val="single" w:sz="12" w:space="0" w:color="auto"/>
            </w:tcBorders>
            <w:shd w:val="clear" w:color="000000" w:fill="FFFFFF"/>
          </w:tcPr>
          <w:p w14:paraId="5F09A2EA" w14:textId="28DF5539" w:rsidR="00406560" w:rsidRPr="00406560" w:rsidRDefault="00406560" w:rsidP="00406560">
            <w:pPr>
              <w:jc w:val="right"/>
              <w:rPr>
                <w:color w:val="000000"/>
                <w:sz w:val="20"/>
                <w:szCs w:val="20"/>
                <w:lang w:eastAsia="en-GB"/>
              </w:rPr>
            </w:pPr>
            <w:r w:rsidRPr="00406560">
              <w:rPr>
                <w:sz w:val="20"/>
                <w:szCs w:val="20"/>
              </w:rPr>
              <w:t>5.1</w:t>
            </w:r>
          </w:p>
        </w:tc>
        <w:tc>
          <w:tcPr>
            <w:tcW w:w="1050" w:type="dxa"/>
            <w:tcBorders>
              <w:top w:val="nil"/>
              <w:left w:val="single" w:sz="12" w:space="0" w:color="auto"/>
              <w:bottom w:val="single" w:sz="12" w:space="0" w:color="auto"/>
              <w:right w:val="single" w:sz="12" w:space="0" w:color="auto"/>
            </w:tcBorders>
            <w:shd w:val="clear" w:color="000000" w:fill="FFFFFF"/>
          </w:tcPr>
          <w:p w14:paraId="0FBBDBB4" w14:textId="0197EC05" w:rsidR="00406560" w:rsidRPr="00406560" w:rsidRDefault="00406560" w:rsidP="00406560">
            <w:pPr>
              <w:jc w:val="right"/>
              <w:rPr>
                <w:color w:val="000000"/>
                <w:sz w:val="20"/>
                <w:szCs w:val="20"/>
                <w:lang w:eastAsia="en-GB"/>
              </w:rPr>
            </w:pPr>
            <w:r w:rsidRPr="00406560">
              <w:rPr>
                <w:sz w:val="20"/>
                <w:szCs w:val="20"/>
              </w:rPr>
              <w:t>5.1</w:t>
            </w:r>
          </w:p>
        </w:tc>
        <w:tc>
          <w:tcPr>
            <w:tcW w:w="1050" w:type="dxa"/>
            <w:tcBorders>
              <w:top w:val="nil"/>
              <w:left w:val="single" w:sz="12" w:space="0" w:color="auto"/>
              <w:bottom w:val="single" w:sz="12" w:space="0" w:color="auto"/>
              <w:right w:val="single" w:sz="12" w:space="0" w:color="auto"/>
            </w:tcBorders>
            <w:shd w:val="clear" w:color="000000" w:fill="FFFFFF"/>
          </w:tcPr>
          <w:p w14:paraId="34E8430F" w14:textId="6BADE0A0" w:rsidR="00406560" w:rsidRPr="00406560" w:rsidRDefault="00406560" w:rsidP="00406560">
            <w:pPr>
              <w:jc w:val="right"/>
              <w:rPr>
                <w:color w:val="000000"/>
                <w:sz w:val="20"/>
                <w:szCs w:val="20"/>
                <w:lang w:eastAsia="en-GB"/>
              </w:rPr>
            </w:pPr>
            <w:r w:rsidRPr="00406560">
              <w:rPr>
                <w:sz w:val="20"/>
                <w:szCs w:val="20"/>
              </w:rPr>
              <w:t>5.1</w:t>
            </w:r>
          </w:p>
        </w:tc>
        <w:tc>
          <w:tcPr>
            <w:tcW w:w="1050" w:type="dxa"/>
            <w:tcBorders>
              <w:top w:val="nil"/>
              <w:left w:val="single" w:sz="12" w:space="0" w:color="auto"/>
              <w:bottom w:val="single" w:sz="12" w:space="0" w:color="auto"/>
              <w:right w:val="single" w:sz="12" w:space="0" w:color="auto"/>
            </w:tcBorders>
            <w:shd w:val="clear" w:color="000000" w:fill="FFFFFF"/>
          </w:tcPr>
          <w:p w14:paraId="4D6178E8" w14:textId="7A02AE4D" w:rsidR="00406560" w:rsidRPr="00406560" w:rsidRDefault="00406560" w:rsidP="00406560">
            <w:pPr>
              <w:jc w:val="right"/>
              <w:rPr>
                <w:color w:val="000000"/>
                <w:sz w:val="20"/>
                <w:szCs w:val="20"/>
                <w:lang w:eastAsia="en-GB"/>
              </w:rPr>
            </w:pPr>
            <w:r w:rsidRPr="00406560">
              <w:rPr>
                <w:sz w:val="20"/>
                <w:szCs w:val="20"/>
              </w:rPr>
              <w:t>5.1</w:t>
            </w:r>
          </w:p>
        </w:tc>
      </w:tr>
      <w:tr w:rsidR="0002755A" w:rsidRPr="0021055C" w14:paraId="42A7EA16" w14:textId="77777777" w:rsidTr="0002755A">
        <w:trPr>
          <w:trHeight w:val="284"/>
        </w:trPr>
        <w:tc>
          <w:tcPr>
            <w:tcW w:w="3545" w:type="dxa"/>
            <w:tcBorders>
              <w:top w:val="single" w:sz="12" w:space="0" w:color="auto"/>
              <w:left w:val="single" w:sz="12" w:space="0" w:color="auto"/>
              <w:bottom w:val="single" w:sz="12" w:space="0" w:color="auto"/>
              <w:right w:val="single" w:sz="12" w:space="0" w:color="auto"/>
            </w:tcBorders>
            <w:shd w:val="clear" w:color="000000" w:fill="FFFFFF"/>
            <w:noWrap/>
            <w:vAlign w:val="bottom"/>
            <w:hideMark/>
          </w:tcPr>
          <w:p w14:paraId="4A13EA67" w14:textId="76CBDAEA" w:rsidR="00406560" w:rsidRPr="00271C8E" w:rsidRDefault="00406560" w:rsidP="00406560">
            <w:pPr>
              <w:rPr>
                <w:b/>
                <w:bCs/>
                <w:sz w:val="20"/>
                <w:szCs w:val="20"/>
                <w:lang w:eastAsia="en-GB"/>
              </w:rPr>
            </w:pPr>
            <w:r w:rsidRPr="00271C8E">
              <w:rPr>
                <w:b/>
                <w:bCs/>
                <w:sz w:val="20"/>
                <w:szCs w:val="20"/>
                <w:lang w:eastAsia="en-GB"/>
              </w:rPr>
              <w:t>Total Assumed Borrowing</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7914445C" w14:textId="048A5FE3" w:rsidR="00406560" w:rsidRPr="00406560" w:rsidRDefault="00406560" w:rsidP="00406560">
            <w:pPr>
              <w:jc w:val="right"/>
              <w:rPr>
                <w:b/>
                <w:bCs/>
                <w:color w:val="000000"/>
                <w:sz w:val="20"/>
                <w:szCs w:val="20"/>
                <w:lang w:eastAsia="en-GB"/>
              </w:rPr>
            </w:pPr>
            <w:r w:rsidRPr="00406560">
              <w:rPr>
                <w:b/>
                <w:bCs/>
                <w:sz w:val="20"/>
                <w:szCs w:val="20"/>
              </w:rPr>
              <w:t>23.5</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198F808D" w14:textId="2D6D5CB9" w:rsidR="00406560" w:rsidRPr="00406560" w:rsidRDefault="00406560" w:rsidP="00406560">
            <w:pPr>
              <w:jc w:val="right"/>
              <w:rPr>
                <w:b/>
                <w:bCs/>
                <w:color w:val="000000"/>
                <w:sz w:val="20"/>
                <w:szCs w:val="20"/>
                <w:lang w:eastAsia="en-GB"/>
              </w:rPr>
            </w:pPr>
            <w:r w:rsidRPr="00406560">
              <w:rPr>
                <w:b/>
                <w:bCs/>
                <w:sz w:val="20"/>
                <w:szCs w:val="20"/>
              </w:rPr>
              <w:t>23.5</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31434FE7" w14:textId="50659B68" w:rsidR="00406560" w:rsidRPr="00406560" w:rsidRDefault="00406560" w:rsidP="00406560">
            <w:pPr>
              <w:jc w:val="right"/>
              <w:rPr>
                <w:b/>
                <w:bCs/>
                <w:color w:val="000000"/>
                <w:sz w:val="20"/>
                <w:szCs w:val="20"/>
                <w:lang w:eastAsia="en-GB"/>
              </w:rPr>
            </w:pPr>
            <w:r w:rsidRPr="00406560">
              <w:rPr>
                <w:b/>
                <w:bCs/>
                <w:sz w:val="20"/>
                <w:szCs w:val="20"/>
              </w:rPr>
              <w:t>22.5</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7E5D30F9" w14:textId="78E5E05D" w:rsidR="00406560" w:rsidRPr="00406560" w:rsidRDefault="00406560" w:rsidP="00406560">
            <w:pPr>
              <w:jc w:val="right"/>
              <w:rPr>
                <w:b/>
                <w:bCs/>
                <w:color w:val="000000"/>
                <w:sz w:val="20"/>
                <w:szCs w:val="20"/>
                <w:lang w:eastAsia="en-GB"/>
              </w:rPr>
            </w:pPr>
            <w:r w:rsidRPr="00406560">
              <w:rPr>
                <w:b/>
                <w:bCs/>
                <w:sz w:val="20"/>
                <w:szCs w:val="20"/>
              </w:rPr>
              <w:t>21.7</w:t>
            </w:r>
          </w:p>
        </w:tc>
        <w:tc>
          <w:tcPr>
            <w:tcW w:w="1050" w:type="dxa"/>
            <w:tcBorders>
              <w:top w:val="single" w:sz="12" w:space="0" w:color="auto"/>
              <w:left w:val="single" w:sz="12" w:space="0" w:color="auto"/>
              <w:bottom w:val="single" w:sz="12" w:space="0" w:color="auto"/>
              <w:right w:val="single" w:sz="12" w:space="0" w:color="auto"/>
            </w:tcBorders>
            <w:shd w:val="clear" w:color="000000" w:fill="FFFFFF"/>
            <w:hideMark/>
          </w:tcPr>
          <w:p w14:paraId="582CBB6A" w14:textId="1DC93C9C" w:rsidR="00406560" w:rsidRPr="00406560" w:rsidRDefault="00406560" w:rsidP="00406560">
            <w:pPr>
              <w:jc w:val="right"/>
              <w:rPr>
                <w:b/>
                <w:bCs/>
                <w:color w:val="000000"/>
                <w:sz w:val="20"/>
                <w:szCs w:val="20"/>
                <w:lang w:eastAsia="en-GB"/>
              </w:rPr>
            </w:pPr>
            <w:r>
              <w:rPr>
                <w:b/>
                <w:bCs/>
                <w:sz w:val="20"/>
                <w:szCs w:val="20"/>
              </w:rPr>
              <w:t>2</w:t>
            </w:r>
            <w:r w:rsidRPr="00406560">
              <w:rPr>
                <w:b/>
                <w:bCs/>
                <w:sz w:val="20"/>
                <w:szCs w:val="20"/>
              </w:rPr>
              <w:t>3.1</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471EAE32" w14:textId="0E2C388B" w:rsidR="00406560" w:rsidRPr="00406560" w:rsidRDefault="00406560" w:rsidP="00406560">
            <w:pPr>
              <w:jc w:val="right"/>
              <w:rPr>
                <w:b/>
                <w:bCs/>
                <w:sz w:val="20"/>
                <w:szCs w:val="20"/>
              </w:rPr>
            </w:pPr>
            <w:r w:rsidRPr="00406560">
              <w:rPr>
                <w:b/>
                <w:bCs/>
                <w:sz w:val="20"/>
                <w:szCs w:val="20"/>
              </w:rPr>
              <w:t>29.7</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7F0D8216" w14:textId="00574FAA" w:rsidR="00406560" w:rsidRPr="00406560" w:rsidRDefault="00406560" w:rsidP="00406560">
            <w:pPr>
              <w:jc w:val="right"/>
              <w:rPr>
                <w:b/>
                <w:bCs/>
                <w:sz w:val="20"/>
                <w:szCs w:val="20"/>
              </w:rPr>
            </w:pPr>
            <w:r w:rsidRPr="00406560">
              <w:rPr>
                <w:b/>
                <w:bCs/>
                <w:sz w:val="20"/>
                <w:szCs w:val="20"/>
              </w:rPr>
              <w:t>21.6</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44448299" w14:textId="4E682520" w:rsidR="00406560" w:rsidRPr="00406560" w:rsidRDefault="00406560" w:rsidP="00406560">
            <w:pPr>
              <w:jc w:val="right"/>
              <w:rPr>
                <w:b/>
                <w:bCs/>
                <w:sz w:val="20"/>
                <w:szCs w:val="20"/>
              </w:rPr>
            </w:pPr>
            <w:r w:rsidRPr="00406560">
              <w:rPr>
                <w:b/>
                <w:bCs/>
                <w:sz w:val="20"/>
                <w:szCs w:val="20"/>
              </w:rPr>
              <w:t>16.6</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1353041F" w14:textId="1BC8742A" w:rsidR="00406560" w:rsidRPr="00406560" w:rsidRDefault="00406560" w:rsidP="00406560">
            <w:pPr>
              <w:jc w:val="right"/>
              <w:rPr>
                <w:b/>
                <w:bCs/>
                <w:sz w:val="20"/>
                <w:szCs w:val="20"/>
              </w:rPr>
            </w:pPr>
            <w:r w:rsidRPr="00406560">
              <w:rPr>
                <w:b/>
                <w:bCs/>
                <w:sz w:val="20"/>
                <w:szCs w:val="20"/>
              </w:rPr>
              <w:t>11.6</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72D1D93F" w14:textId="209BAC00" w:rsidR="00406560" w:rsidRPr="00406560" w:rsidRDefault="00406560" w:rsidP="00406560">
            <w:pPr>
              <w:jc w:val="right"/>
              <w:rPr>
                <w:b/>
                <w:bCs/>
                <w:sz w:val="20"/>
                <w:szCs w:val="20"/>
              </w:rPr>
            </w:pPr>
            <w:r w:rsidRPr="00406560">
              <w:rPr>
                <w:b/>
                <w:bCs/>
                <w:sz w:val="20"/>
                <w:szCs w:val="20"/>
              </w:rPr>
              <w:t>11.6</w:t>
            </w:r>
          </w:p>
        </w:tc>
        <w:tc>
          <w:tcPr>
            <w:tcW w:w="1050" w:type="dxa"/>
            <w:tcBorders>
              <w:top w:val="single" w:sz="12" w:space="0" w:color="auto"/>
              <w:left w:val="single" w:sz="12" w:space="0" w:color="auto"/>
              <w:bottom w:val="single" w:sz="12" w:space="0" w:color="auto"/>
              <w:right w:val="single" w:sz="12" w:space="0" w:color="auto"/>
            </w:tcBorders>
            <w:shd w:val="clear" w:color="000000" w:fill="FFFFFF"/>
          </w:tcPr>
          <w:p w14:paraId="77884ABB" w14:textId="30360DF5" w:rsidR="00406560" w:rsidRPr="00406560" w:rsidRDefault="00406560" w:rsidP="00406560">
            <w:pPr>
              <w:jc w:val="right"/>
              <w:rPr>
                <w:b/>
                <w:bCs/>
                <w:sz w:val="20"/>
                <w:szCs w:val="20"/>
              </w:rPr>
            </w:pPr>
            <w:r w:rsidRPr="00406560">
              <w:rPr>
                <w:b/>
                <w:bCs/>
                <w:sz w:val="20"/>
                <w:szCs w:val="20"/>
              </w:rPr>
              <w:t>9.6</w:t>
            </w:r>
          </w:p>
        </w:tc>
      </w:tr>
    </w:tbl>
    <w:p w14:paraId="251F4F22" w14:textId="056F98AD" w:rsidR="00CD3962" w:rsidRDefault="00CD3962" w:rsidP="00406560">
      <w:pPr>
        <w:ind w:left="425"/>
        <w:jc w:val="both"/>
        <w:rPr>
          <w:b/>
          <w:bCs/>
          <w:color w:val="000000" w:themeColor="text1"/>
        </w:rPr>
      </w:pPr>
    </w:p>
    <w:p w14:paraId="6019D5CE" w14:textId="46F989E0" w:rsidR="005B7A5E" w:rsidRDefault="005B7A5E" w:rsidP="00406560">
      <w:pPr>
        <w:ind w:left="426"/>
        <w:rPr>
          <w:color w:val="000000" w:themeColor="text1"/>
        </w:rPr>
      </w:pPr>
      <w:r w:rsidRPr="005B7A5E">
        <w:rPr>
          <w:color w:val="000000" w:themeColor="text1"/>
        </w:rPr>
        <w:t xml:space="preserve">The Authority has progressed with a full business case for the collaborative design and build of a </w:t>
      </w:r>
      <w:r w:rsidR="00872E0D" w:rsidRPr="005B7A5E">
        <w:rPr>
          <w:color w:val="000000" w:themeColor="text1"/>
        </w:rPr>
        <w:t>join</w:t>
      </w:r>
      <w:r w:rsidR="00872E0D">
        <w:rPr>
          <w:color w:val="000000" w:themeColor="text1"/>
        </w:rPr>
        <w:t>t</w:t>
      </w:r>
      <w:r w:rsidR="00872E0D" w:rsidRPr="005B7A5E">
        <w:rPr>
          <w:color w:val="000000" w:themeColor="text1"/>
        </w:rPr>
        <w:t xml:space="preserve"> fleet workshop</w:t>
      </w:r>
      <w:r w:rsidRPr="005B7A5E">
        <w:rPr>
          <w:color w:val="000000" w:themeColor="text1"/>
        </w:rPr>
        <w:t xml:space="preserve"> with Essex Police. This project assumes part of the expenditure is funded by external borrowing</w:t>
      </w:r>
      <w:r w:rsidR="00872E0D">
        <w:rPr>
          <w:color w:val="000000" w:themeColor="text1"/>
        </w:rPr>
        <w:t>, shown in the table above</w:t>
      </w:r>
      <w:r>
        <w:rPr>
          <w:color w:val="000000" w:themeColor="text1"/>
        </w:rPr>
        <w:t>.</w:t>
      </w:r>
    </w:p>
    <w:p w14:paraId="6B2042BF" w14:textId="77777777" w:rsidR="005B7A5E" w:rsidRDefault="005B7A5E" w:rsidP="0004046D">
      <w:pPr>
        <w:ind w:left="426"/>
        <w:rPr>
          <w:color w:val="000000" w:themeColor="text1"/>
        </w:rPr>
      </w:pPr>
    </w:p>
    <w:p w14:paraId="461D79B8" w14:textId="282D40EB" w:rsidR="00544FC8" w:rsidRPr="0004046D" w:rsidRDefault="00544FC8" w:rsidP="0004046D">
      <w:pPr>
        <w:ind w:left="426"/>
        <w:rPr>
          <w:b/>
          <w:u w:val="single"/>
        </w:rPr>
      </w:pPr>
      <w:r w:rsidRPr="0004046D">
        <w:rPr>
          <w:b/>
          <w:u w:val="single"/>
        </w:rPr>
        <w:t>Related Strategies</w:t>
      </w:r>
    </w:p>
    <w:p w14:paraId="73D3510C" w14:textId="77777777" w:rsidR="00544FC8" w:rsidRPr="0004046D" w:rsidRDefault="00544FC8" w:rsidP="0004046D">
      <w:pPr>
        <w:ind w:left="426"/>
        <w:rPr>
          <w:rFonts w:asciiTheme="minorBidi" w:hAnsiTheme="minorBidi" w:cstheme="minorBidi"/>
        </w:rPr>
      </w:pPr>
      <w:r w:rsidRPr="0004046D">
        <w:rPr>
          <w:rFonts w:asciiTheme="minorBidi" w:hAnsiTheme="minorBidi" w:cstheme="minorBidi"/>
        </w:rPr>
        <w:t>The Treasury Management Strategy has been produced alongside several other key strategies of the Authority. These Strategies were prepared based on the same underlying forecasts and assumptions. These Strategies are:</w:t>
      </w:r>
    </w:p>
    <w:p w14:paraId="0CD93BF6" w14:textId="77777777" w:rsidR="00544FC8" w:rsidRPr="0004046D" w:rsidRDefault="00544FC8" w:rsidP="0004046D">
      <w:pPr>
        <w:pStyle w:val="ListParagraph"/>
        <w:numPr>
          <w:ilvl w:val="0"/>
          <w:numId w:val="12"/>
        </w:numPr>
        <w:ind w:left="1134"/>
        <w:rPr>
          <w:rFonts w:asciiTheme="minorBidi" w:hAnsiTheme="minorBidi" w:cstheme="minorBidi"/>
        </w:rPr>
      </w:pPr>
      <w:r w:rsidRPr="0004046D">
        <w:rPr>
          <w:rFonts w:asciiTheme="minorBidi" w:hAnsiTheme="minorBidi" w:cstheme="minorBidi"/>
        </w:rPr>
        <w:t>Reserves Strategy</w:t>
      </w:r>
    </w:p>
    <w:p w14:paraId="04DE16ED" w14:textId="77777777" w:rsidR="00544FC8" w:rsidRPr="0004046D" w:rsidRDefault="00544FC8" w:rsidP="0004046D">
      <w:pPr>
        <w:pStyle w:val="ListParagraph"/>
        <w:numPr>
          <w:ilvl w:val="0"/>
          <w:numId w:val="12"/>
        </w:numPr>
        <w:ind w:left="1134"/>
        <w:rPr>
          <w:rFonts w:asciiTheme="minorBidi" w:hAnsiTheme="minorBidi" w:cstheme="minorBidi"/>
        </w:rPr>
      </w:pPr>
      <w:r w:rsidRPr="0004046D">
        <w:rPr>
          <w:rFonts w:asciiTheme="minorBidi" w:hAnsiTheme="minorBidi" w:cstheme="minorBidi"/>
        </w:rPr>
        <w:t>Medium Term Financial Strategy</w:t>
      </w:r>
    </w:p>
    <w:p w14:paraId="57222B4F" w14:textId="77777777" w:rsidR="00544FC8" w:rsidRPr="0004046D" w:rsidRDefault="00544FC8" w:rsidP="0004046D">
      <w:pPr>
        <w:pStyle w:val="ListParagraph"/>
        <w:numPr>
          <w:ilvl w:val="0"/>
          <w:numId w:val="12"/>
        </w:numPr>
        <w:ind w:left="1134"/>
        <w:rPr>
          <w:rFonts w:asciiTheme="minorBidi" w:hAnsiTheme="minorBidi" w:cstheme="minorBidi"/>
        </w:rPr>
      </w:pPr>
      <w:r w:rsidRPr="0004046D">
        <w:rPr>
          <w:rFonts w:asciiTheme="minorBidi" w:hAnsiTheme="minorBidi" w:cstheme="minorBidi"/>
        </w:rPr>
        <w:t>Capital Strategy and MRP Policy</w:t>
      </w:r>
    </w:p>
    <w:p w14:paraId="54E44BCA" w14:textId="77777777" w:rsidR="00544FC8" w:rsidRDefault="00544FC8" w:rsidP="00544FC8">
      <w:pPr>
        <w:rPr>
          <w:rFonts w:asciiTheme="minorBidi" w:hAnsiTheme="minorBidi" w:cstheme="minorBidi"/>
        </w:rPr>
      </w:pPr>
    </w:p>
    <w:p w14:paraId="7F0B7FB0" w14:textId="3CB04EC8" w:rsidR="00FE351D" w:rsidRDefault="00FE351D" w:rsidP="008D6803">
      <w:pPr>
        <w:spacing w:after="360"/>
        <w:ind w:left="425"/>
        <w:jc w:val="both"/>
        <w:rPr>
          <w:color w:val="000000" w:themeColor="text1"/>
        </w:rPr>
        <w:sectPr w:rsidR="00FE351D" w:rsidSect="003C5184">
          <w:footerReference w:type="default" r:id="rId25"/>
          <w:footerReference w:type="first" r:id="rId26"/>
          <w:pgSz w:w="16838" w:h="11906" w:orient="landscape" w:code="9"/>
          <w:pgMar w:top="1276" w:right="1134" w:bottom="1134" w:left="142" w:header="709" w:footer="709" w:gutter="0"/>
          <w:cols w:space="708"/>
          <w:titlePg/>
          <w:docGrid w:linePitch="360"/>
        </w:sectPr>
      </w:pPr>
    </w:p>
    <w:p w14:paraId="45253ABA" w14:textId="5D2048AE" w:rsidR="007E570A" w:rsidRPr="008D6803" w:rsidRDefault="007E570A" w:rsidP="0004046D">
      <w:pPr>
        <w:pStyle w:val="Heading1"/>
        <w:numPr>
          <w:ilvl w:val="0"/>
          <w:numId w:val="13"/>
        </w:numPr>
        <w:spacing w:before="0" w:after="120"/>
        <w:ind w:left="425" w:hanging="425"/>
        <w:rPr>
          <w:rFonts w:asciiTheme="minorBidi" w:hAnsiTheme="minorBidi" w:cstheme="minorBidi"/>
          <w:sz w:val="28"/>
          <w:szCs w:val="28"/>
        </w:rPr>
      </w:pPr>
      <w:bookmarkStart w:id="8" w:name="_Toc73025261"/>
      <w:bookmarkStart w:id="9" w:name="_Toc158793246"/>
      <w:r w:rsidRPr="0069258D">
        <w:rPr>
          <w:rFonts w:asciiTheme="minorBidi" w:hAnsiTheme="minorBidi" w:cstheme="minorBidi"/>
          <w:sz w:val="28"/>
          <w:szCs w:val="28"/>
        </w:rPr>
        <w:lastRenderedPageBreak/>
        <w:t>Borrowing Strategy</w:t>
      </w:r>
      <w:bookmarkEnd w:id="8"/>
      <w:bookmarkEnd w:id="9"/>
    </w:p>
    <w:p w14:paraId="404ABE4C" w14:textId="66435A8D" w:rsidR="007E570A" w:rsidRPr="0041076E" w:rsidRDefault="00FD7B27" w:rsidP="00711110">
      <w:pPr>
        <w:pStyle w:val="ListParagraph"/>
        <w:spacing w:after="240"/>
        <w:ind w:left="426"/>
        <w:jc w:val="both"/>
      </w:pPr>
      <w:r>
        <w:t>At the time of this report, t</w:t>
      </w:r>
      <w:r w:rsidR="007E570A" w:rsidRPr="0041076E">
        <w:t>he Authority holds £2</w:t>
      </w:r>
      <w:r w:rsidR="00E4423B">
        <w:t>3</w:t>
      </w:r>
      <w:r w:rsidR="007E570A">
        <w:t>.5</w:t>
      </w:r>
      <w:r w:rsidR="007E570A" w:rsidRPr="0041076E">
        <w:rPr>
          <w:color w:val="AF173B"/>
        </w:rPr>
        <w:t xml:space="preserve"> </w:t>
      </w:r>
      <w:r w:rsidR="007E570A" w:rsidRPr="0041076E">
        <w:t xml:space="preserve">million of loans as part of its strategy for funding previous years’ capital </w:t>
      </w:r>
      <w:r w:rsidR="004C73F0">
        <w:t>expenditure</w:t>
      </w:r>
      <w:r w:rsidR="007E570A" w:rsidRPr="0041076E">
        <w:t>. The balance sheet forecast in table 1 shows that the Authority does not</w:t>
      </w:r>
      <w:r w:rsidR="007E570A">
        <w:t xml:space="preserve"> expect to need to borrow in 202</w:t>
      </w:r>
      <w:r w:rsidR="00E4423B">
        <w:t>4</w:t>
      </w:r>
      <w:r w:rsidR="007E570A">
        <w:t>/2</w:t>
      </w:r>
      <w:r w:rsidR="00E4423B">
        <w:t>5</w:t>
      </w:r>
      <w:r w:rsidR="007E570A" w:rsidRPr="0041076E">
        <w:t>. The Authority may however borrow to pre-fund future years’ requirements, providing this does not exceed the authorised limit for borrowing of £40 million.</w:t>
      </w:r>
      <w:r w:rsidR="007E570A">
        <w:t xml:space="preserve">  </w:t>
      </w:r>
      <w:r w:rsidR="007E570A" w:rsidRPr="00DE0B99">
        <w:t xml:space="preserve">The liability benchmark shows that the Authority may need to borrow to </w:t>
      </w:r>
      <w:r w:rsidR="00DE0B99" w:rsidRPr="00DE0B99">
        <w:t>maintain minimum investments of £</w:t>
      </w:r>
      <w:r w:rsidR="00DE0B99" w:rsidRPr="00653E1B">
        <w:t>10m</w:t>
      </w:r>
      <w:r w:rsidR="007E570A" w:rsidRPr="00653E1B">
        <w:t xml:space="preserve">. </w:t>
      </w:r>
      <w:r w:rsidR="00295FE9" w:rsidRPr="00653E1B">
        <w:t>Th</w:t>
      </w:r>
      <w:r w:rsidR="00807613" w:rsidRPr="00653E1B">
        <w:t xml:space="preserve">e borrowing requirement in the current strategy is a result of </w:t>
      </w:r>
      <w:r w:rsidR="00A647EF" w:rsidRPr="00653E1B">
        <w:t xml:space="preserve">the </w:t>
      </w:r>
      <w:r w:rsidR="00653E1B">
        <w:t xml:space="preserve">planned </w:t>
      </w:r>
      <w:r w:rsidR="00A647EF" w:rsidRPr="00653E1B">
        <w:t>capital programme</w:t>
      </w:r>
      <w:r w:rsidR="00807613" w:rsidRPr="00653E1B">
        <w:t>. For further detail, please refer to the 202</w:t>
      </w:r>
      <w:r w:rsidR="00E4423B">
        <w:t>4</w:t>
      </w:r>
      <w:r w:rsidR="00807613" w:rsidRPr="00653E1B">
        <w:t>/2</w:t>
      </w:r>
      <w:r w:rsidR="00E4423B">
        <w:t>5</w:t>
      </w:r>
      <w:r w:rsidR="00807613" w:rsidRPr="00653E1B">
        <w:t xml:space="preserve"> Capital Strategy.</w:t>
      </w:r>
    </w:p>
    <w:p w14:paraId="58ED692A" w14:textId="1B9A042C" w:rsidR="007E570A" w:rsidRPr="008D6803" w:rsidRDefault="007E570A" w:rsidP="00711110">
      <w:pPr>
        <w:pStyle w:val="ListParagraph"/>
        <w:spacing w:after="240"/>
        <w:ind w:left="425"/>
        <w:jc w:val="both"/>
      </w:pPr>
      <w:r w:rsidRPr="0041076E">
        <w:rPr>
          <w:b/>
        </w:rPr>
        <w:t>Objectives:</w:t>
      </w:r>
      <w:r w:rsidRPr="0041076E">
        <w:t xml:space="preserve"> The Authority’s chief objective when borrowing money is to strike an appropriately low risk balance between securing low interest costs and achieving certainty of those costs over the period for which funds are required. The flexibility to renegotiate loans should the Authority’s long-term plans change is a secondary objective.</w:t>
      </w:r>
    </w:p>
    <w:p w14:paraId="3C748475" w14:textId="16ED8901" w:rsidR="007E570A" w:rsidRDefault="007E570A" w:rsidP="00711110">
      <w:pPr>
        <w:pStyle w:val="ListParagraph"/>
        <w:spacing w:after="240"/>
        <w:ind w:left="425"/>
        <w:jc w:val="both"/>
      </w:pPr>
      <w:r w:rsidRPr="0041076E">
        <w:rPr>
          <w:b/>
        </w:rPr>
        <w:t>Strategy:</w:t>
      </w:r>
      <w:r w:rsidRPr="0041076E">
        <w:t xml:space="preserve"> Given the significant cuts to public expenditure and </w:t>
      </w:r>
      <w:proofErr w:type="gramStart"/>
      <w:r w:rsidRPr="0041076E">
        <w:t>in particular to</w:t>
      </w:r>
      <w:proofErr w:type="gramEnd"/>
      <w:r w:rsidRPr="0041076E">
        <w:t xml:space="preserve"> local government funding, the Authority’s borrowing strategy continues to address the key issue of affordability without compromising the longer-term stability of the debt portfolio. </w:t>
      </w:r>
      <w:r w:rsidR="00F94337">
        <w:t xml:space="preserve"> </w:t>
      </w:r>
    </w:p>
    <w:p w14:paraId="6DD27ABA" w14:textId="710B44DB" w:rsidR="007E570A" w:rsidRPr="008D6803" w:rsidRDefault="007E570A" w:rsidP="002F2756">
      <w:pPr>
        <w:spacing w:after="240"/>
        <w:ind w:left="425"/>
        <w:jc w:val="both"/>
      </w:pPr>
      <w:r w:rsidRPr="0041076E">
        <w:t>By doing so, the Authority can reduce net borrowing costs (despite foregone investment income) and reduce overall treasury risk. The benefits of internal/short-term borrowing will be monitored regularly against the potential for incurring additional costs by deferring borrowing into future years when long-term borrowing rates are forecast to rise modestly. Its output may determine whether the Authority borrows additional sums at long</w:t>
      </w:r>
      <w:r>
        <w:t>-term fixed rates in 202</w:t>
      </w:r>
      <w:r w:rsidR="00FA20AA">
        <w:t>4</w:t>
      </w:r>
      <w:r>
        <w:t>/2</w:t>
      </w:r>
      <w:r w:rsidR="00FA20AA">
        <w:t>5</w:t>
      </w:r>
      <w:r>
        <w:t xml:space="preserve"> </w:t>
      </w:r>
      <w:r w:rsidRPr="0041076E">
        <w:t>with a view to keeping future interest costs low, even if this causes additional cost in the short-term.</w:t>
      </w:r>
      <w:r w:rsidR="002F2756">
        <w:t xml:space="preserve"> </w:t>
      </w:r>
      <w:r w:rsidRPr="0041076E">
        <w:t>In addition, the Authority may borrow short-term loans to cover unplanned cash flow shortages.</w:t>
      </w:r>
      <w:r w:rsidR="00CD4202">
        <w:t xml:space="preserve"> </w:t>
      </w:r>
      <w:r w:rsidR="00C1577E">
        <w:t xml:space="preserve">Future borrowing will be driven by business need, once Full Business Cases for key capital projects are available. </w:t>
      </w:r>
      <w:r w:rsidR="00CD4202">
        <w:t>The sources of borrowing available to the Authority are discussed below:</w:t>
      </w:r>
    </w:p>
    <w:p w14:paraId="3EBB2BDB" w14:textId="77777777" w:rsidR="007E570A" w:rsidRPr="0041076E" w:rsidRDefault="007E570A" w:rsidP="009D5371">
      <w:pPr>
        <w:pStyle w:val="ListParagraph"/>
        <w:ind w:left="425"/>
        <w:jc w:val="both"/>
      </w:pPr>
      <w:r w:rsidRPr="0041076E">
        <w:rPr>
          <w:b/>
        </w:rPr>
        <w:t>Sources of borrowing:</w:t>
      </w:r>
      <w:r w:rsidRPr="0041076E">
        <w:t xml:space="preserve"> The approved sources of long-term and short-term borrowing are:</w:t>
      </w:r>
    </w:p>
    <w:p w14:paraId="2D8E34D2" w14:textId="77777777" w:rsidR="007E570A" w:rsidRPr="0041076E" w:rsidRDefault="007E570A" w:rsidP="00191AA6">
      <w:pPr>
        <w:pStyle w:val="ListParagraph"/>
        <w:numPr>
          <w:ilvl w:val="0"/>
          <w:numId w:val="2"/>
        </w:numPr>
        <w:spacing w:after="200" w:line="276" w:lineRule="auto"/>
        <w:ind w:left="993" w:hanging="349"/>
        <w:contextualSpacing/>
        <w:jc w:val="both"/>
      </w:pPr>
      <w:r>
        <w:t>HM Treasury’s PWLB lending facility (formerly the Public Works Loan Board)</w:t>
      </w:r>
    </w:p>
    <w:p w14:paraId="438D21F9"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any institution approved for investments (see below)</w:t>
      </w:r>
    </w:p>
    <w:p w14:paraId="185D2474"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any other bank or building society authorised to operate in the UK</w:t>
      </w:r>
    </w:p>
    <w:p w14:paraId="484C2532"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any other UK public sector body</w:t>
      </w:r>
    </w:p>
    <w:p w14:paraId="2C3BCBB4"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 xml:space="preserve">UK public and private sector pension funds </w:t>
      </w:r>
    </w:p>
    <w:p w14:paraId="0D027862" w14:textId="77777777" w:rsidR="007E570A" w:rsidRPr="0041076E" w:rsidRDefault="007E570A" w:rsidP="00191AA6">
      <w:pPr>
        <w:pStyle w:val="ListParagraph"/>
        <w:numPr>
          <w:ilvl w:val="0"/>
          <w:numId w:val="2"/>
        </w:numPr>
        <w:spacing w:after="200" w:line="276" w:lineRule="auto"/>
        <w:ind w:left="993" w:hanging="349"/>
        <w:contextualSpacing/>
        <w:jc w:val="both"/>
      </w:pPr>
      <w:r w:rsidRPr="0041076E">
        <w:t>capital market bond investors</w:t>
      </w:r>
    </w:p>
    <w:p w14:paraId="16EF37EC" w14:textId="6AFBC3AD" w:rsidR="007E570A" w:rsidRDefault="007E570A" w:rsidP="00191AA6">
      <w:pPr>
        <w:pStyle w:val="ListParagraph"/>
        <w:numPr>
          <w:ilvl w:val="0"/>
          <w:numId w:val="2"/>
        </w:numPr>
        <w:spacing w:after="120"/>
        <w:ind w:left="993" w:hanging="352"/>
        <w:jc w:val="both"/>
      </w:pPr>
      <w:r w:rsidRPr="0041076E">
        <w:t>UK Municipal Bonds Agency plc and other special purpose companies created to enable local authority bond issues</w:t>
      </w:r>
    </w:p>
    <w:p w14:paraId="02B0F463" w14:textId="77777777" w:rsidR="00CF2A33" w:rsidRDefault="00CF2A33" w:rsidP="00CF2A33">
      <w:pPr>
        <w:spacing w:after="120"/>
        <w:jc w:val="both"/>
      </w:pPr>
    </w:p>
    <w:p w14:paraId="2621368C" w14:textId="77777777" w:rsidR="00CF2A33" w:rsidRPr="00FE351D" w:rsidRDefault="00CF2A33" w:rsidP="00CF2A33">
      <w:pPr>
        <w:spacing w:after="120"/>
        <w:jc w:val="both"/>
      </w:pPr>
    </w:p>
    <w:p w14:paraId="724118CC" w14:textId="10A5D8FC" w:rsidR="007E570A" w:rsidRPr="0041076E" w:rsidRDefault="007E570A" w:rsidP="008D6803">
      <w:pPr>
        <w:pStyle w:val="ListParagraph"/>
        <w:spacing w:after="120"/>
        <w:ind w:left="425"/>
        <w:jc w:val="both"/>
      </w:pPr>
      <w:r w:rsidRPr="0041076E">
        <w:rPr>
          <w:b/>
        </w:rPr>
        <w:lastRenderedPageBreak/>
        <w:t>Other sources of debt finance:</w:t>
      </w:r>
      <w:r w:rsidRPr="0041076E">
        <w:t xml:space="preserve"> In addition, capital finance may be raised by the following methods that are not borrowing, but may be classed as other debt liabilities:</w:t>
      </w:r>
    </w:p>
    <w:p w14:paraId="46612F90" w14:textId="77777777" w:rsidR="007E570A" w:rsidRPr="0041076E" w:rsidRDefault="007E570A" w:rsidP="00191AA6">
      <w:pPr>
        <w:pStyle w:val="ListParagraph"/>
        <w:numPr>
          <w:ilvl w:val="0"/>
          <w:numId w:val="2"/>
        </w:numPr>
        <w:spacing w:after="200" w:line="276" w:lineRule="auto"/>
        <w:ind w:left="993" w:hanging="352"/>
        <w:contextualSpacing/>
        <w:jc w:val="both"/>
      </w:pPr>
      <w:r>
        <w:t>L</w:t>
      </w:r>
      <w:r w:rsidRPr="0041076E">
        <w:t>easing</w:t>
      </w:r>
    </w:p>
    <w:p w14:paraId="196A7F0E" w14:textId="77777777" w:rsidR="007E570A" w:rsidRPr="0041076E" w:rsidRDefault="007E570A" w:rsidP="00191AA6">
      <w:pPr>
        <w:pStyle w:val="ListParagraph"/>
        <w:numPr>
          <w:ilvl w:val="0"/>
          <w:numId w:val="2"/>
        </w:numPr>
        <w:spacing w:after="200" w:line="276" w:lineRule="auto"/>
        <w:ind w:left="993" w:hanging="352"/>
        <w:contextualSpacing/>
        <w:jc w:val="both"/>
      </w:pPr>
      <w:r>
        <w:t>H</w:t>
      </w:r>
      <w:r w:rsidRPr="0041076E">
        <w:t>ire purchase</w:t>
      </w:r>
    </w:p>
    <w:p w14:paraId="25990A76" w14:textId="77777777" w:rsidR="007E570A" w:rsidRPr="0041076E" w:rsidRDefault="007E570A" w:rsidP="00191AA6">
      <w:pPr>
        <w:pStyle w:val="ListParagraph"/>
        <w:numPr>
          <w:ilvl w:val="0"/>
          <w:numId w:val="2"/>
        </w:numPr>
        <w:spacing w:after="200" w:line="276" w:lineRule="auto"/>
        <w:ind w:left="993" w:hanging="352"/>
        <w:contextualSpacing/>
        <w:jc w:val="both"/>
      </w:pPr>
      <w:r w:rsidRPr="0041076E">
        <w:t xml:space="preserve">Private Finance Initiative </w:t>
      </w:r>
    </w:p>
    <w:p w14:paraId="7B332A8E" w14:textId="77777777" w:rsidR="007E570A" w:rsidRPr="0041076E" w:rsidRDefault="007E570A" w:rsidP="00191AA6">
      <w:pPr>
        <w:pStyle w:val="ListParagraph"/>
        <w:numPr>
          <w:ilvl w:val="0"/>
          <w:numId w:val="2"/>
        </w:numPr>
        <w:spacing w:after="200" w:line="276" w:lineRule="auto"/>
        <w:ind w:left="993" w:hanging="349"/>
        <w:jc w:val="both"/>
      </w:pPr>
      <w:r>
        <w:t>S</w:t>
      </w:r>
      <w:r w:rsidRPr="0041076E">
        <w:t>ale and leaseback</w:t>
      </w:r>
    </w:p>
    <w:p w14:paraId="6106E234" w14:textId="6AC986F1" w:rsidR="007E570A" w:rsidRDefault="007E570A" w:rsidP="00FE351D">
      <w:pPr>
        <w:pStyle w:val="ListParagraph"/>
        <w:spacing w:after="240"/>
        <w:ind w:left="425"/>
        <w:jc w:val="both"/>
      </w:pPr>
      <w:r w:rsidRPr="0041076E">
        <w:t xml:space="preserve">The Authority has previously raised </w:t>
      </w:r>
      <w:proofErr w:type="gramStart"/>
      <w:r w:rsidRPr="0041076E">
        <w:t>all of</w:t>
      </w:r>
      <w:proofErr w:type="gramEnd"/>
      <w:r w:rsidRPr="0041076E">
        <w:t xml:space="preserve"> its long-term borrowing from the PWLB but it continues to investigate other sources of finance, such as local authority loans and bank loans that may be available at more favourable rates.</w:t>
      </w:r>
    </w:p>
    <w:p w14:paraId="38EE06F3" w14:textId="5072962C" w:rsidR="00DE24D6" w:rsidRDefault="00686A99" w:rsidP="00FE351D">
      <w:pPr>
        <w:pStyle w:val="ListParagraph"/>
        <w:spacing w:after="240"/>
        <w:ind w:left="425"/>
        <w:jc w:val="both"/>
      </w:pPr>
      <w:r>
        <w:t xml:space="preserve">The revised CIPFA Prudential Code for Capital Finance in Local Authorities was issued on </w:t>
      </w:r>
      <w:r w:rsidR="00BC7E22">
        <w:t xml:space="preserve">20 December 2021 and </w:t>
      </w:r>
      <w:r w:rsidR="00B5614B">
        <w:t>was</w:t>
      </w:r>
      <w:r w:rsidR="00BC7E22">
        <w:t xml:space="preserve"> effective from 1 April 2022. This</w:t>
      </w:r>
      <w:r>
        <w:t xml:space="preserve"> </w:t>
      </w:r>
      <w:r w:rsidR="00E7246D">
        <w:t>introduce</w:t>
      </w:r>
      <w:r w:rsidR="00BC7E22">
        <w:t>s</w:t>
      </w:r>
      <w:r w:rsidR="00E7246D">
        <w:t xml:space="preserve"> new rules for borrowing</w:t>
      </w:r>
      <w:r w:rsidR="0007646C">
        <w:t xml:space="preserve"> to fund the purchase of assets, primarily for </w:t>
      </w:r>
      <w:r w:rsidR="00DE04B7">
        <w:t>a return</w:t>
      </w:r>
      <w:r w:rsidR="00BC7E22">
        <w:t xml:space="preserve"> (</w:t>
      </w:r>
      <w:r w:rsidR="00323155">
        <w:t>investment properties)</w:t>
      </w:r>
      <w:r w:rsidR="0007646C">
        <w:t>.</w:t>
      </w:r>
      <w:r w:rsidR="00323155">
        <w:t xml:space="preserve"> The Service </w:t>
      </w:r>
      <w:r w:rsidR="00A33D0A">
        <w:t>is</w:t>
      </w:r>
      <w:r w:rsidR="00323155">
        <w:t xml:space="preserve"> fully compl</w:t>
      </w:r>
      <w:r w:rsidR="00857098">
        <w:t>iant</w:t>
      </w:r>
      <w:r w:rsidR="00323155">
        <w:t xml:space="preserve"> with this requirement</w:t>
      </w:r>
      <w:r w:rsidR="00DE04B7">
        <w:t>, and any future borrowing will be compliant with the Prudential Code.</w:t>
      </w:r>
      <w:r w:rsidR="0007646C">
        <w:t xml:space="preserve"> </w:t>
      </w:r>
    </w:p>
    <w:p w14:paraId="672A3099" w14:textId="7896FEF9" w:rsidR="007E570A" w:rsidRPr="008D6803" w:rsidRDefault="007E570A" w:rsidP="00FE351D">
      <w:pPr>
        <w:pStyle w:val="ListParagraph"/>
        <w:spacing w:after="240"/>
        <w:ind w:left="425"/>
        <w:jc w:val="both"/>
      </w:pPr>
      <w:r w:rsidRPr="0041076E">
        <w:rPr>
          <w:b/>
        </w:rPr>
        <w:t>Municipal Bonds Agency:</w:t>
      </w:r>
      <w:r w:rsidRPr="0041076E">
        <w:t xml:space="preserve"> UK Municipal Bonds Agency plc was established in 2014 by the Local Government Association as an alternative to the PWLB.  It issue</w:t>
      </w:r>
      <w:r>
        <w:t>s</w:t>
      </w:r>
      <w:r w:rsidRPr="0041076E">
        <w:t xml:space="preserve"> bonds on the capital markets and lend</w:t>
      </w:r>
      <w:r>
        <w:t>s</w:t>
      </w:r>
      <w:r w:rsidRPr="0041076E">
        <w:t xml:space="preserve"> the proceeds to local authorities.  This </w:t>
      </w:r>
      <w:r>
        <w:t xml:space="preserve">is </w:t>
      </w:r>
      <w:r w:rsidRPr="0041076E">
        <w:t xml:space="preserve">a more complicated source of finance than the PWLB for two reasons: borrowing authorities will be required to provide bond investors with a joint and several guarantee to refund their investment </w:t>
      </w:r>
      <w:proofErr w:type="gramStart"/>
      <w:r w:rsidRPr="0041076E">
        <w:t>in the event that</w:t>
      </w:r>
      <w:proofErr w:type="gramEnd"/>
      <w:r w:rsidRPr="0041076E">
        <w:t xml:space="preserve"> the agency is unable to for any reason; and there will be a lead time of several months between committing to borrow and knowing the interest rate payable. Any decision to borrow from the Agency will therefore be the subject of a separate report to the Commissioner.   </w:t>
      </w:r>
    </w:p>
    <w:p w14:paraId="3FB113D1" w14:textId="3EBE1C74" w:rsidR="007E570A" w:rsidRPr="008D6803" w:rsidRDefault="007E570A" w:rsidP="00FE351D">
      <w:pPr>
        <w:pStyle w:val="ListParagraph"/>
        <w:spacing w:after="240"/>
        <w:ind w:left="425"/>
        <w:jc w:val="both"/>
      </w:pPr>
      <w:r w:rsidRPr="0041076E">
        <w:rPr>
          <w:b/>
        </w:rPr>
        <w:t>Short-term and variable rate loans</w:t>
      </w:r>
      <w:r w:rsidRPr="0041076E">
        <w:t>: These loans leave the Authority exposed to the risk of short-term interest rate rises and are therefore subject to the interest rate exposure limits in the treasury management indicators below.</w:t>
      </w:r>
    </w:p>
    <w:p w14:paraId="08198C33" w14:textId="02874255" w:rsidR="00AE4FEB" w:rsidRPr="00AE4FEB" w:rsidRDefault="007E570A" w:rsidP="00AE4FEB">
      <w:pPr>
        <w:pStyle w:val="ListParagraph"/>
        <w:spacing w:after="360"/>
        <w:ind w:left="425"/>
        <w:jc w:val="both"/>
      </w:pPr>
      <w:r w:rsidRPr="0041076E">
        <w:rPr>
          <w:b/>
        </w:rPr>
        <w:t>Debt rescheduling:</w:t>
      </w:r>
      <w:r w:rsidRPr="0041076E">
        <w:t xml:space="preserve"> The PWLB allows authorities to repay loans before maturity</w:t>
      </w:r>
      <w:r w:rsidR="00DA190B">
        <w:t xml:space="preserve"> </w:t>
      </w:r>
      <w:r w:rsidR="00AE4FEB" w:rsidRPr="00AE4FEB">
        <w:t>and either pay a premium or receive a discount according to a set formula based on current interest rates. Other lenders may also be prepared to negotiate premature redemption terms. The Authority may take advantage of this and replace some loans with new loans, or repay loans without replacement, where this is expected to lead to an overall cost saving or a reduction in risk. The recent rise in interest rates means that more favourable debt rescheduling opportunities should arise than in previous years.</w:t>
      </w:r>
    </w:p>
    <w:p w14:paraId="075206C8" w14:textId="57244097" w:rsidR="007E570A" w:rsidRDefault="007E570A" w:rsidP="00711110">
      <w:pPr>
        <w:pStyle w:val="ListParagraph"/>
        <w:spacing w:after="360"/>
        <w:ind w:left="425"/>
        <w:jc w:val="both"/>
      </w:pPr>
    </w:p>
    <w:p w14:paraId="755C535B" w14:textId="70F2D247" w:rsidR="008007B4" w:rsidRDefault="008007B4" w:rsidP="00711110">
      <w:pPr>
        <w:pStyle w:val="ListParagraph"/>
        <w:spacing w:after="360"/>
        <w:ind w:left="425"/>
        <w:jc w:val="both"/>
      </w:pPr>
    </w:p>
    <w:p w14:paraId="506D9001" w14:textId="470C33B5" w:rsidR="00CC3232" w:rsidRPr="008D6803" w:rsidRDefault="007E570A" w:rsidP="0004046D">
      <w:pPr>
        <w:pStyle w:val="Heading1"/>
        <w:numPr>
          <w:ilvl w:val="0"/>
          <w:numId w:val="13"/>
        </w:numPr>
        <w:spacing w:before="0" w:after="240"/>
        <w:ind w:left="425" w:hanging="425"/>
        <w:rPr>
          <w:rFonts w:asciiTheme="minorBidi" w:hAnsiTheme="minorBidi" w:cstheme="minorBidi"/>
          <w:sz w:val="28"/>
          <w:szCs w:val="28"/>
        </w:rPr>
      </w:pPr>
      <w:bookmarkStart w:id="10" w:name="_Toc73025262"/>
      <w:bookmarkStart w:id="11" w:name="_Toc158793247"/>
      <w:r w:rsidRPr="008D6803">
        <w:rPr>
          <w:rFonts w:asciiTheme="minorBidi" w:hAnsiTheme="minorBidi" w:cstheme="minorBidi"/>
          <w:sz w:val="28"/>
          <w:szCs w:val="28"/>
        </w:rPr>
        <w:lastRenderedPageBreak/>
        <w:t>Investment Strategy</w:t>
      </w:r>
      <w:bookmarkEnd w:id="10"/>
      <w:bookmarkEnd w:id="11"/>
    </w:p>
    <w:p w14:paraId="09ABEF55" w14:textId="453947DA" w:rsidR="007E570A" w:rsidRDefault="007E570A" w:rsidP="00FE351D">
      <w:pPr>
        <w:pStyle w:val="ListParagraph"/>
        <w:spacing w:after="240"/>
        <w:ind w:left="426"/>
        <w:jc w:val="both"/>
      </w:pPr>
      <w:r w:rsidRPr="0041076E">
        <w:t xml:space="preserve">The Authority holds modest levels of invested funds, representing income received in advance of expenditure plus balances and reserves held. In the past 12 months, the Authority’s </w:t>
      </w:r>
      <w:r>
        <w:t xml:space="preserve">treasury </w:t>
      </w:r>
      <w:r w:rsidRPr="0041076E">
        <w:t>investment balance has ranged between £</w:t>
      </w:r>
      <w:r w:rsidR="009D5736">
        <w:t>9</w:t>
      </w:r>
      <w:r w:rsidRPr="0041076E">
        <w:t xml:space="preserve"> and £</w:t>
      </w:r>
      <w:r w:rsidR="001A0D2A">
        <w:t>2</w:t>
      </w:r>
      <w:r w:rsidR="009D5736">
        <w:t>4</w:t>
      </w:r>
      <w:r w:rsidRPr="0041076E">
        <w:t xml:space="preserve"> million; however, levels are expected to fall going forward</w:t>
      </w:r>
      <w:r w:rsidR="00B765A4">
        <w:t xml:space="preserve"> due to</w:t>
      </w:r>
      <w:r w:rsidR="00827A9C">
        <w:t xml:space="preserve"> investment in</w:t>
      </w:r>
      <w:r w:rsidR="00B765A4">
        <w:t xml:space="preserve"> the Capital Programme</w:t>
      </w:r>
      <w:r w:rsidRPr="0041076E">
        <w:t>.</w:t>
      </w:r>
    </w:p>
    <w:p w14:paraId="23A729B2" w14:textId="56FCBD9E" w:rsidR="00882255" w:rsidRPr="00882255" w:rsidRDefault="00882255" w:rsidP="00FE351D">
      <w:pPr>
        <w:pStyle w:val="ListParagraph"/>
        <w:spacing w:after="240"/>
        <w:ind w:left="426"/>
        <w:jc w:val="both"/>
        <w:rPr>
          <w:b/>
          <w:bCs/>
        </w:rPr>
      </w:pPr>
      <w:r w:rsidRPr="00882255">
        <w:rPr>
          <w:b/>
          <w:bCs/>
        </w:rPr>
        <w:t>Investment</w:t>
      </w:r>
      <w:r w:rsidR="003C3EBA">
        <w:rPr>
          <w:b/>
          <w:bCs/>
        </w:rPr>
        <w:t xml:space="preserve"> Activity 202</w:t>
      </w:r>
      <w:r w:rsidR="009D5736">
        <w:rPr>
          <w:b/>
          <w:bCs/>
        </w:rPr>
        <w:t>2/23</w:t>
      </w:r>
      <w:r w:rsidRPr="00882255">
        <w:rPr>
          <w:b/>
          <w:bCs/>
        </w:rPr>
        <w:t>:</w:t>
      </w:r>
    </w:p>
    <w:tbl>
      <w:tblPr>
        <w:tblW w:w="8394" w:type="dxa"/>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75"/>
        <w:gridCol w:w="1833"/>
        <w:gridCol w:w="1134"/>
        <w:gridCol w:w="1418"/>
        <w:gridCol w:w="1134"/>
      </w:tblGrid>
      <w:tr w:rsidR="009E1A13" w:rsidRPr="004270D7" w14:paraId="510BE673" w14:textId="446576F7" w:rsidTr="00F57387">
        <w:trPr>
          <w:trHeight w:val="403"/>
        </w:trPr>
        <w:tc>
          <w:tcPr>
            <w:tcW w:w="2875" w:type="dxa"/>
            <w:tcBorders>
              <w:top w:val="single" w:sz="12" w:space="0" w:color="auto"/>
              <w:bottom w:val="single" w:sz="12" w:space="0" w:color="auto"/>
              <w:right w:val="single" w:sz="12" w:space="0" w:color="auto"/>
            </w:tcBorders>
            <w:shd w:val="clear" w:color="auto" w:fill="BDD6EE" w:themeFill="accent5" w:themeFillTint="66"/>
            <w:noWrap/>
            <w:vAlign w:val="center"/>
            <w:hideMark/>
          </w:tcPr>
          <w:p w14:paraId="0F8348F0" w14:textId="77777777" w:rsidR="009E1A13" w:rsidRPr="00A16071" w:rsidRDefault="009E1A13" w:rsidP="004270D7">
            <w:pPr>
              <w:jc w:val="center"/>
              <w:rPr>
                <w:b/>
                <w:bCs/>
                <w:color w:val="000000"/>
                <w:sz w:val="20"/>
                <w:szCs w:val="20"/>
                <w:lang w:eastAsia="en-GB"/>
              </w:rPr>
            </w:pPr>
            <w:r w:rsidRPr="00A16071">
              <w:rPr>
                <w:b/>
                <w:bCs/>
                <w:color w:val="000000"/>
                <w:sz w:val="20"/>
                <w:szCs w:val="20"/>
                <w:lang w:eastAsia="en-GB"/>
              </w:rPr>
              <w:t>Investment</w:t>
            </w:r>
          </w:p>
        </w:tc>
        <w:tc>
          <w:tcPr>
            <w:tcW w:w="1833" w:type="dxa"/>
            <w:tcBorders>
              <w:top w:val="single" w:sz="12" w:space="0" w:color="auto"/>
              <w:left w:val="single" w:sz="12" w:space="0" w:color="auto"/>
              <w:bottom w:val="single" w:sz="12" w:space="0" w:color="auto"/>
              <w:right w:val="single" w:sz="12" w:space="0" w:color="auto"/>
            </w:tcBorders>
            <w:shd w:val="clear" w:color="auto" w:fill="BDD6EE" w:themeFill="accent5" w:themeFillTint="66"/>
            <w:noWrap/>
            <w:vAlign w:val="center"/>
            <w:hideMark/>
          </w:tcPr>
          <w:p w14:paraId="3A91C5ED" w14:textId="77777777" w:rsidR="009E1A13" w:rsidRPr="00A16071" w:rsidRDefault="009E1A13" w:rsidP="004270D7">
            <w:pPr>
              <w:jc w:val="center"/>
              <w:rPr>
                <w:b/>
                <w:bCs/>
                <w:color w:val="000000"/>
                <w:sz w:val="20"/>
                <w:szCs w:val="20"/>
                <w:lang w:eastAsia="en-GB"/>
              </w:rPr>
            </w:pPr>
            <w:r w:rsidRPr="00A16071">
              <w:rPr>
                <w:b/>
                <w:bCs/>
                <w:color w:val="000000"/>
                <w:sz w:val="20"/>
                <w:szCs w:val="20"/>
                <w:lang w:eastAsia="en-GB"/>
              </w:rPr>
              <w:t>Category</w:t>
            </w:r>
          </w:p>
        </w:tc>
        <w:tc>
          <w:tcPr>
            <w:tcW w:w="1134"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hideMark/>
          </w:tcPr>
          <w:p w14:paraId="0562EB6B" w14:textId="77777777" w:rsidR="009E1A13" w:rsidRPr="00A16071" w:rsidRDefault="009E1A13" w:rsidP="004270D7">
            <w:pPr>
              <w:jc w:val="center"/>
              <w:rPr>
                <w:b/>
                <w:bCs/>
                <w:color w:val="000000"/>
                <w:sz w:val="20"/>
                <w:szCs w:val="20"/>
                <w:lang w:eastAsia="en-GB"/>
              </w:rPr>
            </w:pPr>
            <w:r w:rsidRPr="00A16071">
              <w:rPr>
                <w:b/>
                <w:bCs/>
                <w:color w:val="000000"/>
                <w:sz w:val="20"/>
                <w:szCs w:val="20"/>
                <w:lang w:eastAsia="en-GB"/>
              </w:rPr>
              <w:t>Average Invested</w:t>
            </w:r>
          </w:p>
        </w:tc>
        <w:tc>
          <w:tcPr>
            <w:tcW w:w="1418"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hideMark/>
          </w:tcPr>
          <w:p w14:paraId="3EEE24F0" w14:textId="5F616CB7" w:rsidR="009E1A13" w:rsidRPr="00A16071" w:rsidRDefault="009E1A13" w:rsidP="004270D7">
            <w:pPr>
              <w:jc w:val="center"/>
              <w:rPr>
                <w:b/>
                <w:bCs/>
                <w:color w:val="000000"/>
                <w:sz w:val="20"/>
                <w:szCs w:val="20"/>
                <w:lang w:eastAsia="en-GB"/>
              </w:rPr>
            </w:pPr>
            <w:r w:rsidRPr="00A16071">
              <w:rPr>
                <w:b/>
                <w:bCs/>
                <w:color w:val="000000"/>
                <w:sz w:val="20"/>
                <w:szCs w:val="20"/>
                <w:lang w:eastAsia="en-GB"/>
              </w:rPr>
              <w:t>Average Interest %</w:t>
            </w:r>
          </w:p>
        </w:tc>
        <w:tc>
          <w:tcPr>
            <w:tcW w:w="1134" w:type="dxa"/>
            <w:tcBorders>
              <w:top w:val="single" w:sz="12" w:space="0" w:color="auto"/>
              <w:left w:val="single" w:sz="12" w:space="0" w:color="auto"/>
              <w:bottom w:val="single" w:sz="12" w:space="0" w:color="auto"/>
            </w:tcBorders>
            <w:shd w:val="clear" w:color="auto" w:fill="BDD6EE" w:themeFill="accent5" w:themeFillTint="66"/>
          </w:tcPr>
          <w:p w14:paraId="0391CA1C" w14:textId="5BBC42E5" w:rsidR="009E1A13" w:rsidRPr="00A16071" w:rsidRDefault="009E1A13" w:rsidP="004270D7">
            <w:pPr>
              <w:jc w:val="center"/>
              <w:rPr>
                <w:b/>
                <w:bCs/>
                <w:color w:val="000000"/>
                <w:sz w:val="20"/>
                <w:szCs w:val="20"/>
                <w:lang w:eastAsia="en-GB"/>
              </w:rPr>
            </w:pPr>
            <w:r w:rsidRPr="00A16071">
              <w:rPr>
                <w:b/>
                <w:bCs/>
                <w:color w:val="000000"/>
                <w:sz w:val="20"/>
                <w:szCs w:val="20"/>
                <w:lang w:eastAsia="en-GB"/>
              </w:rPr>
              <w:t>Interest Received</w:t>
            </w:r>
          </w:p>
        </w:tc>
      </w:tr>
      <w:tr w:rsidR="004E034D" w:rsidRPr="004270D7" w14:paraId="72EBF793" w14:textId="33BABCCA" w:rsidTr="00F57387">
        <w:trPr>
          <w:trHeight w:val="60"/>
        </w:trPr>
        <w:tc>
          <w:tcPr>
            <w:tcW w:w="2875" w:type="dxa"/>
            <w:tcBorders>
              <w:top w:val="single" w:sz="12" w:space="0" w:color="auto"/>
              <w:left w:val="single" w:sz="12" w:space="0" w:color="auto"/>
              <w:bottom w:val="nil"/>
              <w:right w:val="single" w:sz="12" w:space="0" w:color="auto"/>
            </w:tcBorders>
            <w:shd w:val="clear" w:color="auto" w:fill="auto"/>
            <w:noWrap/>
            <w:vAlign w:val="bottom"/>
            <w:hideMark/>
          </w:tcPr>
          <w:p w14:paraId="5094ACC2" w14:textId="77777777" w:rsidR="004E034D" w:rsidRPr="00A16071" w:rsidRDefault="004E034D" w:rsidP="004E034D">
            <w:pPr>
              <w:rPr>
                <w:color w:val="000000"/>
                <w:sz w:val="20"/>
                <w:szCs w:val="20"/>
                <w:lang w:eastAsia="en-GB"/>
              </w:rPr>
            </w:pPr>
            <w:r w:rsidRPr="00A16071">
              <w:rPr>
                <w:color w:val="000000"/>
                <w:sz w:val="20"/>
                <w:szCs w:val="20"/>
                <w:lang w:eastAsia="en-GB"/>
              </w:rPr>
              <w:t>Morgan Stanley</w:t>
            </w:r>
          </w:p>
        </w:tc>
        <w:tc>
          <w:tcPr>
            <w:tcW w:w="1833" w:type="dxa"/>
            <w:tcBorders>
              <w:top w:val="single" w:sz="12" w:space="0" w:color="auto"/>
              <w:left w:val="single" w:sz="12" w:space="0" w:color="auto"/>
              <w:bottom w:val="nil"/>
              <w:right w:val="single" w:sz="12" w:space="0" w:color="auto"/>
            </w:tcBorders>
            <w:shd w:val="clear" w:color="auto" w:fill="auto"/>
            <w:noWrap/>
            <w:vAlign w:val="bottom"/>
            <w:hideMark/>
          </w:tcPr>
          <w:p w14:paraId="72B4664A" w14:textId="77777777" w:rsidR="004E034D" w:rsidRPr="00A16071" w:rsidRDefault="004E034D" w:rsidP="00F57387">
            <w:pPr>
              <w:rPr>
                <w:color w:val="000000"/>
                <w:sz w:val="20"/>
                <w:szCs w:val="20"/>
                <w:lang w:eastAsia="en-GB"/>
              </w:rPr>
            </w:pPr>
            <w:r w:rsidRPr="00A16071">
              <w:rPr>
                <w:color w:val="000000"/>
                <w:sz w:val="20"/>
                <w:szCs w:val="20"/>
                <w:lang w:eastAsia="en-GB"/>
              </w:rPr>
              <w:t>MMF</w:t>
            </w:r>
          </w:p>
        </w:tc>
        <w:tc>
          <w:tcPr>
            <w:tcW w:w="1134" w:type="dxa"/>
            <w:tcBorders>
              <w:top w:val="single" w:sz="12" w:space="0" w:color="auto"/>
              <w:left w:val="single" w:sz="12" w:space="0" w:color="auto"/>
              <w:bottom w:val="nil"/>
              <w:right w:val="single" w:sz="12" w:space="0" w:color="auto"/>
            </w:tcBorders>
            <w:shd w:val="clear" w:color="auto" w:fill="auto"/>
            <w:noWrap/>
            <w:hideMark/>
          </w:tcPr>
          <w:p w14:paraId="0DC52098" w14:textId="368C589B" w:rsidR="004E034D" w:rsidRPr="004E034D" w:rsidRDefault="004E034D" w:rsidP="004E034D">
            <w:pPr>
              <w:jc w:val="center"/>
              <w:rPr>
                <w:color w:val="000000"/>
                <w:sz w:val="20"/>
                <w:szCs w:val="20"/>
                <w:lang w:eastAsia="en-GB"/>
              </w:rPr>
            </w:pPr>
            <w:r w:rsidRPr="004E034D">
              <w:rPr>
                <w:sz w:val="20"/>
                <w:szCs w:val="20"/>
              </w:rPr>
              <w:t xml:space="preserve"> £</w:t>
            </w:r>
            <w:r w:rsidR="00841F36">
              <w:rPr>
                <w:sz w:val="20"/>
                <w:szCs w:val="20"/>
              </w:rPr>
              <w:t>2.75</w:t>
            </w:r>
            <w:r w:rsidRPr="004E034D">
              <w:rPr>
                <w:sz w:val="20"/>
                <w:szCs w:val="20"/>
              </w:rPr>
              <w:t xml:space="preserve">M </w:t>
            </w:r>
          </w:p>
        </w:tc>
        <w:tc>
          <w:tcPr>
            <w:tcW w:w="1418" w:type="dxa"/>
            <w:tcBorders>
              <w:top w:val="single" w:sz="12" w:space="0" w:color="auto"/>
              <w:left w:val="single" w:sz="12" w:space="0" w:color="auto"/>
              <w:bottom w:val="nil"/>
              <w:right w:val="single" w:sz="12" w:space="0" w:color="auto"/>
            </w:tcBorders>
            <w:shd w:val="clear" w:color="auto" w:fill="auto"/>
            <w:noWrap/>
            <w:hideMark/>
          </w:tcPr>
          <w:p w14:paraId="5E80167F" w14:textId="52A7EFF0" w:rsidR="004E034D" w:rsidRPr="004E034D" w:rsidRDefault="00D13F85" w:rsidP="004E034D">
            <w:pPr>
              <w:jc w:val="center"/>
              <w:rPr>
                <w:color w:val="000000"/>
                <w:sz w:val="20"/>
                <w:szCs w:val="20"/>
                <w:lang w:eastAsia="en-GB"/>
              </w:rPr>
            </w:pPr>
            <w:r>
              <w:rPr>
                <w:sz w:val="20"/>
                <w:szCs w:val="20"/>
              </w:rPr>
              <w:t>2.3</w:t>
            </w:r>
            <w:r w:rsidR="004E034D" w:rsidRPr="004E034D">
              <w:rPr>
                <w:sz w:val="20"/>
                <w:szCs w:val="20"/>
              </w:rPr>
              <w:t>%</w:t>
            </w:r>
          </w:p>
        </w:tc>
        <w:tc>
          <w:tcPr>
            <w:tcW w:w="1134" w:type="dxa"/>
            <w:tcBorders>
              <w:top w:val="single" w:sz="12" w:space="0" w:color="auto"/>
              <w:left w:val="single" w:sz="12" w:space="0" w:color="auto"/>
              <w:bottom w:val="nil"/>
              <w:right w:val="single" w:sz="12" w:space="0" w:color="auto"/>
            </w:tcBorders>
          </w:tcPr>
          <w:p w14:paraId="1DE9647B" w14:textId="44894272" w:rsidR="004E034D" w:rsidRPr="004E034D" w:rsidRDefault="004E034D" w:rsidP="004E034D">
            <w:pPr>
              <w:jc w:val="right"/>
              <w:rPr>
                <w:color w:val="000000"/>
                <w:sz w:val="20"/>
                <w:szCs w:val="20"/>
                <w:highlight w:val="yellow"/>
                <w:lang w:eastAsia="en-GB"/>
              </w:rPr>
            </w:pPr>
            <w:r w:rsidRPr="004E034D">
              <w:rPr>
                <w:sz w:val="20"/>
                <w:szCs w:val="20"/>
              </w:rPr>
              <w:t xml:space="preserve"> £</w:t>
            </w:r>
            <w:r w:rsidR="00D86E40">
              <w:rPr>
                <w:sz w:val="20"/>
                <w:szCs w:val="20"/>
              </w:rPr>
              <w:t>82.5</w:t>
            </w:r>
            <w:r w:rsidRPr="004E034D">
              <w:rPr>
                <w:sz w:val="20"/>
                <w:szCs w:val="20"/>
              </w:rPr>
              <w:t xml:space="preserve">K </w:t>
            </w:r>
          </w:p>
        </w:tc>
      </w:tr>
      <w:tr w:rsidR="004E034D" w:rsidRPr="004270D7" w14:paraId="49428B2E" w14:textId="2AA7A977" w:rsidTr="00F57387">
        <w:trPr>
          <w:trHeight w:val="60"/>
        </w:trPr>
        <w:tc>
          <w:tcPr>
            <w:tcW w:w="2875" w:type="dxa"/>
            <w:tcBorders>
              <w:top w:val="nil"/>
              <w:left w:val="single" w:sz="12" w:space="0" w:color="auto"/>
              <w:bottom w:val="nil"/>
              <w:right w:val="single" w:sz="12" w:space="0" w:color="auto"/>
            </w:tcBorders>
            <w:shd w:val="clear" w:color="auto" w:fill="auto"/>
            <w:noWrap/>
            <w:vAlign w:val="bottom"/>
            <w:hideMark/>
          </w:tcPr>
          <w:p w14:paraId="6185C2C1" w14:textId="77777777" w:rsidR="004E034D" w:rsidRPr="00A16071" w:rsidRDefault="004E034D" w:rsidP="004E034D">
            <w:pPr>
              <w:rPr>
                <w:color w:val="000000"/>
                <w:sz w:val="20"/>
                <w:szCs w:val="20"/>
                <w:lang w:eastAsia="en-GB"/>
              </w:rPr>
            </w:pPr>
            <w:r w:rsidRPr="00A16071">
              <w:rPr>
                <w:color w:val="000000"/>
                <w:sz w:val="20"/>
                <w:szCs w:val="20"/>
                <w:lang w:eastAsia="en-GB"/>
              </w:rPr>
              <w:t>Lloyds</w:t>
            </w:r>
          </w:p>
        </w:tc>
        <w:tc>
          <w:tcPr>
            <w:tcW w:w="1833" w:type="dxa"/>
            <w:tcBorders>
              <w:top w:val="nil"/>
              <w:left w:val="single" w:sz="12" w:space="0" w:color="auto"/>
              <w:bottom w:val="nil"/>
              <w:right w:val="single" w:sz="12" w:space="0" w:color="auto"/>
            </w:tcBorders>
            <w:shd w:val="clear" w:color="auto" w:fill="auto"/>
            <w:noWrap/>
            <w:vAlign w:val="bottom"/>
            <w:hideMark/>
          </w:tcPr>
          <w:p w14:paraId="638D45CB" w14:textId="77777777" w:rsidR="004E034D" w:rsidRPr="00A16071" w:rsidRDefault="004E034D" w:rsidP="00F57387">
            <w:pPr>
              <w:rPr>
                <w:color w:val="000000"/>
                <w:sz w:val="20"/>
                <w:szCs w:val="20"/>
                <w:lang w:eastAsia="en-GB"/>
              </w:rPr>
            </w:pPr>
            <w:r w:rsidRPr="00A16071">
              <w:rPr>
                <w:color w:val="000000"/>
                <w:sz w:val="20"/>
                <w:szCs w:val="20"/>
                <w:lang w:eastAsia="en-GB"/>
              </w:rPr>
              <w:t>Bank (unsecured)</w:t>
            </w:r>
          </w:p>
        </w:tc>
        <w:tc>
          <w:tcPr>
            <w:tcW w:w="1134" w:type="dxa"/>
            <w:tcBorders>
              <w:top w:val="nil"/>
              <w:left w:val="single" w:sz="12" w:space="0" w:color="auto"/>
              <w:bottom w:val="nil"/>
              <w:right w:val="single" w:sz="12" w:space="0" w:color="auto"/>
            </w:tcBorders>
            <w:shd w:val="clear" w:color="auto" w:fill="auto"/>
            <w:noWrap/>
            <w:hideMark/>
          </w:tcPr>
          <w:p w14:paraId="3DBB7B3A" w14:textId="141D2323" w:rsidR="004E034D" w:rsidRPr="004E034D" w:rsidRDefault="004E034D" w:rsidP="004E034D">
            <w:pPr>
              <w:jc w:val="center"/>
              <w:rPr>
                <w:color w:val="000000"/>
                <w:sz w:val="20"/>
                <w:szCs w:val="20"/>
                <w:lang w:eastAsia="en-GB"/>
              </w:rPr>
            </w:pPr>
            <w:r w:rsidRPr="004E034D">
              <w:rPr>
                <w:sz w:val="20"/>
                <w:szCs w:val="20"/>
              </w:rPr>
              <w:t xml:space="preserve"> £1M </w:t>
            </w:r>
          </w:p>
        </w:tc>
        <w:tc>
          <w:tcPr>
            <w:tcW w:w="1418" w:type="dxa"/>
            <w:tcBorders>
              <w:top w:val="nil"/>
              <w:left w:val="single" w:sz="12" w:space="0" w:color="auto"/>
              <w:bottom w:val="nil"/>
              <w:right w:val="single" w:sz="12" w:space="0" w:color="auto"/>
            </w:tcBorders>
            <w:shd w:val="clear" w:color="auto" w:fill="auto"/>
            <w:noWrap/>
            <w:hideMark/>
          </w:tcPr>
          <w:p w14:paraId="5C732AEC" w14:textId="5CE1EE80" w:rsidR="004E034D" w:rsidRPr="004E034D" w:rsidRDefault="00D13F85" w:rsidP="004E034D">
            <w:pPr>
              <w:jc w:val="center"/>
              <w:rPr>
                <w:color w:val="000000"/>
                <w:sz w:val="20"/>
                <w:szCs w:val="20"/>
                <w:lang w:eastAsia="en-GB"/>
              </w:rPr>
            </w:pPr>
            <w:r>
              <w:rPr>
                <w:sz w:val="20"/>
                <w:szCs w:val="20"/>
              </w:rPr>
              <w:t>0.9</w:t>
            </w:r>
            <w:r w:rsidR="00D86E40">
              <w:rPr>
                <w:sz w:val="20"/>
                <w:szCs w:val="20"/>
              </w:rPr>
              <w:t>%</w:t>
            </w:r>
          </w:p>
        </w:tc>
        <w:tc>
          <w:tcPr>
            <w:tcW w:w="1134" w:type="dxa"/>
            <w:tcBorders>
              <w:top w:val="nil"/>
              <w:left w:val="single" w:sz="12" w:space="0" w:color="auto"/>
              <w:bottom w:val="nil"/>
              <w:right w:val="single" w:sz="12" w:space="0" w:color="auto"/>
            </w:tcBorders>
          </w:tcPr>
          <w:p w14:paraId="7D1D102B" w14:textId="13970561" w:rsidR="004E034D" w:rsidRPr="004E034D" w:rsidRDefault="004E034D" w:rsidP="004E034D">
            <w:pPr>
              <w:jc w:val="right"/>
              <w:rPr>
                <w:color w:val="000000"/>
                <w:sz w:val="20"/>
                <w:szCs w:val="20"/>
                <w:highlight w:val="yellow"/>
                <w:lang w:eastAsia="en-GB"/>
              </w:rPr>
            </w:pPr>
            <w:r w:rsidRPr="004E034D">
              <w:rPr>
                <w:sz w:val="20"/>
                <w:szCs w:val="20"/>
              </w:rPr>
              <w:t xml:space="preserve"> £</w:t>
            </w:r>
            <w:r w:rsidR="00841F36">
              <w:rPr>
                <w:sz w:val="20"/>
                <w:szCs w:val="20"/>
              </w:rPr>
              <w:t>7</w:t>
            </w:r>
            <w:r w:rsidRPr="004E034D">
              <w:rPr>
                <w:sz w:val="20"/>
                <w:szCs w:val="20"/>
              </w:rPr>
              <w:t>.</w:t>
            </w:r>
            <w:r w:rsidR="00841F36">
              <w:rPr>
                <w:sz w:val="20"/>
                <w:szCs w:val="20"/>
              </w:rPr>
              <w:t>6</w:t>
            </w:r>
            <w:r w:rsidRPr="004E034D">
              <w:rPr>
                <w:sz w:val="20"/>
                <w:szCs w:val="20"/>
              </w:rPr>
              <w:t xml:space="preserve">K </w:t>
            </w:r>
          </w:p>
        </w:tc>
      </w:tr>
      <w:tr w:rsidR="004E034D" w:rsidRPr="00256257" w14:paraId="6BF7E11B" w14:textId="36C82526" w:rsidTr="00F57387">
        <w:trPr>
          <w:trHeight w:val="60"/>
        </w:trPr>
        <w:tc>
          <w:tcPr>
            <w:tcW w:w="2875" w:type="dxa"/>
            <w:tcBorders>
              <w:top w:val="nil"/>
              <w:left w:val="single" w:sz="12" w:space="0" w:color="auto"/>
              <w:bottom w:val="nil"/>
              <w:right w:val="single" w:sz="12" w:space="0" w:color="auto"/>
            </w:tcBorders>
            <w:shd w:val="clear" w:color="auto" w:fill="auto"/>
            <w:noWrap/>
            <w:vAlign w:val="bottom"/>
            <w:hideMark/>
          </w:tcPr>
          <w:p w14:paraId="18E24FAF" w14:textId="77777777" w:rsidR="004E034D" w:rsidRPr="00A16071" w:rsidRDefault="004E034D" w:rsidP="004E034D">
            <w:pPr>
              <w:rPr>
                <w:color w:val="000000"/>
                <w:sz w:val="20"/>
                <w:szCs w:val="20"/>
                <w:lang w:eastAsia="en-GB"/>
              </w:rPr>
            </w:pPr>
            <w:r w:rsidRPr="00A16071">
              <w:rPr>
                <w:color w:val="000000"/>
                <w:sz w:val="20"/>
                <w:szCs w:val="20"/>
                <w:lang w:eastAsia="en-GB"/>
              </w:rPr>
              <w:t>CCLA</w:t>
            </w:r>
          </w:p>
        </w:tc>
        <w:tc>
          <w:tcPr>
            <w:tcW w:w="1833" w:type="dxa"/>
            <w:tcBorders>
              <w:top w:val="nil"/>
              <w:left w:val="single" w:sz="12" w:space="0" w:color="auto"/>
              <w:bottom w:val="nil"/>
              <w:right w:val="single" w:sz="12" w:space="0" w:color="auto"/>
            </w:tcBorders>
            <w:shd w:val="clear" w:color="auto" w:fill="auto"/>
            <w:noWrap/>
            <w:vAlign w:val="bottom"/>
            <w:hideMark/>
          </w:tcPr>
          <w:p w14:paraId="3D17BC99" w14:textId="77777777" w:rsidR="004E034D" w:rsidRPr="00A16071" w:rsidRDefault="004E034D" w:rsidP="00F57387">
            <w:pPr>
              <w:rPr>
                <w:color w:val="000000"/>
                <w:sz w:val="20"/>
                <w:szCs w:val="20"/>
                <w:lang w:eastAsia="en-GB"/>
              </w:rPr>
            </w:pPr>
            <w:r w:rsidRPr="00A16071">
              <w:rPr>
                <w:color w:val="000000"/>
                <w:sz w:val="20"/>
                <w:szCs w:val="20"/>
                <w:lang w:eastAsia="en-GB"/>
              </w:rPr>
              <w:t>MMF</w:t>
            </w:r>
          </w:p>
        </w:tc>
        <w:tc>
          <w:tcPr>
            <w:tcW w:w="1134" w:type="dxa"/>
            <w:tcBorders>
              <w:top w:val="nil"/>
              <w:left w:val="single" w:sz="12" w:space="0" w:color="auto"/>
              <w:bottom w:val="nil"/>
              <w:right w:val="single" w:sz="12" w:space="0" w:color="auto"/>
            </w:tcBorders>
            <w:shd w:val="clear" w:color="auto" w:fill="auto"/>
            <w:noWrap/>
            <w:hideMark/>
          </w:tcPr>
          <w:p w14:paraId="52AB131F" w14:textId="11B4072A" w:rsidR="004E034D" w:rsidRPr="004E034D" w:rsidRDefault="004E034D" w:rsidP="004E034D">
            <w:pPr>
              <w:jc w:val="center"/>
              <w:rPr>
                <w:color w:val="000000"/>
                <w:sz w:val="20"/>
                <w:szCs w:val="20"/>
                <w:lang w:eastAsia="en-GB"/>
              </w:rPr>
            </w:pPr>
            <w:r w:rsidRPr="004E034D">
              <w:rPr>
                <w:sz w:val="20"/>
                <w:szCs w:val="20"/>
              </w:rPr>
              <w:t xml:space="preserve"> £3M </w:t>
            </w:r>
          </w:p>
        </w:tc>
        <w:tc>
          <w:tcPr>
            <w:tcW w:w="1418" w:type="dxa"/>
            <w:tcBorders>
              <w:top w:val="nil"/>
              <w:left w:val="single" w:sz="12" w:space="0" w:color="auto"/>
              <w:bottom w:val="nil"/>
              <w:right w:val="single" w:sz="12" w:space="0" w:color="auto"/>
            </w:tcBorders>
            <w:shd w:val="clear" w:color="auto" w:fill="auto"/>
            <w:noWrap/>
            <w:hideMark/>
          </w:tcPr>
          <w:p w14:paraId="0809686D" w14:textId="20F6EC0A" w:rsidR="004E034D" w:rsidRPr="004E034D" w:rsidRDefault="00D13F85" w:rsidP="004E034D">
            <w:pPr>
              <w:jc w:val="center"/>
              <w:rPr>
                <w:color w:val="000000"/>
                <w:sz w:val="20"/>
                <w:szCs w:val="20"/>
                <w:lang w:eastAsia="en-GB"/>
              </w:rPr>
            </w:pPr>
            <w:r>
              <w:rPr>
                <w:sz w:val="20"/>
                <w:szCs w:val="20"/>
              </w:rPr>
              <w:t>2.3</w:t>
            </w:r>
            <w:r w:rsidRPr="004E034D">
              <w:rPr>
                <w:sz w:val="20"/>
                <w:szCs w:val="20"/>
              </w:rPr>
              <w:t>%</w:t>
            </w:r>
          </w:p>
        </w:tc>
        <w:tc>
          <w:tcPr>
            <w:tcW w:w="1134" w:type="dxa"/>
            <w:tcBorders>
              <w:top w:val="nil"/>
              <w:left w:val="single" w:sz="12" w:space="0" w:color="auto"/>
              <w:bottom w:val="nil"/>
              <w:right w:val="single" w:sz="12" w:space="0" w:color="auto"/>
            </w:tcBorders>
            <w:shd w:val="clear" w:color="auto" w:fill="auto"/>
          </w:tcPr>
          <w:p w14:paraId="37460423" w14:textId="09B7B5AD" w:rsidR="004E034D" w:rsidRPr="004E034D" w:rsidRDefault="004E034D" w:rsidP="004E034D">
            <w:pPr>
              <w:jc w:val="right"/>
              <w:rPr>
                <w:color w:val="000000"/>
                <w:sz w:val="20"/>
                <w:szCs w:val="20"/>
                <w:lang w:eastAsia="en-GB"/>
              </w:rPr>
            </w:pPr>
            <w:r w:rsidRPr="004E034D">
              <w:rPr>
                <w:sz w:val="20"/>
                <w:szCs w:val="20"/>
              </w:rPr>
              <w:t xml:space="preserve"> £</w:t>
            </w:r>
            <w:r w:rsidR="00841F36">
              <w:rPr>
                <w:sz w:val="20"/>
                <w:szCs w:val="20"/>
              </w:rPr>
              <w:t>93.2</w:t>
            </w:r>
            <w:r w:rsidRPr="004E034D">
              <w:rPr>
                <w:sz w:val="20"/>
                <w:szCs w:val="20"/>
              </w:rPr>
              <w:t xml:space="preserve">K </w:t>
            </w:r>
          </w:p>
        </w:tc>
      </w:tr>
      <w:tr w:rsidR="004E034D" w:rsidRPr="004270D7" w14:paraId="42B86593" w14:textId="59BA6719" w:rsidTr="00F57387">
        <w:trPr>
          <w:trHeight w:val="95"/>
        </w:trPr>
        <w:tc>
          <w:tcPr>
            <w:tcW w:w="2875" w:type="dxa"/>
            <w:tcBorders>
              <w:top w:val="nil"/>
              <w:left w:val="single" w:sz="12" w:space="0" w:color="auto"/>
              <w:bottom w:val="single" w:sz="12" w:space="0" w:color="auto"/>
              <w:right w:val="single" w:sz="12" w:space="0" w:color="auto"/>
            </w:tcBorders>
            <w:shd w:val="clear" w:color="auto" w:fill="auto"/>
            <w:noWrap/>
            <w:vAlign w:val="bottom"/>
            <w:hideMark/>
          </w:tcPr>
          <w:p w14:paraId="1F83BBE7" w14:textId="2486677C" w:rsidR="004E034D" w:rsidRPr="00A16071" w:rsidRDefault="00202462" w:rsidP="004E034D">
            <w:pPr>
              <w:rPr>
                <w:color w:val="000000"/>
                <w:sz w:val="20"/>
                <w:szCs w:val="20"/>
                <w:lang w:eastAsia="en-GB"/>
              </w:rPr>
            </w:pPr>
            <w:r>
              <w:rPr>
                <w:color w:val="000000"/>
                <w:sz w:val="20"/>
                <w:szCs w:val="20"/>
                <w:lang w:eastAsia="en-GB"/>
              </w:rPr>
              <w:t>UK Debt Management Office</w:t>
            </w:r>
          </w:p>
        </w:tc>
        <w:tc>
          <w:tcPr>
            <w:tcW w:w="1833" w:type="dxa"/>
            <w:tcBorders>
              <w:top w:val="nil"/>
              <w:left w:val="single" w:sz="12" w:space="0" w:color="auto"/>
              <w:bottom w:val="single" w:sz="12" w:space="0" w:color="auto"/>
              <w:right w:val="single" w:sz="12" w:space="0" w:color="auto"/>
            </w:tcBorders>
            <w:shd w:val="clear" w:color="auto" w:fill="auto"/>
            <w:noWrap/>
            <w:vAlign w:val="bottom"/>
            <w:hideMark/>
          </w:tcPr>
          <w:p w14:paraId="1BCC4065" w14:textId="77777777" w:rsidR="004E034D" w:rsidRPr="00A16071" w:rsidRDefault="004E034D" w:rsidP="00F57387">
            <w:pPr>
              <w:rPr>
                <w:color w:val="000000"/>
                <w:sz w:val="20"/>
                <w:szCs w:val="20"/>
                <w:lang w:eastAsia="en-GB"/>
              </w:rPr>
            </w:pPr>
            <w:r w:rsidRPr="00A16071">
              <w:rPr>
                <w:color w:val="000000"/>
                <w:sz w:val="20"/>
                <w:szCs w:val="20"/>
                <w:lang w:eastAsia="en-GB"/>
              </w:rPr>
              <w:t>UK government</w:t>
            </w:r>
          </w:p>
        </w:tc>
        <w:tc>
          <w:tcPr>
            <w:tcW w:w="1134" w:type="dxa"/>
            <w:tcBorders>
              <w:top w:val="nil"/>
              <w:left w:val="single" w:sz="12" w:space="0" w:color="auto"/>
              <w:bottom w:val="single" w:sz="12" w:space="0" w:color="auto"/>
              <w:right w:val="single" w:sz="12" w:space="0" w:color="auto"/>
            </w:tcBorders>
            <w:shd w:val="clear" w:color="auto" w:fill="auto"/>
            <w:noWrap/>
            <w:hideMark/>
          </w:tcPr>
          <w:p w14:paraId="05CF345E" w14:textId="5CF07709" w:rsidR="004E034D" w:rsidRPr="004E034D" w:rsidRDefault="004E034D" w:rsidP="004E034D">
            <w:pPr>
              <w:jc w:val="center"/>
              <w:rPr>
                <w:color w:val="000000"/>
                <w:sz w:val="20"/>
                <w:szCs w:val="20"/>
                <w:lang w:eastAsia="en-GB"/>
              </w:rPr>
            </w:pPr>
            <w:r w:rsidRPr="004E034D">
              <w:rPr>
                <w:sz w:val="20"/>
                <w:szCs w:val="20"/>
              </w:rPr>
              <w:t xml:space="preserve"> £17M </w:t>
            </w:r>
          </w:p>
        </w:tc>
        <w:tc>
          <w:tcPr>
            <w:tcW w:w="1418" w:type="dxa"/>
            <w:tcBorders>
              <w:top w:val="nil"/>
              <w:left w:val="single" w:sz="12" w:space="0" w:color="auto"/>
              <w:bottom w:val="single" w:sz="12" w:space="0" w:color="auto"/>
              <w:right w:val="single" w:sz="12" w:space="0" w:color="auto"/>
            </w:tcBorders>
            <w:shd w:val="clear" w:color="auto" w:fill="auto"/>
            <w:noWrap/>
            <w:hideMark/>
          </w:tcPr>
          <w:p w14:paraId="7918AD2C" w14:textId="4FFD5347" w:rsidR="004E034D" w:rsidRPr="004E034D" w:rsidRDefault="00D13F85" w:rsidP="004E034D">
            <w:pPr>
              <w:jc w:val="center"/>
              <w:rPr>
                <w:color w:val="000000"/>
                <w:sz w:val="20"/>
                <w:szCs w:val="20"/>
                <w:lang w:eastAsia="en-GB"/>
              </w:rPr>
            </w:pPr>
            <w:r>
              <w:rPr>
                <w:sz w:val="20"/>
                <w:szCs w:val="20"/>
              </w:rPr>
              <w:t>2.3</w:t>
            </w:r>
            <w:r w:rsidRPr="004E034D">
              <w:rPr>
                <w:sz w:val="20"/>
                <w:szCs w:val="20"/>
              </w:rPr>
              <w:t>%</w:t>
            </w:r>
          </w:p>
        </w:tc>
        <w:tc>
          <w:tcPr>
            <w:tcW w:w="1134" w:type="dxa"/>
            <w:tcBorders>
              <w:top w:val="nil"/>
              <w:left w:val="single" w:sz="12" w:space="0" w:color="auto"/>
              <w:bottom w:val="single" w:sz="12" w:space="0" w:color="auto"/>
              <w:right w:val="single" w:sz="12" w:space="0" w:color="auto"/>
            </w:tcBorders>
            <w:shd w:val="clear" w:color="auto" w:fill="auto"/>
          </w:tcPr>
          <w:p w14:paraId="5F12154E" w14:textId="225C50FA" w:rsidR="004E034D" w:rsidRPr="004E034D" w:rsidRDefault="004E034D" w:rsidP="004E034D">
            <w:pPr>
              <w:jc w:val="right"/>
              <w:rPr>
                <w:color w:val="000000"/>
                <w:sz w:val="20"/>
                <w:szCs w:val="20"/>
                <w:highlight w:val="yellow"/>
                <w:lang w:eastAsia="en-GB"/>
              </w:rPr>
            </w:pPr>
            <w:r w:rsidRPr="004E034D">
              <w:rPr>
                <w:sz w:val="20"/>
                <w:szCs w:val="20"/>
              </w:rPr>
              <w:t xml:space="preserve"> £</w:t>
            </w:r>
            <w:r w:rsidR="00841F36">
              <w:rPr>
                <w:sz w:val="20"/>
                <w:szCs w:val="20"/>
              </w:rPr>
              <w:t>281</w:t>
            </w:r>
            <w:r w:rsidRPr="004E034D">
              <w:rPr>
                <w:sz w:val="20"/>
                <w:szCs w:val="20"/>
              </w:rPr>
              <w:t>.</w:t>
            </w:r>
            <w:r w:rsidR="00841F36">
              <w:rPr>
                <w:sz w:val="20"/>
                <w:szCs w:val="20"/>
              </w:rPr>
              <w:t>3</w:t>
            </w:r>
            <w:r w:rsidRPr="004E034D">
              <w:rPr>
                <w:sz w:val="20"/>
                <w:szCs w:val="20"/>
              </w:rPr>
              <w:t xml:space="preserve">K </w:t>
            </w:r>
          </w:p>
        </w:tc>
      </w:tr>
    </w:tbl>
    <w:p w14:paraId="4F5D686B" w14:textId="77777777" w:rsidR="00882255" w:rsidRDefault="00882255" w:rsidP="00FE351D">
      <w:pPr>
        <w:pStyle w:val="ListParagraph"/>
        <w:spacing w:after="240"/>
        <w:ind w:left="426"/>
        <w:jc w:val="both"/>
      </w:pPr>
    </w:p>
    <w:p w14:paraId="1449D623" w14:textId="3E92D16E" w:rsidR="007E570A" w:rsidRPr="00FE351D" w:rsidRDefault="007E570A" w:rsidP="00FE351D">
      <w:pPr>
        <w:pStyle w:val="ListParagraph"/>
        <w:spacing w:after="240"/>
        <w:ind w:left="426"/>
        <w:jc w:val="both"/>
      </w:pPr>
      <w:r w:rsidRPr="0041076E">
        <w:rPr>
          <w:b/>
        </w:rPr>
        <w:t>Objectives:</w:t>
      </w:r>
      <w:r w:rsidRPr="0041076E">
        <w:t xml:space="preserve"> The CIPFA Code requires the Authority to invest its </w:t>
      </w:r>
      <w:r>
        <w:t xml:space="preserve">treasury </w:t>
      </w:r>
      <w:r w:rsidRPr="0041076E">
        <w:t xml:space="preserve">funds prudently, and to have regard to the security and liquidity of its investments before seeking the highest rate of return, or yield. The Authority’s objective when investing money is to strike an appropriate balance between risk and return, minimising the risk of incurring losses from defaults and the risk of receiving unsuitably low investment income. Where balances are expected to be invested for more than one year, the Authority will aim to achieve a total return that is equal or higher than the prevailing rate of inflation, </w:t>
      </w:r>
      <w:proofErr w:type="gramStart"/>
      <w:r w:rsidRPr="0041076E">
        <w:t>in order to</w:t>
      </w:r>
      <w:proofErr w:type="gramEnd"/>
      <w:r w:rsidRPr="0041076E">
        <w:t xml:space="preserve"> maintain the spending power of the sum invested</w:t>
      </w:r>
      <w:r w:rsidR="00FE351D">
        <w:t>.</w:t>
      </w:r>
      <w:r w:rsidR="004942BA">
        <w:t xml:space="preserve"> </w:t>
      </w:r>
      <w:r w:rsidR="00B07ED5" w:rsidRPr="00B07ED5">
        <w:t>The Authority aims to be a responsible investor and will consider environmental, social and governance (ESG) issues when investing.</w:t>
      </w:r>
    </w:p>
    <w:p w14:paraId="24F8A980" w14:textId="7839FD87" w:rsidR="007E570A" w:rsidRPr="00FE351D" w:rsidRDefault="007E570A" w:rsidP="00FE351D">
      <w:pPr>
        <w:pStyle w:val="ListParagraph"/>
        <w:spacing w:after="240"/>
        <w:ind w:left="426"/>
        <w:jc w:val="both"/>
      </w:pPr>
      <w:r w:rsidRPr="0041076E">
        <w:rPr>
          <w:b/>
        </w:rPr>
        <w:t xml:space="preserve">Strategy: </w:t>
      </w:r>
      <w:r w:rsidRPr="0041076E">
        <w:t>Given that investment balances are projected to fall and then remain low, the Authority aims to maintain an investment portfolio of high credit</w:t>
      </w:r>
      <w:r>
        <w:t xml:space="preserve"> quality</w:t>
      </w:r>
      <w:r w:rsidRPr="0041076E">
        <w:t xml:space="preserve"> </w:t>
      </w:r>
      <w:r>
        <w:t xml:space="preserve">investments </w:t>
      </w:r>
      <w:r w:rsidRPr="0041076E">
        <w:t xml:space="preserve">with a liquid maturity profile. </w:t>
      </w:r>
      <w:r w:rsidR="00D14552" w:rsidRPr="0041076E">
        <w:t>All</w:t>
      </w:r>
      <w:r w:rsidRPr="0041076E">
        <w:t xml:space="preserve"> the Authority’s surplus cash is currently invested in money market funds</w:t>
      </w:r>
      <w:r w:rsidR="00B03C6C">
        <w:t>,</w:t>
      </w:r>
      <w:r w:rsidR="00D14552">
        <w:t xml:space="preserve"> UK Government </w:t>
      </w:r>
      <w:proofErr w:type="gramStart"/>
      <w:r w:rsidR="00D14552">
        <w:t>Investments</w:t>
      </w:r>
      <w:proofErr w:type="gramEnd"/>
      <w:r w:rsidR="00B03C6C">
        <w:t xml:space="preserve"> and fixed term deposits bank deposit</w:t>
      </w:r>
      <w:r w:rsidRPr="0041076E">
        <w:t xml:space="preserve">. </w:t>
      </w:r>
    </w:p>
    <w:p w14:paraId="7E67EFC8" w14:textId="6D11438A" w:rsidR="008417D6" w:rsidRPr="003F0474" w:rsidRDefault="008417D6" w:rsidP="0004046D">
      <w:pPr>
        <w:pStyle w:val="ListParagraph"/>
        <w:spacing w:after="240"/>
        <w:ind w:left="426"/>
        <w:jc w:val="both"/>
        <w:rPr>
          <w:bCs/>
        </w:rPr>
      </w:pPr>
      <w:r w:rsidRPr="001F6719">
        <w:rPr>
          <w:b/>
        </w:rPr>
        <w:t>ESG policy</w:t>
      </w:r>
      <w:r w:rsidRPr="003F0474">
        <w:rPr>
          <w:bCs/>
        </w:rPr>
        <w:t>: Environmental, social and governance (ESG) considerations are increasingly a factor in global investors’ decision making, but the framework for evaluating investment opportunities is still developing and therefore the Authority’s ESG policy does not currently include ESG scoring or other real-time ESG criteria at an individual investment level. When investing in banks and funds, the Authority will prioritise banks that are signatories to the UN Principles for Responsible Banking and funds operated by managers that are signatories to the UN Principles for Responsible Investment, the Net Zero Asset Managers Alliance and/or the UK Stewardship Code.</w:t>
      </w:r>
    </w:p>
    <w:p w14:paraId="6581E73B" w14:textId="1D987FB4" w:rsidR="007E570A" w:rsidRPr="0004046D" w:rsidRDefault="007E570A" w:rsidP="0004046D">
      <w:pPr>
        <w:pStyle w:val="ListParagraph"/>
        <w:spacing w:after="240"/>
        <w:ind w:left="426"/>
        <w:jc w:val="both"/>
        <w:rPr>
          <w:i/>
          <w:color w:val="AF173B"/>
        </w:rPr>
      </w:pPr>
      <w:r w:rsidRPr="0041076E">
        <w:rPr>
          <w:b/>
        </w:rPr>
        <w:lastRenderedPageBreak/>
        <w:t>Business models:</w:t>
      </w:r>
      <w:r>
        <w:t xml:space="preserve"> Under </w:t>
      </w:r>
      <w:r w:rsidRPr="0041076E">
        <w:t xml:space="preserve">IFRS 9, the accounting for certain investments depends on the Authority’s “business model” for managing them. The Authority aims to achieve value from its internally managed treasury investments by a business model of collecting the contractual cash flows and therefore, where other criteria are also met, these investments will continue to be accounted for at amortised cost. </w:t>
      </w:r>
    </w:p>
    <w:p w14:paraId="1F93E669" w14:textId="47A9A44A" w:rsidR="007E570A" w:rsidRDefault="007E570A" w:rsidP="00711110">
      <w:pPr>
        <w:pStyle w:val="ListParagraph"/>
        <w:spacing w:after="240"/>
        <w:ind w:left="426"/>
        <w:jc w:val="both"/>
      </w:pPr>
      <w:r w:rsidRPr="0041076E">
        <w:rPr>
          <w:b/>
        </w:rPr>
        <w:t>Approved counterparties:</w:t>
      </w:r>
      <w:r w:rsidRPr="0041076E">
        <w:t xml:space="preserve"> The Authority may invest its surplus funds with any of the counterparty </w:t>
      </w:r>
      <w:r w:rsidRPr="002A39BC">
        <w:t xml:space="preserve">types in table </w:t>
      </w:r>
      <w:r w:rsidR="002A39BC" w:rsidRPr="002A39BC">
        <w:t>4</w:t>
      </w:r>
      <w:r w:rsidRPr="002A39BC">
        <w:t xml:space="preserve"> below</w:t>
      </w:r>
      <w:r w:rsidRPr="0041076E">
        <w:t>, subject to the cash limits (per counterparty) and the time limits shown.</w:t>
      </w:r>
    </w:p>
    <w:p w14:paraId="3E60E2F7" w14:textId="1AEEAEA4" w:rsidR="007E570A" w:rsidRPr="00711110" w:rsidRDefault="007E570A" w:rsidP="0004046D">
      <w:pPr>
        <w:spacing w:after="120"/>
        <w:ind w:left="426"/>
        <w:jc w:val="both"/>
        <w:rPr>
          <w:b/>
          <w:bCs/>
        </w:rPr>
      </w:pPr>
      <w:r w:rsidRPr="00711110">
        <w:rPr>
          <w:b/>
          <w:bCs/>
        </w:rPr>
        <w:t>Table 4: Approved investment counterparties and limits</w:t>
      </w:r>
    </w:p>
    <w:tbl>
      <w:tblPr>
        <w:tblW w:w="9067" w:type="dxa"/>
        <w:tblInd w:w="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61"/>
        <w:gridCol w:w="1794"/>
        <w:gridCol w:w="2329"/>
        <w:gridCol w:w="2683"/>
      </w:tblGrid>
      <w:tr w:rsidR="007E570A" w:rsidRPr="00E61562" w14:paraId="0C886E85" w14:textId="77777777" w:rsidTr="000721AA">
        <w:trPr>
          <w:trHeight w:val="397"/>
        </w:trPr>
        <w:tc>
          <w:tcPr>
            <w:tcW w:w="2261" w:type="dxa"/>
            <w:shd w:val="clear" w:color="auto" w:fill="BDD6EE" w:themeFill="accent5" w:themeFillTint="66"/>
            <w:vAlign w:val="center"/>
          </w:tcPr>
          <w:p w14:paraId="25EFF613" w14:textId="77777777" w:rsidR="007E570A" w:rsidRPr="00E61562" w:rsidRDefault="007E570A" w:rsidP="00926D13">
            <w:pPr>
              <w:pStyle w:val="ListParagraph"/>
              <w:ind w:left="426"/>
              <w:rPr>
                <w:b/>
              </w:rPr>
            </w:pPr>
            <w:r w:rsidRPr="00E61562">
              <w:rPr>
                <w:b/>
              </w:rPr>
              <w:t>Sector</w:t>
            </w:r>
          </w:p>
        </w:tc>
        <w:tc>
          <w:tcPr>
            <w:tcW w:w="1794" w:type="dxa"/>
            <w:shd w:val="clear" w:color="auto" w:fill="BDD6EE" w:themeFill="accent5" w:themeFillTint="66"/>
            <w:vAlign w:val="center"/>
          </w:tcPr>
          <w:p w14:paraId="01BFF04D" w14:textId="77777777" w:rsidR="007E570A" w:rsidRPr="00926D13" w:rsidRDefault="007E570A" w:rsidP="00926D13">
            <w:pPr>
              <w:jc w:val="both"/>
              <w:rPr>
                <w:b/>
              </w:rPr>
            </w:pPr>
            <w:r w:rsidRPr="00926D13">
              <w:rPr>
                <w:b/>
              </w:rPr>
              <w:t>Time limit</w:t>
            </w:r>
          </w:p>
        </w:tc>
        <w:tc>
          <w:tcPr>
            <w:tcW w:w="2329" w:type="dxa"/>
            <w:shd w:val="clear" w:color="auto" w:fill="BDD6EE" w:themeFill="accent5" w:themeFillTint="66"/>
            <w:vAlign w:val="center"/>
          </w:tcPr>
          <w:p w14:paraId="3B7272B2" w14:textId="77777777" w:rsidR="007E570A" w:rsidRPr="00926D13" w:rsidRDefault="007E570A" w:rsidP="00926D13">
            <w:pPr>
              <w:jc w:val="both"/>
              <w:rPr>
                <w:b/>
              </w:rPr>
            </w:pPr>
            <w:r w:rsidRPr="00926D13">
              <w:rPr>
                <w:b/>
              </w:rPr>
              <w:t>Counterparty limit</w:t>
            </w:r>
          </w:p>
        </w:tc>
        <w:tc>
          <w:tcPr>
            <w:tcW w:w="2683" w:type="dxa"/>
            <w:shd w:val="clear" w:color="auto" w:fill="BDD6EE" w:themeFill="accent5" w:themeFillTint="66"/>
            <w:vAlign w:val="center"/>
          </w:tcPr>
          <w:p w14:paraId="30A6DD66" w14:textId="77777777" w:rsidR="007E570A" w:rsidRPr="00926D13" w:rsidRDefault="007E570A" w:rsidP="00926D13">
            <w:pPr>
              <w:jc w:val="both"/>
              <w:rPr>
                <w:b/>
              </w:rPr>
            </w:pPr>
            <w:r w:rsidRPr="00926D13">
              <w:rPr>
                <w:b/>
              </w:rPr>
              <w:t>Sector limit</w:t>
            </w:r>
          </w:p>
        </w:tc>
      </w:tr>
      <w:tr w:rsidR="007E570A" w:rsidRPr="00E61562" w14:paraId="0788099C" w14:textId="77777777" w:rsidTr="000721AA">
        <w:trPr>
          <w:trHeight w:val="397"/>
        </w:trPr>
        <w:tc>
          <w:tcPr>
            <w:tcW w:w="2261" w:type="dxa"/>
            <w:shd w:val="clear" w:color="auto" w:fill="auto"/>
            <w:vAlign w:val="center"/>
          </w:tcPr>
          <w:p w14:paraId="69049D56" w14:textId="77777777" w:rsidR="007E570A" w:rsidRPr="00E61562" w:rsidRDefault="007E570A" w:rsidP="00926D13">
            <w:pPr>
              <w:pStyle w:val="ListParagraph"/>
              <w:ind w:left="426"/>
            </w:pPr>
            <w:r w:rsidRPr="00E61562">
              <w:t>The UK Government</w:t>
            </w:r>
          </w:p>
        </w:tc>
        <w:tc>
          <w:tcPr>
            <w:tcW w:w="1794" w:type="dxa"/>
            <w:shd w:val="clear" w:color="auto" w:fill="auto"/>
            <w:vAlign w:val="center"/>
          </w:tcPr>
          <w:p w14:paraId="7114CED8" w14:textId="70CE697E" w:rsidR="00241C67" w:rsidRPr="00E61562" w:rsidRDefault="00241C67" w:rsidP="00926D13">
            <w:pPr>
              <w:jc w:val="both"/>
            </w:pPr>
            <w:r>
              <w:t>10 years</w:t>
            </w:r>
          </w:p>
        </w:tc>
        <w:tc>
          <w:tcPr>
            <w:tcW w:w="2329" w:type="dxa"/>
            <w:shd w:val="clear" w:color="auto" w:fill="auto"/>
            <w:vAlign w:val="center"/>
          </w:tcPr>
          <w:p w14:paraId="4650362B" w14:textId="78FC323B" w:rsidR="007E570A" w:rsidRPr="00E61562" w:rsidRDefault="007E570A" w:rsidP="00926D13">
            <w:pPr>
              <w:jc w:val="both"/>
            </w:pPr>
            <w:r w:rsidRPr="00E61562">
              <w:t>Unlimited</w:t>
            </w:r>
          </w:p>
        </w:tc>
        <w:tc>
          <w:tcPr>
            <w:tcW w:w="2683" w:type="dxa"/>
            <w:shd w:val="clear" w:color="auto" w:fill="auto"/>
            <w:vAlign w:val="center"/>
          </w:tcPr>
          <w:p w14:paraId="0E3AF9A6" w14:textId="254F0CCD" w:rsidR="007E570A" w:rsidRPr="00E61562" w:rsidRDefault="00E33253" w:rsidP="00926D13">
            <w:pPr>
              <w:jc w:val="both"/>
            </w:pPr>
            <w:r w:rsidRPr="00E61562">
              <w:t>Unlimited</w:t>
            </w:r>
          </w:p>
        </w:tc>
      </w:tr>
      <w:tr w:rsidR="007E570A" w:rsidRPr="00E61562" w14:paraId="1913D622" w14:textId="77777777" w:rsidTr="000721AA">
        <w:trPr>
          <w:trHeight w:val="397"/>
        </w:trPr>
        <w:tc>
          <w:tcPr>
            <w:tcW w:w="2261" w:type="dxa"/>
            <w:shd w:val="clear" w:color="auto" w:fill="auto"/>
            <w:vAlign w:val="center"/>
          </w:tcPr>
          <w:p w14:paraId="08E550E9" w14:textId="77777777" w:rsidR="007E570A" w:rsidRPr="00E61562" w:rsidRDefault="007E570A" w:rsidP="00926D13">
            <w:pPr>
              <w:pStyle w:val="ListParagraph"/>
              <w:ind w:left="426"/>
            </w:pPr>
            <w:r w:rsidRPr="00E61562">
              <w:t>Local authorities &amp; other government entities</w:t>
            </w:r>
          </w:p>
        </w:tc>
        <w:tc>
          <w:tcPr>
            <w:tcW w:w="1794" w:type="dxa"/>
            <w:shd w:val="clear" w:color="auto" w:fill="auto"/>
            <w:vAlign w:val="center"/>
          </w:tcPr>
          <w:p w14:paraId="16280944" w14:textId="64AAD236" w:rsidR="007E570A" w:rsidRDefault="007E570A" w:rsidP="0038310D">
            <w:pPr>
              <w:pStyle w:val="ListParagraph"/>
              <w:ind w:left="426"/>
              <w:jc w:val="both"/>
            </w:pPr>
          </w:p>
          <w:p w14:paraId="605DA6B3" w14:textId="316E1DDD" w:rsidR="002B6C64" w:rsidRPr="00E61562" w:rsidRDefault="002B6C64" w:rsidP="00926D13">
            <w:pPr>
              <w:jc w:val="both"/>
            </w:pPr>
            <w:r>
              <w:t>5 years</w:t>
            </w:r>
          </w:p>
        </w:tc>
        <w:tc>
          <w:tcPr>
            <w:tcW w:w="2329" w:type="dxa"/>
            <w:shd w:val="clear" w:color="auto" w:fill="auto"/>
            <w:vAlign w:val="center"/>
          </w:tcPr>
          <w:p w14:paraId="7FC676BB" w14:textId="77777777" w:rsidR="00926D13" w:rsidRDefault="00926D13" w:rsidP="00926D13">
            <w:pPr>
              <w:jc w:val="both"/>
            </w:pPr>
          </w:p>
          <w:p w14:paraId="03D119BE" w14:textId="4955E888" w:rsidR="007E570A" w:rsidRPr="00E61562" w:rsidRDefault="007E570A" w:rsidP="00926D13">
            <w:pPr>
              <w:jc w:val="both"/>
            </w:pPr>
            <w:r w:rsidRPr="00E61562">
              <w:t>£</w:t>
            </w:r>
            <w:r w:rsidR="00E574BB">
              <w:t>1</w:t>
            </w:r>
            <w:r w:rsidRPr="00E61562">
              <w:t>m</w:t>
            </w:r>
          </w:p>
        </w:tc>
        <w:tc>
          <w:tcPr>
            <w:tcW w:w="2683" w:type="dxa"/>
            <w:shd w:val="clear" w:color="auto" w:fill="auto"/>
            <w:vAlign w:val="center"/>
          </w:tcPr>
          <w:p w14:paraId="6944CB9E" w14:textId="77777777" w:rsidR="00926D13" w:rsidRDefault="00926D13" w:rsidP="00926D13">
            <w:pPr>
              <w:jc w:val="both"/>
            </w:pPr>
          </w:p>
          <w:p w14:paraId="07D5330B" w14:textId="3F6A3A21" w:rsidR="007E570A" w:rsidRPr="00E61562" w:rsidRDefault="007E570A" w:rsidP="00926D13">
            <w:pPr>
              <w:jc w:val="both"/>
            </w:pPr>
            <w:r w:rsidRPr="00E61562">
              <w:t>Unlimited</w:t>
            </w:r>
          </w:p>
        </w:tc>
      </w:tr>
      <w:tr w:rsidR="007E570A" w:rsidRPr="00E61562" w14:paraId="71B98FEF" w14:textId="77777777" w:rsidTr="000721AA">
        <w:trPr>
          <w:trHeight w:val="397"/>
        </w:trPr>
        <w:tc>
          <w:tcPr>
            <w:tcW w:w="2261" w:type="dxa"/>
            <w:shd w:val="clear" w:color="auto" w:fill="auto"/>
            <w:vAlign w:val="center"/>
          </w:tcPr>
          <w:p w14:paraId="290AA57A" w14:textId="77777777" w:rsidR="007E570A" w:rsidRPr="00E61562" w:rsidRDefault="007E570A" w:rsidP="00926D13">
            <w:pPr>
              <w:pStyle w:val="ListParagraph"/>
              <w:ind w:left="426"/>
            </w:pPr>
            <w:r w:rsidRPr="00E61562">
              <w:t>Secured investments *</w:t>
            </w:r>
          </w:p>
        </w:tc>
        <w:tc>
          <w:tcPr>
            <w:tcW w:w="1794" w:type="dxa"/>
            <w:shd w:val="clear" w:color="auto" w:fill="auto"/>
            <w:vAlign w:val="center"/>
          </w:tcPr>
          <w:p w14:paraId="187B0BF8" w14:textId="565469B4" w:rsidR="002B6C64" w:rsidRPr="00E61562" w:rsidRDefault="002B6C64" w:rsidP="00926D13">
            <w:pPr>
              <w:jc w:val="both"/>
            </w:pPr>
            <w:r>
              <w:t>6 months</w:t>
            </w:r>
          </w:p>
        </w:tc>
        <w:tc>
          <w:tcPr>
            <w:tcW w:w="2329" w:type="dxa"/>
            <w:shd w:val="clear" w:color="auto" w:fill="auto"/>
            <w:vAlign w:val="center"/>
          </w:tcPr>
          <w:p w14:paraId="4386E9FB" w14:textId="2952FEE5" w:rsidR="007E570A" w:rsidRPr="00E61562" w:rsidRDefault="007E570A" w:rsidP="00926D13">
            <w:pPr>
              <w:jc w:val="both"/>
            </w:pPr>
            <w:r w:rsidRPr="00E61562">
              <w:t>£</w:t>
            </w:r>
            <w:r w:rsidR="00E574BB">
              <w:t>1</w:t>
            </w:r>
            <w:r w:rsidRPr="00E61562">
              <w:t>m</w:t>
            </w:r>
          </w:p>
        </w:tc>
        <w:tc>
          <w:tcPr>
            <w:tcW w:w="2683" w:type="dxa"/>
            <w:shd w:val="clear" w:color="auto" w:fill="auto"/>
            <w:vAlign w:val="center"/>
          </w:tcPr>
          <w:p w14:paraId="29CB2790" w14:textId="77777777" w:rsidR="007E570A" w:rsidRPr="00E61562" w:rsidRDefault="007E570A" w:rsidP="00926D13">
            <w:pPr>
              <w:jc w:val="both"/>
            </w:pPr>
            <w:r w:rsidRPr="00E61562">
              <w:t>Unlimited</w:t>
            </w:r>
          </w:p>
        </w:tc>
      </w:tr>
      <w:tr w:rsidR="007E570A" w:rsidRPr="00E61562" w14:paraId="1A99F6B7" w14:textId="77777777" w:rsidTr="000721AA">
        <w:trPr>
          <w:trHeight w:val="397"/>
        </w:trPr>
        <w:tc>
          <w:tcPr>
            <w:tcW w:w="2261" w:type="dxa"/>
            <w:shd w:val="clear" w:color="auto" w:fill="auto"/>
            <w:vAlign w:val="center"/>
          </w:tcPr>
          <w:p w14:paraId="76D3AEBE" w14:textId="77777777" w:rsidR="007E570A" w:rsidRPr="00CF0690" w:rsidRDefault="007E570A" w:rsidP="00926D13">
            <w:pPr>
              <w:pStyle w:val="ListParagraph"/>
              <w:ind w:left="426"/>
            </w:pPr>
            <w:r w:rsidRPr="00CF0690">
              <w:t>Banks (unsecured) *</w:t>
            </w:r>
          </w:p>
        </w:tc>
        <w:tc>
          <w:tcPr>
            <w:tcW w:w="1794" w:type="dxa"/>
            <w:shd w:val="clear" w:color="auto" w:fill="auto"/>
            <w:vAlign w:val="center"/>
          </w:tcPr>
          <w:p w14:paraId="31E3B705" w14:textId="77777777" w:rsidR="007E570A" w:rsidRPr="00CF0690" w:rsidRDefault="007E570A" w:rsidP="00926D13">
            <w:pPr>
              <w:jc w:val="both"/>
            </w:pPr>
            <w:r w:rsidRPr="00CF0690">
              <w:t>13 months</w:t>
            </w:r>
          </w:p>
        </w:tc>
        <w:tc>
          <w:tcPr>
            <w:tcW w:w="2329" w:type="dxa"/>
            <w:shd w:val="clear" w:color="auto" w:fill="auto"/>
            <w:vAlign w:val="center"/>
          </w:tcPr>
          <w:p w14:paraId="07F1085F" w14:textId="165BA9AD" w:rsidR="007E570A" w:rsidRPr="00CF0690" w:rsidRDefault="007E570A" w:rsidP="00926D13">
            <w:pPr>
              <w:jc w:val="both"/>
            </w:pPr>
            <w:r w:rsidRPr="00CF0690">
              <w:t>£</w:t>
            </w:r>
            <w:r w:rsidR="00E574BB">
              <w:t>1</w:t>
            </w:r>
            <w:r w:rsidRPr="00CF0690">
              <w:t>m</w:t>
            </w:r>
          </w:p>
        </w:tc>
        <w:tc>
          <w:tcPr>
            <w:tcW w:w="2683" w:type="dxa"/>
            <w:shd w:val="clear" w:color="auto" w:fill="auto"/>
            <w:vAlign w:val="center"/>
          </w:tcPr>
          <w:p w14:paraId="44DAD7EA" w14:textId="19620821" w:rsidR="007E570A" w:rsidRPr="00CF0690" w:rsidRDefault="005C7B3C" w:rsidP="00926D13">
            <w:pPr>
              <w:jc w:val="both"/>
            </w:pPr>
            <w:r w:rsidRPr="00E61562">
              <w:t>Unlimited</w:t>
            </w:r>
          </w:p>
        </w:tc>
      </w:tr>
      <w:tr w:rsidR="007E570A" w:rsidRPr="00E61562" w14:paraId="0C0BEFCD" w14:textId="77777777" w:rsidTr="000721AA">
        <w:trPr>
          <w:trHeight w:val="397"/>
        </w:trPr>
        <w:tc>
          <w:tcPr>
            <w:tcW w:w="2261" w:type="dxa"/>
            <w:shd w:val="clear" w:color="auto" w:fill="auto"/>
            <w:vAlign w:val="center"/>
          </w:tcPr>
          <w:p w14:paraId="1F9A81A1" w14:textId="77777777" w:rsidR="007E570A" w:rsidRPr="00CF0690" w:rsidRDefault="007E570A" w:rsidP="00926D13">
            <w:pPr>
              <w:pStyle w:val="ListParagraph"/>
              <w:ind w:left="426"/>
            </w:pPr>
            <w:r w:rsidRPr="00CF0690">
              <w:t>Building societies (unsecured) *</w:t>
            </w:r>
          </w:p>
        </w:tc>
        <w:tc>
          <w:tcPr>
            <w:tcW w:w="1794" w:type="dxa"/>
            <w:shd w:val="clear" w:color="auto" w:fill="auto"/>
            <w:vAlign w:val="center"/>
          </w:tcPr>
          <w:p w14:paraId="056BCB58" w14:textId="6F246FDE" w:rsidR="00785F87" w:rsidRPr="00CF0690" w:rsidRDefault="00785F87" w:rsidP="00926D13">
            <w:pPr>
              <w:jc w:val="both"/>
            </w:pPr>
            <w:r>
              <w:t>6 months</w:t>
            </w:r>
          </w:p>
        </w:tc>
        <w:tc>
          <w:tcPr>
            <w:tcW w:w="2329" w:type="dxa"/>
            <w:shd w:val="clear" w:color="auto" w:fill="auto"/>
            <w:vAlign w:val="center"/>
          </w:tcPr>
          <w:p w14:paraId="136497E2" w14:textId="0C43EEBB" w:rsidR="007E570A" w:rsidRPr="00CF0690" w:rsidRDefault="007E570A" w:rsidP="00926D13">
            <w:pPr>
              <w:jc w:val="both"/>
            </w:pPr>
            <w:r w:rsidRPr="00CF0690">
              <w:t>£</w:t>
            </w:r>
            <w:r w:rsidR="00BD01DE">
              <w:t>1</w:t>
            </w:r>
            <w:r w:rsidRPr="00CF0690">
              <w:t>m</w:t>
            </w:r>
          </w:p>
        </w:tc>
        <w:tc>
          <w:tcPr>
            <w:tcW w:w="2683" w:type="dxa"/>
            <w:shd w:val="clear" w:color="auto" w:fill="auto"/>
            <w:vAlign w:val="center"/>
          </w:tcPr>
          <w:p w14:paraId="15237353" w14:textId="67746159" w:rsidR="007E570A" w:rsidRPr="00CF0690" w:rsidRDefault="00D76189" w:rsidP="00926D13">
            <w:pPr>
              <w:jc w:val="both"/>
            </w:pPr>
            <w:r>
              <w:t>£</w:t>
            </w:r>
            <w:r w:rsidR="0067515E">
              <w:t>3</w:t>
            </w:r>
            <w:r>
              <w:t>m</w:t>
            </w:r>
          </w:p>
        </w:tc>
      </w:tr>
      <w:tr w:rsidR="007E570A" w:rsidRPr="00E61562" w14:paraId="22B0709A" w14:textId="77777777" w:rsidTr="000721AA">
        <w:trPr>
          <w:trHeight w:val="397"/>
        </w:trPr>
        <w:tc>
          <w:tcPr>
            <w:tcW w:w="2261" w:type="dxa"/>
            <w:shd w:val="clear" w:color="auto" w:fill="auto"/>
            <w:vAlign w:val="center"/>
          </w:tcPr>
          <w:p w14:paraId="40FB4B3D" w14:textId="77777777" w:rsidR="007E570A" w:rsidRPr="00CF0690" w:rsidRDefault="007E570A" w:rsidP="00926D13">
            <w:pPr>
              <w:pStyle w:val="ListParagraph"/>
              <w:ind w:left="426"/>
            </w:pPr>
            <w:r w:rsidRPr="00CF0690">
              <w:t>Registered providers (unsecured) *</w:t>
            </w:r>
          </w:p>
        </w:tc>
        <w:tc>
          <w:tcPr>
            <w:tcW w:w="1794" w:type="dxa"/>
            <w:shd w:val="clear" w:color="auto" w:fill="auto"/>
            <w:vAlign w:val="center"/>
          </w:tcPr>
          <w:p w14:paraId="03822CBE" w14:textId="53A6E2ED" w:rsidR="00785F87" w:rsidRPr="00CF0690" w:rsidRDefault="0038310D" w:rsidP="00926D13">
            <w:pPr>
              <w:jc w:val="both"/>
            </w:pPr>
            <w:r>
              <w:t>6 months</w:t>
            </w:r>
          </w:p>
        </w:tc>
        <w:tc>
          <w:tcPr>
            <w:tcW w:w="2329" w:type="dxa"/>
            <w:shd w:val="clear" w:color="auto" w:fill="auto"/>
            <w:vAlign w:val="center"/>
          </w:tcPr>
          <w:p w14:paraId="33FB36BD" w14:textId="77777777" w:rsidR="007E570A" w:rsidRPr="00CF0690" w:rsidRDefault="007E570A" w:rsidP="00926D13">
            <w:pPr>
              <w:jc w:val="both"/>
            </w:pPr>
            <w:r w:rsidRPr="00CF0690">
              <w:t>£1m</w:t>
            </w:r>
          </w:p>
        </w:tc>
        <w:tc>
          <w:tcPr>
            <w:tcW w:w="2683" w:type="dxa"/>
            <w:shd w:val="clear" w:color="auto" w:fill="auto"/>
            <w:vAlign w:val="center"/>
          </w:tcPr>
          <w:p w14:paraId="476FAF9A" w14:textId="180A56F1" w:rsidR="007E570A" w:rsidRPr="00CF0690" w:rsidRDefault="008D05F0" w:rsidP="00926D13">
            <w:pPr>
              <w:jc w:val="both"/>
            </w:pPr>
            <w:r w:rsidRPr="00CF0690">
              <w:t>Unlimited</w:t>
            </w:r>
          </w:p>
        </w:tc>
      </w:tr>
      <w:tr w:rsidR="007E570A" w:rsidRPr="00E61562" w14:paraId="14AC574C" w14:textId="77777777" w:rsidTr="000721AA">
        <w:trPr>
          <w:trHeight w:val="397"/>
        </w:trPr>
        <w:tc>
          <w:tcPr>
            <w:tcW w:w="2261" w:type="dxa"/>
            <w:shd w:val="clear" w:color="auto" w:fill="auto"/>
            <w:vAlign w:val="center"/>
          </w:tcPr>
          <w:p w14:paraId="65DC8CA0" w14:textId="77777777" w:rsidR="007E570A" w:rsidRPr="00CF0690" w:rsidRDefault="007E570A" w:rsidP="00926D13">
            <w:pPr>
              <w:pStyle w:val="ListParagraph"/>
              <w:ind w:left="426"/>
            </w:pPr>
            <w:r w:rsidRPr="00CF0690">
              <w:t>Money market funds *</w:t>
            </w:r>
          </w:p>
        </w:tc>
        <w:tc>
          <w:tcPr>
            <w:tcW w:w="1794" w:type="dxa"/>
            <w:shd w:val="clear" w:color="auto" w:fill="auto"/>
            <w:vAlign w:val="center"/>
          </w:tcPr>
          <w:p w14:paraId="590BB74E" w14:textId="77777777" w:rsidR="007E570A" w:rsidRPr="00CF0690" w:rsidRDefault="007E570A" w:rsidP="00926D13">
            <w:pPr>
              <w:jc w:val="both"/>
            </w:pPr>
            <w:r w:rsidRPr="00CF0690">
              <w:t>n/a</w:t>
            </w:r>
          </w:p>
        </w:tc>
        <w:tc>
          <w:tcPr>
            <w:tcW w:w="2329" w:type="dxa"/>
            <w:shd w:val="clear" w:color="auto" w:fill="auto"/>
            <w:vAlign w:val="center"/>
          </w:tcPr>
          <w:p w14:paraId="31841BBB" w14:textId="570B21EC" w:rsidR="007E570A" w:rsidRPr="00CF0690" w:rsidRDefault="007E570A" w:rsidP="00926D13">
            <w:pPr>
              <w:jc w:val="both"/>
            </w:pPr>
            <w:r w:rsidRPr="00CF0690">
              <w:t>£</w:t>
            </w:r>
            <w:r w:rsidR="00FD03EA">
              <w:t>3</w:t>
            </w:r>
            <w:r w:rsidRPr="00CF0690">
              <w:t>m</w:t>
            </w:r>
          </w:p>
        </w:tc>
        <w:tc>
          <w:tcPr>
            <w:tcW w:w="2683" w:type="dxa"/>
            <w:shd w:val="clear" w:color="auto" w:fill="auto"/>
            <w:vAlign w:val="center"/>
          </w:tcPr>
          <w:p w14:paraId="34289A18" w14:textId="5FB60F66" w:rsidR="007E570A" w:rsidRPr="00CF0690" w:rsidRDefault="007465FB" w:rsidP="00926D13">
            <w:pPr>
              <w:jc w:val="both"/>
            </w:pPr>
            <w:r>
              <w:t>Maximum 50% of total investments</w:t>
            </w:r>
          </w:p>
        </w:tc>
      </w:tr>
      <w:tr w:rsidR="007E570A" w:rsidRPr="00E61562" w14:paraId="344BCEF4" w14:textId="77777777" w:rsidTr="000721AA">
        <w:trPr>
          <w:trHeight w:val="397"/>
        </w:trPr>
        <w:tc>
          <w:tcPr>
            <w:tcW w:w="2261" w:type="dxa"/>
            <w:shd w:val="clear" w:color="auto" w:fill="auto"/>
            <w:vAlign w:val="center"/>
          </w:tcPr>
          <w:p w14:paraId="329DCA83" w14:textId="77777777" w:rsidR="007E570A" w:rsidRPr="00E61562" w:rsidRDefault="007E570A" w:rsidP="00926D13">
            <w:pPr>
              <w:pStyle w:val="ListParagraph"/>
              <w:ind w:left="426"/>
            </w:pPr>
            <w:r w:rsidRPr="00E61562">
              <w:t>Strategic pooled funds</w:t>
            </w:r>
          </w:p>
        </w:tc>
        <w:tc>
          <w:tcPr>
            <w:tcW w:w="1794" w:type="dxa"/>
            <w:shd w:val="clear" w:color="auto" w:fill="auto"/>
            <w:vAlign w:val="center"/>
          </w:tcPr>
          <w:p w14:paraId="6A6EDD80" w14:textId="77777777" w:rsidR="007E570A" w:rsidRPr="00E61562" w:rsidRDefault="007E570A" w:rsidP="00926D13">
            <w:pPr>
              <w:jc w:val="both"/>
            </w:pPr>
            <w:r w:rsidRPr="00E61562">
              <w:t>n/a</w:t>
            </w:r>
          </w:p>
        </w:tc>
        <w:tc>
          <w:tcPr>
            <w:tcW w:w="2329" w:type="dxa"/>
            <w:shd w:val="clear" w:color="auto" w:fill="auto"/>
            <w:vAlign w:val="center"/>
          </w:tcPr>
          <w:p w14:paraId="3A347681" w14:textId="7B9DCE78" w:rsidR="007E570A" w:rsidRPr="00E61562" w:rsidRDefault="007E570A" w:rsidP="00926D13">
            <w:pPr>
              <w:jc w:val="both"/>
            </w:pPr>
            <w:r w:rsidRPr="00E61562">
              <w:t>£</w:t>
            </w:r>
            <w:r w:rsidR="00233ADB">
              <w:t>1</w:t>
            </w:r>
            <w:r w:rsidRPr="00E61562">
              <w:t>m</w:t>
            </w:r>
          </w:p>
        </w:tc>
        <w:tc>
          <w:tcPr>
            <w:tcW w:w="2683" w:type="dxa"/>
            <w:shd w:val="clear" w:color="auto" w:fill="auto"/>
            <w:vAlign w:val="center"/>
          </w:tcPr>
          <w:p w14:paraId="09B30823" w14:textId="3B21AA07" w:rsidR="007E570A" w:rsidRPr="00926D13" w:rsidRDefault="008D05F0" w:rsidP="00926D13">
            <w:pPr>
              <w:jc w:val="both"/>
              <w:rPr>
                <w:b/>
              </w:rPr>
            </w:pPr>
            <w:r>
              <w:t>£</w:t>
            </w:r>
            <w:r w:rsidR="00F55048">
              <w:t>5</w:t>
            </w:r>
            <w:r>
              <w:t>m</w:t>
            </w:r>
          </w:p>
        </w:tc>
      </w:tr>
    </w:tbl>
    <w:p w14:paraId="31CF8FDD" w14:textId="77777777" w:rsidR="007E570A" w:rsidRDefault="007E570A" w:rsidP="008D6803">
      <w:pPr>
        <w:pStyle w:val="ListParagraph"/>
        <w:ind w:left="426"/>
        <w:jc w:val="both"/>
      </w:pPr>
    </w:p>
    <w:p w14:paraId="5572AF91" w14:textId="1B1581F3" w:rsidR="007E570A" w:rsidRPr="00711110" w:rsidRDefault="007E570A" w:rsidP="00711110">
      <w:pPr>
        <w:pStyle w:val="ListParagraph"/>
        <w:spacing w:after="240"/>
        <w:ind w:left="425"/>
        <w:jc w:val="both"/>
      </w:pPr>
      <w:r w:rsidRPr="0041076E">
        <w:t>This table must be read in conjunction with the notes below</w:t>
      </w:r>
      <w:r>
        <w:t>.</w:t>
      </w:r>
    </w:p>
    <w:p w14:paraId="6BDE3C03" w14:textId="25671513" w:rsidR="007E570A" w:rsidRDefault="007E570A" w:rsidP="00711110">
      <w:pPr>
        <w:pStyle w:val="ListParagraph"/>
        <w:spacing w:after="240"/>
        <w:ind w:left="425"/>
        <w:jc w:val="both"/>
      </w:pPr>
      <w:r w:rsidRPr="0041076E">
        <w:rPr>
          <w:b/>
        </w:rPr>
        <w:lastRenderedPageBreak/>
        <w:t>Credit rating:</w:t>
      </w:r>
      <w:r w:rsidRPr="0041076E">
        <w:t xml:space="preserve"> Investment limits are set by reference to the lowest published long-term credit rating from a selection of external rating agencies. Where available, the credit rating relevant to the specific investment or class of investment is used, otherwise the counterparty credit rating is used. However, investment decisions are never made solely based on credit ratings, and all other relevant factors including external advice will be </w:t>
      </w:r>
      <w:proofErr w:type="gramStart"/>
      <w:r w:rsidRPr="0041076E">
        <w:t>taken into account</w:t>
      </w:r>
      <w:proofErr w:type="gramEnd"/>
      <w:r w:rsidRPr="0041076E">
        <w:t>.</w:t>
      </w:r>
    </w:p>
    <w:p w14:paraId="76432D13" w14:textId="177F94A6" w:rsidR="007E570A" w:rsidRPr="0073743B" w:rsidRDefault="007E570A" w:rsidP="00711110">
      <w:pPr>
        <w:pStyle w:val="ListParagraph"/>
        <w:spacing w:after="240"/>
        <w:ind w:left="425"/>
      </w:pPr>
      <w:r w:rsidRPr="0073743B">
        <w:rPr>
          <w:b/>
        </w:rPr>
        <w:t>* Minimum credit rating:</w:t>
      </w:r>
      <w:r w:rsidRPr="0073743B">
        <w:t xml:space="preserve"> Treasury investments in the sectors marked with an asterisk </w:t>
      </w:r>
      <w:r w:rsidRPr="00500F7A">
        <w:t xml:space="preserve">will only be made with entities whose lowest published long-term credit rating is no lower than A. Where available, the credit rating relevant to the specific investment or class of investment is used, otherwise the counterparty credit rating is used. However, investment decisions are never made solely based on credit ratings, and all other relevant factors including external advice will be </w:t>
      </w:r>
      <w:r w:rsidR="00E15905" w:rsidRPr="00500F7A">
        <w:t>considered</w:t>
      </w:r>
      <w:r w:rsidRPr="0073743B">
        <w:t>.</w:t>
      </w:r>
    </w:p>
    <w:p w14:paraId="0A25357B" w14:textId="74CE4265" w:rsidR="007E570A" w:rsidRPr="0073743B" w:rsidRDefault="007E570A" w:rsidP="00711110">
      <w:pPr>
        <w:pStyle w:val="ListParagraph"/>
        <w:spacing w:after="240"/>
        <w:ind w:left="425"/>
      </w:pPr>
      <w:r w:rsidRPr="0073743B">
        <w:t xml:space="preserve">For entities without published credit ratings, investments may be made either (a) where external advice indicates the entity to be of similar credit quality; or (b) to a maximum of </w:t>
      </w:r>
      <w:r w:rsidRPr="00EF3056">
        <w:t>£1m per counterparty</w:t>
      </w:r>
      <w:r w:rsidRPr="0073743B">
        <w:t xml:space="preserve"> as part of a diversified pool </w:t>
      </w:r>
      <w:r w:rsidR="00E15905" w:rsidRPr="0073743B">
        <w:t>e.g.,</w:t>
      </w:r>
      <w:r w:rsidRPr="0073743B">
        <w:t xml:space="preserve"> via a peer-to-peer platform.</w:t>
      </w:r>
    </w:p>
    <w:p w14:paraId="3CB76741" w14:textId="7DCCB6ED" w:rsidR="007E570A" w:rsidRDefault="007E570A" w:rsidP="00012E69">
      <w:pPr>
        <w:spacing w:after="240"/>
        <w:ind w:left="426"/>
        <w:jc w:val="both"/>
      </w:pPr>
      <w:r w:rsidRPr="00FE351D">
        <w:rPr>
          <w:b/>
        </w:rPr>
        <w:t>Banks unsecured</w:t>
      </w:r>
      <w:r w:rsidR="009338C9">
        <w:rPr>
          <w:b/>
        </w:rPr>
        <w:t>:</w:t>
      </w:r>
      <w:r w:rsidRPr="0041076E">
        <w:t xml:space="preserve"> Accounts, deposits, certificates of deposit and senior unsecured bonds with banks and building societies, other than multilateral development banks. These investments are subject to the risk of credit loss via a bail-in should the regulator determine that the bank is failing or likely to fail. See below for arrangements relating to operational bank accounts.</w:t>
      </w:r>
      <w:r w:rsidR="00445166">
        <w:t xml:space="preserve"> </w:t>
      </w:r>
    </w:p>
    <w:p w14:paraId="6A174899" w14:textId="44D0CA1B" w:rsidR="00280379" w:rsidRPr="00280379" w:rsidRDefault="00145858" w:rsidP="00012E69">
      <w:pPr>
        <w:spacing w:after="240"/>
        <w:ind w:left="426"/>
        <w:jc w:val="both"/>
        <w:rPr>
          <w:bCs/>
          <w:i/>
          <w:iCs/>
          <w:color w:val="0070C0"/>
        </w:rPr>
      </w:pPr>
      <w:r>
        <w:rPr>
          <w:bCs/>
          <w:i/>
          <w:iCs/>
          <w:color w:val="0070C0"/>
        </w:rPr>
        <w:t>The Service uses bank deposits to generate a return on short term investments.</w:t>
      </w:r>
      <w:r w:rsidR="0029711B">
        <w:rPr>
          <w:bCs/>
          <w:i/>
          <w:iCs/>
          <w:color w:val="0070C0"/>
        </w:rPr>
        <w:t xml:space="preserve"> </w:t>
      </w:r>
    </w:p>
    <w:p w14:paraId="35EAEECB" w14:textId="27F4FDE3" w:rsidR="007E570A" w:rsidRDefault="007E570A" w:rsidP="00FE351D">
      <w:pPr>
        <w:pStyle w:val="ListParagraph"/>
        <w:spacing w:after="240"/>
        <w:ind w:left="426"/>
        <w:jc w:val="both"/>
      </w:pPr>
      <w:r w:rsidRPr="0041076E">
        <w:rPr>
          <w:b/>
        </w:rPr>
        <w:t>Banks secured:</w:t>
      </w:r>
      <w:r w:rsidRPr="0041076E">
        <w:t xml:space="preserve"> Covered bonds, reverse repurchase agreements and other collateralised arrangements with banks and building societies. These investments are secured on the bank’s assets, which limits the potential losses in the unlikely event of insolvency, and means that they are exempt from bail-in. Where there is no investment specific credit rating, but the collateral upon which the investment is secured has a credit rating, the higher of the collateral credit rating and the counterparty credit rating will be used to determine cash and time limits. The combined secured and unsecured investments in any one bank will not exceed the cash limit for secured investments.</w:t>
      </w:r>
    </w:p>
    <w:p w14:paraId="6A0AE56A" w14:textId="566FAEA4" w:rsidR="00145858" w:rsidRPr="00145858" w:rsidRDefault="00145858" w:rsidP="00FE351D">
      <w:pPr>
        <w:pStyle w:val="ListParagraph"/>
        <w:spacing w:after="240"/>
        <w:ind w:left="426"/>
        <w:jc w:val="both"/>
        <w:rPr>
          <w:bCs/>
          <w:i/>
          <w:iCs/>
          <w:color w:val="0070C0"/>
        </w:rPr>
      </w:pPr>
      <w:r w:rsidRPr="00145858">
        <w:rPr>
          <w:bCs/>
          <w:i/>
          <w:iCs/>
          <w:color w:val="0070C0"/>
        </w:rPr>
        <w:t>The Service</w:t>
      </w:r>
      <w:r>
        <w:rPr>
          <w:bCs/>
          <w:i/>
          <w:iCs/>
          <w:color w:val="0070C0"/>
        </w:rPr>
        <w:t xml:space="preserve"> does not currently </w:t>
      </w:r>
      <w:r w:rsidR="00C12475">
        <w:rPr>
          <w:bCs/>
          <w:i/>
          <w:iCs/>
          <w:color w:val="0070C0"/>
        </w:rPr>
        <w:t>utilise secured bank investments.</w:t>
      </w:r>
    </w:p>
    <w:p w14:paraId="3BB50429" w14:textId="300630E7" w:rsidR="007E570A" w:rsidRDefault="007E570A" w:rsidP="00FE351D">
      <w:pPr>
        <w:pStyle w:val="ListParagraph"/>
        <w:spacing w:after="240"/>
        <w:ind w:left="426"/>
        <w:jc w:val="both"/>
      </w:pPr>
      <w:r w:rsidRPr="0041076E">
        <w:rPr>
          <w:b/>
        </w:rPr>
        <w:t>Government:</w:t>
      </w:r>
      <w:r w:rsidRPr="0041076E">
        <w:t xml:space="preserve"> Loans, </w:t>
      </w:r>
      <w:proofErr w:type="gramStart"/>
      <w:r w:rsidRPr="0041076E">
        <w:t>bonds</w:t>
      </w:r>
      <w:proofErr w:type="gramEnd"/>
      <w:r w:rsidRPr="0041076E">
        <w:t xml:space="preserve"> and bills issued or guaranteed by national governments, regional and local authorities and multilateral development banks. These investments are not subject to bail-in, and there is generally a lower risk of insolvency, although they are not zero risk. Investments with the UK Central Government </w:t>
      </w:r>
      <w:r w:rsidRPr="0073743B">
        <w:t xml:space="preserve">are deemed to be zero credit risk due to its ability to create additional currency and therefore </w:t>
      </w:r>
      <w:r w:rsidRPr="0041076E">
        <w:t xml:space="preserve">may be made in unlimited amounts for up to 50 years. </w:t>
      </w:r>
    </w:p>
    <w:p w14:paraId="2BDD70F4" w14:textId="03C98061" w:rsidR="00C12475" w:rsidRPr="00C12475" w:rsidRDefault="00C12475" w:rsidP="00FE351D">
      <w:pPr>
        <w:pStyle w:val="ListParagraph"/>
        <w:spacing w:after="240"/>
        <w:ind w:left="426"/>
        <w:jc w:val="both"/>
        <w:rPr>
          <w:i/>
          <w:iCs/>
          <w:color w:val="0070C0"/>
        </w:rPr>
      </w:pPr>
      <w:r w:rsidRPr="00C12475">
        <w:rPr>
          <w:i/>
          <w:iCs/>
          <w:color w:val="0070C0"/>
        </w:rPr>
        <w:t>The</w:t>
      </w:r>
      <w:r>
        <w:rPr>
          <w:i/>
          <w:iCs/>
          <w:color w:val="0070C0"/>
        </w:rPr>
        <w:t xml:space="preserve"> Service utilises Government investments to provide a </w:t>
      </w:r>
      <w:r w:rsidR="000F2AA6">
        <w:rPr>
          <w:i/>
          <w:iCs/>
          <w:color w:val="0070C0"/>
        </w:rPr>
        <w:t xml:space="preserve">guaranteed </w:t>
      </w:r>
      <w:r>
        <w:rPr>
          <w:i/>
          <w:iCs/>
          <w:color w:val="0070C0"/>
        </w:rPr>
        <w:t xml:space="preserve">return </w:t>
      </w:r>
      <w:r w:rsidR="00AC3B5B">
        <w:rPr>
          <w:i/>
          <w:iCs/>
          <w:color w:val="0070C0"/>
        </w:rPr>
        <w:t>over fixed periods (normally 1-6 months).</w:t>
      </w:r>
    </w:p>
    <w:p w14:paraId="4413C541" w14:textId="6F064639" w:rsidR="007E570A" w:rsidRPr="00FE351D" w:rsidRDefault="007E570A" w:rsidP="00FE351D">
      <w:pPr>
        <w:pStyle w:val="ListParagraph"/>
        <w:spacing w:after="240"/>
        <w:ind w:left="426"/>
        <w:jc w:val="both"/>
        <w:rPr>
          <w:b/>
        </w:rPr>
      </w:pPr>
      <w:r w:rsidRPr="0041076E">
        <w:rPr>
          <w:b/>
        </w:rPr>
        <w:lastRenderedPageBreak/>
        <w:t xml:space="preserve">Registered providers: </w:t>
      </w:r>
      <w:r w:rsidRPr="0041076E">
        <w:t xml:space="preserve">Loans and bonds issued by, guaranteed </w:t>
      </w:r>
      <w:proofErr w:type="gramStart"/>
      <w:r w:rsidRPr="0041076E">
        <w:t>by</w:t>
      </w:r>
      <w:proofErr w:type="gramEnd"/>
      <w:r w:rsidRPr="0041076E">
        <w:t xml:space="preserve"> or secured on the assets of registered providers of social housing and registered social landlords, formerly known as housing associations.  These bodies are regulated by the Regulator of Social Housing (in England), the Scottish Housing Regulator, the Welsh </w:t>
      </w:r>
      <w:proofErr w:type="gramStart"/>
      <w:r w:rsidRPr="0041076E">
        <w:t>Government</w:t>
      </w:r>
      <w:proofErr w:type="gramEnd"/>
      <w:r w:rsidRPr="0041076E">
        <w:t xml:space="preserve"> and the Department for Communities (in Northern Ireland). As providers of public services, they </w:t>
      </w:r>
      <w:r w:rsidRPr="00500F7A">
        <w:t>retain the likelihood of receiving government support if needed.</w:t>
      </w:r>
    </w:p>
    <w:p w14:paraId="2A2ACB18" w14:textId="6A7F8D91" w:rsidR="00127345" w:rsidRPr="00500F7A" w:rsidRDefault="007E570A" w:rsidP="00FE351D">
      <w:pPr>
        <w:pStyle w:val="ListParagraph"/>
        <w:spacing w:after="120"/>
        <w:ind w:left="426"/>
        <w:jc w:val="both"/>
      </w:pPr>
      <w:r w:rsidRPr="00500F7A">
        <w:rPr>
          <w:b/>
        </w:rPr>
        <w:t>Money market funds:</w:t>
      </w:r>
      <w:r w:rsidR="00127345" w:rsidRPr="00500F7A">
        <w:t xml:space="preserve"> Pooled funds that offer same-day or short notice liquidity and typically low price volatility by investing in short-term money markets. They have the advantage over bank accounts of providing wider diversification of investment risks, coupled with the services of a professional fund manager. These funds come under pressure during early 2020 as the demand for liquidity grew due to external factors, and significant withdrawals were required. As it remains unclear how much the Bank of England would be willing to support MMF market participants in future, as well as the potential for further regulations to be introduced, the 50% sector limit has been maintained. Therefore, whilst the investment guidance for money market funds (MMF) is set out in </w:t>
      </w:r>
      <w:r w:rsidR="00127345" w:rsidRPr="006B056B">
        <w:t xml:space="preserve">Table </w:t>
      </w:r>
      <w:r w:rsidR="006B056B" w:rsidRPr="006B056B">
        <w:t>4,</w:t>
      </w:r>
      <w:r w:rsidR="00127345" w:rsidRPr="006B056B">
        <w:t xml:space="preserve"> the</w:t>
      </w:r>
      <w:r w:rsidR="00127345" w:rsidRPr="00500F7A">
        <w:t xml:space="preserve"> guideline exposure for these funds will also incorporate the following:</w:t>
      </w:r>
    </w:p>
    <w:p w14:paraId="19449C96" w14:textId="669FD120" w:rsidR="00127345" w:rsidRPr="001D023C" w:rsidRDefault="00127345" w:rsidP="00191AA6">
      <w:pPr>
        <w:pStyle w:val="ListParagraph"/>
        <w:numPr>
          <w:ilvl w:val="0"/>
          <w:numId w:val="8"/>
        </w:numPr>
        <w:spacing w:after="120"/>
        <w:ind w:left="1134"/>
        <w:jc w:val="both"/>
      </w:pPr>
      <w:r w:rsidRPr="001D023C">
        <w:t>Investment exposure of no more than 0.5% of the total MMF (if a government MMF then this can be 2%).</w:t>
      </w:r>
    </w:p>
    <w:p w14:paraId="48570FA6" w14:textId="5BEE1C10" w:rsidR="007930A4" w:rsidRDefault="00127345" w:rsidP="00191AA6">
      <w:pPr>
        <w:pStyle w:val="ListParagraph"/>
        <w:numPr>
          <w:ilvl w:val="0"/>
          <w:numId w:val="8"/>
        </w:numPr>
        <w:spacing w:after="240"/>
        <w:ind w:left="1134" w:hanging="357"/>
        <w:jc w:val="both"/>
      </w:pPr>
      <w:r w:rsidRPr="001D023C">
        <w:t xml:space="preserve">Investment exposure is diversified, as far as practical, over multiple MMF’s, </w:t>
      </w:r>
      <w:r w:rsidR="007930A4" w:rsidRPr="001D023C">
        <w:t>with a maximum of £3m being invested in a specific fund.</w:t>
      </w:r>
    </w:p>
    <w:p w14:paraId="3935067A" w14:textId="324DA79A" w:rsidR="00AC3B5B" w:rsidRPr="00AC3B5B" w:rsidRDefault="00AC3B5B" w:rsidP="00AC3B5B">
      <w:pPr>
        <w:spacing w:after="240"/>
        <w:ind w:left="426"/>
        <w:jc w:val="both"/>
        <w:rPr>
          <w:i/>
          <w:iCs/>
          <w:color w:val="0070C0"/>
        </w:rPr>
      </w:pPr>
      <w:r>
        <w:rPr>
          <w:i/>
          <w:iCs/>
          <w:color w:val="0070C0"/>
        </w:rPr>
        <w:t>The Service utilises money market fund investments to generate a return</w:t>
      </w:r>
      <w:r w:rsidR="00EC329C">
        <w:rPr>
          <w:i/>
          <w:iCs/>
          <w:color w:val="0070C0"/>
        </w:rPr>
        <w:t xml:space="preserve"> while providing liquidity, as </w:t>
      </w:r>
      <w:r w:rsidR="00637556">
        <w:rPr>
          <w:i/>
          <w:iCs/>
          <w:color w:val="0070C0"/>
        </w:rPr>
        <w:t>funds can be returned on the same</w:t>
      </w:r>
      <w:r w:rsidR="00DE3186">
        <w:rPr>
          <w:i/>
          <w:iCs/>
          <w:color w:val="0070C0"/>
        </w:rPr>
        <w:t xml:space="preserve"> </w:t>
      </w:r>
      <w:r w:rsidR="00637556">
        <w:rPr>
          <w:i/>
          <w:iCs/>
          <w:color w:val="0070C0"/>
        </w:rPr>
        <w:t>day</w:t>
      </w:r>
      <w:r w:rsidR="00EC329C">
        <w:rPr>
          <w:i/>
          <w:iCs/>
          <w:color w:val="0070C0"/>
        </w:rPr>
        <w:t>.</w:t>
      </w:r>
    </w:p>
    <w:p w14:paraId="2D8A48EF" w14:textId="18A990F1" w:rsidR="007E570A" w:rsidRDefault="007E570A" w:rsidP="00FE351D">
      <w:pPr>
        <w:pStyle w:val="ListParagraph"/>
        <w:spacing w:after="240"/>
        <w:ind w:left="426"/>
        <w:jc w:val="both"/>
      </w:pPr>
      <w:r w:rsidRPr="00D6744D">
        <w:rPr>
          <w:b/>
          <w:bCs/>
        </w:rPr>
        <w:t>Strategic pooled funds:</w:t>
      </w:r>
      <w:r>
        <w:t xml:space="preserve"> </w:t>
      </w:r>
      <w:r w:rsidRPr="0041076E">
        <w:t>Bond, equity and property funds offer enhanced returns over the longer term but are more volatile in the short term.  These allow the Authority to diversify into asset classes other than cash without the need to own and manage the underlying investments. Because these funds have no defined maturity date, but are available for withdrawal after a notice period, their performance and continued suitability in meeting the Authority’s investment objectives will be monitored regularly.</w:t>
      </w:r>
    </w:p>
    <w:p w14:paraId="5D79A82D" w14:textId="42CB44DF" w:rsidR="00637556" w:rsidRPr="00637556" w:rsidRDefault="00637556" w:rsidP="00FE351D">
      <w:pPr>
        <w:pStyle w:val="ListParagraph"/>
        <w:spacing w:after="240"/>
        <w:ind w:left="426"/>
        <w:jc w:val="both"/>
        <w:rPr>
          <w:i/>
          <w:iCs/>
          <w:color w:val="0070C0"/>
        </w:rPr>
      </w:pPr>
      <w:r w:rsidRPr="00637556">
        <w:rPr>
          <w:i/>
          <w:iCs/>
          <w:color w:val="0070C0"/>
        </w:rPr>
        <w:t>The Service</w:t>
      </w:r>
      <w:r>
        <w:rPr>
          <w:i/>
          <w:iCs/>
          <w:color w:val="0070C0"/>
        </w:rPr>
        <w:t xml:space="preserve"> does not currently utilise Strategic Pooled Funds.</w:t>
      </w:r>
    </w:p>
    <w:p w14:paraId="3D9BCA37" w14:textId="5C422E1E" w:rsidR="007E570A" w:rsidRDefault="007E570A" w:rsidP="0004046D">
      <w:pPr>
        <w:pStyle w:val="ListParagraph"/>
        <w:spacing w:after="240"/>
        <w:ind w:left="425"/>
        <w:jc w:val="both"/>
      </w:pPr>
      <w:r w:rsidRPr="0041076E">
        <w:rPr>
          <w:b/>
        </w:rPr>
        <w:t>Real estate investment trusts:</w:t>
      </w:r>
      <w:r w:rsidRPr="0041076E">
        <w:t xml:space="preserve"> Shares in companies that invest mainly in real estate and pay </w:t>
      </w:r>
      <w:proofErr w:type="gramStart"/>
      <w:r w:rsidRPr="0041076E">
        <w:t>the majority of</w:t>
      </w:r>
      <w:proofErr w:type="gramEnd"/>
      <w:r w:rsidRPr="0041076E">
        <w:t xml:space="preserve"> their rental income to investors in a similar manner to pooled property funds. As with property funds, REITs offer enhanced returns over the longer term, but are more volatile especially as the share price reflects changing demand for the shares as well as changes in the value of the underlying properties.</w:t>
      </w:r>
    </w:p>
    <w:p w14:paraId="0F31BCB0" w14:textId="4AADAC21" w:rsidR="00A745BF" w:rsidRPr="00A745BF" w:rsidRDefault="00A745BF" w:rsidP="0004046D">
      <w:pPr>
        <w:pStyle w:val="ListParagraph"/>
        <w:spacing w:after="240"/>
        <w:ind w:left="425"/>
        <w:jc w:val="both"/>
        <w:rPr>
          <w:bCs/>
          <w:i/>
          <w:iCs/>
          <w:color w:val="0070C0"/>
        </w:rPr>
      </w:pPr>
      <w:r w:rsidRPr="00A745BF">
        <w:rPr>
          <w:bCs/>
          <w:i/>
          <w:iCs/>
          <w:color w:val="0070C0"/>
        </w:rPr>
        <w:t>The Service does not currently utilise real estate investment trusts.</w:t>
      </w:r>
    </w:p>
    <w:p w14:paraId="7114E8C6" w14:textId="77777777" w:rsidR="00A745BF" w:rsidRDefault="007E570A" w:rsidP="00A745BF">
      <w:pPr>
        <w:pStyle w:val="ListParagraph"/>
        <w:spacing w:after="240"/>
        <w:ind w:left="425"/>
        <w:jc w:val="both"/>
        <w:rPr>
          <w:b/>
        </w:rPr>
      </w:pPr>
      <w:r w:rsidRPr="0041076E">
        <w:rPr>
          <w:b/>
          <w:bCs/>
        </w:rPr>
        <w:t>Operational bank accounts:</w:t>
      </w:r>
      <w:r w:rsidRPr="0041076E">
        <w:rPr>
          <w:bCs/>
        </w:rPr>
        <w:t xml:space="preserve"> </w:t>
      </w:r>
      <w:r w:rsidR="00A745BF">
        <w:t xml:space="preserve">The Authority has an </w:t>
      </w:r>
      <w:r w:rsidR="00A745BF" w:rsidRPr="007C0AE3">
        <w:t>operational bank account with Lloyds, a</w:t>
      </w:r>
      <w:r w:rsidR="00A745BF">
        <w:t xml:space="preserve">nd an </w:t>
      </w:r>
      <w:r w:rsidR="00A745BF" w:rsidRPr="007C0AE3">
        <w:t>exception</w:t>
      </w:r>
      <w:r w:rsidR="00A745BF">
        <w:t xml:space="preserve"> </w:t>
      </w:r>
      <w:r w:rsidR="00A745BF" w:rsidRPr="007C0AE3">
        <w:t>applies where forecast cash outflows (e.g. salaries or supplier payments) necessitate additional funds being held. In these instances, a balance of up to £</w:t>
      </w:r>
      <w:r w:rsidR="00A745BF">
        <w:t>8</w:t>
      </w:r>
      <w:r w:rsidR="00A745BF" w:rsidRPr="007C0AE3">
        <w:t>m is permitted</w:t>
      </w:r>
      <w:r w:rsidR="00A745BF">
        <w:t>.</w:t>
      </w:r>
    </w:p>
    <w:p w14:paraId="08201B36" w14:textId="4A32F927" w:rsidR="00816912" w:rsidRPr="00FE351D" w:rsidRDefault="007E570A" w:rsidP="00C70D42">
      <w:pPr>
        <w:spacing w:after="240"/>
        <w:ind w:left="426"/>
        <w:jc w:val="both"/>
        <w:rPr>
          <w:bCs/>
        </w:rPr>
      </w:pPr>
      <w:r w:rsidRPr="0041076E">
        <w:rPr>
          <w:bCs/>
        </w:rPr>
        <w:lastRenderedPageBreak/>
        <w:t>The Authority may incur operational exposures, for example, th</w:t>
      </w:r>
      <w:r w:rsidR="004E74A6">
        <w:rPr>
          <w:bCs/>
        </w:rPr>
        <w:t>r</w:t>
      </w:r>
      <w:r w:rsidRPr="0041076E">
        <w:rPr>
          <w:bCs/>
        </w:rPr>
        <w:t>ough current accounts, collection accounts and merchant acquiring services, to any UK bank with credit ratings no lower than BBB- and with assets greater than £25 billion. These are not classed as investments but are still subject to the risk of a bank bail-in, and balances will therefore be kept</w:t>
      </w:r>
      <w:r w:rsidR="00CC237C">
        <w:rPr>
          <w:bCs/>
        </w:rPr>
        <w:t xml:space="preserve"> in accordance with </w:t>
      </w:r>
      <w:r w:rsidR="004D7758">
        <w:rPr>
          <w:bCs/>
        </w:rPr>
        <w:t xml:space="preserve">the criteria in </w:t>
      </w:r>
      <w:r w:rsidR="00CC237C">
        <w:rPr>
          <w:bCs/>
        </w:rPr>
        <w:t>Table 4</w:t>
      </w:r>
      <w:r w:rsidR="004D7758">
        <w:rPr>
          <w:bCs/>
        </w:rPr>
        <w:t>.</w:t>
      </w:r>
      <w:r w:rsidRPr="0041076E">
        <w:rPr>
          <w:bCs/>
        </w:rPr>
        <w:t xml:space="preserve">  The Bank of England has stated that in the event of failure, banks with assets greater than £25 billion are more likely to be bailed-in than made insolvent, increasing the chance of the Authority maintaining operational continuity. </w:t>
      </w:r>
    </w:p>
    <w:p w14:paraId="62461B13" w14:textId="77777777" w:rsidR="007E570A" w:rsidRPr="0041076E" w:rsidRDefault="007E570A" w:rsidP="00C70D42">
      <w:pPr>
        <w:spacing w:after="240"/>
        <w:ind w:left="426"/>
        <w:jc w:val="both"/>
      </w:pPr>
      <w:r w:rsidRPr="0041076E">
        <w:rPr>
          <w:b/>
        </w:rPr>
        <w:t>Risk assessment and credit ratings</w:t>
      </w:r>
      <w:r w:rsidRPr="0041076E">
        <w:t>: Credit ratings are obtained and monitored by the Authority’s treasury staff, who will notify changes in ratings as they occur. Where an entity has its credit rating downgraded so that it fails to meet the approved investment criteria then:</w:t>
      </w:r>
    </w:p>
    <w:p w14:paraId="36898830" w14:textId="77777777" w:rsidR="007E570A" w:rsidRPr="0041076E" w:rsidRDefault="007E570A" w:rsidP="00191AA6">
      <w:pPr>
        <w:pStyle w:val="ListParagraph"/>
        <w:numPr>
          <w:ilvl w:val="0"/>
          <w:numId w:val="3"/>
        </w:numPr>
        <w:spacing w:after="240" w:line="276" w:lineRule="auto"/>
        <w:ind w:left="851" w:hanging="352"/>
        <w:contextualSpacing/>
        <w:jc w:val="both"/>
      </w:pPr>
      <w:r w:rsidRPr="0041076E">
        <w:t>no new investments will be made,</w:t>
      </w:r>
    </w:p>
    <w:p w14:paraId="553A5C93" w14:textId="77777777" w:rsidR="007E570A" w:rsidRPr="0041076E" w:rsidRDefault="007E570A" w:rsidP="00191AA6">
      <w:pPr>
        <w:pStyle w:val="ListParagraph"/>
        <w:numPr>
          <w:ilvl w:val="0"/>
          <w:numId w:val="3"/>
        </w:numPr>
        <w:spacing w:after="240" w:line="276" w:lineRule="auto"/>
        <w:ind w:left="851" w:hanging="352"/>
        <w:contextualSpacing/>
        <w:jc w:val="both"/>
      </w:pPr>
      <w:r w:rsidRPr="0041076E">
        <w:t>any existing investments that can be recalled or sold at no cost will be, and</w:t>
      </w:r>
    </w:p>
    <w:p w14:paraId="3AFE43A7" w14:textId="77777777" w:rsidR="007E570A" w:rsidRPr="0041076E" w:rsidRDefault="007E570A" w:rsidP="00191AA6">
      <w:pPr>
        <w:pStyle w:val="ListParagraph"/>
        <w:numPr>
          <w:ilvl w:val="0"/>
          <w:numId w:val="3"/>
        </w:numPr>
        <w:spacing w:after="240" w:line="276" w:lineRule="auto"/>
        <w:ind w:left="851" w:hanging="349"/>
        <w:jc w:val="both"/>
      </w:pPr>
      <w:r w:rsidRPr="0041076E">
        <w:t>full consideration will be given to the recall or sale of all other existing investments with the affected counterparty.</w:t>
      </w:r>
    </w:p>
    <w:p w14:paraId="39F462AD" w14:textId="7CD923B5" w:rsidR="00012E69" w:rsidRDefault="007E570A" w:rsidP="0004046D">
      <w:pPr>
        <w:pStyle w:val="ListParagraph"/>
        <w:spacing w:after="240"/>
        <w:ind w:left="426"/>
        <w:jc w:val="both"/>
      </w:pPr>
      <w:r w:rsidRPr="0041076E">
        <w:t>Where a credit rating agency announces that a credit rating is on review for possible downgrade (also known as “rating watch negative” or “credit watch negative”) so that it may fall below the approved rating criteria, then only investments that can be withdrawn on the next working day will be made with that organisation until the outcome of the review is announced.  This policy will not apply to negative outlooks, which indicate a long-term direction of travel rather than an imminent change of rating.</w:t>
      </w:r>
    </w:p>
    <w:p w14:paraId="6159A115" w14:textId="1816B397" w:rsidR="007E570A" w:rsidRPr="0041076E" w:rsidRDefault="007E570A" w:rsidP="00C70D42">
      <w:pPr>
        <w:pStyle w:val="ListParagraph"/>
        <w:spacing w:after="240"/>
        <w:ind w:left="426"/>
        <w:jc w:val="both"/>
      </w:pPr>
      <w:r w:rsidRPr="0041076E">
        <w:rPr>
          <w:b/>
        </w:rPr>
        <w:t>Other information on the security of investments</w:t>
      </w:r>
      <w:r w:rsidRPr="0041076E">
        <w:t>: The Authority understands that credit ratings are good, but not perfect, predictors of investment default. Full regard will therefore be given to other available information on the credit quality of the organisations in which it invests, including credit default swap prices, financial statements, information on potential government support, reports in the quality financial press and analysis and advice from the Authority’s treasury management adviser.  No investments will be made with an organisation if there are substantive doubts about its credit quality, even though it may otherwise meet the above criteria.</w:t>
      </w:r>
    </w:p>
    <w:p w14:paraId="46858B61" w14:textId="77777777" w:rsidR="007E570A" w:rsidRDefault="007E570A" w:rsidP="00C70D42">
      <w:pPr>
        <w:pStyle w:val="ListParagraph"/>
        <w:spacing w:after="240"/>
        <w:ind w:left="426"/>
        <w:jc w:val="both"/>
      </w:pPr>
      <w:r w:rsidRPr="0041076E">
        <w:t>When deteriorating financial market conditions affect the creditworthiness of all organisations, as happened in 2008 and 20</w:t>
      </w:r>
      <w:r>
        <w:t>20</w:t>
      </w:r>
      <w:r w:rsidRPr="0041076E">
        <w:t xml:space="preserve">, this is not generally reflected in credit ratings, but can be seen in other market measures. In these circumstances, the Authority will restrict its investments to those organisations of higher credit quality and reduce the maximum duration of its investments to maintain the required level of security. The extent of these restrictions will be in line with prevailing financial market conditions. If these restrictions mean that insufficient commercial organisations of high credit quality are available to invest the Authority’s cash balances, then the surplus will be deposited with the UK Government via the Debt Management Office or invested in government treasury bills for example, or with other local authorities.  This will cause </w:t>
      </w:r>
      <w:r>
        <w:t xml:space="preserve">investment returns to fall </w:t>
      </w:r>
      <w:r w:rsidRPr="0041076E">
        <w:t>but will protect the principal sum invested.</w:t>
      </w:r>
    </w:p>
    <w:p w14:paraId="42CCF7FF" w14:textId="77777777" w:rsidR="00535832" w:rsidRPr="0041076E" w:rsidRDefault="00535832" w:rsidP="00C70D42">
      <w:pPr>
        <w:pStyle w:val="ListParagraph"/>
        <w:spacing w:after="240"/>
        <w:ind w:left="426"/>
        <w:jc w:val="both"/>
      </w:pPr>
    </w:p>
    <w:p w14:paraId="4740C24B" w14:textId="3082E01A" w:rsidR="007E570A" w:rsidRDefault="007E570A" w:rsidP="00C70D42">
      <w:pPr>
        <w:spacing w:after="240"/>
        <w:ind w:left="426"/>
        <w:jc w:val="both"/>
      </w:pPr>
      <w:r w:rsidRPr="001D023C">
        <w:rPr>
          <w:b/>
        </w:rPr>
        <w:lastRenderedPageBreak/>
        <w:t>Investment limits</w:t>
      </w:r>
      <w:r w:rsidRPr="001D023C">
        <w:t xml:space="preserve">: The Authority’s revenue reserves available to </w:t>
      </w:r>
      <w:r w:rsidRPr="00E9702F">
        <w:t>cover investment losses are</w:t>
      </w:r>
      <w:r w:rsidR="003A745C" w:rsidRPr="00E9702F">
        <w:t xml:space="preserve"> expected to be</w:t>
      </w:r>
      <w:r w:rsidRPr="00E9702F">
        <w:t xml:space="preserve"> £</w:t>
      </w:r>
      <w:r w:rsidR="00DB1320" w:rsidRPr="00E9702F">
        <w:t>8.4</w:t>
      </w:r>
      <w:r w:rsidRPr="00E9702F">
        <w:t xml:space="preserve"> million at 31</w:t>
      </w:r>
      <w:r w:rsidRPr="00E9702F">
        <w:rPr>
          <w:vertAlign w:val="superscript"/>
        </w:rPr>
        <w:t>st</w:t>
      </w:r>
      <w:r w:rsidRPr="00E9702F">
        <w:t xml:space="preserve"> March 202</w:t>
      </w:r>
      <w:r w:rsidR="00DB1320" w:rsidRPr="00E9702F">
        <w:t>4</w:t>
      </w:r>
      <w:r w:rsidR="00215F29" w:rsidRPr="00E9702F">
        <w:t xml:space="preserve"> and £</w:t>
      </w:r>
      <w:r w:rsidR="00E9702F" w:rsidRPr="00E9702F">
        <w:t>7.1</w:t>
      </w:r>
      <w:r w:rsidR="00215F29" w:rsidRPr="00E9702F">
        <w:t xml:space="preserve"> million at 31</w:t>
      </w:r>
      <w:r w:rsidR="00215F29" w:rsidRPr="00E9702F">
        <w:rPr>
          <w:vertAlign w:val="superscript"/>
        </w:rPr>
        <w:t>st</w:t>
      </w:r>
      <w:r w:rsidR="00215F29" w:rsidRPr="00E9702F">
        <w:t xml:space="preserve"> March 202</w:t>
      </w:r>
      <w:r w:rsidR="00E9702F" w:rsidRPr="00E9702F">
        <w:t>5</w:t>
      </w:r>
      <w:r w:rsidRPr="00E9702F">
        <w:t>, being</w:t>
      </w:r>
      <w:r w:rsidRPr="001D023C">
        <w:t xml:space="preserve"> General plus Earmarked </w:t>
      </w:r>
      <w:r w:rsidR="00FE69EA">
        <w:t>R</w:t>
      </w:r>
      <w:r w:rsidRPr="001D023C">
        <w:t xml:space="preserve">eserves. </w:t>
      </w:r>
      <w:r w:rsidR="00B44F40">
        <w:t xml:space="preserve">To </w:t>
      </w:r>
      <w:r w:rsidR="00B25FA6">
        <w:t>minimise</w:t>
      </w:r>
      <w:r w:rsidR="00B44F40">
        <w:t xml:space="preserve"> over-exposure</w:t>
      </w:r>
      <w:r w:rsidR="00B25FA6">
        <w:t>,</w:t>
      </w:r>
      <w:r w:rsidRPr="001D023C">
        <w:t xml:space="preserve"> the maximum that will be lent to any one organisation (other than the UK Government) will be £</w:t>
      </w:r>
      <w:r w:rsidR="008F0ABE">
        <w:t xml:space="preserve">3 </w:t>
      </w:r>
      <w:r w:rsidRPr="001D023C">
        <w:t>million</w:t>
      </w:r>
      <w:r w:rsidR="00E31FCE">
        <w:t xml:space="preserve"> for 2024/25</w:t>
      </w:r>
      <w:r w:rsidRPr="001D023C">
        <w:t>.  A group</w:t>
      </w:r>
      <w:r w:rsidRPr="0041076E">
        <w:t xml:space="preserve"> of </w:t>
      </w:r>
      <w:r>
        <w:t xml:space="preserve">entities </w:t>
      </w:r>
      <w:r w:rsidRPr="0041076E">
        <w:t xml:space="preserve">under the same ownership will be treated as a single organisation for limit purposes. </w:t>
      </w:r>
    </w:p>
    <w:p w14:paraId="2D6F76E3" w14:textId="16456566" w:rsidR="00816912" w:rsidRPr="00DA5DA1" w:rsidRDefault="007E570A" w:rsidP="00C70D42">
      <w:pPr>
        <w:spacing w:after="240"/>
        <w:ind w:left="426"/>
        <w:jc w:val="both"/>
      </w:pPr>
      <w:r w:rsidRPr="0041076E">
        <w:t xml:space="preserve">Limits </w:t>
      </w:r>
      <w:r>
        <w:t>are</w:t>
      </w:r>
      <w:r w:rsidRPr="0041076E">
        <w:t xml:space="preserve"> also placed on fund managers, investments in brokers’ nominee accounts, foreign </w:t>
      </w:r>
      <w:r w:rsidR="002215E3" w:rsidRPr="0041076E">
        <w:t>countries,</w:t>
      </w:r>
      <w:r w:rsidRPr="0041076E">
        <w:t xml:space="preserve"> and industry sectors as below. Investments in pooled funds and multilateral development banks do not count against the limit for any single foreign </w:t>
      </w:r>
      <w:r w:rsidR="002215E3" w:rsidRPr="0041076E">
        <w:t>country since</w:t>
      </w:r>
      <w:r w:rsidRPr="0041076E">
        <w:t xml:space="preserve"> the risk is diversified over many countries.</w:t>
      </w:r>
    </w:p>
    <w:p w14:paraId="217BD6F3" w14:textId="3A72E074" w:rsidR="007E570A" w:rsidRPr="00711110" w:rsidRDefault="007E570A" w:rsidP="00C70D42">
      <w:pPr>
        <w:spacing w:after="120"/>
        <w:ind w:left="426"/>
        <w:rPr>
          <w:b/>
          <w:bCs/>
        </w:rPr>
      </w:pPr>
      <w:r w:rsidRPr="00711110">
        <w:rPr>
          <w:b/>
          <w:bCs/>
        </w:rPr>
        <w:t>Table 5: Investment limits</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0"/>
        <w:gridCol w:w="2693"/>
      </w:tblGrid>
      <w:tr w:rsidR="007E570A" w:rsidRPr="00224E32" w14:paraId="14F9DA2C" w14:textId="77777777" w:rsidTr="000721AA">
        <w:trPr>
          <w:trHeight w:val="340"/>
        </w:trPr>
        <w:tc>
          <w:tcPr>
            <w:tcW w:w="5670" w:type="dxa"/>
            <w:shd w:val="clear" w:color="auto" w:fill="BDD6EE" w:themeFill="accent5" w:themeFillTint="66"/>
            <w:vAlign w:val="center"/>
          </w:tcPr>
          <w:p w14:paraId="26F1EDBD" w14:textId="3BC839BA" w:rsidR="007E570A" w:rsidRPr="00D6744D" w:rsidRDefault="00A16071" w:rsidP="00C70D42">
            <w:pPr>
              <w:pStyle w:val="ListParagraph"/>
              <w:ind w:left="426"/>
              <w:jc w:val="both"/>
              <w:rPr>
                <w:b/>
                <w:iCs/>
              </w:rPr>
            </w:pPr>
            <w:r>
              <w:rPr>
                <w:b/>
                <w:iCs/>
              </w:rPr>
              <w:t>Investment Type</w:t>
            </w:r>
          </w:p>
        </w:tc>
        <w:tc>
          <w:tcPr>
            <w:tcW w:w="2693" w:type="dxa"/>
            <w:shd w:val="clear" w:color="auto" w:fill="BDD6EE" w:themeFill="accent5" w:themeFillTint="66"/>
            <w:vAlign w:val="center"/>
          </w:tcPr>
          <w:p w14:paraId="2A3A2DC0" w14:textId="77777777" w:rsidR="007E570A" w:rsidRPr="00D6744D" w:rsidRDefault="007E570A" w:rsidP="00C70D42">
            <w:pPr>
              <w:pStyle w:val="ListParagraph"/>
              <w:ind w:left="426"/>
              <w:jc w:val="both"/>
              <w:rPr>
                <w:b/>
                <w:iCs/>
              </w:rPr>
            </w:pPr>
            <w:r w:rsidRPr="00D6744D">
              <w:rPr>
                <w:b/>
                <w:iCs/>
              </w:rPr>
              <w:t>Cash limit</w:t>
            </w:r>
          </w:p>
        </w:tc>
      </w:tr>
      <w:tr w:rsidR="007E570A" w:rsidRPr="00224E32" w14:paraId="46B2DC3A" w14:textId="77777777" w:rsidTr="000721AA">
        <w:trPr>
          <w:trHeight w:val="340"/>
        </w:trPr>
        <w:tc>
          <w:tcPr>
            <w:tcW w:w="5670" w:type="dxa"/>
            <w:shd w:val="clear" w:color="auto" w:fill="auto"/>
            <w:vAlign w:val="center"/>
          </w:tcPr>
          <w:p w14:paraId="50337F08" w14:textId="77777777" w:rsidR="007E570A" w:rsidRPr="00D6744D" w:rsidRDefault="007E570A" w:rsidP="00C70D42">
            <w:pPr>
              <w:pStyle w:val="ListParagraph"/>
              <w:ind w:left="426"/>
              <w:jc w:val="both"/>
              <w:rPr>
                <w:iCs/>
              </w:rPr>
            </w:pPr>
            <w:r w:rsidRPr="00D6744D">
              <w:rPr>
                <w:iCs/>
              </w:rPr>
              <w:t>Any group of pooled funds under the same management</w:t>
            </w:r>
          </w:p>
        </w:tc>
        <w:tc>
          <w:tcPr>
            <w:tcW w:w="2693" w:type="dxa"/>
            <w:shd w:val="clear" w:color="auto" w:fill="auto"/>
            <w:vAlign w:val="center"/>
          </w:tcPr>
          <w:p w14:paraId="629D46D2" w14:textId="77777777" w:rsidR="007E570A" w:rsidRPr="00F12F76" w:rsidRDefault="007E570A" w:rsidP="00C70D42">
            <w:pPr>
              <w:ind w:left="426"/>
              <w:jc w:val="center"/>
              <w:rPr>
                <w:iCs/>
              </w:rPr>
            </w:pPr>
            <w:r w:rsidRPr="00F12F76">
              <w:rPr>
                <w:iCs/>
              </w:rPr>
              <w:t>£2m</w:t>
            </w:r>
            <w:r w:rsidRPr="00F12F76" w:rsidDel="00724B97">
              <w:rPr>
                <w:iCs/>
              </w:rPr>
              <w:t xml:space="preserve"> </w:t>
            </w:r>
            <w:r w:rsidRPr="00F12F76">
              <w:rPr>
                <w:iCs/>
              </w:rPr>
              <w:t>per manager</w:t>
            </w:r>
          </w:p>
        </w:tc>
      </w:tr>
      <w:tr w:rsidR="007E570A" w:rsidRPr="00224E32" w14:paraId="19C14049" w14:textId="77777777" w:rsidTr="000721AA">
        <w:trPr>
          <w:trHeight w:val="340"/>
        </w:trPr>
        <w:tc>
          <w:tcPr>
            <w:tcW w:w="5670" w:type="dxa"/>
            <w:shd w:val="clear" w:color="auto" w:fill="auto"/>
            <w:vAlign w:val="center"/>
          </w:tcPr>
          <w:p w14:paraId="56B77329" w14:textId="77777777" w:rsidR="007E570A" w:rsidRPr="00D6744D" w:rsidRDefault="007E570A" w:rsidP="00C70D42">
            <w:pPr>
              <w:pStyle w:val="ListParagraph"/>
              <w:ind w:left="426"/>
              <w:jc w:val="both"/>
              <w:rPr>
                <w:iCs/>
              </w:rPr>
            </w:pPr>
            <w:r w:rsidRPr="00D6744D">
              <w:rPr>
                <w:iCs/>
              </w:rPr>
              <w:t>Negotiable instruments held in a broker’s nominee account</w:t>
            </w:r>
          </w:p>
        </w:tc>
        <w:tc>
          <w:tcPr>
            <w:tcW w:w="2693" w:type="dxa"/>
            <w:shd w:val="clear" w:color="auto" w:fill="auto"/>
            <w:vAlign w:val="center"/>
          </w:tcPr>
          <w:p w14:paraId="56C9E0C8" w14:textId="77777777" w:rsidR="007E570A" w:rsidRPr="00F12F76" w:rsidRDefault="007E570A" w:rsidP="00C70D42">
            <w:pPr>
              <w:ind w:left="426"/>
              <w:jc w:val="center"/>
              <w:rPr>
                <w:iCs/>
              </w:rPr>
            </w:pPr>
            <w:r w:rsidRPr="00F12F76">
              <w:rPr>
                <w:iCs/>
              </w:rPr>
              <w:t>£2m per broker</w:t>
            </w:r>
          </w:p>
        </w:tc>
      </w:tr>
      <w:tr w:rsidR="007E570A" w:rsidRPr="00224E32" w14:paraId="37ED1564" w14:textId="77777777" w:rsidTr="000721AA">
        <w:trPr>
          <w:trHeight w:val="340"/>
        </w:trPr>
        <w:tc>
          <w:tcPr>
            <w:tcW w:w="5670" w:type="dxa"/>
            <w:shd w:val="clear" w:color="auto" w:fill="auto"/>
            <w:vAlign w:val="center"/>
          </w:tcPr>
          <w:p w14:paraId="25CBEC04" w14:textId="77777777" w:rsidR="007E570A" w:rsidRPr="00D6744D" w:rsidRDefault="007E570A" w:rsidP="00C70D42">
            <w:pPr>
              <w:pStyle w:val="ListParagraph"/>
              <w:ind w:left="426"/>
              <w:jc w:val="both"/>
              <w:rPr>
                <w:iCs/>
              </w:rPr>
            </w:pPr>
            <w:r w:rsidRPr="00D6744D">
              <w:rPr>
                <w:iCs/>
              </w:rPr>
              <w:t>Foreign countries</w:t>
            </w:r>
          </w:p>
        </w:tc>
        <w:tc>
          <w:tcPr>
            <w:tcW w:w="2693" w:type="dxa"/>
            <w:shd w:val="clear" w:color="auto" w:fill="auto"/>
            <w:vAlign w:val="center"/>
          </w:tcPr>
          <w:p w14:paraId="1B2A1179" w14:textId="77777777" w:rsidR="007E570A" w:rsidRPr="00F12F76" w:rsidRDefault="007E570A" w:rsidP="00C70D42">
            <w:pPr>
              <w:ind w:left="426"/>
              <w:jc w:val="center"/>
              <w:rPr>
                <w:iCs/>
              </w:rPr>
            </w:pPr>
            <w:r w:rsidRPr="00F12F76">
              <w:rPr>
                <w:iCs/>
              </w:rPr>
              <w:t>£1m per country</w:t>
            </w:r>
          </w:p>
        </w:tc>
      </w:tr>
    </w:tbl>
    <w:p w14:paraId="6F4A9E4D" w14:textId="77777777" w:rsidR="00816912" w:rsidRDefault="00816912" w:rsidP="00C70D42">
      <w:pPr>
        <w:pStyle w:val="ListParagraph"/>
        <w:ind w:left="426"/>
        <w:jc w:val="both"/>
        <w:rPr>
          <w:b/>
        </w:rPr>
      </w:pPr>
    </w:p>
    <w:p w14:paraId="311F0F5D" w14:textId="774D4653" w:rsidR="007E570A" w:rsidRPr="002D122B" w:rsidRDefault="007E570A" w:rsidP="00C70D42">
      <w:pPr>
        <w:pStyle w:val="ListParagraph"/>
        <w:ind w:left="426"/>
        <w:jc w:val="both"/>
      </w:pPr>
      <w:r w:rsidRPr="0041076E">
        <w:rPr>
          <w:b/>
        </w:rPr>
        <w:t>Liquidity management</w:t>
      </w:r>
      <w:r w:rsidRPr="0041076E">
        <w:t xml:space="preserve">: The Authority uses Microsoft Excel spreadsheets for cash flow forecasting to determine the maximum period for which funds may prudently be committed.  The forecast is compiled on a prudent basis to minimise the risk of the Authority being forced to borrow on unfavourable terms to meet its </w:t>
      </w:r>
      <w:r w:rsidRPr="002D122B">
        <w:t xml:space="preserve">financial commitments. Limits on long-term investments are set by reference to the Authority’s medium-term financial </w:t>
      </w:r>
      <w:r w:rsidR="008B409C" w:rsidRPr="002D122B">
        <w:t>strategy</w:t>
      </w:r>
      <w:r w:rsidRPr="002D122B">
        <w:t xml:space="preserve"> and cash flow forecast.</w:t>
      </w:r>
    </w:p>
    <w:p w14:paraId="3748E66D" w14:textId="77777777" w:rsidR="008F494B" w:rsidRPr="002D122B" w:rsidRDefault="008F494B" w:rsidP="00C70D42">
      <w:pPr>
        <w:pStyle w:val="ListParagraph"/>
        <w:ind w:left="426"/>
        <w:jc w:val="both"/>
      </w:pPr>
    </w:p>
    <w:p w14:paraId="414CD133" w14:textId="74DA255E" w:rsidR="008F494B" w:rsidRPr="008F494B" w:rsidRDefault="008F494B" w:rsidP="008F494B">
      <w:pPr>
        <w:pStyle w:val="ListParagraph"/>
        <w:ind w:left="426"/>
        <w:rPr>
          <w:b/>
        </w:rPr>
      </w:pPr>
      <w:r w:rsidRPr="002D122B">
        <w:t xml:space="preserve">The Authority will spread its liquid cash over at least </w:t>
      </w:r>
      <w:r w:rsidRPr="002D122B">
        <w:rPr>
          <w:bCs/>
        </w:rPr>
        <w:t>four</w:t>
      </w:r>
      <w:r w:rsidRPr="002D122B">
        <w:t xml:space="preserve"> providers (</w:t>
      </w:r>
      <w:r w:rsidR="004E6BDD" w:rsidRPr="002D122B">
        <w:t>e.g.,</w:t>
      </w:r>
      <w:r w:rsidRPr="002D122B">
        <w:t xml:space="preserve"> bank accounts and money market funds) to ensure that access to cash is maintained in the event of operational difficulties at any one provider.</w:t>
      </w:r>
    </w:p>
    <w:p w14:paraId="3D67E78B" w14:textId="77777777" w:rsidR="008F494B" w:rsidRDefault="008F494B" w:rsidP="00C70D42">
      <w:pPr>
        <w:pStyle w:val="ListParagraph"/>
        <w:ind w:left="426"/>
        <w:jc w:val="both"/>
      </w:pPr>
    </w:p>
    <w:p w14:paraId="7CB5DDAE" w14:textId="77777777" w:rsidR="00606DB5" w:rsidRDefault="00606DB5" w:rsidP="00606DB5"/>
    <w:p w14:paraId="5CAB8908" w14:textId="77777777" w:rsidR="004E6BDD" w:rsidRDefault="004E6BDD" w:rsidP="00606DB5"/>
    <w:p w14:paraId="26EA2F81" w14:textId="77777777" w:rsidR="004E6BDD" w:rsidRDefault="004E6BDD" w:rsidP="00606DB5"/>
    <w:p w14:paraId="3C505554" w14:textId="77777777" w:rsidR="004E6BDD" w:rsidRDefault="004E6BDD" w:rsidP="00606DB5"/>
    <w:p w14:paraId="4C6A889C" w14:textId="77777777" w:rsidR="004E6BDD" w:rsidRDefault="004E6BDD" w:rsidP="00606DB5"/>
    <w:p w14:paraId="7922A888" w14:textId="77777777" w:rsidR="004E6BDD" w:rsidRDefault="004E6BDD" w:rsidP="00606DB5"/>
    <w:p w14:paraId="71EBB9D1" w14:textId="77777777" w:rsidR="004E6BDD" w:rsidRDefault="004E6BDD" w:rsidP="00606DB5"/>
    <w:p w14:paraId="5FBCDF34" w14:textId="3FAB4DFE" w:rsidR="006E2585" w:rsidRDefault="00606DB5" w:rsidP="006E2585">
      <w:pPr>
        <w:pStyle w:val="ListParagraph"/>
        <w:ind w:left="426"/>
        <w:jc w:val="both"/>
      </w:pPr>
      <w:r>
        <w:rPr>
          <w:b/>
        </w:rPr>
        <w:lastRenderedPageBreak/>
        <w:t xml:space="preserve">MiFID </w:t>
      </w:r>
      <w:r w:rsidR="00595D8C">
        <w:rPr>
          <w:b/>
        </w:rPr>
        <w:t>II</w:t>
      </w:r>
      <w:r w:rsidR="00557372">
        <w:rPr>
          <w:b/>
        </w:rPr>
        <w:t xml:space="preserve"> </w:t>
      </w:r>
      <w:r w:rsidR="003470BC">
        <w:rPr>
          <w:b/>
        </w:rPr>
        <w:t>Compliance</w:t>
      </w:r>
      <w:r w:rsidRPr="0041076E">
        <w:t xml:space="preserve">: </w:t>
      </w:r>
      <w:r w:rsidR="00C503FB" w:rsidRPr="00C503FB">
        <w:t>MiFID II is an EU regulatory framework designed to regulate financial markets and improve protections for investors. MiFID II aims to standardise practices throughout the EU and brings a larger number of firms under the supervision of an EU financial regulator</w:t>
      </w:r>
      <w:r w:rsidR="00FF7B39">
        <w:t xml:space="preserve">. </w:t>
      </w:r>
      <w:r w:rsidR="00D57ED9">
        <w:t xml:space="preserve">Local authorities are categorised as either “Retailer” or “Professional” investors – </w:t>
      </w:r>
      <w:r w:rsidR="00C8181B">
        <w:t xml:space="preserve">this categorisation give Local Authorities access to certain types of investments. </w:t>
      </w:r>
      <w:proofErr w:type="gramStart"/>
      <w:r w:rsidR="00C8181B">
        <w:t>In order to</w:t>
      </w:r>
      <w:proofErr w:type="gramEnd"/>
      <w:r w:rsidR="00C8181B">
        <w:t xml:space="preserve"> </w:t>
      </w:r>
      <w:r w:rsidR="00FB27E0">
        <w:t>qualify as “Professional”</w:t>
      </w:r>
      <w:r w:rsidR="006E2585">
        <w:t>, Local Authorities must meet the following criteria:</w:t>
      </w:r>
    </w:p>
    <w:p w14:paraId="3516D029" w14:textId="7F234161" w:rsidR="006E2585" w:rsidRPr="00595D7A" w:rsidRDefault="00B30656" w:rsidP="00B30656">
      <w:pPr>
        <w:pStyle w:val="ListParagraph"/>
        <w:numPr>
          <w:ilvl w:val="0"/>
          <w:numId w:val="17"/>
        </w:numPr>
        <w:jc w:val="both"/>
      </w:pPr>
      <w:r>
        <w:rPr>
          <w:bCs/>
        </w:rPr>
        <w:t xml:space="preserve">financial instrument portfolio including cash deposits and </w:t>
      </w:r>
      <w:r w:rsidR="00CF4043">
        <w:rPr>
          <w:bCs/>
        </w:rPr>
        <w:t>investments, must exceed £10</w:t>
      </w:r>
      <w:r w:rsidR="003470BC">
        <w:rPr>
          <w:bCs/>
        </w:rPr>
        <w:t>m</w:t>
      </w:r>
      <w:r w:rsidR="00595D7A">
        <w:rPr>
          <w:bCs/>
        </w:rPr>
        <w:t>;</w:t>
      </w:r>
    </w:p>
    <w:p w14:paraId="457EE59A" w14:textId="3D9C425D" w:rsidR="00595D7A" w:rsidRDefault="00595D7A" w:rsidP="00595D7A">
      <w:pPr>
        <w:pStyle w:val="ListParagraph"/>
        <w:ind w:left="786"/>
        <w:jc w:val="both"/>
        <w:rPr>
          <w:bCs/>
        </w:rPr>
      </w:pPr>
      <w:r>
        <w:rPr>
          <w:bCs/>
        </w:rPr>
        <w:t>AND, either:</w:t>
      </w:r>
    </w:p>
    <w:p w14:paraId="6A250B84" w14:textId="78E776F7" w:rsidR="00595D7A" w:rsidRDefault="00595D7A" w:rsidP="00595D7A">
      <w:pPr>
        <w:pStyle w:val="ListParagraph"/>
        <w:numPr>
          <w:ilvl w:val="0"/>
          <w:numId w:val="17"/>
        </w:numPr>
        <w:jc w:val="both"/>
      </w:pPr>
      <w:r>
        <w:t xml:space="preserve">engage in investment transactions </w:t>
      </w:r>
      <w:r w:rsidR="00C0080D">
        <w:t>on average ten times per quarter, over the previous four quarters; OR</w:t>
      </w:r>
    </w:p>
    <w:p w14:paraId="40293C48" w14:textId="1F50A58B" w:rsidR="00C0080D" w:rsidRDefault="00C0080D" w:rsidP="00595D7A">
      <w:pPr>
        <w:pStyle w:val="ListParagraph"/>
        <w:numPr>
          <w:ilvl w:val="0"/>
          <w:numId w:val="17"/>
        </w:numPr>
        <w:jc w:val="both"/>
      </w:pPr>
      <w:r>
        <w:t>the authorised person to carry out transactions has worked in the financial sector</w:t>
      </w:r>
      <w:r w:rsidR="00FE7584">
        <w:t xml:space="preserve"> for at least one year in a professional capacity; OR</w:t>
      </w:r>
    </w:p>
    <w:p w14:paraId="55F1437C" w14:textId="77777777" w:rsidR="00606DB5" w:rsidRDefault="00606DB5" w:rsidP="00606DB5"/>
    <w:p w14:paraId="56B63ED7" w14:textId="533AC1D8" w:rsidR="00680551" w:rsidRDefault="003470BC" w:rsidP="003470BC">
      <w:pPr>
        <w:ind w:left="426"/>
      </w:pPr>
      <w:r>
        <w:t>The Authority held more than £10m in cash and investments of the previous twelve months, and</w:t>
      </w:r>
      <w:r w:rsidR="004D5888">
        <w:t xml:space="preserve"> members of the finance team hold professional qualifications with sufficient experience in financial services. Furthermore, the Authority</w:t>
      </w:r>
      <w:r>
        <w:t xml:space="preserve"> </w:t>
      </w:r>
      <w:r w:rsidR="000B7089">
        <w:t>has engaged with professional</w:t>
      </w:r>
      <w:r w:rsidR="004D5888">
        <w:t xml:space="preserve"> treasury management advisors</w:t>
      </w:r>
      <w:r w:rsidR="000B7089">
        <w:t xml:space="preserve"> Arlingclose</w:t>
      </w:r>
      <w:r w:rsidR="004D5888">
        <w:t xml:space="preserve"> for additional support. </w:t>
      </w:r>
    </w:p>
    <w:p w14:paraId="69240CFD" w14:textId="77777777" w:rsidR="00924C73" w:rsidRDefault="00924C73" w:rsidP="003470BC">
      <w:pPr>
        <w:ind w:left="426"/>
      </w:pPr>
    </w:p>
    <w:p w14:paraId="7C4F14BE" w14:textId="28959E77" w:rsidR="009914E6" w:rsidRDefault="009914E6" w:rsidP="003470BC">
      <w:pPr>
        <w:ind w:left="426"/>
      </w:pPr>
      <w:r>
        <w:t>The implications of dropping to ‘Retail’ status are:</w:t>
      </w:r>
    </w:p>
    <w:p w14:paraId="0B81E7B9" w14:textId="77777777" w:rsidR="00A07107" w:rsidRDefault="00A07107" w:rsidP="003470BC">
      <w:pPr>
        <w:ind w:left="426"/>
      </w:pPr>
    </w:p>
    <w:p w14:paraId="227DE6F4" w14:textId="36E919C7" w:rsidR="007D13E4" w:rsidRDefault="00637D00" w:rsidP="009914E6">
      <w:pPr>
        <w:pStyle w:val="ListParagraph"/>
        <w:numPr>
          <w:ilvl w:val="0"/>
          <w:numId w:val="18"/>
        </w:numPr>
      </w:pPr>
      <w:r>
        <w:t>The Authority engages with In</w:t>
      </w:r>
      <w:r w:rsidR="00D90880">
        <w:t xml:space="preserve">stitutional Cash Distributors Limited </w:t>
      </w:r>
      <w:r w:rsidR="008F31C0">
        <w:t xml:space="preserve">(ICD) </w:t>
      </w:r>
      <w:r w:rsidR="00D90880">
        <w:t>as a broker for its money market fund investments. I</w:t>
      </w:r>
      <w:r w:rsidR="008F31C0">
        <w:t xml:space="preserve">f the Authority is downgraded to ‘Retail’ status through a reduction in cash, </w:t>
      </w:r>
      <w:r w:rsidR="009914E6">
        <w:t>ICD would no longer be able to trade on our behalf. This would create a</w:t>
      </w:r>
      <w:r w:rsidR="0086535B">
        <w:t>n administrative burden on the Finance team, as investments would need to be placed manually</w:t>
      </w:r>
      <w:r w:rsidR="00470D7B">
        <w:t>.</w:t>
      </w:r>
      <w:r w:rsidR="00322D4E">
        <w:t xml:space="preserve"> The Authority may lose access to certain types of investment an</w:t>
      </w:r>
      <w:r w:rsidR="0046091B">
        <w:t>d preferential returns.</w:t>
      </w:r>
    </w:p>
    <w:p w14:paraId="1A3FB08F" w14:textId="77777777" w:rsidR="00470D7B" w:rsidRDefault="00470D7B" w:rsidP="00470D7B"/>
    <w:p w14:paraId="2E819B2F" w14:textId="155127BA" w:rsidR="00470D7B" w:rsidRDefault="00470D7B" w:rsidP="00470D7B">
      <w:pPr>
        <w:pStyle w:val="ListParagraph"/>
        <w:numPr>
          <w:ilvl w:val="0"/>
          <w:numId w:val="18"/>
        </w:numPr>
      </w:pPr>
      <w:r>
        <w:t xml:space="preserve">The </w:t>
      </w:r>
      <w:r w:rsidR="0061646B">
        <w:t xml:space="preserve">PWLB have confirmed </w:t>
      </w:r>
      <w:r w:rsidR="00523251">
        <w:t>that dropping to ‘Retail’ status would not impact our ability to borrow</w:t>
      </w:r>
      <w:r w:rsidR="00322D4E">
        <w:t>.</w:t>
      </w:r>
    </w:p>
    <w:p w14:paraId="3A7A6C97" w14:textId="77777777" w:rsidR="00322D4E" w:rsidRDefault="00322D4E" w:rsidP="00322D4E">
      <w:pPr>
        <w:pStyle w:val="ListParagraph"/>
      </w:pPr>
    </w:p>
    <w:p w14:paraId="4D2C6062" w14:textId="52CBB76B" w:rsidR="00322D4E" w:rsidRDefault="00322D4E" w:rsidP="00322D4E">
      <w:pPr>
        <w:ind w:firstLine="426"/>
      </w:pPr>
      <w:r>
        <w:t xml:space="preserve">Therefore, the Authority will aim to maintain </w:t>
      </w:r>
      <w:r w:rsidR="0046091B">
        <w:t xml:space="preserve">compliance with MiFID II </w:t>
      </w:r>
      <w:r w:rsidR="00973B3E">
        <w:t>for 202</w:t>
      </w:r>
      <w:r w:rsidR="00164A30">
        <w:t>4</w:t>
      </w:r>
      <w:r w:rsidR="00973B3E">
        <w:t>/2</w:t>
      </w:r>
      <w:r w:rsidR="00884C7D">
        <w:t>5</w:t>
      </w:r>
      <w:r w:rsidR="0046091B">
        <w:t>.</w:t>
      </w:r>
    </w:p>
    <w:p w14:paraId="1FACF282" w14:textId="77777777" w:rsidR="004E6BDD" w:rsidRDefault="004E6BDD" w:rsidP="00322D4E">
      <w:pPr>
        <w:ind w:firstLine="426"/>
      </w:pPr>
    </w:p>
    <w:p w14:paraId="5AA18639" w14:textId="77777777" w:rsidR="004E6BDD" w:rsidRDefault="004E6BDD" w:rsidP="00322D4E">
      <w:pPr>
        <w:ind w:firstLine="426"/>
      </w:pPr>
    </w:p>
    <w:p w14:paraId="01B03456" w14:textId="77777777" w:rsidR="004E6BDD" w:rsidRDefault="004E6BDD" w:rsidP="00322D4E">
      <w:pPr>
        <w:ind w:firstLine="426"/>
      </w:pPr>
    </w:p>
    <w:p w14:paraId="76635747" w14:textId="77777777" w:rsidR="004E6BDD" w:rsidRDefault="004E6BDD" w:rsidP="00322D4E">
      <w:pPr>
        <w:ind w:firstLine="426"/>
      </w:pPr>
    </w:p>
    <w:p w14:paraId="2860D7F5" w14:textId="77777777" w:rsidR="004E6BDD" w:rsidRDefault="004E6BDD" w:rsidP="00322D4E">
      <w:pPr>
        <w:ind w:firstLine="426"/>
      </w:pPr>
    </w:p>
    <w:p w14:paraId="6E41E977" w14:textId="77777777" w:rsidR="004E6BDD" w:rsidRDefault="004E6BDD" w:rsidP="00322D4E">
      <w:pPr>
        <w:ind w:firstLine="426"/>
      </w:pPr>
    </w:p>
    <w:p w14:paraId="4C82555F" w14:textId="77777777" w:rsidR="00D90880" w:rsidRDefault="00D90880" w:rsidP="004B0B56">
      <w:pPr>
        <w:ind w:left="426"/>
      </w:pPr>
    </w:p>
    <w:p w14:paraId="319388CD" w14:textId="77777777" w:rsidR="004B0B56" w:rsidRPr="00606DB5" w:rsidRDefault="004B0B56" w:rsidP="00606DB5"/>
    <w:p w14:paraId="51454DCB" w14:textId="2EB3C2A7" w:rsidR="00CC3232" w:rsidRPr="00C70D42" w:rsidRDefault="00C70D42" w:rsidP="0004046D">
      <w:pPr>
        <w:pStyle w:val="Heading1"/>
        <w:numPr>
          <w:ilvl w:val="0"/>
          <w:numId w:val="16"/>
        </w:numPr>
        <w:spacing w:before="0" w:after="0"/>
        <w:ind w:left="426" w:hanging="426"/>
        <w:rPr>
          <w:rFonts w:asciiTheme="minorBidi" w:hAnsiTheme="minorBidi" w:cstheme="minorBidi"/>
          <w:sz w:val="28"/>
          <w:szCs w:val="28"/>
        </w:rPr>
      </w:pPr>
      <w:bookmarkStart w:id="12" w:name="_Toc73025263"/>
      <w:bookmarkStart w:id="13" w:name="_Toc158793248"/>
      <w:r>
        <w:rPr>
          <w:rFonts w:asciiTheme="minorBidi" w:hAnsiTheme="minorBidi" w:cstheme="minorBidi"/>
          <w:sz w:val="28"/>
          <w:szCs w:val="28"/>
        </w:rPr>
        <w:lastRenderedPageBreak/>
        <w:t>T</w:t>
      </w:r>
      <w:r w:rsidR="00CC3232" w:rsidRPr="00C70D42">
        <w:rPr>
          <w:rFonts w:asciiTheme="minorBidi" w:hAnsiTheme="minorBidi" w:cstheme="minorBidi"/>
          <w:sz w:val="28"/>
          <w:szCs w:val="28"/>
        </w:rPr>
        <w:t>reasury Management</w:t>
      </w:r>
      <w:r w:rsidR="00C153B1">
        <w:rPr>
          <w:rFonts w:asciiTheme="minorBidi" w:hAnsiTheme="minorBidi" w:cstheme="minorBidi"/>
          <w:sz w:val="28"/>
          <w:szCs w:val="28"/>
        </w:rPr>
        <w:t xml:space="preserve"> Prudential</w:t>
      </w:r>
      <w:r w:rsidR="00CC3232" w:rsidRPr="00C70D42">
        <w:rPr>
          <w:rFonts w:asciiTheme="minorBidi" w:hAnsiTheme="minorBidi" w:cstheme="minorBidi"/>
          <w:sz w:val="28"/>
          <w:szCs w:val="28"/>
        </w:rPr>
        <w:t xml:space="preserve"> Indicators</w:t>
      </w:r>
      <w:bookmarkEnd w:id="12"/>
      <w:bookmarkEnd w:id="13"/>
    </w:p>
    <w:p w14:paraId="364A1330" w14:textId="7B7B7F71" w:rsidR="00CC3232" w:rsidRDefault="00CC3232" w:rsidP="0004046D">
      <w:pPr>
        <w:spacing w:after="240"/>
        <w:ind w:left="426"/>
        <w:jc w:val="both"/>
        <w:rPr>
          <w:bCs/>
        </w:rPr>
      </w:pPr>
      <w:r>
        <w:rPr>
          <w:bCs/>
        </w:rPr>
        <w:br/>
      </w:r>
      <w:r w:rsidRPr="0041076E">
        <w:rPr>
          <w:bCs/>
        </w:rPr>
        <w:t>The Authority measures and manages its exposures to treasury management risks using the following indicators</w:t>
      </w:r>
      <w:r>
        <w:rPr>
          <w:bCs/>
        </w:rPr>
        <w:t>:</w:t>
      </w:r>
    </w:p>
    <w:tbl>
      <w:tblPr>
        <w:tblpPr w:leftFromText="180" w:rightFromText="180" w:vertAnchor="text" w:horzAnchor="margin" w:tblpXSpec="right" w:tblpY="-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21"/>
        <w:gridCol w:w="1773"/>
      </w:tblGrid>
      <w:tr w:rsidR="004E6BDD" w:rsidRPr="0041076E" w14:paraId="69D53A54" w14:textId="77777777" w:rsidTr="008116E9">
        <w:trPr>
          <w:trHeight w:val="340"/>
        </w:trPr>
        <w:tc>
          <w:tcPr>
            <w:tcW w:w="4621" w:type="dxa"/>
            <w:shd w:val="clear" w:color="auto" w:fill="B4C6E7" w:themeFill="accent1" w:themeFillTint="66"/>
            <w:vAlign w:val="center"/>
          </w:tcPr>
          <w:p w14:paraId="6F1E06D0" w14:textId="77777777" w:rsidR="004E6BDD" w:rsidRPr="0041076E" w:rsidRDefault="004E6BDD" w:rsidP="004E6BDD">
            <w:pPr>
              <w:spacing w:after="240"/>
              <w:rPr>
                <w:b/>
                <w:bCs/>
              </w:rPr>
            </w:pPr>
            <w:r w:rsidRPr="0041076E">
              <w:rPr>
                <w:b/>
                <w:bCs/>
              </w:rPr>
              <w:t>Credit risk indicator</w:t>
            </w:r>
          </w:p>
        </w:tc>
        <w:tc>
          <w:tcPr>
            <w:tcW w:w="1773" w:type="dxa"/>
            <w:shd w:val="clear" w:color="auto" w:fill="B4C6E7" w:themeFill="accent1" w:themeFillTint="66"/>
            <w:vAlign w:val="center"/>
          </w:tcPr>
          <w:p w14:paraId="6DF84E00" w14:textId="77777777" w:rsidR="004E6BDD" w:rsidRPr="0041076E" w:rsidRDefault="004E6BDD" w:rsidP="004E6BDD">
            <w:pPr>
              <w:spacing w:after="240"/>
              <w:jc w:val="center"/>
              <w:rPr>
                <w:b/>
                <w:bCs/>
              </w:rPr>
            </w:pPr>
            <w:r w:rsidRPr="0041076E">
              <w:rPr>
                <w:b/>
                <w:bCs/>
              </w:rPr>
              <w:t>Target</w:t>
            </w:r>
          </w:p>
        </w:tc>
      </w:tr>
      <w:tr w:rsidR="004E6BDD" w:rsidRPr="0041076E" w14:paraId="32EE6914" w14:textId="77777777" w:rsidTr="000721AA">
        <w:trPr>
          <w:trHeight w:val="740"/>
        </w:trPr>
        <w:tc>
          <w:tcPr>
            <w:tcW w:w="4621" w:type="dxa"/>
            <w:shd w:val="clear" w:color="auto" w:fill="auto"/>
            <w:vAlign w:val="center"/>
          </w:tcPr>
          <w:p w14:paraId="342B8ABF" w14:textId="561C5BAD" w:rsidR="004E6BDD" w:rsidRPr="0041076E" w:rsidRDefault="004E6BDD" w:rsidP="004E6BDD">
            <w:pPr>
              <w:spacing w:after="240"/>
              <w:rPr>
                <w:bCs/>
              </w:rPr>
            </w:pPr>
            <w:r w:rsidRPr="00803649">
              <w:rPr>
                <w:bCs/>
              </w:rPr>
              <w:t>Minimum credit rating</w:t>
            </w:r>
            <w:r w:rsidR="00206F2F">
              <w:rPr>
                <w:bCs/>
              </w:rPr>
              <w:t xml:space="preserve">, as per official </w:t>
            </w:r>
            <w:r w:rsidR="0023422B">
              <w:rPr>
                <w:bCs/>
              </w:rPr>
              <w:t>credit rating agency (Fitch/M</w:t>
            </w:r>
            <w:r w:rsidR="00D73983">
              <w:rPr>
                <w:bCs/>
              </w:rPr>
              <w:t>oody/S&amp;P)</w:t>
            </w:r>
          </w:p>
        </w:tc>
        <w:tc>
          <w:tcPr>
            <w:tcW w:w="1773" w:type="dxa"/>
            <w:shd w:val="clear" w:color="auto" w:fill="auto"/>
            <w:vAlign w:val="center"/>
          </w:tcPr>
          <w:p w14:paraId="0576A040" w14:textId="77777777" w:rsidR="004E6BDD" w:rsidRPr="0041076E" w:rsidRDefault="004E6BDD" w:rsidP="004E6BDD">
            <w:pPr>
              <w:spacing w:after="240"/>
              <w:jc w:val="center"/>
              <w:rPr>
                <w:bCs/>
                <w:color w:val="AF173B"/>
              </w:rPr>
            </w:pPr>
            <w:r w:rsidRPr="0041076E">
              <w:rPr>
                <w:bCs/>
              </w:rPr>
              <w:t>A</w:t>
            </w:r>
          </w:p>
        </w:tc>
      </w:tr>
    </w:tbl>
    <w:p w14:paraId="64126EED" w14:textId="1CC8CCFA" w:rsidR="00CC3232" w:rsidRPr="0041076E" w:rsidRDefault="00CC3232" w:rsidP="0004046D">
      <w:pPr>
        <w:spacing w:after="240"/>
        <w:ind w:left="426"/>
        <w:jc w:val="both"/>
        <w:rPr>
          <w:bCs/>
        </w:rPr>
      </w:pPr>
      <w:r w:rsidRPr="0041076E">
        <w:rPr>
          <w:b/>
          <w:bCs/>
        </w:rPr>
        <w:t xml:space="preserve">Security: </w:t>
      </w:r>
      <w:r w:rsidRPr="0041076E">
        <w:rPr>
          <w:bCs/>
        </w:rPr>
        <w:t>The Authority has adopted a voluntary measure of its exposure to credit risk by monitoring the credit rating of its investment portfolio</w:t>
      </w:r>
      <w:r w:rsidR="00024817">
        <w:rPr>
          <w:bCs/>
        </w:rPr>
        <w:t xml:space="preserve">. This </w:t>
      </w:r>
      <w:r w:rsidR="00A34D04">
        <w:rPr>
          <w:bCs/>
        </w:rPr>
        <w:t>is</w:t>
      </w:r>
      <w:r w:rsidR="00024817">
        <w:rPr>
          <w:bCs/>
        </w:rPr>
        <w:t xml:space="preserve"> reported in the Finance Pack </w:t>
      </w:r>
      <w:proofErr w:type="gramStart"/>
      <w:r w:rsidR="00024817">
        <w:rPr>
          <w:bCs/>
        </w:rPr>
        <w:t>on a monthly basis</w:t>
      </w:r>
      <w:proofErr w:type="gramEnd"/>
      <w:r w:rsidRPr="0041076E">
        <w:rPr>
          <w:bCs/>
        </w:rPr>
        <w:t xml:space="preserve">. </w:t>
      </w:r>
    </w:p>
    <w:p w14:paraId="53A4B513" w14:textId="6485588C" w:rsidR="003F56B1" w:rsidRPr="00C70D42" w:rsidRDefault="003F56B1" w:rsidP="0004046D">
      <w:pPr>
        <w:spacing w:before="240" w:after="240"/>
        <w:ind w:left="426"/>
        <w:jc w:val="both"/>
        <w:rPr>
          <w:bCs/>
        </w:rPr>
      </w:pPr>
      <w:r w:rsidRPr="00500F7A">
        <w:rPr>
          <w:bCs/>
        </w:rPr>
        <w:t>Should the average portfolio credit rating falls below this measure, the Police, Fire and Crime Commissioner will be notified</w:t>
      </w:r>
      <w:r w:rsidR="007755E3">
        <w:rPr>
          <w:bCs/>
        </w:rPr>
        <w:t>.</w:t>
      </w:r>
    </w:p>
    <w:tbl>
      <w:tblPr>
        <w:tblpPr w:leftFromText="180" w:rightFromText="180" w:vertAnchor="text" w:horzAnchor="margin" w:tblpXSpec="right" w:tblpY="-33"/>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21"/>
        <w:gridCol w:w="1773"/>
      </w:tblGrid>
      <w:tr w:rsidR="004E6BDD" w:rsidRPr="0041076E" w14:paraId="328C9DC6" w14:textId="77777777" w:rsidTr="008116E9">
        <w:trPr>
          <w:trHeight w:val="340"/>
        </w:trPr>
        <w:tc>
          <w:tcPr>
            <w:tcW w:w="4621" w:type="dxa"/>
            <w:shd w:val="clear" w:color="auto" w:fill="B4C6E7" w:themeFill="accent1" w:themeFillTint="66"/>
            <w:vAlign w:val="center"/>
          </w:tcPr>
          <w:p w14:paraId="17C4C5C7" w14:textId="77777777" w:rsidR="004E6BDD" w:rsidRPr="0041076E" w:rsidRDefault="004E6BDD" w:rsidP="004E6BDD">
            <w:pPr>
              <w:spacing w:after="240"/>
              <w:rPr>
                <w:bCs/>
              </w:rPr>
            </w:pPr>
            <w:r w:rsidRPr="0041076E">
              <w:rPr>
                <w:b/>
                <w:bCs/>
              </w:rPr>
              <w:t>Liquidity risk indicator</w:t>
            </w:r>
          </w:p>
        </w:tc>
        <w:tc>
          <w:tcPr>
            <w:tcW w:w="1773" w:type="dxa"/>
            <w:shd w:val="clear" w:color="auto" w:fill="B4C6E7" w:themeFill="accent1" w:themeFillTint="66"/>
            <w:vAlign w:val="center"/>
          </w:tcPr>
          <w:p w14:paraId="72E411D2" w14:textId="77777777" w:rsidR="004E6BDD" w:rsidRPr="0041076E" w:rsidRDefault="004E6BDD" w:rsidP="004E6BDD">
            <w:pPr>
              <w:spacing w:after="240"/>
              <w:jc w:val="center"/>
              <w:rPr>
                <w:b/>
                <w:bCs/>
              </w:rPr>
            </w:pPr>
            <w:r w:rsidRPr="0041076E">
              <w:rPr>
                <w:b/>
                <w:bCs/>
              </w:rPr>
              <w:t>Target</w:t>
            </w:r>
          </w:p>
        </w:tc>
      </w:tr>
      <w:tr w:rsidR="004E6BDD" w:rsidRPr="0041076E" w14:paraId="2F5CA22D" w14:textId="77777777" w:rsidTr="000721AA">
        <w:trPr>
          <w:trHeight w:val="748"/>
        </w:trPr>
        <w:tc>
          <w:tcPr>
            <w:tcW w:w="4621" w:type="dxa"/>
            <w:shd w:val="clear" w:color="auto" w:fill="auto"/>
            <w:vAlign w:val="center"/>
          </w:tcPr>
          <w:p w14:paraId="578D91C4" w14:textId="77777777" w:rsidR="004E6BDD" w:rsidRPr="0041076E" w:rsidRDefault="004E6BDD" w:rsidP="004E6BDD">
            <w:pPr>
              <w:spacing w:after="240"/>
              <w:rPr>
                <w:bCs/>
              </w:rPr>
            </w:pPr>
            <w:r w:rsidRPr="0041076E">
              <w:rPr>
                <w:bCs/>
              </w:rPr>
              <w:t>Total cash available within 3 months</w:t>
            </w:r>
          </w:p>
        </w:tc>
        <w:tc>
          <w:tcPr>
            <w:tcW w:w="1773" w:type="dxa"/>
            <w:shd w:val="clear" w:color="auto" w:fill="auto"/>
            <w:vAlign w:val="center"/>
          </w:tcPr>
          <w:p w14:paraId="6D1DE810" w14:textId="491A85E5" w:rsidR="004E6BDD" w:rsidRPr="0041076E" w:rsidRDefault="004E6BDD" w:rsidP="004E6BDD">
            <w:pPr>
              <w:spacing w:after="240"/>
              <w:jc w:val="center"/>
              <w:rPr>
                <w:bCs/>
                <w:color w:val="AF173B"/>
              </w:rPr>
            </w:pPr>
            <w:r w:rsidRPr="0041076E">
              <w:t>£</w:t>
            </w:r>
            <w:r w:rsidR="003455EC">
              <w:t>6</w:t>
            </w:r>
            <w:r w:rsidRPr="0041076E">
              <w:t>.</w:t>
            </w:r>
            <w:r w:rsidR="003455EC">
              <w:t>2</w:t>
            </w:r>
            <w:r w:rsidRPr="0041076E">
              <w:t>m</w:t>
            </w:r>
          </w:p>
        </w:tc>
      </w:tr>
    </w:tbl>
    <w:p w14:paraId="2C0975B5" w14:textId="5BF98358" w:rsidR="00CC3232" w:rsidRPr="0041076E" w:rsidRDefault="00CC3232" w:rsidP="0004046D">
      <w:pPr>
        <w:spacing w:after="240"/>
        <w:ind w:left="426"/>
        <w:jc w:val="both"/>
        <w:rPr>
          <w:bCs/>
        </w:rPr>
      </w:pPr>
      <w:r w:rsidRPr="0041076E">
        <w:rPr>
          <w:b/>
          <w:bCs/>
        </w:rPr>
        <w:t xml:space="preserve">Liquidity: </w:t>
      </w:r>
      <w:r w:rsidRPr="0041076E">
        <w:rPr>
          <w:bCs/>
        </w:rPr>
        <w:t>The Authority has adopted a voluntary measure of its exposure to liquidity risk by monitoring the amount of cash available to meet unexpected payments within a rolling three-month period, without additional borrowing.</w:t>
      </w:r>
      <w:r w:rsidR="00A34D04">
        <w:rPr>
          <w:bCs/>
        </w:rPr>
        <w:t xml:space="preserve"> This is reported in the Finance Pack </w:t>
      </w:r>
      <w:proofErr w:type="gramStart"/>
      <w:r w:rsidR="00A34D04">
        <w:rPr>
          <w:bCs/>
        </w:rPr>
        <w:t>on a monthly basis</w:t>
      </w:r>
      <w:proofErr w:type="gramEnd"/>
      <w:r w:rsidR="00A34D04" w:rsidRPr="0041076E">
        <w:rPr>
          <w:bCs/>
        </w:rPr>
        <w:t>.</w:t>
      </w:r>
    </w:p>
    <w:p w14:paraId="7A5F26BA" w14:textId="77777777" w:rsidR="00CC3232" w:rsidRPr="0041076E" w:rsidRDefault="00CC3232" w:rsidP="00C70D42">
      <w:pPr>
        <w:spacing w:after="240"/>
        <w:contextualSpacing/>
        <w:jc w:val="both"/>
        <w:rPr>
          <w:b/>
          <w:bCs/>
          <w:u w:val="single"/>
        </w:rPr>
      </w:pPr>
    </w:p>
    <w:p w14:paraId="344E3FCE" w14:textId="473BB828" w:rsidR="00CC3232" w:rsidRPr="0041076E" w:rsidRDefault="00CC3232" w:rsidP="0004046D">
      <w:pPr>
        <w:spacing w:after="240"/>
        <w:ind w:left="426"/>
        <w:jc w:val="both"/>
        <w:rPr>
          <w:bCs/>
        </w:rPr>
      </w:pPr>
      <w:r w:rsidRPr="0041076E">
        <w:rPr>
          <w:b/>
          <w:bCs/>
        </w:rPr>
        <w:t>Interest rate exposures</w:t>
      </w:r>
      <w:r w:rsidRPr="0041076E">
        <w:rPr>
          <w:bCs/>
        </w:rPr>
        <w:t>: This indicator is set to control the Authority’s exposure to interest rate risk.  The upper limits on the one-year revenue impact of a 1% rise or fall in interest rates will be:</w:t>
      </w:r>
    </w:p>
    <w:tbl>
      <w:tblPr>
        <w:tblW w:w="0" w:type="auto"/>
        <w:tblInd w:w="4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36"/>
        <w:gridCol w:w="1559"/>
      </w:tblGrid>
      <w:tr w:rsidR="00CC3232" w:rsidRPr="0041076E" w14:paraId="6FFAA035" w14:textId="77777777" w:rsidTr="008116E9">
        <w:trPr>
          <w:trHeight w:val="340"/>
        </w:trPr>
        <w:tc>
          <w:tcPr>
            <w:tcW w:w="6536" w:type="dxa"/>
            <w:shd w:val="clear" w:color="auto" w:fill="B4C6E7" w:themeFill="accent1" w:themeFillTint="66"/>
            <w:vAlign w:val="center"/>
          </w:tcPr>
          <w:p w14:paraId="38F281FA" w14:textId="77777777" w:rsidR="00CC3232" w:rsidRPr="0041076E" w:rsidRDefault="00CC3232" w:rsidP="00C70D42">
            <w:pPr>
              <w:spacing w:after="240"/>
              <w:rPr>
                <w:bCs/>
              </w:rPr>
            </w:pPr>
            <w:r w:rsidRPr="0041076E">
              <w:rPr>
                <w:b/>
                <w:bCs/>
              </w:rPr>
              <w:t>Interest rate risk indicator</w:t>
            </w:r>
          </w:p>
        </w:tc>
        <w:tc>
          <w:tcPr>
            <w:tcW w:w="1559" w:type="dxa"/>
            <w:shd w:val="clear" w:color="auto" w:fill="B4C6E7" w:themeFill="accent1" w:themeFillTint="66"/>
            <w:vAlign w:val="center"/>
          </w:tcPr>
          <w:p w14:paraId="4A7119E1" w14:textId="77777777" w:rsidR="00CC3232" w:rsidRPr="0041076E" w:rsidRDefault="00CC3232" w:rsidP="00C70D42">
            <w:pPr>
              <w:spacing w:after="240"/>
              <w:jc w:val="center"/>
              <w:rPr>
                <w:b/>
                <w:bCs/>
              </w:rPr>
            </w:pPr>
            <w:r w:rsidRPr="0041076E">
              <w:rPr>
                <w:b/>
                <w:bCs/>
              </w:rPr>
              <w:t>Limit</w:t>
            </w:r>
          </w:p>
        </w:tc>
      </w:tr>
      <w:tr w:rsidR="00CC3232" w:rsidRPr="0041076E" w14:paraId="7BDE5B33" w14:textId="77777777" w:rsidTr="000721AA">
        <w:trPr>
          <w:trHeight w:val="340"/>
        </w:trPr>
        <w:tc>
          <w:tcPr>
            <w:tcW w:w="6536" w:type="dxa"/>
            <w:shd w:val="clear" w:color="auto" w:fill="auto"/>
            <w:vAlign w:val="center"/>
          </w:tcPr>
          <w:p w14:paraId="7CE0F86D" w14:textId="77777777" w:rsidR="00CC3232" w:rsidRPr="0041076E" w:rsidRDefault="00CC3232" w:rsidP="00C70D42">
            <w:pPr>
              <w:spacing w:after="240"/>
              <w:rPr>
                <w:bCs/>
              </w:rPr>
            </w:pPr>
            <w:r w:rsidRPr="0041076E">
              <w:rPr>
                <w:bCs/>
              </w:rPr>
              <w:t xml:space="preserve">Upper limit on one-year revenue impact of a 1% </w:t>
            </w:r>
            <w:r w:rsidRPr="0041076E">
              <w:rPr>
                <w:bCs/>
                <w:u w:val="single"/>
              </w:rPr>
              <w:t>rise</w:t>
            </w:r>
            <w:r w:rsidRPr="0041076E">
              <w:rPr>
                <w:bCs/>
              </w:rPr>
              <w:t xml:space="preserve"> in interest rates</w:t>
            </w:r>
          </w:p>
        </w:tc>
        <w:tc>
          <w:tcPr>
            <w:tcW w:w="1559" w:type="dxa"/>
            <w:shd w:val="clear" w:color="auto" w:fill="auto"/>
            <w:vAlign w:val="center"/>
          </w:tcPr>
          <w:p w14:paraId="5DA77272" w14:textId="0B9B7A14" w:rsidR="00CC3232" w:rsidRPr="0041076E" w:rsidRDefault="00CC3232" w:rsidP="00C70D42">
            <w:pPr>
              <w:spacing w:after="240"/>
              <w:jc w:val="center"/>
            </w:pPr>
            <w:r w:rsidRPr="0041076E">
              <w:t>£</w:t>
            </w:r>
            <w:r>
              <w:t>1</w:t>
            </w:r>
            <w:r w:rsidR="0051047B">
              <w:t>3</w:t>
            </w:r>
            <w:r w:rsidR="00BF0D1D">
              <w:t>0</w:t>
            </w:r>
            <w:r w:rsidRPr="0041076E">
              <w:t>,000</w:t>
            </w:r>
          </w:p>
        </w:tc>
      </w:tr>
      <w:tr w:rsidR="00CC3232" w:rsidRPr="0041076E" w14:paraId="6992E724" w14:textId="77777777" w:rsidTr="000721AA">
        <w:trPr>
          <w:trHeight w:val="340"/>
        </w:trPr>
        <w:tc>
          <w:tcPr>
            <w:tcW w:w="6536" w:type="dxa"/>
            <w:shd w:val="clear" w:color="auto" w:fill="auto"/>
            <w:vAlign w:val="center"/>
          </w:tcPr>
          <w:p w14:paraId="1C5DA0ED" w14:textId="77777777" w:rsidR="00CC3232" w:rsidRPr="0041076E" w:rsidRDefault="00CC3232" w:rsidP="00C70D42">
            <w:pPr>
              <w:spacing w:after="240"/>
              <w:rPr>
                <w:bCs/>
              </w:rPr>
            </w:pPr>
            <w:r w:rsidRPr="0041076E">
              <w:rPr>
                <w:bCs/>
              </w:rPr>
              <w:t xml:space="preserve">Upper limit on one-year revenue impact of a 1% </w:t>
            </w:r>
            <w:r w:rsidRPr="0041076E">
              <w:rPr>
                <w:bCs/>
                <w:u w:val="single"/>
              </w:rPr>
              <w:t>fall</w:t>
            </w:r>
            <w:r w:rsidRPr="0041076E">
              <w:rPr>
                <w:bCs/>
              </w:rPr>
              <w:t xml:space="preserve"> in interest rates</w:t>
            </w:r>
          </w:p>
        </w:tc>
        <w:tc>
          <w:tcPr>
            <w:tcW w:w="1559" w:type="dxa"/>
            <w:shd w:val="clear" w:color="auto" w:fill="auto"/>
            <w:vAlign w:val="center"/>
          </w:tcPr>
          <w:p w14:paraId="4EF35F11" w14:textId="2FB0073B" w:rsidR="00CC3232" w:rsidRPr="0041076E" w:rsidRDefault="00CC3232" w:rsidP="00C70D42">
            <w:pPr>
              <w:spacing w:after="240"/>
              <w:jc w:val="center"/>
              <w:rPr>
                <w:color w:val="AF173B"/>
              </w:rPr>
            </w:pPr>
            <w:r w:rsidRPr="0041076E">
              <w:t xml:space="preserve"> </w:t>
            </w:r>
            <w:r w:rsidR="008372A7">
              <w:t>(</w:t>
            </w:r>
            <w:r w:rsidRPr="0041076E">
              <w:t>£</w:t>
            </w:r>
            <w:r>
              <w:t>1</w:t>
            </w:r>
            <w:r w:rsidR="0051047B">
              <w:t>3</w:t>
            </w:r>
            <w:r w:rsidR="00BF0D1D">
              <w:t>0</w:t>
            </w:r>
            <w:r w:rsidRPr="0041076E">
              <w:t>,000</w:t>
            </w:r>
            <w:r w:rsidR="008372A7">
              <w:t>)</w:t>
            </w:r>
          </w:p>
        </w:tc>
      </w:tr>
    </w:tbl>
    <w:p w14:paraId="17EF139D" w14:textId="0921BA53" w:rsidR="00CC3232" w:rsidRDefault="00CC3232" w:rsidP="0004046D">
      <w:pPr>
        <w:spacing w:before="240" w:after="240"/>
        <w:ind w:left="426"/>
        <w:jc w:val="both"/>
        <w:rPr>
          <w:bCs/>
        </w:rPr>
      </w:pPr>
      <w:r w:rsidRPr="0041076E">
        <w:rPr>
          <w:bCs/>
        </w:rPr>
        <w:t xml:space="preserve">The impact of a change in interest rates is calculated on the assumption that maturing loans and investments will be replaced at </w:t>
      </w:r>
      <w:r w:rsidR="00C5646C">
        <w:rPr>
          <w:bCs/>
        </w:rPr>
        <w:t xml:space="preserve">new </w:t>
      </w:r>
      <w:r w:rsidR="004F02A9">
        <w:rPr>
          <w:bCs/>
        </w:rPr>
        <w:t>market rates</w:t>
      </w:r>
      <w:r w:rsidRPr="0041076E">
        <w:rPr>
          <w:bCs/>
        </w:rPr>
        <w:t>.</w:t>
      </w:r>
    </w:p>
    <w:p w14:paraId="2F790872" w14:textId="77777777" w:rsidR="004E6BDD" w:rsidRDefault="004E6BDD" w:rsidP="0004046D">
      <w:pPr>
        <w:spacing w:before="240" w:after="240"/>
        <w:ind w:left="426"/>
        <w:jc w:val="both"/>
        <w:rPr>
          <w:bCs/>
        </w:rPr>
      </w:pPr>
    </w:p>
    <w:p w14:paraId="08FB303C" w14:textId="70EAD917" w:rsidR="005777CC" w:rsidRDefault="005777CC" w:rsidP="0004046D">
      <w:pPr>
        <w:spacing w:before="240" w:after="240"/>
        <w:ind w:left="426"/>
        <w:jc w:val="both"/>
        <w:rPr>
          <w:bCs/>
        </w:rPr>
      </w:pPr>
      <w:r w:rsidRPr="00871DFB">
        <w:rPr>
          <w:b/>
        </w:rPr>
        <w:lastRenderedPageBreak/>
        <w:t xml:space="preserve">Expected </w:t>
      </w:r>
      <w:r w:rsidR="00871DFB" w:rsidRPr="00871DFB">
        <w:rPr>
          <w:b/>
        </w:rPr>
        <w:t>3 year impact of a 1% change in interest rates:</w:t>
      </w:r>
      <w:r w:rsidR="00871DFB">
        <w:rPr>
          <w:b/>
        </w:rPr>
        <w:t xml:space="preserve"> </w:t>
      </w:r>
      <w:r w:rsidR="00381936">
        <w:rPr>
          <w:bCs/>
        </w:rPr>
        <w:t>The Service should understand the impact of a 1% rise of fall in interest rates</w:t>
      </w:r>
      <w:r w:rsidR="004A3D48">
        <w:rPr>
          <w:bCs/>
        </w:rPr>
        <w:t xml:space="preserve"> across the next 3 years, as suggested by the Treasury Management </w:t>
      </w:r>
      <w:r w:rsidR="004A3D48" w:rsidRPr="00DD6030">
        <w:rPr>
          <w:bCs/>
        </w:rPr>
        <w:t>Code. This is set out below:</w:t>
      </w:r>
    </w:p>
    <w:tbl>
      <w:tblPr>
        <w:tblpPr w:leftFromText="180" w:rightFromText="180" w:vertAnchor="text" w:horzAnchor="page" w:tblpX="556" w:tblpY="-26"/>
        <w:tblW w:w="7342" w:type="dxa"/>
        <w:tblLook w:val="04A0" w:firstRow="1" w:lastRow="0" w:firstColumn="1" w:lastColumn="0" w:noHBand="0" w:noVBand="1"/>
      </w:tblPr>
      <w:tblGrid>
        <w:gridCol w:w="3088"/>
        <w:gridCol w:w="1050"/>
        <w:gridCol w:w="1102"/>
        <w:gridCol w:w="1052"/>
        <w:gridCol w:w="1050"/>
      </w:tblGrid>
      <w:tr w:rsidR="007C4AE9" w:rsidRPr="008D5292" w14:paraId="36450A7A" w14:textId="77777777" w:rsidTr="00665857">
        <w:trPr>
          <w:trHeight w:val="837"/>
        </w:trPr>
        <w:tc>
          <w:tcPr>
            <w:tcW w:w="3088" w:type="dxa"/>
            <w:tcBorders>
              <w:top w:val="single" w:sz="12" w:space="0" w:color="auto"/>
              <w:left w:val="single" w:sz="12" w:space="0" w:color="auto"/>
              <w:bottom w:val="single" w:sz="4" w:space="0" w:color="auto"/>
              <w:right w:val="nil"/>
            </w:tcBorders>
            <w:shd w:val="clear" w:color="auto" w:fill="B4C6E7" w:themeFill="accent1" w:themeFillTint="66"/>
            <w:noWrap/>
            <w:vAlign w:val="bottom"/>
            <w:hideMark/>
          </w:tcPr>
          <w:p w14:paraId="60CB6431" w14:textId="77777777" w:rsidR="007C4AE9" w:rsidRPr="007C4AE9" w:rsidRDefault="007C4AE9" w:rsidP="007C4AE9">
            <w:pPr>
              <w:rPr>
                <w:b/>
                <w:bCs/>
                <w:color w:val="000000"/>
                <w:sz w:val="20"/>
                <w:szCs w:val="20"/>
                <w:lang w:eastAsia="en-GB"/>
              </w:rPr>
            </w:pPr>
            <w:r w:rsidRPr="007C4AE9">
              <w:rPr>
                <w:b/>
                <w:bCs/>
                <w:color w:val="000000"/>
                <w:sz w:val="20"/>
                <w:szCs w:val="20"/>
                <w:lang w:eastAsia="en-GB"/>
              </w:rPr>
              <w:t>Expected Investments:</w:t>
            </w:r>
          </w:p>
        </w:tc>
        <w:tc>
          <w:tcPr>
            <w:tcW w:w="1050" w:type="dxa"/>
            <w:tcBorders>
              <w:top w:val="single" w:sz="12" w:space="0" w:color="auto"/>
              <w:left w:val="nil"/>
              <w:bottom w:val="single" w:sz="4" w:space="0" w:color="auto"/>
              <w:right w:val="nil"/>
            </w:tcBorders>
            <w:shd w:val="clear" w:color="auto" w:fill="B4C6E7" w:themeFill="accent1" w:themeFillTint="66"/>
            <w:vAlign w:val="bottom"/>
            <w:hideMark/>
          </w:tcPr>
          <w:p w14:paraId="38BC0E6B" w14:textId="755F4822" w:rsidR="007C4AE9" w:rsidRPr="007C4AE9" w:rsidRDefault="007C4AE9" w:rsidP="007C4AE9">
            <w:pPr>
              <w:jc w:val="center"/>
              <w:rPr>
                <w:b/>
                <w:bCs/>
                <w:color w:val="000000"/>
                <w:sz w:val="20"/>
                <w:szCs w:val="20"/>
                <w:lang w:eastAsia="en-GB"/>
              </w:rPr>
            </w:pPr>
            <w:r w:rsidRPr="007C4AE9">
              <w:rPr>
                <w:b/>
                <w:bCs/>
                <w:color w:val="000000"/>
                <w:sz w:val="20"/>
                <w:szCs w:val="20"/>
              </w:rPr>
              <w:t>Forecast 2023/24 £million</w:t>
            </w:r>
          </w:p>
        </w:tc>
        <w:tc>
          <w:tcPr>
            <w:tcW w:w="1102" w:type="dxa"/>
            <w:tcBorders>
              <w:top w:val="single" w:sz="12" w:space="0" w:color="auto"/>
              <w:left w:val="nil"/>
              <w:bottom w:val="single" w:sz="4" w:space="0" w:color="auto"/>
              <w:right w:val="nil"/>
            </w:tcBorders>
            <w:shd w:val="clear" w:color="auto" w:fill="B4C6E7" w:themeFill="accent1" w:themeFillTint="66"/>
            <w:vAlign w:val="bottom"/>
            <w:hideMark/>
          </w:tcPr>
          <w:p w14:paraId="11A53600" w14:textId="57B25F8A" w:rsidR="007C4AE9" w:rsidRPr="007C4AE9" w:rsidRDefault="007C4AE9" w:rsidP="007C4AE9">
            <w:pPr>
              <w:jc w:val="center"/>
              <w:rPr>
                <w:b/>
                <w:bCs/>
                <w:color w:val="000000"/>
                <w:sz w:val="20"/>
                <w:szCs w:val="20"/>
                <w:lang w:eastAsia="en-GB"/>
              </w:rPr>
            </w:pPr>
            <w:r w:rsidRPr="007C4AE9">
              <w:rPr>
                <w:b/>
                <w:bCs/>
                <w:color w:val="000000"/>
                <w:sz w:val="20"/>
                <w:szCs w:val="20"/>
              </w:rPr>
              <w:t>Forecast 2024/25 £million</w:t>
            </w:r>
          </w:p>
        </w:tc>
        <w:tc>
          <w:tcPr>
            <w:tcW w:w="1052" w:type="dxa"/>
            <w:tcBorders>
              <w:top w:val="single" w:sz="12" w:space="0" w:color="auto"/>
              <w:left w:val="nil"/>
              <w:bottom w:val="single" w:sz="4" w:space="0" w:color="auto"/>
              <w:right w:val="nil"/>
            </w:tcBorders>
            <w:shd w:val="clear" w:color="auto" w:fill="B4C6E7" w:themeFill="accent1" w:themeFillTint="66"/>
            <w:vAlign w:val="bottom"/>
            <w:hideMark/>
          </w:tcPr>
          <w:p w14:paraId="6FB83D6B" w14:textId="6BE72904" w:rsidR="007C4AE9" w:rsidRPr="007C4AE9" w:rsidRDefault="007C4AE9" w:rsidP="007C4AE9">
            <w:pPr>
              <w:jc w:val="center"/>
              <w:rPr>
                <w:b/>
                <w:bCs/>
                <w:color w:val="000000"/>
                <w:sz w:val="20"/>
                <w:szCs w:val="20"/>
                <w:lang w:eastAsia="en-GB"/>
              </w:rPr>
            </w:pPr>
            <w:r w:rsidRPr="007C4AE9">
              <w:rPr>
                <w:b/>
                <w:bCs/>
                <w:color w:val="000000"/>
                <w:sz w:val="20"/>
                <w:szCs w:val="20"/>
              </w:rPr>
              <w:t>Forecast 2025/26 £million</w:t>
            </w:r>
          </w:p>
        </w:tc>
        <w:tc>
          <w:tcPr>
            <w:tcW w:w="1050" w:type="dxa"/>
            <w:tcBorders>
              <w:top w:val="single" w:sz="12" w:space="0" w:color="auto"/>
              <w:left w:val="nil"/>
              <w:bottom w:val="single" w:sz="4" w:space="0" w:color="auto"/>
              <w:right w:val="single" w:sz="12" w:space="0" w:color="auto"/>
            </w:tcBorders>
            <w:shd w:val="clear" w:color="auto" w:fill="B4C6E7" w:themeFill="accent1" w:themeFillTint="66"/>
            <w:vAlign w:val="bottom"/>
            <w:hideMark/>
          </w:tcPr>
          <w:p w14:paraId="03DC5211" w14:textId="31EE2C33" w:rsidR="007C4AE9" w:rsidRPr="007C4AE9" w:rsidRDefault="007C4AE9" w:rsidP="007C4AE9">
            <w:pPr>
              <w:jc w:val="center"/>
              <w:rPr>
                <w:b/>
                <w:bCs/>
                <w:color w:val="000000"/>
                <w:sz w:val="20"/>
                <w:szCs w:val="20"/>
                <w:lang w:eastAsia="en-GB"/>
              </w:rPr>
            </w:pPr>
            <w:r w:rsidRPr="007C4AE9">
              <w:rPr>
                <w:b/>
                <w:bCs/>
                <w:color w:val="000000"/>
                <w:sz w:val="20"/>
                <w:szCs w:val="20"/>
              </w:rPr>
              <w:t>Forecast 2026/27 £million</w:t>
            </w:r>
          </w:p>
        </w:tc>
      </w:tr>
      <w:tr w:rsidR="002F42F4" w:rsidRPr="008D5292" w14:paraId="2DEA7560" w14:textId="77777777" w:rsidTr="00665857">
        <w:trPr>
          <w:trHeight w:val="319"/>
        </w:trPr>
        <w:tc>
          <w:tcPr>
            <w:tcW w:w="3088" w:type="dxa"/>
            <w:tcBorders>
              <w:top w:val="nil"/>
              <w:left w:val="single" w:sz="12" w:space="0" w:color="auto"/>
              <w:bottom w:val="nil"/>
              <w:right w:val="nil"/>
            </w:tcBorders>
            <w:shd w:val="clear" w:color="000000" w:fill="FFFFFF"/>
            <w:noWrap/>
          </w:tcPr>
          <w:p w14:paraId="0AE6754C" w14:textId="09746785" w:rsidR="002F42F4" w:rsidRPr="007C4AE9" w:rsidRDefault="002F42F4" w:rsidP="002F42F4">
            <w:pPr>
              <w:rPr>
                <w:b/>
                <w:bCs/>
                <w:color w:val="000000"/>
                <w:sz w:val="20"/>
                <w:szCs w:val="20"/>
                <w:lang w:eastAsia="en-GB"/>
              </w:rPr>
            </w:pPr>
            <w:r w:rsidRPr="007C4AE9">
              <w:rPr>
                <w:b/>
                <w:bCs/>
                <w:sz w:val="20"/>
                <w:szCs w:val="20"/>
              </w:rPr>
              <w:t>Available cash / (</w:t>
            </w:r>
            <w:r>
              <w:rPr>
                <w:b/>
                <w:bCs/>
                <w:sz w:val="20"/>
                <w:szCs w:val="20"/>
              </w:rPr>
              <w:t xml:space="preserve">new </w:t>
            </w:r>
            <w:r w:rsidRPr="007C4AE9">
              <w:rPr>
                <w:b/>
                <w:bCs/>
                <w:sz w:val="20"/>
                <w:szCs w:val="20"/>
              </w:rPr>
              <w:t xml:space="preserve">loans) </w:t>
            </w:r>
          </w:p>
        </w:tc>
        <w:tc>
          <w:tcPr>
            <w:tcW w:w="1050" w:type="dxa"/>
            <w:tcBorders>
              <w:top w:val="nil"/>
              <w:left w:val="nil"/>
              <w:bottom w:val="nil"/>
              <w:right w:val="nil"/>
            </w:tcBorders>
            <w:shd w:val="clear" w:color="000000" w:fill="FFFFFF"/>
            <w:noWrap/>
          </w:tcPr>
          <w:p w14:paraId="462E8F18" w14:textId="48AD830F" w:rsidR="002F42F4" w:rsidRPr="002F42F4" w:rsidRDefault="002F42F4" w:rsidP="002F42F4">
            <w:pPr>
              <w:jc w:val="right"/>
              <w:rPr>
                <w:b/>
                <w:bCs/>
                <w:color w:val="000000"/>
                <w:sz w:val="20"/>
                <w:szCs w:val="20"/>
                <w:lang w:eastAsia="en-GB"/>
              </w:rPr>
            </w:pPr>
            <w:r w:rsidRPr="002F42F4">
              <w:rPr>
                <w:sz w:val="20"/>
                <w:szCs w:val="20"/>
              </w:rPr>
              <w:t xml:space="preserve"> 13.02 </w:t>
            </w:r>
          </w:p>
        </w:tc>
        <w:tc>
          <w:tcPr>
            <w:tcW w:w="1102" w:type="dxa"/>
            <w:tcBorders>
              <w:top w:val="nil"/>
              <w:left w:val="nil"/>
              <w:bottom w:val="nil"/>
              <w:right w:val="nil"/>
            </w:tcBorders>
            <w:shd w:val="clear" w:color="000000" w:fill="FFFFFF"/>
            <w:noWrap/>
          </w:tcPr>
          <w:p w14:paraId="03346530" w14:textId="16F19964" w:rsidR="002F42F4" w:rsidRPr="002F42F4" w:rsidRDefault="002F42F4" w:rsidP="002F42F4">
            <w:pPr>
              <w:jc w:val="right"/>
              <w:rPr>
                <w:b/>
                <w:bCs/>
                <w:color w:val="000000"/>
                <w:sz w:val="20"/>
                <w:szCs w:val="20"/>
                <w:lang w:eastAsia="en-GB"/>
              </w:rPr>
            </w:pPr>
            <w:r w:rsidRPr="002F42F4">
              <w:rPr>
                <w:sz w:val="20"/>
                <w:szCs w:val="20"/>
              </w:rPr>
              <w:t xml:space="preserve"> 6.18 </w:t>
            </w:r>
          </w:p>
        </w:tc>
        <w:tc>
          <w:tcPr>
            <w:tcW w:w="1052" w:type="dxa"/>
            <w:tcBorders>
              <w:top w:val="nil"/>
              <w:left w:val="nil"/>
              <w:bottom w:val="nil"/>
              <w:right w:val="nil"/>
            </w:tcBorders>
            <w:shd w:val="clear" w:color="000000" w:fill="FFFFFF"/>
            <w:noWrap/>
          </w:tcPr>
          <w:p w14:paraId="0C1A9145" w14:textId="196CFDEA" w:rsidR="002F42F4" w:rsidRPr="002F42F4" w:rsidRDefault="002F42F4" w:rsidP="002F42F4">
            <w:pPr>
              <w:jc w:val="right"/>
              <w:rPr>
                <w:b/>
                <w:bCs/>
                <w:color w:val="000000"/>
                <w:sz w:val="20"/>
                <w:szCs w:val="20"/>
                <w:lang w:eastAsia="en-GB"/>
              </w:rPr>
            </w:pPr>
            <w:r w:rsidRPr="002F42F4">
              <w:rPr>
                <w:sz w:val="20"/>
                <w:szCs w:val="20"/>
              </w:rPr>
              <w:t>(0.31)</w:t>
            </w:r>
          </w:p>
        </w:tc>
        <w:tc>
          <w:tcPr>
            <w:tcW w:w="1050" w:type="dxa"/>
            <w:tcBorders>
              <w:top w:val="nil"/>
              <w:left w:val="nil"/>
              <w:bottom w:val="nil"/>
              <w:right w:val="single" w:sz="12" w:space="0" w:color="auto"/>
            </w:tcBorders>
            <w:shd w:val="clear" w:color="000000" w:fill="FFFFFF"/>
            <w:noWrap/>
          </w:tcPr>
          <w:p w14:paraId="7243CBB3" w14:textId="45DB7DF7" w:rsidR="002F42F4" w:rsidRPr="002F42F4" w:rsidRDefault="002F42F4" w:rsidP="002F42F4">
            <w:pPr>
              <w:jc w:val="right"/>
              <w:rPr>
                <w:b/>
                <w:bCs/>
                <w:color w:val="000000"/>
                <w:sz w:val="20"/>
                <w:szCs w:val="20"/>
                <w:lang w:eastAsia="en-GB"/>
              </w:rPr>
            </w:pPr>
            <w:r w:rsidRPr="002F42F4">
              <w:rPr>
                <w:sz w:val="20"/>
                <w:szCs w:val="20"/>
              </w:rPr>
              <w:t>(15.54)</w:t>
            </w:r>
          </w:p>
        </w:tc>
      </w:tr>
      <w:tr w:rsidR="002F42F4" w:rsidRPr="008D5292" w14:paraId="720FEB40" w14:textId="77777777" w:rsidTr="00665857">
        <w:trPr>
          <w:trHeight w:val="319"/>
        </w:trPr>
        <w:tc>
          <w:tcPr>
            <w:tcW w:w="3088" w:type="dxa"/>
            <w:tcBorders>
              <w:top w:val="nil"/>
              <w:left w:val="single" w:sz="12" w:space="0" w:color="auto"/>
              <w:bottom w:val="nil"/>
              <w:right w:val="nil"/>
            </w:tcBorders>
            <w:shd w:val="clear" w:color="000000" w:fill="FFFFFF"/>
            <w:noWrap/>
            <w:hideMark/>
          </w:tcPr>
          <w:p w14:paraId="11AFBBEC" w14:textId="754A9C78" w:rsidR="002F42F4" w:rsidRPr="007C4AE9" w:rsidRDefault="002F42F4" w:rsidP="002F42F4">
            <w:pPr>
              <w:rPr>
                <w:color w:val="000000"/>
                <w:sz w:val="20"/>
                <w:szCs w:val="20"/>
                <w:lang w:eastAsia="en-GB"/>
              </w:rPr>
            </w:pPr>
            <w:r w:rsidRPr="007C4AE9">
              <w:rPr>
                <w:sz w:val="20"/>
                <w:szCs w:val="20"/>
              </w:rPr>
              <w:t>Money Market Funds</w:t>
            </w:r>
          </w:p>
        </w:tc>
        <w:tc>
          <w:tcPr>
            <w:tcW w:w="1050" w:type="dxa"/>
            <w:tcBorders>
              <w:top w:val="nil"/>
              <w:left w:val="nil"/>
              <w:bottom w:val="nil"/>
              <w:right w:val="nil"/>
            </w:tcBorders>
            <w:shd w:val="clear" w:color="000000" w:fill="FFFFFF"/>
            <w:noWrap/>
            <w:hideMark/>
          </w:tcPr>
          <w:p w14:paraId="1DC8F8CB" w14:textId="0A6443F3" w:rsidR="002F42F4" w:rsidRPr="002F42F4" w:rsidRDefault="002F42F4" w:rsidP="002F42F4">
            <w:pPr>
              <w:jc w:val="right"/>
              <w:rPr>
                <w:color w:val="000000"/>
                <w:sz w:val="20"/>
                <w:szCs w:val="20"/>
                <w:lang w:eastAsia="en-GB"/>
              </w:rPr>
            </w:pPr>
            <w:r w:rsidRPr="002F42F4">
              <w:rPr>
                <w:sz w:val="20"/>
                <w:szCs w:val="20"/>
              </w:rPr>
              <w:t xml:space="preserve"> 6.00 </w:t>
            </w:r>
          </w:p>
        </w:tc>
        <w:tc>
          <w:tcPr>
            <w:tcW w:w="1102" w:type="dxa"/>
            <w:tcBorders>
              <w:top w:val="nil"/>
              <w:left w:val="nil"/>
              <w:bottom w:val="nil"/>
              <w:right w:val="nil"/>
            </w:tcBorders>
            <w:shd w:val="clear" w:color="000000" w:fill="FFFFFF"/>
            <w:noWrap/>
            <w:hideMark/>
          </w:tcPr>
          <w:p w14:paraId="41FD5618" w14:textId="6F9ED761" w:rsidR="002F42F4" w:rsidRPr="002F42F4" w:rsidRDefault="002F42F4" w:rsidP="002F42F4">
            <w:pPr>
              <w:jc w:val="right"/>
              <w:rPr>
                <w:color w:val="000000"/>
                <w:sz w:val="20"/>
                <w:szCs w:val="20"/>
                <w:lang w:eastAsia="en-GB"/>
              </w:rPr>
            </w:pPr>
            <w:r w:rsidRPr="002F42F4">
              <w:rPr>
                <w:sz w:val="20"/>
                <w:szCs w:val="20"/>
              </w:rPr>
              <w:t xml:space="preserve"> 2.00 </w:t>
            </w:r>
          </w:p>
        </w:tc>
        <w:tc>
          <w:tcPr>
            <w:tcW w:w="1052" w:type="dxa"/>
            <w:tcBorders>
              <w:top w:val="nil"/>
              <w:left w:val="nil"/>
              <w:bottom w:val="nil"/>
              <w:right w:val="nil"/>
            </w:tcBorders>
            <w:shd w:val="clear" w:color="000000" w:fill="FFFFFF"/>
            <w:noWrap/>
            <w:hideMark/>
          </w:tcPr>
          <w:p w14:paraId="2EDCA219" w14:textId="5B7BF9A8" w:rsidR="002F42F4" w:rsidRPr="002F42F4" w:rsidRDefault="002F42F4" w:rsidP="002F42F4">
            <w:pPr>
              <w:jc w:val="right"/>
              <w:rPr>
                <w:color w:val="000000"/>
                <w:sz w:val="20"/>
                <w:szCs w:val="20"/>
                <w:lang w:eastAsia="en-GB"/>
              </w:rPr>
            </w:pPr>
            <w:r w:rsidRPr="002F42F4">
              <w:rPr>
                <w:sz w:val="20"/>
                <w:szCs w:val="20"/>
              </w:rPr>
              <w:t xml:space="preserve"> -   </w:t>
            </w:r>
          </w:p>
        </w:tc>
        <w:tc>
          <w:tcPr>
            <w:tcW w:w="1050" w:type="dxa"/>
            <w:tcBorders>
              <w:top w:val="nil"/>
              <w:left w:val="nil"/>
              <w:bottom w:val="nil"/>
              <w:right w:val="single" w:sz="12" w:space="0" w:color="auto"/>
            </w:tcBorders>
            <w:shd w:val="clear" w:color="000000" w:fill="FFFFFF"/>
            <w:noWrap/>
            <w:hideMark/>
          </w:tcPr>
          <w:p w14:paraId="61436894" w14:textId="40EDF616" w:rsidR="002F42F4" w:rsidRPr="002F42F4" w:rsidRDefault="002F42F4" w:rsidP="002F42F4">
            <w:pPr>
              <w:jc w:val="right"/>
              <w:rPr>
                <w:color w:val="000000"/>
                <w:sz w:val="20"/>
                <w:szCs w:val="20"/>
                <w:lang w:eastAsia="en-GB"/>
              </w:rPr>
            </w:pPr>
            <w:r w:rsidRPr="002F42F4">
              <w:rPr>
                <w:sz w:val="20"/>
                <w:szCs w:val="20"/>
              </w:rPr>
              <w:t xml:space="preserve"> -   </w:t>
            </w:r>
          </w:p>
        </w:tc>
      </w:tr>
      <w:tr w:rsidR="002F42F4" w:rsidRPr="008D5292" w14:paraId="53A9E287" w14:textId="77777777" w:rsidTr="00665857">
        <w:trPr>
          <w:trHeight w:val="319"/>
        </w:trPr>
        <w:tc>
          <w:tcPr>
            <w:tcW w:w="3088" w:type="dxa"/>
            <w:tcBorders>
              <w:top w:val="nil"/>
              <w:left w:val="single" w:sz="12" w:space="0" w:color="auto"/>
              <w:bottom w:val="nil"/>
              <w:right w:val="nil"/>
            </w:tcBorders>
            <w:shd w:val="clear" w:color="000000" w:fill="FFFFFF"/>
            <w:noWrap/>
            <w:hideMark/>
          </w:tcPr>
          <w:p w14:paraId="67C0EF42" w14:textId="6A0170A6" w:rsidR="002F42F4" w:rsidRPr="007C4AE9" w:rsidRDefault="002F42F4" w:rsidP="002F42F4">
            <w:pPr>
              <w:rPr>
                <w:color w:val="000000"/>
                <w:sz w:val="20"/>
                <w:szCs w:val="20"/>
                <w:lang w:eastAsia="en-GB"/>
              </w:rPr>
            </w:pPr>
            <w:r w:rsidRPr="007C4AE9">
              <w:rPr>
                <w:sz w:val="20"/>
                <w:szCs w:val="20"/>
              </w:rPr>
              <w:t xml:space="preserve">UK Government </w:t>
            </w:r>
          </w:p>
        </w:tc>
        <w:tc>
          <w:tcPr>
            <w:tcW w:w="1050" w:type="dxa"/>
            <w:tcBorders>
              <w:top w:val="nil"/>
              <w:left w:val="nil"/>
              <w:bottom w:val="nil"/>
              <w:right w:val="nil"/>
            </w:tcBorders>
            <w:shd w:val="clear" w:color="000000" w:fill="FFFFFF"/>
            <w:noWrap/>
            <w:hideMark/>
          </w:tcPr>
          <w:p w14:paraId="6FA79E4D" w14:textId="094430D2" w:rsidR="002F42F4" w:rsidRPr="002F42F4" w:rsidRDefault="002F42F4" w:rsidP="002F42F4">
            <w:pPr>
              <w:jc w:val="right"/>
              <w:rPr>
                <w:color w:val="000000"/>
                <w:sz w:val="20"/>
                <w:szCs w:val="20"/>
                <w:lang w:eastAsia="en-GB"/>
              </w:rPr>
            </w:pPr>
            <w:r w:rsidRPr="002F42F4">
              <w:rPr>
                <w:sz w:val="20"/>
                <w:szCs w:val="20"/>
              </w:rPr>
              <w:t xml:space="preserve"> 6.00 </w:t>
            </w:r>
          </w:p>
        </w:tc>
        <w:tc>
          <w:tcPr>
            <w:tcW w:w="1102" w:type="dxa"/>
            <w:tcBorders>
              <w:top w:val="nil"/>
              <w:left w:val="nil"/>
              <w:bottom w:val="nil"/>
              <w:right w:val="nil"/>
            </w:tcBorders>
            <w:shd w:val="clear" w:color="000000" w:fill="FFFFFF"/>
            <w:noWrap/>
            <w:hideMark/>
          </w:tcPr>
          <w:p w14:paraId="0C70DC53" w14:textId="784F0BD4" w:rsidR="002F42F4" w:rsidRPr="002F42F4" w:rsidRDefault="002F42F4" w:rsidP="002F42F4">
            <w:pPr>
              <w:jc w:val="right"/>
              <w:rPr>
                <w:color w:val="000000"/>
                <w:sz w:val="20"/>
                <w:szCs w:val="20"/>
                <w:lang w:eastAsia="en-GB"/>
              </w:rPr>
            </w:pPr>
            <w:r w:rsidRPr="002F42F4">
              <w:rPr>
                <w:sz w:val="20"/>
                <w:szCs w:val="20"/>
              </w:rPr>
              <w:t xml:space="preserve"> 3.00 </w:t>
            </w:r>
          </w:p>
        </w:tc>
        <w:tc>
          <w:tcPr>
            <w:tcW w:w="1052" w:type="dxa"/>
            <w:tcBorders>
              <w:top w:val="nil"/>
              <w:left w:val="nil"/>
              <w:bottom w:val="nil"/>
              <w:right w:val="nil"/>
            </w:tcBorders>
            <w:shd w:val="clear" w:color="000000" w:fill="FFFFFF"/>
            <w:noWrap/>
            <w:hideMark/>
          </w:tcPr>
          <w:p w14:paraId="60C10270" w14:textId="21F6F5DC" w:rsidR="002F42F4" w:rsidRPr="002F42F4" w:rsidRDefault="002F42F4" w:rsidP="002F42F4">
            <w:pPr>
              <w:jc w:val="right"/>
              <w:rPr>
                <w:color w:val="000000"/>
                <w:sz w:val="20"/>
                <w:szCs w:val="20"/>
                <w:lang w:eastAsia="en-GB"/>
              </w:rPr>
            </w:pPr>
            <w:r w:rsidRPr="002F42F4">
              <w:rPr>
                <w:sz w:val="20"/>
                <w:szCs w:val="20"/>
              </w:rPr>
              <w:t xml:space="preserve"> -   </w:t>
            </w:r>
          </w:p>
        </w:tc>
        <w:tc>
          <w:tcPr>
            <w:tcW w:w="1050" w:type="dxa"/>
            <w:tcBorders>
              <w:top w:val="nil"/>
              <w:left w:val="nil"/>
              <w:bottom w:val="nil"/>
              <w:right w:val="single" w:sz="12" w:space="0" w:color="auto"/>
            </w:tcBorders>
            <w:shd w:val="clear" w:color="000000" w:fill="FFFFFF"/>
            <w:noWrap/>
            <w:hideMark/>
          </w:tcPr>
          <w:p w14:paraId="67877BEB" w14:textId="0D2F9BF6" w:rsidR="002F42F4" w:rsidRPr="002F42F4" w:rsidRDefault="002F42F4" w:rsidP="002F42F4">
            <w:pPr>
              <w:jc w:val="right"/>
              <w:rPr>
                <w:color w:val="000000"/>
                <w:sz w:val="20"/>
                <w:szCs w:val="20"/>
                <w:lang w:eastAsia="en-GB"/>
              </w:rPr>
            </w:pPr>
            <w:r w:rsidRPr="002F42F4">
              <w:rPr>
                <w:sz w:val="20"/>
                <w:szCs w:val="20"/>
              </w:rPr>
              <w:t xml:space="preserve"> -   </w:t>
            </w:r>
          </w:p>
        </w:tc>
      </w:tr>
      <w:tr w:rsidR="002F42F4" w:rsidRPr="008D5292" w14:paraId="5AC35421" w14:textId="77777777" w:rsidTr="00665857">
        <w:trPr>
          <w:trHeight w:val="319"/>
        </w:trPr>
        <w:tc>
          <w:tcPr>
            <w:tcW w:w="3088" w:type="dxa"/>
            <w:tcBorders>
              <w:top w:val="nil"/>
              <w:left w:val="single" w:sz="12" w:space="0" w:color="auto"/>
              <w:bottom w:val="nil"/>
              <w:right w:val="nil"/>
            </w:tcBorders>
            <w:shd w:val="clear" w:color="000000" w:fill="FFFFFF"/>
            <w:noWrap/>
            <w:hideMark/>
          </w:tcPr>
          <w:p w14:paraId="37642E0F" w14:textId="425B5DBC" w:rsidR="002F42F4" w:rsidRPr="007C4AE9" w:rsidRDefault="002F42F4" w:rsidP="002F42F4">
            <w:pPr>
              <w:rPr>
                <w:color w:val="000000"/>
                <w:sz w:val="20"/>
                <w:szCs w:val="20"/>
                <w:lang w:eastAsia="en-GB"/>
              </w:rPr>
            </w:pPr>
            <w:r w:rsidRPr="007C4AE9">
              <w:rPr>
                <w:sz w:val="20"/>
                <w:szCs w:val="20"/>
              </w:rPr>
              <w:t>Bank Deposits</w:t>
            </w:r>
          </w:p>
        </w:tc>
        <w:tc>
          <w:tcPr>
            <w:tcW w:w="1050" w:type="dxa"/>
            <w:tcBorders>
              <w:top w:val="nil"/>
              <w:left w:val="nil"/>
              <w:bottom w:val="nil"/>
              <w:right w:val="nil"/>
            </w:tcBorders>
            <w:shd w:val="clear" w:color="000000" w:fill="FFFFFF"/>
            <w:noWrap/>
            <w:hideMark/>
          </w:tcPr>
          <w:p w14:paraId="1947C733" w14:textId="7AF12390" w:rsidR="002F42F4" w:rsidRPr="002F42F4" w:rsidRDefault="002F42F4" w:rsidP="002F42F4">
            <w:pPr>
              <w:jc w:val="right"/>
              <w:rPr>
                <w:color w:val="000000"/>
                <w:sz w:val="20"/>
                <w:szCs w:val="20"/>
                <w:lang w:eastAsia="en-GB"/>
              </w:rPr>
            </w:pPr>
            <w:r w:rsidRPr="002F42F4">
              <w:rPr>
                <w:sz w:val="20"/>
                <w:szCs w:val="20"/>
              </w:rPr>
              <w:t xml:space="preserve"> 1.00 </w:t>
            </w:r>
          </w:p>
        </w:tc>
        <w:tc>
          <w:tcPr>
            <w:tcW w:w="1102" w:type="dxa"/>
            <w:tcBorders>
              <w:top w:val="nil"/>
              <w:left w:val="nil"/>
              <w:bottom w:val="nil"/>
              <w:right w:val="nil"/>
            </w:tcBorders>
            <w:shd w:val="clear" w:color="000000" w:fill="FFFFFF"/>
            <w:noWrap/>
            <w:hideMark/>
          </w:tcPr>
          <w:p w14:paraId="71B1A985" w14:textId="41B77103" w:rsidR="002F42F4" w:rsidRPr="002F42F4" w:rsidRDefault="002F42F4" w:rsidP="002F42F4">
            <w:pPr>
              <w:jc w:val="right"/>
              <w:rPr>
                <w:color w:val="000000"/>
                <w:sz w:val="20"/>
                <w:szCs w:val="20"/>
                <w:lang w:eastAsia="en-GB"/>
              </w:rPr>
            </w:pPr>
            <w:r w:rsidRPr="002F42F4">
              <w:rPr>
                <w:sz w:val="20"/>
                <w:szCs w:val="20"/>
              </w:rPr>
              <w:t xml:space="preserve"> 1.00 </w:t>
            </w:r>
          </w:p>
        </w:tc>
        <w:tc>
          <w:tcPr>
            <w:tcW w:w="1052" w:type="dxa"/>
            <w:tcBorders>
              <w:top w:val="nil"/>
              <w:left w:val="nil"/>
              <w:bottom w:val="nil"/>
              <w:right w:val="nil"/>
            </w:tcBorders>
            <w:shd w:val="clear" w:color="000000" w:fill="FFFFFF"/>
            <w:noWrap/>
            <w:hideMark/>
          </w:tcPr>
          <w:p w14:paraId="47C143C9" w14:textId="40DB58F3" w:rsidR="002F42F4" w:rsidRPr="002F42F4" w:rsidRDefault="002F42F4" w:rsidP="002F42F4">
            <w:pPr>
              <w:jc w:val="right"/>
              <w:rPr>
                <w:color w:val="000000"/>
                <w:sz w:val="20"/>
                <w:szCs w:val="20"/>
                <w:lang w:eastAsia="en-GB"/>
              </w:rPr>
            </w:pPr>
            <w:r w:rsidRPr="002F42F4">
              <w:rPr>
                <w:sz w:val="20"/>
                <w:szCs w:val="20"/>
              </w:rPr>
              <w:t xml:space="preserve"> -   </w:t>
            </w:r>
          </w:p>
        </w:tc>
        <w:tc>
          <w:tcPr>
            <w:tcW w:w="1050" w:type="dxa"/>
            <w:tcBorders>
              <w:top w:val="nil"/>
              <w:left w:val="nil"/>
              <w:bottom w:val="nil"/>
              <w:right w:val="single" w:sz="12" w:space="0" w:color="auto"/>
            </w:tcBorders>
            <w:shd w:val="clear" w:color="000000" w:fill="FFFFFF"/>
            <w:noWrap/>
            <w:hideMark/>
          </w:tcPr>
          <w:p w14:paraId="5C524238" w14:textId="4FAC832A" w:rsidR="002F42F4" w:rsidRPr="002F42F4" w:rsidRDefault="002F42F4" w:rsidP="002F42F4">
            <w:pPr>
              <w:jc w:val="right"/>
              <w:rPr>
                <w:color w:val="000000"/>
                <w:sz w:val="20"/>
                <w:szCs w:val="20"/>
                <w:lang w:eastAsia="en-GB"/>
              </w:rPr>
            </w:pPr>
            <w:r w:rsidRPr="002F42F4">
              <w:rPr>
                <w:sz w:val="20"/>
                <w:szCs w:val="20"/>
              </w:rPr>
              <w:t xml:space="preserve"> -   </w:t>
            </w:r>
          </w:p>
        </w:tc>
      </w:tr>
      <w:tr w:rsidR="002F42F4" w:rsidRPr="008D5292" w14:paraId="2030AE86" w14:textId="77777777" w:rsidTr="00665857">
        <w:trPr>
          <w:trHeight w:val="319"/>
        </w:trPr>
        <w:tc>
          <w:tcPr>
            <w:tcW w:w="3088" w:type="dxa"/>
            <w:tcBorders>
              <w:top w:val="nil"/>
              <w:left w:val="single" w:sz="12" w:space="0" w:color="auto"/>
              <w:bottom w:val="nil"/>
              <w:right w:val="nil"/>
            </w:tcBorders>
            <w:shd w:val="clear" w:color="000000" w:fill="FFFFFF"/>
            <w:noWrap/>
            <w:hideMark/>
          </w:tcPr>
          <w:p w14:paraId="127F6483" w14:textId="45F0C14E" w:rsidR="002F42F4" w:rsidRPr="007C4AE9" w:rsidRDefault="002F42F4" w:rsidP="002F42F4">
            <w:pPr>
              <w:rPr>
                <w:b/>
                <w:bCs/>
                <w:color w:val="000000"/>
                <w:sz w:val="20"/>
                <w:szCs w:val="20"/>
                <w:lang w:eastAsia="en-GB"/>
              </w:rPr>
            </w:pPr>
            <w:r w:rsidRPr="007C4AE9">
              <w:rPr>
                <w:sz w:val="20"/>
                <w:szCs w:val="20"/>
              </w:rPr>
              <w:t>Total Investments</w:t>
            </w:r>
          </w:p>
        </w:tc>
        <w:tc>
          <w:tcPr>
            <w:tcW w:w="1050" w:type="dxa"/>
            <w:tcBorders>
              <w:top w:val="nil"/>
              <w:left w:val="nil"/>
              <w:bottom w:val="nil"/>
              <w:right w:val="nil"/>
            </w:tcBorders>
            <w:shd w:val="clear" w:color="000000" w:fill="FFFFFF"/>
            <w:noWrap/>
            <w:hideMark/>
          </w:tcPr>
          <w:p w14:paraId="3C3FA5FE" w14:textId="735BDDD8" w:rsidR="002F42F4" w:rsidRPr="002F42F4" w:rsidRDefault="002F42F4" w:rsidP="002F42F4">
            <w:pPr>
              <w:jc w:val="right"/>
              <w:rPr>
                <w:b/>
                <w:bCs/>
                <w:color w:val="000000"/>
                <w:sz w:val="20"/>
                <w:szCs w:val="20"/>
                <w:lang w:eastAsia="en-GB"/>
              </w:rPr>
            </w:pPr>
            <w:r w:rsidRPr="002F42F4">
              <w:rPr>
                <w:sz w:val="20"/>
                <w:szCs w:val="20"/>
              </w:rPr>
              <w:t xml:space="preserve"> 13.00 </w:t>
            </w:r>
          </w:p>
        </w:tc>
        <w:tc>
          <w:tcPr>
            <w:tcW w:w="1102" w:type="dxa"/>
            <w:tcBorders>
              <w:top w:val="nil"/>
              <w:left w:val="nil"/>
              <w:bottom w:val="nil"/>
              <w:right w:val="nil"/>
            </w:tcBorders>
            <w:shd w:val="clear" w:color="000000" w:fill="FFFFFF"/>
            <w:noWrap/>
            <w:hideMark/>
          </w:tcPr>
          <w:p w14:paraId="70CFE826" w14:textId="7AEE508C" w:rsidR="002F42F4" w:rsidRPr="002F42F4" w:rsidRDefault="002F42F4" w:rsidP="002F42F4">
            <w:pPr>
              <w:jc w:val="right"/>
              <w:rPr>
                <w:b/>
                <w:bCs/>
                <w:color w:val="000000"/>
                <w:sz w:val="20"/>
                <w:szCs w:val="20"/>
                <w:lang w:eastAsia="en-GB"/>
              </w:rPr>
            </w:pPr>
            <w:r w:rsidRPr="002F42F4">
              <w:rPr>
                <w:sz w:val="20"/>
                <w:szCs w:val="20"/>
              </w:rPr>
              <w:t xml:space="preserve"> 6.00 </w:t>
            </w:r>
          </w:p>
        </w:tc>
        <w:tc>
          <w:tcPr>
            <w:tcW w:w="1052" w:type="dxa"/>
            <w:tcBorders>
              <w:top w:val="nil"/>
              <w:left w:val="nil"/>
              <w:bottom w:val="nil"/>
              <w:right w:val="nil"/>
            </w:tcBorders>
            <w:shd w:val="clear" w:color="000000" w:fill="FFFFFF"/>
            <w:noWrap/>
            <w:hideMark/>
          </w:tcPr>
          <w:p w14:paraId="7309E2B4" w14:textId="2612EAF1" w:rsidR="002F42F4" w:rsidRPr="002F42F4" w:rsidRDefault="002F42F4" w:rsidP="002F42F4">
            <w:pPr>
              <w:jc w:val="right"/>
              <w:rPr>
                <w:b/>
                <w:bCs/>
                <w:color w:val="000000"/>
                <w:sz w:val="20"/>
                <w:szCs w:val="20"/>
                <w:lang w:eastAsia="en-GB"/>
              </w:rPr>
            </w:pPr>
            <w:r w:rsidRPr="002F42F4">
              <w:rPr>
                <w:sz w:val="20"/>
                <w:szCs w:val="20"/>
              </w:rPr>
              <w:t xml:space="preserve"> -   </w:t>
            </w:r>
          </w:p>
        </w:tc>
        <w:tc>
          <w:tcPr>
            <w:tcW w:w="1050" w:type="dxa"/>
            <w:tcBorders>
              <w:top w:val="nil"/>
              <w:left w:val="nil"/>
              <w:bottom w:val="nil"/>
              <w:right w:val="single" w:sz="12" w:space="0" w:color="auto"/>
            </w:tcBorders>
            <w:shd w:val="clear" w:color="000000" w:fill="FFFFFF"/>
            <w:noWrap/>
            <w:hideMark/>
          </w:tcPr>
          <w:p w14:paraId="5D4AF89E" w14:textId="2DAA96DC" w:rsidR="002F42F4" w:rsidRPr="002F42F4" w:rsidRDefault="002F42F4" w:rsidP="002F42F4">
            <w:pPr>
              <w:jc w:val="right"/>
              <w:rPr>
                <w:b/>
                <w:bCs/>
                <w:color w:val="000000"/>
                <w:sz w:val="20"/>
                <w:szCs w:val="20"/>
                <w:lang w:eastAsia="en-GB"/>
              </w:rPr>
            </w:pPr>
            <w:r w:rsidRPr="002F42F4">
              <w:rPr>
                <w:sz w:val="20"/>
                <w:szCs w:val="20"/>
              </w:rPr>
              <w:t xml:space="preserve"> -   </w:t>
            </w:r>
          </w:p>
        </w:tc>
      </w:tr>
      <w:tr w:rsidR="002F42F4" w:rsidRPr="008D5292" w14:paraId="3D2E44DD" w14:textId="77777777" w:rsidTr="00665857">
        <w:trPr>
          <w:trHeight w:val="319"/>
        </w:trPr>
        <w:tc>
          <w:tcPr>
            <w:tcW w:w="3088" w:type="dxa"/>
            <w:tcBorders>
              <w:top w:val="single" w:sz="4" w:space="0" w:color="auto"/>
              <w:left w:val="single" w:sz="12" w:space="0" w:color="auto"/>
              <w:bottom w:val="single" w:sz="4" w:space="0" w:color="auto"/>
              <w:right w:val="nil"/>
            </w:tcBorders>
            <w:shd w:val="clear" w:color="000000" w:fill="FFFFFF"/>
            <w:noWrap/>
            <w:hideMark/>
          </w:tcPr>
          <w:p w14:paraId="06A41E74" w14:textId="544B7EC0" w:rsidR="002F42F4" w:rsidRPr="007C4AE9" w:rsidRDefault="002F42F4" w:rsidP="002F42F4">
            <w:pPr>
              <w:rPr>
                <w:b/>
                <w:bCs/>
                <w:color w:val="000000"/>
                <w:sz w:val="20"/>
                <w:szCs w:val="20"/>
                <w:lang w:eastAsia="en-GB"/>
              </w:rPr>
            </w:pPr>
            <w:r w:rsidRPr="007C4AE9">
              <w:rPr>
                <w:b/>
                <w:bCs/>
                <w:sz w:val="20"/>
                <w:szCs w:val="20"/>
              </w:rPr>
              <w:t>Expected Interest</w:t>
            </w:r>
          </w:p>
        </w:tc>
        <w:tc>
          <w:tcPr>
            <w:tcW w:w="1050" w:type="dxa"/>
            <w:tcBorders>
              <w:top w:val="single" w:sz="4" w:space="0" w:color="auto"/>
              <w:left w:val="nil"/>
              <w:bottom w:val="single" w:sz="4" w:space="0" w:color="auto"/>
              <w:right w:val="nil"/>
            </w:tcBorders>
            <w:shd w:val="clear" w:color="000000" w:fill="FFFFFF"/>
            <w:noWrap/>
            <w:hideMark/>
          </w:tcPr>
          <w:p w14:paraId="6130FE76" w14:textId="7DE1993E" w:rsidR="002F42F4" w:rsidRPr="002F42F4" w:rsidRDefault="002F42F4" w:rsidP="002F42F4">
            <w:pPr>
              <w:jc w:val="right"/>
              <w:rPr>
                <w:b/>
                <w:bCs/>
                <w:color w:val="000000"/>
                <w:sz w:val="20"/>
                <w:szCs w:val="20"/>
                <w:lang w:eastAsia="en-GB"/>
              </w:rPr>
            </w:pPr>
            <w:r w:rsidRPr="002F42F4">
              <w:rPr>
                <w:sz w:val="20"/>
                <w:szCs w:val="20"/>
              </w:rPr>
              <w:t xml:space="preserve"> 0.65 </w:t>
            </w:r>
          </w:p>
        </w:tc>
        <w:tc>
          <w:tcPr>
            <w:tcW w:w="1102" w:type="dxa"/>
            <w:tcBorders>
              <w:top w:val="single" w:sz="4" w:space="0" w:color="auto"/>
              <w:left w:val="nil"/>
              <w:bottom w:val="single" w:sz="4" w:space="0" w:color="auto"/>
              <w:right w:val="nil"/>
            </w:tcBorders>
            <w:shd w:val="clear" w:color="000000" w:fill="FFFFFF"/>
            <w:noWrap/>
            <w:hideMark/>
          </w:tcPr>
          <w:p w14:paraId="2F9EE928" w14:textId="49207940" w:rsidR="002F42F4" w:rsidRPr="002F42F4" w:rsidRDefault="002F42F4" w:rsidP="002F42F4">
            <w:pPr>
              <w:jc w:val="right"/>
              <w:rPr>
                <w:b/>
                <w:bCs/>
                <w:color w:val="000000"/>
                <w:sz w:val="20"/>
                <w:szCs w:val="20"/>
                <w:lang w:eastAsia="en-GB"/>
              </w:rPr>
            </w:pPr>
            <w:r w:rsidRPr="002F42F4">
              <w:rPr>
                <w:sz w:val="20"/>
                <w:szCs w:val="20"/>
              </w:rPr>
              <w:t xml:space="preserve"> 0.24 </w:t>
            </w:r>
          </w:p>
        </w:tc>
        <w:tc>
          <w:tcPr>
            <w:tcW w:w="1052" w:type="dxa"/>
            <w:tcBorders>
              <w:top w:val="single" w:sz="4" w:space="0" w:color="auto"/>
              <w:left w:val="nil"/>
              <w:bottom w:val="single" w:sz="4" w:space="0" w:color="auto"/>
              <w:right w:val="nil"/>
            </w:tcBorders>
            <w:shd w:val="clear" w:color="000000" w:fill="FFFFFF"/>
            <w:noWrap/>
            <w:hideMark/>
          </w:tcPr>
          <w:p w14:paraId="7E6379C5" w14:textId="71A07439" w:rsidR="002F42F4" w:rsidRPr="002F42F4" w:rsidRDefault="002F42F4" w:rsidP="002F42F4">
            <w:pPr>
              <w:jc w:val="right"/>
              <w:rPr>
                <w:b/>
                <w:bCs/>
                <w:color w:val="000000"/>
                <w:sz w:val="20"/>
                <w:szCs w:val="20"/>
                <w:lang w:eastAsia="en-GB"/>
              </w:rPr>
            </w:pPr>
            <w:r w:rsidRPr="002F42F4">
              <w:rPr>
                <w:sz w:val="20"/>
                <w:szCs w:val="20"/>
              </w:rPr>
              <w:t xml:space="preserve"> -   </w:t>
            </w:r>
          </w:p>
        </w:tc>
        <w:tc>
          <w:tcPr>
            <w:tcW w:w="1050" w:type="dxa"/>
            <w:tcBorders>
              <w:top w:val="single" w:sz="4" w:space="0" w:color="auto"/>
              <w:left w:val="nil"/>
              <w:bottom w:val="single" w:sz="4" w:space="0" w:color="auto"/>
              <w:right w:val="single" w:sz="12" w:space="0" w:color="auto"/>
            </w:tcBorders>
            <w:shd w:val="clear" w:color="000000" w:fill="FFFFFF"/>
            <w:noWrap/>
            <w:hideMark/>
          </w:tcPr>
          <w:p w14:paraId="49437D64" w14:textId="5C0FBE8C" w:rsidR="002F42F4" w:rsidRPr="002F42F4" w:rsidRDefault="002F42F4" w:rsidP="002F42F4">
            <w:pPr>
              <w:jc w:val="right"/>
              <w:rPr>
                <w:b/>
                <w:bCs/>
                <w:color w:val="000000"/>
                <w:sz w:val="20"/>
                <w:szCs w:val="20"/>
                <w:lang w:eastAsia="en-GB"/>
              </w:rPr>
            </w:pPr>
            <w:r w:rsidRPr="002F42F4">
              <w:rPr>
                <w:sz w:val="20"/>
                <w:szCs w:val="20"/>
              </w:rPr>
              <w:t xml:space="preserve"> -   </w:t>
            </w:r>
          </w:p>
        </w:tc>
      </w:tr>
      <w:tr w:rsidR="002F42F4" w:rsidRPr="008D5292" w14:paraId="582A2F2F" w14:textId="77777777" w:rsidTr="00665857">
        <w:trPr>
          <w:trHeight w:val="319"/>
        </w:trPr>
        <w:tc>
          <w:tcPr>
            <w:tcW w:w="3088" w:type="dxa"/>
            <w:tcBorders>
              <w:top w:val="nil"/>
              <w:left w:val="single" w:sz="12" w:space="0" w:color="auto"/>
              <w:bottom w:val="nil"/>
              <w:right w:val="nil"/>
            </w:tcBorders>
            <w:shd w:val="clear" w:color="000000" w:fill="FFFFFF"/>
            <w:noWrap/>
            <w:hideMark/>
          </w:tcPr>
          <w:p w14:paraId="33149C77" w14:textId="78E7AFF6" w:rsidR="002F42F4" w:rsidRPr="007C4AE9" w:rsidRDefault="002F42F4" w:rsidP="002F42F4">
            <w:pPr>
              <w:rPr>
                <w:color w:val="000000"/>
                <w:sz w:val="20"/>
                <w:szCs w:val="20"/>
                <w:lang w:eastAsia="en-GB"/>
              </w:rPr>
            </w:pPr>
            <w:r w:rsidRPr="007C4AE9">
              <w:rPr>
                <w:sz w:val="20"/>
                <w:szCs w:val="20"/>
              </w:rPr>
              <w:t>+1% Net Change in Interest</w:t>
            </w:r>
          </w:p>
        </w:tc>
        <w:tc>
          <w:tcPr>
            <w:tcW w:w="1050" w:type="dxa"/>
            <w:tcBorders>
              <w:top w:val="nil"/>
              <w:left w:val="nil"/>
              <w:bottom w:val="nil"/>
              <w:right w:val="nil"/>
            </w:tcBorders>
            <w:shd w:val="clear" w:color="000000" w:fill="FFFFFF"/>
            <w:noWrap/>
            <w:hideMark/>
          </w:tcPr>
          <w:p w14:paraId="38C35454" w14:textId="2715A4FC" w:rsidR="002F42F4" w:rsidRPr="002F42F4" w:rsidRDefault="002F42F4" w:rsidP="002F42F4">
            <w:pPr>
              <w:jc w:val="right"/>
              <w:rPr>
                <w:color w:val="000000"/>
                <w:sz w:val="20"/>
                <w:szCs w:val="20"/>
                <w:lang w:eastAsia="en-GB"/>
              </w:rPr>
            </w:pPr>
            <w:r w:rsidRPr="002F42F4">
              <w:rPr>
                <w:sz w:val="20"/>
                <w:szCs w:val="20"/>
              </w:rPr>
              <w:t xml:space="preserve"> 0.13 </w:t>
            </w:r>
          </w:p>
        </w:tc>
        <w:tc>
          <w:tcPr>
            <w:tcW w:w="1102" w:type="dxa"/>
            <w:tcBorders>
              <w:top w:val="nil"/>
              <w:left w:val="nil"/>
              <w:bottom w:val="nil"/>
              <w:right w:val="nil"/>
            </w:tcBorders>
            <w:shd w:val="clear" w:color="000000" w:fill="FFFFFF"/>
            <w:noWrap/>
            <w:hideMark/>
          </w:tcPr>
          <w:p w14:paraId="3886DEDA" w14:textId="01AE44E1" w:rsidR="002F42F4" w:rsidRPr="002F42F4" w:rsidRDefault="002F42F4" w:rsidP="002F42F4">
            <w:pPr>
              <w:jc w:val="right"/>
              <w:rPr>
                <w:color w:val="000000"/>
                <w:sz w:val="20"/>
                <w:szCs w:val="20"/>
                <w:lang w:eastAsia="en-GB"/>
              </w:rPr>
            </w:pPr>
            <w:r w:rsidRPr="002F42F4">
              <w:rPr>
                <w:sz w:val="20"/>
                <w:szCs w:val="20"/>
              </w:rPr>
              <w:t xml:space="preserve"> 0.06 </w:t>
            </w:r>
          </w:p>
        </w:tc>
        <w:tc>
          <w:tcPr>
            <w:tcW w:w="1052" w:type="dxa"/>
            <w:tcBorders>
              <w:top w:val="nil"/>
              <w:left w:val="nil"/>
              <w:bottom w:val="nil"/>
              <w:right w:val="nil"/>
            </w:tcBorders>
            <w:shd w:val="clear" w:color="000000" w:fill="FFFFFF"/>
            <w:noWrap/>
            <w:hideMark/>
          </w:tcPr>
          <w:p w14:paraId="29201DD9" w14:textId="152EAEE8" w:rsidR="002F42F4" w:rsidRPr="002F42F4" w:rsidRDefault="002F42F4" w:rsidP="002F42F4">
            <w:pPr>
              <w:jc w:val="right"/>
              <w:rPr>
                <w:color w:val="000000"/>
                <w:sz w:val="20"/>
                <w:szCs w:val="20"/>
                <w:lang w:eastAsia="en-GB"/>
              </w:rPr>
            </w:pPr>
            <w:r w:rsidRPr="002F42F4">
              <w:rPr>
                <w:sz w:val="20"/>
                <w:szCs w:val="20"/>
              </w:rPr>
              <w:t xml:space="preserve"> -   </w:t>
            </w:r>
          </w:p>
        </w:tc>
        <w:tc>
          <w:tcPr>
            <w:tcW w:w="1050" w:type="dxa"/>
            <w:tcBorders>
              <w:top w:val="nil"/>
              <w:left w:val="nil"/>
              <w:bottom w:val="nil"/>
              <w:right w:val="single" w:sz="12" w:space="0" w:color="auto"/>
            </w:tcBorders>
            <w:shd w:val="clear" w:color="000000" w:fill="FFFFFF"/>
            <w:noWrap/>
            <w:hideMark/>
          </w:tcPr>
          <w:p w14:paraId="5025E0B4" w14:textId="73E65DD9" w:rsidR="002F42F4" w:rsidRPr="002F42F4" w:rsidRDefault="002F42F4" w:rsidP="002F42F4">
            <w:pPr>
              <w:jc w:val="right"/>
              <w:rPr>
                <w:color w:val="000000"/>
                <w:sz w:val="20"/>
                <w:szCs w:val="20"/>
                <w:lang w:eastAsia="en-GB"/>
              </w:rPr>
            </w:pPr>
            <w:r w:rsidRPr="002F42F4">
              <w:rPr>
                <w:sz w:val="20"/>
                <w:szCs w:val="20"/>
              </w:rPr>
              <w:t xml:space="preserve"> -   </w:t>
            </w:r>
          </w:p>
        </w:tc>
      </w:tr>
      <w:tr w:rsidR="002F42F4" w:rsidRPr="008D5292" w14:paraId="3CD870AB" w14:textId="77777777" w:rsidTr="00665857">
        <w:trPr>
          <w:trHeight w:val="319"/>
        </w:trPr>
        <w:tc>
          <w:tcPr>
            <w:tcW w:w="3088" w:type="dxa"/>
            <w:tcBorders>
              <w:top w:val="nil"/>
              <w:left w:val="single" w:sz="12" w:space="0" w:color="auto"/>
              <w:bottom w:val="single" w:sz="12" w:space="0" w:color="auto"/>
              <w:right w:val="nil"/>
            </w:tcBorders>
            <w:shd w:val="clear" w:color="000000" w:fill="FFFFFF"/>
            <w:noWrap/>
            <w:hideMark/>
          </w:tcPr>
          <w:p w14:paraId="6560F716" w14:textId="5E8C5B88" w:rsidR="002F42F4" w:rsidRPr="007C4AE9" w:rsidRDefault="002F42F4" w:rsidP="002F42F4">
            <w:pPr>
              <w:rPr>
                <w:color w:val="000000"/>
                <w:sz w:val="20"/>
                <w:szCs w:val="20"/>
                <w:lang w:eastAsia="en-GB"/>
              </w:rPr>
            </w:pPr>
            <w:r w:rsidRPr="007C4AE9">
              <w:rPr>
                <w:sz w:val="20"/>
                <w:szCs w:val="20"/>
              </w:rPr>
              <w:t>-1% Net Change in Interest</w:t>
            </w:r>
          </w:p>
        </w:tc>
        <w:tc>
          <w:tcPr>
            <w:tcW w:w="1050" w:type="dxa"/>
            <w:tcBorders>
              <w:top w:val="nil"/>
              <w:left w:val="nil"/>
              <w:bottom w:val="single" w:sz="12" w:space="0" w:color="auto"/>
              <w:right w:val="nil"/>
            </w:tcBorders>
            <w:shd w:val="clear" w:color="000000" w:fill="FFFFFF"/>
            <w:noWrap/>
            <w:hideMark/>
          </w:tcPr>
          <w:p w14:paraId="53F3FF1A" w14:textId="31D20189" w:rsidR="002F42F4" w:rsidRPr="002F42F4" w:rsidRDefault="002F42F4" w:rsidP="002F42F4">
            <w:pPr>
              <w:jc w:val="right"/>
              <w:rPr>
                <w:color w:val="000000"/>
                <w:sz w:val="20"/>
                <w:szCs w:val="20"/>
                <w:lang w:eastAsia="en-GB"/>
              </w:rPr>
            </w:pPr>
            <w:r w:rsidRPr="002F42F4">
              <w:rPr>
                <w:sz w:val="20"/>
                <w:szCs w:val="20"/>
              </w:rPr>
              <w:t>(0.13)</w:t>
            </w:r>
          </w:p>
        </w:tc>
        <w:tc>
          <w:tcPr>
            <w:tcW w:w="1102" w:type="dxa"/>
            <w:tcBorders>
              <w:top w:val="nil"/>
              <w:left w:val="nil"/>
              <w:bottom w:val="single" w:sz="12" w:space="0" w:color="auto"/>
              <w:right w:val="nil"/>
            </w:tcBorders>
            <w:shd w:val="clear" w:color="000000" w:fill="FFFFFF"/>
            <w:noWrap/>
            <w:hideMark/>
          </w:tcPr>
          <w:p w14:paraId="528E68CD" w14:textId="4FFCF2DB" w:rsidR="002F42F4" w:rsidRPr="002F42F4" w:rsidRDefault="002F42F4" w:rsidP="002F42F4">
            <w:pPr>
              <w:jc w:val="right"/>
              <w:rPr>
                <w:color w:val="000000"/>
                <w:sz w:val="20"/>
                <w:szCs w:val="20"/>
                <w:lang w:eastAsia="en-GB"/>
              </w:rPr>
            </w:pPr>
            <w:r w:rsidRPr="002F42F4">
              <w:rPr>
                <w:sz w:val="20"/>
                <w:szCs w:val="20"/>
              </w:rPr>
              <w:t>(0.06)</w:t>
            </w:r>
          </w:p>
        </w:tc>
        <w:tc>
          <w:tcPr>
            <w:tcW w:w="1052" w:type="dxa"/>
            <w:tcBorders>
              <w:top w:val="nil"/>
              <w:left w:val="nil"/>
              <w:bottom w:val="single" w:sz="12" w:space="0" w:color="auto"/>
              <w:right w:val="nil"/>
            </w:tcBorders>
            <w:shd w:val="clear" w:color="000000" w:fill="FFFFFF"/>
            <w:noWrap/>
            <w:hideMark/>
          </w:tcPr>
          <w:p w14:paraId="3C5770F1" w14:textId="5C679B14" w:rsidR="002F42F4" w:rsidRPr="002F42F4" w:rsidRDefault="002F42F4" w:rsidP="002F42F4">
            <w:pPr>
              <w:jc w:val="right"/>
              <w:rPr>
                <w:color w:val="000000"/>
                <w:sz w:val="20"/>
                <w:szCs w:val="20"/>
                <w:lang w:eastAsia="en-GB"/>
              </w:rPr>
            </w:pPr>
            <w:r w:rsidRPr="002F42F4">
              <w:rPr>
                <w:sz w:val="20"/>
                <w:szCs w:val="20"/>
              </w:rPr>
              <w:t xml:space="preserve"> -   </w:t>
            </w:r>
          </w:p>
        </w:tc>
        <w:tc>
          <w:tcPr>
            <w:tcW w:w="1050" w:type="dxa"/>
            <w:tcBorders>
              <w:top w:val="nil"/>
              <w:left w:val="nil"/>
              <w:bottom w:val="single" w:sz="12" w:space="0" w:color="auto"/>
              <w:right w:val="single" w:sz="12" w:space="0" w:color="auto"/>
            </w:tcBorders>
            <w:shd w:val="clear" w:color="000000" w:fill="FFFFFF"/>
            <w:noWrap/>
            <w:hideMark/>
          </w:tcPr>
          <w:p w14:paraId="019499AF" w14:textId="7C68679A" w:rsidR="002F42F4" w:rsidRPr="002F42F4" w:rsidRDefault="002F42F4" w:rsidP="002F42F4">
            <w:pPr>
              <w:jc w:val="right"/>
              <w:rPr>
                <w:color w:val="000000"/>
                <w:sz w:val="20"/>
                <w:szCs w:val="20"/>
                <w:lang w:eastAsia="en-GB"/>
              </w:rPr>
            </w:pPr>
            <w:r w:rsidRPr="002F42F4">
              <w:rPr>
                <w:sz w:val="20"/>
                <w:szCs w:val="20"/>
              </w:rPr>
              <w:t xml:space="preserve"> -   </w:t>
            </w:r>
          </w:p>
        </w:tc>
      </w:tr>
    </w:tbl>
    <w:p w14:paraId="6EFFD6C1" w14:textId="39D177EF" w:rsidR="00057222" w:rsidRDefault="00841085" w:rsidP="00F96BF4">
      <w:pPr>
        <w:ind w:left="426"/>
        <w:jc w:val="both"/>
        <w:rPr>
          <w:rFonts w:ascii="Times New Roman" w:hAnsi="Times New Roman" w:cs="Times New Roman"/>
          <w:sz w:val="20"/>
          <w:szCs w:val="20"/>
          <w:lang w:eastAsia="en-GB"/>
        </w:rPr>
      </w:pPr>
      <w:r>
        <w:t xml:space="preserve">The Service holds </w:t>
      </w:r>
      <w:r w:rsidR="0096150E">
        <w:t>fixed rate deb</w:t>
      </w:r>
      <w:r w:rsidR="00E41EA1">
        <w:t xml:space="preserve">t which is not </w:t>
      </w:r>
      <w:r w:rsidR="0096150E">
        <w:t xml:space="preserve">impacted by </w:t>
      </w:r>
      <w:r w:rsidR="008B6FE8">
        <w:t xml:space="preserve">a change in interest rates. The table to the left shows the impact of a 1% rise or </w:t>
      </w:r>
      <w:r w:rsidR="00E41EA1">
        <w:t xml:space="preserve">fall in interest on the </w:t>
      </w:r>
      <w:r w:rsidR="00843573">
        <w:t xml:space="preserve">expected investments of the Service over the next three years. Note that the total investments </w:t>
      </w:r>
      <w:r w:rsidR="00A33C42">
        <w:t>equal</w:t>
      </w:r>
      <w:r w:rsidR="007A1E93">
        <w:t xml:space="preserve"> the cash available to invest in Table 1, reducing over the next three years.</w:t>
      </w:r>
    </w:p>
    <w:p w14:paraId="7CC5F2A8" w14:textId="5FBB7C0D" w:rsidR="00222465" w:rsidRDefault="00DE3186" w:rsidP="00222465">
      <w:pPr>
        <w:ind w:left="426"/>
        <w:rPr>
          <w:rFonts w:ascii="Times New Roman" w:hAnsi="Times New Roman" w:cs="Times New Roman"/>
          <w:sz w:val="20"/>
          <w:szCs w:val="20"/>
          <w:lang w:eastAsia="en-GB"/>
        </w:rPr>
      </w:pPr>
      <w:r w:rsidRPr="00DE3186">
        <w:rPr>
          <w:bCs/>
        </w:rPr>
        <w:t xml:space="preserve"> </w:t>
      </w:r>
    </w:p>
    <w:tbl>
      <w:tblPr>
        <w:tblpPr w:leftFromText="180" w:rightFromText="180" w:vertAnchor="text" w:horzAnchor="margin" w:tblpXSpec="right" w:tblpY="10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50"/>
        <w:gridCol w:w="1737"/>
        <w:gridCol w:w="1737"/>
      </w:tblGrid>
      <w:tr w:rsidR="000721AA" w:rsidRPr="0041076E" w14:paraId="7967B4F5" w14:textId="77777777" w:rsidTr="000721AA">
        <w:trPr>
          <w:trHeight w:val="340"/>
        </w:trPr>
        <w:tc>
          <w:tcPr>
            <w:tcW w:w="2650" w:type="dxa"/>
            <w:shd w:val="clear" w:color="auto" w:fill="B4C6E7" w:themeFill="accent1" w:themeFillTint="66"/>
            <w:vAlign w:val="center"/>
          </w:tcPr>
          <w:p w14:paraId="3583E56C" w14:textId="77777777" w:rsidR="000721AA" w:rsidRPr="00A33C42" w:rsidRDefault="000721AA" w:rsidP="000721AA">
            <w:pPr>
              <w:rPr>
                <w:bCs/>
                <w:sz w:val="22"/>
                <w:szCs w:val="22"/>
              </w:rPr>
            </w:pPr>
            <w:r w:rsidRPr="00A33C42">
              <w:rPr>
                <w:b/>
                <w:bCs/>
                <w:sz w:val="22"/>
                <w:szCs w:val="22"/>
              </w:rPr>
              <w:t>Refinancing rate risk indicator</w:t>
            </w:r>
          </w:p>
        </w:tc>
        <w:tc>
          <w:tcPr>
            <w:tcW w:w="1737" w:type="dxa"/>
            <w:shd w:val="clear" w:color="auto" w:fill="B4C6E7" w:themeFill="accent1" w:themeFillTint="66"/>
            <w:vAlign w:val="center"/>
          </w:tcPr>
          <w:p w14:paraId="2005331B" w14:textId="77777777" w:rsidR="000721AA" w:rsidRPr="00A33C42" w:rsidRDefault="000721AA" w:rsidP="000721AA">
            <w:pPr>
              <w:jc w:val="center"/>
              <w:rPr>
                <w:b/>
                <w:bCs/>
                <w:sz w:val="22"/>
                <w:szCs w:val="22"/>
              </w:rPr>
            </w:pPr>
            <w:r w:rsidRPr="00A33C42">
              <w:rPr>
                <w:b/>
                <w:bCs/>
                <w:sz w:val="22"/>
                <w:szCs w:val="22"/>
              </w:rPr>
              <w:t>Upper limit</w:t>
            </w:r>
          </w:p>
        </w:tc>
        <w:tc>
          <w:tcPr>
            <w:tcW w:w="1737" w:type="dxa"/>
            <w:shd w:val="clear" w:color="auto" w:fill="B4C6E7" w:themeFill="accent1" w:themeFillTint="66"/>
            <w:vAlign w:val="center"/>
          </w:tcPr>
          <w:p w14:paraId="0286689B" w14:textId="77777777" w:rsidR="000721AA" w:rsidRPr="00A33C42" w:rsidRDefault="000721AA" w:rsidP="000721AA">
            <w:pPr>
              <w:jc w:val="center"/>
              <w:rPr>
                <w:b/>
                <w:bCs/>
                <w:sz w:val="22"/>
                <w:szCs w:val="22"/>
              </w:rPr>
            </w:pPr>
            <w:r w:rsidRPr="00A33C42">
              <w:rPr>
                <w:b/>
                <w:bCs/>
                <w:sz w:val="22"/>
                <w:szCs w:val="22"/>
              </w:rPr>
              <w:t>Lower limit</w:t>
            </w:r>
          </w:p>
        </w:tc>
      </w:tr>
      <w:tr w:rsidR="000721AA" w:rsidRPr="0041076E" w14:paraId="634B522B" w14:textId="77777777" w:rsidTr="000721AA">
        <w:trPr>
          <w:trHeight w:val="340"/>
        </w:trPr>
        <w:tc>
          <w:tcPr>
            <w:tcW w:w="2650" w:type="dxa"/>
            <w:shd w:val="clear" w:color="auto" w:fill="auto"/>
            <w:vAlign w:val="center"/>
          </w:tcPr>
          <w:p w14:paraId="1A96131E" w14:textId="77777777" w:rsidR="000721AA" w:rsidRPr="00A33C42" w:rsidRDefault="000721AA" w:rsidP="000721AA">
            <w:pPr>
              <w:rPr>
                <w:bCs/>
                <w:sz w:val="22"/>
                <w:szCs w:val="22"/>
              </w:rPr>
            </w:pPr>
            <w:r w:rsidRPr="00A33C42">
              <w:rPr>
                <w:bCs/>
                <w:sz w:val="22"/>
                <w:szCs w:val="22"/>
              </w:rPr>
              <w:t>Under 12 months</w:t>
            </w:r>
          </w:p>
        </w:tc>
        <w:tc>
          <w:tcPr>
            <w:tcW w:w="1737" w:type="dxa"/>
            <w:shd w:val="clear" w:color="auto" w:fill="auto"/>
            <w:vAlign w:val="center"/>
          </w:tcPr>
          <w:p w14:paraId="0A6836E6" w14:textId="77777777" w:rsidR="000721AA" w:rsidRPr="00A33C42" w:rsidRDefault="000721AA" w:rsidP="000721AA">
            <w:pPr>
              <w:jc w:val="center"/>
              <w:rPr>
                <w:sz w:val="22"/>
                <w:szCs w:val="22"/>
              </w:rPr>
            </w:pPr>
            <w:r w:rsidRPr="00A33C42">
              <w:rPr>
                <w:sz w:val="22"/>
                <w:szCs w:val="22"/>
              </w:rPr>
              <w:t>50%</w:t>
            </w:r>
          </w:p>
        </w:tc>
        <w:tc>
          <w:tcPr>
            <w:tcW w:w="1737" w:type="dxa"/>
            <w:shd w:val="clear" w:color="auto" w:fill="auto"/>
            <w:vAlign w:val="center"/>
          </w:tcPr>
          <w:p w14:paraId="5B0ED697" w14:textId="77777777" w:rsidR="000721AA" w:rsidRPr="00A33C42" w:rsidRDefault="000721AA" w:rsidP="000721AA">
            <w:pPr>
              <w:jc w:val="center"/>
              <w:rPr>
                <w:sz w:val="22"/>
                <w:szCs w:val="22"/>
              </w:rPr>
            </w:pPr>
            <w:r w:rsidRPr="00A33C42">
              <w:rPr>
                <w:sz w:val="22"/>
                <w:szCs w:val="22"/>
              </w:rPr>
              <w:t>0%</w:t>
            </w:r>
          </w:p>
        </w:tc>
      </w:tr>
      <w:tr w:rsidR="000721AA" w:rsidRPr="0041076E" w14:paraId="616B3F7A" w14:textId="77777777" w:rsidTr="000721AA">
        <w:trPr>
          <w:trHeight w:val="340"/>
        </w:trPr>
        <w:tc>
          <w:tcPr>
            <w:tcW w:w="2650" w:type="dxa"/>
            <w:shd w:val="clear" w:color="auto" w:fill="auto"/>
            <w:vAlign w:val="center"/>
          </w:tcPr>
          <w:p w14:paraId="5B9C2A5D" w14:textId="77777777" w:rsidR="000721AA" w:rsidRPr="00A33C42" w:rsidRDefault="000721AA" w:rsidP="000721AA">
            <w:pPr>
              <w:rPr>
                <w:bCs/>
                <w:sz w:val="22"/>
                <w:szCs w:val="22"/>
              </w:rPr>
            </w:pPr>
            <w:r w:rsidRPr="00A33C42">
              <w:rPr>
                <w:bCs/>
                <w:sz w:val="22"/>
                <w:szCs w:val="22"/>
              </w:rPr>
              <w:t>12 months to 24 months</w:t>
            </w:r>
          </w:p>
        </w:tc>
        <w:tc>
          <w:tcPr>
            <w:tcW w:w="1737" w:type="dxa"/>
            <w:shd w:val="clear" w:color="auto" w:fill="auto"/>
            <w:vAlign w:val="center"/>
          </w:tcPr>
          <w:p w14:paraId="11121D76" w14:textId="77777777" w:rsidR="000721AA" w:rsidRPr="00A33C42" w:rsidRDefault="000721AA" w:rsidP="000721AA">
            <w:pPr>
              <w:jc w:val="center"/>
              <w:rPr>
                <w:sz w:val="22"/>
                <w:szCs w:val="22"/>
              </w:rPr>
            </w:pPr>
            <w:r w:rsidRPr="00A33C42">
              <w:rPr>
                <w:sz w:val="22"/>
                <w:szCs w:val="22"/>
              </w:rPr>
              <w:t>50%</w:t>
            </w:r>
          </w:p>
        </w:tc>
        <w:tc>
          <w:tcPr>
            <w:tcW w:w="1737" w:type="dxa"/>
            <w:shd w:val="clear" w:color="auto" w:fill="auto"/>
            <w:vAlign w:val="center"/>
          </w:tcPr>
          <w:p w14:paraId="7F00EC04" w14:textId="77777777" w:rsidR="000721AA" w:rsidRPr="00A33C42" w:rsidRDefault="000721AA" w:rsidP="000721AA">
            <w:pPr>
              <w:jc w:val="center"/>
              <w:rPr>
                <w:sz w:val="22"/>
                <w:szCs w:val="22"/>
              </w:rPr>
            </w:pPr>
            <w:r w:rsidRPr="00A33C42">
              <w:rPr>
                <w:sz w:val="22"/>
                <w:szCs w:val="22"/>
              </w:rPr>
              <w:t>0%</w:t>
            </w:r>
          </w:p>
        </w:tc>
      </w:tr>
      <w:tr w:rsidR="000721AA" w:rsidRPr="0041076E" w14:paraId="7ABF1FD5" w14:textId="77777777" w:rsidTr="000721AA">
        <w:trPr>
          <w:trHeight w:val="340"/>
        </w:trPr>
        <w:tc>
          <w:tcPr>
            <w:tcW w:w="2650" w:type="dxa"/>
            <w:shd w:val="clear" w:color="auto" w:fill="auto"/>
            <w:vAlign w:val="center"/>
          </w:tcPr>
          <w:p w14:paraId="6A6F060E" w14:textId="77777777" w:rsidR="000721AA" w:rsidRPr="00A33C42" w:rsidRDefault="000721AA" w:rsidP="000721AA">
            <w:pPr>
              <w:rPr>
                <w:bCs/>
                <w:sz w:val="22"/>
                <w:szCs w:val="22"/>
              </w:rPr>
            </w:pPr>
            <w:r w:rsidRPr="00A33C42">
              <w:rPr>
                <w:bCs/>
                <w:sz w:val="22"/>
                <w:szCs w:val="22"/>
              </w:rPr>
              <w:t>24 months and within 5 years</w:t>
            </w:r>
          </w:p>
        </w:tc>
        <w:tc>
          <w:tcPr>
            <w:tcW w:w="1737" w:type="dxa"/>
            <w:shd w:val="clear" w:color="auto" w:fill="auto"/>
            <w:vAlign w:val="center"/>
          </w:tcPr>
          <w:p w14:paraId="40484604" w14:textId="77777777" w:rsidR="000721AA" w:rsidRPr="00A33C42" w:rsidRDefault="000721AA" w:rsidP="000721AA">
            <w:pPr>
              <w:jc w:val="center"/>
              <w:rPr>
                <w:sz w:val="22"/>
                <w:szCs w:val="22"/>
              </w:rPr>
            </w:pPr>
            <w:r w:rsidRPr="00A33C42">
              <w:rPr>
                <w:sz w:val="22"/>
                <w:szCs w:val="22"/>
              </w:rPr>
              <w:t>75%</w:t>
            </w:r>
          </w:p>
        </w:tc>
        <w:tc>
          <w:tcPr>
            <w:tcW w:w="1737" w:type="dxa"/>
            <w:shd w:val="clear" w:color="auto" w:fill="auto"/>
            <w:vAlign w:val="center"/>
          </w:tcPr>
          <w:p w14:paraId="2FB2D5C1" w14:textId="77777777" w:rsidR="000721AA" w:rsidRPr="00A33C42" w:rsidRDefault="000721AA" w:rsidP="000721AA">
            <w:pPr>
              <w:jc w:val="center"/>
              <w:rPr>
                <w:sz w:val="22"/>
                <w:szCs w:val="22"/>
              </w:rPr>
            </w:pPr>
            <w:r w:rsidRPr="00A33C42">
              <w:rPr>
                <w:sz w:val="22"/>
                <w:szCs w:val="22"/>
              </w:rPr>
              <w:t>0%</w:t>
            </w:r>
          </w:p>
        </w:tc>
      </w:tr>
      <w:tr w:rsidR="000721AA" w:rsidRPr="0041076E" w14:paraId="7025C5BC" w14:textId="77777777" w:rsidTr="000721AA">
        <w:trPr>
          <w:trHeight w:val="340"/>
        </w:trPr>
        <w:tc>
          <w:tcPr>
            <w:tcW w:w="2650" w:type="dxa"/>
            <w:shd w:val="clear" w:color="auto" w:fill="auto"/>
            <w:vAlign w:val="center"/>
          </w:tcPr>
          <w:p w14:paraId="11351C9A" w14:textId="77777777" w:rsidR="000721AA" w:rsidRPr="00A33C42" w:rsidRDefault="000721AA" w:rsidP="000721AA">
            <w:pPr>
              <w:rPr>
                <w:bCs/>
                <w:sz w:val="22"/>
                <w:szCs w:val="22"/>
              </w:rPr>
            </w:pPr>
            <w:r w:rsidRPr="00A33C42">
              <w:rPr>
                <w:bCs/>
                <w:sz w:val="22"/>
                <w:szCs w:val="22"/>
              </w:rPr>
              <w:t>5 years and within 10 years</w:t>
            </w:r>
          </w:p>
        </w:tc>
        <w:tc>
          <w:tcPr>
            <w:tcW w:w="1737" w:type="dxa"/>
            <w:shd w:val="clear" w:color="auto" w:fill="auto"/>
            <w:vAlign w:val="center"/>
          </w:tcPr>
          <w:p w14:paraId="3D96FAEA" w14:textId="77777777" w:rsidR="000721AA" w:rsidRPr="00A33C42" w:rsidRDefault="000721AA" w:rsidP="000721AA">
            <w:pPr>
              <w:jc w:val="center"/>
              <w:rPr>
                <w:sz w:val="22"/>
                <w:szCs w:val="22"/>
              </w:rPr>
            </w:pPr>
            <w:r w:rsidRPr="00A33C42">
              <w:rPr>
                <w:sz w:val="22"/>
                <w:szCs w:val="22"/>
              </w:rPr>
              <w:t>75%</w:t>
            </w:r>
          </w:p>
        </w:tc>
        <w:tc>
          <w:tcPr>
            <w:tcW w:w="1737" w:type="dxa"/>
            <w:shd w:val="clear" w:color="auto" w:fill="auto"/>
            <w:vAlign w:val="center"/>
          </w:tcPr>
          <w:p w14:paraId="6424BAF9" w14:textId="77777777" w:rsidR="000721AA" w:rsidRPr="00A33C42" w:rsidRDefault="000721AA" w:rsidP="000721AA">
            <w:pPr>
              <w:jc w:val="center"/>
              <w:rPr>
                <w:sz w:val="22"/>
                <w:szCs w:val="22"/>
              </w:rPr>
            </w:pPr>
            <w:r w:rsidRPr="00A33C42">
              <w:rPr>
                <w:sz w:val="22"/>
                <w:szCs w:val="22"/>
              </w:rPr>
              <w:t>0%</w:t>
            </w:r>
          </w:p>
        </w:tc>
      </w:tr>
      <w:tr w:rsidR="000721AA" w:rsidRPr="0041076E" w14:paraId="70927D2E" w14:textId="77777777" w:rsidTr="000721AA">
        <w:trPr>
          <w:trHeight w:val="340"/>
        </w:trPr>
        <w:tc>
          <w:tcPr>
            <w:tcW w:w="2650" w:type="dxa"/>
            <w:shd w:val="clear" w:color="auto" w:fill="auto"/>
            <w:vAlign w:val="center"/>
          </w:tcPr>
          <w:p w14:paraId="741FB0FC" w14:textId="77777777" w:rsidR="000721AA" w:rsidRPr="00A33C42" w:rsidRDefault="000721AA" w:rsidP="000721AA">
            <w:pPr>
              <w:rPr>
                <w:bCs/>
                <w:sz w:val="22"/>
                <w:szCs w:val="22"/>
              </w:rPr>
            </w:pPr>
            <w:r w:rsidRPr="00A33C42">
              <w:rPr>
                <w:bCs/>
                <w:sz w:val="22"/>
                <w:szCs w:val="22"/>
              </w:rPr>
              <w:t>10 years and within 15 years</w:t>
            </w:r>
          </w:p>
        </w:tc>
        <w:tc>
          <w:tcPr>
            <w:tcW w:w="1737" w:type="dxa"/>
            <w:shd w:val="clear" w:color="auto" w:fill="auto"/>
            <w:vAlign w:val="center"/>
          </w:tcPr>
          <w:p w14:paraId="7ED59EC4" w14:textId="77777777" w:rsidR="000721AA" w:rsidRPr="00A33C42" w:rsidRDefault="000721AA" w:rsidP="000721AA">
            <w:pPr>
              <w:jc w:val="center"/>
              <w:rPr>
                <w:sz w:val="22"/>
                <w:szCs w:val="22"/>
              </w:rPr>
            </w:pPr>
            <w:r w:rsidRPr="00A33C42">
              <w:rPr>
                <w:sz w:val="22"/>
                <w:szCs w:val="22"/>
              </w:rPr>
              <w:t>100%</w:t>
            </w:r>
          </w:p>
        </w:tc>
        <w:tc>
          <w:tcPr>
            <w:tcW w:w="1737" w:type="dxa"/>
            <w:shd w:val="clear" w:color="auto" w:fill="auto"/>
            <w:vAlign w:val="center"/>
          </w:tcPr>
          <w:p w14:paraId="6438C2B5" w14:textId="77777777" w:rsidR="000721AA" w:rsidRPr="00A33C42" w:rsidRDefault="000721AA" w:rsidP="000721AA">
            <w:pPr>
              <w:jc w:val="center"/>
              <w:rPr>
                <w:sz w:val="22"/>
                <w:szCs w:val="22"/>
              </w:rPr>
            </w:pPr>
            <w:r w:rsidRPr="00A33C42">
              <w:rPr>
                <w:sz w:val="22"/>
                <w:szCs w:val="22"/>
              </w:rPr>
              <w:t>0%</w:t>
            </w:r>
          </w:p>
        </w:tc>
      </w:tr>
      <w:tr w:rsidR="000721AA" w:rsidRPr="0041076E" w14:paraId="205F58CE" w14:textId="77777777" w:rsidTr="000721AA">
        <w:trPr>
          <w:trHeight w:val="340"/>
        </w:trPr>
        <w:tc>
          <w:tcPr>
            <w:tcW w:w="2650" w:type="dxa"/>
            <w:shd w:val="clear" w:color="auto" w:fill="auto"/>
            <w:vAlign w:val="center"/>
          </w:tcPr>
          <w:p w14:paraId="3ED94F56" w14:textId="77777777" w:rsidR="000721AA" w:rsidRPr="00A33C42" w:rsidRDefault="000721AA" w:rsidP="000721AA">
            <w:pPr>
              <w:rPr>
                <w:bCs/>
                <w:sz w:val="22"/>
                <w:szCs w:val="22"/>
              </w:rPr>
            </w:pPr>
            <w:r w:rsidRPr="00A33C42">
              <w:rPr>
                <w:bCs/>
                <w:sz w:val="22"/>
                <w:szCs w:val="22"/>
              </w:rPr>
              <w:t xml:space="preserve">15 years and above </w:t>
            </w:r>
          </w:p>
        </w:tc>
        <w:tc>
          <w:tcPr>
            <w:tcW w:w="1737" w:type="dxa"/>
            <w:shd w:val="clear" w:color="auto" w:fill="auto"/>
            <w:vAlign w:val="center"/>
          </w:tcPr>
          <w:p w14:paraId="31C57960" w14:textId="77777777" w:rsidR="000721AA" w:rsidRPr="00A33C42" w:rsidRDefault="000721AA" w:rsidP="000721AA">
            <w:pPr>
              <w:jc w:val="center"/>
              <w:rPr>
                <w:color w:val="AF173B"/>
                <w:sz w:val="22"/>
                <w:szCs w:val="22"/>
              </w:rPr>
            </w:pPr>
            <w:r w:rsidRPr="00A33C42">
              <w:rPr>
                <w:sz w:val="22"/>
                <w:szCs w:val="22"/>
              </w:rPr>
              <w:t>100%</w:t>
            </w:r>
          </w:p>
        </w:tc>
        <w:tc>
          <w:tcPr>
            <w:tcW w:w="1737" w:type="dxa"/>
            <w:shd w:val="clear" w:color="auto" w:fill="auto"/>
            <w:vAlign w:val="center"/>
          </w:tcPr>
          <w:p w14:paraId="7FCE1743" w14:textId="77777777" w:rsidR="000721AA" w:rsidRPr="00A33C42" w:rsidRDefault="000721AA" w:rsidP="000721AA">
            <w:pPr>
              <w:jc w:val="center"/>
              <w:rPr>
                <w:color w:val="AF173B"/>
                <w:sz w:val="22"/>
                <w:szCs w:val="22"/>
              </w:rPr>
            </w:pPr>
            <w:r w:rsidRPr="00A33C42">
              <w:rPr>
                <w:sz w:val="22"/>
                <w:szCs w:val="22"/>
              </w:rPr>
              <w:t>0%</w:t>
            </w:r>
          </w:p>
        </w:tc>
      </w:tr>
    </w:tbl>
    <w:p w14:paraId="4FE29460" w14:textId="77777777" w:rsidR="002972A4" w:rsidRDefault="002972A4" w:rsidP="00222465">
      <w:pPr>
        <w:ind w:left="426"/>
        <w:rPr>
          <w:bCs/>
        </w:rPr>
      </w:pPr>
    </w:p>
    <w:p w14:paraId="6B055F50" w14:textId="77777777" w:rsidR="002972A4" w:rsidRDefault="002972A4" w:rsidP="00222465">
      <w:pPr>
        <w:ind w:left="426"/>
        <w:rPr>
          <w:bCs/>
        </w:rPr>
      </w:pPr>
    </w:p>
    <w:p w14:paraId="5C5AAE3A" w14:textId="77777777" w:rsidR="008D5292" w:rsidRDefault="008D5292" w:rsidP="00222465">
      <w:pPr>
        <w:ind w:left="426"/>
        <w:rPr>
          <w:bCs/>
        </w:rPr>
      </w:pPr>
    </w:p>
    <w:p w14:paraId="36A4BE83" w14:textId="77777777" w:rsidR="008D5292" w:rsidRDefault="008D5292" w:rsidP="008D5292">
      <w:pPr>
        <w:rPr>
          <w:bCs/>
        </w:rPr>
      </w:pPr>
    </w:p>
    <w:p w14:paraId="10176BB1" w14:textId="77777777" w:rsidR="00841085" w:rsidRDefault="00841085" w:rsidP="00222465">
      <w:pPr>
        <w:ind w:left="426"/>
        <w:rPr>
          <w:bCs/>
        </w:rPr>
      </w:pPr>
    </w:p>
    <w:p w14:paraId="530C48CB" w14:textId="77777777" w:rsidR="00A33C42" w:rsidRDefault="00A33C42" w:rsidP="008D5292">
      <w:pPr>
        <w:spacing w:after="240"/>
        <w:ind w:left="426"/>
        <w:jc w:val="both"/>
        <w:rPr>
          <w:b/>
          <w:bCs/>
        </w:rPr>
      </w:pPr>
    </w:p>
    <w:p w14:paraId="163A5080" w14:textId="77777777" w:rsidR="000721AA" w:rsidRDefault="000721AA" w:rsidP="000721AA">
      <w:pPr>
        <w:spacing w:after="240"/>
        <w:ind w:left="426"/>
        <w:jc w:val="both"/>
        <w:rPr>
          <w:b/>
          <w:bCs/>
        </w:rPr>
      </w:pPr>
    </w:p>
    <w:p w14:paraId="55D7B938" w14:textId="78920E44" w:rsidR="00CC3232" w:rsidRDefault="00CC3232" w:rsidP="000721AA">
      <w:pPr>
        <w:spacing w:after="240"/>
        <w:ind w:left="426"/>
        <w:jc w:val="both"/>
        <w:rPr>
          <w:bCs/>
        </w:rPr>
      </w:pPr>
      <w:r w:rsidRPr="0041076E">
        <w:rPr>
          <w:b/>
          <w:bCs/>
        </w:rPr>
        <w:t>Maturity structure of borrowing:</w:t>
      </w:r>
      <w:r w:rsidRPr="0041076E">
        <w:rPr>
          <w:bCs/>
        </w:rPr>
        <w:t xml:space="preserve"> This indicator is set to control the Authority’s exposure to refinancing risk. The upper and lower limits on the maturity structure of borrowing will be:</w:t>
      </w:r>
    </w:p>
    <w:p w14:paraId="2DBB4D17" w14:textId="5128C1B8" w:rsidR="003D3F6B" w:rsidRDefault="00140DEA" w:rsidP="003D3F6B">
      <w:pPr>
        <w:ind w:left="426"/>
        <w:jc w:val="both"/>
        <w:rPr>
          <w:bCs/>
        </w:rPr>
      </w:pPr>
      <w:r>
        <w:rPr>
          <w:b/>
          <w:bCs/>
        </w:rPr>
        <w:t xml:space="preserve">Long-term </w:t>
      </w:r>
      <w:r w:rsidR="00426872">
        <w:rPr>
          <w:b/>
          <w:bCs/>
        </w:rPr>
        <w:t>treasury management investments</w:t>
      </w:r>
      <w:r w:rsidR="00CC3232" w:rsidRPr="0041076E">
        <w:rPr>
          <w:b/>
          <w:bCs/>
        </w:rPr>
        <w:t>:</w:t>
      </w:r>
      <w:r w:rsidR="00CC3232" w:rsidRPr="0041076E">
        <w:rPr>
          <w:bCs/>
        </w:rPr>
        <w:t xml:space="preserve"> The purpose of this indicator is to control the Authority’s exposure to the risk of incurring losses by seeking early repayment of its investments. The </w:t>
      </w:r>
      <w:r w:rsidR="00D16434">
        <w:rPr>
          <w:bCs/>
        </w:rPr>
        <w:t xml:space="preserve">prudential </w:t>
      </w:r>
      <w:r w:rsidR="00CC3232" w:rsidRPr="0041076E">
        <w:rPr>
          <w:bCs/>
        </w:rPr>
        <w:t>limits on the long-</w:t>
      </w:r>
      <w:r w:rsidR="00453F53" w:rsidRPr="0041076E">
        <w:rPr>
          <w:bCs/>
        </w:rPr>
        <w:t>term</w:t>
      </w:r>
      <w:r w:rsidR="00453F53">
        <w:rPr>
          <w:bCs/>
        </w:rPr>
        <w:t xml:space="preserve"> treasury management investments will be</w:t>
      </w:r>
      <w:r w:rsidR="00CC3232" w:rsidRPr="0041076E">
        <w:rPr>
          <w:bCs/>
        </w:rPr>
        <w:t>:</w:t>
      </w:r>
      <w:bookmarkStart w:id="14" w:name="_Toc73025264"/>
    </w:p>
    <w:p w14:paraId="4AB724E6" w14:textId="77777777" w:rsidR="003D3F6B" w:rsidRPr="003D3F6B" w:rsidRDefault="003D3F6B" w:rsidP="003D3F6B">
      <w:pPr>
        <w:ind w:left="426"/>
        <w:jc w:val="both"/>
        <w:rPr>
          <w:bCs/>
        </w:rPr>
      </w:pPr>
    </w:p>
    <w:tbl>
      <w:tblPr>
        <w:tblW w:w="0" w:type="auto"/>
        <w:tblInd w:w="4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28"/>
        <w:gridCol w:w="1409"/>
        <w:gridCol w:w="1409"/>
        <w:gridCol w:w="1409"/>
        <w:gridCol w:w="1409"/>
      </w:tblGrid>
      <w:tr w:rsidR="003D3F6B" w:rsidRPr="0041076E" w14:paraId="06F4CF1D" w14:textId="77777777" w:rsidTr="000721AA">
        <w:trPr>
          <w:trHeight w:val="340"/>
        </w:trPr>
        <w:tc>
          <w:tcPr>
            <w:tcW w:w="5628" w:type="dxa"/>
            <w:shd w:val="clear" w:color="auto" w:fill="B4C6E7" w:themeFill="accent1" w:themeFillTint="66"/>
            <w:vAlign w:val="center"/>
          </w:tcPr>
          <w:p w14:paraId="05893FA7" w14:textId="77777777" w:rsidR="003D3F6B" w:rsidRPr="0041076E" w:rsidRDefault="003D3F6B" w:rsidP="00827328">
            <w:pPr>
              <w:rPr>
                <w:b/>
                <w:bCs/>
              </w:rPr>
            </w:pPr>
            <w:r w:rsidRPr="0041076E">
              <w:rPr>
                <w:b/>
                <w:bCs/>
              </w:rPr>
              <w:t>Price risk indicator</w:t>
            </w:r>
          </w:p>
        </w:tc>
        <w:tc>
          <w:tcPr>
            <w:tcW w:w="1409" w:type="dxa"/>
            <w:shd w:val="clear" w:color="auto" w:fill="B4C6E7" w:themeFill="accent1" w:themeFillTint="66"/>
            <w:vAlign w:val="center"/>
          </w:tcPr>
          <w:p w14:paraId="7D5BAA67" w14:textId="77777777" w:rsidR="003D3F6B" w:rsidRPr="0041076E" w:rsidRDefault="003D3F6B" w:rsidP="00827328">
            <w:pPr>
              <w:jc w:val="center"/>
              <w:rPr>
                <w:b/>
                <w:bCs/>
              </w:rPr>
            </w:pPr>
            <w:r w:rsidRPr="0041076E">
              <w:rPr>
                <w:b/>
                <w:bCs/>
              </w:rPr>
              <w:t>202</w:t>
            </w:r>
            <w:r>
              <w:rPr>
                <w:b/>
                <w:bCs/>
              </w:rPr>
              <w:t>3</w:t>
            </w:r>
            <w:r w:rsidRPr="0041076E">
              <w:rPr>
                <w:b/>
                <w:bCs/>
              </w:rPr>
              <w:t>/2</w:t>
            </w:r>
            <w:r>
              <w:rPr>
                <w:b/>
                <w:bCs/>
              </w:rPr>
              <w:t>4</w:t>
            </w:r>
          </w:p>
        </w:tc>
        <w:tc>
          <w:tcPr>
            <w:tcW w:w="1409" w:type="dxa"/>
            <w:shd w:val="clear" w:color="auto" w:fill="B4C6E7" w:themeFill="accent1" w:themeFillTint="66"/>
            <w:vAlign w:val="center"/>
          </w:tcPr>
          <w:p w14:paraId="40A52F39" w14:textId="77777777" w:rsidR="003D3F6B" w:rsidRPr="0041076E" w:rsidRDefault="003D3F6B" w:rsidP="00827328">
            <w:pPr>
              <w:jc w:val="center"/>
              <w:rPr>
                <w:b/>
                <w:bCs/>
              </w:rPr>
            </w:pPr>
            <w:r w:rsidRPr="0041076E">
              <w:rPr>
                <w:b/>
                <w:bCs/>
              </w:rPr>
              <w:t>202</w:t>
            </w:r>
            <w:r>
              <w:rPr>
                <w:b/>
                <w:bCs/>
              </w:rPr>
              <w:t>4</w:t>
            </w:r>
            <w:r w:rsidRPr="0041076E">
              <w:rPr>
                <w:b/>
                <w:bCs/>
              </w:rPr>
              <w:t>/2</w:t>
            </w:r>
            <w:r>
              <w:rPr>
                <w:b/>
                <w:bCs/>
              </w:rPr>
              <w:t>5</w:t>
            </w:r>
          </w:p>
        </w:tc>
        <w:tc>
          <w:tcPr>
            <w:tcW w:w="1409" w:type="dxa"/>
            <w:shd w:val="clear" w:color="auto" w:fill="B4C6E7" w:themeFill="accent1" w:themeFillTint="66"/>
            <w:vAlign w:val="center"/>
          </w:tcPr>
          <w:p w14:paraId="1C1176A6" w14:textId="77777777" w:rsidR="003D3F6B" w:rsidRPr="0041076E" w:rsidRDefault="003D3F6B" w:rsidP="00827328">
            <w:pPr>
              <w:jc w:val="center"/>
              <w:rPr>
                <w:b/>
                <w:bCs/>
              </w:rPr>
            </w:pPr>
            <w:r w:rsidRPr="0041076E">
              <w:rPr>
                <w:b/>
                <w:bCs/>
              </w:rPr>
              <w:t>202</w:t>
            </w:r>
            <w:r>
              <w:rPr>
                <w:b/>
                <w:bCs/>
              </w:rPr>
              <w:t>5</w:t>
            </w:r>
            <w:r w:rsidRPr="0041076E">
              <w:rPr>
                <w:b/>
                <w:bCs/>
              </w:rPr>
              <w:t>/2</w:t>
            </w:r>
            <w:r>
              <w:rPr>
                <w:b/>
                <w:bCs/>
              </w:rPr>
              <w:t>6</w:t>
            </w:r>
          </w:p>
        </w:tc>
        <w:tc>
          <w:tcPr>
            <w:tcW w:w="1409" w:type="dxa"/>
            <w:shd w:val="clear" w:color="auto" w:fill="B4C6E7" w:themeFill="accent1" w:themeFillTint="66"/>
            <w:vAlign w:val="center"/>
          </w:tcPr>
          <w:p w14:paraId="65018915" w14:textId="77777777" w:rsidR="003D3F6B" w:rsidRDefault="003D3F6B" w:rsidP="00827328">
            <w:pPr>
              <w:jc w:val="center"/>
              <w:rPr>
                <w:b/>
                <w:bCs/>
              </w:rPr>
            </w:pPr>
            <w:r>
              <w:rPr>
                <w:b/>
                <w:bCs/>
              </w:rPr>
              <w:t>No fixed date</w:t>
            </w:r>
          </w:p>
        </w:tc>
      </w:tr>
      <w:tr w:rsidR="003D3F6B" w:rsidRPr="0041076E" w14:paraId="34829E1A" w14:textId="77777777" w:rsidTr="000721AA">
        <w:trPr>
          <w:trHeight w:val="340"/>
        </w:trPr>
        <w:tc>
          <w:tcPr>
            <w:tcW w:w="5628" w:type="dxa"/>
            <w:shd w:val="clear" w:color="auto" w:fill="auto"/>
            <w:vAlign w:val="center"/>
          </w:tcPr>
          <w:p w14:paraId="78BA2EE6" w14:textId="77777777" w:rsidR="003D3F6B" w:rsidRPr="0041076E" w:rsidRDefault="003D3F6B" w:rsidP="00827328">
            <w:pPr>
              <w:rPr>
                <w:bCs/>
              </w:rPr>
            </w:pPr>
            <w:r>
              <w:rPr>
                <w:bCs/>
              </w:rPr>
              <w:t>L</w:t>
            </w:r>
            <w:r w:rsidRPr="0041076E">
              <w:rPr>
                <w:bCs/>
              </w:rPr>
              <w:t>imit on principal invested beyond</w:t>
            </w:r>
            <w:r>
              <w:rPr>
                <w:bCs/>
              </w:rPr>
              <w:t xml:space="preserve"> one</w:t>
            </w:r>
            <w:r w:rsidRPr="0041076E">
              <w:rPr>
                <w:bCs/>
              </w:rPr>
              <w:t xml:space="preserve"> year</w:t>
            </w:r>
          </w:p>
        </w:tc>
        <w:tc>
          <w:tcPr>
            <w:tcW w:w="1409" w:type="dxa"/>
            <w:shd w:val="clear" w:color="auto" w:fill="auto"/>
            <w:vAlign w:val="center"/>
          </w:tcPr>
          <w:p w14:paraId="19A62392" w14:textId="77777777" w:rsidR="003D3F6B" w:rsidRPr="0041076E" w:rsidRDefault="003D3F6B" w:rsidP="00827328">
            <w:pPr>
              <w:jc w:val="center"/>
              <w:rPr>
                <w:bCs/>
                <w:color w:val="AF173B"/>
              </w:rPr>
            </w:pPr>
            <w:r w:rsidRPr="0041076E">
              <w:t>£</w:t>
            </w:r>
            <w:r>
              <w:t>1</w:t>
            </w:r>
            <w:r w:rsidRPr="0041076E">
              <w:t>m</w:t>
            </w:r>
          </w:p>
        </w:tc>
        <w:tc>
          <w:tcPr>
            <w:tcW w:w="1409" w:type="dxa"/>
            <w:shd w:val="clear" w:color="auto" w:fill="auto"/>
            <w:vAlign w:val="center"/>
          </w:tcPr>
          <w:p w14:paraId="15AF4ED1" w14:textId="77777777" w:rsidR="003D3F6B" w:rsidRPr="0041076E" w:rsidRDefault="003D3F6B" w:rsidP="00827328">
            <w:pPr>
              <w:jc w:val="center"/>
              <w:rPr>
                <w:bCs/>
              </w:rPr>
            </w:pPr>
            <w:r w:rsidRPr="0041076E">
              <w:t>£</w:t>
            </w:r>
            <w:r>
              <w:t>1m</w:t>
            </w:r>
          </w:p>
        </w:tc>
        <w:tc>
          <w:tcPr>
            <w:tcW w:w="1409" w:type="dxa"/>
            <w:shd w:val="clear" w:color="auto" w:fill="auto"/>
            <w:vAlign w:val="center"/>
          </w:tcPr>
          <w:p w14:paraId="016F52F0" w14:textId="77777777" w:rsidR="003D3F6B" w:rsidRPr="004E6BDD" w:rsidRDefault="003D3F6B" w:rsidP="00827328">
            <w:pPr>
              <w:jc w:val="center"/>
            </w:pPr>
            <w:r w:rsidRPr="0041076E">
              <w:t>£</w:t>
            </w:r>
            <w:r>
              <w:t>1m</w:t>
            </w:r>
          </w:p>
        </w:tc>
        <w:tc>
          <w:tcPr>
            <w:tcW w:w="1409" w:type="dxa"/>
            <w:vAlign w:val="center"/>
          </w:tcPr>
          <w:p w14:paraId="26CD7EB5" w14:textId="77777777" w:rsidR="003D3F6B" w:rsidRPr="004E6BDD" w:rsidRDefault="003D3F6B" w:rsidP="00827328">
            <w:pPr>
              <w:jc w:val="center"/>
            </w:pPr>
            <w:r w:rsidRPr="0041076E">
              <w:t>£</w:t>
            </w:r>
            <w:r>
              <w:t>2m</w:t>
            </w:r>
          </w:p>
        </w:tc>
      </w:tr>
    </w:tbl>
    <w:p w14:paraId="1BA840BB" w14:textId="7606D05B" w:rsidR="00DE3186" w:rsidRDefault="003D3F6B" w:rsidP="004E6BDD">
      <w:pPr>
        <w:pStyle w:val="Heading1"/>
        <w:spacing w:before="360" w:after="240"/>
        <w:ind w:left="426"/>
        <w:rPr>
          <w:rFonts w:asciiTheme="minorBidi" w:hAnsiTheme="minorBidi" w:cstheme="minorBidi"/>
          <w:b w:val="0"/>
          <w:bCs w:val="0"/>
          <w:sz w:val="24"/>
          <w:szCs w:val="24"/>
        </w:rPr>
      </w:pPr>
      <w:bookmarkStart w:id="15" w:name="_Toc158793249"/>
      <w:r>
        <w:rPr>
          <w:rFonts w:asciiTheme="minorBidi" w:hAnsiTheme="minorBidi" w:cstheme="minorBidi"/>
          <w:b w:val="0"/>
          <w:bCs w:val="0"/>
          <w:sz w:val="24"/>
          <w:szCs w:val="24"/>
        </w:rPr>
        <w:t>Lo</w:t>
      </w:r>
      <w:r w:rsidR="004B0CFF" w:rsidRPr="003F0474">
        <w:rPr>
          <w:rFonts w:asciiTheme="minorBidi" w:hAnsiTheme="minorBidi" w:cstheme="minorBidi"/>
          <w:b w:val="0"/>
          <w:bCs w:val="0"/>
          <w:sz w:val="24"/>
          <w:szCs w:val="24"/>
        </w:rPr>
        <w:t>ng-term investments with no fixed maturity date include strategic pooled funds and real estate investment trusts but exclude money market funds and bank accounts with no fixed maturity date as these are considered short-term.</w:t>
      </w:r>
      <w:bookmarkEnd w:id="15"/>
    </w:p>
    <w:p w14:paraId="2FAF5FF7" w14:textId="77777777" w:rsidR="003D3F6B" w:rsidRDefault="003D3F6B" w:rsidP="003D3F6B"/>
    <w:p w14:paraId="3FD9F450" w14:textId="039C1103" w:rsidR="00CC3232" w:rsidRPr="00094298" w:rsidRDefault="00CC3232" w:rsidP="00094298">
      <w:pPr>
        <w:pStyle w:val="Heading1"/>
        <w:numPr>
          <w:ilvl w:val="0"/>
          <w:numId w:val="16"/>
        </w:numPr>
        <w:spacing w:before="360" w:after="240"/>
        <w:ind w:left="426" w:hanging="426"/>
        <w:rPr>
          <w:rFonts w:asciiTheme="minorBidi" w:hAnsiTheme="minorBidi" w:cstheme="minorBidi"/>
          <w:sz w:val="28"/>
          <w:szCs w:val="28"/>
        </w:rPr>
      </w:pPr>
      <w:bookmarkStart w:id="16" w:name="_Toc158793250"/>
      <w:r w:rsidRPr="00094298">
        <w:rPr>
          <w:rFonts w:asciiTheme="minorBidi" w:hAnsiTheme="minorBidi" w:cstheme="minorBidi"/>
          <w:sz w:val="28"/>
          <w:szCs w:val="28"/>
        </w:rPr>
        <w:lastRenderedPageBreak/>
        <w:t>Related Matters</w:t>
      </w:r>
      <w:bookmarkEnd w:id="14"/>
      <w:bookmarkEnd w:id="16"/>
    </w:p>
    <w:p w14:paraId="3B54950C" w14:textId="2BED7341" w:rsidR="00CC3232" w:rsidRDefault="00CC3232" w:rsidP="0004046D">
      <w:pPr>
        <w:pStyle w:val="ListParagraph"/>
        <w:spacing w:after="240"/>
        <w:ind w:left="426"/>
        <w:jc w:val="both"/>
      </w:pPr>
      <w:r w:rsidRPr="0041076E">
        <w:t>The CIPFA Code requires the Authority to include the following in its treasury management strategy</w:t>
      </w:r>
      <w:r w:rsidR="006208DE">
        <w:t>:</w:t>
      </w:r>
    </w:p>
    <w:p w14:paraId="27743AE8" w14:textId="1BBDECC3" w:rsidR="00DB39D8" w:rsidRPr="00DB39D8" w:rsidRDefault="00DB39D8" w:rsidP="00DB39D8">
      <w:pPr>
        <w:pStyle w:val="ListParagraph"/>
        <w:spacing w:after="240"/>
        <w:ind w:left="426"/>
        <w:jc w:val="both"/>
      </w:pPr>
      <w:r>
        <w:rPr>
          <w:b/>
          <w:bCs/>
        </w:rPr>
        <w:t>Liquidity Management</w:t>
      </w:r>
      <w:r w:rsidRPr="0041076E">
        <w:rPr>
          <w:b/>
          <w:bCs/>
        </w:rPr>
        <w:t>:</w:t>
      </w:r>
      <w:r>
        <w:rPr>
          <w:b/>
          <w:bCs/>
        </w:rPr>
        <w:t xml:space="preserve"> </w:t>
      </w:r>
      <w:r>
        <w:t xml:space="preserve">The Authority </w:t>
      </w:r>
      <w:r w:rsidR="005C31A3">
        <w:t xml:space="preserve">prepares a rolling </w:t>
      </w:r>
      <w:r w:rsidR="00263919">
        <w:t>12-month</w:t>
      </w:r>
      <w:r w:rsidR="005C31A3">
        <w:t xml:space="preserve"> cashflow report which is presented as part of the Finance Pack </w:t>
      </w:r>
      <w:r w:rsidR="00BF3FA9">
        <w:t>monthly</w:t>
      </w:r>
      <w:r w:rsidR="005C31A3">
        <w:t>. The forecast is</w:t>
      </w:r>
      <w:r w:rsidR="00263919">
        <w:t xml:space="preserve"> reviewed daily to ensure short term fluctuations in cashflow are identified and mitigating plans are put in place.</w:t>
      </w:r>
      <w:r w:rsidR="00BF3FA9">
        <w:t xml:space="preserve"> The Authority holds an appropriate level of highly liquid investments</w:t>
      </w:r>
      <w:r w:rsidR="00433801">
        <w:t xml:space="preserve"> to mitigate liquidity risk.</w:t>
      </w:r>
    </w:p>
    <w:p w14:paraId="4BF97DC8" w14:textId="7C6CE041" w:rsidR="00CC3232" w:rsidRPr="009D5371" w:rsidRDefault="00CC3232" w:rsidP="0004046D">
      <w:pPr>
        <w:pStyle w:val="ListParagraph"/>
        <w:spacing w:after="240"/>
        <w:ind w:left="426"/>
        <w:jc w:val="both"/>
        <w:rPr>
          <w:bCs/>
        </w:rPr>
      </w:pPr>
      <w:r w:rsidRPr="0041076E">
        <w:rPr>
          <w:b/>
          <w:bCs/>
        </w:rPr>
        <w:t>Financial Derivatives:</w:t>
      </w:r>
      <w:r w:rsidRPr="0041076E">
        <w:rPr>
          <w:bCs/>
          <w:i/>
          <w:color w:val="AF173B"/>
        </w:rPr>
        <w:t xml:space="preserve"> </w:t>
      </w:r>
      <w:r w:rsidRPr="0041076E">
        <w:rPr>
          <w:bCs/>
        </w:rPr>
        <w:t xml:space="preserve">In the absence of any explicit legal power to do so, the Authority will not use standalone financial derivatives (such as swaps, forwards, </w:t>
      </w:r>
      <w:r w:rsidR="00732B27" w:rsidRPr="0041076E">
        <w:rPr>
          <w:bCs/>
        </w:rPr>
        <w:t>futures,</w:t>
      </w:r>
      <w:r w:rsidRPr="0041076E">
        <w:rPr>
          <w:bCs/>
        </w:rPr>
        <w:t xml:space="preserve"> and options).  Derivatives embedded into loans and investments, including pooled </w:t>
      </w:r>
      <w:r w:rsidR="00732B27" w:rsidRPr="0041076E">
        <w:rPr>
          <w:bCs/>
        </w:rPr>
        <w:t>funds,</w:t>
      </w:r>
      <w:r w:rsidRPr="0041076E">
        <w:rPr>
          <w:bCs/>
        </w:rPr>
        <w:t xml:space="preserve"> and forward starting transactions, may be used, and the risks that they present will be managed in line with the overall treasury risk management strategy.</w:t>
      </w:r>
    </w:p>
    <w:p w14:paraId="3D5B3115" w14:textId="02A00F61" w:rsidR="00CC3232" w:rsidRDefault="00CC3232" w:rsidP="0004046D">
      <w:pPr>
        <w:pStyle w:val="ListParagraph"/>
        <w:spacing w:after="240"/>
        <w:ind w:left="426"/>
        <w:jc w:val="both"/>
      </w:pPr>
      <w:r w:rsidRPr="0041076E">
        <w:rPr>
          <w:b/>
        </w:rPr>
        <w:t>Markets in Financial Instruments Directive</w:t>
      </w:r>
      <w:r w:rsidRPr="0041076E">
        <w:t xml:space="preserve">: The Authority has retained </w:t>
      </w:r>
      <w:r w:rsidR="008E1E82">
        <w:t>professional</w:t>
      </w:r>
      <w:r w:rsidR="008E1E82" w:rsidRPr="0041076E">
        <w:t xml:space="preserve"> </w:t>
      </w:r>
      <w:r w:rsidRPr="0041076E">
        <w:t xml:space="preserve">client status with its providers of financial services, including advisers, banks, </w:t>
      </w:r>
      <w:proofErr w:type="gramStart"/>
      <w:r w:rsidRPr="0041076E">
        <w:t>brokers</w:t>
      </w:r>
      <w:proofErr w:type="gramEnd"/>
      <w:r w:rsidRPr="0041076E">
        <w:t xml:space="preserve"> and fund managers, allowing it access to a</w:t>
      </w:r>
      <w:r w:rsidRPr="0041076E">
        <w:rPr>
          <w:color w:val="AF173B"/>
        </w:rPr>
        <w:t xml:space="preserve"> </w:t>
      </w:r>
      <w:r w:rsidRPr="0041076E">
        <w:t xml:space="preserve">smaller range of services but with the greater regulatory protections afforded to individuals and small companies. Given the size and range of the Authority’s treasury management activities, the </w:t>
      </w:r>
      <w:r w:rsidRPr="0041076E">
        <w:rPr>
          <w:bCs/>
        </w:rPr>
        <w:t xml:space="preserve">Chief Financial Officer </w:t>
      </w:r>
      <w:r w:rsidRPr="0041076E">
        <w:t>believes this to be the most appropriate status.</w:t>
      </w:r>
    </w:p>
    <w:p w14:paraId="6E76BAC8" w14:textId="77777777" w:rsidR="00CC3232" w:rsidRPr="0041076E" w:rsidRDefault="00CC3232" w:rsidP="0004046D">
      <w:pPr>
        <w:pStyle w:val="ListParagraph"/>
        <w:spacing w:before="400"/>
        <w:ind w:left="426"/>
        <w:jc w:val="both"/>
        <w:rPr>
          <w:b/>
          <w:u w:val="single"/>
        </w:rPr>
      </w:pPr>
      <w:r w:rsidRPr="0041076E">
        <w:rPr>
          <w:b/>
          <w:u w:val="single"/>
        </w:rPr>
        <w:t>Financial Implications</w:t>
      </w:r>
    </w:p>
    <w:p w14:paraId="5BE887C9" w14:textId="5BA0F21E" w:rsidR="00CC3232" w:rsidRDefault="00CC3232" w:rsidP="0004046D">
      <w:pPr>
        <w:pStyle w:val="ListParagraph"/>
        <w:ind w:left="426"/>
        <w:jc w:val="both"/>
      </w:pPr>
      <w:r w:rsidRPr="001D023C">
        <w:t>The forecast for investment income in 202</w:t>
      </w:r>
      <w:r w:rsidR="00471638">
        <w:t>4</w:t>
      </w:r>
      <w:r w:rsidRPr="001D023C">
        <w:t>/2</w:t>
      </w:r>
      <w:r w:rsidR="00471638">
        <w:t>5</w:t>
      </w:r>
      <w:r w:rsidRPr="001D023C">
        <w:t xml:space="preserve"> i</w:t>
      </w:r>
      <w:r w:rsidRPr="008D0313">
        <w:t>s £</w:t>
      </w:r>
      <w:r w:rsidR="00C11AE9">
        <w:t>240</w:t>
      </w:r>
      <w:r w:rsidRPr="008D0313">
        <w:t>k</w:t>
      </w:r>
      <w:r w:rsidRPr="001D023C">
        <w:t xml:space="preserve">, based on an average investment </w:t>
      </w:r>
      <w:r w:rsidRPr="008D0313">
        <w:t>portfolio of £</w:t>
      </w:r>
      <w:r w:rsidR="009D5988">
        <w:t>6</w:t>
      </w:r>
      <w:r w:rsidRPr="008D0313">
        <w:t xml:space="preserve"> million at an interest rate of </w:t>
      </w:r>
      <w:r w:rsidR="001F532C">
        <w:t>4</w:t>
      </w:r>
      <w:r w:rsidRPr="008D0313">
        <w:t>.</w:t>
      </w:r>
      <w:r w:rsidR="00D60DC8" w:rsidRPr="008D0313">
        <w:t>0</w:t>
      </w:r>
      <w:r w:rsidRPr="008D0313">
        <w:t>%. The</w:t>
      </w:r>
      <w:r w:rsidRPr="001D023C">
        <w:t xml:space="preserve"> forecast for debt interest paid in 202</w:t>
      </w:r>
      <w:r w:rsidR="00B649F9">
        <w:t>4</w:t>
      </w:r>
      <w:r w:rsidRPr="001D023C">
        <w:t>/2</w:t>
      </w:r>
      <w:r w:rsidR="00B649F9">
        <w:t>5</w:t>
      </w:r>
      <w:r w:rsidRPr="001D023C">
        <w:t xml:space="preserve"> is £1.1</w:t>
      </w:r>
      <w:r w:rsidR="008A4DF6">
        <w:t xml:space="preserve"> </w:t>
      </w:r>
      <w:r w:rsidRPr="001D023C">
        <w:t>million, based on an average debt portfolio of £2</w:t>
      </w:r>
      <w:r w:rsidR="0073679E">
        <w:t>3</w:t>
      </w:r>
      <w:r w:rsidRPr="001D023C">
        <w:t>.5 million at an average interest rate of 4.7%.  If actual levels of investments and borrowing, or actual interest rates, differ from those forecasts, performance against budget will be c</w:t>
      </w:r>
      <w:r w:rsidR="004E6BDD">
        <w:t>o</w:t>
      </w:r>
      <w:r w:rsidRPr="001D023C">
        <w:t>rrespondingly different.</w:t>
      </w:r>
    </w:p>
    <w:p w14:paraId="56ADD635" w14:textId="77777777" w:rsidR="00524FEE" w:rsidRDefault="00524FEE" w:rsidP="0004046D">
      <w:pPr>
        <w:pStyle w:val="ListParagraph"/>
        <w:ind w:left="426"/>
        <w:jc w:val="both"/>
      </w:pPr>
    </w:p>
    <w:p w14:paraId="396F34CD" w14:textId="5E85F9C6" w:rsidR="00524FEE" w:rsidRPr="00524FEE" w:rsidRDefault="00524FEE" w:rsidP="0004046D">
      <w:pPr>
        <w:pStyle w:val="ListParagraph"/>
        <w:ind w:left="426"/>
        <w:jc w:val="both"/>
        <w:rPr>
          <w:b/>
          <w:bCs/>
          <w:u w:val="single"/>
        </w:rPr>
      </w:pPr>
      <w:r w:rsidRPr="00524FEE">
        <w:rPr>
          <w:b/>
          <w:bCs/>
          <w:u w:val="single"/>
        </w:rPr>
        <w:t>Governance:</w:t>
      </w:r>
    </w:p>
    <w:p w14:paraId="2FBFE50D" w14:textId="6F6C7D39" w:rsidR="004E6BDD" w:rsidRDefault="00524FEE" w:rsidP="0004046D">
      <w:pPr>
        <w:pStyle w:val="ListParagraph"/>
        <w:ind w:left="426"/>
        <w:jc w:val="both"/>
      </w:pPr>
      <w:r>
        <w:t xml:space="preserve">The Authority reports on Treasury Management </w:t>
      </w:r>
      <w:r w:rsidR="004431BD">
        <w:t xml:space="preserve">Prudential </w:t>
      </w:r>
      <w:r w:rsidR="00380010">
        <w:t xml:space="preserve">Indicators </w:t>
      </w:r>
      <w:r w:rsidR="004431BD">
        <w:t>(Section 7)</w:t>
      </w:r>
      <w:r w:rsidR="00380010">
        <w:t xml:space="preserve"> in the </w:t>
      </w:r>
      <w:r w:rsidR="004431BD">
        <w:t xml:space="preserve">monthly Performance &amp; Resources Board, which offers scrutiny of </w:t>
      </w:r>
      <w:r w:rsidR="003E2392">
        <w:t>the Authority's management of its investments.</w:t>
      </w:r>
      <w:r w:rsidR="0051311D">
        <w:t xml:space="preserve"> The </w:t>
      </w:r>
      <w:r w:rsidR="0096256C">
        <w:t>responsibilities of the S</w:t>
      </w:r>
      <w:r w:rsidR="006A6B91">
        <w:t xml:space="preserve">.151 Officer and extended Finance Team are set out in the </w:t>
      </w:r>
      <w:r w:rsidR="001358AC">
        <w:t>Authority's Constitution</w:t>
      </w:r>
      <w:r w:rsidR="00C70408">
        <w:t>,</w:t>
      </w:r>
      <w:r w:rsidR="00F9371C">
        <w:t xml:space="preserve"> which is available on the PFCC’s website </w:t>
      </w:r>
      <w:hyperlink r:id="rId27" w:history="1">
        <w:r w:rsidR="00F9371C" w:rsidRPr="00BB36B2">
          <w:rPr>
            <w:rStyle w:val="Hyperlink"/>
          </w:rPr>
          <w:t>here</w:t>
        </w:r>
      </w:hyperlink>
      <w:r w:rsidR="00BB36B2">
        <w:t>.</w:t>
      </w:r>
    </w:p>
    <w:p w14:paraId="3B9F48F2" w14:textId="77777777" w:rsidR="004E6BDD" w:rsidRDefault="004E6BDD" w:rsidP="0004046D">
      <w:pPr>
        <w:pStyle w:val="ListParagraph"/>
        <w:spacing w:after="240"/>
        <w:ind w:left="426"/>
        <w:jc w:val="both"/>
        <w:rPr>
          <w:b/>
          <w:u w:val="single"/>
        </w:rPr>
      </w:pPr>
    </w:p>
    <w:p w14:paraId="21F143D4" w14:textId="77777777" w:rsidR="004E6BDD" w:rsidRDefault="004E6BDD" w:rsidP="0004046D">
      <w:pPr>
        <w:pStyle w:val="ListParagraph"/>
        <w:spacing w:after="240"/>
        <w:ind w:left="426"/>
        <w:jc w:val="both"/>
        <w:rPr>
          <w:b/>
          <w:u w:val="single"/>
        </w:rPr>
      </w:pPr>
    </w:p>
    <w:p w14:paraId="5962DF42" w14:textId="77777777" w:rsidR="004E6BDD" w:rsidRDefault="004E6BDD" w:rsidP="0004046D">
      <w:pPr>
        <w:pStyle w:val="ListParagraph"/>
        <w:spacing w:after="240"/>
        <w:ind w:left="426"/>
        <w:jc w:val="both"/>
        <w:rPr>
          <w:b/>
          <w:u w:val="single"/>
        </w:rPr>
      </w:pPr>
    </w:p>
    <w:p w14:paraId="67DFBF44" w14:textId="77777777" w:rsidR="004E6BDD" w:rsidRDefault="004E6BDD" w:rsidP="0004046D">
      <w:pPr>
        <w:pStyle w:val="ListParagraph"/>
        <w:spacing w:after="240"/>
        <w:ind w:left="426"/>
        <w:jc w:val="both"/>
        <w:rPr>
          <w:b/>
          <w:u w:val="single"/>
        </w:rPr>
      </w:pPr>
    </w:p>
    <w:p w14:paraId="02AE110D" w14:textId="68BE4EBE" w:rsidR="00CC3232" w:rsidRPr="0041076E" w:rsidRDefault="00CC3232" w:rsidP="0004046D">
      <w:pPr>
        <w:pStyle w:val="ListParagraph"/>
        <w:spacing w:after="240"/>
        <w:ind w:left="426"/>
        <w:jc w:val="both"/>
        <w:rPr>
          <w:b/>
          <w:u w:val="single"/>
        </w:rPr>
      </w:pPr>
      <w:r w:rsidRPr="0041076E">
        <w:rPr>
          <w:b/>
          <w:u w:val="single"/>
        </w:rPr>
        <w:lastRenderedPageBreak/>
        <w:t>Other Options Considered</w:t>
      </w:r>
    </w:p>
    <w:p w14:paraId="6AD0C9D4" w14:textId="77777777" w:rsidR="00CC3232" w:rsidRDefault="00CC3232" w:rsidP="0004046D">
      <w:pPr>
        <w:ind w:left="426"/>
        <w:jc w:val="both"/>
        <w:rPr>
          <w:bCs/>
        </w:rPr>
      </w:pPr>
      <w:r w:rsidRPr="0041076E">
        <w:rPr>
          <w:bCs/>
        </w:rPr>
        <w:t xml:space="preserve">The CIPFA Code does not prescribe any </w:t>
      </w:r>
      <w:proofErr w:type="gramStart"/>
      <w:r w:rsidRPr="0041076E">
        <w:rPr>
          <w:bCs/>
        </w:rPr>
        <w:t>particular treasury</w:t>
      </w:r>
      <w:proofErr w:type="gramEnd"/>
      <w:r w:rsidRPr="0041076E">
        <w:rPr>
          <w:bCs/>
        </w:rPr>
        <w:t xml:space="preserve"> management strategy for local authorities to adopt. The Chief Financial Officer, having consulted the Commissioner, believes that the above strategy represents an appropriate balance between risk management and cost effectiveness.  Some alternative strategies, with their financial and risk management implications, are listed below.</w:t>
      </w:r>
    </w:p>
    <w:p w14:paraId="5504BF1D" w14:textId="77777777" w:rsidR="00732B27" w:rsidRDefault="00732B27" w:rsidP="0004046D">
      <w:pPr>
        <w:ind w:left="426"/>
        <w:jc w:val="both"/>
        <w:rPr>
          <w:bCs/>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81"/>
        <w:gridCol w:w="3473"/>
      </w:tblGrid>
      <w:tr w:rsidR="00CC3232" w:rsidRPr="0041076E" w14:paraId="3009FBDC" w14:textId="77777777" w:rsidTr="001A5090">
        <w:tc>
          <w:tcPr>
            <w:tcW w:w="2659" w:type="dxa"/>
          </w:tcPr>
          <w:p w14:paraId="7D136B11" w14:textId="77777777" w:rsidR="00CC3232" w:rsidRPr="0041076E" w:rsidRDefault="00CC3232" w:rsidP="00827328">
            <w:pPr>
              <w:jc w:val="center"/>
              <w:rPr>
                <w:b/>
                <w:lang w:eastAsia="en-GB"/>
              </w:rPr>
            </w:pPr>
            <w:r w:rsidRPr="0041076E">
              <w:rPr>
                <w:b/>
                <w:lang w:eastAsia="en-GB"/>
              </w:rPr>
              <w:t>Alternative</w:t>
            </w:r>
          </w:p>
        </w:tc>
        <w:tc>
          <w:tcPr>
            <w:tcW w:w="3081" w:type="dxa"/>
          </w:tcPr>
          <w:p w14:paraId="6CFF745E" w14:textId="77777777" w:rsidR="00CC3232" w:rsidRPr="0041076E" w:rsidRDefault="00CC3232" w:rsidP="00827328">
            <w:pPr>
              <w:jc w:val="center"/>
              <w:rPr>
                <w:b/>
                <w:lang w:eastAsia="en-GB"/>
              </w:rPr>
            </w:pPr>
            <w:r w:rsidRPr="0041076E">
              <w:rPr>
                <w:b/>
                <w:lang w:eastAsia="en-GB"/>
              </w:rPr>
              <w:t>Impact on income and expenditure</w:t>
            </w:r>
          </w:p>
        </w:tc>
        <w:tc>
          <w:tcPr>
            <w:tcW w:w="3473" w:type="dxa"/>
          </w:tcPr>
          <w:p w14:paraId="1F202A78" w14:textId="77777777" w:rsidR="00CC3232" w:rsidRPr="0041076E" w:rsidRDefault="00CC3232" w:rsidP="00827328">
            <w:pPr>
              <w:jc w:val="center"/>
              <w:rPr>
                <w:b/>
                <w:lang w:eastAsia="en-GB"/>
              </w:rPr>
            </w:pPr>
            <w:r w:rsidRPr="0041076E">
              <w:rPr>
                <w:b/>
                <w:lang w:eastAsia="en-GB"/>
              </w:rPr>
              <w:t>Impact on risk management</w:t>
            </w:r>
          </w:p>
        </w:tc>
      </w:tr>
      <w:tr w:rsidR="00CC3232" w:rsidRPr="0041076E" w14:paraId="6E298187" w14:textId="77777777" w:rsidTr="001A5090">
        <w:tc>
          <w:tcPr>
            <w:tcW w:w="2659" w:type="dxa"/>
          </w:tcPr>
          <w:p w14:paraId="0A0FFE97" w14:textId="77777777" w:rsidR="00CC3232" w:rsidRPr="0041076E" w:rsidRDefault="00CC3232" w:rsidP="00827328">
            <w:pPr>
              <w:rPr>
                <w:lang w:eastAsia="en-GB"/>
              </w:rPr>
            </w:pPr>
            <w:r w:rsidRPr="0041076E">
              <w:rPr>
                <w:lang w:eastAsia="en-GB"/>
              </w:rPr>
              <w:t>Invest in a narrower range of counterparties and/or for shorter times</w:t>
            </w:r>
          </w:p>
        </w:tc>
        <w:tc>
          <w:tcPr>
            <w:tcW w:w="3081" w:type="dxa"/>
          </w:tcPr>
          <w:p w14:paraId="22A6AE44" w14:textId="77777777" w:rsidR="00CC3232" w:rsidRPr="0041076E" w:rsidRDefault="00CC3232" w:rsidP="00827328">
            <w:pPr>
              <w:rPr>
                <w:lang w:eastAsia="en-GB"/>
              </w:rPr>
            </w:pPr>
            <w:r w:rsidRPr="0041076E">
              <w:rPr>
                <w:lang w:eastAsia="en-GB"/>
              </w:rPr>
              <w:t>Interest income will be lower</w:t>
            </w:r>
          </w:p>
        </w:tc>
        <w:tc>
          <w:tcPr>
            <w:tcW w:w="3473" w:type="dxa"/>
          </w:tcPr>
          <w:p w14:paraId="6C0901E2" w14:textId="77777777" w:rsidR="00CC3232" w:rsidRDefault="00CC3232" w:rsidP="00827328">
            <w:pPr>
              <w:rPr>
                <w:lang w:eastAsia="en-GB"/>
              </w:rPr>
            </w:pPr>
            <w:r w:rsidRPr="0041076E">
              <w:rPr>
                <w:lang w:eastAsia="en-GB"/>
              </w:rPr>
              <w:t>Lower chance of losses from credit related defaults, but any such losses may be greater</w:t>
            </w:r>
          </w:p>
          <w:p w14:paraId="6F781E26" w14:textId="0B80ECCC" w:rsidR="0050744A" w:rsidRPr="0041076E" w:rsidRDefault="0050744A" w:rsidP="00827328">
            <w:pPr>
              <w:rPr>
                <w:lang w:eastAsia="en-GB"/>
              </w:rPr>
            </w:pPr>
          </w:p>
        </w:tc>
      </w:tr>
      <w:tr w:rsidR="00CC3232" w:rsidRPr="0041076E" w14:paraId="2AC88DBA" w14:textId="77777777" w:rsidTr="001A5090">
        <w:tc>
          <w:tcPr>
            <w:tcW w:w="2659" w:type="dxa"/>
          </w:tcPr>
          <w:p w14:paraId="495AFD45" w14:textId="77777777" w:rsidR="00CC3232" w:rsidRPr="0041076E" w:rsidRDefault="00CC3232" w:rsidP="00827328">
            <w:pPr>
              <w:rPr>
                <w:lang w:eastAsia="en-GB"/>
              </w:rPr>
            </w:pPr>
            <w:r w:rsidRPr="0041076E">
              <w:rPr>
                <w:lang w:eastAsia="en-GB"/>
              </w:rPr>
              <w:t>Invest in a wider range of counterparties and/or for longer times</w:t>
            </w:r>
          </w:p>
        </w:tc>
        <w:tc>
          <w:tcPr>
            <w:tcW w:w="3081" w:type="dxa"/>
          </w:tcPr>
          <w:p w14:paraId="42B32931" w14:textId="77777777" w:rsidR="00CC3232" w:rsidRPr="0041076E" w:rsidRDefault="00CC3232" w:rsidP="00827328">
            <w:pPr>
              <w:rPr>
                <w:lang w:eastAsia="en-GB"/>
              </w:rPr>
            </w:pPr>
            <w:r w:rsidRPr="0041076E">
              <w:rPr>
                <w:lang w:eastAsia="en-GB"/>
              </w:rPr>
              <w:t>Interest income will be higher</w:t>
            </w:r>
          </w:p>
        </w:tc>
        <w:tc>
          <w:tcPr>
            <w:tcW w:w="3473" w:type="dxa"/>
          </w:tcPr>
          <w:p w14:paraId="7A403011" w14:textId="77777777" w:rsidR="00CC3232" w:rsidRDefault="00CC3232" w:rsidP="00827328">
            <w:pPr>
              <w:rPr>
                <w:lang w:eastAsia="en-GB"/>
              </w:rPr>
            </w:pPr>
            <w:r w:rsidRPr="0041076E">
              <w:rPr>
                <w:lang w:eastAsia="en-GB"/>
              </w:rPr>
              <w:t>Increased risk of losses from credit related defaults, but any such losses may be smaller</w:t>
            </w:r>
          </w:p>
          <w:p w14:paraId="6E401091" w14:textId="3F35490C" w:rsidR="0050744A" w:rsidRPr="0041076E" w:rsidRDefault="0050744A" w:rsidP="00827328">
            <w:pPr>
              <w:rPr>
                <w:lang w:eastAsia="en-GB"/>
              </w:rPr>
            </w:pPr>
          </w:p>
        </w:tc>
      </w:tr>
      <w:tr w:rsidR="00CC3232" w:rsidRPr="0041076E" w14:paraId="21BA7F9E" w14:textId="77777777" w:rsidTr="001A5090">
        <w:tc>
          <w:tcPr>
            <w:tcW w:w="2659" w:type="dxa"/>
          </w:tcPr>
          <w:p w14:paraId="6AF1E692" w14:textId="77777777" w:rsidR="00CC3232" w:rsidRPr="0041076E" w:rsidRDefault="00CC3232" w:rsidP="00827328">
            <w:pPr>
              <w:rPr>
                <w:lang w:eastAsia="en-GB"/>
              </w:rPr>
            </w:pPr>
            <w:r w:rsidRPr="0041076E">
              <w:rPr>
                <w:lang w:eastAsia="en-GB"/>
              </w:rPr>
              <w:t>Borrow additional sums at long-term fixed interest rates</w:t>
            </w:r>
          </w:p>
        </w:tc>
        <w:tc>
          <w:tcPr>
            <w:tcW w:w="3081" w:type="dxa"/>
          </w:tcPr>
          <w:p w14:paraId="5D274C40" w14:textId="77777777" w:rsidR="00CC3232" w:rsidRPr="0041076E" w:rsidRDefault="00CC3232" w:rsidP="00827328">
            <w:pPr>
              <w:rPr>
                <w:lang w:eastAsia="en-GB"/>
              </w:rPr>
            </w:pPr>
            <w:r w:rsidRPr="0041076E">
              <w:rPr>
                <w:lang w:eastAsia="en-GB"/>
              </w:rPr>
              <w:t>Debt interest costs will rise; this is unlikely to be offset by higher investment income</w:t>
            </w:r>
          </w:p>
        </w:tc>
        <w:tc>
          <w:tcPr>
            <w:tcW w:w="3473" w:type="dxa"/>
          </w:tcPr>
          <w:p w14:paraId="695118AA" w14:textId="77777777" w:rsidR="00CC3232" w:rsidRDefault="00CC3232" w:rsidP="00827328">
            <w:pPr>
              <w:rPr>
                <w:lang w:eastAsia="en-GB"/>
              </w:rPr>
            </w:pPr>
            <w:r w:rsidRPr="0041076E">
              <w:rPr>
                <w:lang w:eastAsia="en-GB"/>
              </w:rPr>
              <w:t>Higher investment balance leading to a higher impact in the event of a default; however long-term interest costs may be more certain</w:t>
            </w:r>
          </w:p>
          <w:p w14:paraId="2A7E0291" w14:textId="77777777" w:rsidR="001162E6" w:rsidRDefault="001162E6" w:rsidP="00827328">
            <w:pPr>
              <w:rPr>
                <w:lang w:eastAsia="en-GB"/>
              </w:rPr>
            </w:pPr>
          </w:p>
          <w:p w14:paraId="47A50B97" w14:textId="02D46D9E" w:rsidR="0050744A" w:rsidRPr="0041076E" w:rsidRDefault="0050744A" w:rsidP="00827328">
            <w:pPr>
              <w:rPr>
                <w:lang w:eastAsia="en-GB"/>
              </w:rPr>
            </w:pPr>
          </w:p>
        </w:tc>
      </w:tr>
      <w:tr w:rsidR="00CC3232" w:rsidRPr="0041076E" w14:paraId="7B6ABD2A" w14:textId="77777777" w:rsidTr="001A5090">
        <w:tc>
          <w:tcPr>
            <w:tcW w:w="2659" w:type="dxa"/>
          </w:tcPr>
          <w:p w14:paraId="0ABE891F" w14:textId="77777777" w:rsidR="00CC3232" w:rsidRPr="0041076E" w:rsidRDefault="00CC3232" w:rsidP="00827328">
            <w:pPr>
              <w:rPr>
                <w:lang w:eastAsia="en-GB"/>
              </w:rPr>
            </w:pPr>
            <w:r w:rsidRPr="0041076E">
              <w:rPr>
                <w:lang w:eastAsia="en-GB"/>
              </w:rPr>
              <w:t>Borrow short-term or variable loans instead of long-term fixed rates</w:t>
            </w:r>
          </w:p>
        </w:tc>
        <w:tc>
          <w:tcPr>
            <w:tcW w:w="3081" w:type="dxa"/>
          </w:tcPr>
          <w:p w14:paraId="4A9F30FE" w14:textId="77777777" w:rsidR="00CC3232" w:rsidRPr="0041076E" w:rsidRDefault="00CC3232" w:rsidP="00827328">
            <w:pPr>
              <w:rPr>
                <w:lang w:eastAsia="en-GB"/>
              </w:rPr>
            </w:pPr>
            <w:r w:rsidRPr="0041076E">
              <w:rPr>
                <w:lang w:eastAsia="en-GB"/>
              </w:rPr>
              <w:t>Debt interest costs will initially be lower</w:t>
            </w:r>
          </w:p>
        </w:tc>
        <w:tc>
          <w:tcPr>
            <w:tcW w:w="3473" w:type="dxa"/>
          </w:tcPr>
          <w:p w14:paraId="58276C18" w14:textId="77777777" w:rsidR="00CC3232" w:rsidRPr="0041076E" w:rsidRDefault="00CC3232" w:rsidP="00827328">
            <w:pPr>
              <w:rPr>
                <w:lang w:eastAsia="en-GB"/>
              </w:rPr>
            </w:pPr>
            <w:r w:rsidRPr="0041076E">
              <w:rPr>
                <w:lang w:eastAsia="en-GB"/>
              </w:rPr>
              <w:t xml:space="preserve">Increases in debt interest costs will be broadly offset by rising investment income in the medium term, but long-term costs may be less certain </w:t>
            </w:r>
          </w:p>
        </w:tc>
      </w:tr>
      <w:tr w:rsidR="00CC3232" w:rsidRPr="0041076E" w14:paraId="4AD2D14A" w14:textId="77777777" w:rsidTr="001A5090">
        <w:tc>
          <w:tcPr>
            <w:tcW w:w="2659" w:type="dxa"/>
          </w:tcPr>
          <w:p w14:paraId="48E7FC67" w14:textId="77777777" w:rsidR="00CC3232" w:rsidRPr="0041076E" w:rsidRDefault="00CC3232" w:rsidP="00827328">
            <w:pPr>
              <w:rPr>
                <w:lang w:eastAsia="en-GB"/>
              </w:rPr>
            </w:pPr>
            <w:r w:rsidRPr="0041076E">
              <w:rPr>
                <w:lang w:eastAsia="en-GB"/>
              </w:rPr>
              <w:t xml:space="preserve">Reduce level of borrowing </w:t>
            </w:r>
          </w:p>
        </w:tc>
        <w:tc>
          <w:tcPr>
            <w:tcW w:w="3081" w:type="dxa"/>
          </w:tcPr>
          <w:p w14:paraId="06CAD6E9" w14:textId="77777777" w:rsidR="00CC3232" w:rsidRPr="0041076E" w:rsidRDefault="00CC3232" w:rsidP="00827328">
            <w:pPr>
              <w:rPr>
                <w:lang w:eastAsia="en-GB"/>
              </w:rPr>
            </w:pPr>
            <w:r w:rsidRPr="0041076E">
              <w:rPr>
                <w:lang w:eastAsia="en-GB"/>
              </w:rPr>
              <w:t>Saving on debt interest is likely to exceed lost investment income</w:t>
            </w:r>
          </w:p>
        </w:tc>
        <w:tc>
          <w:tcPr>
            <w:tcW w:w="3473" w:type="dxa"/>
          </w:tcPr>
          <w:p w14:paraId="2EA353CE" w14:textId="77777777" w:rsidR="00CC3232" w:rsidRPr="0041076E" w:rsidRDefault="00CC3232" w:rsidP="00827328">
            <w:pPr>
              <w:rPr>
                <w:lang w:eastAsia="en-GB"/>
              </w:rPr>
            </w:pPr>
            <w:r w:rsidRPr="0041076E">
              <w:rPr>
                <w:lang w:eastAsia="en-GB"/>
              </w:rPr>
              <w:t>Reduced investment balance leading to a lower impact in the event of a default; however long-term interest costs may be less certain</w:t>
            </w:r>
          </w:p>
        </w:tc>
      </w:tr>
    </w:tbl>
    <w:p w14:paraId="7BE6386B" w14:textId="720D2EEF" w:rsidR="0041128E" w:rsidRPr="0041128E" w:rsidRDefault="0041128E" w:rsidP="0041128E">
      <w:pPr>
        <w:rPr>
          <w:rFonts w:asciiTheme="minorBidi" w:hAnsiTheme="minorBidi" w:cstheme="minorBidi"/>
        </w:rPr>
        <w:sectPr w:rsidR="0041128E" w:rsidRPr="0041128E" w:rsidSect="003C5184">
          <w:pgSz w:w="16838" w:h="11906" w:orient="landscape" w:code="9"/>
          <w:pgMar w:top="1276" w:right="1134" w:bottom="1134" w:left="142" w:header="709" w:footer="709" w:gutter="0"/>
          <w:cols w:space="708"/>
          <w:titlePg/>
          <w:docGrid w:linePitch="360"/>
        </w:sectPr>
      </w:pPr>
    </w:p>
    <w:p w14:paraId="329ADB92" w14:textId="6DB167AC" w:rsidR="00CC3232" w:rsidRPr="000354F9" w:rsidRDefault="001162E6" w:rsidP="00C70D42">
      <w:pPr>
        <w:pStyle w:val="Heading1"/>
        <w:spacing w:before="0" w:after="240"/>
        <w:rPr>
          <w:rFonts w:asciiTheme="minorBidi" w:hAnsiTheme="minorBidi" w:cstheme="minorBidi"/>
          <w:sz w:val="28"/>
          <w:szCs w:val="28"/>
        </w:rPr>
      </w:pPr>
      <w:bookmarkStart w:id="17" w:name="_Toc158793251"/>
      <w:bookmarkStart w:id="18" w:name="_Toc73025265"/>
      <w:r w:rsidRPr="000354F9">
        <w:rPr>
          <w:rFonts w:asciiTheme="minorBidi" w:hAnsiTheme="minorBidi" w:cstheme="minorBidi"/>
          <w:sz w:val="28"/>
          <w:szCs w:val="28"/>
        </w:rPr>
        <w:lastRenderedPageBreak/>
        <w:t>A</w:t>
      </w:r>
      <w:r w:rsidR="00CC3232" w:rsidRPr="000354F9">
        <w:rPr>
          <w:rFonts w:asciiTheme="minorBidi" w:hAnsiTheme="minorBidi" w:cstheme="minorBidi"/>
          <w:sz w:val="28"/>
          <w:szCs w:val="28"/>
        </w:rPr>
        <w:t>ppendix A – Arlingclose Economic &amp; Interest Rate Forecast –</w:t>
      </w:r>
      <w:r w:rsidR="00B57784" w:rsidRPr="000354F9">
        <w:rPr>
          <w:rFonts w:asciiTheme="minorBidi" w:hAnsiTheme="minorBidi" w:cstheme="minorBidi"/>
          <w:sz w:val="28"/>
          <w:szCs w:val="28"/>
        </w:rPr>
        <w:t>December 202</w:t>
      </w:r>
      <w:r w:rsidR="00ED7DAF" w:rsidRPr="000354F9">
        <w:rPr>
          <w:rFonts w:asciiTheme="minorBidi" w:hAnsiTheme="minorBidi" w:cstheme="minorBidi"/>
          <w:sz w:val="28"/>
          <w:szCs w:val="28"/>
        </w:rPr>
        <w:t>3</w:t>
      </w:r>
      <w:bookmarkEnd w:id="17"/>
      <w:r w:rsidR="00B57784" w:rsidRPr="000354F9">
        <w:rPr>
          <w:rFonts w:asciiTheme="minorBidi" w:hAnsiTheme="minorBidi" w:cstheme="minorBidi"/>
          <w:sz w:val="28"/>
          <w:szCs w:val="28"/>
        </w:rPr>
        <w:t xml:space="preserve"> </w:t>
      </w:r>
      <w:bookmarkEnd w:id="18"/>
    </w:p>
    <w:p w14:paraId="3565E64C" w14:textId="75BB67CD" w:rsidR="000354F9" w:rsidRDefault="00395C9B" w:rsidP="000354F9">
      <w:pPr>
        <w:ind w:left="720"/>
        <w:jc w:val="both"/>
      </w:pPr>
      <w:r w:rsidRPr="00395C9B">
        <w:rPr>
          <w:b/>
          <w:bCs/>
        </w:rPr>
        <w:t>Economic Background:</w:t>
      </w:r>
      <w:r>
        <w:rPr>
          <w:b/>
          <w:bCs/>
        </w:rPr>
        <w:t xml:space="preserve"> </w:t>
      </w:r>
      <w:r w:rsidR="000354F9">
        <w:t>The impact on the UK from higher interest rates and inflation, a weakening economic outlook, an uncertain political climate due to an upcoming general election, together with war in Ukraine and the Middle East, will be major influences on the Authority’s treasury management strategy for 2024/25.</w:t>
      </w:r>
    </w:p>
    <w:p w14:paraId="13430F98" w14:textId="77777777" w:rsidR="000354F9" w:rsidRDefault="000354F9" w:rsidP="000354F9">
      <w:pPr>
        <w:ind w:left="720"/>
        <w:jc w:val="both"/>
      </w:pPr>
    </w:p>
    <w:p w14:paraId="2140B3EC" w14:textId="77777777" w:rsidR="000354F9" w:rsidRDefault="000354F9" w:rsidP="000354F9">
      <w:pPr>
        <w:ind w:left="720"/>
        <w:jc w:val="both"/>
      </w:pPr>
      <w:r>
        <w:t>The Bank of England (BoE) increased Bank Rate to 5.25% in August 2023, before maintaining this level for the rest of 2023. In December 2023, members of the BoE’s Monetary Policy Committee voted 6-3 in favour of keeping Bank Rate at 5.25%. The three dissenters wanted to increase rates by another 0.25%.</w:t>
      </w:r>
    </w:p>
    <w:p w14:paraId="4A43350F" w14:textId="77777777" w:rsidR="000354F9" w:rsidRDefault="000354F9" w:rsidP="000354F9">
      <w:pPr>
        <w:ind w:left="720"/>
        <w:jc w:val="both"/>
      </w:pPr>
    </w:p>
    <w:p w14:paraId="0F574F80" w14:textId="77777777" w:rsidR="000354F9" w:rsidRDefault="000354F9" w:rsidP="000354F9">
      <w:pPr>
        <w:ind w:left="720"/>
        <w:jc w:val="both"/>
      </w:pPr>
      <w:r>
        <w:t xml:space="preserve">The November quarterly Monetary Policy Report (MPR) forecast a prolonged period of weak Gross Domestic Product (GDP) growth with the potential for a mild contraction due to ongoing weak economic activity. The outlook for CPI inflation was deemed to be highly uncertain, with upside risks to CPI falling to the 2% target coming from potential energy price increases, strong domestic wage growth and persistence in price-setting. </w:t>
      </w:r>
    </w:p>
    <w:p w14:paraId="2391AD2E" w14:textId="77777777" w:rsidR="000354F9" w:rsidRDefault="000354F9" w:rsidP="000354F9">
      <w:pPr>
        <w:ind w:left="720"/>
        <w:jc w:val="both"/>
      </w:pPr>
    </w:p>
    <w:p w14:paraId="26AD82B9" w14:textId="77777777" w:rsidR="000354F9" w:rsidRDefault="000354F9" w:rsidP="000354F9">
      <w:pPr>
        <w:ind w:left="720"/>
        <w:jc w:val="both"/>
      </w:pPr>
      <w:r>
        <w:t>Office for National Statistics (ONS) figures showed CPI inflation was 3.9% in November 2023, down from a 4.6% rate in the previous month and, in line with the recent trend, lower than expected. The core CPI inflation rate declined to 5.1% from the previous month’s 5.7%, again lower than predictions. Looking ahead, using the interest rate path implied by financial markets the BoE expects CPI inflation to continue falling slowly, but taking until early 2025 to reach the 2% target before dropping below target during the second half 2025 and into 2026.</w:t>
      </w:r>
    </w:p>
    <w:p w14:paraId="697CB1D8" w14:textId="77777777" w:rsidR="000354F9" w:rsidRDefault="000354F9" w:rsidP="000354F9">
      <w:pPr>
        <w:ind w:left="720"/>
        <w:jc w:val="both"/>
      </w:pPr>
    </w:p>
    <w:p w14:paraId="6FBFA5F9" w14:textId="77777777" w:rsidR="000354F9" w:rsidRDefault="000354F9" w:rsidP="000354F9">
      <w:pPr>
        <w:ind w:left="720"/>
        <w:jc w:val="both"/>
      </w:pPr>
      <w:r>
        <w:t xml:space="preserve">ONS figures showed the UK economy contracted by 0.1% between July and September 2023. The BoE forecasts GDP will likely stagnate through 2024. The BoE forecasts that higher interest rates will constrain GDP growth, which will remain weak over the entire forecast horizon. </w:t>
      </w:r>
    </w:p>
    <w:p w14:paraId="264F40FD" w14:textId="77777777" w:rsidR="000354F9" w:rsidRDefault="000354F9" w:rsidP="000354F9">
      <w:pPr>
        <w:ind w:left="720"/>
        <w:jc w:val="both"/>
      </w:pPr>
    </w:p>
    <w:p w14:paraId="497CE361" w14:textId="77777777" w:rsidR="000354F9" w:rsidRDefault="000354F9" w:rsidP="000354F9">
      <w:pPr>
        <w:ind w:left="720"/>
        <w:jc w:val="both"/>
      </w:pPr>
      <w:r>
        <w:t>The labour market appears to be loosening, but only very slowly. The unemployment rate rose slightly to 4.2% between June and August 2023, from 4.0% in the previous 3-month period, but the lack of consistency in the data between the two periods made comparisons difficult. Earnings growth has remained strong, but has showed some signs of easing; regular pay (excluding bonuses) was up 7.3% over the period and total pay (including bonuses) up 7.2%. Adjusted for inflation, regular pay was 1.4% and total pay 1.3%. Looking forward, the MPR showed the unemployment rate is expected to be around 4.25% in the second half of calendar 2023, but then rising steadily over the forecast horizon to around 5% in late 2025/early 2026.</w:t>
      </w:r>
    </w:p>
    <w:p w14:paraId="572BE64A" w14:textId="77777777" w:rsidR="000354F9" w:rsidRDefault="000354F9" w:rsidP="000354F9">
      <w:pPr>
        <w:ind w:left="720"/>
        <w:jc w:val="both"/>
      </w:pPr>
    </w:p>
    <w:p w14:paraId="4A2E8DDB" w14:textId="77777777" w:rsidR="000354F9" w:rsidRDefault="000354F9" w:rsidP="000354F9">
      <w:pPr>
        <w:ind w:left="720"/>
        <w:jc w:val="both"/>
      </w:pPr>
      <w:r>
        <w:t>Having increased its key interest rate to a target range of 5.25-5.50% in August 2023, the US Federal Reserve appears now to have concluded the hiking cycle. It is likely this level represents the peak in US rates following a more dovish meeting outcome in December 2023. US GDP grew at an annualised rate of 4.9% between July and September 2023, ahead of expectations for a 4.3% expansion and the 2.1% reading for Q2. But the impact from higher rates has started to feed into economic activity and growth will weaken in 2024. Annual CPI inflation was 3.1% in November.</w:t>
      </w:r>
    </w:p>
    <w:p w14:paraId="7704F6C1" w14:textId="77777777" w:rsidR="000354F9" w:rsidRDefault="000354F9" w:rsidP="000354F9">
      <w:pPr>
        <w:ind w:left="720"/>
        <w:jc w:val="both"/>
      </w:pPr>
    </w:p>
    <w:p w14:paraId="147B2F0B" w14:textId="324915C9" w:rsidR="000354F9" w:rsidRDefault="000354F9" w:rsidP="000354F9">
      <w:pPr>
        <w:ind w:left="720"/>
        <w:jc w:val="both"/>
      </w:pPr>
      <w:r>
        <w:t xml:space="preserve">Eurozone inflation has declined steadily since the start of 2023, falling to an annual rate of 2.4% in November 2023. Economic growth has been </w:t>
      </w:r>
      <w:r w:rsidR="00C11AE9">
        <w:t>weak,</w:t>
      </w:r>
      <w:r>
        <w:t xml:space="preserve"> and GDP contracted by 0.1% in the three months to September 2023. In line with other central banks, the European Central Bank has increased rates, taking its deposit facility, fixed rate tender, and marginal lending rates to 3.75%, 4.25% and 4.50% respectively.</w:t>
      </w:r>
    </w:p>
    <w:p w14:paraId="0DD517DB" w14:textId="77777777" w:rsidR="000354F9" w:rsidRDefault="000354F9" w:rsidP="000354F9">
      <w:pPr>
        <w:ind w:left="720"/>
        <w:jc w:val="both"/>
      </w:pPr>
    </w:p>
    <w:p w14:paraId="54C8863F" w14:textId="77777777" w:rsidR="000354F9" w:rsidRDefault="000354F9" w:rsidP="000354F9">
      <w:pPr>
        <w:ind w:left="720"/>
        <w:jc w:val="both"/>
      </w:pPr>
      <w:r w:rsidRPr="000354F9">
        <w:rPr>
          <w:b/>
          <w:bCs/>
        </w:rPr>
        <w:t>Credit outlook:</w:t>
      </w:r>
      <w:r>
        <w:t xml:space="preserve"> Credit Default Swap (CDS) prices were volatile during 2023, spiking in March on the back of banking sector contagion concerns following the major events of Silicon Valley Bank becoming insolvent and the takeover of Credit Suisse by UBS. After then falling back in Q2 of calendar 2023, in the second half of the year, higher interest rates and inflation, the ongoing war in Ukraine, and now the Middle East, have led to CDS prices increasing steadily.</w:t>
      </w:r>
    </w:p>
    <w:p w14:paraId="1606AF45" w14:textId="77777777" w:rsidR="000354F9" w:rsidRDefault="000354F9" w:rsidP="000354F9">
      <w:pPr>
        <w:ind w:left="720"/>
        <w:jc w:val="both"/>
      </w:pPr>
    </w:p>
    <w:p w14:paraId="2BD30324" w14:textId="77777777" w:rsidR="000354F9" w:rsidRDefault="000354F9" w:rsidP="000354F9">
      <w:pPr>
        <w:ind w:left="720"/>
        <w:jc w:val="both"/>
      </w:pPr>
      <w:r>
        <w:t>On an annual basis, CDS price volatility has so far been lower in 2023 compared to 2022, but this year has seen more of a divergence in prices between ringfenced (retail) and non-ringfenced (investment) banking entities once again.</w:t>
      </w:r>
    </w:p>
    <w:p w14:paraId="049AF481" w14:textId="77777777" w:rsidR="000354F9" w:rsidRDefault="000354F9" w:rsidP="000354F9">
      <w:pPr>
        <w:ind w:left="720"/>
        <w:jc w:val="both"/>
      </w:pPr>
    </w:p>
    <w:p w14:paraId="592C5744" w14:textId="77777777" w:rsidR="000354F9" w:rsidRDefault="000354F9" w:rsidP="000354F9">
      <w:pPr>
        <w:ind w:left="720"/>
        <w:jc w:val="both"/>
      </w:pPr>
      <w:r>
        <w:t>Moody’s revised its outlook on the UK sovereign to stable from negative to reflect its view of restored political predictability following the volatility after the 2022 mini-budget. Moody’s also affirmed the Aa3 rating in recognition of the UK’s economic resilience and strong institutional framework.</w:t>
      </w:r>
    </w:p>
    <w:p w14:paraId="525A95C4" w14:textId="77777777" w:rsidR="00872FCF" w:rsidRDefault="00872FCF" w:rsidP="000354F9">
      <w:pPr>
        <w:ind w:left="720"/>
        <w:jc w:val="both"/>
      </w:pPr>
    </w:p>
    <w:p w14:paraId="151CA7B8" w14:textId="77777777" w:rsidR="000354F9" w:rsidRDefault="000354F9" w:rsidP="000354F9">
      <w:pPr>
        <w:ind w:left="720"/>
        <w:jc w:val="both"/>
      </w:pPr>
      <w:r>
        <w:t>Following its rating action on the UK sovereign, Moody’s revised the outlook on five UK banks to stable from negative and then followed this by the same action on five rated local authorities. However, within the same update the long-term ratings of those five local authorities were downgraded.</w:t>
      </w:r>
    </w:p>
    <w:p w14:paraId="73F7F2C6" w14:textId="77777777" w:rsidR="00872FCF" w:rsidRDefault="00872FCF" w:rsidP="000354F9">
      <w:pPr>
        <w:ind w:left="720"/>
        <w:jc w:val="both"/>
      </w:pPr>
    </w:p>
    <w:p w14:paraId="075AF36C" w14:textId="77777777" w:rsidR="000354F9" w:rsidRDefault="000354F9" w:rsidP="000354F9">
      <w:pPr>
        <w:ind w:left="720"/>
        <w:jc w:val="both"/>
      </w:pPr>
      <w:r>
        <w:t>There remain competing tensions in the banking sector, on one side from higher interest rates boosting net income and profitability against another of a weakening economic outlook and likely recessions that increase the possibility of a deterioration in the quality of banks’ assets.</w:t>
      </w:r>
    </w:p>
    <w:p w14:paraId="784EE9A6" w14:textId="77777777" w:rsidR="00872FCF" w:rsidRDefault="00872FCF" w:rsidP="000354F9">
      <w:pPr>
        <w:ind w:left="720"/>
        <w:jc w:val="both"/>
      </w:pPr>
    </w:p>
    <w:p w14:paraId="5327AF44" w14:textId="473924D7" w:rsidR="009C11B3" w:rsidRDefault="000354F9" w:rsidP="000354F9">
      <w:pPr>
        <w:ind w:left="720"/>
        <w:jc w:val="both"/>
      </w:pPr>
      <w:r>
        <w:t>However, the institutions on our adviser Arlingclose’s counterparty list remain well-capitalised and their counterparty advice on both recommended institutions and maximum duration remain under constant review and will continue to reflect economic conditions and the credit outlook.</w:t>
      </w:r>
    </w:p>
    <w:p w14:paraId="230061E0" w14:textId="77777777" w:rsidR="00872FCF" w:rsidRPr="008D0313" w:rsidRDefault="00872FCF" w:rsidP="000354F9">
      <w:pPr>
        <w:ind w:left="720"/>
        <w:jc w:val="both"/>
        <w:rPr>
          <w:highlight w:val="yellow"/>
        </w:rPr>
      </w:pPr>
    </w:p>
    <w:p w14:paraId="03A16D1A" w14:textId="12F6C881" w:rsidR="00872FCF" w:rsidRDefault="00872FCF" w:rsidP="00872FCF">
      <w:pPr>
        <w:ind w:left="720"/>
        <w:jc w:val="both"/>
      </w:pPr>
      <w:r w:rsidRPr="00872FCF">
        <w:rPr>
          <w:b/>
          <w:bCs/>
        </w:rPr>
        <w:t>Interest rate forecast (December 2023):</w:t>
      </w:r>
      <w:r w:rsidRPr="00872FCF">
        <w:t xml:space="preserve"> Although UK inflation and wage growth remain elevated, the Authority’s treasury management adviser Arlingclose forecasts that Bank Rate has peaked at 5.25%.  The Bank of England’s Monetary Policy Committee will start reducing rates in 2024 to stimulate the UK economy but will be reluctant to do so until it is sure there will be no lingering second-round effects.  Arlingclose sees rate cuts from Q3 2024 to a low of around 3% by early-mid 2026.</w:t>
      </w:r>
    </w:p>
    <w:p w14:paraId="2A6C6FC3" w14:textId="77777777" w:rsidR="00872FCF" w:rsidRPr="00872FCF" w:rsidRDefault="00872FCF" w:rsidP="00872FCF">
      <w:pPr>
        <w:ind w:left="720"/>
        <w:jc w:val="both"/>
      </w:pPr>
    </w:p>
    <w:p w14:paraId="40556409" w14:textId="77777777" w:rsidR="00872FCF" w:rsidRPr="00872FCF" w:rsidRDefault="00872FCF" w:rsidP="00872FCF">
      <w:pPr>
        <w:ind w:left="720"/>
        <w:jc w:val="both"/>
      </w:pPr>
      <w:r w:rsidRPr="00872FCF">
        <w:t>Arlingclose expects long-term gilt yields to be broadly stable at current levels (amid continued volatility), following the decline in yields towards the end of 2023, which reflects the expected lower medium-term path for Bank Rate. Yields will remain relatively higher than in the past, due to quantitative tightening and significant bond supply.  As ever, there will undoubtedly be short-term volatility due to economic and political uncertainty and events.</w:t>
      </w:r>
    </w:p>
    <w:p w14:paraId="26EB93A0" w14:textId="4B3774FE" w:rsidR="00872FCF" w:rsidRPr="00395C9B" w:rsidRDefault="00395C9B" w:rsidP="00872FCF">
      <w:pPr>
        <w:ind w:left="720"/>
        <w:jc w:val="both"/>
        <w:rPr>
          <w:b/>
          <w:bCs/>
        </w:rPr>
      </w:pPr>
      <w:r w:rsidRPr="00395C9B">
        <w:rPr>
          <w:b/>
          <w:bCs/>
        </w:rPr>
        <w:lastRenderedPageBreak/>
        <w:t>Table 6: Interest Rate Forecast:</w:t>
      </w:r>
    </w:p>
    <w:p w14:paraId="555B7E62" w14:textId="77777777" w:rsidR="00872FCF" w:rsidRPr="008D0313" w:rsidRDefault="00872FCF" w:rsidP="00872FCF">
      <w:pPr>
        <w:ind w:left="720"/>
        <w:jc w:val="both"/>
        <w:rPr>
          <w:highlight w:val="yellow"/>
        </w:rPr>
      </w:pPr>
    </w:p>
    <w:p w14:paraId="47145ADA" w14:textId="50FC721B" w:rsidR="00F56AC8" w:rsidRPr="008D0313" w:rsidRDefault="00FC3056" w:rsidP="00F56AC8">
      <w:pPr>
        <w:jc w:val="both"/>
        <w:rPr>
          <w:b/>
          <w:highlight w:val="yellow"/>
        </w:rPr>
      </w:pPr>
      <w:r w:rsidRPr="00FC3056">
        <w:rPr>
          <w:b/>
          <w:noProof/>
        </w:rPr>
        <w:drawing>
          <wp:inline distT="0" distB="0" distL="0" distR="0" wp14:anchorId="72054A10" wp14:editId="79C0C053">
            <wp:extent cx="5895340" cy="3249122"/>
            <wp:effectExtent l="0" t="0" r="0" b="8890"/>
            <wp:docPr id="157043976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9977" cy="3257189"/>
                    </a:xfrm>
                    <a:prstGeom prst="rect">
                      <a:avLst/>
                    </a:prstGeom>
                    <a:noFill/>
                  </pic:spPr>
                </pic:pic>
              </a:graphicData>
            </a:graphic>
          </wp:inline>
        </w:drawing>
      </w:r>
    </w:p>
    <w:p w14:paraId="72EE44D1" w14:textId="77777777" w:rsidR="00F56AC8" w:rsidRPr="008D0313" w:rsidRDefault="00F56AC8" w:rsidP="00F56AC8">
      <w:pPr>
        <w:jc w:val="both"/>
        <w:rPr>
          <w:b/>
          <w:highlight w:val="yellow"/>
        </w:rPr>
      </w:pPr>
    </w:p>
    <w:p w14:paraId="727185DC" w14:textId="77777777" w:rsidR="00FC3056" w:rsidRDefault="00FC3056" w:rsidP="00FC3056">
      <w:pPr>
        <w:rPr>
          <w:rFonts w:ascii="Trebuchet MS" w:hAnsi="Trebuchet MS" w:cs="Calibri"/>
          <w:sz w:val="20"/>
          <w:szCs w:val="20"/>
          <w:lang w:val="en-US" w:eastAsia="en-GB"/>
        </w:rPr>
      </w:pPr>
      <w:r>
        <w:rPr>
          <w:rFonts w:ascii="Trebuchet MS" w:hAnsi="Trebuchet MS"/>
          <w:sz w:val="20"/>
          <w:szCs w:val="20"/>
          <w:lang w:val="en-US"/>
        </w:rPr>
        <w:t>PWLB Standard Rate = Gilt yield + 1.00%</w:t>
      </w:r>
    </w:p>
    <w:p w14:paraId="082946E1" w14:textId="77777777" w:rsidR="00FC3056" w:rsidRDefault="00FC3056" w:rsidP="00FC3056">
      <w:pPr>
        <w:rPr>
          <w:rFonts w:ascii="Trebuchet MS" w:hAnsi="Trebuchet MS"/>
          <w:sz w:val="20"/>
          <w:szCs w:val="20"/>
          <w:lang w:val="en-US"/>
        </w:rPr>
      </w:pPr>
      <w:r>
        <w:rPr>
          <w:rFonts w:ascii="Trebuchet MS" w:hAnsi="Trebuchet MS"/>
          <w:sz w:val="20"/>
          <w:szCs w:val="20"/>
          <w:lang w:val="en-US"/>
        </w:rPr>
        <w:t>PWLB Certainty Rate = Gilt yield + 0.80%</w:t>
      </w:r>
    </w:p>
    <w:p w14:paraId="3290E641" w14:textId="77777777" w:rsidR="00FC3056" w:rsidRDefault="00FC3056" w:rsidP="00FC3056">
      <w:pPr>
        <w:rPr>
          <w:rFonts w:ascii="Trebuchet MS" w:hAnsi="Trebuchet MS"/>
          <w:sz w:val="20"/>
          <w:szCs w:val="20"/>
          <w:lang w:val="en-US"/>
        </w:rPr>
      </w:pPr>
      <w:r>
        <w:rPr>
          <w:rFonts w:ascii="Trebuchet MS" w:hAnsi="Trebuchet MS"/>
          <w:sz w:val="20"/>
          <w:szCs w:val="20"/>
          <w:lang w:val="en-US"/>
        </w:rPr>
        <w:t>PWLB HRA Rate = Gilt yield + 0.40%</w:t>
      </w:r>
    </w:p>
    <w:p w14:paraId="7BDE0E25" w14:textId="77777777" w:rsidR="00FC3056" w:rsidRDefault="00FC3056" w:rsidP="00FC3056">
      <w:pPr>
        <w:rPr>
          <w:rFonts w:ascii="Trebuchet MS" w:hAnsi="Trebuchet MS"/>
          <w:sz w:val="20"/>
          <w:szCs w:val="20"/>
          <w:lang w:val="en-US"/>
        </w:rPr>
      </w:pPr>
      <w:r>
        <w:rPr>
          <w:rFonts w:ascii="Trebuchet MS" w:hAnsi="Trebuchet MS"/>
          <w:sz w:val="20"/>
          <w:szCs w:val="20"/>
          <w:lang w:val="en-US"/>
        </w:rPr>
        <w:t>UK Infrastructure Bank Rate = Gilt yield + 0.40%</w:t>
      </w:r>
    </w:p>
    <w:p w14:paraId="15E9E268" w14:textId="0911297E" w:rsidR="00CC3232" w:rsidRPr="008D0313" w:rsidRDefault="00CC3232" w:rsidP="00F56AC8">
      <w:pPr>
        <w:jc w:val="both"/>
        <w:rPr>
          <w:b/>
          <w:highlight w:val="yellow"/>
        </w:rPr>
      </w:pPr>
      <w:r w:rsidRPr="008D0313">
        <w:rPr>
          <w:b/>
          <w:highlight w:val="yellow"/>
        </w:rPr>
        <w:br w:type="page"/>
      </w:r>
    </w:p>
    <w:p w14:paraId="2A4062F6" w14:textId="77777777" w:rsidR="009D5371" w:rsidRDefault="009D5371" w:rsidP="00CC3232">
      <w:pPr>
        <w:pStyle w:val="ListParagraph"/>
        <w:ind w:left="0"/>
        <w:jc w:val="both"/>
        <w:rPr>
          <w:b/>
        </w:rPr>
        <w:sectPr w:rsidR="009D5371" w:rsidSect="003C5184">
          <w:pgSz w:w="11906" w:h="16838" w:code="9"/>
          <w:pgMar w:top="1134" w:right="1134" w:bottom="142" w:left="1276" w:header="709" w:footer="709" w:gutter="0"/>
          <w:cols w:space="708"/>
          <w:titlePg/>
          <w:docGrid w:linePitch="360"/>
        </w:sectPr>
      </w:pPr>
    </w:p>
    <w:p w14:paraId="766E6466" w14:textId="048B88F4" w:rsidR="00CC3232" w:rsidRPr="00C70D42" w:rsidRDefault="00CC3232" w:rsidP="00C70D42">
      <w:pPr>
        <w:pStyle w:val="Heading1"/>
        <w:spacing w:before="0" w:after="240"/>
        <w:rPr>
          <w:b w:val="0"/>
          <w:sz w:val="28"/>
          <w:szCs w:val="28"/>
        </w:rPr>
      </w:pPr>
      <w:bookmarkStart w:id="19" w:name="_Toc73025267"/>
      <w:bookmarkStart w:id="20" w:name="_Toc158793252"/>
      <w:r w:rsidRPr="00C70D42">
        <w:rPr>
          <w:rFonts w:asciiTheme="minorBidi" w:hAnsiTheme="minorBidi" w:cstheme="minorBidi"/>
          <w:sz w:val="28"/>
          <w:szCs w:val="28"/>
        </w:rPr>
        <w:lastRenderedPageBreak/>
        <w:t xml:space="preserve">Appendix </w:t>
      </w:r>
      <w:r w:rsidR="00395C9B">
        <w:rPr>
          <w:rFonts w:asciiTheme="minorBidi" w:hAnsiTheme="minorBidi" w:cstheme="minorBidi"/>
          <w:sz w:val="28"/>
          <w:szCs w:val="28"/>
        </w:rPr>
        <w:t>B</w:t>
      </w:r>
      <w:r w:rsidRPr="00C70D42">
        <w:rPr>
          <w:rFonts w:asciiTheme="minorBidi" w:hAnsiTheme="minorBidi" w:cstheme="minorBidi"/>
          <w:sz w:val="28"/>
          <w:szCs w:val="28"/>
        </w:rPr>
        <w:t xml:space="preserve"> – Existing Investment &amp; Debt Portfolio Position</w:t>
      </w:r>
      <w:bookmarkEnd w:id="19"/>
      <w:bookmarkEnd w:id="20"/>
    </w:p>
    <w:p w14:paraId="216AE2C3" w14:textId="7EDFEEC7" w:rsidR="00CC3232" w:rsidRDefault="00CC3232" w:rsidP="00CC3232">
      <w:pPr>
        <w:pStyle w:val="ListParagraph"/>
        <w:ind w:left="0"/>
        <w:jc w:val="both"/>
        <w:rPr>
          <w:rFonts w:ascii="Times New Roman" w:hAnsi="Times New Roman" w:cs="Times New Roman"/>
          <w:sz w:val="20"/>
          <w:szCs w:val="20"/>
          <w:lang w:eastAsia="en-GB"/>
        </w:rPr>
      </w:pPr>
    </w:p>
    <w:tbl>
      <w:tblPr>
        <w:tblW w:w="7508" w:type="dxa"/>
        <w:tblLook w:val="04A0" w:firstRow="1" w:lastRow="0" w:firstColumn="1" w:lastColumn="0" w:noHBand="0" w:noVBand="1"/>
      </w:tblPr>
      <w:tblGrid>
        <w:gridCol w:w="4565"/>
        <w:gridCol w:w="1526"/>
        <w:gridCol w:w="1417"/>
      </w:tblGrid>
      <w:tr w:rsidR="00CC3232" w:rsidRPr="002543ED" w14:paraId="05CCA004" w14:textId="77777777" w:rsidTr="00FB1C37">
        <w:trPr>
          <w:trHeight w:val="313"/>
        </w:trPr>
        <w:tc>
          <w:tcPr>
            <w:tcW w:w="4565"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1C8A051F" w14:textId="77777777" w:rsidR="00CC3232" w:rsidRPr="00F12659" w:rsidRDefault="00CC3232" w:rsidP="00827328">
            <w:pPr>
              <w:jc w:val="center"/>
              <w:rPr>
                <w:color w:val="000000"/>
                <w:sz w:val="22"/>
                <w:szCs w:val="22"/>
                <w:lang w:eastAsia="en-GB"/>
              </w:rPr>
            </w:pPr>
            <w:r w:rsidRPr="00F12659">
              <w:rPr>
                <w:color w:val="000000"/>
                <w:sz w:val="22"/>
                <w:szCs w:val="22"/>
                <w:lang w:eastAsia="en-GB"/>
              </w:rPr>
              <w:t> </w:t>
            </w:r>
          </w:p>
        </w:tc>
        <w:tc>
          <w:tcPr>
            <w:tcW w:w="1526" w:type="dxa"/>
            <w:tcBorders>
              <w:top w:val="single" w:sz="4" w:space="0" w:color="auto"/>
              <w:left w:val="single" w:sz="4" w:space="0" w:color="auto"/>
              <w:bottom w:val="nil"/>
              <w:right w:val="single" w:sz="4" w:space="0" w:color="auto"/>
            </w:tcBorders>
            <w:shd w:val="clear" w:color="auto" w:fill="auto"/>
            <w:noWrap/>
            <w:vAlign w:val="bottom"/>
            <w:hideMark/>
          </w:tcPr>
          <w:p w14:paraId="75F3252A" w14:textId="03CB3312" w:rsidR="00CC3232" w:rsidRPr="00F12659" w:rsidRDefault="00CC3232" w:rsidP="00827328">
            <w:pPr>
              <w:jc w:val="center"/>
              <w:rPr>
                <w:b/>
                <w:bCs/>
                <w:color w:val="000000"/>
                <w:sz w:val="22"/>
                <w:szCs w:val="22"/>
                <w:lang w:eastAsia="en-GB"/>
              </w:rPr>
            </w:pPr>
            <w:r w:rsidRPr="00F12659">
              <w:rPr>
                <w:b/>
                <w:bCs/>
                <w:color w:val="000000"/>
                <w:sz w:val="22"/>
                <w:szCs w:val="22"/>
                <w:lang w:eastAsia="en-GB"/>
              </w:rPr>
              <w:t>31/03/202</w:t>
            </w:r>
            <w:r w:rsidR="008D0313">
              <w:rPr>
                <w:b/>
                <w:bCs/>
                <w:color w:val="000000"/>
                <w:sz w:val="22"/>
                <w:szCs w:val="22"/>
                <w:lang w:eastAsia="en-GB"/>
              </w:rPr>
              <w:t>3</w:t>
            </w:r>
          </w:p>
        </w:tc>
        <w:tc>
          <w:tcPr>
            <w:tcW w:w="1417" w:type="dxa"/>
            <w:tcBorders>
              <w:top w:val="single" w:sz="4" w:space="0" w:color="auto"/>
              <w:left w:val="nil"/>
              <w:bottom w:val="nil"/>
              <w:right w:val="single" w:sz="4" w:space="0" w:color="auto"/>
            </w:tcBorders>
            <w:shd w:val="clear" w:color="auto" w:fill="auto"/>
            <w:noWrap/>
            <w:vAlign w:val="bottom"/>
            <w:hideMark/>
          </w:tcPr>
          <w:p w14:paraId="0BE5B139" w14:textId="47292B09" w:rsidR="00CC3232" w:rsidRPr="00F12659" w:rsidRDefault="00CC3232" w:rsidP="00827328">
            <w:pPr>
              <w:jc w:val="center"/>
              <w:rPr>
                <w:b/>
                <w:bCs/>
                <w:color w:val="000000"/>
                <w:sz w:val="22"/>
                <w:szCs w:val="22"/>
                <w:lang w:eastAsia="en-GB"/>
              </w:rPr>
            </w:pPr>
            <w:r w:rsidRPr="00F12659">
              <w:rPr>
                <w:b/>
                <w:bCs/>
                <w:color w:val="000000"/>
                <w:sz w:val="22"/>
                <w:szCs w:val="22"/>
                <w:lang w:eastAsia="en-GB"/>
              </w:rPr>
              <w:t>31/03/202</w:t>
            </w:r>
            <w:r w:rsidR="008D0313">
              <w:rPr>
                <w:b/>
                <w:bCs/>
                <w:color w:val="000000"/>
                <w:sz w:val="22"/>
                <w:szCs w:val="22"/>
                <w:lang w:eastAsia="en-GB"/>
              </w:rPr>
              <w:t>3</w:t>
            </w:r>
          </w:p>
        </w:tc>
      </w:tr>
      <w:tr w:rsidR="00CC3232" w:rsidRPr="002543ED" w14:paraId="405BB9A6" w14:textId="77777777" w:rsidTr="00FB1C37">
        <w:trPr>
          <w:trHeight w:val="627"/>
        </w:trPr>
        <w:tc>
          <w:tcPr>
            <w:tcW w:w="4565" w:type="dxa"/>
            <w:vMerge/>
            <w:tcBorders>
              <w:top w:val="single" w:sz="4" w:space="0" w:color="auto"/>
              <w:left w:val="single" w:sz="4" w:space="0" w:color="auto"/>
              <w:bottom w:val="single" w:sz="4" w:space="0" w:color="000000"/>
              <w:right w:val="nil"/>
            </w:tcBorders>
            <w:vAlign w:val="center"/>
            <w:hideMark/>
          </w:tcPr>
          <w:p w14:paraId="162377CC" w14:textId="77777777" w:rsidR="00CC3232" w:rsidRPr="00F12659" w:rsidRDefault="00CC3232" w:rsidP="00827328">
            <w:pPr>
              <w:rPr>
                <w:color w:val="000000"/>
                <w:sz w:val="22"/>
                <w:szCs w:val="22"/>
                <w:lang w:eastAsia="en-GB"/>
              </w:rPr>
            </w:pPr>
          </w:p>
        </w:tc>
        <w:tc>
          <w:tcPr>
            <w:tcW w:w="1526" w:type="dxa"/>
            <w:tcBorders>
              <w:top w:val="nil"/>
              <w:left w:val="single" w:sz="4" w:space="0" w:color="auto"/>
              <w:bottom w:val="single" w:sz="4" w:space="0" w:color="auto"/>
              <w:right w:val="single" w:sz="4" w:space="0" w:color="auto"/>
            </w:tcBorders>
            <w:shd w:val="clear" w:color="auto" w:fill="auto"/>
            <w:vAlign w:val="center"/>
            <w:hideMark/>
          </w:tcPr>
          <w:p w14:paraId="69B78561" w14:textId="77777777" w:rsidR="00CC3232" w:rsidRPr="00F12659" w:rsidRDefault="00CC3232" w:rsidP="00827328">
            <w:pPr>
              <w:jc w:val="center"/>
              <w:rPr>
                <w:b/>
                <w:bCs/>
                <w:color w:val="000000"/>
                <w:sz w:val="22"/>
                <w:szCs w:val="22"/>
                <w:lang w:eastAsia="en-GB"/>
              </w:rPr>
            </w:pPr>
            <w:r w:rsidRPr="00F12659">
              <w:rPr>
                <w:b/>
                <w:bCs/>
                <w:color w:val="000000"/>
                <w:sz w:val="22"/>
                <w:szCs w:val="22"/>
                <w:lang w:eastAsia="en-GB"/>
              </w:rPr>
              <w:t>Actual Portfolio £m</w:t>
            </w:r>
          </w:p>
        </w:tc>
        <w:tc>
          <w:tcPr>
            <w:tcW w:w="1417" w:type="dxa"/>
            <w:tcBorders>
              <w:top w:val="nil"/>
              <w:left w:val="nil"/>
              <w:bottom w:val="single" w:sz="4" w:space="0" w:color="auto"/>
              <w:right w:val="single" w:sz="4" w:space="0" w:color="auto"/>
            </w:tcBorders>
            <w:shd w:val="clear" w:color="auto" w:fill="auto"/>
            <w:vAlign w:val="bottom"/>
            <w:hideMark/>
          </w:tcPr>
          <w:p w14:paraId="4084C3E3" w14:textId="106DE968" w:rsidR="00CC3232" w:rsidRPr="00F12659" w:rsidRDefault="00682FBF" w:rsidP="00827328">
            <w:pPr>
              <w:jc w:val="center"/>
              <w:rPr>
                <w:b/>
                <w:bCs/>
                <w:color w:val="000000"/>
                <w:sz w:val="22"/>
                <w:szCs w:val="22"/>
                <w:lang w:eastAsia="en-GB"/>
              </w:rPr>
            </w:pPr>
            <w:r>
              <w:rPr>
                <w:b/>
                <w:bCs/>
                <w:color w:val="000000"/>
                <w:sz w:val="22"/>
                <w:szCs w:val="22"/>
                <w:lang w:eastAsia="en-GB"/>
              </w:rPr>
              <w:t xml:space="preserve">Year End </w:t>
            </w:r>
            <w:r w:rsidR="00CC3232" w:rsidRPr="00F12659">
              <w:rPr>
                <w:b/>
                <w:bCs/>
                <w:color w:val="000000"/>
                <w:sz w:val="22"/>
                <w:szCs w:val="22"/>
                <w:lang w:eastAsia="en-GB"/>
              </w:rPr>
              <w:t>Rate %</w:t>
            </w:r>
          </w:p>
        </w:tc>
      </w:tr>
      <w:tr w:rsidR="00CC3232" w:rsidRPr="002543ED" w14:paraId="325680C8"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19EDFB82" w14:textId="77777777" w:rsidR="00CC3232" w:rsidRPr="00F12659" w:rsidRDefault="00CC3232" w:rsidP="00827328">
            <w:pPr>
              <w:rPr>
                <w:b/>
                <w:bCs/>
                <w:color w:val="000000"/>
                <w:sz w:val="22"/>
                <w:szCs w:val="22"/>
                <w:lang w:eastAsia="en-GB"/>
              </w:rPr>
            </w:pPr>
            <w:r w:rsidRPr="00F12659">
              <w:rPr>
                <w:b/>
                <w:bCs/>
                <w:color w:val="000000"/>
                <w:sz w:val="22"/>
                <w:szCs w:val="22"/>
                <w:lang w:eastAsia="en-GB"/>
              </w:rPr>
              <w:t>External borrowing:</w:t>
            </w:r>
          </w:p>
        </w:tc>
        <w:tc>
          <w:tcPr>
            <w:tcW w:w="1526" w:type="dxa"/>
            <w:tcBorders>
              <w:top w:val="nil"/>
              <w:left w:val="single" w:sz="4" w:space="0" w:color="auto"/>
              <w:bottom w:val="nil"/>
              <w:right w:val="single" w:sz="4" w:space="0" w:color="auto"/>
            </w:tcBorders>
            <w:shd w:val="clear" w:color="auto" w:fill="auto"/>
            <w:noWrap/>
            <w:vAlign w:val="bottom"/>
            <w:hideMark/>
          </w:tcPr>
          <w:p w14:paraId="59D67AC6" w14:textId="77777777" w:rsidR="00CC3232" w:rsidRPr="00F12659" w:rsidRDefault="00CC3232" w:rsidP="00827328">
            <w:pPr>
              <w:rPr>
                <w:color w:val="000000"/>
                <w:sz w:val="22"/>
                <w:szCs w:val="22"/>
                <w:lang w:eastAsia="en-GB"/>
              </w:rPr>
            </w:pPr>
            <w:r w:rsidRPr="00F12659">
              <w:rPr>
                <w:color w:val="000000"/>
                <w:sz w:val="22"/>
                <w:szCs w:val="22"/>
                <w:lang w:eastAsia="en-GB"/>
              </w:rPr>
              <w:t> </w:t>
            </w:r>
          </w:p>
        </w:tc>
        <w:tc>
          <w:tcPr>
            <w:tcW w:w="1417" w:type="dxa"/>
            <w:tcBorders>
              <w:top w:val="nil"/>
              <w:left w:val="nil"/>
              <w:bottom w:val="nil"/>
              <w:right w:val="single" w:sz="4" w:space="0" w:color="auto"/>
            </w:tcBorders>
            <w:shd w:val="clear" w:color="auto" w:fill="auto"/>
            <w:noWrap/>
            <w:vAlign w:val="bottom"/>
            <w:hideMark/>
          </w:tcPr>
          <w:p w14:paraId="1430E1E3" w14:textId="77777777" w:rsidR="00CC3232" w:rsidRPr="00F12659" w:rsidRDefault="00CC3232" w:rsidP="00827328">
            <w:pPr>
              <w:rPr>
                <w:color w:val="000000"/>
                <w:sz w:val="22"/>
                <w:szCs w:val="22"/>
                <w:lang w:eastAsia="en-GB"/>
              </w:rPr>
            </w:pPr>
            <w:r w:rsidRPr="00F12659">
              <w:rPr>
                <w:color w:val="000000"/>
                <w:sz w:val="22"/>
                <w:szCs w:val="22"/>
                <w:lang w:eastAsia="en-GB"/>
              </w:rPr>
              <w:t> </w:t>
            </w:r>
          </w:p>
        </w:tc>
      </w:tr>
      <w:tr w:rsidR="00CC3232" w:rsidRPr="002543ED" w14:paraId="47DBAAC1"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3B973ECA" w14:textId="77777777" w:rsidR="00CC3232" w:rsidRPr="00F12659" w:rsidRDefault="00CC3232" w:rsidP="00827328">
            <w:pPr>
              <w:rPr>
                <w:color w:val="000000"/>
                <w:sz w:val="22"/>
                <w:szCs w:val="22"/>
                <w:lang w:eastAsia="en-GB"/>
              </w:rPr>
            </w:pPr>
            <w:r w:rsidRPr="00F12659">
              <w:rPr>
                <w:color w:val="000000"/>
                <w:sz w:val="22"/>
                <w:szCs w:val="22"/>
                <w:lang w:eastAsia="en-GB"/>
              </w:rPr>
              <w:t>Public Works Loan Board</w:t>
            </w:r>
          </w:p>
        </w:tc>
        <w:tc>
          <w:tcPr>
            <w:tcW w:w="1526" w:type="dxa"/>
            <w:tcBorders>
              <w:top w:val="nil"/>
              <w:left w:val="single" w:sz="4" w:space="0" w:color="auto"/>
              <w:bottom w:val="nil"/>
              <w:right w:val="single" w:sz="4" w:space="0" w:color="auto"/>
            </w:tcBorders>
            <w:shd w:val="clear" w:color="auto" w:fill="auto"/>
            <w:noWrap/>
            <w:vAlign w:val="bottom"/>
            <w:hideMark/>
          </w:tcPr>
          <w:p w14:paraId="3450A5D3" w14:textId="64B7C403" w:rsidR="00CC3232" w:rsidRPr="00F12659" w:rsidRDefault="00CC3232" w:rsidP="00FB1C37">
            <w:pPr>
              <w:jc w:val="right"/>
              <w:rPr>
                <w:color w:val="000000"/>
                <w:sz w:val="22"/>
                <w:szCs w:val="22"/>
                <w:lang w:eastAsia="en-GB"/>
              </w:rPr>
            </w:pPr>
            <w:r w:rsidRPr="00F12659">
              <w:rPr>
                <w:color w:val="000000"/>
                <w:sz w:val="22"/>
                <w:szCs w:val="22"/>
                <w:lang w:eastAsia="en-GB"/>
              </w:rPr>
              <w:t>2</w:t>
            </w:r>
            <w:r w:rsidR="008D0313">
              <w:rPr>
                <w:color w:val="000000"/>
                <w:sz w:val="22"/>
                <w:szCs w:val="22"/>
                <w:lang w:eastAsia="en-GB"/>
              </w:rPr>
              <w:t>3</w:t>
            </w:r>
            <w:r w:rsidRPr="00F12659">
              <w:rPr>
                <w:color w:val="000000"/>
                <w:sz w:val="22"/>
                <w:szCs w:val="22"/>
                <w:lang w:eastAsia="en-GB"/>
              </w:rPr>
              <w:t>.5</w:t>
            </w:r>
          </w:p>
        </w:tc>
        <w:tc>
          <w:tcPr>
            <w:tcW w:w="1417" w:type="dxa"/>
            <w:tcBorders>
              <w:top w:val="nil"/>
              <w:left w:val="nil"/>
              <w:bottom w:val="nil"/>
              <w:right w:val="single" w:sz="4" w:space="0" w:color="auto"/>
            </w:tcBorders>
            <w:shd w:val="clear" w:color="auto" w:fill="auto"/>
            <w:noWrap/>
            <w:vAlign w:val="bottom"/>
            <w:hideMark/>
          </w:tcPr>
          <w:p w14:paraId="14F64C59" w14:textId="5E81B72C" w:rsidR="00CC3232" w:rsidRPr="00F12659" w:rsidRDefault="00CC3232" w:rsidP="00FB1C37">
            <w:pPr>
              <w:jc w:val="right"/>
              <w:rPr>
                <w:color w:val="000000"/>
                <w:sz w:val="22"/>
                <w:szCs w:val="22"/>
                <w:lang w:eastAsia="en-GB"/>
              </w:rPr>
            </w:pPr>
            <w:r w:rsidRPr="00F12659">
              <w:rPr>
                <w:color w:val="000000"/>
                <w:sz w:val="22"/>
                <w:szCs w:val="22"/>
                <w:lang w:eastAsia="en-GB"/>
              </w:rPr>
              <w:t>4.</w:t>
            </w:r>
            <w:r w:rsidR="00432A6D" w:rsidRPr="00F12659">
              <w:rPr>
                <w:color w:val="000000"/>
                <w:sz w:val="22"/>
                <w:szCs w:val="22"/>
                <w:lang w:eastAsia="en-GB"/>
              </w:rPr>
              <w:t>7</w:t>
            </w:r>
          </w:p>
        </w:tc>
      </w:tr>
      <w:tr w:rsidR="00CC3232" w:rsidRPr="002543ED" w14:paraId="69347C0C"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51327F56" w14:textId="77777777" w:rsidR="00CC3232" w:rsidRPr="00F12659" w:rsidRDefault="00CC3232" w:rsidP="00827328">
            <w:pPr>
              <w:rPr>
                <w:color w:val="000000"/>
                <w:sz w:val="22"/>
                <w:szCs w:val="22"/>
                <w:lang w:eastAsia="en-GB"/>
              </w:rPr>
            </w:pPr>
            <w:r w:rsidRPr="00F12659">
              <w:rPr>
                <w:color w:val="000000"/>
                <w:sz w:val="22"/>
                <w:szCs w:val="22"/>
                <w:lang w:eastAsia="en-GB"/>
              </w:rPr>
              <w:t> </w:t>
            </w:r>
          </w:p>
        </w:tc>
        <w:tc>
          <w:tcPr>
            <w:tcW w:w="1526" w:type="dxa"/>
            <w:tcBorders>
              <w:top w:val="nil"/>
              <w:left w:val="single" w:sz="4" w:space="0" w:color="auto"/>
              <w:bottom w:val="nil"/>
              <w:right w:val="single" w:sz="4" w:space="0" w:color="auto"/>
            </w:tcBorders>
            <w:shd w:val="clear" w:color="auto" w:fill="auto"/>
            <w:noWrap/>
            <w:vAlign w:val="bottom"/>
            <w:hideMark/>
          </w:tcPr>
          <w:p w14:paraId="194BDC30"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c>
          <w:tcPr>
            <w:tcW w:w="1417" w:type="dxa"/>
            <w:tcBorders>
              <w:top w:val="nil"/>
              <w:left w:val="nil"/>
              <w:bottom w:val="nil"/>
              <w:right w:val="single" w:sz="4" w:space="0" w:color="auto"/>
            </w:tcBorders>
            <w:shd w:val="clear" w:color="auto" w:fill="auto"/>
            <w:noWrap/>
            <w:vAlign w:val="bottom"/>
            <w:hideMark/>
          </w:tcPr>
          <w:p w14:paraId="0E4ADE07"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r>
      <w:tr w:rsidR="00CC3232" w:rsidRPr="002543ED" w14:paraId="70FEF269" w14:textId="77777777" w:rsidTr="00CA77EA">
        <w:trPr>
          <w:trHeight w:val="313"/>
        </w:trPr>
        <w:tc>
          <w:tcPr>
            <w:tcW w:w="4565" w:type="dxa"/>
            <w:tcBorders>
              <w:top w:val="nil"/>
              <w:left w:val="single" w:sz="4" w:space="0" w:color="auto"/>
              <w:bottom w:val="single" w:sz="4" w:space="0" w:color="auto"/>
              <w:right w:val="nil"/>
            </w:tcBorders>
            <w:shd w:val="clear" w:color="auto" w:fill="auto"/>
            <w:noWrap/>
            <w:vAlign w:val="bottom"/>
            <w:hideMark/>
          </w:tcPr>
          <w:p w14:paraId="1D87B978" w14:textId="77777777" w:rsidR="00CC3232" w:rsidRPr="00F12659" w:rsidRDefault="00CC3232" w:rsidP="00827328">
            <w:pPr>
              <w:rPr>
                <w:b/>
                <w:bCs/>
                <w:color w:val="000000"/>
                <w:sz w:val="22"/>
                <w:szCs w:val="22"/>
                <w:lang w:eastAsia="en-GB"/>
              </w:rPr>
            </w:pPr>
            <w:r w:rsidRPr="00F12659">
              <w:rPr>
                <w:b/>
                <w:bCs/>
                <w:color w:val="000000"/>
                <w:sz w:val="22"/>
                <w:szCs w:val="22"/>
                <w:lang w:eastAsia="en-GB"/>
              </w:rPr>
              <w:t>Total external borrowing</w:t>
            </w:r>
          </w:p>
        </w:tc>
        <w:tc>
          <w:tcPr>
            <w:tcW w:w="1526" w:type="dxa"/>
            <w:tcBorders>
              <w:top w:val="nil"/>
              <w:left w:val="single" w:sz="4" w:space="0" w:color="auto"/>
              <w:bottom w:val="single" w:sz="4" w:space="0" w:color="auto"/>
              <w:right w:val="single" w:sz="4" w:space="0" w:color="auto"/>
            </w:tcBorders>
            <w:shd w:val="clear" w:color="auto" w:fill="auto"/>
            <w:noWrap/>
            <w:vAlign w:val="bottom"/>
            <w:hideMark/>
          </w:tcPr>
          <w:p w14:paraId="7AE2F3A7" w14:textId="6907058E" w:rsidR="00CC3232" w:rsidRPr="00F12659" w:rsidRDefault="00CC3232" w:rsidP="00FB1C37">
            <w:pPr>
              <w:jc w:val="right"/>
              <w:rPr>
                <w:color w:val="000000"/>
                <w:sz w:val="22"/>
                <w:szCs w:val="22"/>
                <w:lang w:eastAsia="en-GB"/>
              </w:rPr>
            </w:pPr>
            <w:r w:rsidRPr="00F12659">
              <w:rPr>
                <w:color w:val="000000"/>
                <w:sz w:val="22"/>
                <w:szCs w:val="22"/>
                <w:lang w:eastAsia="en-GB"/>
              </w:rPr>
              <w:t>2</w:t>
            </w:r>
            <w:r w:rsidR="008D0313">
              <w:rPr>
                <w:color w:val="000000"/>
                <w:sz w:val="22"/>
                <w:szCs w:val="22"/>
                <w:lang w:eastAsia="en-GB"/>
              </w:rPr>
              <w:t>3</w:t>
            </w:r>
            <w:r w:rsidRPr="00F12659">
              <w:rPr>
                <w:color w:val="000000"/>
                <w:sz w:val="22"/>
                <w:szCs w:val="22"/>
                <w:lang w:eastAsia="en-GB"/>
              </w:rPr>
              <w:t>.5</w:t>
            </w:r>
          </w:p>
        </w:tc>
        <w:tc>
          <w:tcPr>
            <w:tcW w:w="1417" w:type="dxa"/>
            <w:tcBorders>
              <w:top w:val="nil"/>
              <w:left w:val="nil"/>
              <w:bottom w:val="single" w:sz="4" w:space="0" w:color="auto"/>
              <w:right w:val="single" w:sz="4" w:space="0" w:color="auto"/>
            </w:tcBorders>
            <w:shd w:val="clear" w:color="auto" w:fill="auto"/>
            <w:noWrap/>
            <w:vAlign w:val="bottom"/>
            <w:hideMark/>
          </w:tcPr>
          <w:p w14:paraId="6FAA3D4F" w14:textId="568B7A17" w:rsidR="00CC3232" w:rsidRPr="00F12659" w:rsidRDefault="00CC3232" w:rsidP="00FB1C37">
            <w:pPr>
              <w:jc w:val="right"/>
              <w:rPr>
                <w:color w:val="000000"/>
                <w:sz w:val="22"/>
                <w:szCs w:val="22"/>
                <w:lang w:eastAsia="en-GB"/>
              </w:rPr>
            </w:pPr>
            <w:r w:rsidRPr="00F12659">
              <w:rPr>
                <w:color w:val="000000"/>
                <w:sz w:val="22"/>
                <w:szCs w:val="22"/>
                <w:lang w:eastAsia="en-GB"/>
              </w:rPr>
              <w:t>4.</w:t>
            </w:r>
            <w:r w:rsidR="00432A6D" w:rsidRPr="00F12659">
              <w:rPr>
                <w:color w:val="000000"/>
                <w:sz w:val="22"/>
                <w:szCs w:val="22"/>
                <w:lang w:eastAsia="en-GB"/>
              </w:rPr>
              <w:t>7</w:t>
            </w:r>
          </w:p>
        </w:tc>
      </w:tr>
      <w:tr w:rsidR="00CC3232" w:rsidRPr="002543ED" w14:paraId="03DCB915" w14:textId="77777777" w:rsidTr="00FB1C37">
        <w:trPr>
          <w:trHeight w:val="313"/>
        </w:trPr>
        <w:tc>
          <w:tcPr>
            <w:tcW w:w="4565" w:type="dxa"/>
            <w:tcBorders>
              <w:top w:val="nil"/>
              <w:left w:val="single" w:sz="4" w:space="0" w:color="auto"/>
              <w:bottom w:val="nil"/>
              <w:right w:val="nil"/>
            </w:tcBorders>
            <w:shd w:val="clear" w:color="auto" w:fill="auto"/>
            <w:noWrap/>
            <w:vAlign w:val="bottom"/>
            <w:hideMark/>
          </w:tcPr>
          <w:p w14:paraId="63AB0829" w14:textId="77777777" w:rsidR="00CC3232" w:rsidRPr="00F12659" w:rsidRDefault="00CC3232" w:rsidP="00827328">
            <w:pPr>
              <w:rPr>
                <w:b/>
                <w:bCs/>
                <w:color w:val="000000"/>
                <w:sz w:val="22"/>
                <w:szCs w:val="22"/>
                <w:lang w:eastAsia="en-GB"/>
              </w:rPr>
            </w:pPr>
            <w:r w:rsidRPr="00F12659">
              <w:rPr>
                <w:b/>
                <w:bCs/>
                <w:color w:val="000000"/>
                <w:sz w:val="22"/>
                <w:szCs w:val="22"/>
                <w:lang w:eastAsia="en-GB"/>
              </w:rPr>
              <w:t>Treasury investments</w:t>
            </w:r>
          </w:p>
        </w:tc>
        <w:tc>
          <w:tcPr>
            <w:tcW w:w="1526" w:type="dxa"/>
            <w:tcBorders>
              <w:top w:val="nil"/>
              <w:left w:val="single" w:sz="4" w:space="0" w:color="auto"/>
              <w:bottom w:val="nil"/>
              <w:right w:val="single" w:sz="4" w:space="0" w:color="auto"/>
            </w:tcBorders>
            <w:shd w:val="clear" w:color="auto" w:fill="auto"/>
            <w:noWrap/>
            <w:vAlign w:val="bottom"/>
            <w:hideMark/>
          </w:tcPr>
          <w:p w14:paraId="3365047B"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c>
          <w:tcPr>
            <w:tcW w:w="1417" w:type="dxa"/>
            <w:tcBorders>
              <w:top w:val="nil"/>
              <w:left w:val="nil"/>
              <w:bottom w:val="nil"/>
              <w:right w:val="single" w:sz="4" w:space="0" w:color="auto"/>
            </w:tcBorders>
            <w:shd w:val="clear" w:color="auto" w:fill="auto"/>
            <w:noWrap/>
            <w:vAlign w:val="bottom"/>
            <w:hideMark/>
          </w:tcPr>
          <w:p w14:paraId="4569B8A0" w14:textId="77777777" w:rsidR="00CC3232" w:rsidRPr="00F12659" w:rsidRDefault="00CC3232" w:rsidP="00FB1C37">
            <w:pPr>
              <w:jc w:val="right"/>
              <w:rPr>
                <w:color w:val="000000"/>
                <w:sz w:val="22"/>
                <w:szCs w:val="22"/>
                <w:lang w:eastAsia="en-GB"/>
              </w:rPr>
            </w:pPr>
            <w:r w:rsidRPr="00F12659">
              <w:rPr>
                <w:color w:val="000000"/>
                <w:sz w:val="22"/>
                <w:szCs w:val="22"/>
                <w:lang w:eastAsia="en-GB"/>
              </w:rPr>
              <w:t> </w:t>
            </w:r>
          </w:p>
        </w:tc>
      </w:tr>
      <w:tr w:rsidR="00CC3232" w:rsidRPr="002543ED" w14:paraId="3B004DED" w14:textId="77777777" w:rsidTr="00CA77EA">
        <w:trPr>
          <w:trHeight w:val="313"/>
        </w:trPr>
        <w:tc>
          <w:tcPr>
            <w:tcW w:w="4565" w:type="dxa"/>
            <w:tcBorders>
              <w:top w:val="nil"/>
              <w:left w:val="single" w:sz="4" w:space="0" w:color="auto"/>
              <w:right w:val="nil"/>
            </w:tcBorders>
            <w:shd w:val="clear" w:color="auto" w:fill="auto"/>
            <w:noWrap/>
            <w:vAlign w:val="bottom"/>
            <w:hideMark/>
          </w:tcPr>
          <w:p w14:paraId="45B4FDC5" w14:textId="77777777" w:rsidR="00CC3232" w:rsidRPr="00F12659" w:rsidRDefault="00CC3232" w:rsidP="00827328">
            <w:pPr>
              <w:rPr>
                <w:color w:val="000000"/>
                <w:lang w:eastAsia="en-GB"/>
              </w:rPr>
            </w:pPr>
            <w:r w:rsidRPr="00F12659">
              <w:rPr>
                <w:color w:val="000000"/>
                <w:sz w:val="22"/>
                <w:szCs w:val="22"/>
                <w:lang w:eastAsia="en-GB"/>
              </w:rPr>
              <w:t>Money Market Funds</w:t>
            </w:r>
          </w:p>
        </w:tc>
        <w:tc>
          <w:tcPr>
            <w:tcW w:w="1526" w:type="dxa"/>
            <w:tcBorders>
              <w:top w:val="nil"/>
              <w:left w:val="single" w:sz="4" w:space="0" w:color="auto"/>
              <w:right w:val="single" w:sz="4" w:space="0" w:color="auto"/>
            </w:tcBorders>
            <w:shd w:val="clear" w:color="auto" w:fill="auto"/>
            <w:noWrap/>
            <w:vAlign w:val="bottom"/>
            <w:hideMark/>
          </w:tcPr>
          <w:p w14:paraId="4B784FAC" w14:textId="657528FF" w:rsidR="00CC3232" w:rsidRPr="00F12659" w:rsidRDefault="007151EC" w:rsidP="00FB1C37">
            <w:pPr>
              <w:jc w:val="right"/>
              <w:rPr>
                <w:color w:val="000000"/>
                <w:sz w:val="22"/>
                <w:szCs w:val="22"/>
                <w:lang w:eastAsia="en-GB"/>
              </w:rPr>
            </w:pPr>
            <w:r>
              <w:rPr>
                <w:color w:val="000000"/>
                <w:sz w:val="22"/>
                <w:szCs w:val="22"/>
                <w:lang w:eastAsia="en-GB"/>
              </w:rPr>
              <w:t>3</w:t>
            </w:r>
            <w:r w:rsidR="00CC3232" w:rsidRPr="00F12659">
              <w:rPr>
                <w:color w:val="000000"/>
                <w:sz w:val="22"/>
                <w:szCs w:val="22"/>
                <w:lang w:eastAsia="en-GB"/>
              </w:rPr>
              <w:t>.0</w:t>
            </w:r>
          </w:p>
        </w:tc>
        <w:tc>
          <w:tcPr>
            <w:tcW w:w="1417" w:type="dxa"/>
            <w:tcBorders>
              <w:top w:val="nil"/>
              <w:left w:val="nil"/>
              <w:right w:val="single" w:sz="4" w:space="0" w:color="auto"/>
            </w:tcBorders>
            <w:shd w:val="clear" w:color="auto" w:fill="auto"/>
            <w:noWrap/>
            <w:vAlign w:val="bottom"/>
            <w:hideMark/>
          </w:tcPr>
          <w:p w14:paraId="619562E8" w14:textId="78B0194A" w:rsidR="00CC3232" w:rsidRPr="00F12659" w:rsidRDefault="007151EC" w:rsidP="00FB1C37">
            <w:pPr>
              <w:jc w:val="right"/>
              <w:rPr>
                <w:color w:val="000000"/>
                <w:sz w:val="22"/>
                <w:szCs w:val="22"/>
                <w:lang w:eastAsia="en-GB"/>
              </w:rPr>
            </w:pPr>
            <w:r>
              <w:rPr>
                <w:color w:val="000000"/>
                <w:sz w:val="22"/>
                <w:szCs w:val="22"/>
                <w:lang w:eastAsia="en-GB"/>
              </w:rPr>
              <w:t>3</w:t>
            </w:r>
            <w:r w:rsidR="00CC3232" w:rsidRPr="00F12659">
              <w:rPr>
                <w:color w:val="000000"/>
                <w:sz w:val="22"/>
                <w:szCs w:val="22"/>
                <w:lang w:eastAsia="en-GB"/>
              </w:rPr>
              <w:t>.</w:t>
            </w:r>
            <w:r>
              <w:rPr>
                <w:color w:val="000000"/>
                <w:sz w:val="22"/>
                <w:szCs w:val="22"/>
                <w:lang w:eastAsia="en-GB"/>
              </w:rPr>
              <w:t>84</w:t>
            </w:r>
          </w:p>
        </w:tc>
      </w:tr>
      <w:tr w:rsidR="00CC3232" w:rsidRPr="002543ED" w14:paraId="2DE86F17" w14:textId="77777777" w:rsidTr="00CA77EA">
        <w:trPr>
          <w:trHeight w:val="313"/>
        </w:trPr>
        <w:tc>
          <w:tcPr>
            <w:tcW w:w="4565" w:type="dxa"/>
            <w:tcBorders>
              <w:top w:val="nil"/>
              <w:left w:val="single" w:sz="4" w:space="0" w:color="auto"/>
              <w:right w:val="single" w:sz="4" w:space="0" w:color="auto"/>
            </w:tcBorders>
            <w:shd w:val="clear" w:color="auto" w:fill="auto"/>
            <w:noWrap/>
            <w:vAlign w:val="bottom"/>
          </w:tcPr>
          <w:p w14:paraId="7616BB7A" w14:textId="73209610" w:rsidR="00CC3232" w:rsidRPr="00CA77EA" w:rsidRDefault="00CA77EA" w:rsidP="00827328">
            <w:pPr>
              <w:rPr>
                <w:color w:val="000000"/>
                <w:sz w:val="22"/>
                <w:szCs w:val="22"/>
                <w:lang w:eastAsia="en-GB"/>
              </w:rPr>
            </w:pPr>
            <w:r>
              <w:rPr>
                <w:color w:val="000000"/>
                <w:sz w:val="22"/>
                <w:szCs w:val="22"/>
                <w:lang w:eastAsia="en-GB"/>
              </w:rPr>
              <w:t>UK Government Investments</w:t>
            </w:r>
          </w:p>
        </w:tc>
        <w:tc>
          <w:tcPr>
            <w:tcW w:w="1526" w:type="dxa"/>
            <w:tcBorders>
              <w:top w:val="nil"/>
              <w:left w:val="single" w:sz="4" w:space="0" w:color="auto"/>
              <w:right w:val="single" w:sz="4" w:space="0" w:color="auto"/>
            </w:tcBorders>
            <w:shd w:val="clear" w:color="auto" w:fill="auto"/>
            <w:noWrap/>
            <w:vAlign w:val="bottom"/>
          </w:tcPr>
          <w:p w14:paraId="61232038" w14:textId="6E0A3B83" w:rsidR="00CC3232" w:rsidRPr="00F12659" w:rsidRDefault="007151EC" w:rsidP="00FB1C37">
            <w:pPr>
              <w:jc w:val="right"/>
              <w:rPr>
                <w:color w:val="000000"/>
                <w:sz w:val="22"/>
                <w:szCs w:val="22"/>
                <w:lang w:eastAsia="en-GB"/>
              </w:rPr>
            </w:pPr>
            <w:r>
              <w:rPr>
                <w:color w:val="000000"/>
                <w:sz w:val="22"/>
                <w:szCs w:val="22"/>
                <w:lang w:eastAsia="en-GB"/>
              </w:rPr>
              <w:t>8</w:t>
            </w:r>
            <w:r w:rsidR="00CA77EA">
              <w:rPr>
                <w:color w:val="000000"/>
                <w:sz w:val="22"/>
                <w:szCs w:val="22"/>
                <w:lang w:eastAsia="en-GB"/>
              </w:rPr>
              <w:t>.0</w:t>
            </w:r>
          </w:p>
        </w:tc>
        <w:tc>
          <w:tcPr>
            <w:tcW w:w="1417" w:type="dxa"/>
            <w:tcBorders>
              <w:top w:val="nil"/>
              <w:left w:val="single" w:sz="4" w:space="0" w:color="auto"/>
              <w:right w:val="single" w:sz="4" w:space="0" w:color="auto"/>
            </w:tcBorders>
            <w:shd w:val="clear" w:color="auto" w:fill="auto"/>
            <w:noWrap/>
            <w:vAlign w:val="bottom"/>
          </w:tcPr>
          <w:p w14:paraId="1B97E993" w14:textId="470A2620" w:rsidR="00CC3232" w:rsidRPr="00F12659" w:rsidRDefault="00A05E7A" w:rsidP="00FB1C37">
            <w:pPr>
              <w:jc w:val="right"/>
              <w:rPr>
                <w:color w:val="000000"/>
                <w:sz w:val="22"/>
                <w:szCs w:val="22"/>
                <w:lang w:eastAsia="en-GB"/>
              </w:rPr>
            </w:pPr>
            <w:r>
              <w:rPr>
                <w:color w:val="000000"/>
                <w:sz w:val="22"/>
                <w:szCs w:val="22"/>
                <w:lang w:eastAsia="en-GB"/>
              </w:rPr>
              <w:t>4.05</w:t>
            </w:r>
          </w:p>
        </w:tc>
      </w:tr>
      <w:tr w:rsidR="00CA77EA" w:rsidRPr="002543ED" w14:paraId="0F619635" w14:textId="77777777" w:rsidTr="00CA77EA">
        <w:trPr>
          <w:trHeight w:val="313"/>
        </w:trPr>
        <w:tc>
          <w:tcPr>
            <w:tcW w:w="4565" w:type="dxa"/>
            <w:tcBorders>
              <w:top w:val="nil"/>
              <w:left w:val="single" w:sz="4" w:space="0" w:color="auto"/>
              <w:bottom w:val="single" w:sz="4" w:space="0" w:color="auto"/>
              <w:right w:val="single" w:sz="4" w:space="0" w:color="auto"/>
            </w:tcBorders>
            <w:shd w:val="clear" w:color="auto" w:fill="auto"/>
            <w:noWrap/>
            <w:vAlign w:val="bottom"/>
          </w:tcPr>
          <w:p w14:paraId="6D6D3240" w14:textId="5B916426" w:rsidR="00CA77EA" w:rsidRPr="00F12659" w:rsidRDefault="00CA77EA" w:rsidP="00CA77EA">
            <w:pPr>
              <w:rPr>
                <w:b/>
                <w:bCs/>
                <w:color w:val="000000"/>
                <w:sz w:val="22"/>
                <w:szCs w:val="22"/>
                <w:lang w:eastAsia="en-GB"/>
              </w:rPr>
            </w:pPr>
            <w:r w:rsidRPr="00F12659">
              <w:rPr>
                <w:b/>
                <w:bCs/>
                <w:color w:val="000000"/>
                <w:sz w:val="22"/>
                <w:szCs w:val="22"/>
                <w:lang w:eastAsia="en-GB"/>
              </w:rPr>
              <w:t>Total treasury investments</w:t>
            </w: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112DA68E" w14:textId="430DB553" w:rsidR="00CA77EA" w:rsidRPr="00F12659" w:rsidRDefault="00CA77EA" w:rsidP="00CA77EA">
            <w:pPr>
              <w:jc w:val="right"/>
              <w:rPr>
                <w:color w:val="000000"/>
                <w:sz w:val="22"/>
                <w:szCs w:val="22"/>
                <w:lang w:eastAsia="en-GB"/>
              </w:rPr>
            </w:pPr>
            <w:r w:rsidRPr="00F12659">
              <w:rPr>
                <w:color w:val="000000"/>
                <w:sz w:val="22"/>
                <w:szCs w:val="22"/>
                <w:lang w:eastAsia="en-GB"/>
              </w:rPr>
              <w:t>1</w:t>
            </w:r>
            <w:r w:rsidR="007151EC">
              <w:rPr>
                <w:color w:val="000000"/>
                <w:sz w:val="22"/>
                <w:szCs w:val="22"/>
                <w:lang w:eastAsia="en-GB"/>
              </w:rPr>
              <w:t>1</w:t>
            </w:r>
            <w:r w:rsidRPr="00F12659">
              <w:rPr>
                <w:color w:val="000000"/>
                <w:sz w:val="22"/>
                <w:szCs w:val="22"/>
                <w:lang w:eastAsia="en-GB"/>
              </w:rPr>
              <w:t>.0</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1F5B5F3E" w14:textId="30F1B76D" w:rsidR="00CA77EA" w:rsidRPr="00F12659" w:rsidRDefault="00CA77EA" w:rsidP="00CA77EA">
            <w:pPr>
              <w:jc w:val="right"/>
              <w:rPr>
                <w:color w:val="000000"/>
                <w:sz w:val="22"/>
                <w:szCs w:val="22"/>
                <w:lang w:eastAsia="en-GB"/>
              </w:rPr>
            </w:pPr>
          </w:p>
        </w:tc>
      </w:tr>
      <w:tr w:rsidR="00CA77EA" w:rsidRPr="002543ED" w14:paraId="5FC8E44B" w14:textId="77777777" w:rsidTr="00CA77EA">
        <w:trPr>
          <w:trHeight w:val="313"/>
        </w:trPr>
        <w:tc>
          <w:tcPr>
            <w:tcW w:w="4565" w:type="dxa"/>
            <w:tcBorders>
              <w:top w:val="single" w:sz="4" w:space="0" w:color="auto"/>
              <w:left w:val="single" w:sz="4" w:space="0" w:color="auto"/>
              <w:bottom w:val="single" w:sz="4" w:space="0" w:color="auto"/>
              <w:right w:val="nil"/>
            </w:tcBorders>
            <w:shd w:val="clear" w:color="auto" w:fill="auto"/>
            <w:noWrap/>
            <w:vAlign w:val="bottom"/>
            <w:hideMark/>
          </w:tcPr>
          <w:p w14:paraId="48FA9228" w14:textId="77777777" w:rsidR="00CA77EA" w:rsidRPr="00F12659" w:rsidRDefault="00CA77EA" w:rsidP="00CA77EA">
            <w:pPr>
              <w:rPr>
                <w:b/>
                <w:bCs/>
                <w:color w:val="000000"/>
                <w:sz w:val="22"/>
                <w:szCs w:val="22"/>
                <w:lang w:eastAsia="en-GB"/>
              </w:rPr>
            </w:pPr>
            <w:r w:rsidRPr="00F12659">
              <w:rPr>
                <w:b/>
                <w:bCs/>
                <w:color w:val="000000"/>
                <w:sz w:val="22"/>
                <w:szCs w:val="22"/>
                <w:lang w:eastAsia="en-GB"/>
              </w:rPr>
              <w:t>Net debt</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5E957" w14:textId="464D0375" w:rsidR="00CA77EA" w:rsidRPr="00F12659" w:rsidRDefault="00F429B7" w:rsidP="00CA77EA">
            <w:pPr>
              <w:jc w:val="right"/>
              <w:rPr>
                <w:b/>
                <w:bCs/>
                <w:color w:val="000000"/>
                <w:sz w:val="22"/>
                <w:szCs w:val="22"/>
                <w:lang w:eastAsia="en-GB"/>
              </w:rPr>
            </w:pPr>
            <w:r>
              <w:rPr>
                <w:b/>
                <w:bCs/>
                <w:color w:val="000000"/>
                <w:sz w:val="22"/>
                <w:szCs w:val="22"/>
                <w:lang w:eastAsia="en-GB"/>
              </w:rPr>
              <w:t>12</w:t>
            </w:r>
            <w:r w:rsidR="00CA77EA" w:rsidRPr="00F12659">
              <w:rPr>
                <w:b/>
                <w:bCs/>
                <w:color w:val="000000"/>
                <w:sz w:val="22"/>
                <w:szCs w:val="22"/>
                <w:lang w:eastAsia="en-GB"/>
              </w:rPr>
              <w:t>.5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6957C27" w14:textId="42F12AFD" w:rsidR="00CA77EA" w:rsidRPr="00F12659" w:rsidRDefault="00CA77EA" w:rsidP="00CA77EA">
            <w:pPr>
              <w:jc w:val="right"/>
              <w:rPr>
                <w:color w:val="000000"/>
                <w:sz w:val="22"/>
                <w:szCs w:val="22"/>
                <w:lang w:eastAsia="en-GB"/>
              </w:rPr>
            </w:pPr>
          </w:p>
        </w:tc>
      </w:tr>
    </w:tbl>
    <w:p w14:paraId="38EB0277" w14:textId="6608E902" w:rsidR="00CC3232" w:rsidRPr="0041076E" w:rsidRDefault="00CC3232" w:rsidP="00CC3232">
      <w:pPr>
        <w:pStyle w:val="ListParagraph"/>
        <w:ind w:left="0"/>
        <w:jc w:val="both"/>
        <w:rPr>
          <w:b/>
        </w:rPr>
      </w:pPr>
    </w:p>
    <w:p w14:paraId="2ACA5451" w14:textId="39E2A21F" w:rsidR="00CC3232" w:rsidRDefault="00CC3232" w:rsidP="00CC3232">
      <w:pPr>
        <w:rPr>
          <w:b/>
        </w:rPr>
      </w:pPr>
      <w:r>
        <w:rPr>
          <w:b/>
        </w:rPr>
        <w:br w:type="page"/>
      </w:r>
    </w:p>
    <w:p w14:paraId="789B72D9" w14:textId="595548F3" w:rsidR="00CC3232" w:rsidRPr="00C70D42" w:rsidRDefault="00CC3232" w:rsidP="00C70D42">
      <w:pPr>
        <w:pStyle w:val="Heading1"/>
        <w:spacing w:before="0" w:after="240"/>
        <w:rPr>
          <w:rFonts w:asciiTheme="minorBidi" w:hAnsiTheme="minorBidi" w:cstheme="minorBidi"/>
          <w:sz w:val="28"/>
          <w:szCs w:val="28"/>
        </w:rPr>
      </w:pPr>
      <w:bookmarkStart w:id="21" w:name="_Toc158793253"/>
      <w:bookmarkStart w:id="22" w:name="_Toc73025268"/>
      <w:r w:rsidRPr="00C70D42">
        <w:rPr>
          <w:rFonts w:asciiTheme="minorBidi" w:hAnsiTheme="minorBidi" w:cstheme="minorBidi"/>
          <w:sz w:val="28"/>
          <w:szCs w:val="28"/>
        </w:rPr>
        <w:lastRenderedPageBreak/>
        <w:t xml:space="preserve">Appendix </w:t>
      </w:r>
      <w:r w:rsidR="00395C9B">
        <w:rPr>
          <w:rFonts w:asciiTheme="minorBidi" w:hAnsiTheme="minorBidi" w:cstheme="minorBidi"/>
          <w:sz w:val="28"/>
          <w:szCs w:val="28"/>
        </w:rPr>
        <w:t>C</w:t>
      </w:r>
      <w:r w:rsidRPr="00C70D42">
        <w:rPr>
          <w:rFonts w:asciiTheme="minorBidi" w:hAnsiTheme="minorBidi" w:cstheme="minorBidi"/>
          <w:sz w:val="28"/>
          <w:szCs w:val="28"/>
        </w:rPr>
        <w:t xml:space="preserve"> – Balance sheet analysis as at 31st </w:t>
      </w:r>
      <w:r w:rsidR="00602405">
        <w:rPr>
          <w:rFonts w:asciiTheme="minorBidi" w:hAnsiTheme="minorBidi" w:cstheme="minorBidi"/>
          <w:sz w:val="28"/>
          <w:szCs w:val="28"/>
        </w:rPr>
        <w:t>March</w:t>
      </w:r>
      <w:r w:rsidRPr="00C70D42">
        <w:rPr>
          <w:rFonts w:asciiTheme="minorBidi" w:hAnsiTheme="minorBidi" w:cstheme="minorBidi"/>
          <w:sz w:val="28"/>
          <w:szCs w:val="28"/>
        </w:rPr>
        <w:t xml:space="preserve"> 202</w:t>
      </w:r>
      <w:r w:rsidR="009B5615">
        <w:rPr>
          <w:rFonts w:asciiTheme="minorBidi" w:hAnsiTheme="minorBidi" w:cstheme="minorBidi"/>
          <w:sz w:val="28"/>
          <w:szCs w:val="28"/>
        </w:rPr>
        <w:t>3</w:t>
      </w:r>
      <w:bookmarkEnd w:id="21"/>
      <w:r w:rsidRPr="00C70D42">
        <w:rPr>
          <w:rFonts w:asciiTheme="minorBidi" w:hAnsiTheme="minorBidi" w:cstheme="minorBidi"/>
          <w:sz w:val="28"/>
          <w:szCs w:val="28"/>
        </w:rPr>
        <w:t xml:space="preserve"> </w:t>
      </w:r>
      <w:bookmarkEnd w:id="22"/>
    </w:p>
    <w:p w14:paraId="7048BA9C" w14:textId="1586E916" w:rsidR="00E66CA7" w:rsidRPr="00E66CA7" w:rsidRDefault="00E66CA7" w:rsidP="00E66CA7">
      <w:pPr>
        <w:rPr>
          <w:sz w:val="16"/>
          <w:szCs w:val="16"/>
        </w:rPr>
      </w:pPr>
      <w:r w:rsidRPr="00E66CA7">
        <w:rPr>
          <w:sz w:val="16"/>
          <w:szCs w:val="16"/>
        </w:rPr>
        <w:t xml:space="preserve">(Based on </w:t>
      </w:r>
      <w:r w:rsidR="009B5615">
        <w:rPr>
          <w:sz w:val="16"/>
          <w:szCs w:val="16"/>
        </w:rPr>
        <w:t>un</w:t>
      </w:r>
      <w:r w:rsidR="00FF75D6">
        <w:rPr>
          <w:sz w:val="16"/>
          <w:szCs w:val="16"/>
        </w:rPr>
        <w:t>audited</w:t>
      </w:r>
      <w:r w:rsidRPr="00E66CA7">
        <w:rPr>
          <w:sz w:val="16"/>
          <w:szCs w:val="16"/>
        </w:rPr>
        <w:t xml:space="preserve"> financial statements)</w:t>
      </w:r>
    </w:p>
    <w:p w14:paraId="16383EF9" w14:textId="77777777" w:rsidR="00E66CA7" w:rsidRPr="00E66CA7" w:rsidRDefault="00E66CA7" w:rsidP="00E66CA7"/>
    <w:p w14:paraId="23ABE90A" w14:textId="260D8F27" w:rsidR="00CC3232" w:rsidRPr="00CC3232" w:rsidRDefault="001A568D" w:rsidP="62B59C56">
      <w:pPr>
        <w:rPr>
          <w:rFonts w:asciiTheme="minorBidi" w:hAnsiTheme="minorBidi" w:cstheme="minorBidi"/>
        </w:rPr>
      </w:pPr>
      <w:r w:rsidRPr="001A568D">
        <w:rPr>
          <w:noProof/>
        </w:rPr>
        <w:drawing>
          <wp:inline distT="0" distB="0" distL="0" distR="0" wp14:anchorId="5AE1E602" wp14:editId="45FD8937">
            <wp:extent cx="6029960" cy="5126990"/>
            <wp:effectExtent l="0" t="0" r="8890" b="0"/>
            <wp:docPr id="14026619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29960" cy="5126990"/>
                    </a:xfrm>
                    <a:prstGeom prst="rect">
                      <a:avLst/>
                    </a:prstGeom>
                    <a:noFill/>
                    <a:ln>
                      <a:noFill/>
                    </a:ln>
                  </pic:spPr>
                </pic:pic>
              </a:graphicData>
            </a:graphic>
          </wp:inline>
        </w:drawing>
      </w:r>
    </w:p>
    <w:p w14:paraId="53090AF5" w14:textId="1CF64188" w:rsidR="00CC3232" w:rsidRPr="00CC3232" w:rsidRDefault="00CC3232" w:rsidP="00CC3232">
      <w:pPr>
        <w:rPr>
          <w:rFonts w:asciiTheme="minorBidi" w:hAnsiTheme="minorBidi" w:cstheme="minorBidi"/>
        </w:rPr>
      </w:pPr>
    </w:p>
    <w:tbl>
      <w:tblPr>
        <w:tblpPr w:leftFromText="187" w:rightFromText="187" w:vertAnchor="page" w:horzAnchor="margin" w:tblpY="13141"/>
        <w:tblOverlap w:val="neve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8"/>
        <w:gridCol w:w="6956"/>
      </w:tblGrid>
      <w:tr w:rsidR="00CC3232" w:rsidRPr="00DD5603" w14:paraId="002A7AD7" w14:textId="77777777" w:rsidTr="00827328">
        <w:tc>
          <w:tcPr>
            <w:tcW w:w="8954" w:type="dxa"/>
            <w:gridSpan w:val="2"/>
          </w:tcPr>
          <w:p w14:paraId="2138192C" w14:textId="4D108278"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LOCAL GOVERNMENT (ACCESS TO INFORMATION) ACT 1985</w:t>
            </w:r>
          </w:p>
        </w:tc>
      </w:tr>
      <w:tr w:rsidR="00CC3232" w:rsidRPr="00DD5603" w14:paraId="272D010A" w14:textId="77777777" w:rsidTr="00827328">
        <w:tc>
          <w:tcPr>
            <w:tcW w:w="8954" w:type="dxa"/>
            <w:gridSpan w:val="2"/>
          </w:tcPr>
          <w:p w14:paraId="78B73303"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List of background documents – none.</w:t>
            </w:r>
          </w:p>
        </w:tc>
      </w:tr>
      <w:tr w:rsidR="00CC3232" w:rsidRPr="00DD5603" w14:paraId="48CF71F6" w14:textId="77777777" w:rsidTr="00827328">
        <w:tc>
          <w:tcPr>
            <w:tcW w:w="8954" w:type="dxa"/>
            <w:gridSpan w:val="2"/>
          </w:tcPr>
          <w:p w14:paraId="048DA3BE"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p>
        </w:tc>
      </w:tr>
      <w:tr w:rsidR="00CC3232" w:rsidRPr="00DD5603" w14:paraId="46FEA43C" w14:textId="77777777" w:rsidTr="00827328">
        <w:trPr>
          <w:trHeight w:val="218"/>
        </w:trPr>
        <w:tc>
          <w:tcPr>
            <w:tcW w:w="1998" w:type="dxa"/>
          </w:tcPr>
          <w:p w14:paraId="5953BE36"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Proper Officer:</w:t>
            </w:r>
          </w:p>
        </w:tc>
        <w:tc>
          <w:tcPr>
            <w:tcW w:w="6956" w:type="dxa"/>
          </w:tcPr>
          <w:p w14:paraId="7CB50145"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Chief Financial Officer (S151)</w:t>
            </w:r>
          </w:p>
        </w:tc>
      </w:tr>
      <w:tr w:rsidR="00CC3232" w:rsidRPr="00DD5603" w14:paraId="30966E47" w14:textId="77777777" w:rsidTr="00827328">
        <w:trPr>
          <w:trHeight w:val="217"/>
        </w:trPr>
        <w:tc>
          <w:tcPr>
            <w:tcW w:w="1998" w:type="dxa"/>
            <w:tcBorders>
              <w:bottom w:val="single" w:sz="4" w:space="0" w:color="auto"/>
            </w:tcBorders>
          </w:tcPr>
          <w:p w14:paraId="31EF687D"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Contact Officer:</w:t>
            </w:r>
          </w:p>
        </w:tc>
        <w:tc>
          <w:tcPr>
            <w:tcW w:w="6956" w:type="dxa"/>
            <w:tcBorders>
              <w:bottom w:val="single" w:sz="4" w:space="0" w:color="auto"/>
            </w:tcBorders>
          </w:tcPr>
          <w:p w14:paraId="48886351"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Neil Cross</w:t>
            </w:r>
          </w:p>
          <w:p w14:paraId="33570773"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 xml:space="preserve">Essex County Fire </w:t>
            </w:r>
            <w:r>
              <w:rPr>
                <w:rFonts w:asciiTheme="minorBidi" w:hAnsiTheme="minorBidi" w:cstheme="minorBidi"/>
                <w:bCs/>
                <w:color w:val="000000"/>
              </w:rPr>
              <w:t>and</w:t>
            </w:r>
            <w:r w:rsidRPr="00DD5603">
              <w:rPr>
                <w:rFonts w:asciiTheme="minorBidi" w:hAnsiTheme="minorBidi" w:cstheme="minorBidi"/>
                <w:bCs/>
                <w:color w:val="000000"/>
              </w:rPr>
              <w:t xml:space="preserve"> Rescue Service, Kelvedon Park, London Road, Rivenhall, Witham CM8 3HB</w:t>
            </w:r>
          </w:p>
          <w:p w14:paraId="2CC58545" w14:textId="77777777" w:rsidR="00CC3232" w:rsidRPr="00DD5603" w:rsidRDefault="00CC3232" w:rsidP="00827328">
            <w:pPr>
              <w:tabs>
                <w:tab w:val="left" w:pos="113"/>
              </w:tabs>
              <w:autoSpaceDE w:val="0"/>
              <w:autoSpaceDN w:val="0"/>
              <w:adjustRightInd w:val="0"/>
              <w:rPr>
                <w:rFonts w:asciiTheme="minorBidi" w:hAnsiTheme="minorBidi" w:cstheme="minorBidi"/>
                <w:bCs/>
                <w:color w:val="000000"/>
              </w:rPr>
            </w:pPr>
            <w:r w:rsidRPr="00DD5603">
              <w:rPr>
                <w:rFonts w:asciiTheme="minorBidi" w:hAnsiTheme="minorBidi" w:cstheme="minorBidi"/>
                <w:bCs/>
                <w:color w:val="000000"/>
              </w:rPr>
              <w:t>Tel: 01376 576100</w:t>
            </w:r>
          </w:p>
        </w:tc>
      </w:tr>
    </w:tbl>
    <w:p w14:paraId="2E3CC0CB" w14:textId="6BBD0309" w:rsidR="00CC3232" w:rsidRPr="00CC3232" w:rsidRDefault="00CC3232" w:rsidP="00CC3232">
      <w:pPr>
        <w:rPr>
          <w:rFonts w:asciiTheme="minorBidi" w:hAnsiTheme="minorBidi" w:cstheme="minorBidi"/>
        </w:rPr>
      </w:pPr>
    </w:p>
    <w:sectPr w:rsidR="00CC3232" w:rsidRPr="00CC3232" w:rsidSect="003C5184">
      <w:pgSz w:w="11906" w:h="16838" w:code="9"/>
      <w:pgMar w:top="1134" w:right="1134"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5B02" w14:textId="77777777" w:rsidR="003C5184" w:rsidRDefault="003C5184">
      <w:r>
        <w:separator/>
      </w:r>
    </w:p>
  </w:endnote>
  <w:endnote w:type="continuationSeparator" w:id="0">
    <w:p w14:paraId="4EDDA703" w14:textId="77777777" w:rsidR="003C5184" w:rsidRDefault="003C5184">
      <w:r>
        <w:continuationSeparator/>
      </w:r>
    </w:p>
  </w:endnote>
  <w:endnote w:type="continuationNotice" w:id="1">
    <w:p w14:paraId="100AE95F" w14:textId="77777777" w:rsidR="003C5184" w:rsidRDefault="003C5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CF9B" w14:textId="4413FF97" w:rsidR="001A2B2C" w:rsidRDefault="001A2B2C">
    <w:pPr>
      <w:pStyle w:val="Footer"/>
    </w:pPr>
    <w:r>
      <w:rPr>
        <w:noProof/>
      </w:rPr>
      <mc:AlternateContent>
        <mc:Choice Requires="wps">
          <w:drawing>
            <wp:anchor distT="0" distB="0" distL="0" distR="0" simplePos="0" relativeHeight="251658242" behindDoc="0" locked="0" layoutInCell="1" allowOverlap="1" wp14:anchorId="4E410B1D" wp14:editId="2A7A40C9">
              <wp:simplePos x="635" y="635"/>
              <wp:positionH relativeFrom="column">
                <wp:align>center</wp:align>
              </wp:positionH>
              <wp:positionV relativeFrom="paragraph">
                <wp:posOffset>635</wp:posOffset>
              </wp:positionV>
              <wp:extent cx="443865" cy="443865"/>
              <wp:effectExtent l="0" t="0" r="9525" b="16510"/>
              <wp:wrapSquare wrapText="bothSides"/>
              <wp:docPr id="9" name="Text Box 9"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6E2DCA" w14:textId="09DF8783"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4E410B1D" id="_x0000_t202" coordsize="21600,21600" o:spt="202" path="m,l,21600r21600,l21600,xe">
              <v:stroke joinstyle="miter"/>
              <v:path gradientshapeok="t" o:connecttype="rect"/>
            </v:shapetype>
            <v:shape id="Text Box 9" o:spid="_x0000_s1032" type="#_x0000_t202" alt="OFFICIAL-SENSITIVE"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C6E2DCA" w14:textId="09DF8783"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95741"/>
      <w:docPartObj>
        <w:docPartGallery w:val="Page Numbers (Bottom of Page)"/>
        <w:docPartUnique/>
      </w:docPartObj>
    </w:sdtPr>
    <w:sdtEndPr>
      <w:rPr>
        <w:noProof/>
      </w:rPr>
    </w:sdtEndPr>
    <w:sdtContent>
      <w:p w14:paraId="7061AAD8" w14:textId="63EE766B"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5CB54" w14:textId="70BF6C44" w:rsidR="00986C52" w:rsidRDefault="00986C52" w:rsidP="00AA60E6">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45A0" w14:textId="3B4D63E3" w:rsidR="00986C52" w:rsidRDefault="00986C52" w:rsidP="00D133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243" w14:textId="3B521113" w:rsidR="001A2B2C" w:rsidRDefault="001A2B2C">
    <w:pPr>
      <w:pStyle w:val="Footer"/>
    </w:pPr>
    <w:r>
      <w:rPr>
        <w:noProof/>
      </w:rPr>
      <mc:AlternateContent>
        <mc:Choice Requires="wps">
          <w:drawing>
            <wp:anchor distT="0" distB="0" distL="0" distR="0" simplePos="0" relativeHeight="251658243" behindDoc="0" locked="0" layoutInCell="1" allowOverlap="1" wp14:anchorId="5665E6A2" wp14:editId="445DB689">
              <wp:simplePos x="635" y="635"/>
              <wp:positionH relativeFrom="column">
                <wp:align>center</wp:align>
              </wp:positionH>
              <wp:positionV relativeFrom="paragraph">
                <wp:posOffset>635</wp:posOffset>
              </wp:positionV>
              <wp:extent cx="443865" cy="443865"/>
              <wp:effectExtent l="0" t="0" r="9525" b="16510"/>
              <wp:wrapSquare wrapText="bothSides"/>
              <wp:docPr id="13" name="Text Box 13"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FDDCF8" w14:textId="2F12D0C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5665E6A2" id="_x0000_t202" coordsize="21600,21600" o:spt="202" path="m,l,21600r21600,l21600,xe">
              <v:stroke joinstyle="miter"/>
              <v:path gradientshapeok="t" o:connecttype="rect"/>
            </v:shapetype>
            <v:shape id="Text Box 13" o:spid="_x0000_s1034" type="#_x0000_t202" alt="OFFICIAL-SENSITIVE"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DFDDCF8" w14:textId="2F12D0C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23727"/>
      <w:docPartObj>
        <w:docPartGallery w:val="Page Numbers (Bottom of Page)"/>
        <w:docPartUnique/>
      </w:docPartObj>
    </w:sdtPr>
    <w:sdtEndPr>
      <w:rPr>
        <w:noProof/>
      </w:rPr>
    </w:sdtEndPr>
    <w:sdtContent>
      <w:p w14:paraId="19EFF2A2" w14:textId="0DD840D3"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990F9B">
          <w:rPr>
            <w:noProof/>
          </w:rPr>
          <w:t>27</w:t>
        </w:r>
      </w:p>
    </w:sdtContent>
  </w:sdt>
  <w:p w14:paraId="253C0286" w14:textId="77777777" w:rsidR="009D5371" w:rsidRDefault="009D5371" w:rsidP="00AA60E6">
    <w:pPr>
      <w:pStyle w:val="Footer"/>
      <w:jc w:val="center"/>
      <w:rPr>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4584" w14:textId="08FB7DAA"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p>
  <w:p w14:paraId="4B1A6D57" w14:textId="683D5EE8" w:rsidR="00986C52" w:rsidRPr="005E6923" w:rsidRDefault="00986C52" w:rsidP="00D1337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992249"/>
      <w:docPartObj>
        <w:docPartGallery w:val="Page Numbers (Bottom of Page)"/>
        <w:docPartUnique/>
      </w:docPartObj>
    </w:sdtPr>
    <w:sdtEndPr>
      <w:rPr>
        <w:noProof/>
      </w:rPr>
    </w:sdtEndPr>
    <w:sdtContent>
      <w:p w14:paraId="0F8B93CA" w14:textId="09015014"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6F0A8B">
          <w:rPr>
            <w:noProof/>
          </w:rPr>
          <w:t>2</w:t>
        </w:r>
        <w:r w:rsidR="000F28A8">
          <w:rPr>
            <w:noProof/>
          </w:rPr>
          <w:t>6</w:t>
        </w:r>
      </w:p>
    </w:sdtContent>
  </w:sdt>
  <w:p w14:paraId="78B169A2" w14:textId="77777777" w:rsidR="009D5371" w:rsidRDefault="009D5371" w:rsidP="00AA60E6">
    <w:pPr>
      <w:pStyle w:val="Footer"/>
      <w:jc w:val="center"/>
      <w:rPr>
        <w:sz w:val="22"/>
        <w:szCs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12B2" w14:textId="485F5D93" w:rsidR="009D5371" w:rsidRDefault="009D5371">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0F28A8">
      <w:rPr>
        <w:noProof/>
      </w:rPr>
      <w:t>26</w:t>
    </w:r>
  </w:p>
  <w:p w14:paraId="2AFD0C4F" w14:textId="77777777" w:rsidR="009D5371" w:rsidRPr="005E6923" w:rsidRDefault="009D5371"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5271" w14:textId="77777777" w:rsidR="003C5184" w:rsidRDefault="003C5184">
      <w:r>
        <w:separator/>
      </w:r>
    </w:p>
  </w:footnote>
  <w:footnote w:type="continuationSeparator" w:id="0">
    <w:p w14:paraId="7E37FC5B" w14:textId="77777777" w:rsidR="003C5184" w:rsidRDefault="003C5184">
      <w:r>
        <w:continuationSeparator/>
      </w:r>
    </w:p>
  </w:footnote>
  <w:footnote w:type="continuationNotice" w:id="1">
    <w:p w14:paraId="5C41804A" w14:textId="77777777" w:rsidR="003C5184" w:rsidRDefault="003C5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75E6" w14:textId="0652894F" w:rsidR="001A2B2C" w:rsidRDefault="001A2B2C">
    <w:pPr>
      <w:pStyle w:val="Header"/>
    </w:pPr>
    <w:r>
      <w:rPr>
        <w:noProof/>
      </w:rPr>
      <mc:AlternateContent>
        <mc:Choice Requires="wps">
          <w:drawing>
            <wp:anchor distT="0" distB="0" distL="0" distR="0" simplePos="0" relativeHeight="251658240" behindDoc="0" locked="0" layoutInCell="1" allowOverlap="1" wp14:anchorId="276A44D6" wp14:editId="7C6F8071">
              <wp:simplePos x="635" y="635"/>
              <wp:positionH relativeFrom="column">
                <wp:align>center</wp:align>
              </wp:positionH>
              <wp:positionV relativeFrom="paragraph">
                <wp:posOffset>635</wp:posOffset>
              </wp:positionV>
              <wp:extent cx="443865" cy="443865"/>
              <wp:effectExtent l="0" t="0" r="9525" b="16510"/>
              <wp:wrapSquare wrapText="bothSides"/>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FB37F" w14:textId="3565F48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276A44D6" id="_x0000_t202" coordsize="21600,21600" o:spt="202" path="m,l,21600r21600,l21600,xe">
              <v:stroke joinstyle="miter"/>
              <v:path gradientshapeok="t" o:connecttype="rect"/>
            </v:shapetype>
            <v:shape id="_x0000_s1031" type="#_x0000_t202" alt="OFFICIAL-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00FB37F" w14:textId="3565F484"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EA26" w14:textId="32246353" w:rsidR="001A2B2C" w:rsidRDefault="001A2B2C">
    <w:pPr>
      <w:pStyle w:val="Header"/>
    </w:pPr>
    <w:r>
      <w:rPr>
        <w:noProof/>
      </w:rPr>
      <mc:AlternateContent>
        <mc:Choice Requires="wps">
          <w:drawing>
            <wp:anchor distT="0" distB="0" distL="0" distR="0" simplePos="0" relativeHeight="251658241" behindDoc="0" locked="0" layoutInCell="1" allowOverlap="1" wp14:anchorId="39032C16" wp14:editId="45840C4D">
              <wp:simplePos x="635" y="635"/>
              <wp:positionH relativeFrom="column">
                <wp:align>center</wp:align>
              </wp:positionH>
              <wp:positionV relativeFrom="paragraph">
                <wp:posOffset>635</wp:posOffset>
              </wp:positionV>
              <wp:extent cx="443865" cy="443865"/>
              <wp:effectExtent l="0" t="0" r="9525" b="16510"/>
              <wp:wrapSquare wrapText="bothSides"/>
              <wp:docPr id="6" name="Text Box 6"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3287FD" w14:textId="3097D81E"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39032C16" id="_x0000_t202" coordsize="21600,21600" o:spt="202" path="m,l,21600r21600,l21600,xe">
              <v:stroke joinstyle="miter"/>
              <v:path gradientshapeok="t" o:connecttype="rect"/>
            </v:shapetype>
            <v:shape id="Text Box 6" o:spid="_x0000_s1033" type="#_x0000_t202" alt="OFFICIAL-SENSITIV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F3287FD" w14:textId="3097D81E" w:rsidR="001A2B2C" w:rsidRPr="001A2B2C" w:rsidRDefault="001A2B2C">
                    <w:pPr>
                      <w:rPr>
                        <w:rFonts w:ascii="Calibri" w:eastAsia="Calibri" w:hAnsi="Calibri" w:cs="Calibri"/>
                        <w:color w:val="000000"/>
                        <w:sz w:val="20"/>
                        <w:szCs w:val="20"/>
                      </w:rPr>
                    </w:pPr>
                    <w:r w:rsidRPr="001A2B2C">
                      <w:rPr>
                        <w:rFonts w:ascii="Calibri" w:eastAsia="Calibri" w:hAnsi="Calibri" w:cs="Calibri"/>
                        <w:color w:val="000000"/>
                        <w:sz w:val="20"/>
                        <w:szCs w:val="20"/>
                      </w:rPr>
                      <w:t>OFFICIAL-SENSITIVE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BFA6" w14:textId="486B2C28" w:rsidR="001A2B2C" w:rsidRPr="0021055C" w:rsidRDefault="001A2B2C" w:rsidP="002105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B027" w14:textId="7E182DB2" w:rsidR="001A2B2C" w:rsidRDefault="001A2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CF5"/>
    <w:multiLevelType w:val="hybridMultilevel"/>
    <w:tmpl w:val="8CE0F05E"/>
    <w:lvl w:ilvl="0" w:tplc="2E109A7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C3484"/>
    <w:multiLevelType w:val="hybridMultilevel"/>
    <w:tmpl w:val="C6228D9A"/>
    <w:lvl w:ilvl="0" w:tplc="BB94C9FC">
      <w:start w:val="1"/>
      <w:numFmt w:val="bullet"/>
      <w:lvlText w:val="•"/>
      <w:lvlJc w:val="left"/>
      <w:pPr>
        <w:tabs>
          <w:tab w:val="num" w:pos="720"/>
        </w:tabs>
        <w:ind w:left="720" w:hanging="360"/>
      </w:pPr>
      <w:rPr>
        <w:rFonts w:ascii="Arial" w:hAnsi="Arial" w:hint="default"/>
      </w:rPr>
    </w:lvl>
    <w:lvl w:ilvl="1" w:tplc="423EB19A" w:tentative="1">
      <w:start w:val="1"/>
      <w:numFmt w:val="bullet"/>
      <w:lvlText w:val="•"/>
      <w:lvlJc w:val="left"/>
      <w:pPr>
        <w:tabs>
          <w:tab w:val="num" w:pos="1440"/>
        </w:tabs>
        <w:ind w:left="1440" w:hanging="360"/>
      </w:pPr>
      <w:rPr>
        <w:rFonts w:ascii="Arial" w:hAnsi="Arial" w:hint="default"/>
      </w:rPr>
    </w:lvl>
    <w:lvl w:ilvl="2" w:tplc="E8B63CCA" w:tentative="1">
      <w:start w:val="1"/>
      <w:numFmt w:val="bullet"/>
      <w:lvlText w:val="•"/>
      <w:lvlJc w:val="left"/>
      <w:pPr>
        <w:tabs>
          <w:tab w:val="num" w:pos="2160"/>
        </w:tabs>
        <w:ind w:left="2160" w:hanging="360"/>
      </w:pPr>
      <w:rPr>
        <w:rFonts w:ascii="Arial" w:hAnsi="Arial" w:hint="default"/>
      </w:rPr>
    </w:lvl>
    <w:lvl w:ilvl="3" w:tplc="86807524" w:tentative="1">
      <w:start w:val="1"/>
      <w:numFmt w:val="bullet"/>
      <w:lvlText w:val="•"/>
      <w:lvlJc w:val="left"/>
      <w:pPr>
        <w:tabs>
          <w:tab w:val="num" w:pos="2880"/>
        </w:tabs>
        <w:ind w:left="2880" w:hanging="360"/>
      </w:pPr>
      <w:rPr>
        <w:rFonts w:ascii="Arial" w:hAnsi="Arial" w:hint="default"/>
      </w:rPr>
    </w:lvl>
    <w:lvl w:ilvl="4" w:tplc="6A4435B2" w:tentative="1">
      <w:start w:val="1"/>
      <w:numFmt w:val="bullet"/>
      <w:lvlText w:val="•"/>
      <w:lvlJc w:val="left"/>
      <w:pPr>
        <w:tabs>
          <w:tab w:val="num" w:pos="3600"/>
        </w:tabs>
        <w:ind w:left="3600" w:hanging="360"/>
      </w:pPr>
      <w:rPr>
        <w:rFonts w:ascii="Arial" w:hAnsi="Arial" w:hint="default"/>
      </w:rPr>
    </w:lvl>
    <w:lvl w:ilvl="5" w:tplc="61E62B6C" w:tentative="1">
      <w:start w:val="1"/>
      <w:numFmt w:val="bullet"/>
      <w:lvlText w:val="•"/>
      <w:lvlJc w:val="left"/>
      <w:pPr>
        <w:tabs>
          <w:tab w:val="num" w:pos="4320"/>
        </w:tabs>
        <w:ind w:left="4320" w:hanging="360"/>
      </w:pPr>
      <w:rPr>
        <w:rFonts w:ascii="Arial" w:hAnsi="Arial" w:hint="default"/>
      </w:rPr>
    </w:lvl>
    <w:lvl w:ilvl="6" w:tplc="1C8438D6" w:tentative="1">
      <w:start w:val="1"/>
      <w:numFmt w:val="bullet"/>
      <w:lvlText w:val="•"/>
      <w:lvlJc w:val="left"/>
      <w:pPr>
        <w:tabs>
          <w:tab w:val="num" w:pos="5040"/>
        </w:tabs>
        <w:ind w:left="5040" w:hanging="360"/>
      </w:pPr>
      <w:rPr>
        <w:rFonts w:ascii="Arial" w:hAnsi="Arial" w:hint="default"/>
      </w:rPr>
    </w:lvl>
    <w:lvl w:ilvl="7" w:tplc="F24AADE4" w:tentative="1">
      <w:start w:val="1"/>
      <w:numFmt w:val="bullet"/>
      <w:lvlText w:val="•"/>
      <w:lvlJc w:val="left"/>
      <w:pPr>
        <w:tabs>
          <w:tab w:val="num" w:pos="5760"/>
        </w:tabs>
        <w:ind w:left="5760" w:hanging="360"/>
      </w:pPr>
      <w:rPr>
        <w:rFonts w:ascii="Arial" w:hAnsi="Arial" w:hint="default"/>
      </w:rPr>
    </w:lvl>
    <w:lvl w:ilvl="8" w:tplc="875C71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36C14"/>
    <w:multiLevelType w:val="hybridMultilevel"/>
    <w:tmpl w:val="43BCEC3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11C08C0"/>
    <w:multiLevelType w:val="hybridMultilevel"/>
    <w:tmpl w:val="96EEC5BC"/>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C97783"/>
    <w:multiLevelType w:val="hybridMultilevel"/>
    <w:tmpl w:val="64D8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5510E"/>
    <w:multiLevelType w:val="multilevel"/>
    <w:tmpl w:val="71C058AC"/>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7" w15:restartNumberingAfterBreak="0">
    <w:nsid w:val="416342D6"/>
    <w:multiLevelType w:val="hybridMultilevel"/>
    <w:tmpl w:val="85605926"/>
    <w:lvl w:ilvl="0" w:tplc="5BEE2938">
      <w:start w:val="1"/>
      <w:numFmt w:val="bullet"/>
      <w:lvlText w:val="•"/>
      <w:lvlJc w:val="left"/>
      <w:pPr>
        <w:tabs>
          <w:tab w:val="num" w:pos="720"/>
        </w:tabs>
        <w:ind w:left="720" w:hanging="360"/>
      </w:pPr>
      <w:rPr>
        <w:rFonts w:ascii="Arial" w:hAnsi="Arial" w:hint="default"/>
      </w:rPr>
    </w:lvl>
    <w:lvl w:ilvl="1" w:tplc="BA025DB4" w:tentative="1">
      <w:start w:val="1"/>
      <w:numFmt w:val="bullet"/>
      <w:lvlText w:val="•"/>
      <w:lvlJc w:val="left"/>
      <w:pPr>
        <w:tabs>
          <w:tab w:val="num" w:pos="1440"/>
        </w:tabs>
        <w:ind w:left="1440" w:hanging="360"/>
      </w:pPr>
      <w:rPr>
        <w:rFonts w:ascii="Arial" w:hAnsi="Arial" w:hint="default"/>
      </w:rPr>
    </w:lvl>
    <w:lvl w:ilvl="2" w:tplc="4816F5E2" w:tentative="1">
      <w:start w:val="1"/>
      <w:numFmt w:val="bullet"/>
      <w:lvlText w:val="•"/>
      <w:lvlJc w:val="left"/>
      <w:pPr>
        <w:tabs>
          <w:tab w:val="num" w:pos="2160"/>
        </w:tabs>
        <w:ind w:left="2160" w:hanging="360"/>
      </w:pPr>
      <w:rPr>
        <w:rFonts w:ascii="Arial" w:hAnsi="Arial" w:hint="default"/>
      </w:rPr>
    </w:lvl>
    <w:lvl w:ilvl="3" w:tplc="7C322CD8" w:tentative="1">
      <w:start w:val="1"/>
      <w:numFmt w:val="bullet"/>
      <w:lvlText w:val="•"/>
      <w:lvlJc w:val="left"/>
      <w:pPr>
        <w:tabs>
          <w:tab w:val="num" w:pos="2880"/>
        </w:tabs>
        <w:ind w:left="2880" w:hanging="360"/>
      </w:pPr>
      <w:rPr>
        <w:rFonts w:ascii="Arial" w:hAnsi="Arial" w:hint="default"/>
      </w:rPr>
    </w:lvl>
    <w:lvl w:ilvl="4" w:tplc="DD4089CC" w:tentative="1">
      <w:start w:val="1"/>
      <w:numFmt w:val="bullet"/>
      <w:lvlText w:val="•"/>
      <w:lvlJc w:val="left"/>
      <w:pPr>
        <w:tabs>
          <w:tab w:val="num" w:pos="3600"/>
        </w:tabs>
        <w:ind w:left="3600" w:hanging="360"/>
      </w:pPr>
      <w:rPr>
        <w:rFonts w:ascii="Arial" w:hAnsi="Arial" w:hint="default"/>
      </w:rPr>
    </w:lvl>
    <w:lvl w:ilvl="5" w:tplc="000AC8B2" w:tentative="1">
      <w:start w:val="1"/>
      <w:numFmt w:val="bullet"/>
      <w:lvlText w:val="•"/>
      <w:lvlJc w:val="left"/>
      <w:pPr>
        <w:tabs>
          <w:tab w:val="num" w:pos="4320"/>
        </w:tabs>
        <w:ind w:left="4320" w:hanging="360"/>
      </w:pPr>
      <w:rPr>
        <w:rFonts w:ascii="Arial" w:hAnsi="Arial" w:hint="default"/>
      </w:rPr>
    </w:lvl>
    <w:lvl w:ilvl="6" w:tplc="EB329F7E" w:tentative="1">
      <w:start w:val="1"/>
      <w:numFmt w:val="bullet"/>
      <w:lvlText w:val="•"/>
      <w:lvlJc w:val="left"/>
      <w:pPr>
        <w:tabs>
          <w:tab w:val="num" w:pos="5040"/>
        </w:tabs>
        <w:ind w:left="5040" w:hanging="360"/>
      </w:pPr>
      <w:rPr>
        <w:rFonts w:ascii="Arial" w:hAnsi="Arial" w:hint="default"/>
      </w:rPr>
    </w:lvl>
    <w:lvl w:ilvl="7" w:tplc="2B9A2EA4" w:tentative="1">
      <w:start w:val="1"/>
      <w:numFmt w:val="bullet"/>
      <w:lvlText w:val="•"/>
      <w:lvlJc w:val="left"/>
      <w:pPr>
        <w:tabs>
          <w:tab w:val="num" w:pos="5760"/>
        </w:tabs>
        <w:ind w:left="5760" w:hanging="360"/>
      </w:pPr>
      <w:rPr>
        <w:rFonts w:ascii="Arial" w:hAnsi="Arial" w:hint="default"/>
      </w:rPr>
    </w:lvl>
    <w:lvl w:ilvl="8" w:tplc="BFF0E6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356589"/>
    <w:multiLevelType w:val="hybridMultilevel"/>
    <w:tmpl w:val="FF225AEA"/>
    <w:lvl w:ilvl="0" w:tplc="5DFCF47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A171FAA"/>
    <w:multiLevelType w:val="hybridMultilevel"/>
    <w:tmpl w:val="D0AA99DC"/>
    <w:lvl w:ilvl="0" w:tplc="B0C645C8">
      <w:start w:val="5"/>
      <w:numFmt w:val="bullet"/>
      <w:lvlText w:val="•"/>
      <w:lvlJc w:val="left"/>
      <w:pPr>
        <w:ind w:left="1080" w:hanging="72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A0EBF"/>
    <w:multiLevelType w:val="multilevel"/>
    <w:tmpl w:val="47E8DECA"/>
    <w:lvl w:ilvl="0">
      <w:start w:val="4"/>
      <w:numFmt w:val="decimal"/>
      <w:lvlText w:val="%1."/>
      <w:lvlJc w:val="left"/>
      <w:pPr>
        <w:ind w:left="1210" w:hanging="360"/>
      </w:pPr>
      <w:rPr>
        <w:rFonts w:hint="default"/>
      </w:rPr>
    </w:lvl>
    <w:lvl w:ilvl="1">
      <w:start w:val="1"/>
      <w:numFmt w:val="lowerLetter"/>
      <w:lvlText w:val="%2)"/>
      <w:lvlJc w:val="left"/>
      <w:pPr>
        <w:ind w:left="1570" w:hanging="360"/>
      </w:pPr>
      <w:rPr>
        <w:rFonts w:hint="default"/>
      </w:rPr>
    </w:lvl>
    <w:lvl w:ilvl="2">
      <w:start w:val="1"/>
      <w:numFmt w:val="lowerRoman"/>
      <w:lvlText w:val="%3)"/>
      <w:lvlJc w:val="left"/>
      <w:pPr>
        <w:ind w:left="1930" w:hanging="360"/>
      </w:pPr>
      <w:rPr>
        <w:rFonts w:hint="default"/>
      </w:rPr>
    </w:lvl>
    <w:lvl w:ilvl="3">
      <w:start w:val="1"/>
      <w:numFmt w:val="decimal"/>
      <w:lvlText w:val="(%4)"/>
      <w:lvlJc w:val="left"/>
      <w:pPr>
        <w:ind w:left="2290" w:hanging="360"/>
      </w:pPr>
      <w:rPr>
        <w:rFonts w:hint="default"/>
      </w:rPr>
    </w:lvl>
    <w:lvl w:ilvl="4">
      <w:start w:val="1"/>
      <w:numFmt w:val="lowerLetter"/>
      <w:lvlText w:val="(%5)"/>
      <w:lvlJc w:val="left"/>
      <w:pPr>
        <w:ind w:left="2650" w:hanging="360"/>
      </w:pPr>
      <w:rPr>
        <w:rFonts w:hint="default"/>
      </w:rPr>
    </w:lvl>
    <w:lvl w:ilvl="5">
      <w:start w:val="1"/>
      <w:numFmt w:val="lowerRoman"/>
      <w:lvlText w:val="(%6)"/>
      <w:lvlJc w:val="left"/>
      <w:pPr>
        <w:ind w:left="3010" w:hanging="360"/>
      </w:pPr>
      <w:rPr>
        <w:rFonts w:hint="default"/>
      </w:rPr>
    </w:lvl>
    <w:lvl w:ilvl="6">
      <w:start w:val="1"/>
      <w:numFmt w:val="decimal"/>
      <w:lvlText w:val="%7."/>
      <w:lvlJc w:val="left"/>
      <w:pPr>
        <w:ind w:left="3370" w:hanging="360"/>
      </w:pPr>
      <w:rPr>
        <w:rFonts w:hint="default"/>
      </w:rPr>
    </w:lvl>
    <w:lvl w:ilvl="7">
      <w:start w:val="1"/>
      <w:numFmt w:val="lowerLetter"/>
      <w:lvlText w:val="%8."/>
      <w:lvlJc w:val="left"/>
      <w:pPr>
        <w:ind w:left="3730" w:hanging="360"/>
      </w:pPr>
      <w:rPr>
        <w:rFonts w:hint="default"/>
      </w:rPr>
    </w:lvl>
    <w:lvl w:ilvl="8">
      <w:start w:val="1"/>
      <w:numFmt w:val="lowerRoman"/>
      <w:lvlText w:val="%9."/>
      <w:lvlJc w:val="left"/>
      <w:pPr>
        <w:ind w:left="4090" w:hanging="360"/>
      </w:pPr>
      <w:rPr>
        <w:rFonts w:hint="default"/>
      </w:rPr>
    </w:lvl>
  </w:abstractNum>
  <w:abstractNum w:abstractNumId="11" w15:restartNumberingAfterBreak="0">
    <w:nsid w:val="543E280C"/>
    <w:multiLevelType w:val="hybridMultilevel"/>
    <w:tmpl w:val="2CA2C724"/>
    <w:lvl w:ilvl="0" w:tplc="CA14FA8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77457"/>
    <w:multiLevelType w:val="hybridMultilevel"/>
    <w:tmpl w:val="0B562B94"/>
    <w:lvl w:ilvl="0" w:tplc="1416FF8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096486"/>
    <w:multiLevelType w:val="hybridMultilevel"/>
    <w:tmpl w:val="6276BF58"/>
    <w:lvl w:ilvl="0" w:tplc="B0C645C8">
      <w:start w:val="5"/>
      <w:numFmt w:val="bullet"/>
      <w:lvlText w:val="•"/>
      <w:lvlJc w:val="left"/>
      <w:pPr>
        <w:ind w:left="1080" w:hanging="720"/>
      </w:pPr>
      <w:rPr>
        <w:rFonts w:ascii="Trebuchet MS" w:eastAsia="Calibri" w:hAnsi="Trebuchet MS" w:cs="Times New Roman" w:hint="default"/>
      </w:rPr>
    </w:lvl>
    <w:lvl w:ilvl="1" w:tplc="0B2C1400">
      <w:numFmt w:val="bullet"/>
      <w:lvlText w:val=""/>
      <w:lvlJc w:val="left"/>
      <w:pPr>
        <w:ind w:left="1800" w:hanging="720"/>
      </w:pPr>
      <w:rPr>
        <w:rFonts w:ascii="Symbol" w:eastAsia="Calibri"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01E00"/>
    <w:multiLevelType w:val="multilevel"/>
    <w:tmpl w:val="32903C7E"/>
    <w:lvl w:ilvl="0">
      <w:start w:val="1"/>
      <w:numFmt w:val="lowerLetter"/>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15" w15:restartNumberingAfterBreak="0">
    <w:nsid w:val="60D64119"/>
    <w:multiLevelType w:val="hybridMultilevel"/>
    <w:tmpl w:val="96EEC5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CB718B"/>
    <w:multiLevelType w:val="multilevel"/>
    <w:tmpl w:val="42C6F5E8"/>
    <w:lvl w:ilvl="0">
      <w:start w:val="1"/>
      <w:numFmt w:val="lowerLetter"/>
      <w:lvlText w:val="%1."/>
      <w:lvlJc w:val="left"/>
      <w:pPr>
        <w:ind w:left="360" w:hanging="360"/>
      </w:pPr>
      <w:rPr>
        <w:rFont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17340F"/>
    <w:multiLevelType w:val="hybridMultilevel"/>
    <w:tmpl w:val="1CD8ED9C"/>
    <w:lvl w:ilvl="0" w:tplc="791C90BC">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7ACC3611"/>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39739616">
    <w:abstractNumId w:val="5"/>
  </w:num>
  <w:num w:numId="2" w16cid:durableId="1450660669">
    <w:abstractNumId w:val="9"/>
  </w:num>
  <w:num w:numId="3" w16cid:durableId="1222793397">
    <w:abstractNumId w:val="13"/>
  </w:num>
  <w:num w:numId="4" w16cid:durableId="977759988">
    <w:abstractNumId w:val="1"/>
  </w:num>
  <w:num w:numId="5" w16cid:durableId="214660990">
    <w:abstractNumId w:val="7"/>
  </w:num>
  <w:num w:numId="6" w16cid:durableId="443576063">
    <w:abstractNumId w:val="18"/>
  </w:num>
  <w:num w:numId="7" w16cid:durableId="1569924833">
    <w:abstractNumId w:val="3"/>
  </w:num>
  <w:num w:numId="8" w16cid:durableId="1595896177">
    <w:abstractNumId w:val="15"/>
  </w:num>
  <w:num w:numId="9" w16cid:durableId="976187217">
    <w:abstractNumId w:val="12"/>
  </w:num>
  <w:num w:numId="10" w16cid:durableId="229849508">
    <w:abstractNumId w:val="11"/>
  </w:num>
  <w:num w:numId="11" w16cid:durableId="1237980563">
    <w:abstractNumId w:val="6"/>
  </w:num>
  <w:num w:numId="12" w16cid:durableId="1091198942">
    <w:abstractNumId w:val="4"/>
  </w:num>
  <w:num w:numId="13" w16cid:durableId="631401733">
    <w:abstractNumId w:val="10"/>
  </w:num>
  <w:num w:numId="14" w16cid:durableId="1058019114">
    <w:abstractNumId w:val="16"/>
  </w:num>
  <w:num w:numId="15" w16cid:durableId="1528328752">
    <w:abstractNumId w:val="14"/>
  </w:num>
  <w:num w:numId="16" w16cid:durableId="1480154041">
    <w:abstractNumId w:val="0"/>
  </w:num>
  <w:num w:numId="17" w16cid:durableId="1453551117">
    <w:abstractNumId w:val="17"/>
  </w:num>
  <w:num w:numId="18" w16cid:durableId="1398476084">
    <w:abstractNumId w:val="8"/>
  </w:num>
  <w:num w:numId="19" w16cid:durableId="162006437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22"/>
    <w:rsid w:val="000001E6"/>
    <w:rsid w:val="000007B4"/>
    <w:rsid w:val="00000A49"/>
    <w:rsid w:val="00000F31"/>
    <w:rsid w:val="000010CB"/>
    <w:rsid w:val="00001B3C"/>
    <w:rsid w:val="00001EF3"/>
    <w:rsid w:val="00002C08"/>
    <w:rsid w:val="000035D1"/>
    <w:rsid w:val="0000484C"/>
    <w:rsid w:val="00004A80"/>
    <w:rsid w:val="00006A7C"/>
    <w:rsid w:val="00006B4F"/>
    <w:rsid w:val="00006C81"/>
    <w:rsid w:val="000077B8"/>
    <w:rsid w:val="00007F2F"/>
    <w:rsid w:val="00011553"/>
    <w:rsid w:val="000127D8"/>
    <w:rsid w:val="000127F2"/>
    <w:rsid w:val="000129FE"/>
    <w:rsid w:val="00012E69"/>
    <w:rsid w:val="00012FC3"/>
    <w:rsid w:val="00014B58"/>
    <w:rsid w:val="0001605A"/>
    <w:rsid w:val="00016E9E"/>
    <w:rsid w:val="000172A6"/>
    <w:rsid w:val="00017E73"/>
    <w:rsid w:val="000204C0"/>
    <w:rsid w:val="00020520"/>
    <w:rsid w:val="00020A49"/>
    <w:rsid w:val="000216AF"/>
    <w:rsid w:val="00021C6E"/>
    <w:rsid w:val="0002209D"/>
    <w:rsid w:val="00022849"/>
    <w:rsid w:val="000232BD"/>
    <w:rsid w:val="00023A84"/>
    <w:rsid w:val="00024490"/>
    <w:rsid w:val="00024588"/>
    <w:rsid w:val="0002469A"/>
    <w:rsid w:val="00024817"/>
    <w:rsid w:val="00024D0E"/>
    <w:rsid w:val="00025C65"/>
    <w:rsid w:val="0002611E"/>
    <w:rsid w:val="00026CE5"/>
    <w:rsid w:val="0002755A"/>
    <w:rsid w:val="000301F7"/>
    <w:rsid w:val="0003039A"/>
    <w:rsid w:val="00030818"/>
    <w:rsid w:val="00030D92"/>
    <w:rsid w:val="00031DE4"/>
    <w:rsid w:val="00031E35"/>
    <w:rsid w:val="0003296A"/>
    <w:rsid w:val="00032BE5"/>
    <w:rsid w:val="00032EE9"/>
    <w:rsid w:val="000340B9"/>
    <w:rsid w:val="00035151"/>
    <w:rsid w:val="000351C5"/>
    <w:rsid w:val="000354F9"/>
    <w:rsid w:val="00035A87"/>
    <w:rsid w:val="00035B01"/>
    <w:rsid w:val="00036A9D"/>
    <w:rsid w:val="00037C5B"/>
    <w:rsid w:val="0004046D"/>
    <w:rsid w:val="0004073B"/>
    <w:rsid w:val="000424F1"/>
    <w:rsid w:val="00043235"/>
    <w:rsid w:val="00047123"/>
    <w:rsid w:val="000503F8"/>
    <w:rsid w:val="00050846"/>
    <w:rsid w:val="00050A61"/>
    <w:rsid w:val="00050FB5"/>
    <w:rsid w:val="00051866"/>
    <w:rsid w:val="000525DD"/>
    <w:rsid w:val="000550DB"/>
    <w:rsid w:val="000551D2"/>
    <w:rsid w:val="000562DA"/>
    <w:rsid w:val="00057222"/>
    <w:rsid w:val="00057E76"/>
    <w:rsid w:val="000609B3"/>
    <w:rsid w:val="00061F0C"/>
    <w:rsid w:val="00062A04"/>
    <w:rsid w:val="00062EB5"/>
    <w:rsid w:val="000632A5"/>
    <w:rsid w:val="00063A06"/>
    <w:rsid w:val="00063D17"/>
    <w:rsid w:val="000640F3"/>
    <w:rsid w:val="0006490C"/>
    <w:rsid w:val="000649BD"/>
    <w:rsid w:val="00064DAD"/>
    <w:rsid w:val="000651F2"/>
    <w:rsid w:val="000655B3"/>
    <w:rsid w:val="00066D52"/>
    <w:rsid w:val="00066F23"/>
    <w:rsid w:val="00067B17"/>
    <w:rsid w:val="000708BF"/>
    <w:rsid w:val="00071243"/>
    <w:rsid w:val="000719AD"/>
    <w:rsid w:val="000721AA"/>
    <w:rsid w:val="000728F1"/>
    <w:rsid w:val="000735CA"/>
    <w:rsid w:val="00074824"/>
    <w:rsid w:val="00075A8F"/>
    <w:rsid w:val="0007646C"/>
    <w:rsid w:val="0007685A"/>
    <w:rsid w:val="0007715F"/>
    <w:rsid w:val="0007728B"/>
    <w:rsid w:val="0007733D"/>
    <w:rsid w:val="00077D61"/>
    <w:rsid w:val="000816CB"/>
    <w:rsid w:val="00081A13"/>
    <w:rsid w:val="00081BA2"/>
    <w:rsid w:val="00081F53"/>
    <w:rsid w:val="00082783"/>
    <w:rsid w:val="00082A0E"/>
    <w:rsid w:val="0008484A"/>
    <w:rsid w:val="00085616"/>
    <w:rsid w:val="00085D73"/>
    <w:rsid w:val="00085F5A"/>
    <w:rsid w:val="000860C5"/>
    <w:rsid w:val="00086F1C"/>
    <w:rsid w:val="000905C6"/>
    <w:rsid w:val="000906D9"/>
    <w:rsid w:val="00090DA3"/>
    <w:rsid w:val="00090F61"/>
    <w:rsid w:val="00091D64"/>
    <w:rsid w:val="00092187"/>
    <w:rsid w:val="00092822"/>
    <w:rsid w:val="00092D75"/>
    <w:rsid w:val="000931BD"/>
    <w:rsid w:val="00093B74"/>
    <w:rsid w:val="00094298"/>
    <w:rsid w:val="00094530"/>
    <w:rsid w:val="00094F71"/>
    <w:rsid w:val="000952E3"/>
    <w:rsid w:val="000961DD"/>
    <w:rsid w:val="00096D9B"/>
    <w:rsid w:val="00097190"/>
    <w:rsid w:val="000975FF"/>
    <w:rsid w:val="00097F2E"/>
    <w:rsid w:val="000A013A"/>
    <w:rsid w:val="000A1B5F"/>
    <w:rsid w:val="000A37AE"/>
    <w:rsid w:val="000A43FA"/>
    <w:rsid w:val="000A58C0"/>
    <w:rsid w:val="000A5CAE"/>
    <w:rsid w:val="000A5D6C"/>
    <w:rsid w:val="000A613E"/>
    <w:rsid w:val="000A63EB"/>
    <w:rsid w:val="000A68F1"/>
    <w:rsid w:val="000A77CF"/>
    <w:rsid w:val="000A78C6"/>
    <w:rsid w:val="000A7A2A"/>
    <w:rsid w:val="000A7C91"/>
    <w:rsid w:val="000B0FF6"/>
    <w:rsid w:val="000B2B3F"/>
    <w:rsid w:val="000B2D53"/>
    <w:rsid w:val="000B3154"/>
    <w:rsid w:val="000B3582"/>
    <w:rsid w:val="000B42D8"/>
    <w:rsid w:val="000B4447"/>
    <w:rsid w:val="000B4668"/>
    <w:rsid w:val="000B48BC"/>
    <w:rsid w:val="000B4DB5"/>
    <w:rsid w:val="000B61C8"/>
    <w:rsid w:val="000B7089"/>
    <w:rsid w:val="000B7218"/>
    <w:rsid w:val="000B72C8"/>
    <w:rsid w:val="000B7514"/>
    <w:rsid w:val="000B7DB2"/>
    <w:rsid w:val="000B7ECF"/>
    <w:rsid w:val="000C15EB"/>
    <w:rsid w:val="000C21A3"/>
    <w:rsid w:val="000C2F66"/>
    <w:rsid w:val="000C373C"/>
    <w:rsid w:val="000C3DB4"/>
    <w:rsid w:val="000C3E78"/>
    <w:rsid w:val="000C4119"/>
    <w:rsid w:val="000C427F"/>
    <w:rsid w:val="000C5169"/>
    <w:rsid w:val="000C530B"/>
    <w:rsid w:val="000C6226"/>
    <w:rsid w:val="000C6736"/>
    <w:rsid w:val="000C711F"/>
    <w:rsid w:val="000C72ED"/>
    <w:rsid w:val="000D0335"/>
    <w:rsid w:val="000D101B"/>
    <w:rsid w:val="000D2229"/>
    <w:rsid w:val="000D2281"/>
    <w:rsid w:val="000D28AC"/>
    <w:rsid w:val="000D2B69"/>
    <w:rsid w:val="000D2BAC"/>
    <w:rsid w:val="000D2EC4"/>
    <w:rsid w:val="000D34CF"/>
    <w:rsid w:val="000D49F1"/>
    <w:rsid w:val="000D4AC8"/>
    <w:rsid w:val="000D56A9"/>
    <w:rsid w:val="000D6300"/>
    <w:rsid w:val="000D664C"/>
    <w:rsid w:val="000D765C"/>
    <w:rsid w:val="000D79E0"/>
    <w:rsid w:val="000E01B6"/>
    <w:rsid w:val="000E03E7"/>
    <w:rsid w:val="000E14D3"/>
    <w:rsid w:val="000E2A3B"/>
    <w:rsid w:val="000E2DBC"/>
    <w:rsid w:val="000E4CAB"/>
    <w:rsid w:val="000E51CA"/>
    <w:rsid w:val="000E5F29"/>
    <w:rsid w:val="000E6924"/>
    <w:rsid w:val="000E7F5F"/>
    <w:rsid w:val="000F049E"/>
    <w:rsid w:val="000F0530"/>
    <w:rsid w:val="000F079C"/>
    <w:rsid w:val="000F1BFE"/>
    <w:rsid w:val="000F24CB"/>
    <w:rsid w:val="000F28A8"/>
    <w:rsid w:val="000F2AA6"/>
    <w:rsid w:val="000F38B9"/>
    <w:rsid w:val="000F41F3"/>
    <w:rsid w:val="000F447C"/>
    <w:rsid w:val="000F47E4"/>
    <w:rsid w:val="000F54D5"/>
    <w:rsid w:val="000F65A2"/>
    <w:rsid w:val="000F7ACC"/>
    <w:rsid w:val="000F7C93"/>
    <w:rsid w:val="000F7D64"/>
    <w:rsid w:val="00100490"/>
    <w:rsid w:val="00100492"/>
    <w:rsid w:val="00100810"/>
    <w:rsid w:val="00101758"/>
    <w:rsid w:val="00103FA4"/>
    <w:rsid w:val="001041C9"/>
    <w:rsid w:val="00105054"/>
    <w:rsid w:val="001054E4"/>
    <w:rsid w:val="00105B43"/>
    <w:rsid w:val="001066FF"/>
    <w:rsid w:val="00106736"/>
    <w:rsid w:val="0010759D"/>
    <w:rsid w:val="00107D40"/>
    <w:rsid w:val="00110223"/>
    <w:rsid w:val="00110478"/>
    <w:rsid w:val="001122D6"/>
    <w:rsid w:val="001123A9"/>
    <w:rsid w:val="001126F0"/>
    <w:rsid w:val="0011396F"/>
    <w:rsid w:val="0011420E"/>
    <w:rsid w:val="0011463C"/>
    <w:rsid w:val="00115CBB"/>
    <w:rsid w:val="00115D0F"/>
    <w:rsid w:val="001160E8"/>
    <w:rsid w:val="001162E6"/>
    <w:rsid w:val="001167F8"/>
    <w:rsid w:val="00116860"/>
    <w:rsid w:val="00116F06"/>
    <w:rsid w:val="00117B78"/>
    <w:rsid w:val="00117DC8"/>
    <w:rsid w:val="00120C59"/>
    <w:rsid w:val="00120C6E"/>
    <w:rsid w:val="00121537"/>
    <w:rsid w:val="00121710"/>
    <w:rsid w:val="00121B4B"/>
    <w:rsid w:val="00121C63"/>
    <w:rsid w:val="00122D37"/>
    <w:rsid w:val="0012353E"/>
    <w:rsid w:val="00124DF5"/>
    <w:rsid w:val="00126B19"/>
    <w:rsid w:val="00126EA6"/>
    <w:rsid w:val="0012725A"/>
    <w:rsid w:val="00127345"/>
    <w:rsid w:val="00127A18"/>
    <w:rsid w:val="00127AA5"/>
    <w:rsid w:val="00127D18"/>
    <w:rsid w:val="00127ED9"/>
    <w:rsid w:val="00127F9D"/>
    <w:rsid w:val="001300B1"/>
    <w:rsid w:val="00131182"/>
    <w:rsid w:val="00131632"/>
    <w:rsid w:val="001323A9"/>
    <w:rsid w:val="00132917"/>
    <w:rsid w:val="00132C2E"/>
    <w:rsid w:val="00132DF5"/>
    <w:rsid w:val="00132FCA"/>
    <w:rsid w:val="001332BE"/>
    <w:rsid w:val="00133449"/>
    <w:rsid w:val="00133CC7"/>
    <w:rsid w:val="00134004"/>
    <w:rsid w:val="0013488E"/>
    <w:rsid w:val="00134C4A"/>
    <w:rsid w:val="00135538"/>
    <w:rsid w:val="001358AC"/>
    <w:rsid w:val="001359B3"/>
    <w:rsid w:val="00136873"/>
    <w:rsid w:val="00136ED5"/>
    <w:rsid w:val="001377C8"/>
    <w:rsid w:val="00140DEA"/>
    <w:rsid w:val="00140F64"/>
    <w:rsid w:val="00141BA0"/>
    <w:rsid w:val="00141BAD"/>
    <w:rsid w:val="00141BD4"/>
    <w:rsid w:val="00141D9F"/>
    <w:rsid w:val="001422E0"/>
    <w:rsid w:val="00142A9A"/>
    <w:rsid w:val="001430F8"/>
    <w:rsid w:val="001452D9"/>
    <w:rsid w:val="00145602"/>
    <w:rsid w:val="00145858"/>
    <w:rsid w:val="00145D29"/>
    <w:rsid w:val="00145D73"/>
    <w:rsid w:val="00145FE1"/>
    <w:rsid w:val="00146B4B"/>
    <w:rsid w:val="0014714B"/>
    <w:rsid w:val="00147725"/>
    <w:rsid w:val="00151327"/>
    <w:rsid w:val="00151607"/>
    <w:rsid w:val="00151645"/>
    <w:rsid w:val="0015287A"/>
    <w:rsid w:val="0015298B"/>
    <w:rsid w:val="001532FC"/>
    <w:rsid w:val="00153361"/>
    <w:rsid w:val="00153557"/>
    <w:rsid w:val="0015398D"/>
    <w:rsid w:val="0015497F"/>
    <w:rsid w:val="00154F7E"/>
    <w:rsid w:val="001552EF"/>
    <w:rsid w:val="00155CF6"/>
    <w:rsid w:val="00156221"/>
    <w:rsid w:val="00156454"/>
    <w:rsid w:val="00156517"/>
    <w:rsid w:val="00156EB7"/>
    <w:rsid w:val="00160A48"/>
    <w:rsid w:val="00160C32"/>
    <w:rsid w:val="001619B4"/>
    <w:rsid w:val="00162817"/>
    <w:rsid w:val="001629F5"/>
    <w:rsid w:val="00162E1F"/>
    <w:rsid w:val="00162E50"/>
    <w:rsid w:val="00163DA8"/>
    <w:rsid w:val="00164527"/>
    <w:rsid w:val="00164A30"/>
    <w:rsid w:val="001666C0"/>
    <w:rsid w:val="0016676E"/>
    <w:rsid w:val="00166CB0"/>
    <w:rsid w:val="0016715E"/>
    <w:rsid w:val="00167E77"/>
    <w:rsid w:val="00167E80"/>
    <w:rsid w:val="0017052B"/>
    <w:rsid w:val="00171207"/>
    <w:rsid w:val="00171873"/>
    <w:rsid w:val="00171A73"/>
    <w:rsid w:val="00171B3F"/>
    <w:rsid w:val="00171E9D"/>
    <w:rsid w:val="001721F2"/>
    <w:rsid w:val="0017231F"/>
    <w:rsid w:val="00172383"/>
    <w:rsid w:val="00173C04"/>
    <w:rsid w:val="00175029"/>
    <w:rsid w:val="0017517B"/>
    <w:rsid w:val="0017524C"/>
    <w:rsid w:val="00176705"/>
    <w:rsid w:val="00176EF4"/>
    <w:rsid w:val="00177819"/>
    <w:rsid w:val="00177B90"/>
    <w:rsid w:val="00180328"/>
    <w:rsid w:val="00181604"/>
    <w:rsid w:val="00181851"/>
    <w:rsid w:val="0018191C"/>
    <w:rsid w:val="00182957"/>
    <w:rsid w:val="0018427B"/>
    <w:rsid w:val="001846AE"/>
    <w:rsid w:val="0018471A"/>
    <w:rsid w:val="001849AD"/>
    <w:rsid w:val="0018517C"/>
    <w:rsid w:val="001857A6"/>
    <w:rsid w:val="00186320"/>
    <w:rsid w:val="001867E5"/>
    <w:rsid w:val="00186B3F"/>
    <w:rsid w:val="00187579"/>
    <w:rsid w:val="00187C47"/>
    <w:rsid w:val="00187FB1"/>
    <w:rsid w:val="00190784"/>
    <w:rsid w:val="00190BF5"/>
    <w:rsid w:val="00191AA6"/>
    <w:rsid w:val="00191D03"/>
    <w:rsid w:val="00191D89"/>
    <w:rsid w:val="0019293A"/>
    <w:rsid w:val="0019306B"/>
    <w:rsid w:val="00193978"/>
    <w:rsid w:val="0019481F"/>
    <w:rsid w:val="0019574C"/>
    <w:rsid w:val="00196CAA"/>
    <w:rsid w:val="001A013D"/>
    <w:rsid w:val="001A05AD"/>
    <w:rsid w:val="001A06E8"/>
    <w:rsid w:val="001A06E9"/>
    <w:rsid w:val="001A0754"/>
    <w:rsid w:val="001A07A4"/>
    <w:rsid w:val="001A0B58"/>
    <w:rsid w:val="001A0CB3"/>
    <w:rsid w:val="001A0D2A"/>
    <w:rsid w:val="001A2B1D"/>
    <w:rsid w:val="001A2B2C"/>
    <w:rsid w:val="001A4AC0"/>
    <w:rsid w:val="001A4CD9"/>
    <w:rsid w:val="001A4D55"/>
    <w:rsid w:val="001A5090"/>
    <w:rsid w:val="001A5103"/>
    <w:rsid w:val="001A561D"/>
    <w:rsid w:val="001A568D"/>
    <w:rsid w:val="001A67CB"/>
    <w:rsid w:val="001A6A38"/>
    <w:rsid w:val="001A7735"/>
    <w:rsid w:val="001A7C3E"/>
    <w:rsid w:val="001A7FE4"/>
    <w:rsid w:val="001B11B8"/>
    <w:rsid w:val="001B1632"/>
    <w:rsid w:val="001B2635"/>
    <w:rsid w:val="001B28BD"/>
    <w:rsid w:val="001B2E8F"/>
    <w:rsid w:val="001B3C27"/>
    <w:rsid w:val="001B3DD4"/>
    <w:rsid w:val="001B4462"/>
    <w:rsid w:val="001B4A01"/>
    <w:rsid w:val="001B4C05"/>
    <w:rsid w:val="001B4F93"/>
    <w:rsid w:val="001B57EE"/>
    <w:rsid w:val="001B62EF"/>
    <w:rsid w:val="001B7629"/>
    <w:rsid w:val="001B7C5B"/>
    <w:rsid w:val="001B7C97"/>
    <w:rsid w:val="001C0EA8"/>
    <w:rsid w:val="001C2A15"/>
    <w:rsid w:val="001C302B"/>
    <w:rsid w:val="001C3213"/>
    <w:rsid w:val="001C3493"/>
    <w:rsid w:val="001C38A3"/>
    <w:rsid w:val="001C474C"/>
    <w:rsid w:val="001C5063"/>
    <w:rsid w:val="001C52EF"/>
    <w:rsid w:val="001C5581"/>
    <w:rsid w:val="001C5FD5"/>
    <w:rsid w:val="001C6116"/>
    <w:rsid w:val="001C6A87"/>
    <w:rsid w:val="001C713F"/>
    <w:rsid w:val="001C71BF"/>
    <w:rsid w:val="001D023C"/>
    <w:rsid w:val="001D02EF"/>
    <w:rsid w:val="001D0EF3"/>
    <w:rsid w:val="001D21F4"/>
    <w:rsid w:val="001D2FD8"/>
    <w:rsid w:val="001D30F4"/>
    <w:rsid w:val="001D391E"/>
    <w:rsid w:val="001D3A5B"/>
    <w:rsid w:val="001D3CCE"/>
    <w:rsid w:val="001D3D95"/>
    <w:rsid w:val="001D555B"/>
    <w:rsid w:val="001D58E7"/>
    <w:rsid w:val="001D6166"/>
    <w:rsid w:val="001D63B7"/>
    <w:rsid w:val="001D66D7"/>
    <w:rsid w:val="001D6980"/>
    <w:rsid w:val="001E06C3"/>
    <w:rsid w:val="001E096C"/>
    <w:rsid w:val="001E0E83"/>
    <w:rsid w:val="001E0EA4"/>
    <w:rsid w:val="001E111E"/>
    <w:rsid w:val="001E14FC"/>
    <w:rsid w:val="001E1D30"/>
    <w:rsid w:val="001E1F44"/>
    <w:rsid w:val="001E248C"/>
    <w:rsid w:val="001E2E67"/>
    <w:rsid w:val="001E3211"/>
    <w:rsid w:val="001E608C"/>
    <w:rsid w:val="001E67D0"/>
    <w:rsid w:val="001E6FA7"/>
    <w:rsid w:val="001E71C9"/>
    <w:rsid w:val="001E76E0"/>
    <w:rsid w:val="001E7C2B"/>
    <w:rsid w:val="001F133E"/>
    <w:rsid w:val="001F1937"/>
    <w:rsid w:val="001F2550"/>
    <w:rsid w:val="001F287B"/>
    <w:rsid w:val="001F38C8"/>
    <w:rsid w:val="001F44D5"/>
    <w:rsid w:val="001F4842"/>
    <w:rsid w:val="001F48B9"/>
    <w:rsid w:val="001F4941"/>
    <w:rsid w:val="001F4CEA"/>
    <w:rsid w:val="001F532C"/>
    <w:rsid w:val="001F61D1"/>
    <w:rsid w:val="001F623E"/>
    <w:rsid w:val="001F6719"/>
    <w:rsid w:val="001F6ACB"/>
    <w:rsid w:val="001F714F"/>
    <w:rsid w:val="001F7EE7"/>
    <w:rsid w:val="00200380"/>
    <w:rsid w:val="0020041F"/>
    <w:rsid w:val="00200911"/>
    <w:rsid w:val="00200C8D"/>
    <w:rsid w:val="0020144A"/>
    <w:rsid w:val="002018AB"/>
    <w:rsid w:val="002018BA"/>
    <w:rsid w:val="00202462"/>
    <w:rsid w:val="00203E7C"/>
    <w:rsid w:val="00203EB0"/>
    <w:rsid w:val="002051BD"/>
    <w:rsid w:val="0020595C"/>
    <w:rsid w:val="00205A78"/>
    <w:rsid w:val="00205FB6"/>
    <w:rsid w:val="00206247"/>
    <w:rsid w:val="00206F2F"/>
    <w:rsid w:val="00207E9E"/>
    <w:rsid w:val="00210056"/>
    <w:rsid w:val="002104EA"/>
    <w:rsid w:val="0021055C"/>
    <w:rsid w:val="00210A9A"/>
    <w:rsid w:val="00210E71"/>
    <w:rsid w:val="00211179"/>
    <w:rsid w:val="00211330"/>
    <w:rsid w:val="00211904"/>
    <w:rsid w:val="00211A66"/>
    <w:rsid w:val="0021211D"/>
    <w:rsid w:val="002130B6"/>
    <w:rsid w:val="0021368E"/>
    <w:rsid w:val="00214290"/>
    <w:rsid w:val="0021521F"/>
    <w:rsid w:val="002156C7"/>
    <w:rsid w:val="00215D60"/>
    <w:rsid w:val="00215F29"/>
    <w:rsid w:val="00216527"/>
    <w:rsid w:val="002175AC"/>
    <w:rsid w:val="00217A2F"/>
    <w:rsid w:val="00217BA2"/>
    <w:rsid w:val="00217E03"/>
    <w:rsid w:val="002203A9"/>
    <w:rsid w:val="0022053D"/>
    <w:rsid w:val="002207C3"/>
    <w:rsid w:val="00220E7E"/>
    <w:rsid w:val="00221580"/>
    <w:rsid w:val="002215E3"/>
    <w:rsid w:val="00221F30"/>
    <w:rsid w:val="00222465"/>
    <w:rsid w:val="0022284E"/>
    <w:rsid w:val="00222F92"/>
    <w:rsid w:val="0022329A"/>
    <w:rsid w:val="002238F8"/>
    <w:rsid w:val="00223B32"/>
    <w:rsid w:val="00223C26"/>
    <w:rsid w:val="00223D52"/>
    <w:rsid w:val="00224260"/>
    <w:rsid w:val="0022498A"/>
    <w:rsid w:val="002249D3"/>
    <w:rsid w:val="00224A46"/>
    <w:rsid w:val="00224A56"/>
    <w:rsid w:val="00224F69"/>
    <w:rsid w:val="002251B2"/>
    <w:rsid w:val="002255B8"/>
    <w:rsid w:val="002265B5"/>
    <w:rsid w:val="00226E73"/>
    <w:rsid w:val="002273BB"/>
    <w:rsid w:val="0022794A"/>
    <w:rsid w:val="0022799E"/>
    <w:rsid w:val="00227A04"/>
    <w:rsid w:val="00227CE7"/>
    <w:rsid w:val="00230EFC"/>
    <w:rsid w:val="0023105D"/>
    <w:rsid w:val="00231574"/>
    <w:rsid w:val="002320AB"/>
    <w:rsid w:val="00232893"/>
    <w:rsid w:val="00232D46"/>
    <w:rsid w:val="002332EC"/>
    <w:rsid w:val="00233969"/>
    <w:rsid w:val="00233A2E"/>
    <w:rsid w:val="00233ADB"/>
    <w:rsid w:val="00234001"/>
    <w:rsid w:val="0023422B"/>
    <w:rsid w:val="00234784"/>
    <w:rsid w:val="00234EEB"/>
    <w:rsid w:val="002354A2"/>
    <w:rsid w:val="00235F53"/>
    <w:rsid w:val="00237E27"/>
    <w:rsid w:val="00241168"/>
    <w:rsid w:val="002414C2"/>
    <w:rsid w:val="0024178C"/>
    <w:rsid w:val="00241C67"/>
    <w:rsid w:val="00241F9B"/>
    <w:rsid w:val="0024223F"/>
    <w:rsid w:val="0024240D"/>
    <w:rsid w:val="00242845"/>
    <w:rsid w:val="00242BDE"/>
    <w:rsid w:val="00243CF7"/>
    <w:rsid w:val="0024430B"/>
    <w:rsid w:val="00244E14"/>
    <w:rsid w:val="00246581"/>
    <w:rsid w:val="002467FB"/>
    <w:rsid w:val="00246DA4"/>
    <w:rsid w:val="00246DBB"/>
    <w:rsid w:val="00246DE0"/>
    <w:rsid w:val="00247326"/>
    <w:rsid w:val="00247A49"/>
    <w:rsid w:val="002507E2"/>
    <w:rsid w:val="002515E4"/>
    <w:rsid w:val="00251B83"/>
    <w:rsid w:val="00251EC5"/>
    <w:rsid w:val="00252076"/>
    <w:rsid w:val="00252AA9"/>
    <w:rsid w:val="00252C75"/>
    <w:rsid w:val="0025301F"/>
    <w:rsid w:val="0025315B"/>
    <w:rsid w:val="0025370F"/>
    <w:rsid w:val="00254127"/>
    <w:rsid w:val="00254554"/>
    <w:rsid w:val="00254F4B"/>
    <w:rsid w:val="002557BB"/>
    <w:rsid w:val="0025597B"/>
    <w:rsid w:val="00256257"/>
    <w:rsid w:val="00256991"/>
    <w:rsid w:val="002576B1"/>
    <w:rsid w:val="0026017D"/>
    <w:rsid w:val="002604C2"/>
    <w:rsid w:val="0026099E"/>
    <w:rsid w:val="00260C5B"/>
    <w:rsid w:val="00260E81"/>
    <w:rsid w:val="00261662"/>
    <w:rsid w:val="0026264D"/>
    <w:rsid w:val="00262E82"/>
    <w:rsid w:val="00262F92"/>
    <w:rsid w:val="002634F1"/>
    <w:rsid w:val="00263919"/>
    <w:rsid w:val="00263B8A"/>
    <w:rsid w:val="00263C85"/>
    <w:rsid w:val="00263D8D"/>
    <w:rsid w:val="00264ADA"/>
    <w:rsid w:val="00264DF5"/>
    <w:rsid w:val="00265301"/>
    <w:rsid w:val="002661B8"/>
    <w:rsid w:val="00266A44"/>
    <w:rsid w:val="00266FBA"/>
    <w:rsid w:val="00270789"/>
    <w:rsid w:val="00270F11"/>
    <w:rsid w:val="00271355"/>
    <w:rsid w:val="00271548"/>
    <w:rsid w:val="00271565"/>
    <w:rsid w:val="0027171A"/>
    <w:rsid w:val="00271C8E"/>
    <w:rsid w:val="00272039"/>
    <w:rsid w:val="0027399D"/>
    <w:rsid w:val="002745C8"/>
    <w:rsid w:val="002746DA"/>
    <w:rsid w:val="00274BB1"/>
    <w:rsid w:val="00274BF2"/>
    <w:rsid w:val="002751C4"/>
    <w:rsid w:val="00275A85"/>
    <w:rsid w:val="00276428"/>
    <w:rsid w:val="002764BA"/>
    <w:rsid w:val="002766D2"/>
    <w:rsid w:val="00276B9C"/>
    <w:rsid w:val="00277801"/>
    <w:rsid w:val="00280379"/>
    <w:rsid w:val="002803AC"/>
    <w:rsid w:val="0028061A"/>
    <w:rsid w:val="00280A2B"/>
    <w:rsid w:val="00280D92"/>
    <w:rsid w:val="00280DCB"/>
    <w:rsid w:val="00281A3E"/>
    <w:rsid w:val="00281CEE"/>
    <w:rsid w:val="00281EF4"/>
    <w:rsid w:val="0028236E"/>
    <w:rsid w:val="0028296D"/>
    <w:rsid w:val="00282F74"/>
    <w:rsid w:val="00283429"/>
    <w:rsid w:val="00283D27"/>
    <w:rsid w:val="00283D6E"/>
    <w:rsid w:val="002840FA"/>
    <w:rsid w:val="002844D3"/>
    <w:rsid w:val="00284E11"/>
    <w:rsid w:val="00284E48"/>
    <w:rsid w:val="00285409"/>
    <w:rsid w:val="002856CD"/>
    <w:rsid w:val="00285B53"/>
    <w:rsid w:val="00286302"/>
    <w:rsid w:val="00286926"/>
    <w:rsid w:val="0028722A"/>
    <w:rsid w:val="00287627"/>
    <w:rsid w:val="00287AF0"/>
    <w:rsid w:val="00287CAC"/>
    <w:rsid w:val="00287F84"/>
    <w:rsid w:val="002901ED"/>
    <w:rsid w:val="00290508"/>
    <w:rsid w:val="00290856"/>
    <w:rsid w:val="0029107F"/>
    <w:rsid w:val="002911D7"/>
    <w:rsid w:val="00291508"/>
    <w:rsid w:val="002919BB"/>
    <w:rsid w:val="00291F69"/>
    <w:rsid w:val="00292719"/>
    <w:rsid w:val="00293084"/>
    <w:rsid w:val="00293174"/>
    <w:rsid w:val="00293E36"/>
    <w:rsid w:val="00295169"/>
    <w:rsid w:val="00295E24"/>
    <w:rsid w:val="00295FE9"/>
    <w:rsid w:val="0029711B"/>
    <w:rsid w:val="002972A4"/>
    <w:rsid w:val="002A0120"/>
    <w:rsid w:val="002A0452"/>
    <w:rsid w:val="002A0622"/>
    <w:rsid w:val="002A0EAC"/>
    <w:rsid w:val="002A10AF"/>
    <w:rsid w:val="002A2EC1"/>
    <w:rsid w:val="002A39BC"/>
    <w:rsid w:val="002A4CFC"/>
    <w:rsid w:val="002A567E"/>
    <w:rsid w:val="002A5BC9"/>
    <w:rsid w:val="002A6024"/>
    <w:rsid w:val="002A6854"/>
    <w:rsid w:val="002A7357"/>
    <w:rsid w:val="002A775C"/>
    <w:rsid w:val="002A78AE"/>
    <w:rsid w:val="002A7B7D"/>
    <w:rsid w:val="002B0E9D"/>
    <w:rsid w:val="002B14D7"/>
    <w:rsid w:val="002B14DD"/>
    <w:rsid w:val="002B1BB1"/>
    <w:rsid w:val="002B2845"/>
    <w:rsid w:val="002B2A46"/>
    <w:rsid w:val="002B2C36"/>
    <w:rsid w:val="002B3411"/>
    <w:rsid w:val="002B3F4F"/>
    <w:rsid w:val="002B4988"/>
    <w:rsid w:val="002B61FB"/>
    <w:rsid w:val="002B631D"/>
    <w:rsid w:val="002B67B3"/>
    <w:rsid w:val="002B6C64"/>
    <w:rsid w:val="002B7DE4"/>
    <w:rsid w:val="002B7F25"/>
    <w:rsid w:val="002C037B"/>
    <w:rsid w:val="002C0FAA"/>
    <w:rsid w:val="002C1247"/>
    <w:rsid w:val="002C30F2"/>
    <w:rsid w:val="002C3628"/>
    <w:rsid w:val="002C3657"/>
    <w:rsid w:val="002C37E4"/>
    <w:rsid w:val="002C3DAB"/>
    <w:rsid w:val="002C4FDD"/>
    <w:rsid w:val="002C5DFB"/>
    <w:rsid w:val="002C6728"/>
    <w:rsid w:val="002C6C56"/>
    <w:rsid w:val="002C7BB1"/>
    <w:rsid w:val="002D0BFD"/>
    <w:rsid w:val="002D0C65"/>
    <w:rsid w:val="002D11B8"/>
    <w:rsid w:val="002D122B"/>
    <w:rsid w:val="002D1648"/>
    <w:rsid w:val="002D2162"/>
    <w:rsid w:val="002D24A7"/>
    <w:rsid w:val="002D2AAD"/>
    <w:rsid w:val="002D3D64"/>
    <w:rsid w:val="002D4ACF"/>
    <w:rsid w:val="002D560C"/>
    <w:rsid w:val="002D678D"/>
    <w:rsid w:val="002D6971"/>
    <w:rsid w:val="002D6A56"/>
    <w:rsid w:val="002D700B"/>
    <w:rsid w:val="002D7DD7"/>
    <w:rsid w:val="002E08E8"/>
    <w:rsid w:val="002E10B1"/>
    <w:rsid w:val="002E22AD"/>
    <w:rsid w:val="002E24CD"/>
    <w:rsid w:val="002E2693"/>
    <w:rsid w:val="002E30BF"/>
    <w:rsid w:val="002E33A3"/>
    <w:rsid w:val="002E36F8"/>
    <w:rsid w:val="002E3F7B"/>
    <w:rsid w:val="002E3FE1"/>
    <w:rsid w:val="002E49EB"/>
    <w:rsid w:val="002E4C9F"/>
    <w:rsid w:val="002E4FF7"/>
    <w:rsid w:val="002E6D94"/>
    <w:rsid w:val="002E6DCF"/>
    <w:rsid w:val="002E7974"/>
    <w:rsid w:val="002E7B4A"/>
    <w:rsid w:val="002F0392"/>
    <w:rsid w:val="002F0596"/>
    <w:rsid w:val="002F0617"/>
    <w:rsid w:val="002F0AF4"/>
    <w:rsid w:val="002F120B"/>
    <w:rsid w:val="002F1805"/>
    <w:rsid w:val="002F1861"/>
    <w:rsid w:val="002F19E9"/>
    <w:rsid w:val="002F24E3"/>
    <w:rsid w:val="002F2756"/>
    <w:rsid w:val="002F3F19"/>
    <w:rsid w:val="002F42F4"/>
    <w:rsid w:val="002F634D"/>
    <w:rsid w:val="002F6550"/>
    <w:rsid w:val="00301422"/>
    <w:rsid w:val="003022F1"/>
    <w:rsid w:val="0030271C"/>
    <w:rsid w:val="00303304"/>
    <w:rsid w:val="00303742"/>
    <w:rsid w:val="00303C4F"/>
    <w:rsid w:val="00304F86"/>
    <w:rsid w:val="0030519F"/>
    <w:rsid w:val="003052CC"/>
    <w:rsid w:val="00305FA1"/>
    <w:rsid w:val="00307E2F"/>
    <w:rsid w:val="00310994"/>
    <w:rsid w:val="00310FB4"/>
    <w:rsid w:val="003112E6"/>
    <w:rsid w:val="00311DE8"/>
    <w:rsid w:val="00312578"/>
    <w:rsid w:val="0031264D"/>
    <w:rsid w:val="00313226"/>
    <w:rsid w:val="00313AC9"/>
    <w:rsid w:val="00315108"/>
    <w:rsid w:val="00315810"/>
    <w:rsid w:val="0031608D"/>
    <w:rsid w:val="00317734"/>
    <w:rsid w:val="00320AFF"/>
    <w:rsid w:val="00320D6B"/>
    <w:rsid w:val="003213BF"/>
    <w:rsid w:val="00321BED"/>
    <w:rsid w:val="00322997"/>
    <w:rsid w:val="00322D4E"/>
    <w:rsid w:val="00322E3E"/>
    <w:rsid w:val="00322F46"/>
    <w:rsid w:val="00323155"/>
    <w:rsid w:val="003242F3"/>
    <w:rsid w:val="003243ED"/>
    <w:rsid w:val="00324549"/>
    <w:rsid w:val="003247D0"/>
    <w:rsid w:val="003257F9"/>
    <w:rsid w:val="00325B97"/>
    <w:rsid w:val="00326A29"/>
    <w:rsid w:val="00326EE8"/>
    <w:rsid w:val="00327063"/>
    <w:rsid w:val="00327281"/>
    <w:rsid w:val="0032754E"/>
    <w:rsid w:val="00330F33"/>
    <w:rsid w:val="0033144E"/>
    <w:rsid w:val="00331919"/>
    <w:rsid w:val="003341F9"/>
    <w:rsid w:val="00334A37"/>
    <w:rsid w:val="003362E3"/>
    <w:rsid w:val="00336613"/>
    <w:rsid w:val="003372DC"/>
    <w:rsid w:val="003373B5"/>
    <w:rsid w:val="0033767C"/>
    <w:rsid w:val="00337BFE"/>
    <w:rsid w:val="00337C3B"/>
    <w:rsid w:val="00337CBA"/>
    <w:rsid w:val="00337E0A"/>
    <w:rsid w:val="00342089"/>
    <w:rsid w:val="00343E69"/>
    <w:rsid w:val="003448E4"/>
    <w:rsid w:val="003455EC"/>
    <w:rsid w:val="00345B4F"/>
    <w:rsid w:val="003469EF"/>
    <w:rsid w:val="00346F0C"/>
    <w:rsid w:val="003470BC"/>
    <w:rsid w:val="00347228"/>
    <w:rsid w:val="003476B2"/>
    <w:rsid w:val="00347FCD"/>
    <w:rsid w:val="00350E86"/>
    <w:rsid w:val="0035183B"/>
    <w:rsid w:val="0035185C"/>
    <w:rsid w:val="00351C54"/>
    <w:rsid w:val="00351CEC"/>
    <w:rsid w:val="0035223F"/>
    <w:rsid w:val="003528A1"/>
    <w:rsid w:val="00353461"/>
    <w:rsid w:val="003534E6"/>
    <w:rsid w:val="00354228"/>
    <w:rsid w:val="00354DCE"/>
    <w:rsid w:val="003551A8"/>
    <w:rsid w:val="00356C2D"/>
    <w:rsid w:val="003570AC"/>
    <w:rsid w:val="00357F49"/>
    <w:rsid w:val="003606A2"/>
    <w:rsid w:val="00360A3A"/>
    <w:rsid w:val="00360AE3"/>
    <w:rsid w:val="00361341"/>
    <w:rsid w:val="0036149C"/>
    <w:rsid w:val="00362AC4"/>
    <w:rsid w:val="00362C87"/>
    <w:rsid w:val="0036300C"/>
    <w:rsid w:val="00364090"/>
    <w:rsid w:val="00364850"/>
    <w:rsid w:val="003650E4"/>
    <w:rsid w:val="00365148"/>
    <w:rsid w:val="00365321"/>
    <w:rsid w:val="00365FBE"/>
    <w:rsid w:val="003660C3"/>
    <w:rsid w:val="00366169"/>
    <w:rsid w:val="0036690C"/>
    <w:rsid w:val="00367B21"/>
    <w:rsid w:val="003703D3"/>
    <w:rsid w:val="00371213"/>
    <w:rsid w:val="00371DD3"/>
    <w:rsid w:val="003724D0"/>
    <w:rsid w:val="003727BC"/>
    <w:rsid w:val="003730EC"/>
    <w:rsid w:val="00373326"/>
    <w:rsid w:val="00374B46"/>
    <w:rsid w:val="0037510B"/>
    <w:rsid w:val="0037519D"/>
    <w:rsid w:val="0037618E"/>
    <w:rsid w:val="00377C53"/>
    <w:rsid w:val="00380010"/>
    <w:rsid w:val="003802C7"/>
    <w:rsid w:val="00380585"/>
    <w:rsid w:val="003806E5"/>
    <w:rsid w:val="00380A82"/>
    <w:rsid w:val="00380D24"/>
    <w:rsid w:val="00380FE4"/>
    <w:rsid w:val="003817E5"/>
    <w:rsid w:val="00381936"/>
    <w:rsid w:val="00382983"/>
    <w:rsid w:val="00382B0F"/>
    <w:rsid w:val="0038310D"/>
    <w:rsid w:val="003836E9"/>
    <w:rsid w:val="00384247"/>
    <w:rsid w:val="003853EF"/>
    <w:rsid w:val="00387368"/>
    <w:rsid w:val="00387C8E"/>
    <w:rsid w:val="00391893"/>
    <w:rsid w:val="003920D3"/>
    <w:rsid w:val="00392683"/>
    <w:rsid w:val="0039269C"/>
    <w:rsid w:val="00392894"/>
    <w:rsid w:val="00392E6F"/>
    <w:rsid w:val="003935BC"/>
    <w:rsid w:val="003935F3"/>
    <w:rsid w:val="00393928"/>
    <w:rsid w:val="003941BD"/>
    <w:rsid w:val="003947DD"/>
    <w:rsid w:val="003950D8"/>
    <w:rsid w:val="0039577E"/>
    <w:rsid w:val="00395786"/>
    <w:rsid w:val="003957F2"/>
    <w:rsid w:val="00395C9B"/>
    <w:rsid w:val="00396119"/>
    <w:rsid w:val="00396E41"/>
    <w:rsid w:val="00397073"/>
    <w:rsid w:val="003974D8"/>
    <w:rsid w:val="00397CA2"/>
    <w:rsid w:val="003A00B9"/>
    <w:rsid w:val="003A04BF"/>
    <w:rsid w:val="003A07E0"/>
    <w:rsid w:val="003A1BF7"/>
    <w:rsid w:val="003A2929"/>
    <w:rsid w:val="003A2B71"/>
    <w:rsid w:val="003A53E0"/>
    <w:rsid w:val="003A5A2F"/>
    <w:rsid w:val="003A6118"/>
    <w:rsid w:val="003A6392"/>
    <w:rsid w:val="003A689D"/>
    <w:rsid w:val="003A6C45"/>
    <w:rsid w:val="003A6D01"/>
    <w:rsid w:val="003A745C"/>
    <w:rsid w:val="003A7548"/>
    <w:rsid w:val="003A75EC"/>
    <w:rsid w:val="003A7A3F"/>
    <w:rsid w:val="003A7E58"/>
    <w:rsid w:val="003A7F21"/>
    <w:rsid w:val="003B039E"/>
    <w:rsid w:val="003B0B0C"/>
    <w:rsid w:val="003B0ED4"/>
    <w:rsid w:val="003B12E2"/>
    <w:rsid w:val="003B30AF"/>
    <w:rsid w:val="003B415C"/>
    <w:rsid w:val="003B4C60"/>
    <w:rsid w:val="003B5119"/>
    <w:rsid w:val="003B5A72"/>
    <w:rsid w:val="003B5D9F"/>
    <w:rsid w:val="003B66FD"/>
    <w:rsid w:val="003B6B2E"/>
    <w:rsid w:val="003B7070"/>
    <w:rsid w:val="003B7201"/>
    <w:rsid w:val="003B73DA"/>
    <w:rsid w:val="003C03B5"/>
    <w:rsid w:val="003C06ED"/>
    <w:rsid w:val="003C07C3"/>
    <w:rsid w:val="003C1A2C"/>
    <w:rsid w:val="003C304F"/>
    <w:rsid w:val="003C3084"/>
    <w:rsid w:val="003C33C4"/>
    <w:rsid w:val="003C38AA"/>
    <w:rsid w:val="003C3EBA"/>
    <w:rsid w:val="003C4815"/>
    <w:rsid w:val="003C5184"/>
    <w:rsid w:val="003C603E"/>
    <w:rsid w:val="003C62FF"/>
    <w:rsid w:val="003C6904"/>
    <w:rsid w:val="003C6D6B"/>
    <w:rsid w:val="003C79B2"/>
    <w:rsid w:val="003C7E74"/>
    <w:rsid w:val="003D05C0"/>
    <w:rsid w:val="003D0970"/>
    <w:rsid w:val="003D0EAF"/>
    <w:rsid w:val="003D1796"/>
    <w:rsid w:val="003D22D1"/>
    <w:rsid w:val="003D2676"/>
    <w:rsid w:val="003D2754"/>
    <w:rsid w:val="003D2B6F"/>
    <w:rsid w:val="003D2BF1"/>
    <w:rsid w:val="003D3327"/>
    <w:rsid w:val="003D3504"/>
    <w:rsid w:val="003D3F6B"/>
    <w:rsid w:val="003D4FD7"/>
    <w:rsid w:val="003D68B1"/>
    <w:rsid w:val="003E0237"/>
    <w:rsid w:val="003E0E9E"/>
    <w:rsid w:val="003E1A84"/>
    <w:rsid w:val="003E1EBA"/>
    <w:rsid w:val="003E2392"/>
    <w:rsid w:val="003E23C5"/>
    <w:rsid w:val="003E2B63"/>
    <w:rsid w:val="003E2F14"/>
    <w:rsid w:val="003E33CC"/>
    <w:rsid w:val="003E3748"/>
    <w:rsid w:val="003E443D"/>
    <w:rsid w:val="003E4670"/>
    <w:rsid w:val="003E4DCE"/>
    <w:rsid w:val="003E5676"/>
    <w:rsid w:val="003E621F"/>
    <w:rsid w:val="003E6399"/>
    <w:rsid w:val="003E67C3"/>
    <w:rsid w:val="003E68E2"/>
    <w:rsid w:val="003E6955"/>
    <w:rsid w:val="003E707F"/>
    <w:rsid w:val="003E75C9"/>
    <w:rsid w:val="003E773C"/>
    <w:rsid w:val="003E7E2F"/>
    <w:rsid w:val="003F0474"/>
    <w:rsid w:val="003F1243"/>
    <w:rsid w:val="003F15B7"/>
    <w:rsid w:val="003F3081"/>
    <w:rsid w:val="003F3EDA"/>
    <w:rsid w:val="003F40D7"/>
    <w:rsid w:val="003F44A4"/>
    <w:rsid w:val="003F4A6B"/>
    <w:rsid w:val="003F4C81"/>
    <w:rsid w:val="003F56B1"/>
    <w:rsid w:val="003F5F7F"/>
    <w:rsid w:val="003F60A0"/>
    <w:rsid w:val="003F684E"/>
    <w:rsid w:val="003F6C0F"/>
    <w:rsid w:val="003F6FFB"/>
    <w:rsid w:val="003F7AA3"/>
    <w:rsid w:val="004003A2"/>
    <w:rsid w:val="00400510"/>
    <w:rsid w:val="00403B35"/>
    <w:rsid w:val="00404002"/>
    <w:rsid w:val="00404B19"/>
    <w:rsid w:val="00405469"/>
    <w:rsid w:val="00405784"/>
    <w:rsid w:val="00406560"/>
    <w:rsid w:val="004067C8"/>
    <w:rsid w:val="00406B88"/>
    <w:rsid w:val="00406CE1"/>
    <w:rsid w:val="00407528"/>
    <w:rsid w:val="0040796F"/>
    <w:rsid w:val="00407BBF"/>
    <w:rsid w:val="0041075B"/>
    <w:rsid w:val="00410923"/>
    <w:rsid w:val="0041116E"/>
    <w:rsid w:val="004111C8"/>
    <w:rsid w:val="0041128E"/>
    <w:rsid w:val="0041154E"/>
    <w:rsid w:val="00411F90"/>
    <w:rsid w:val="00413B48"/>
    <w:rsid w:val="00414042"/>
    <w:rsid w:val="00414FE6"/>
    <w:rsid w:val="0041585B"/>
    <w:rsid w:val="00415DE6"/>
    <w:rsid w:val="00416883"/>
    <w:rsid w:val="004170FB"/>
    <w:rsid w:val="00420BDF"/>
    <w:rsid w:val="00420E2D"/>
    <w:rsid w:val="00420F52"/>
    <w:rsid w:val="004211EF"/>
    <w:rsid w:val="00421629"/>
    <w:rsid w:val="00421C26"/>
    <w:rsid w:val="00421E10"/>
    <w:rsid w:val="00421EE5"/>
    <w:rsid w:val="00422B49"/>
    <w:rsid w:val="00422DC2"/>
    <w:rsid w:val="00422E5F"/>
    <w:rsid w:val="004239D4"/>
    <w:rsid w:val="00424BB2"/>
    <w:rsid w:val="00425B53"/>
    <w:rsid w:val="00425C7D"/>
    <w:rsid w:val="004261E7"/>
    <w:rsid w:val="00426266"/>
    <w:rsid w:val="00426605"/>
    <w:rsid w:val="0042667E"/>
    <w:rsid w:val="00426872"/>
    <w:rsid w:val="004270D7"/>
    <w:rsid w:val="00427379"/>
    <w:rsid w:val="0043045B"/>
    <w:rsid w:val="00430830"/>
    <w:rsid w:val="004319B9"/>
    <w:rsid w:val="00431D30"/>
    <w:rsid w:val="00432A6D"/>
    <w:rsid w:val="00432D1D"/>
    <w:rsid w:val="00433283"/>
    <w:rsid w:val="00433768"/>
    <w:rsid w:val="00433801"/>
    <w:rsid w:val="00433AFA"/>
    <w:rsid w:val="00433D68"/>
    <w:rsid w:val="004340FE"/>
    <w:rsid w:val="0043468E"/>
    <w:rsid w:val="00434D51"/>
    <w:rsid w:val="00435AAE"/>
    <w:rsid w:val="0043649A"/>
    <w:rsid w:val="00436518"/>
    <w:rsid w:val="0043708D"/>
    <w:rsid w:val="00437977"/>
    <w:rsid w:val="00437BF2"/>
    <w:rsid w:val="004401FD"/>
    <w:rsid w:val="00440CFC"/>
    <w:rsid w:val="0044109C"/>
    <w:rsid w:val="00441B7A"/>
    <w:rsid w:val="00441CE4"/>
    <w:rsid w:val="004420A8"/>
    <w:rsid w:val="00442176"/>
    <w:rsid w:val="00442368"/>
    <w:rsid w:val="0044279D"/>
    <w:rsid w:val="0044310F"/>
    <w:rsid w:val="004431BD"/>
    <w:rsid w:val="004438D2"/>
    <w:rsid w:val="00444ED2"/>
    <w:rsid w:val="00445032"/>
    <w:rsid w:val="00445166"/>
    <w:rsid w:val="00445278"/>
    <w:rsid w:val="004462B2"/>
    <w:rsid w:val="00446904"/>
    <w:rsid w:val="00446BE6"/>
    <w:rsid w:val="004472C6"/>
    <w:rsid w:val="0044753E"/>
    <w:rsid w:val="00447ECF"/>
    <w:rsid w:val="00451095"/>
    <w:rsid w:val="0045146E"/>
    <w:rsid w:val="004521A1"/>
    <w:rsid w:val="004535DA"/>
    <w:rsid w:val="00453D5F"/>
    <w:rsid w:val="00453F53"/>
    <w:rsid w:val="00454963"/>
    <w:rsid w:val="00454A75"/>
    <w:rsid w:val="0045506D"/>
    <w:rsid w:val="004550A3"/>
    <w:rsid w:val="0045632A"/>
    <w:rsid w:val="00456D04"/>
    <w:rsid w:val="004576F0"/>
    <w:rsid w:val="00457FF3"/>
    <w:rsid w:val="00460210"/>
    <w:rsid w:val="0046091B"/>
    <w:rsid w:val="00461383"/>
    <w:rsid w:val="00461551"/>
    <w:rsid w:val="00463B5C"/>
    <w:rsid w:val="00463C77"/>
    <w:rsid w:val="00463C85"/>
    <w:rsid w:val="00464B78"/>
    <w:rsid w:val="00464C3C"/>
    <w:rsid w:val="00465927"/>
    <w:rsid w:val="00465BBB"/>
    <w:rsid w:val="00466B4D"/>
    <w:rsid w:val="00466D89"/>
    <w:rsid w:val="00467072"/>
    <w:rsid w:val="0046756B"/>
    <w:rsid w:val="004675DA"/>
    <w:rsid w:val="00467634"/>
    <w:rsid w:val="004677AE"/>
    <w:rsid w:val="004679FA"/>
    <w:rsid w:val="00467A80"/>
    <w:rsid w:val="00467CDC"/>
    <w:rsid w:val="00470211"/>
    <w:rsid w:val="00470D7B"/>
    <w:rsid w:val="00470E4B"/>
    <w:rsid w:val="00471638"/>
    <w:rsid w:val="00471E19"/>
    <w:rsid w:val="00472C2E"/>
    <w:rsid w:val="00472F8B"/>
    <w:rsid w:val="0047331C"/>
    <w:rsid w:val="00473409"/>
    <w:rsid w:val="00473927"/>
    <w:rsid w:val="004748E0"/>
    <w:rsid w:val="0047497A"/>
    <w:rsid w:val="00474F6A"/>
    <w:rsid w:val="00475AC3"/>
    <w:rsid w:val="00475CA4"/>
    <w:rsid w:val="004761D2"/>
    <w:rsid w:val="00476300"/>
    <w:rsid w:val="00476AD9"/>
    <w:rsid w:val="00477114"/>
    <w:rsid w:val="00480728"/>
    <w:rsid w:val="00480B8A"/>
    <w:rsid w:val="00480C49"/>
    <w:rsid w:val="00481134"/>
    <w:rsid w:val="004819E5"/>
    <w:rsid w:val="00481F9D"/>
    <w:rsid w:val="0048282B"/>
    <w:rsid w:val="004830B5"/>
    <w:rsid w:val="004831C5"/>
    <w:rsid w:val="00484012"/>
    <w:rsid w:val="00484B21"/>
    <w:rsid w:val="00485B59"/>
    <w:rsid w:val="00485C0A"/>
    <w:rsid w:val="00485D14"/>
    <w:rsid w:val="004861B2"/>
    <w:rsid w:val="0048662A"/>
    <w:rsid w:val="00486D35"/>
    <w:rsid w:val="00486EEC"/>
    <w:rsid w:val="00487199"/>
    <w:rsid w:val="004875C8"/>
    <w:rsid w:val="004914B7"/>
    <w:rsid w:val="0049194B"/>
    <w:rsid w:val="00491C6B"/>
    <w:rsid w:val="00492F49"/>
    <w:rsid w:val="004936A2"/>
    <w:rsid w:val="004936BD"/>
    <w:rsid w:val="004942BA"/>
    <w:rsid w:val="004944C6"/>
    <w:rsid w:val="0049498D"/>
    <w:rsid w:val="00495F79"/>
    <w:rsid w:val="00496384"/>
    <w:rsid w:val="00496BF8"/>
    <w:rsid w:val="00496C27"/>
    <w:rsid w:val="00497525"/>
    <w:rsid w:val="004A0006"/>
    <w:rsid w:val="004A0F5A"/>
    <w:rsid w:val="004A11EB"/>
    <w:rsid w:val="004A2D27"/>
    <w:rsid w:val="004A31F7"/>
    <w:rsid w:val="004A323C"/>
    <w:rsid w:val="004A338F"/>
    <w:rsid w:val="004A3D48"/>
    <w:rsid w:val="004A50A9"/>
    <w:rsid w:val="004A54B0"/>
    <w:rsid w:val="004A62B2"/>
    <w:rsid w:val="004A675E"/>
    <w:rsid w:val="004A6964"/>
    <w:rsid w:val="004A6F38"/>
    <w:rsid w:val="004B0B56"/>
    <w:rsid w:val="004B0BA0"/>
    <w:rsid w:val="004B0C8C"/>
    <w:rsid w:val="004B0CFF"/>
    <w:rsid w:val="004B1AD0"/>
    <w:rsid w:val="004B2041"/>
    <w:rsid w:val="004B28AE"/>
    <w:rsid w:val="004B3393"/>
    <w:rsid w:val="004B357C"/>
    <w:rsid w:val="004B3587"/>
    <w:rsid w:val="004B4016"/>
    <w:rsid w:val="004B410F"/>
    <w:rsid w:val="004B43B6"/>
    <w:rsid w:val="004B4F48"/>
    <w:rsid w:val="004B5554"/>
    <w:rsid w:val="004B5D17"/>
    <w:rsid w:val="004B64D2"/>
    <w:rsid w:val="004B6551"/>
    <w:rsid w:val="004B6BFF"/>
    <w:rsid w:val="004C03DC"/>
    <w:rsid w:val="004C05DD"/>
    <w:rsid w:val="004C06DD"/>
    <w:rsid w:val="004C0840"/>
    <w:rsid w:val="004C0ACD"/>
    <w:rsid w:val="004C0BB5"/>
    <w:rsid w:val="004C1069"/>
    <w:rsid w:val="004C142C"/>
    <w:rsid w:val="004C1952"/>
    <w:rsid w:val="004C263C"/>
    <w:rsid w:val="004C28D0"/>
    <w:rsid w:val="004C35FD"/>
    <w:rsid w:val="004C3CA7"/>
    <w:rsid w:val="004C3F42"/>
    <w:rsid w:val="004C42A8"/>
    <w:rsid w:val="004C48B3"/>
    <w:rsid w:val="004C4D69"/>
    <w:rsid w:val="004C543A"/>
    <w:rsid w:val="004C55AE"/>
    <w:rsid w:val="004C60E0"/>
    <w:rsid w:val="004C6240"/>
    <w:rsid w:val="004C6341"/>
    <w:rsid w:val="004C67EA"/>
    <w:rsid w:val="004C73F0"/>
    <w:rsid w:val="004C7546"/>
    <w:rsid w:val="004D26F4"/>
    <w:rsid w:val="004D2B1A"/>
    <w:rsid w:val="004D3DC5"/>
    <w:rsid w:val="004D3FBF"/>
    <w:rsid w:val="004D43FF"/>
    <w:rsid w:val="004D5048"/>
    <w:rsid w:val="004D549F"/>
    <w:rsid w:val="004D5888"/>
    <w:rsid w:val="004D6709"/>
    <w:rsid w:val="004D69B7"/>
    <w:rsid w:val="004D6BCF"/>
    <w:rsid w:val="004D70D3"/>
    <w:rsid w:val="004D740F"/>
    <w:rsid w:val="004D742A"/>
    <w:rsid w:val="004D7758"/>
    <w:rsid w:val="004D7A05"/>
    <w:rsid w:val="004D7F3F"/>
    <w:rsid w:val="004E034D"/>
    <w:rsid w:val="004E0E9C"/>
    <w:rsid w:val="004E1222"/>
    <w:rsid w:val="004E1391"/>
    <w:rsid w:val="004E1651"/>
    <w:rsid w:val="004E2135"/>
    <w:rsid w:val="004E26BD"/>
    <w:rsid w:val="004E2D81"/>
    <w:rsid w:val="004E3544"/>
    <w:rsid w:val="004E3764"/>
    <w:rsid w:val="004E3B1B"/>
    <w:rsid w:val="004E3DAC"/>
    <w:rsid w:val="004E4907"/>
    <w:rsid w:val="004E596B"/>
    <w:rsid w:val="004E5B83"/>
    <w:rsid w:val="004E5CAD"/>
    <w:rsid w:val="004E5DBD"/>
    <w:rsid w:val="004E60A8"/>
    <w:rsid w:val="004E6BDD"/>
    <w:rsid w:val="004E7218"/>
    <w:rsid w:val="004E74A6"/>
    <w:rsid w:val="004E7C6D"/>
    <w:rsid w:val="004E7E4F"/>
    <w:rsid w:val="004F012F"/>
    <w:rsid w:val="004F02A9"/>
    <w:rsid w:val="004F02E8"/>
    <w:rsid w:val="004F0919"/>
    <w:rsid w:val="004F0997"/>
    <w:rsid w:val="004F155F"/>
    <w:rsid w:val="004F19B9"/>
    <w:rsid w:val="004F19BD"/>
    <w:rsid w:val="004F23CA"/>
    <w:rsid w:val="004F2C41"/>
    <w:rsid w:val="004F338D"/>
    <w:rsid w:val="004F3A47"/>
    <w:rsid w:val="004F3F6A"/>
    <w:rsid w:val="004F4326"/>
    <w:rsid w:val="004F4605"/>
    <w:rsid w:val="004F48AD"/>
    <w:rsid w:val="004F550C"/>
    <w:rsid w:val="004F6EC8"/>
    <w:rsid w:val="004F7179"/>
    <w:rsid w:val="004F7ED7"/>
    <w:rsid w:val="00500754"/>
    <w:rsid w:val="00500F7A"/>
    <w:rsid w:val="00501771"/>
    <w:rsid w:val="00502356"/>
    <w:rsid w:val="0050277E"/>
    <w:rsid w:val="005029C4"/>
    <w:rsid w:val="00502ADB"/>
    <w:rsid w:val="00503364"/>
    <w:rsid w:val="00503D85"/>
    <w:rsid w:val="00505420"/>
    <w:rsid w:val="005054C7"/>
    <w:rsid w:val="005063F1"/>
    <w:rsid w:val="0050677A"/>
    <w:rsid w:val="0050744A"/>
    <w:rsid w:val="00507D91"/>
    <w:rsid w:val="005103A0"/>
    <w:rsid w:val="0051047B"/>
    <w:rsid w:val="00510C59"/>
    <w:rsid w:val="00511043"/>
    <w:rsid w:val="0051311D"/>
    <w:rsid w:val="005131D1"/>
    <w:rsid w:val="005139FD"/>
    <w:rsid w:val="00514997"/>
    <w:rsid w:val="00515DF7"/>
    <w:rsid w:val="0051689E"/>
    <w:rsid w:val="005168C8"/>
    <w:rsid w:val="005174E0"/>
    <w:rsid w:val="005203C7"/>
    <w:rsid w:val="00520A8B"/>
    <w:rsid w:val="00521BBE"/>
    <w:rsid w:val="00522269"/>
    <w:rsid w:val="00522697"/>
    <w:rsid w:val="00522EF3"/>
    <w:rsid w:val="00523251"/>
    <w:rsid w:val="005238A4"/>
    <w:rsid w:val="0052397C"/>
    <w:rsid w:val="00524676"/>
    <w:rsid w:val="00524BBE"/>
    <w:rsid w:val="00524D31"/>
    <w:rsid w:val="00524FEE"/>
    <w:rsid w:val="0052597D"/>
    <w:rsid w:val="00526681"/>
    <w:rsid w:val="00527690"/>
    <w:rsid w:val="005309E8"/>
    <w:rsid w:val="00531668"/>
    <w:rsid w:val="00531F74"/>
    <w:rsid w:val="005326DA"/>
    <w:rsid w:val="00533129"/>
    <w:rsid w:val="00534B30"/>
    <w:rsid w:val="00534B86"/>
    <w:rsid w:val="0053518A"/>
    <w:rsid w:val="005357B0"/>
    <w:rsid w:val="00535832"/>
    <w:rsid w:val="00535F5C"/>
    <w:rsid w:val="005361BF"/>
    <w:rsid w:val="00537D67"/>
    <w:rsid w:val="005410AD"/>
    <w:rsid w:val="0054146B"/>
    <w:rsid w:val="005420E8"/>
    <w:rsid w:val="005431F4"/>
    <w:rsid w:val="005432C2"/>
    <w:rsid w:val="00543651"/>
    <w:rsid w:val="005436ED"/>
    <w:rsid w:val="00543DC6"/>
    <w:rsid w:val="00544102"/>
    <w:rsid w:val="00544205"/>
    <w:rsid w:val="00544FC8"/>
    <w:rsid w:val="005461F6"/>
    <w:rsid w:val="0054622D"/>
    <w:rsid w:val="00546795"/>
    <w:rsid w:val="00546E80"/>
    <w:rsid w:val="00550384"/>
    <w:rsid w:val="005509FE"/>
    <w:rsid w:val="0055185B"/>
    <w:rsid w:val="005525B4"/>
    <w:rsid w:val="00552724"/>
    <w:rsid w:val="0055273B"/>
    <w:rsid w:val="00552EF2"/>
    <w:rsid w:val="00552FA4"/>
    <w:rsid w:val="00553928"/>
    <w:rsid w:val="00554F8D"/>
    <w:rsid w:val="00555B6A"/>
    <w:rsid w:val="00555BA5"/>
    <w:rsid w:val="00556B2D"/>
    <w:rsid w:val="00556D98"/>
    <w:rsid w:val="00557372"/>
    <w:rsid w:val="00562129"/>
    <w:rsid w:val="005647DD"/>
    <w:rsid w:val="00564DF5"/>
    <w:rsid w:val="00565B30"/>
    <w:rsid w:val="00565C29"/>
    <w:rsid w:val="00567022"/>
    <w:rsid w:val="0056780A"/>
    <w:rsid w:val="00567AB8"/>
    <w:rsid w:val="00567AD6"/>
    <w:rsid w:val="0057017A"/>
    <w:rsid w:val="005702DA"/>
    <w:rsid w:val="00570A03"/>
    <w:rsid w:val="00570BE8"/>
    <w:rsid w:val="00570C22"/>
    <w:rsid w:val="00571242"/>
    <w:rsid w:val="00571321"/>
    <w:rsid w:val="00571D54"/>
    <w:rsid w:val="00571DA6"/>
    <w:rsid w:val="005726B4"/>
    <w:rsid w:val="00572BD4"/>
    <w:rsid w:val="00572EA4"/>
    <w:rsid w:val="0057344E"/>
    <w:rsid w:val="0057383B"/>
    <w:rsid w:val="00573A1B"/>
    <w:rsid w:val="005745A3"/>
    <w:rsid w:val="005753C6"/>
    <w:rsid w:val="005754AF"/>
    <w:rsid w:val="005761E6"/>
    <w:rsid w:val="005761F4"/>
    <w:rsid w:val="00576820"/>
    <w:rsid w:val="005773CC"/>
    <w:rsid w:val="0057749B"/>
    <w:rsid w:val="005777CC"/>
    <w:rsid w:val="00577918"/>
    <w:rsid w:val="00577E0B"/>
    <w:rsid w:val="005800F4"/>
    <w:rsid w:val="00580692"/>
    <w:rsid w:val="005811F3"/>
    <w:rsid w:val="00582203"/>
    <w:rsid w:val="0058237F"/>
    <w:rsid w:val="0058240B"/>
    <w:rsid w:val="00582538"/>
    <w:rsid w:val="005825D2"/>
    <w:rsid w:val="0058284E"/>
    <w:rsid w:val="0058399E"/>
    <w:rsid w:val="005849EB"/>
    <w:rsid w:val="00585E38"/>
    <w:rsid w:val="00586041"/>
    <w:rsid w:val="00586840"/>
    <w:rsid w:val="005871BF"/>
    <w:rsid w:val="00587957"/>
    <w:rsid w:val="00591204"/>
    <w:rsid w:val="00591805"/>
    <w:rsid w:val="00591851"/>
    <w:rsid w:val="00591896"/>
    <w:rsid w:val="00591CBC"/>
    <w:rsid w:val="005925AF"/>
    <w:rsid w:val="00592A99"/>
    <w:rsid w:val="00592AD5"/>
    <w:rsid w:val="00593B2A"/>
    <w:rsid w:val="005948AE"/>
    <w:rsid w:val="00594F72"/>
    <w:rsid w:val="00595112"/>
    <w:rsid w:val="005952C6"/>
    <w:rsid w:val="00595416"/>
    <w:rsid w:val="00595954"/>
    <w:rsid w:val="00595D7A"/>
    <w:rsid w:val="00595D8C"/>
    <w:rsid w:val="00597623"/>
    <w:rsid w:val="0059775A"/>
    <w:rsid w:val="00597D74"/>
    <w:rsid w:val="005A0117"/>
    <w:rsid w:val="005A15CD"/>
    <w:rsid w:val="005A186C"/>
    <w:rsid w:val="005A2872"/>
    <w:rsid w:val="005A2C49"/>
    <w:rsid w:val="005A3A87"/>
    <w:rsid w:val="005A433F"/>
    <w:rsid w:val="005A4EA0"/>
    <w:rsid w:val="005A53DB"/>
    <w:rsid w:val="005A5448"/>
    <w:rsid w:val="005A5DBB"/>
    <w:rsid w:val="005A5EF6"/>
    <w:rsid w:val="005A66B3"/>
    <w:rsid w:val="005A6B7A"/>
    <w:rsid w:val="005A6FFA"/>
    <w:rsid w:val="005A7917"/>
    <w:rsid w:val="005A7A3C"/>
    <w:rsid w:val="005B0053"/>
    <w:rsid w:val="005B0195"/>
    <w:rsid w:val="005B0353"/>
    <w:rsid w:val="005B0A84"/>
    <w:rsid w:val="005B3085"/>
    <w:rsid w:val="005B3C72"/>
    <w:rsid w:val="005B55EA"/>
    <w:rsid w:val="005B58CC"/>
    <w:rsid w:val="005B5BDB"/>
    <w:rsid w:val="005B5D37"/>
    <w:rsid w:val="005B5F98"/>
    <w:rsid w:val="005B6366"/>
    <w:rsid w:val="005B7713"/>
    <w:rsid w:val="005B7A5E"/>
    <w:rsid w:val="005C15FF"/>
    <w:rsid w:val="005C1EC5"/>
    <w:rsid w:val="005C23A4"/>
    <w:rsid w:val="005C31A3"/>
    <w:rsid w:val="005C3712"/>
    <w:rsid w:val="005C488E"/>
    <w:rsid w:val="005C5392"/>
    <w:rsid w:val="005C547E"/>
    <w:rsid w:val="005C59E7"/>
    <w:rsid w:val="005C5FB1"/>
    <w:rsid w:val="005C684E"/>
    <w:rsid w:val="005C6ACF"/>
    <w:rsid w:val="005C6BA6"/>
    <w:rsid w:val="005C7B3C"/>
    <w:rsid w:val="005D00EC"/>
    <w:rsid w:val="005D0588"/>
    <w:rsid w:val="005D088B"/>
    <w:rsid w:val="005D09DF"/>
    <w:rsid w:val="005D0A4D"/>
    <w:rsid w:val="005D0C3D"/>
    <w:rsid w:val="005D1386"/>
    <w:rsid w:val="005D1589"/>
    <w:rsid w:val="005D1595"/>
    <w:rsid w:val="005D1AE0"/>
    <w:rsid w:val="005D311B"/>
    <w:rsid w:val="005D41E9"/>
    <w:rsid w:val="005D433C"/>
    <w:rsid w:val="005D4B64"/>
    <w:rsid w:val="005D6A1B"/>
    <w:rsid w:val="005D70A8"/>
    <w:rsid w:val="005D74B8"/>
    <w:rsid w:val="005D7D09"/>
    <w:rsid w:val="005E0A36"/>
    <w:rsid w:val="005E0DB3"/>
    <w:rsid w:val="005E11F9"/>
    <w:rsid w:val="005E1ABF"/>
    <w:rsid w:val="005E1F87"/>
    <w:rsid w:val="005E24F2"/>
    <w:rsid w:val="005E289E"/>
    <w:rsid w:val="005E317F"/>
    <w:rsid w:val="005E360D"/>
    <w:rsid w:val="005E3C04"/>
    <w:rsid w:val="005E4038"/>
    <w:rsid w:val="005E41B0"/>
    <w:rsid w:val="005E539D"/>
    <w:rsid w:val="005E5B4A"/>
    <w:rsid w:val="005E6923"/>
    <w:rsid w:val="005E7B57"/>
    <w:rsid w:val="005E7BB0"/>
    <w:rsid w:val="005F06DF"/>
    <w:rsid w:val="005F0721"/>
    <w:rsid w:val="005F0F6E"/>
    <w:rsid w:val="005F1929"/>
    <w:rsid w:val="005F3BB6"/>
    <w:rsid w:val="005F4245"/>
    <w:rsid w:val="005F501C"/>
    <w:rsid w:val="005F50B7"/>
    <w:rsid w:val="005F588E"/>
    <w:rsid w:val="005F5B76"/>
    <w:rsid w:val="005F64B4"/>
    <w:rsid w:val="005F6851"/>
    <w:rsid w:val="005F6AEB"/>
    <w:rsid w:val="005F6D3C"/>
    <w:rsid w:val="005F7DDE"/>
    <w:rsid w:val="0060091C"/>
    <w:rsid w:val="00600FC8"/>
    <w:rsid w:val="006013F6"/>
    <w:rsid w:val="00602405"/>
    <w:rsid w:val="00602900"/>
    <w:rsid w:val="00602FFF"/>
    <w:rsid w:val="00603FD0"/>
    <w:rsid w:val="00604388"/>
    <w:rsid w:val="00604495"/>
    <w:rsid w:val="00604664"/>
    <w:rsid w:val="0060473C"/>
    <w:rsid w:val="00604770"/>
    <w:rsid w:val="00604C6F"/>
    <w:rsid w:val="0060581B"/>
    <w:rsid w:val="00606DB5"/>
    <w:rsid w:val="006071D7"/>
    <w:rsid w:val="0060767F"/>
    <w:rsid w:val="00607D64"/>
    <w:rsid w:val="00610B29"/>
    <w:rsid w:val="0061162A"/>
    <w:rsid w:val="00612012"/>
    <w:rsid w:val="00613206"/>
    <w:rsid w:val="006138CD"/>
    <w:rsid w:val="0061459E"/>
    <w:rsid w:val="006146B2"/>
    <w:rsid w:val="00614916"/>
    <w:rsid w:val="0061598E"/>
    <w:rsid w:val="00615B20"/>
    <w:rsid w:val="00615EAE"/>
    <w:rsid w:val="00616391"/>
    <w:rsid w:val="0061646B"/>
    <w:rsid w:val="006167A7"/>
    <w:rsid w:val="00616E29"/>
    <w:rsid w:val="00616FF4"/>
    <w:rsid w:val="00617025"/>
    <w:rsid w:val="006208DE"/>
    <w:rsid w:val="00621135"/>
    <w:rsid w:val="006211ED"/>
    <w:rsid w:val="006214EC"/>
    <w:rsid w:val="0062231E"/>
    <w:rsid w:val="006236EB"/>
    <w:rsid w:val="00624EFA"/>
    <w:rsid w:val="00626166"/>
    <w:rsid w:val="006265EC"/>
    <w:rsid w:val="006275AD"/>
    <w:rsid w:val="0062784C"/>
    <w:rsid w:val="006302CB"/>
    <w:rsid w:val="00630CF7"/>
    <w:rsid w:val="00630D71"/>
    <w:rsid w:val="00631D2C"/>
    <w:rsid w:val="00632688"/>
    <w:rsid w:val="00632B60"/>
    <w:rsid w:val="00633C11"/>
    <w:rsid w:val="006348BC"/>
    <w:rsid w:val="006352AF"/>
    <w:rsid w:val="00635565"/>
    <w:rsid w:val="00635E10"/>
    <w:rsid w:val="0063619F"/>
    <w:rsid w:val="00636ADA"/>
    <w:rsid w:val="00637039"/>
    <w:rsid w:val="006371D5"/>
    <w:rsid w:val="00637556"/>
    <w:rsid w:val="00637D00"/>
    <w:rsid w:val="0064112D"/>
    <w:rsid w:val="00641795"/>
    <w:rsid w:val="006422FE"/>
    <w:rsid w:val="00642EC1"/>
    <w:rsid w:val="00643EFD"/>
    <w:rsid w:val="006441AB"/>
    <w:rsid w:val="0064446C"/>
    <w:rsid w:val="006447C3"/>
    <w:rsid w:val="006447E3"/>
    <w:rsid w:val="00644911"/>
    <w:rsid w:val="006455AE"/>
    <w:rsid w:val="006455F7"/>
    <w:rsid w:val="0064613A"/>
    <w:rsid w:val="00646A4B"/>
    <w:rsid w:val="0064703B"/>
    <w:rsid w:val="006470F5"/>
    <w:rsid w:val="00647A05"/>
    <w:rsid w:val="0065014B"/>
    <w:rsid w:val="00650182"/>
    <w:rsid w:val="0065086D"/>
    <w:rsid w:val="00651C98"/>
    <w:rsid w:val="00651F0E"/>
    <w:rsid w:val="00652929"/>
    <w:rsid w:val="0065371F"/>
    <w:rsid w:val="00653C07"/>
    <w:rsid w:val="00653E1B"/>
    <w:rsid w:val="00653E4C"/>
    <w:rsid w:val="00654841"/>
    <w:rsid w:val="00655636"/>
    <w:rsid w:val="00655B3C"/>
    <w:rsid w:val="00655EF3"/>
    <w:rsid w:val="006560CD"/>
    <w:rsid w:val="00656368"/>
    <w:rsid w:val="00657B2B"/>
    <w:rsid w:val="0066026A"/>
    <w:rsid w:val="00660826"/>
    <w:rsid w:val="00660BD5"/>
    <w:rsid w:val="00662C69"/>
    <w:rsid w:val="00663A36"/>
    <w:rsid w:val="00663D4A"/>
    <w:rsid w:val="0066424A"/>
    <w:rsid w:val="006652F9"/>
    <w:rsid w:val="00665857"/>
    <w:rsid w:val="00665ED6"/>
    <w:rsid w:val="0066631D"/>
    <w:rsid w:val="006663C4"/>
    <w:rsid w:val="00666D7B"/>
    <w:rsid w:val="0066769F"/>
    <w:rsid w:val="00670235"/>
    <w:rsid w:val="0067032E"/>
    <w:rsid w:val="00670BC3"/>
    <w:rsid w:val="006712A1"/>
    <w:rsid w:val="006729AD"/>
    <w:rsid w:val="00673C16"/>
    <w:rsid w:val="00674926"/>
    <w:rsid w:val="00674F06"/>
    <w:rsid w:val="0067515E"/>
    <w:rsid w:val="00675396"/>
    <w:rsid w:val="006759F4"/>
    <w:rsid w:val="00675C98"/>
    <w:rsid w:val="00675E9D"/>
    <w:rsid w:val="0067624F"/>
    <w:rsid w:val="00676C09"/>
    <w:rsid w:val="006771FF"/>
    <w:rsid w:val="0067750B"/>
    <w:rsid w:val="00680370"/>
    <w:rsid w:val="0068042F"/>
    <w:rsid w:val="00680551"/>
    <w:rsid w:val="00680B9A"/>
    <w:rsid w:val="00680F86"/>
    <w:rsid w:val="006810C5"/>
    <w:rsid w:val="006811AA"/>
    <w:rsid w:val="00681704"/>
    <w:rsid w:val="00682426"/>
    <w:rsid w:val="00682BD9"/>
    <w:rsid w:val="00682FBF"/>
    <w:rsid w:val="006839B0"/>
    <w:rsid w:val="00683BFD"/>
    <w:rsid w:val="006845B4"/>
    <w:rsid w:val="00684870"/>
    <w:rsid w:val="00684D13"/>
    <w:rsid w:val="0068506D"/>
    <w:rsid w:val="00685071"/>
    <w:rsid w:val="00686A99"/>
    <w:rsid w:val="00686D73"/>
    <w:rsid w:val="00686DAE"/>
    <w:rsid w:val="00690324"/>
    <w:rsid w:val="0069078A"/>
    <w:rsid w:val="006909E7"/>
    <w:rsid w:val="006914DC"/>
    <w:rsid w:val="00691A70"/>
    <w:rsid w:val="0069258D"/>
    <w:rsid w:val="00692E79"/>
    <w:rsid w:val="0069308F"/>
    <w:rsid w:val="00693ABE"/>
    <w:rsid w:val="00693C95"/>
    <w:rsid w:val="00693D23"/>
    <w:rsid w:val="00694EF5"/>
    <w:rsid w:val="00695D65"/>
    <w:rsid w:val="0069663F"/>
    <w:rsid w:val="00696A15"/>
    <w:rsid w:val="00697EE7"/>
    <w:rsid w:val="006A048B"/>
    <w:rsid w:val="006A05EA"/>
    <w:rsid w:val="006A063A"/>
    <w:rsid w:val="006A0DC2"/>
    <w:rsid w:val="006A10FC"/>
    <w:rsid w:val="006A147F"/>
    <w:rsid w:val="006A1C67"/>
    <w:rsid w:val="006A2B71"/>
    <w:rsid w:val="006A349C"/>
    <w:rsid w:val="006A35AE"/>
    <w:rsid w:val="006A3E36"/>
    <w:rsid w:val="006A4DED"/>
    <w:rsid w:val="006A5076"/>
    <w:rsid w:val="006A54CE"/>
    <w:rsid w:val="006A5D90"/>
    <w:rsid w:val="006A6B91"/>
    <w:rsid w:val="006A7058"/>
    <w:rsid w:val="006A7EAE"/>
    <w:rsid w:val="006A7F0D"/>
    <w:rsid w:val="006B0005"/>
    <w:rsid w:val="006B056B"/>
    <w:rsid w:val="006B0A82"/>
    <w:rsid w:val="006B0C26"/>
    <w:rsid w:val="006B0EB3"/>
    <w:rsid w:val="006B1890"/>
    <w:rsid w:val="006B18F1"/>
    <w:rsid w:val="006B2378"/>
    <w:rsid w:val="006B27CC"/>
    <w:rsid w:val="006B299A"/>
    <w:rsid w:val="006B29AC"/>
    <w:rsid w:val="006B2D2F"/>
    <w:rsid w:val="006B2DC7"/>
    <w:rsid w:val="006B2F88"/>
    <w:rsid w:val="006B303D"/>
    <w:rsid w:val="006B328C"/>
    <w:rsid w:val="006B333D"/>
    <w:rsid w:val="006B3633"/>
    <w:rsid w:val="006B3663"/>
    <w:rsid w:val="006B36BB"/>
    <w:rsid w:val="006B3F9B"/>
    <w:rsid w:val="006B4381"/>
    <w:rsid w:val="006B43D7"/>
    <w:rsid w:val="006B4E92"/>
    <w:rsid w:val="006B6514"/>
    <w:rsid w:val="006B66F6"/>
    <w:rsid w:val="006B682F"/>
    <w:rsid w:val="006B6DAD"/>
    <w:rsid w:val="006C0876"/>
    <w:rsid w:val="006C0AF4"/>
    <w:rsid w:val="006C1D11"/>
    <w:rsid w:val="006C2595"/>
    <w:rsid w:val="006C2B32"/>
    <w:rsid w:val="006C2CF6"/>
    <w:rsid w:val="006C30F6"/>
    <w:rsid w:val="006C312B"/>
    <w:rsid w:val="006C32F8"/>
    <w:rsid w:val="006C3A34"/>
    <w:rsid w:val="006C42D1"/>
    <w:rsid w:val="006C4787"/>
    <w:rsid w:val="006C4A58"/>
    <w:rsid w:val="006C4B4D"/>
    <w:rsid w:val="006C4D93"/>
    <w:rsid w:val="006C4F42"/>
    <w:rsid w:val="006C797E"/>
    <w:rsid w:val="006C7AF5"/>
    <w:rsid w:val="006C7C78"/>
    <w:rsid w:val="006C7C80"/>
    <w:rsid w:val="006C7D76"/>
    <w:rsid w:val="006D1066"/>
    <w:rsid w:val="006D1EC8"/>
    <w:rsid w:val="006D2023"/>
    <w:rsid w:val="006D2AAA"/>
    <w:rsid w:val="006D339D"/>
    <w:rsid w:val="006D351B"/>
    <w:rsid w:val="006D388E"/>
    <w:rsid w:val="006D40F9"/>
    <w:rsid w:val="006D430F"/>
    <w:rsid w:val="006D50F9"/>
    <w:rsid w:val="006D5F45"/>
    <w:rsid w:val="006D6920"/>
    <w:rsid w:val="006D6C74"/>
    <w:rsid w:val="006D760A"/>
    <w:rsid w:val="006E0700"/>
    <w:rsid w:val="006E096D"/>
    <w:rsid w:val="006E0BA3"/>
    <w:rsid w:val="006E0BE4"/>
    <w:rsid w:val="006E1139"/>
    <w:rsid w:val="006E16C8"/>
    <w:rsid w:val="006E2585"/>
    <w:rsid w:val="006E286B"/>
    <w:rsid w:val="006E3206"/>
    <w:rsid w:val="006E33AA"/>
    <w:rsid w:val="006E3483"/>
    <w:rsid w:val="006E373F"/>
    <w:rsid w:val="006E3CFA"/>
    <w:rsid w:val="006E468E"/>
    <w:rsid w:val="006E4B7E"/>
    <w:rsid w:val="006E5213"/>
    <w:rsid w:val="006E6970"/>
    <w:rsid w:val="006E69AD"/>
    <w:rsid w:val="006E6C13"/>
    <w:rsid w:val="006E703F"/>
    <w:rsid w:val="006E7D93"/>
    <w:rsid w:val="006F02AA"/>
    <w:rsid w:val="006F085D"/>
    <w:rsid w:val="006F0A8B"/>
    <w:rsid w:val="006F0BC2"/>
    <w:rsid w:val="006F0DB9"/>
    <w:rsid w:val="006F1131"/>
    <w:rsid w:val="006F12F1"/>
    <w:rsid w:val="006F13B1"/>
    <w:rsid w:val="006F2CEC"/>
    <w:rsid w:val="006F30A6"/>
    <w:rsid w:val="006F338E"/>
    <w:rsid w:val="006F3605"/>
    <w:rsid w:val="006F4997"/>
    <w:rsid w:val="006F4AF5"/>
    <w:rsid w:val="006F4C3E"/>
    <w:rsid w:val="006F500D"/>
    <w:rsid w:val="006F5409"/>
    <w:rsid w:val="006F5426"/>
    <w:rsid w:val="006F5675"/>
    <w:rsid w:val="006F5BE0"/>
    <w:rsid w:val="006F5EDC"/>
    <w:rsid w:val="006F6AEE"/>
    <w:rsid w:val="006F720E"/>
    <w:rsid w:val="006F74CB"/>
    <w:rsid w:val="007000D1"/>
    <w:rsid w:val="007002F5"/>
    <w:rsid w:val="00700E5D"/>
    <w:rsid w:val="00700EF6"/>
    <w:rsid w:val="0070101F"/>
    <w:rsid w:val="0070266F"/>
    <w:rsid w:val="0070298A"/>
    <w:rsid w:val="00702E2C"/>
    <w:rsid w:val="007035DA"/>
    <w:rsid w:val="00703E45"/>
    <w:rsid w:val="0070416E"/>
    <w:rsid w:val="0070471E"/>
    <w:rsid w:val="00705955"/>
    <w:rsid w:val="00705BE5"/>
    <w:rsid w:val="00705C52"/>
    <w:rsid w:val="00705D84"/>
    <w:rsid w:val="00705F22"/>
    <w:rsid w:val="00707001"/>
    <w:rsid w:val="007071D4"/>
    <w:rsid w:val="00707F93"/>
    <w:rsid w:val="007103E9"/>
    <w:rsid w:val="00710504"/>
    <w:rsid w:val="00711110"/>
    <w:rsid w:val="00711923"/>
    <w:rsid w:val="00711A4D"/>
    <w:rsid w:val="00711FA9"/>
    <w:rsid w:val="00712517"/>
    <w:rsid w:val="0071299E"/>
    <w:rsid w:val="007129E1"/>
    <w:rsid w:val="00712BE5"/>
    <w:rsid w:val="007151EC"/>
    <w:rsid w:val="0071559B"/>
    <w:rsid w:val="00715C50"/>
    <w:rsid w:val="007164EB"/>
    <w:rsid w:val="00717E5D"/>
    <w:rsid w:val="0072041D"/>
    <w:rsid w:val="0072089A"/>
    <w:rsid w:val="007209AB"/>
    <w:rsid w:val="00720A8A"/>
    <w:rsid w:val="00720D86"/>
    <w:rsid w:val="00721519"/>
    <w:rsid w:val="00722830"/>
    <w:rsid w:val="00722BA5"/>
    <w:rsid w:val="00722CC1"/>
    <w:rsid w:val="00723498"/>
    <w:rsid w:val="007244B2"/>
    <w:rsid w:val="0072460B"/>
    <w:rsid w:val="00725978"/>
    <w:rsid w:val="00725BBC"/>
    <w:rsid w:val="00725D49"/>
    <w:rsid w:val="00725F20"/>
    <w:rsid w:val="00726640"/>
    <w:rsid w:val="00727888"/>
    <w:rsid w:val="0073055D"/>
    <w:rsid w:val="00730BA7"/>
    <w:rsid w:val="00730CA1"/>
    <w:rsid w:val="00732032"/>
    <w:rsid w:val="007321AE"/>
    <w:rsid w:val="00732B27"/>
    <w:rsid w:val="00733585"/>
    <w:rsid w:val="007336BA"/>
    <w:rsid w:val="00734943"/>
    <w:rsid w:val="00734944"/>
    <w:rsid w:val="00734C70"/>
    <w:rsid w:val="00734DE7"/>
    <w:rsid w:val="00734FDD"/>
    <w:rsid w:val="00735300"/>
    <w:rsid w:val="007358B5"/>
    <w:rsid w:val="00735A3D"/>
    <w:rsid w:val="0073679E"/>
    <w:rsid w:val="007367D7"/>
    <w:rsid w:val="00737A86"/>
    <w:rsid w:val="00741C13"/>
    <w:rsid w:val="00742099"/>
    <w:rsid w:val="007420A0"/>
    <w:rsid w:val="00743170"/>
    <w:rsid w:val="007440E4"/>
    <w:rsid w:val="0074457A"/>
    <w:rsid w:val="00744B34"/>
    <w:rsid w:val="00744D56"/>
    <w:rsid w:val="00745173"/>
    <w:rsid w:val="00745276"/>
    <w:rsid w:val="007452B2"/>
    <w:rsid w:val="0074565C"/>
    <w:rsid w:val="007457CA"/>
    <w:rsid w:val="00745AB8"/>
    <w:rsid w:val="007465FB"/>
    <w:rsid w:val="007466A4"/>
    <w:rsid w:val="00746AC1"/>
    <w:rsid w:val="00747F33"/>
    <w:rsid w:val="0075010E"/>
    <w:rsid w:val="007509E1"/>
    <w:rsid w:val="00750C6A"/>
    <w:rsid w:val="00750E84"/>
    <w:rsid w:val="00751B64"/>
    <w:rsid w:val="00753020"/>
    <w:rsid w:val="007530AA"/>
    <w:rsid w:val="00753119"/>
    <w:rsid w:val="00753280"/>
    <w:rsid w:val="0075389E"/>
    <w:rsid w:val="00754481"/>
    <w:rsid w:val="00754AAF"/>
    <w:rsid w:val="00754FDD"/>
    <w:rsid w:val="0075540C"/>
    <w:rsid w:val="00755EC0"/>
    <w:rsid w:val="00755F67"/>
    <w:rsid w:val="00757835"/>
    <w:rsid w:val="00757DB2"/>
    <w:rsid w:val="00757F11"/>
    <w:rsid w:val="0076087E"/>
    <w:rsid w:val="00760CBC"/>
    <w:rsid w:val="00760E86"/>
    <w:rsid w:val="00761874"/>
    <w:rsid w:val="00761AB2"/>
    <w:rsid w:val="007632AE"/>
    <w:rsid w:val="007647D0"/>
    <w:rsid w:val="00766A0E"/>
    <w:rsid w:val="00766B4E"/>
    <w:rsid w:val="00767934"/>
    <w:rsid w:val="00767CDF"/>
    <w:rsid w:val="00767D50"/>
    <w:rsid w:val="00770833"/>
    <w:rsid w:val="00770C3D"/>
    <w:rsid w:val="007716EB"/>
    <w:rsid w:val="00772CDC"/>
    <w:rsid w:val="007733B8"/>
    <w:rsid w:val="00774844"/>
    <w:rsid w:val="007753CF"/>
    <w:rsid w:val="007755E3"/>
    <w:rsid w:val="00775C44"/>
    <w:rsid w:val="00775FAE"/>
    <w:rsid w:val="007765E2"/>
    <w:rsid w:val="0077734A"/>
    <w:rsid w:val="0077758E"/>
    <w:rsid w:val="00780752"/>
    <w:rsid w:val="00780B4A"/>
    <w:rsid w:val="00780E62"/>
    <w:rsid w:val="00781637"/>
    <w:rsid w:val="00781C17"/>
    <w:rsid w:val="007823A5"/>
    <w:rsid w:val="00782C29"/>
    <w:rsid w:val="00783632"/>
    <w:rsid w:val="00783655"/>
    <w:rsid w:val="007849C6"/>
    <w:rsid w:val="00784AA4"/>
    <w:rsid w:val="00785161"/>
    <w:rsid w:val="007852E5"/>
    <w:rsid w:val="00785949"/>
    <w:rsid w:val="00785BF4"/>
    <w:rsid w:val="00785F87"/>
    <w:rsid w:val="00786183"/>
    <w:rsid w:val="00786E9E"/>
    <w:rsid w:val="007870F0"/>
    <w:rsid w:val="00787168"/>
    <w:rsid w:val="007901AB"/>
    <w:rsid w:val="007905E9"/>
    <w:rsid w:val="007906D5"/>
    <w:rsid w:val="007911BF"/>
    <w:rsid w:val="00791B80"/>
    <w:rsid w:val="00791D2D"/>
    <w:rsid w:val="00791FB8"/>
    <w:rsid w:val="0079239F"/>
    <w:rsid w:val="007923A6"/>
    <w:rsid w:val="007930A4"/>
    <w:rsid w:val="007939E0"/>
    <w:rsid w:val="00794CA4"/>
    <w:rsid w:val="0079524F"/>
    <w:rsid w:val="007955FB"/>
    <w:rsid w:val="00795673"/>
    <w:rsid w:val="0079680D"/>
    <w:rsid w:val="007977B8"/>
    <w:rsid w:val="007979CD"/>
    <w:rsid w:val="00797D5F"/>
    <w:rsid w:val="00797E5A"/>
    <w:rsid w:val="00797EC1"/>
    <w:rsid w:val="007A0064"/>
    <w:rsid w:val="007A0351"/>
    <w:rsid w:val="007A07C7"/>
    <w:rsid w:val="007A09DF"/>
    <w:rsid w:val="007A1C21"/>
    <w:rsid w:val="007A1E93"/>
    <w:rsid w:val="007A2E57"/>
    <w:rsid w:val="007A3566"/>
    <w:rsid w:val="007A41CD"/>
    <w:rsid w:val="007A49E0"/>
    <w:rsid w:val="007A5ECC"/>
    <w:rsid w:val="007A602E"/>
    <w:rsid w:val="007A6C0B"/>
    <w:rsid w:val="007A709C"/>
    <w:rsid w:val="007A71F2"/>
    <w:rsid w:val="007B0924"/>
    <w:rsid w:val="007B0EB2"/>
    <w:rsid w:val="007B1C55"/>
    <w:rsid w:val="007B2436"/>
    <w:rsid w:val="007B29A7"/>
    <w:rsid w:val="007B2D29"/>
    <w:rsid w:val="007B2E40"/>
    <w:rsid w:val="007B34F2"/>
    <w:rsid w:val="007B6331"/>
    <w:rsid w:val="007B6860"/>
    <w:rsid w:val="007B7A23"/>
    <w:rsid w:val="007B7B39"/>
    <w:rsid w:val="007C10DD"/>
    <w:rsid w:val="007C17D7"/>
    <w:rsid w:val="007C188D"/>
    <w:rsid w:val="007C262E"/>
    <w:rsid w:val="007C37CA"/>
    <w:rsid w:val="007C3AE4"/>
    <w:rsid w:val="007C401D"/>
    <w:rsid w:val="007C4AE9"/>
    <w:rsid w:val="007C5650"/>
    <w:rsid w:val="007C5DF4"/>
    <w:rsid w:val="007C5F75"/>
    <w:rsid w:val="007C6161"/>
    <w:rsid w:val="007C6521"/>
    <w:rsid w:val="007C6BCD"/>
    <w:rsid w:val="007C71D3"/>
    <w:rsid w:val="007C74EB"/>
    <w:rsid w:val="007D00AF"/>
    <w:rsid w:val="007D0D07"/>
    <w:rsid w:val="007D13E4"/>
    <w:rsid w:val="007D1468"/>
    <w:rsid w:val="007D153A"/>
    <w:rsid w:val="007D15A0"/>
    <w:rsid w:val="007D1623"/>
    <w:rsid w:val="007D1A50"/>
    <w:rsid w:val="007D1D52"/>
    <w:rsid w:val="007D48E9"/>
    <w:rsid w:val="007D5451"/>
    <w:rsid w:val="007D5B93"/>
    <w:rsid w:val="007E047B"/>
    <w:rsid w:val="007E137D"/>
    <w:rsid w:val="007E14A5"/>
    <w:rsid w:val="007E261F"/>
    <w:rsid w:val="007E2890"/>
    <w:rsid w:val="007E3547"/>
    <w:rsid w:val="007E3809"/>
    <w:rsid w:val="007E384E"/>
    <w:rsid w:val="007E3B90"/>
    <w:rsid w:val="007E4779"/>
    <w:rsid w:val="007E55EE"/>
    <w:rsid w:val="007E570A"/>
    <w:rsid w:val="007E6088"/>
    <w:rsid w:val="007E67A3"/>
    <w:rsid w:val="007E6E14"/>
    <w:rsid w:val="007E7265"/>
    <w:rsid w:val="007F08C1"/>
    <w:rsid w:val="007F0C47"/>
    <w:rsid w:val="007F107F"/>
    <w:rsid w:val="007F11E1"/>
    <w:rsid w:val="007F21E6"/>
    <w:rsid w:val="007F22B1"/>
    <w:rsid w:val="007F283D"/>
    <w:rsid w:val="007F2C6B"/>
    <w:rsid w:val="007F300D"/>
    <w:rsid w:val="007F320A"/>
    <w:rsid w:val="007F391B"/>
    <w:rsid w:val="007F6538"/>
    <w:rsid w:val="007F6648"/>
    <w:rsid w:val="007F6B3A"/>
    <w:rsid w:val="008007B4"/>
    <w:rsid w:val="00800CCA"/>
    <w:rsid w:val="0080243D"/>
    <w:rsid w:val="00802C20"/>
    <w:rsid w:val="00802EC1"/>
    <w:rsid w:val="00803594"/>
    <w:rsid w:val="00803649"/>
    <w:rsid w:val="00803C2F"/>
    <w:rsid w:val="00804806"/>
    <w:rsid w:val="00804AF8"/>
    <w:rsid w:val="00805EAE"/>
    <w:rsid w:val="00806198"/>
    <w:rsid w:val="0080624F"/>
    <w:rsid w:val="00806A15"/>
    <w:rsid w:val="00807613"/>
    <w:rsid w:val="008076DB"/>
    <w:rsid w:val="00807767"/>
    <w:rsid w:val="0080791A"/>
    <w:rsid w:val="00807BE2"/>
    <w:rsid w:val="00807CA6"/>
    <w:rsid w:val="008107FB"/>
    <w:rsid w:val="00810876"/>
    <w:rsid w:val="008108C0"/>
    <w:rsid w:val="00810AD2"/>
    <w:rsid w:val="00810E1C"/>
    <w:rsid w:val="008116E9"/>
    <w:rsid w:val="008124C0"/>
    <w:rsid w:val="00813EB6"/>
    <w:rsid w:val="00815866"/>
    <w:rsid w:val="00815A6E"/>
    <w:rsid w:val="00815C39"/>
    <w:rsid w:val="00815FD5"/>
    <w:rsid w:val="00816105"/>
    <w:rsid w:val="00816912"/>
    <w:rsid w:val="008172C0"/>
    <w:rsid w:val="00817C9F"/>
    <w:rsid w:val="00817E10"/>
    <w:rsid w:val="00821E36"/>
    <w:rsid w:val="008221EF"/>
    <w:rsid w:val="00822BE4"/>
    <w:rsid w:val="00822FE6"/>
    <w:rsid w:val="0082306B"/>
    <w:rsid w:val="0082524E"/>
    <w:rsid w:val="00826291"/>
    <w:rsid w:val="00827328"/>
    <w:rsid w:val="00827A9C"/>
    <w:rsid w:val="008300EE"/>
    <w:rsid w:val="008304F4"/>
    <w:rsid w:val="00830CA9"/>
    <w:rsid w:val="00831847"/>
    <w:rsid w:val="0083198A"/>
    <w:rsid w:val="00832670"/>
    <w:rsid w:val="00832903"/>
    <w:rsid w:val="00832CEA"/>
    <w:rsid w:val="0083319B"/>
    <w:rsid w:val="00833819"/>
    <w:rsid w:val="00834CC3"/>
    <w:rsid w:val="00834FAF"/>
    <w:rsid w:val="008351DE"/>
    <w:rsid w:val="008354EA"/>
    <w:rsid w:val="00835DC1"/>
    <w:rsid w:val="00835DE0"/>
    <w:rsid w:val="00835F67"/>
    <w:rsid w:val="00836358"/>
    <w:rsid w:val="00836F31"/>
    <w:rsid w:val="008372A7"/>
    <w:rsid w:val="00837329"/>
    <w:rsid w:val="0083734D"/>
    <w:rsid w:val="0083751F"/>
    <w:rsid w:val="0083793C"/>
    <w:rsid w:val="00840ABE"/>
    <w:rsid w:val="00841085"/>
    <w:rsid w:val="00841407"/>
    <w:rsid w:val="008417D6"/>
    <w:rsid w:val="00841BFA"/>
    <w:rsid w:val="00841F36"/>
    <w:rsid w:val="00842260"/>
    <w:rsid w:val="00842368"/>
    <w:rsid w:val="00842CD0"/>
    <w:rsid w:val="00843573"/>
    <w:rsid w:val="0084430B"/>
    <w:rsid w:val="008453B8"/>
    <w:rsid w:val="0084586B"/>
    <w:rsid w:val="008458BE"/>
    <w:rsid w:val="00845FD2"/>
    <w:rsid w:val="00846B07"/>
    <w:rsid w:val="008479C1"/>
    <w:rsid w:val="00847B4E"/>
    <w:rsid w:val="00847B7B"/>
    <w:rsid w:val="00847D0C"/>
    <w:rsid w:val="00850A0B"/>
    <w:rsid w:val="00850DF0"/>
    <w:rsid w:val="0085123F"/>
    <w:rsid w:val="008519FE"/>
    <w:rsid w:val="00851BCD"/>
    <w:rsid w:val="008525DB"/>
    <w:rsid w:val="00852CE0"/>
    <w:rsid w:val="008533EC"/>
    <w:rsid w:val="00853BCE"/>
    <w:rsid w:val="008545D0"/>
    <w:rsid w:val="00854E6A"/>
    <w:rsid w:val="008552DB"/>
    <w:rsid w:val="008553DC"/>
    <w:rsid w:val="00855A08"/>
    <w:rsid w:val="00855A8A"/>
    <w:rsid w:val="008563E8"/>
    <w:rsid w:val="00857098"/>
    <w:rsid w:val="00857107"/>
    <w:rsid w:val="00860607"/>
    <w:rsid w:val="00860665"/>
    <w:rsid w:val="00861B70"/>
    <w:rsid w:val="00861CA9"/>
    <w:rsid w:val="008623B8"/>
    <w:rsid w:val="00862A58"/>
    <w:rsid w:val="00862D2D"/>
    <w:rsid w:val="00863127"/>
    <w:rsid w:val="00863323"/>
    <w:rsid w:val="00864378"/>
    <w:rsid w:val="0086481F"/>
    <w:rsid w:val="00864C4D"/>
    <w:rsid w:val="0086535B"/>
    <w:rsid w:val="00865829"/>
    <w:rsid w:val="00865992"/>
    <w:rsid w:val="00865C4F"/>
    <w:rsid w:val="008663A5"/>
    <w:rsid w:val="00866711"/>
    <w:rsid w:val="00866C48"/>
    <w:rsid w:val="00866FA7"/>
    <w:rsid w:val="008675C2"/>
    <w:rsid w:val="00871740"/>
    <w:rsid w:val="00871C9B"/>
    <w:rsid w:val="00871DFB"/>
    <w:rsid w:val="00872286"/>
    <w:rsid w:val="00872E0D"/>
    <w:rsid w:val="00872FCF"/>
    <w:rsid w:val="008732AE"/>
    <w:rsid w:val="00873B52"/>
    <w:rsid w:val="00873B81"/>
    <w:rsid w:val="00873C8B"/>
    <w:rsid w:val="0087404F"/>
    <w:rsid w:val="008740D6"/>
    <w:rsid w:val="00874C99"/>
    <w:rsid w:val="00875F21"/>
    <w:rsid w:val="0087716D"/>
    <w:rsid w:val="00877A8B"/>
    <w:rsid w:val="00877F83"/>
    <w:rsid w:val="008804AF"/>
    <w:rsid w:val="00880F19"/>
    <w:rsid w:val="008820A0"/>
    <w:rsid w:val="00882255"/>
    <w:rsid w:val="008837D2"/>
    <w:rsid w:val="008837FF"/>
    <w:rsid w:val="008846EC"/>
    <w:rsid w:val="00884C7D"/>
    <w:rsid w:val="0088500B"/>
    <w:rsid w:val="008858C0"/>
    <w:rsid w:val="00885E7A"/>
    <w:rsid w:val="00885FB0"/>
    <w:rsid w:val="0088623D"/>
    <w:rsid w:val="00887076"/>
    <w:rsid w:val="00887167"/>
    <w:rsid w:val="008872DB"/>
    <w:rsid w:val="00887997"/>
    <w:rsid w:val="008901A9"/>
    <w:rsid w:val="00890427"/>
    <w:rsid w:val="00890F99"/>
    <w:rsid w:val="00891097"/>
    <w:rsid w:val="0089129D"/>
    <w:rsid w:val="0089152E"/>
    <w:rsid w:val="008919ED"/>
    <w:rsid w:val="008920BB"/>
    <w:rsid w:val="0089216C"/>
    <w:rsid w:val="00892215"/>
    <w:rsid w:val="0089221E"/>
    <w:rsid w:val="0089235C"/>
    <w:rsid w:val="00893343"/>
    <w:rsid w:val="00893CF1"/>
    <w:rsid w:val="0089414B"/>
    <w:rsid w:val="00894D8E"/>
    <w:rsid w:val="00894FC2"/>
    <w:rsid w:val="00895413"/>
    <w:rsid w:val="00895426"/>
    <w:rsid w:val="008A019A"/>
    <w:rsid w:val="008A046A"/>
    <w:rsid w:val="008A0DC1"/>
    <w:rsid w:val="008A183E"/>
    <w:rsid w:val="008A1DB9"/>
    <w:rsid w:val="008A1FAB"/>
    <w:rsid w:val="008A272A"/>
    <w:rsid w:val="008A37D4"/>
    <w:rsid w:val="008A3E79"/>
    <w:rsid w:val="008A407D"/>
    <w:rsid w:val="008A4DF6"/>
    <w:rsid w:val="008A59FF"/>
    <w:rsid w:val="008A6750"/>
    <w:rsid w:val="008A68D7"/>
    <w:rsid w:val="008A79C6"/>
    <w:rsid w:val="008A7E82"/>
    <w:rsid w:val="008B0C5C"/>
    <w:rsid w:val="008B2F5B"/>
    <w:rsid w:val="008B310E"/>
    <w:rsid w:val="008B3804"/>
    <w:rsid w:val="008B3A78"/>
    <w:rsid w:val="008B409C"/>
    <w:rsid w:val="008B4318"/>
    <w:rsid w:val="008B45AB"/>
    <w:rsid w:val="008B626D"/>
    <w:rsid w:val="008B63A6"/>
    <w:rsid w:val="008B6635"/>
    <w:rsid w:val="008B675C"/>
    <w:rsid w:val="008B6F0D"/>
    <w:rsid w:val="008B6FE8"/>
    <w:rsid w:val="008B75FC"/>
    <w:rsid w:val="008B79F5"/>
    <w:rsid w:val="008B7B36"/>
    <w:rsid w:val="008C133A"/>
    <w:rsid w:val="008C15AE"/>
    <w:rsid w:val="008C18EF"/>
    <w:rsid w:val="008C1E3A"/>
    <w:rsid w:val="008C1E74"/>
    <w:rsid w:val="008C2128"/>
    <w:rsid w:val="008C243A"/>
    <w:rsid w:val="008C250E"/>
    <w:rsid w:val="008C29AB"/>
    <w:rsid w:val="008C2ACF"/>
    <w:rsid w:val="008C2C96"/>
    <w:rsid w:val="008C593A"/>
    <w:rsid w:val="008C5AF9"/>
    <w:rsid w:val="008C6016"/>
    <w:rsid w:val="008C68E5"/>
    <w:rsid w:val="008C6A1D"/>
    <w:rsid w:val="008C7346"/>
    <w:rsid w:val="008C7436"/>
    <w:rsid w:val="008C7D04"/>
    <w:rsid w:val="008D0111"/>
    <w:rsid w:val="008D0313"/>
    <w:rsid w:val="008D05F0"/>
    <w:rsid w:val="008D0757"/>
    <w:rsid w:val="008D0984"/>
    <w:rsid w:val="008D1D73"/>
    <w:rsid w:val="008D2FCA"/>
    <w:rsid w:val="008D3578"/>
    <w:rsid w:val="008D3894"/>
    <w:rsid w:val="008D459A"/>
    <w:rsid w:val="008D4941"/>
    <w:rsid w:val="008D5292"/>
    <w:rsid w:val="008D6803"/>
    <w:rsid w:val="008D714D"/>
    <w:rsid w:val="008D75D8"/>
    <w:rsid w:val="008D7768"/>
    <w:rsid w:val="008D77EB"/>
    <w:rsid w:val="008D7CB4"/>
    <w:rsid w:val="008E0038"/>
    <w:rsid w:val="008E0747"/>
    <w:rsid w:val="008E08A1"/>
    <w:rsid w:val="008E0C98"/>
    <w:rsid w:val="008E14EA"/>
    <w:rsid w:val="008E1522"/>
    <w:rsid w:val="008E1D73"/>
    <w:rsid w:val="008E1E82"/>
    <w:rsid w:val="008E25B9"/>
    <w:rsid w:val="008E28C9"/>
    <w:rsid w:val="008E3208"/>
    <w:rsid w:val="008E3A4D"/>
    <w:rsid w:val="008E40D7"/>
    <w:rsid w:val="008E41E2"/>
    <w:rsid w:val="008E4909"/>
    <w:rsid w:val="008E4DEB"/>
    <w:rsid w:val="008E53A5"/>
    <w:rsid w:val="008E56B7"/>
    <w:rsid w:val="008E5917"/>
    <w:rsid w:val="008E6FDE"/>
    <w:rsid w:val="008E7241"/>
    <w:rsid w:val="008E726B"/>
    <w:rsid w:val="008F024D"/>
    <w:rsid w:val="008F0ABE"/>
    <w:rsid w:val="008F0B3B"/>
    <w:rsid w:val="008F106B"/>
    <w:rsid w:val="008F13DE"/>
    <w:rsid w:val="008F1B8A"/>
    <w:rsid w:val="008F1C67"/>
    <w:rsid w:val="008F2FA9"/>
    <w:rsid w:val="008F3164"/>
    <w:rsid w:val="008F31C0"/>
    <w:rsid w:val="008F3607"/>
    <w:rsid w:val="008F47B0"/>
    <w:rsid w:val="008F494B"/>
    <w:rsid w:val="008F4F1B"/>
    <w:rsid w:val="008F6000"/>
    <w:rsid w:val="008F620F"/>
    <w:rsid w:val="008F6675"/>
    <w:rsid w:val="008F6BEB"/>
    <w:rsid w:val="00900500"/>
    <w:rsid w:val="00901202"/>
    <w:rsid w:val="00901672"/>
    <w:rsid w:val="00901BA9"/>
    <w:rsid w:val="009028C6"/>
    <w:rsid w:val="00902A7D"/>
    <w:rsid w:val="009033DD"/>
    <w:rsid w:val="009037D8"/>
    <w:rsid w:val="00904375"/>
    <w:rsid w:val="00904A0A"/>
    <w:rsid w:val="00904A25"/>
    <w:rsid w:val="00905391"/>
    <w:rsid w:val="00905560"/>
    <w:rsid w:val="0090584F"/>
    <w:rsid w:val="009066FF"/>
    <w:rsid w:val="00906D92"/>
    <w:rsid w:val="00907549"/>
    <w:rsid w:val="00907580"/>
    <w:rsid w:val="00907B1E"/>
    <w:rsid w:val="00910683"/>
    <w:rsid w:val="00910B15"/>
    <w:rsid w:val="00911209"/>
    <w:rsid w:val="0091143E"/>
    <w:rsid w:val="00911D99"/>
    <w:rsid w:val="009124ED"/>
    <w:rsid w:val="00912B69"/>
    <w:rsid w:val="00915416"/>
    <w:rsid w:val="0091584A"/>
    <w:rsid w:val="0091645A"/>
    <w:rsid w:val="009164AC"/>
    <w:rsid w:val="00916E2E"/>
    <w:rsid w:val="00916E87"/>
    <w:rsid w:val="00917678"/>
    <w:rsid w:val="00921C55"/>
    <w:rsid w:val="00921D85"/>
    <w:rsid w:val="00923C0A"/>
    <w:rsid w:val="00923EFB"/>
    <w:rsid w:val="00924146"/>
    <w:rsid w:val="00924450"/>
    <w:rsid w:val="0092446C"/>
    <w:rsid w:val="00924C73"/>
    <w:rsid w:val="00925043"/>
    <w:rsid w:val="009263A8"/>
    <w:rsid w:val="00926600"/>
    <w:rsid w:val="00926BDD"/>
    <w:rsid w:val="00926D13"/>
    <w:rsid w:val="00927693"/>
    <w:rsid w:val="009278EF"/>
    <w:rsid w:val="00927A9D"/>
    <w:rsid w:val="00927FD4"/>
    <w:rsid w:val="00931CFF"/>
    <w:rsid w:val="009326FD"/>
    <w:rsid w:val="00932949"/>
    <w:rsid w:val="009338C9"/>
    <w:rsid w:val="00933B11"/>
    <w:rsid w:val="00933D7D"/>
    <w:rsid w:val="00933D8D"/>
    <w:rsid w:val="0093515C"/>
    <w:rsid w:val="00936CB8"/>
    <w:rsid w:val="009377C4"/>
    <w:rsid w:val="00937DF7"/>
    <w:rsid w:val="00937F2E"/>
    <w:rsid w:val="0094057A"/>
    <w:rsid w:val="00940B46"/>
    <w:rsid w:val="00940BC0"/>
    <w:rsid w:val="00940BD1"/>
    <w:rsid w:val="0094137E"/>
    <w:rsid w:val="00941F0F"/>
    <w:rsid w:val="0094425A"/>
    <w:rsid w:val="009445C8"/>
    <w:rsid w:val="009447E3"/>
    <w:rsid w:val="009456B3"/>
    <w:rsid w:val="00945D5D"/>
    <w:rsid w:val="00946073"/>
    <w:rsid w:val="009465C7"/>
    <w:rsid w:val="009467F1"/>
    <w:rsid w:val="00946ED3"/>
    <w:rsid w:val="00946F2A"/>
    <w:rsid w:val="00946F65"/>
    <w:rsid w:val="00947245"/>
    <w:rsid w:val="0094797F"/>
    <w:rsid w:val="00947F59"/>
    <w:rsid w:val="00950021"/>
    <w:rsid w:val="00950F46"/>
    <w:rsid w:val="00951565"/>
    <w:rsid w:val="00951D63"/>
    <w:rsid w:val="00951E09"/>
    <w:rsid w:val="00952CD8"/>
    <w:rsid w:val="00952CE8"/>
    <w:rsid w:val="00953214"/>
    <w:rsid w:val="00953F4C"/>
    <w:rsid w:val="009543F4"/>
    <w:rsid w:val="0095476B"/>
    <w:rsid w:val="0095507F"/>
    <w:rsid w:val="00955442"/>
    <w:rsid w:val="00955A8F"/>
    <w:rsid w:val="00956F60"/>
    <w:rsid w:val="0095724F"/>
    <w:rsid w:val="0095727A"/>
    <w:rsid w:val="0095741D"/>
    <w:rsid w:val="00957918"/>
    <w:rsid w:val="009579E8"/>
    <w:rsid w:val="00957AAC"/>
    <w:rsid w:val="00957B1F"/>
    <w:rsid w:val="00960096"/>
    <w:rsid w:val="0096150E"/>
    <w:rsid w:val="00961917"/>
    <w:rsid w:val="00961F27"/>
    <w:rsid w:val="00961FF4"/>
    <w:rsid w:val="0096256C"/>
    <w:rsid w:val="009626BB"/>
    <w:rsid w:val="0096286A"/>
    <w:rsid w:val="009629EA"/>
    <w:rsid w:val="00963363"/>
    <w:rsid w:val="00963842"/>
    <w:rsid w:val="00963ACA"/>
    <w:rsid w:val="009641B2"/>
    <w:rsid w:val="009644AF"/>
    <w:rsid w:val="00965569"/>
    <w:rsid w:val="009709D7"/>
    <w:rsid w:val="009711D8"/>
    <w:rsid w:val="00971724"/>
    <w:rsid w:val="00971815"/>
    <w:rsid w:val="009719C0"/>
    <w:rsid w:val="00971A21"/>
    <w:rsid w:val="00972A3E"/>
    <w:rsid w:val="009738D2"/>
    <w:rsid w:val="00973B3E"/>
    <w:rsid w:val="00974110"/>
    <w:rsid w:val="009746B6"/>
    <w:rsid w:val="00974DF7"/>
    <w:rsid w:val="00975A8C"/>
    <w:rsid w:val="00975BEB"/>
    <w:rsid w:val="00977D85"/>
    <w:rsid w:val="00977E78"/>
    <w:rsid w:val="009801E7"/>
    <w:rsid w:val="00980459"/>
    <w:rsid w:val="009805C6"/>
    <w:rsid w:val="00981293"/>
    <w:rsid w:val="009815D0"/>
    <w:rsid w:val="00981A18"/>
    <w:rsid w:val="009829E6"/>
    <w:rsid w:val="00982F32"/>
    <w:rsid w:val="009832CB"/>
    <w:rsid w:val="0098451E"/>
    <w:rsid w:val="00984A93"/>
    <w:rsid w:val="0098503B"/>
    <w:rsid w:val="00985413"/>
    <w:rsid w:val="00985838"/>
    <w:rsid w:val="00986B7F"/>
    <w:rsid w:val="00986C52"/>
    <w:rsid w:val="00987F49"/>
    <w:rsid w:val="0099000A"/>
    <w:rsid w:val="00990091"/>
    <w:rsid w:val="00990A19"/>
    <w:rsid w:val="00990F79"/>
    <w:rsid w:val="00990F9B"/>
    <w:rsid w:val="009914E6"/>
    <w:rsid w:val="00991861"/>
    <w:rsid w:val="009919E4"/>
    <w:rsid w:val="00991C96"/>
    <w:rsid w:val="00992672"/>
    <w:rsid w:val="0099318A"/>
    <w:rsid w:val="00993470"/>
    <w:rsid w:val="009945D8"/>
    <w:rsid w:val="00995BDD"/>
    <w:rsid w:val="00996440"/>
    <w:rsid w:val="00996DC2"/>
    <w:rsid w:val="00996FFD"/>
    <w:rsid w:val="009975E4"/>
    <w:rsid w:val="0099777D"/>
    <w:rsid w:val="00997BA9"/>
    <w:rsid w:val="009A0104"/>
    <w:rsid w:val="009A19B0"/>
    <w:rsid w:val="009A2250"/>
    <w:rsid w:val="009A2730"/>
    <w:rsid w:val="009A287E"/>
    <w:rsid w:val="009A2E95"/>
    <w:rsid w:val="009A323B"/>
    <w:rsid w:val="009A34C2"/>
    <w:rsid w:val="009A3E34"/>
    <w:rsid w:val="009A5716"/>
    <w:rsid w:val="009A5A63"/>
    <w:rsid w:val="009A6427"/>
    <w:rsid w:val="009A6E1E"/>
    <w:rsid w:val="009A73B1"/>
    <w:rsid w:val="009A7870"/>
    <w:rsid w:val="009A7AF7"/>
    <w:rsid w:val="009A7AFF"/>
    <w:rsid w:val="009B1171"/>
    <w:rsid w:val="009B12E2"/>
    <w:rsid w:val="009B15FC"/>
    <w:rsid w:val="009B17A8"/>
    <w:rsid w:val="009B2302"/>
    <w:rsid w:val="009B23FF"/>
    <w:rsid w:val="009B3167"/>
    <w:rsid w:val="009B34BA"/>
    <w:rsid w:val="009B3AF7"/>
    <w:rsid w:val="009B3F33"/>
    <w:rsid w:val="009B46CF"/>
    <w:rsid w:val="009B488D"/>
    <w:rsid w:val="009B48A9"/>
    <w:rsid w:val="009B4DD9"/>
    <w:rsid w:val="009B4E07"/>
    <w:rsid w:val="009B5615"/>
    <w:rsid w:val="009B60B7"/>
    <w:rsid w:val="009B631A"/>
    <w:rsid w:val="009B63CC"/>
    <w:rsid w:val="009B6A46"/>
    <w:rsid w:val="009C0BF1"/>
    <w:rsid w:val="009C11B3"/>
    <w:rsid w:val="009C2780"/>
    <w:rsid w:val="009C2C6F"/>
    <w:rsid w:val="009C3017"/>
    <w:rsid w:val="009C31B4"/>
    <w:rsid w:val="009C39EA"/>
    <w:rsid w:val="009C41EF"/>
    <w:rsid w:val="009C4248"/>
    <w:rsid w:val="009C5433"/>
    <w:rsid w:val="009C56C1"/>
    <w:rsid w:val="009C68F3"/>
    <w:rsid w:val="009C70B2"/>
    <w:rsid w:val="009D17B6"/>
    <w:rsid w:val="009D1903"/>
    <w:rsid w:val="009D1BF6"/>
    <w:rsid w:val="009D20D7"/>
    <w:rsid w:val="009D23FE"/>
    <w:rsid w:val="009D2E7A"/>
    <w:rsid w:val="009D388F"/>
    <w:rsid w:val="009D4561"/>
    <w:rsid w:val="009D4EAA"/>
    <w:rsid w:val="009D5166"/>
    <w:rsid w:val="009D5371"/>
    <w:rsid w:val="009D5736"/>
    <w:rsid w:val="009D5988"/>
    <w:rsid w:val="009D5E08"/>
    <w:rsid w:val="009D5E8C"/>
    <w:rsid w:val="009D5ECE"/>
    <w:rsid w:val="009D5FA9"/>
    <w:rsid w:val="009D64A1"/>
    <w:rsid w:val="009D6D9C"/>
    <w:rsid w:val="009D6F73"/>
    <w:rsid w:val="009D7931"/>
    <w:rsid w:val="009D7B15"/>
    <w:rsid w:val="009E03BF"/>
    <w:rsid w:val="009E03FE"/>
    <w:rsid w:val="009E0539"/>
    <w:rsid w:val="009E0FCA"/>
    <w:rsid w:val="009E1473"/>
    <w:rsid w:val="009E153C"/>
    <w:rsid w:val="009E1A13"/>
    <w:rsid w:val="009E2690"/>
    <w:rsid w:val="009E27B7"/>
    <w:rsid w:val="009E2988"/>
    <w:rsid w:val="009E4212"/>
    <w:rsid w:val="009E5DEF"/>
    <w:rsid w:val="009E7261"/>
    <w:rsid w:val="009F0C9E"/>
    <w:rsid w:val="009F157D"/>
    <w:rsid w:val="009F2A60"/>
    <w:rsid w:val="009F2E78"/>
    <w:rsid w:val="009F31EE"/>
    <w:rsid w:val="009F31F3"/>
    <w:rsid w:val="009F33CE"/>
    <w:rsid w:val="009F3E43"/>
    <w:rsid w:val="009F4360"/>
    <w:rsid w:val="009F4387"/>
    <w:rsid w:val="009F5DB8"/>
    <w:rsid w:val="009F645B"/>
    <w:rsid w:val="009F6BD6"/>
    <w:rsid w:val="009F73AA"/>
    <w:rsid w:val="00A0023F"/>
    <w:rsid w:val="00A00847"/>
    <w:rsid w:val="00A00E80"/>
    <w:rsid w:val="00A01D71"/>
    <w:rsid w:val="00A02296"/>
    <w:rsid w:val="00A02889"/>
    <w:rsid w:val="00A03CB9"/>
    <w:rsid w:val="00A03DF4"/>
    <w:rsid w:val="00A040EF"/>
    <w:rsid w:val="00A04309"/>
    <w:rsid w:val="00A0447F"/>
    <w:rsid w:val="00A044D8"/>
    <w:rsid w:val="00A04680"/>
    <w:rsid w:val="00A04F81"/>
    <w:rsid w:val="00A05E7A"/>
    <w:rsid w:val="00A063C6"/>
    <w:rsid w:val="00A06FC7"/>
    <w:rsid w:val="00A07107"/>
    <w:rsid w:val="00A07B99"/>
    <w:rsid w:val="00A10340"/>
    <w:rsid w:val="00A11222"/>
    <w:rsid w:val="00A118EC"/>
    <w:rsid w:val="00A11DA8"/>
    <w:rsid w:val="00A1212A"/>
    <w:rsid w:val="00A12468"/>
    <w:rsid w:val="00A12928"/>
    <w:rsid w:val="00A12EEA"/>
    <w:rsid w:val="00A135F9"/>
    <w:rsid w:val="00A1390A"/>
    <w:rsid w:val="00A155D9"/>
    <w:rsid w:val="00A15D23"/>
    <w:rsid w:val="00A16071"/>
    <w:rsid w:val="00A1720F"/>
    <w:rsid w:val="00A173CD"/>
    <w:rsid w:val="00A20E77"/>
    <w:rsid w:val="00A216A1"/>
    <w:rsid w:val="00A21772"/>
    <w:rsid w:val="00A21897"/>
    <w:rsid w:val="00A22118"/>
    <w:rsid w:val="00A22679"/>
    <w:rsid w:val="00A22783"/>
    <w:rsid w:val="00A24745"/>
    <w:rsid w:val="00A25A48"/>
    <w:rsid w:val="00A2626A"/>
    <w:rsid w:val="00A26366"/>
    <w:rsid w:val="00A278A2"/>
    <w:rsid w:val="00A27D6C"/>
    <w:rsid w:val="00A30508"/>
    <w:rsid w:val="00A30B57"/>
    <w:rsid w:val="00A30EF6"/>
    <w:rsid w:val="00A316AC"/>
    <w:rsid w:val="00A31B36"/>
    <w:rsid w:val="00A325A0"/>
    <w:rsid w:val="00A32CA2"/>
    <w:rsid w:val="00A32D73"/>
    <w:rsid w:val="00A331A4"/>
    <w:rsid w:val="00A333AB"/>
    <w:rsid w:val="00A33C42"/>
    <w:rsid w:val="00A33D0A"/>
    <w:rsid w:val="00A34D04"/>
    <w:rsid w:val="00A3512D"/>
    <w:rsid w:val="00A3536C"/>
    <w:rsid w:val="00A37435"/>
    <w:rsid w:val="00A378FA"/>
    <w:rsid w:val="00A40FA4"/>
    <w:rsid w:val="00A410B3"/>
    <w:rsid w:val="00A41586"/>
    <w:rsid w:val="00A41CF3"/>
    <w:rsid w:val="00A42230"/>
    <w:rsid w:val="00A4224E"/>
    <w:rsid w:val="00A43BDE"/>
    <w:rsid w:val="00A44647"/>
    <w:rsid w:val="00A44BE6"/>
    <w:rsid w:val="00A45AF5"/>
    <w:rsid w:val="00A47891"/>
    <w:rsid w:val="00A478F8"/>
    <w:rsid w:val="00A47C8B"/>
    <w:rsid w:val="00A47CFE"/>
    <w:rsid w:val="00A47E2B"/>
    <w:rsid w:val="00A501E8"/>
    <w:rsid w:val="00A504A6"/>
    <w:rsid w:val="00A509D0"/>
    <w:rsid w:val="00A50A19"/>
    <w:rsid w:val="00A50B43"/>
    <w:rsid w:val="00A519B7"/>
    <w:rsid w:val="00A519EB"/>
    <w:rsid w:val="00A51E1C"/>
    <w:rsid w:val="00A522B2"/>
    <w:rsid w:val="00A5238F"/>
    <w:rsid w:val="00A5483B"/>
    <w:rsid w:val="00A54AB2"/>
    <w:rsid w:val="00A54BAE"/>
    <w:rsid w:val="00A54D75"/>
    <w:rsid w:val="00A55147"/>
    <w:rsid w:val="00A5541A"/>
    <w:rsid w:val="00A55EDE"/>
    <w:rsid w:val="00A5794D"/>
    <w:rsid w:val="00A6023E"/>
    <w:rsid w:val="00A60CDC"/>
    <w:rsid w:val="00A62226"/>
    <w:rsid w:val="00A6268C"/>
    <w:rsid w:val="00A62692"/>
    <w:rsid w:val="00A62B55"/>
    <w:rsid w:val="00A63EE1"/>
    <w:rsid w:val="00A642B5"/>
    <w:rsid w:val="00A647EF"/>
    <w:rsid w:val="00A65285"/>
    <w:rsid w:val="00A65ED8"/>
    <w:rsid w:val="00A702D4"/>
    <w:rsid w:val="00A7207D"/>
    <w:rsid w:val="00A7226E"/>
    <w:rsid w:val="00A73C77"/>
    <w:rsid w:val="00A745BF"/>
    <w:rsid w:val="00A75354"/>
    <w:rsid w:val="00A75C19"/>
    <w:rsid w:val="00A7627D"/>
    <w:rsid w:val="00A76F51"/>
    <w:rsid w:val="00A77B55"/>
    <w:rsid w:val="00A77EB5"/>
    <w:rsid w:val="00A80706"/>
    <w:rsid w:val="00A80BA5"/>
    <w:rsid w:val="00A80F16"/>
    <w:rsid w:val="00A82004"/>
    <w:rsid w:val="00A82F4E"/>
    <w:rsid w:val="00A82F7D"/>
    <w:rsid w:val="00A83668"/>
    <w:rsid w:val="00A8394D"/>
    <w:rsid w:val="00A8465A"/>
    <w:rsid w:val="00A8506A"/>
    <w:rsid w:val="00A8539A"/>
    <w:rsid w:val="00A853E9"/>
    <w:rsid w:val="00A8564B"/>
    <w:rsid w:val="00A87002"/>
    <w:rsid w:val="00A87105"/>
    <w:rsid w:val="00A8717A"/>
    <w:rsid w:val="00A87558"/>
    <w:rsid w:val="00A906FD"/>
    <w:rsid w:val="00A9122B"/>
    <w:rsid w:val="00A91658"/>
    <w:rsid w:val="00A918BF"/>
    <w:rsid w:val="00A91DAA"/>
    <w:rsid w:val="00A91E9C"/>
    <w:rsid w:val="00A9269E"/>
    <w:rsid w:val="00A9290E"/>
    <w:rsid w:val="00A938F7"/>
    <w:rsid w:val="00A93979"/>
    <w:rsid w:val="00A93F61"/>
    <w:rsid w:val="00A94834"/>
    <w:rsid w:val="00A9499B"/>
    <w:rsid w:val="00A9519A"/>
    <w:rsid w:val="00A9573E"/>
    <w:rsid w:val="00A95DBC"/>
    <w:rsid w:val="00A95EC2"/>
    <w:rsid w:val="00A97CC7"/>
    <w:rsid w:val="00AA06A1"/>
    <w:rsid w:val="00AA0A63"/>
    <w:rsid w:val="00AA0E32"/>
    <w:rsid w:val="00AA119A"/>
    <w:rsid w:val="00AA14A4"/>
    <w:rsid w:val="00AA221E"/>
    <w:rsid w:val="00AA297D"/>
    <w:rsid w:val="00AA2EF9"/>
    <w:rsid w:val="00AA316C"/>
    <w:rsid w:val="00AA387D"/>
    <w:rsid w:val="00AA3884"/>
    <w:rsid w:val="00AA4193"/>
    <w:rsid w:val="00AA4FD7"/>
    <w:rsid w:val="00AA55F8"/>
    <w:rsid w:val="00AA56D7"/>
    <w:rsid w:val="00AA60E6"/>
    <w:rsid w:val="00AA6201"/>
    <w:rsid w:val="00AA7578"/>
    <w:rsid w:val="00AA7D7C"/>
    <w:rsid w:val="00AB04EA"/>
    <w:rsid w:val="00AB0920"/>
    <w:rsid w:val="00AB0E95"/>
    <w:rsid w:val="00AB0FB0"/>
    <w:rsid w:val="00AB1894"/>
    <w:rsid w:val="00AB26DE"/>
    <w:rsid w:val="00AB462D"/>
    <w:rsid w:val="00AB4895"/>
    <w:rsid w:val="00AB4A5E"/>
    <w:rsid w:val="00AB51AD"/>
    <w:rsid w:val="00AB5A86"/>
    <w:rsid w:val="00AB5CD3"/>
    <w:rsid w:val="00AB5D0D"/>
    <w:rsid w:val="00AB6645"/>
    <w:rsid w:val="00AB6B22"/>
    <w:rsid w:val="00AB7DAF"/>
    <w:rsid w:val="00AC0ED5"/>
    <w:rsid w:val="00AC166C"/>
    <w:rsid w:val="00AC1AAE"/>
    <w:rsid w:val="00AC2DF2"/>
    <w:rsid w:val="00AC3B5B"/>
    <w:rsid w:val="00AC40A6"/>
    <w:rsid w:val="00AC44D4"/>
    <w:rsid w:val="00AC4640"/>
    <w:rsid w:val="00AC520F"/>
    <w:rsid w:val="00AC53F9"/>
    <w:rsid w:val="00AC5446"/>
    <w:rsid w:val="00AC5A6D"/>
    <w:rsid w:val="00AC5C28"/>
    <w:rsid w:val="00AC5EE8"/>
    <w:rsid w:val="00AC6169"/>
    <w:rsid w:val="00AC6F3D"/>
    <w:rsid w:val="00AC7306"/>
    <w:rsid w:val="00AC7428"/>
    <w:rsid w:val="00AC7620"/>
    <w:rsid w:val="00AC7E0F"/>
    <w:rsid w:val="00AD0635"/>
    <w:rsid w:val="00AD109C"/>
    <w:rsid w:val="00AD16F8"/>
    <w:rsid w:val="00AD17AC"/>
    <w:rsid w:val="00AD2475"/>
    <w:rsid w:val="00AD29CB"/>
    <w:rsid w:val="00AD312F"/>
    <w:rsid w:val="00AD4099"/>
    <w:rsid w:val="00AD40E5"/>
    <w:rsid w:val="00AD5398"/>
    <w:rsid w:val="00AD5BD0"/>
    <w:rsid w:val="00AD6293"/>
    <w:rsid w:val="00AE1616"/>
    <w:rsid w:val="00AE19C3"/>
    <w:rsid w:val="00AE1C7C"/>
    <w:rsid w:val="00AE1DC3"/>
    <w:rsid w:val="00AE22D6"/>
    <w:rsid w:val="00AE249F"/>
    <w:rsid w:val="00AE2728"/>
    <w:rsid w:val="00AE2A33"/>
    <w:rsid w:val="00AE3389"/>
    <w:rsid w:val="00AE494A"/>
    <w:rsid w:val="00AE4B91"/>
    <w:rsid w:val="00AE4CDB"/>
    <w:rsid w:val="00AE4FEB"/>
    <w:rsid w:val="00AE5807"/>
    <w:rsid w:val="00AE59C4"/>
    <w:rsid w:val="00AE5EF8"/>
    <w:rsid w:val="00AE7C90"/>
    <w:rsid w:val="00AE7E40"/>
    <w:rsid w:val="00AE7F9E"/>
    <w:rsid w:val="00AF048C"/>
    <w:rsid w:val="00AF07E6"/>
    <w:rsid w:val="00AF0DD8"/>
    <w:rsid w:val="00AF193A"/>
    <w:rsid w:val="00AF1C1B"/>
    <w:rsid w:val="00AF1F1D"/>
    <w:rsid w:val="00AF1FE8"/>
    <w:rsid w:val="00AF2472"/>
    <w:rsid w:val="00AF262D"/>
    <w:rsid w:val="00AF3A92"/>
    <w:rsid w:val="00AF3EDC"/>
    <w:rsid w:val="00AF41C0"/>
    <w:rsid w:val="00AF45BC"/>
    <w:rsid w:val="00AF481D"/>
    <w:rsid w:val="00AF4972"/>
    <w:rsid w:val="00AF5357"/>
    <w:rsid w:val="00AF59ED"/>
    <w:rsid w:val="00AF6800"/>
    <w:rsid w:val="00AF7107"/>
    <w:rsid w:val="00AF7A5D"/>
    <w:rsid w:val="00AF7CDA"/>
    <w:rsid w:val="00B00998"/>
    <w:rsid w:val="00B013F2"/>
    <w:rsid w:val="00B014AA"/>
    <w:rsid w:val="00B01D9A"/>
    <w:rsid w:val="00B01DD2"/>
    <w:rsid w:val="00B01EEE"/>
    <w:rsid w:val="00B0340C"/>
    <w:rsid w:val="00B03BD2"/>
    <w:rsid w:val="00B03C6C"/>
    <w:rsid w:val="00B0528C"/>
    <w:rsid w:val="00B05EE9"/>
    <w:rsid w:val="00B07ED5"/>
    <w:rsid w:val="00B10534"/>
    <w:rsid w:val="00B1056E"/>
    <w:rsid w:val="00B11349"/>
    <w:rsid w:val="00B1135A"/>
    <w:rsid w:val="00B11F19"/>
    <w:rsid w:val="00B12528"/>
    <w:rsid w:val="00B12A65"/>
    <w:rsid w:val="00B12B28"/>
    <w:rsid w:val="00B14769"/>
    <w:rsid w:val="00B14CC2"/>
    <w:rsid w:val="00B153D1"/>
    <w:rsid w:val="00B15A85"/>
    <w:rsid w:val="00B16F44"/>
    <w:rsid w:val="00B17C9D"/>
    <w:rsid w:val="00B20EEE"/>
    <w:rsid w:val="00B20FDE"/>
    <w:rsid w:val="00B21980"/>
    <w:rsid w:val="00B21D92"/>
    <w:rsid w:val="00B2217F"/>
    <w:rsid w:val="00B22434"/>
    <w:rsid w:val="00B232FA"/>
    <w:rsid w:val="00B239AB"/>
    <w:rsid w:val="00B23D4C"/>
    <w:rsid w:val="00B24344"/>
    <w:rsid w:val="00B24804"/>
    <w:rsid w:val="00B2481F"/>
    <w:rsid w:val="00B24C81"/>
    <w:rsid w:val="00B25311"/>
    <w:rsid w:val="00B256D1"/>
    <w:rsid w:val="00B25924"/>
    <w:rsid w:val="00B25ABC"/>
    <w:rsid w:val="00B25C92"/>
    <w:rsid w:val="00B25FA6"/>
    <w:rsid w:val="00B2618B"/>
    <w:rsid w:val="00B26772"/>
    <w:rsid w:val="00B3017C"/>
    <w:rsid w:val="00B30656"/>
    <w:rsid w:val="00B306D9"/>
    <w:rsid w:val="00B32939"/>
    <w:rsid w:val="00B339D9"/>
    <w:rsid w:val="00B343B9"/>
    <w:rsid w:val="00B34D63"/>
    <w:rsid w:val="00B35FE0"/>
    <w:rsid w:val="00B36513"/>
    <w:rsid w:val="00B369AB"/>
    <w:rsid w:val="00B37062"/>
    <w:rsid w:val="00B372C4"/>
    <w:rsid w:val="00B4042C"/>
    <w:rsid w:val="00B406B2"/>
    <w:rsid w:val="00B41B1F"/>
    <w:rsid w:val="00B42A84"/>
    <w:rsid w:val="00B440C5"/>
    <w:rsid w:val="00B441B0"/>
    <w:rsid w:val="00B4439A"/>
    <w:rsid w:val="00B44F0E"/>
    <w:rsid w:val="00B44F10"/>
    <w:rsid w:val="00B44F40"/>
    <w:rsid w:val="00B44FB6"/>
    <w:rsid w:val="00B454F3"/>
    <w:rsid w:val="00B458BF"/>
    <w:rsid w:val="00B45FEF"/>
    <w:rsid w:val="00B46997"/>
    <w:rsid w:val="00B46D42"/>
    <w:rsid w:val="00B46F3A"/>
    <w:rsid w:val="00B478C0"/>
    <w:rsid w:val="00B47A03"/>
    <w:rsid w:val="00B50571"/>
    <w:rsid w:val="00B51938"/>
    <w:rsid w:val="00B5282A"/>
    <w:rsid w:val="00B530A6"/>
    <w:rsid w:val="00B55358"/>
    <w:rsid w:val="00B55CEF"/>
    <w:rsid w:val="00B560CA"/>
    <w:rsid w:val="00B5614B"/>
    <w:rsid w:val="00B565EC"/>
    <w:rsid w:val="00B56649"/>
    <w:rsid w:val="00B56A9E"/>
    <w:rsid w:val="00B57065"/>
    <w:rsid w:val="00B57142"/>
    <w:rsid w:val="00B57784"/>
    <w:rsid w:val="00B607A6"/>
    <w:rsid w:val="00B60A73"/>
    <w:rsid w:val="00B60ED4"/>
    <w:rsid w:val="00B61783"/>
    <w:rsid w:val="00B61A4C"/>
    <w:rsid w:val="00B621C2"/>
    <w:rsid w:val="00B63223"/>
    <w:rsid w:val="00B6330A"/>
    <w:rsid w:val="00B6453C"/>
    <w:rsid w:val="00B6466E"/>
    <w:rsid w:val="00B64702"/>
    <w:rsid w:val="00B648ED"/>
    <w:rsid w:val="00B649F9"/>
    <w:rsid w:val="00B654B5"/>
    <w:rsid w:val="00B66470"/>
    <w:rsid w:val="00B6740C"/>
    <w:rsid w:val="00B67CE7"/>
    <w:rsid w:val="00B70DBE"/>
    <w:rsid w:val="00B70E1C"/>
    <w:rsid w:val="00B714BB"/>
    <w:rsid w:val="00B7248E"/>
    <w:rsid w:val="00B72BAD"/>
    <w:rsid w:val="00B73776"/>
    <w:rsid w:val="00B7380E"/>
    <w:rsid w:val="00B738AF"/>
    <w:rsid w:val="00B73972"/>
    <w:rsid w:val="00B754BA"/>
    <w:rsid w:val="00B75A53"/>
    <w:rsid w:val="00B762EC"/>
    <w:rsid w:val="00B765A4"/>
    <w:rsid w:val="00B775A2"/>
    <w:rsid w:val="00B77A5B"/>
    <w:rsid w:val="00B77C81"/>
    <w:rsid w:val="00B77F82"/>
    <w:rsid w:val="00B804DB"/>
    <w:rsid w:val="00B805E3"/>
    <w:rsid w:val="00B809D5"/>
    <w:rsid w:val="00B81A3C"/>
    <w:rsid w:val="00B81AD5"/>
    <w:rsid w:val="00B821B7"/>
    <w:rsid w:val="00B823D8"/>
    <w:rsid w:val="00B83AE3"/>
    <w:rsid w:val="00B83BD4"/>
    <w:rsid w:val="00B8434D"/>
    <w:rsid w:val="00B85264"/>
    <w:rsid w:val="00B8546A"/>
    <w:rsid w:val="00B85B38"/>
    <w:rsid w:val="00B86135"/>
    <w:rsid w:val="00B861CD"/>
    <w:rsid w:val="00B86596"/>
    <w:rsid w:val="00B8686C"/>
    <w:rsid w:val="00B87767"/>
    <w:rsid w:val="00B87E93"/>
    <w:rsid w:val="00B87FFE"/>
    <w:rsid w:val="00B907F9"/>
    <w:rsid w:val="00B90FC5"/>
    <w:rsid w:val="00B91291"/>
    <w:rsid w:val="00B913A3"/>
    <w:rsid w:val="00B91AE0"/>
    <w:rsid w:val="00B92208"/>
    <w:rsid w:val="00B92921"/>
    <w:rsid w:val="00B929F4"/>
    <w:rsid w:val="00B93569"/>
    <w:rsid w:val="00B948F9"/>
    <w:rsid w:val="00B94DF4"/>
    <w:rsid w:val="00B95499"/>
    <w:rsid w:val="00B95C18"/>
    <w:rsid w:val="00B96916"/>
    <w:rsid w:val="00B97FE5"/>
    <w:rsid w:val="00BA0836"/>
    <w:rsid w:val="00BA0B22"/>
    <w:rsid w:val="00BA3D29"/>
    <w:rsid w:val="00BA45AB"/>
    <w:rsid w:val="00BA490D"/>
    <w:rsid w:val="00BA4E7E"/>
    <w:rsid w:val="00BA54E8"/>
    <w:rsid w:val="00BA58CA"/>
    <w:rsid w:val="00BA5C46"/>
    <w:rsid w:val="00BA60F8"/>
    <w:rsid w:val="00BA6811"/>
    <w:rsid w:val="00BA692F"/>
    <w:rsid w:val="00BA780A"/>
    <w:rsid w:val="00BB0C5A"/>
    <w:rsid w:val="00BB108D"/>
    <w:rsid w:val="00BB162A"/>
    <w:rsid w:val="00BB17A7"/>
    <w:rsid w:val="00BB1939"/>
    <w:rsid w:val="00BB205E"/>
    <w:rsid w:val="00BB2639"/>
    <w:rsid w:val="00BB274D"/>
    <w:rsid w:val="00BB2E60"/>
    <w:rsid w:val="00BB315C"/>
    <w:rsid w:val="00BB36B2"/>
    <w:rsid w:val="00BB385A"/>
    <w:rsid w:val="00BB3C84"/>
    <w:rsid w:val="00BB3EDA"/>
    <w:rsid w:val="00BB49D2"/>
    <w:rsid w:val="00BB50C4"/>
    <w:rsid w:val="00BB5CCC"/>
    <w:rsid w:val="00BB7954"/>
    <w:rsid w:val="00BC009D"/>
    <w:rsid w:val="00BC04F2"/>
    <w:rsid w:val="00BC1211"/>
    <w:rsid w:val="00BC1902"/>
    <w:rsid w:val="00BC1B9A"/>
    <w:rsid w:val="00BC1DBB"/>
    <w:rsid w:val="00BC2713"/>
    <w:rsid w:val="00BC3242"/>
    <w:rsid w:val="00BC3F94"/>
    <w:rsid w:val="00BC426C"/>
    <w:rsid w:val="00BC46CD"/>
    <w:rsid w:val="00BC4FE7"/>
    <w:rsid w:val="00BC581D"/>
    <w:rsid w:val="00BC5B27"/>
    <w:rsid w:val="00BC63C8"/>
    <w:rsid w:val="00BC69EA"/>
    <w:rsid w:val="00BC727F"/>
    <w:rsid w:val="00BC7E22"/>
    <w:rsid w:val="00BD0163"/>
    <w:rsid w:val="00BD01DE"/>
    <w:rsid w:val="00BD090B"/>
    <w:rsid w:val="00BD0BB0"/>
    <w:rsid w:val="00BD0BE5"/>
    <w:rsid w:val="00BD119A"/>
    <w:rsid w:val="00BD11C5"/>
    <w:rsid w:val="00BD131B"/>
    <w:rsid w:val="00BD2672"/>
    <w:rsid w:val="00BD2F89"/>
    <w:rsid w:val="00BD4581"/>
    <w:rsid w:val="00BD521C"/>
    <w:rsid w:val="00BD5C3D"/>
    <w:rsid w:val="00BD5DF1"/>
    <w:rsid w:val="00BD6A52"/>
    <w:rsid w:val="00BD6D0E"/>
    <w:rsid w:val="00BD718F"/>
    <w:rsid w:val="00BE007E"/>
    <w:rsid w:val="00BE02C9"/>
    <w:rsid w:val="00BE0C59"/>
    <w:rsid w:val="00BE0F2D"/>
    <w:rsid w:val="00BE184A"/>
    <w:rsid w:val="00BE1DEB"/>
    <w:rsid w:val="00BE26E0"/>
    <w:rsid w:val="00BE27BE"/>
    <w:rsid w:val="00BE3115"/>
    <w:rsid w:val="00BE32AF"/>
    <w:rsid w:val="00BE3D17"/>
    <w:rsid w:val="00BE4658"/>
    <w:rsid w:val="00BE4DAE"/>
    <w:rsid w:val="00BE5665"/>
    <w:rsid w:val="00BE5CC5"/>
    <w:rsid w:val="00BE5FD3"/>
    <w:rsid w:val="00BE638A"/>
    <w:rsid w:val="00BE7588"/>
    <w:rsid w:val="00BE776D"/>
    <w:rsid w:val="00BE7B55"/>
    <w:rsid w:val="00BF00CA"/>
    <w:rsid w:val="00BF0BB2"/>
    <w:rsid w:val="00BF0D1D"/>
    <w:rsid w:val="00BF13C4"/>
    <w:rsid w:val="00BF142D"/>
    <w:rsid w:val="00BF18F1"/>
    <w:rsid w:val="00BF18F5"/>
    <w:rsid w:val="00BF1B22"/>
    <w:rsid w:val="00BF1D4E"/>
    <w:rsid w:val="00BF1E5F"/>
    <w:rsid w:val="00BF2749"/>
    <w:rsid w:val="00BF2B10"/>
    <w:rsid w:val="00BF2CB5"/>
    <w:rsid w:val="00BF2E62"/>
    <w:rsid w:val="00BF3FA9"/>
    <w:rsid w:val="00BF4092"/>
    <w:rsid w:val="00BF4361"/>
    <w:rsid w:val="00BF513B"/>
    <w:rsid w:val="00BF52D8"/>
    <w:rsid w:val="00BF5A51"/>
    <w:rsid w:val="00BF5DB5"/>
    <w:rsid w:val="00BF64C2"/>
    <w:rsid w:val="00BF68BB"/>
    <w:rsid w:val="00BF70E9"/>
    <w:rsid w:val="00BF7303"/>
    <w:rsid w:val="00BF7DAE"/>
    <w:rsid w:val="00BF7E3F"/>
    <w:rsid w:val="00C003D6"/>
    <w:rsid w:val="00C0080D"/>
    <w:rsid w:val="00C008F2"/>
    <w:rsid w:val="00C00947"/>
    <w:rsid w:val="00C01628"/>
    <w:rsid w:val="00C0205A"/>
    <w:rsid w:val="00C02F61"/>
    <w:rsid w:val="00C04CCF"/>
    <w:rsid w:val="00C05159"/>
    <w:rsid w:val="00C05500"/>
    <w:rsid w:val="00C0561B"/>
    <w:rsid w:val="00C063B4"/>
    <w:rsid w:val="00C07636"/>
    <w:rsid w:val="00C07706"/>
    <w:rsid w:val="00C10661"/>
    <w:rsid w:val="00C10F2C"/>
    <w:rsid w:val="00C113B9"/>
    <w:rsid w:val="00C11AE9"/>
    <w:rsid w:val="00C12475"/>
    <w:rsid w:val="00C13C66"/>
    <w:rsid w:val="00C13C80"/>
    <w:rsid w:val="00C1477C"/>
    <w:rsid w:val="00C14B83"/>
    <w:rsid w:val="00C153B1"/>
    <w:rsid w:val="00C1577E"/>
    <w:rsid w:val="00C15D9E"/>
    <w:rsid w:val="00C20A32"/>
    <w:rsid w:val="00C20AE6"/>
    <w:rsid w:val="00C20BF4"/>
    <w:rsid w:val="00C211F0"/>
    <w:rsid w:val="00C222DA"/>
    <w:rsid w:val="00C22F67"/>
    <w:rsid w:val="00C2318C"/>
    <w:rsid w:val="00C24B29"/>
    <w:rsid w:val="00C26D14"/>
    <w:rsid w:val="00C26EBA"/>
    <w:rsid w:val="00C27053"/>
    <w:rsid w:val="00C270BB"/>
    <w:rsid w:val="00C27418"/>
    <w:rsid w:val="00C27454"/>
    <w:rsid w:val="00C27D7D"/>
    <w:rsid w:val="00C27E0A"/>
    <w:rsid w:val="00C27FE9"/>
    <w:rsid w:val="00C305B3"/>
    <w:rsid w:val="00C3089D"/>
    <w:rsid w:val="00C311EF"/>
    <w:rsid w:val="00C312F3"/>
    <w:rsid w:val="00C31425"/>
    <w:rsid w:val="00C3165A"/>
    <w:rsid w:val="00C31AD5"/>
    <w:rsid w:val="00C31BD2"/>
    <w:rsid w:val="00C31E40"/>
    <w:rsid w:val="00C32CD1"/>
    <w:rsid w:val="00C34092"/>
    <w:rsid w:val="00C341AC"/>
    <w:rsid w:val="00C34257"/>
    <w:rsid w:val="00C35555"/>
    <w:rsid w:val="00C357B1"/>
    <w:rsid w:val="00C359F1"/>
    <w:rsid w:val="00C35BB6"/>
    <w:rsid w:val="00C36300"/>
    <w:rsid w:val="00C36636"/>
    <w:rsid w:val="00C36E21"/>
    <w:rsid w:val="00C3718C"/>
    <w:rsid w:val="00C379B6"/>
    <w:rsid w:val="00C37D6A"/>
    <w:rsid w:val="00C409B5"/>
    <w:rsid w:val="00C40F26"/>
    <w:rsid w:val="00C41208"/>
    <w:rsid w:val="00C41D73"/>
    <w:rsid w:val="00C421BD"/>
    <w:rsid w:val="00C4233F"/>
    <w:rsid w:val="00C428BB"/>
    <w:rsid w:val="00C42CE9"/>
    <w:rsid w:val="00C43020"/>
    <w:rsid w:val="00C43031"/>
    <w:rsid w:val="00C43345"/>
    <w:rsid w:val="00C43C8B"/>
    <w:rsid w:val="00C4420C"/>
    <w:rsid w:val="00C444E7"/>
    <w:rsid w:val="00C44C9A"/>
    <w:rsid w:val="00C4608B"/>
    <w:rsid w:val="00C461A5"/>
    <w:rsid w:val="00C4692A"/>
    <w:rsid w:val="00C46F81"/>
    <w:rsid w:val="00C478C0"/>
    <w:rsid w:val="00C503FB"/>
    <w:rsid w:val="00C509DB"/>
    <w:rsid w:val="00C51318"/>
    <w:rsid w:val="00C517B6"/>
    <w:rsid w:val="00C52902"/>
    <w:rsid w:val="00C52977"/>
    <w:rsid w:val="00C52C63"/>
    <w:rsid w:val="00C54051"/>
    <w:rsid w:val="00C5433E"/>
    <w:rsid w:val="00C54620"/>
    <w:rsid w:val="00C55534"/>
    <w:rsid w:val="00C55D33"/>
    <w:rsid w:val="00C5646C"/>
    <w:rsid w:val="00C569E5"/>
    <w:rsid w:val="00C56B48"/>
    <w:rsid w:val="00C56BB8"/>
    <w:rsid w:val="00C57168"/>
    <w:rsid w:val="00C601DB"/>
    <w:rsid w:val="00C60A6F"/>
    <w:rsid w:val="00C611CC"/>
    <w:rsid w:val="00C6150B"/>
    <w:rsid w:val="00C627E4"/>
    <w:rsid w:val="00C63103"/>
    <w:rsid w:val="00C641CF"/>
    <w:rsid w:val="00C644D9"/>
    <w:rsid w:val="00C64C60"/>
    <w:rsid w:val="00C64F04"/>
    <w:rsid w:val="00C65004"/>
    <w:rsid w:val="00C6506C"/>
    <w:rsid w:val="00C6584F"/>
    <w:rsid w:val="00C658B8"/>
    <w:rsid w:val="00C65E58"/>
    <w:rsid w:val="00C66208"/>
    <w:rsid w:val="00C66495"/>
    <w:rsid w:val="00C66931"/>
    <w:rsid w:val="00C67084"/>
    <w:rsid w:val="00C67E75"/>
    <w:rsid w:val="00C70408"/>
    <w:rsid w:val="00C70C13"/>
    <w:rsid w:val="00C70D42"/>
    <w:rsid w:val="00C7102F"/>
    <w:rsid w:val="00C71416"/>
    <w:rsid w:val="00C714DC"/>
    <w:rsid w:val="00C714F3"/>
    <w:rsid w:val="00C7267F"/>
    <w:rsid w:val="00C72ABA"/>
    <w:rsid w:val="00C740E7"/>
    <w:rsid w:val="00C74107"/>
    <w:rsid w:val="00C745DA"/>
    <w:rsid w:val="00C74FEC"/>
    <w:rsid w:val="00C75265"/>
    <w:rsid w:val="00C755C1"/>
    <w:rsid w:val="00C7565C"/>
    <w:rsid w:val="00C75910"/>
    <w:rsid w:val="00C76237"/>
    <w:rsid w:val="00C76441"/>
    <w:rsid w:val="00C76E2F"/>
    <w:rsid w:val="00C76F8C"/>
    <w:rsid w:val="00C77B97"/>
    <w:rsid w:val="00C77C83"/>
    <w:rsid w:val="00C801D6"/>
    <w:rsid w:val="00C80554"/>
    <w:rsid w:val="00C81193"/>
    <w:rsid w:val="00C8181B"/>
    <w:rsid w:val="00C81A89"/>
    <w:rsid w:val="00C81E79"/>
    <w:rsid w:val="00C81EA5"/>
    <w:rsid w:val="00C833E6"/>
    <w:rsid w:val="00C839B4"/>
    <w:rsid w:val="00C83E1E"/>
    <w:rsid w:val="00C843DC"/>
    <w:rsid w:val="00C8447C"/>
    <w:rsid w:val="00C85192"/>
    <w:rsid w:val="00C85289"/>
    <w:rsid w:val="00C85952"/>
    <w:rsid w:val="00C86559"/>
    <w:rsid w:val="00C86A4E"/>
    <w:rsid w:val="00C86C6F"/>
    <w:rsid w:val="00C86FA6"/>
    <w:rsid w:val="00C87265"/>
    <w:rsid w:val="00C8741A"/>
    <w:rsid w:val="00C87910"/>
    <w:rsid w:val="00C87DF9"/>
    <w:rsid w:val="00C90DB8"/>
    <w:rsid w:val="00C90FA5"/>
    <w:rsid w:val="00C92C81"/>
    <w:rsid w:val="00C92F85"/>
    <w:rsid w:val="00C931B1"/>
    <w:rsid w:val="00C9355B"/>
    <w:rsid w:val="00C94270"/>
    <w:rsid w:val="00C942C9"/>
    <w:rsid w:val="00C946E6"/>
    <w:rsid w:val="00C947E9"/>
    <w:rsid w:val="00C94F06"/>
    <w:rsid w:val="00C94FD9"/>
    <w:rsid w:val="00C95726"/>
    <w:rsid w:val="00C95C4C"/>
    <w:rsid w:val="00C95CB5"/>
    <w:rsid w:val="00C963B7"/>
    <w:rsid w:val="00C97D97"/>
    <w:rsid w:val="00C97E6E"/>
    <w:rsid w:val="00CA0C8E"/>
    <w:rsid w:val="00CA11F2"/>
    <w:rsid w:val="00CA151C"/>
    <w:rsid w:val="00CA2D04"/>
    <w:rsid w:val="00CA2F8A"/>
    <w:rsid w:val="00CA3965"/>
    <w:rsid w:val="00CA3B8A"/>
    <w:rsid w:val="00CA3CB2"/>
    <w:rsid w:val="00CA415A"/>
    <w:rsid w:val="00CA4C8F"/>
    <w:rsid w:val="00CA4DDA"/>
    <w:rsid w:val="00CA514F"/>
    <w:rsid w:val="00CA5182"/>
    <w:rsid w:val="00CA7692"/>
    <w:rsid w:val="00CA77EA"/>
    <w:rsid w:val="00CA78E3"/>
    <w:rsid w:val="00CB00DF"/>
    <w:rsid w:val="00CB0EB9"/>
    <w:rsid w:val="00CB0EBE"/>
    <w:rsid w:val="00CB255B"/>
    <w:rsid w:val="00CB2A3A"/>
    <w:rsid w:val="00CB3934"/>
    <w:rsid w:val="00CB438C"/>
    <w:rsid w:val="00CB44D7"/>
    <w:rsid w:val="00CB60CE"/>
    <w:rsid w:val="00CB6497"/>
    <w:rsid w:val="00CB6D8B"/>
    <w:rsid w:val="00CB6DA9"/>
    <w:rsid w:val="00CB72A5"/>
    <w:rsid w:val="00CB73BF"/>
    <w:rsid w:val="00CB7749"/>
    <w:rsid w:val="00CC0109"/>
    <w:rsid w:val="00CC03B8"/>
    <w:rsid w:val="00CC12AE"/>
    <w:rsid w:val="00CC228C"/>
    <w:rsid w:val="00CC237C"/>
    <w:rsid w:val="00CC312A"/>
    <w:rsid w:val="00CC31E8"/>
    <w:rsid w:val="00CC3232"/>
    <w:rsid w:val="00CC41E8"/>
    <w:rsid w:val="00CC43B8"/>
    <w:rsid w:val="00CC4CB3"/>
    <w:rsid w:val="00CC5ABA"/>
    <w:rsid w:val="00CC6373"/>
    <w:rsid w:val="00CD0041"/>
    <w:rsid w:val="00CD07C2"/>
    <w:rsid w:val="00CD080A"/>
    <w:rsid w:val="00CD09D7"/>
    <w:rsid w:val="00CD1C47"/>
    <w:rsid w:val="00CD2864"/>
    <w:rsid w:val="00CD2A7C"/>
    <w:rsid w:val="00CD3962"/>
    <w:rsid w:val="00CD39E0"/>
    <w:rsid w:val="00CD3C37"/>
    <w:rsid w:val="00CD4202"/>
    <w:rsid w:val="00CD424C"/>
    <w:rsid w:val="00CD4DCA"/>
    <w:rsid w:val="00CD4E75"/>
    <w:rsid w:val="00CD50C9"/>
    <w:rsid w:val="00CD521C"/>
    <w:rsid w:val="00CD5379"/>
    <w:rsid w:val="00CD5768"/>
    <w:rsid w:val="00CD6A14"/>
    <w:rsid w:val="00CD7548"/>
    <w:rsid w:val="00CD7664"/>
    <w:rsid w:val="00CD7D52"/>
    <w:rsid w:val="00CE0900"/>
    <w:rsid w:val="00CE096F"/>
    <w:rsid w:val="00CE18CE"/>
    <w:rsid w:val="00CE1C06"/>
    <w:rsid w:val="00CE230E"/>
    <w:rsid w:val="00CE250E"/>
    <w:rsid w:val="00CE2E2E"/>
    <w:rsid w:val="00CE3039"/>
    <w:rsid w:val="00CE3146"/>
    <w:rsid w:val="00CE3481"/>
    <w:rsid w:val="00CE3BFE"/>
    <w:rsid w:val="00CE461E"/>
    <w:rsid w:val="00CE50BC"/>
    <w:rsid w:val="00CE56D2"/>
    <w:rsid w:val="00CE5C96"/>
    <w:rsid w:val="00CE6028"/>
    <w:rsid w:val="00CE6959"/>
    <w:rsid w:val="00CE6F0F"/>
    <w:rsid w:val="00CE7312"/>
    <w:rsid w:val="00CE7344"/>
    <w:rsid w:val="00CE7E27"/>
    <w:rsid w:val="00CE7ED4"/>
    <w:rsid w:val="00CF0690"/>
    <w:rsid w:val="00CF0BDA"/>
    <w:rsid w:val="00CF13C3"/>
    <w:rsid w:val="00CF26D3"/>
    <w:rsid w:val="00CF2A33"/>
    <w:rsid w:val="00CF2D80"/>
    <w:rsid w:val="00CF2EA3"/>
    <w:rsid w:val="00CF38C2"/>
    <w:rsid w:val="00CF3C99"/>
    <w:rsid w:val="00CF4043"/>
    <w:rsid w:val="00CF4F95"/>
    <w:rsid w:val="00CF6195"/>
    <w:rsid w:val="00CF66A9"/>
    <w:rsid w:val="00CF6A44"/>
    <w:rsid w:val="00CF7708"/>
    <w:rsid w:val="00CF7A87"/>
    <w:rsid w:val="00CF7DC0"/>
    <w:rsid w:val="00CF7E00"/>
    <w:rsid w:val="00D0172B"/>
    <w:rsid w:val="00D0268B"/>
    <w:rsid w:val="00D02944"/>
    <w:rsid w:val="00D04525"/>
    <w:rsid w:val="00D047FF"/>
    <w:rsid w:val="00D04893"/>
    <w:rsid w:val="00D049D3"/>
    <w:rsid w:val="00D04B0B"/>
    <w:rsid w:val="00D04C69"/>
    <w:rsid w:val="00D04CD8"/>
    <w:rsid w:val="00D05A13"/>
    <w:rsid w:val="00D05E6C"/>
    <w:rsid w:val="00D063BB"/>
    <w:rsid w:val="00D066D4"/>
    <w:rsid w:val="00D06DEF"/>
    <w:rsid w:val="00D078AF"/>
    <w:rsid w:val="00D07A52"/>
    <w:rsid w:val="00D10417"/>
    <w:rsid w:val="00D10F39"/>
    <w:rsid w:val="00D11421"/>
    <w:rsid w:val="00D126E0"/>
    <w:rsid w:val="00D13372"/>
    <w:rsid w:val="00D13EDB"/>
    <w:rsid w:val="00D13F85"/>
    <w:rsid w:val="00D1453C"/>
    <w:rsid w:val="00D14552"/>
    <w:rsid w:val="00D14AA0"/>
    <w:rsid w:val="00D14CD4"/>
    <w:rsid w:val="00D15184"/>
    <w:rsid w:val="00D152A1"/>
    <w:rsid w:val="00D15CF9"/>
    <w:rsid w:val="00D16025"/>
    <w:rsid w:val="00D162CB"/>
    <w:rsid w:val="00D1630E"/>
    <w:rsid w:val="00D16434"/>
    <w:rsid w:val="00D16FBF"/>
    <w:rsid w:val="00D2030C"/>
    <w:rsid w:val="00D206FD"/>
    <w:rsid w:val="00D208D4"/>
    <w:rsid w:val="00D21753"/>
    <w:rsid w:val="00D2175E"/>
    <w:rsid w:val="00D21DC6"/>
    <w:rsid w:val="00D220EB"/>
    <w:rsid w:val="00D22C40"/>
    <w:rsid w:val="00D23022"/>
    <w:rsid w:val="00D23485"/>
    <w:rsid w:val="00D244D6"/>
    <w:rsid w:val="00D2496E"/>
    <w:rsid w:val="00D24D6F"/>
    <w:rsid w:val="00D24E96"/>
    <w:rsid w:val="00D25377"/>
    <w:rsid w:val="00D26691"/>
    <w:rsid w:val="00D26703"/>
    <w:rsid w:val="00D26EBD"/>
    <w:rsid w:val="00D27313"/>
    <w:rsid w:val="00D2786E"/>
    <w:rsid w:val="00D27DDF"/>
    <w:rsid w:val="00D300C4"/>
    <w:rsid w:val="00D304AE"/>
    <w:rsid w:val="00D31BE9"/>
    <w:rsid w:val="00D31E0A"/>
    <w:rsid w:val="00D32361"/>
    <w:rsid w:val="00D329A1"/>
    <w:rsid w:val="00D3373B"/>
    <w:rsid w:val="00D342C9"/>
    <w:rsid w:val="00D34CCD"/>
    <w:rsid w:val="00D34F3C"/>
    <w:rsid w:val="00D36474"/>
    <w:rsid w:val="00D36E3A"/>
    <w:rsid w:val="00D36E4F"/>
    <w:rsid w:val="00D37CF1"/>
    <w:rsid w:val="00D37DB4"/>
    <w:rsid w:val="00D40694"/>
    <w:rsid w:val="00D4086E"/>
    <w:rsid w:val="00D42385"/>
    <w:rsid w:val="00D42E44"/>
    <w:rsid w:val="00D42EC6"/>
    <w:rsid w:val="00D4376F"/>
    <w:rsid w:val="00D44D72"/>
    <w:rsid w:val="00D45A4D"/>
    <w:rsid w:val="00D462D4"/>
    <w:rsid w:val="00D462E1"/>
    <w:rsid w:val="00D4686F"/>
    <w:rsid w:val="00D518EC"/>
    <w:rsid w:val="00D51962"/>
    <w:rsid w:val="00D51E0F"/>
    <w:rsid w:val="00D528B8"/>
    <w:rsid w:val="00D5392C"/>
    <w:rsid w:val="00D539B8"/>
    <w:rsid w:val="00D54008"/>
    <w:rsid w:val="00D542EC"/>
    <w:rsid w:val="00D54424"/>
    <w:rsid w:val="00D544AC"/>
    <w:rsid w:val="00D54B67"/>
    <w:rsid w:val="00D5524A"/>
    <w:rsid w:val="00D556EC"/>
    <w:rsid w:val="00D56329"/>
    <w:rsid w:val="00D56879"/>
    <w:rsid w:val="00D56E1F"/>
    <w:rsid w:val="00D5719C"/>
    <w:rsid w:val="00D575B9"/>
    <w:rsid w:val="00D57ED9"/>
    <w:rsid w:val="00D601F5"/>
    <w:rsid w:val="00D604B4"/>
    <w:rsid w:val="00D6090B"/>
    <w:rsid w:val="00D60916"/>
    <w:rsid w:val="00D60DC8"/>
    <w:rsid w:val="00D616AA"/>
    <w:rsid w:val="00D6237A"/>
    <w:rsid w:val="00D627EE"/>
    <w:rsid w:val="00D633B5"/>
    <w:rsid w:val="00D63DDB"/>
    <w:rsid w:val="00D63E6E"/>
    <w:rsid w:val="00D63F47"/>
    <w:rsid w:val="00D642E1"/>
    <w:rsid w:val="00D653F4"/>
    <w:rsid w:val="00D65BA4"/>
    <w:rsid w:val="00D65CD4"/>
    <w:rsid w:val="00D6611F"/>
    <w:rsid w:val="00D66669"/>
    <w:rsid w:val="00D66B24"/>
    <w:rsid w:val="00D6725E"/>
    <w:rsid w:val="00D67363"/>
    <w:rsid w:val="00D67AF3"/>
    <w:rsid w:val="00D70D6A"/>
    <w:rsid w:val="00D718B6"/>
    <w:rsid w:val="00D71F7C"/>
    <w:rsid w:val="00D72C2D"/>
    <w:rsid w:val="00D72D78"/>
    <w:rsid w:val="00D72EAE"/>
    <w:rsid w:val="00D73214"/>
    <w:rsid w:val="00D737DA"/>
    <w:rsid w:val="00D73983"/>
    <w:rsid w:val="00D739F6"/>
    <w:rsid w:val="00D74037"/>
    <w:rsid w:val="00D743CF"/>
    <w:rsid w:val="00D74869"/>
    <w:rsid w:val="00D748A5"/>
    <w:rsid w:val="00D75F35"/>
    <w:rsid w:val="00D760A8"/>
    <w:rsid w:val="00D76189"/>
    <w:rsid w:val="00D76250"/>
    <w:rsid w:val="00D76743"/>
    <w:rsid w:val="00D76E7E"/>
    <w:rsid w:val="00D812DF"/>
    <w:rsid w:val="00D819D0"/>
    <w:rsid w:val="00D81B32"/>
    <w:rsid w:val="00D81B5D"/>
    <w:rsid w:val="00D83A12"/>
    <w:rsid w:val="00D84050"/>
    <w:rsid w:val="00D842EA"/>
    <w:rsid w:val="00D84A95"/>
    <w:rsid w:val="00D84F02"/>
    <w:rsid w:val="00D8542A"/>
    <w:rsid w:val="00D854D0"/>
    <w:rsid w:val="00D85611"/>
    <w:rsid w:val="00D85F4A"/>
    <w:rsid w:val="00D8626D"/>
    <w:rsid w:val="00D8698F"/>
    <w:rsid w:val="00D86AA8"/>
    <w:rsid w:val="00D86E40"/>
    <w:rsid w:val="00D87015"/>
    <w:rsid w:val="00D90880"/>
    <w:rsid w:val="00D91115"/>
    <w:rsid w:val="00D91360"/>
    <w:rsid w:val="00D91D2C"/>
    <w:rsid w:val="00D924FB"/>
    <w:rsid w:val="00D92B28"/>
    <w:rsid w:val="00D9341A"/>
    <w:rsid w:val="00D939D5"/>
    <w:rsid w:val="00D95595"/>
    <w:rsid w:val="00D9695E"/>
    <w:rsid w:val="00DA0157"/>
    <w:rsid w:val="00DA0B19"/>
    <w:rsid w:val="00DA167F"/>
    <w:rsid w:val="00DA190B"/>
    <w:rsid w:val="00DA2A53"/>
    <w:rsid w:val="00DA2FB3"/>
    <w:rsid w:val="00DA36F6"/>
    <w:rsid w:val="00DA3B6D"/>
    <w:rsid w:val="00DA3BA5"/>
    <w:rsid w:val="00DA43AC"/>
    <w:rsid w:val="00DA45F3"/>
    <w:rsid w:val="00DA5472"/>
    <w:rsid w:val="00DA54EA"/>
    <w:rsid w:val="00DA57D2"/>
    <w:rsid w:val="00DA5DA1"/>
    <w:rsid w:val="00DA5F6F"/>
    <w:rsid w:val="00DA6BA8"/>
    <w:rsid w:val="00DA6ED8"/>
    <w:rsid w:val="00DA71BD"/>
    <w:rsid w:val="00DA74C4"/>
    <w:rsid w:val="00DA77D1"/>
    <w:rsid w:val="00DA78DA"/>
    <w:rsid w:val="00DB01E4"/>
    <w:rsid w:val="00DB0550"/>
    <w:rsid w:val="00DB07D3"/>
    <w:rsid w:val="00DB1320"/>
    <w:rsid w:val="00DB18F8"/>
    <w:rsid w:val="00DB1948"/>
    <w:rsid w:val="00DB1DEA"/>
    <w:rsid w:val="00DB2B29"/>
    <w:rsid w:val="00DB3518"/>
    <w:rsid w:val="00DB39AE"/>
    <w:rsid w:val="00DB39D8"/>
    <w:rsid w:val="00DB3BAF"/>
    <w:rsid w:val="00DB4168"/>
    <w:rsid w:val="00DB49BD"/>
    <w:rsid w:val="00DB5410"/>
    <w:rsid w:val="00DB5441"/>
    <w:rsid w:val="00DB547B"/>
    <w:rsid w:val="00DB5637"/>
    <w:rsid w:val="00DB5C19"/>
    <w:rsid w:val="00DB6294"/>
    <w:rsid w:val="00DB6E98"/>
    <w:rsid w:val="00DB71D1"/>
    <w:rsid w:val="00DB7D1D"/>
    <w:rsid w:val="00DB7D29"/>
    <w:rsid w:val="00DC1C1B"/>
    <w:rsid w:val="00DC2AF2"/>
    <w:rsid w:val="00DC2E46"/>
    <w:rsid w:val="00DC319B"/>
    <w:rsid w:val="00DC38FB"/>
    <w:rsid w:val="00DC3BC9"/>
    <w:rsid w:val="00DC413E"/>
    <w:rsid w:val="00DC49E0"/>
    <w:rsid w:val="00DC50CE"/>
    <w:rsid w:val="00DC52AC"/>
    <w:rsid w:val="00DC6357"/>
    <w:rsid w:val="00DC63B6"/>
    <w:rsid w:val="00DC65E9"/>
    <w:rsid w:val="00DC763D"/>
    <w:rsid w:val="00DD08A2"/>
    <w:rsid w:val="00DD1255"/>
    <w:rsid w:val="00DD1D3A"/>
    <w:rsid w:val="00DD2554"/>
    <w:rsid w:val="00DD27F1"/>
    <w:rsid w:val="00DD285B"/>
    <w:rsid w:val="00DD2A12"/>
    <w:rsid w:val="00DD2BAE"/>
    <w:rsid w:val="00DD2FF7"/>
    <w:rsid w:val="00DD385C"/>
    <w:rsid w:val="00DD4835"/>
    <w:rsid w:val="00DD4B85"/>
    <w:rsid w:val="00DD5603"/>
    <w:rsid w:val="00DD5B45"/>
    <w:rsid w:val="00DD6030"/>
    <w:rsid w:val="00DD608D"/>
    <w:rsid w:val="00DD6605"/>
    <w:rsid w:val="00DD6BC2"/>
    <w:rsid w:val="00DD6FEA"/>
    <w:rsid w:val="00DD7D0C"/>
    <w:rsid w:val="00DE030E"/>
    <w:rsid w:val="00DE04B7"/>
    <w:rsid w:val="00DE0B99"/>
    <w:rsid w:val="00DE24D6"/>
    <w:rsid w:val="00DE252F"/>
    <w:rsid w:val="00DE3186"/>
    <w:rsid w:val="00DE329B"/>
    <w:rsid w:val="00DE347F"/>
    <w:rsid w:val="00DE39ED"/>
    <w:rsid w:val="00DE3F36"/>
    <w:rsid w:val="00DE4351"/>
    <w:rsid w:val="00DE4A82"/>
    <w:rsid w:val="00DE4AD7"/>
    <w:rsid w:val="00DE4CBB"/>
    <w:rsid w:val="00DE5204"/>
    <w:rsid w:val="00DE5C6A"/>
    <w:rsid w:val="00DE682A"/>
    <w:rsid w:val="00DE6987"/>
    <w:rsid w:val="00DE6C9F"/>
    <w:rsid w:val="00DE6D6C"/>
    <w:rsid w:val="00DE6E89"/>
    <w:rsid w:val="00DE72A9"/>
    <w:rsid w:val="00DE7DAD"/>
    <w:rsid w:val="00DE7F55"/>
    <w:rsid w:val="00DF036C"/>
    <w:rsid w:val="00DF0C58"/>
    <w:rsid w:val="00DF0C6D"/>
    <w:rsid w:val="00DF0ED5"/>
    <w:rsid w:val="00DF1552"/>
    <w:rsid w:val="00DF2778"/>
    <w:rsid w:val="00DF2853"/>
    <w:rsid w:val="00DF45C4"/>
    <w:rsid w:val="00DF4D3C"/>
    <w:rsid w:val="00DF540B"/>
    <w:rsid w:val="00DF5644"/>
    <w:rsid w:val="00DF5756"/>
    <w:rsid w:val="00DF5A05"/>
    <w:rsid w:val="00DF5A59"/>
    <w:rsid w:val="00DF5F2B"/>
    <w:rsid w:val="00DF61B6"/>
    <w:rsid w:val="00DF726C"/>
    <w:rsid w:val="00DF7A46"/>
    <w:rsid w:val="00E015B6"/>
    <w:rsid w:val="00E01AA4"/>
    <w:rsid w:val="00E02CE5"/>
    <w:rsid w:val="00E03F1C"/>
    <w:rsid w:val="00E03F1D"/>
    <w:rsid w:val="00E04125"/>
    <w:rsid w:val="00E04668"/>
    <w:rsid w:val="00E048F7"/>
    <w:rsid w:val="00E0505E"/>
    <w:rsid w:val="00E05375"/>
    <w:rsid w:val="00E05813"/>
    <w:rsid w:val="00E06471"/>
    <w:rsid w:val="00E064E4"/>
    <w:rsid w:val="00E07562"/>
    <w:rsid w:val="00E07851"/>
    <w:rsid w:val="00E07B4F"/>
    <w:rsid w:val="00E07CCB"/>
    <w:rsid w:val="00E10049"/>
    <w:rsid w:val="00E105A9"/>
    <w:rsid w:val="00E10CCF"/>
    <w:rsid w:val="00E1186F"/>
    <w:rsid w:val="00E12037"/>
    <w:rsid w:val="00E12382"/>
    <w:rsid w:val="00E12C10"/>
    <w:rsid w:val="00E13193"/>
    <w:rsid w:val="00E132E9"/>
    <w:rsid w:val="00E13A7A"/>
    <w:rsid w:val="00E13B77"/>
    <w:rsid w:val="00E13E1F"/>
    <w:rsid w:val="00E13E79"/>
    <w:rsid w:val="00E13F00"/>
    <w:rsid w:val="00E1478B"/>
    <w:rsid w:val="00E1485F"/>
    <w:rsid w:val="00E14EEF"/>
    <w:rsid w:val="00E15905"/>
    <w:rsid w:val="00E163BA"/>
    <w:rsid w:val="00E16A7B"/>
    <w:rsid w:val="00E16AD6"/>
    <w:rsid w:val="00E16D49"/>
    <w:rsid w:val="00E1711B"/>
    <w:rsid w:val="00E178C7"/>
    <w:rsid w:val="00E209C3"/>
    <w:rsid w:val="00E211F6"/>
    <w:rsid w:val="00E21494"/>
    <w:rsid w:val="00E219DF"/>
    <w:rsid w:val="00E21E60"/>
    <w:rsid w:val="00E22A86"/>
    <w:rsid w:val="00E22D12"/>
    <w:rsid w:val="00E22FAE"/>
    <w:rsid w:val="00E2306E"/>
    <w:rsid w:val="00E2357A"/>
    <w:rsid w:val="00E23EC1"/>
    <w:rsid w:val="00E24AB0"/>
    <w:rsid w:val="00E24BD8"/>
    <w:rsid w:val="00E253E4"/>
    <w:rsid w:val="00E2542A"/>
    <w:rsid w:val="00E2586D"/>
    <w:rsid w:val="00E265FC"/>
    <w:rsid w:val="00E271DF"/>
    <w:rsid w:val="00E2761E"/>
    <w:rsid w:val="00E306B7"/>
    <w:rsid w:val="00E308AD"/>
    <w:rsid w:val="00E30AA7"/>
    <w:rsid w:val="00E30F51"/>
    <w:rsid w:val="00E31F5D"/>
    <w:rsid w:val="00E31FCE"/>
    <w:rsid w:val="00E328D7"/>
    <w:rsid w:val="00E33253"/>
    <w:rsid w:val="00E335B2"/>
    <w:rsid w:val="00E33B42"/>
    <w:rsid w:val="00E34C86"/>
    <w:rsid w:val="00E355DE"/>
    <w:rsid w:val="00E35602"/>
    <w:rsid w:val="00E361F6"/>
    <w:rsid w:val="00E36291"/>
    <w:rsid w:val="00E371EF"/>
    <w:rsid w:val="00E376B2"/>
    <w:rsid w:val="00E37FEE"/>
    <w:rsid w:val="00E37FF5"/>
    <w:rsid w:val="00E40A7D"/>
    <w:rsid w:val="00E4173D"/>
    <w:rsid w:val="00E41D09"/>
    <w:rsid w:val="00E41DEE"/>
    <w:rsid w:val="00E41EA1"/>
    <w:rsid w:val="00E42495"/>
    <w:rsid w:val="00E42A76"/>
    <w:rsid w:val="00E42B27"/>
    <w:rsid w:val="00E4303D"/>
    <w:rsid w:val="00E437A8"/>
    <w:rsid w:val="00E437DF"/>
    <w:rsid w:val="00E4423B"/>
    <w:rsid w:val="00E4437A"/>
    <w:rsid w:val="00E45312"/>
    <w:rsid w:val="00E45E5B"/>
    <w:rsid w:val="00E46C42"/>
    <w:rsid w:val="00E4719C"/>
    <w:rsid w:val="00E47909"/>
    <w:rsid w:val="00E47EEE"/>
    <w:rsid w:val="00E5009B"/>
    <w:rsid w:val="00E5009F"/>
    <w:rsid w:val="00E504D8"/>
    <w:rsid w:val="00E51102"/>
    <w:rsid w:val="00E52332"/>
    <w:rsid w:val="00E536CD"/>
    <w:rsid w:val="00E5415F"/>
    <w:rsid w:val="00E541DC"/>
    <w:rsid w:val="00E55050"/>
    <w:rsid w:val="00E5538B"/>
    <w:rsid w:val="00E55B4F"/>
    <w:rsid w:val="00E55C85"/>
    <w:rsid w:val="00E55E5C"/>
    <w:rsid w:val="00E56901"/>
    <w:rsid w:val="00E56A04"/>
    <w:rsid w:val="00E57059"/>
    <w:rsid w:val="00E574BB"/>
    <w:rsid w:val="00E60471"/>
    <w:rsid w:val="00E61076"/>
    <w:rsid w:val="00E616B7"/>
    <w:rsid w:val="00E6219D"/>
    <w:rsid w:val="00E629F4"/>
    <w:rsid w:val="00E630A6"/>
    <w:rsid w:val="00E64BA2"/>
    <w:rsid w:val="00E65867"/>
    <w:rsid w:val="00E6684E"/>
    <w:rsid w:val="00E6689D"/>
    <w:rsid w:val="00E66A97"/>
    <w:rsid w:val="00E66CA7"/>
    <w:rsid w:val="00E66D03"/>
    <w:rsid w:val="00E66FC3"/>
    <w:rsid w:val="00E67D5B"/>
    <w:rsid w:val="00E67DFC"/>
    <w:rsid w:val="00E7093F"/>
    <w:rsid w:val="00E70A79"/>
    <w:rsid w:val="00E70FDE"/>
    <w:rsid w:val="00E710CC"/>
    <w:rsid w:val="00E71818"/>
    <w:rsid w:val="00E71920"/>
    <w:rsid w:val="00E7246D"/>
    <w:rsid w:val="00E7291E"/>
    <w:rsid w:val="00E72EE3"/>
    <w:rsid w:val="00E73B08"/>
    <w:rsid w:val="00E73D5A"/>
    <w:rsid w:val="00E740A4"/>
    <w:rsid w:val="00E74846"/>
    <w:rsid w:val="00E74B2E"/>
    <w:rsid w:val="00E758A0"/>
    <w:rsid w:val="00E77555"/>
    <w:rsid w:val="00E7795A"/>
    <w:rsid w:val="00E77A48"/>
    <w:rsid w:val="00E77D3F"/>
    <w:rsid w:val="00E80482"/>
    <w:rsid w:val="00E8111B"/>
    <w:rsid w:val="00E81268"/>
    <w:rsid w:val="00E81703"/>
    <w:rsid w:val="00E817C8"/>
    <w:rsid w:val="00E8189C"/>
    <w:rsid w:val="00E81CF7"/>
    <w:rsid w:val="00E81E86"/>
    <w:rsid w:val="00E824C2"/>
    <w:rsid w:val="00E82FF7"/>
    <w:rsid w:val="00E83B00"/>
    <w:rsid w:val="00E83F52"/>
    <w:rsid w:val="00E83F6A"/>
    <w:rsid w:val="00E8448E"/>
    <w:rsid w:val="00E845E1"/>
    <w:rsid w:val="00E84D8B"/>
    <w:rsid w:val="00E8564B"/>
    <w:rsid w:val="00E856A7"/>
    <w:rsid w:val="00E85B54"/>
    <w:rsid w:val="00E85D35"/>
    <w:rsid w:val="00E85EB4"/>
    <w:rsid w:val="00E862C6"/>
    <w:rsid w:val="00E875A1"/>
    <w:rsid w:val="00E87734"/>
    <w:rsid w:val="00E900E0"/>
    <w:rsid w:val="00E90174"/>
    <w:rsid w:val="00E90DA3"/>
    <w:rsid w:val="00E914A2"/>
    <w:rsid w:val="00E9181A"/>
    <w:rsid w:val="00E91D9F"/>
    <w:rsid w:val="00E92C45"/>
    <w:rsid w:val="00E9396D"/>
    <w:rsid w:val="00E93CB7"/>
    <w:rsid w:val="00E9437C"/>
    <w:rsid w:val="00E945AA"/>
    <w:rsid w:val="00E94A9D"/>
    <w:rsid w:val="00E94FE1"/>
    <w:rsid w:val="00E9501B"/>
    <w:rsid w:val="00E95C4A"/>
    <w:rsid w:val="00E95F0E"/>
    <w:rsid w:val="00E95F50"/>
    <w:rsid w:val="00E966AF"/>
    <w:rsid w:val="00E96B44"/>
    <w:rsid w:val="00E9702F"/>
    <w:rsid w:val="00E9707F"/>
    <w:rsid w:val="00E972CE"/>
    <w:rsid w:val="00E97C54"/>
    <w:rsid w:val="00EA0238"/>
    <w:rsid w:val="00EA11D1"/>
    <w:rsid w:val="00EA177A"/>
    <w:rsid w:val="00EA2309"/>
    <w:rsid w:val="00EA2ABD"/>
    <w:rsid w:val="00EA2C4D"/>
    <w:rsid w:val="00EA2E00"/>
    <w:rsid w:val="00EA3103"/>
    <w:rsid w:val="00EA3736"/>
    <w:rsid w:val="00EA3939"/>
    <w:rsid w:val="00EA4466"/>
    <w:rsid w:val="00EA5409"/>
    <w:rsid w:val="00EA5804"/>
    <w:rsid w:val="00EA5924"/>
    <w:rsid w:val="00EA656C"/>
    <w:rsid w:val="00EA6D9D"/>
    <w:rsid w:val="00EA7F29"/>
    <w:rsid w:val="00EB054A"/>
    <w:rsid w:val="00EB0791"/>
    <w:rsid w:val="00EB08B4"/>
    <w:rsid w:val="00EB1A5A"/>
    <w:rsid w:val="00EB1AFB"/>
    <w:rsid w:val="00EB1ECE"/>
    <w:rsid w:val="00EB2590"/>
    <w:rsid w:val="00EB2961"/>
    <w:rsid w:val="00EB2DDE"/>
    <w:rsid w:val="00EB33A0"/>
    <w:rsid w:val="00EB3922"/>
    <w:rsid w:val="00EB4858"/>
    <w:rsid w:val="00EB4BC1"/>
    <w:rsid w:val="00EB5640"/>
    <w:rsid w:val="00EB57EE"/>
    <w:rsid w:val="00EB58F1"/>
    <w:rsid w:val="00EB5911"/>
    <w:rsid w:val="00EB5AB1"/>
    <w:rsid w:val="00EB5C63"/>
    <w:rsid w:val="00EB5D04"/>
    <w:rsid w:val="00EB65AF"/>
    <w:rsid w:val="00EB679A"/>
    <w:rsid w:val="00EC2028"/>
    <w:rsid w:val="00EC22A3"/>
    <w:rsid w:val="00EC2477"/>
    <w:rsid w:val="00EC329C"/>
    <w:rsid w:val="00EC3361"/>
    <w:rsid w:val="00EC36AA"/>
    <w:rsid w:val="00EC373C"/>
    <w:rsid w:val="00EC3E60"/>
    <w:rsid w:val="00EC5B45"/>
    <w:rsid w:val="00EC5BF0"/>
    <w:rsid w:val="00EC652C"/>
    <w:rsid w:val="00EC67C8"/>
    <w:rsid w:val="00EC6ABE"/>
    <w:rsid w:val="00EC7BFD"/>
    <w:rsid w:val="00EC7C3F"/>
    <w:rsid w:val="00ED04C5"/>
    <w:rsid w:val="00ED118A"/>
    <w:rsid w:val="00ED124A"/>
    <w:rsid w:val="00ED2318"/>
    <w:rsid w:val="00ED2D6D"/>
    <w:rsid w:val="00ED313A"/>
    <w:rsid w:val="00ED3ABA"/>
    <w:rsid w:val="00ED3C47"/>
    <w:rsid w:val="00ED3D72"/>
    <w:rsid w:val="00ED5808"/>
    <w:rsid w:val="00ED6208"/>
    <w:rsid w:val="00ED6244"/>
    <w:rsid w:val="00ED66EC"/>
    <w:rsid w:val="00ED6AB8"/>
    <w:rsid w:val="00ED7DAF"/>
    <w:rsid w:val="00ED7E2C"/>
    <w:rsid w:val="00EE0677"/>
    <w:rsid w:val="00EE09C8"/>
    <w:rsid w:val="00EE0C03"/>
    <w:rsid w:val="00EE0DED"/>
    <w:rsid w:val="00EE1307"/>
    <w:rsid w:val="00EE197B"/>
    <w:rsid w:val="00EE2692"/>
    <w:rsid w:val="00EE2E1A"/>
    <w:rsid w:val="00EE355D"/>
    <w:rsid w:val="00EE3C72"/>
    <w:rsid w:val="00EE5E4B"/>
    <w:rsid w:val="00EE60F8"/>
    <w:rsid w:val="00EE7291"/>
    <w:rsid w:val="00EF0977"/>
    <w:rsid w:val="00EF156D"/>
    <w:rsid w:val="00EF1FF1"/>
    <w:rsid w:val="00EF24DB"/>
    <w:rsid w:val="00EF3056"/>
    <w:rsid w:val="00EF3AB3"/>
    <w:rsid w:val="00EF3D08"/>
    <w:rsid w:val="00EF49D9"/>
    <w:rsid w:val="00EF4B95"/>
    <w:rsid w:val="00EF4C06"/>
    <w:rsid w:val="00EF4C36"/>
    <w:rsid w:val="00EF586B"/>
    <w:rsid w:val="00EF7C9F"/>
    <w:rsid w:val="00F0027C"/>
    <w:rsid w:val="00F00D53"/>
    <w:rsid w:val="00F0161B"/>
    <w:rsid w:val="00F0183C"/>
    <w:rsid w:val="00F01843"/>
    <w:rsid w:val="00F01896"/>
    <w:rsid w:val="00F02AB0"/>
    <w:rsid w:val="00F04083"/>
    <w:rsid w:val="00F0423C"/>
    <w:rsid w:val="00F04698"/>
    <w:rsid w:val="00F04D99"/>
    <w:rsid w:val="00F056C6"/>
    <w:rsid w:val="00F0591D"/>
    <w:rsid w:val="00F059AF"/>
    <w:rsid w:val="00F06218"/>
    <w:rsid w:val="00F064F7"/>
    <w:rsid w:val="00F06772"/>
    <w:rsid w:val="00F06BD8"/>
    <w:rsid w:val="00F06E03"/>
    <w:rsid w:val="00F078F5"/>
    <w:rsid w:val="00F07A88"/>
    <w:rsid w:val="00F07D10"/>
    <w:rsid w:val="00F07FEB"/>
    <w:rsid w:val="00F100A7"/>
    <w:rsid w:val="00F1054E"/>
    <w:rsid w:val="00F124DF"/>
    <w:rsid w:val="00F124F1"/>
    <w:rsid w:val="00F12659"/>
    <w:rsid w:val="00F12759"/>
    <w:rsid w:val="00F12FB2"/>
    <w:rsid w:val="00F13A89"/>
    <w:rsid w:val="00F14852"/>
    <w:rsid w:val="00F14CE9"/>
    <w:rsid w:val="00F14E45"/>
    <w:rsid w:val="00F1515A"/>
    <w:rsid w:val="00F15879"/>
    <w:rsid w:val="00F16083"/>
    <w:rsid w:val="00F16188"/>
    <w:rsid w:val="00F1640A"/>
    <w:rsid w:val="00F16781"/>
    <w:rsid w:val="00F16856"/>
    <w:rsid w:val="00F16A5D"/>
    <w:rsid w:val="00F16FAE"/>
    <w:rsid w:val="00F17473"/>
    <w:rsid w:val="00F235AD"/>
    <w:rsid w:val="00F23EA4"/>
    <w:rsid w:val="00F250F0"/>
    <w:rsid w:val="00F25533"/>
    <w:rsid w:val="00F25917"/>
    <w:rsid w:val="00F26627"/>
    <w:rsid w:val="00F2681F"/>
    <w:rsid w:val="00F26838"/>
    <w:rsid w:val="00F26854"/>
    <w:rsid w:val="00F26CF3"/>
    <w:rsid w:val="00F27766"/>
    <w:rsid w:val="00F27DF4"/>
    <w:rsid w:val="00F30F2B"/>
    <w:rsid w:val="00F313C3"/>
    <w:rsid w:val="00F3181E"/>
    <w:rsid w:val="00F31D90"/>
    <w:rsid w:val="00F31F42"/>
    <w:rsid w:val="00F320F2"/>
    <w:rsid w:val="00F3229A"/>
    <w:rsid w:val="00F32FD0"/>
    <w:rsid w:val="00F335FA"/>
    <w:rsid w:val="00F33954"/>
    <w:rsid w:val="00F33DCE"/>
    <w:rsid w:val="00F34A69"/>
    <w:rsid w:val="00F34AF1"/>
    <w:rsid w:val="00F357BF"/>
    <w:rsid w:val="00F35975"/>
    <w:rsid w:val="00F361AD"/>
    <w:rsid w:val="00F3635C"/>
    <w:rsid w:val="00F363D8"/>
    <w:rsid w:val="00F36A88"/>
    <w:rsid w:val="00F36C8E"/>
    <w:rsid w:val="00F3781B"/>
    <w:rsid w:val="00F400E9"/>
    <w:rsid w:val="00F407E3"/>
    <w:rsid w:val="00F41DD3"/>
    <w:rsid w:val="00F424BD"/>
    <w:rsid w:val="00F429B7"/>
    <w:rsid w:val="00F4348C"/>
    <w:rsid w:val="00F434B6"/>
    <w:rsid w:val="00F434B7"/>
    <w:rsid w:val="00F43DB1"/>
    <w:rsid w:val="00F444BE"/>
    <w:rsid w:val="00F447C8"/>
    <w:rsid w:val="00F44806"/>
    <w:rsid w:val="00F44D20"/>
    <w:rsid w:val="00F4500D"/>
    <w:rsid w:val="00F45515"/>
    <w:rsid w:val="00F46F88"/>
    <w:rsid w:val="00F47869"/>
    <w:rsid w:val="00F50246"/>
    <w:rsid w:val="00F50782"/>
    <w:rsid w:val="00F51423"/>
    <w:rsid w:val="00F51468"/>
    <w:rsid w:val="00F51486"/>
    <w:rsid w:val="00F51F63"/>
    <w:rsid w:val="00F52AD4"/>
    <w:rsid w:val="00F53274"/>
    <w:rsid w:val="00F53333"/>
    <w:rsid w:val="00F53789"/>
    <w:rsid w:val="00F539FF"/>
    <w:rsid w:val="00F53E6A"/>
    <w:rsid w:val="00F5462B"/>
    <w:rsid w:val="00F55048"/>
    <w:rsid w:val="00F5524A"/>
    <w:rsid w:val="00F56AC8"/>
    <w:rsid w:val="00F5705D"/>
    <w:rsid w:val="00F57387"/>
    <w:rsid w:val="00F60A50"/>
    <w:rsid w:val="00F60FF2"/>
    <w:rsid w:val="00F6145A"/>
    <w:rsid w:val="00F618FB"/>
    <w:rsid w:val="00F624C4"/>
    <w:rsid w:val="00F62A5F"/>
    <w:rsid w:val="00F62DA7"/>
    <w:rsid w:val="00F63445"/>
    <w:rsid w:val="00F63DA8"/>
    <w:rsid w:val="00F641B7"/>
    <w:rsid w:val="00F654B6"/>
    <w:rsid w:val="00F6693C"/>
    <w:rsid w:val="00F67C77"/>
    <w:rsid w:val="00F706D2"/>
    <w:rsid w:val="00F71767"/>
    <w:rsid w:val="00F71821"/>
    <w:rsid w:val="00F73E4B"/>
    <w:rsid w:val="00F74D2C"/>
    <w:rsid w:val="00F74E37"/>
    <w:rsid w:val="00F75964"/>
    <w:rsid w:val="00F76729"/>
    <w:rsid w:val="00F7679D"/>
    <w:rsid w:val="00F7727F"/>
    <w:rsid w:val="00F774D5"/>
    <w:rsid w:val="00F77EDF"/>
    <w:rsid w:val="00F80B6F"/>
    <w:rsid w:val="00F80F4C"/>
    <w:rsid w:val="00F8140B"/>
    <w:rsid w:val="00F818DD"/>
    <w:rsid w:val="00F81F3D"/>
    <w:rsid w:val="00F8234E"/>
    <w:rsid w:val="00F8343A"/>
    <w:rsid w:val="00F83450"/>
    <w:rsid w:val="00F83CB6"/>
    <w:rsid w:val="00F84A40"/>
    <w:rsid w:val="00F8584C"/>
    <w:rsid w:val="00F85995"/>
    <w:rsid w:val="00F85B3C"/>
    <w:rsid w:val="00F85E39"/>
    <w:rsid w:val="00F86A20"/>
    <w:rsid w:val="00F86C5A"/>
    <w:rsid w:val="00F86ED2"/>
    <w:rsid w:val="00F87485"/>
    <w:rsid w:val="00F90AB5"/>
    <w:rsid w:val="00F90B3E"/>
    <w:rsid w:val="00F90D8E"/>
    <w:rsid w:val="00F916A3"/>
    <w:rsid w:val="00F91C45"/>
    <w:rsid w:val="00F922E2"/>
    <w:rsid w:val="00F92BC7"/>
    <w:rsid w:val="00F936AC"/>
    <w:rsid w:val="00F9371C"/>
    <w:rsid w:val="00F94337"/>
    <w:rsid w:val="00F94757"/>
    <w:rsid w:val="00F95149"/>
    <w:rsid w:val="00F9520B"/>
    <w:rsid w:val="00F956C9"/>
    <w:rsid w:val="00F96BF4"/>
    <w:rsid w:val="00F96CCF"/>
    <w:rsid w:val="00FA0BA1"/>
    <w:rsid w:val="00FA152D"/>
    <w:rsid w:val="00FA1614"/>
    <w:rsid w:val="00FA1CAB"/>
    <w:rsid w:val="00FA20AA"/>
    <w:rsid w:val="00FA2C40"/>
    <w:rsid w:val="00FA3891"/>
    <w:rsid w:val="00FA3B7C"/>
    <w:rsid w:val="00FA40A3"/>
    <w:rsid w:val="00FA4E4E"/>
    <w:rsid w:val="00FA50D9"/>
    <w:rsid w:val="00FA55F6"/>
    <w:rsid w:val="00FA5772"/>
    <w:rsid w:val="00FA5D7D"/>
    <w:rsid w:val="00FA61F8"/>
    <w:rsid w:val="00FA650E"/>
    <w:rsid w:val="00FA6CAE"/>
    <w:rsid w:val="00FA77BC"/>
    <w:rsid w:val="00FB031D"/>
    <w:rsid w:val="00FB059A"/>
    <w:rsid w:val="00FB0C79"/>
    <w:rsid w:val="00FB1779"/>
    <w:rsid w:val="00FB1B29"/>
    <w:rsid w:val="00FB1C37"/>
    <w:rsid w:val="00FB27E0"/>
    <w:rsid w:val="00FB2FE7"/>
    <w:rsid w:val="00FB3385"/>
    <w:rsid w:val="00FB36A5"/>
    <w:rsid w:val="00FB3D49"/>
    <w:rsid w:val="00FB63D8"/>
    <w:rsid w:val="00FB6DE4"/>
    <w:rsid w:val="00FB6E3F"/>
    <w:rsid w:val="00FB71A7"/>
    <w:rsid w:val="00FB75C1"/>
    <w:rsid w:val="00FB7A49"/>
    <w:rsid w:val="00FC053C"/>
    <w:rsid w:val="00FC0670"/>
    <w:rsid w:val="00FC0B55"/>
    <w:rsid w:val="00FC0B6E"/>
    <w:rsid w:val="00FC1016"/>
    <w:rsid w:val="00FC1447"/>
    <w:rsid w:val="00FC165B"/>
    <w:rsid w:val="00FC1B03"/>
    <w:rsid w:val="00FC1D6B"/>
    <w:rsid w:val="00FC1FB0"/>
    <w:rsid w:val="00FC2410"/>
    <w:rsid w:val="00FC26B0"/>
    <w:rsid w:val="00FC2D2F"/>
    <w:rsid w:val="00FC3056"/>
    <w:rsid w:val="00FC3157"/>
    <w:rsid w:val="00FC321C"/>
    <w:rsid w:val="00FC3270"/>
    <w:rsid w:val="00FC34D4"/>
    <w:rsid w:val="00FC3C13"/>
    <w:rsid w:val="00FC485F"/>
    <w:rsid w:val="00FC553C"/>
    <w:rsid w:val="00FC584B"/>
    <w:rsid w:val="00FC5F71"/>
    <w:rsid w:val="00FC602C"/>
    <w:rsid w:val="00FC60C8"/>
    <w:rsid w:val="00FC6A79"/>
    <w:rsid w:val="00FC70ED"/>
    <w:rsid w:val="00FC75AB"/>
    <w:rsid w:val="00FC7855"/>
    <w:rsid w:val="00FC7F18"/>
    <w:rsid w:val="00FD03EA"/>
    <w:rsid w:val="00FD08D9"/>
    <w:rsid w:val="00FD19A7"/>
    <w:rsid w:val="00FD21AE"/>
    <w:rsid w:val="00FD26AE"/>
    <w:rsid w:val="00FD27D4"/>
    <w:rsid w:val="00FD350B"/>
    <w:rsid w:val="00FD37F5"/>
    <w:rsid w:val="00FD3FB0"/>
    <w:rsid w:val="00FD4213"/>
    <w:rsid w:val="00FD421D"/>
    <w:rsid w:val="00FD4505"/>
    <w:rsid w:val="00FD45D4"/>
    <w:rsid w:val="00FD4671"/>
    <w:rsid w:val="00FD4D9E"/>
    <w:rsid w:val="00FD4F53"/>
    <w:rsid w:val="00FD5F86"/>
    <w:rsid w:val="00FD77C7"/>
    <w:rsid w:val="00FD7B27"/>
    <w:rsid w:val="00FD7B7D"/>
    <w:rsid w:val="00FD7DB6"/>
    <w:rsid w:val="00FD7FAA"/>
    <w:rsid w:val="00FE09A3"/>
    <w:rsid w:val="00FE0AD2"/>
    <w:rsid w:val="00FE0E97"/>
    <w:rsid w:val="00FE1956"/>
    <w:rsid w:val="00FE1A33"/>
    <w:rsid w:val="00FE1AF1"/>
    <w:rsid w:val="00FE1EC6"/>
    <w:rsid w:val="00FE20A8"/>
    <w:rsid w:val="00FE218A"/>
    <w:rsid w:val="00FE2C20"/>
    <w:rsid w:val="00FE3231"/>
    <w:rsid w:val="00FE349E"/>
    <w:rsid w:val="00FE351D"/>
    <w:rsid w:val="00FE44E3"/>
    <w:rsid w:val="00FE45C4"/>
    <w:rsid w:val="00FE4700"/>
    <w:rsid w:val="00FE4B8B"/>
    <w:rsid w:val="00FE5701"/>
    <w:rsid w:val="00FE58DE"/>
    <w:rsid w:val="00FE644E"/>
    <w:rsid w:val="00FE674D"/>
    <w:rsid w:val="00FE69EA"/>
    <w:rsid w:val="00FE6E64"/>
    <w:rsid w:val="00FE7491"/>
    <w:rsid w:val="00FE7503"/>
    <w:rsid w:val="00FE7584"/>
    <w:rsid w:val="00FE7B52"/>
    <w:rsid w:val="00FE7EC2"/>
    <w:rsid w:val="00FF2147"/>
    <w:rsid w:val="00FF241C"/>
    <w:rsid w:val="00FF2473"/>
    <w:rsid w:val="00FF2E36"/>
    <w:rsid w:val="00FF3717"/>
    <w:rsid w:val="00FF3C98"/>
    <w:rsid w:val="00FF3E00"/>
    <w:rsid w:val="00FF43E2"/>
    <w:rsid w:val="00FF4FC8"/>
    <w:rsid w:val="00FF55C3"/>
    <w:rsid w:val="00FF7179"/>
    <w:rsid w:val="00FF75D6"/>
    <w:rsid w:val="00FF7B39"/>
    <w:rsid w:val="00FF7B79"/>
    <w:rsid w:val="189A2F47"/>
    <w:rsid w:val="18C8F331"/>
    <w:rsid w:val="22F76575"/>
    <w:rsid w:val="2837098D"/>
    <w:rsid w:val="291344ED"/>
    <w:rsid w:val="36AFA24D"/>
    <w:rsid w:val="3CA42CCD"/>
    <w:rsid w:val="3E58296C"/>
    <w:rsid w:val="4D710026"/>
    <w:rsid w:val="5280888E"/>
    <w:rsid w:val="576CB36C"/>
    <w:rsid w:val="5F078A34"/>
    <w:rsid w:val="62B59C56"/>
    <w:rsid w:val="6901E789"/>
    <w:rsid w:val="6E73E3FC"/>
    <w:rsid w:val="7AB044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DCEC3"/>
  <w15:chartTrackingRefBased/>
  <w15:docId w15:val="{BA9EF131-380F-49CE-B046-F30EDA2A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2F0596"/>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uiPriority w:val="99"/>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40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21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519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InfoBold">
    <w:name w:val="paper Info Bold"/>
    <w:basedOn w:val="Normal"/>
    <w:autoRedefine/>
    <w:rsid w:val="00D66B24"/>
    <w:pPr>
      <w:tabs>
        <w:tab w:val="left" w:pos="113"/>
      </w:tabs>
      <w:autoSpaceDE w:val="0"/>
      <w:autoSpaceDN w:val="0"/>
      <w:adjustRightInd w:val="0"/>
    </w:pPr>
    <w:rPr>
      <w:b/>
      <w:bCs/>
      <w:color w:val="000000"/>
      <w:sz w:val="22"/>
    </w:rPr>
  </w:style>
  <w:style w:type="character" w:styleId="CommentReference">
    <w:name w:val="annotation reference"/>
    <w:uiPriority w:val="99"/>
    <w:rsid w:val="0028236E"/>
    <w:rPr>
      <w:sz w:val="16"/>
      <w:szCs w:val="16"/>
    </w:rPr>
  </w:style>
  <w:style w:type="paragraph" w:styleId="CommentText">
    <w:name w:val="annotation text"/>
    <w:basedOn w:val="Normal"/>
    <w:link w:val="CommentTextChar"/>
    <w:uiPriority w:val="99"/>
    <w:rsid w:val="0028236E"/>
    <w:rPr>
      <w:sz w:val="20"/>
      <w:szCs w:val="20"/>
    </w:rPr>
  </w:style>
  <w:style w:type="character" w:customStyle="1" w:styleId="CommentTextChar">
    <w:name w:val="Comment Text Char"/>
    <w:link w:val="CommentText"/>
    <w:uiPriority w:val="99"/>
    <w:rsid w:val="0028236E"/>
    <w:rPr>
      <w:rFonts w:ascii="Arial" w:hAnsi="Arial" w:cs="Arial"/>
      <w:lang w:eastAsia="en-US"/>
    </w:rPr>
  </w:style>
  <w:style w:type="paragraph" w:styleId="CommentSubject">
    <w:name w:val="annotation subject"/>
    <w:basedOn w:val="CommentText"/>
    <w:next w:val="CommentText"/>
    <w:link w:val="CommentSubjectChar"/>
    <w:rsid w:val="0028236E"/>
    <w:rPr>
      <w:b/>
      <w:bCs/>
    </w:rPr>
  </w:style>
  <w:style w:type="character" w:customStyle="1" w:styleId="CommentSubjectChar">
    <w:name w:val="Comment Subject Char"/>
    <w:link w:val="CommentSubject"/>
    <w:rsid w:val="0028236E"/>
    <w:rPr>
      <w:rFonts w:ascii="Arial" w:hAnsi="Arial" w:cs="Arial"/>
      <w:b/>
      <w:bCs/>
      <w:lang w:eastAsia="en-US"/>
    </w:rPr>
  </w:style>
  <w:style w:type="paragraph" w:styleId="Revision">
    <w:name w:val="Revision"/>
    <w:hidden/>
    <w:uiPriority w:val="99"/>
    <w:semiHidden/>
    <w:rsid w:val="0028236E"/>
    <w:rPr>
      <w:rFonts w:ascii="Arial" w:hAnsi="Arial" w:cs="Arial"/>
      <w:sz w:val="24"/>
      <w:szCs w:val="24"/>
      <w:lang w:eastAsia="en-US"/>
    </w:rPr>
  </w:style>
  <w:style w:type="character" w:customStyle="1" w:styleId="HeaderChar">
    <w:name w:val="Header Char"/>
    <w:link w:val="Header"/>
    <w:rsid w:val="00AA14A4"/>
    <w:rPr>
      <w:rFonts w:ascii="Arial" w:hAnsi="Arial" w:cs="Arial"/>
      <w:sz w:val="24"/>
      <w:szCs w:val="24"/>
      <w:lang w:eastAsia="en-US"/>
    </w:rPr>
  </w:style>
  <w:style w:type="paragraph" w:customStyle="1" w:styleId="Default">
    <w:name w:val="Default"/>
    <w:rsid w:val="00DF0C6D"/>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454A75"/>
    <w:rPr>
      <w:color w:val="605E5C"/>
      <w:shd w:val="clear" w:color="auto" w:fill="E1DFDD"/>
    </w:rPr>
  </w:style>
  <w:style w:type="character" w:customStyle="1" w:styleId="Heading1Char">
    <w:name w:val="Heading 1 Char"/>
    <w:link w:val="Heading1"/>
    <w:rsid w:val="002F0596"/>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2F0596"/>
    <w:pPr>
      <w:keepLines/>
      <w:spacing w:after="0" w:line="259" w:lineRule="auto"/>
      <w:outlineLvl w:val="9"/>
    </w:pPr>
    <w:rPr>
      <w:b w:val="0"/>
      <w:bCs w:val="0"/>
      <w:color w:val="2F5496"/>
      <w:kern w:val="0"/>
      <w:lang w:val="en-US"/>
    </w:rPr>
  </w:style>
  <w:style w:type="paragraph" w:styleId="TOC1">
    <w:name w:val="toc 1"/>
    <w:basedOn w:val="Normal"/>
    <w:next w:val="Normal"/>
    <w:autoRedefine/>
    <w:uiPriority w:val="39"/>
    <w:rsid w:val="00D819D0"/>
    <w:pPr>
      <w:tabs>
        <w:tab w:val="right" w:leader="dot" w:pos="9486"/>
      </w:tabs>
    </w:pPr>
    <w:rPr>
      <w:rFonts w:asciiTheme="minorBidi" w:hAnsiTheme="minorBidi" w:cstheme="minorBidi"/>
      <w:b/>
      <w:bCs/>
    </w:rPr>
  </w:style>
  <w:style w:type="paragraph" w:styleId="TOC3">
    <w:name w:val="toc 3"/>
    <w:basedOn w:val="Normal"/>
    <w:next w:val="Normal"/>
    <w:autoRedefine/>
    <w:uiPriority w:val="39"/>
    <w:rsid w:val="002F0596"/>
    <w:pPr>
      <w:ind w:left="480"/>
    </w:pPr>
  </w:style>
  <w:style w:type="character" w:customStyle="1" w:styleId="normaltextrun">
    <w:name w:val="normaltextrun"/>
    <w:basedOn w:val="DefaultParagraphFont"/>
    <w:rsid w:val="00B44F0E"/>
  </w:style>
  <w:style w:type="paragraph" w:customStyle="1" w:styleId="NumbList3">
    <w:name w:val="NumbList3"/>
    <w:basedOn w:val="Normal"/>
    <w:rsid w:val="00BB2639"/>
  </w:style>
  <w:style w:type="character" w:customStyle="1" w:styleId="eop">
    <w:name w:val="eop"/>
    <w:basedOn w:val="DefaultParagraphFont"/>
    <w:rsid w:val="00B823D8"/>
  </w:style>
  <w:style w:type="character" w:customStyle="1" w:styleId="FooterChar">
    <w:name w:val="Footer Char"/>
    <w:basedOn w:val="DefaultParagraphFont"/>
    <w:link w:val="Footer"/>
    <w:uiPriority w:val="99"/>
    <w:rsid w:val="009D5371"/>
    <w:rPr>
      <w:rFonts w:ascii="Arial" w:hAnsi="Arial" w:cs="Arial"/>
      <w:sz w:val="24"/>
      <w:szCs w:val="24"/>
      <w:lang w:eastAsia="en-US"/>
    </w:rPr>
  </w:style>
  <w:style w:type="character" w:styleId="Mention">
    <w:name w:val="Mention"/>
    <w:basedOn w:val="DefaultParagraphFont"/>
    <w:uiPriority w:val="99"/>
    <w:unhideWhenUsed/>
    <w:rsid w:val="00854E6A"/>
    <w:rPr>
      <w:color w:val="2B579A"/>
      <w:shd w:val="clear" w:color="auto" w:fill="E1DFDD"/>
    </w:rPr>
  </w:style>
  <w:style w:type="character" w:styleId="FollowedHyperlink">
    <w:name w:val="FollowedHyperlink"/>
    <w:basedOn w:val="DefaultParagraphFont"/>
    <w:rsid w:val="00BB3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391">
      <w:bodyDiv w:val="1"/>
      <w:marLeft w:val="0"/>
      <w:marRight w:val="0"/>
      <w:marTop w:val="0"/>
      <w:marBottom w:val="0"/>
      <w:divBdr>
        <w:top w:val="none" w:sz="0" w:space="0" w:color="auto"/>
        <w:left w:val="none" w:sz="0" w:space="0" w:color="auto"/>
        <w:bottom w:val="none" w:sz="0" w:space="0" w:color="auto"/>
        <w:right w:val="none" w:sz="0" w:space="0" w:color="auto"/>
      </w:divBdr>
    </w:div>
    <w:div w:id="147750014">
      <w:bodyDiv w:val="1"/>
      <w:marLeft w:val="0"/>
      <w:marRight w:val="0"/>
      <w:marTop w:val="0"/>
      <w:marBottom w:val="0"/>
      <w:divBdr>
        <w:top w:val="none" w:sz="0" w:space="0" w:color="auto"/>
        <w:left w:val="none" w:sz="0" w:space="0" w:color="auto"/>
        <w:bottom w:val="none" w:sz="0" w:space="0" w:color="auto"/>
        <w:right w:val="none" w:sz="0" w:space="0" w:color="auto"/>
      </w:divBdr>
    </w:div>
    <w:div w:id="223222904">
      <w:bodyDiv w:val="1"/>
      <w:marLeft w:val="0"/>
      <w:marRight w:val="0"/>
      <w:marTop w:val="0"/>
      <w:marBottom w:val="0"/>
      <w:divBdr>
        <w:top w:val="none" w:sz="0" w:space="0" w:color="auto"/>
        <w:left w:val="none" w:sz="0" w:space="0" w:color="auto"/>
        <w:bottom w:val="none" w:sz="0" w:space="0" w:color="auto"/>
        <w:right w:val="none" w:sz="0" w:space="0" w:color="auto"/>
      </w:divBdr>
    </w:div>
    <w:div w:id="254480803">
      <w:bodyDiv w:val="1"/>
      <w:marLeft w:val="0"/>
      <w:marRight w:val="0"/>
      <w:marTop w:val="0"/>
      <w:marBottom w:val="0"/>
      <w:divBdr>
        <w:top w:val="none" w:sz="0" w:space="0" w:color="auto"/>
        <w:left w:val="none" w:sz="0" w:space="0" w:color="auto"/>
        <w:bottom w:val="none" w:sz="0" w:space="0" w:color="auto"/>
        <w:right w:val="none" w:sz="0" w:space="0" w:color="auto"/>
      </w:divBdr>
    </w:div>
    <w:div w:id="271285745">
      <w:bodyDiv w:val="1"/>
      <w:marLeft w:val="0"/>
      <w:marRight w:val="0"/>
      <w:marTop w:val="0"/>
      <w:marBottom w:val="0"/>
      <w:divBdr>
        <w:top w:val="none" w:sz="0" w:space="0" w:color="auto"/>
        <w:left w:val="none" w:sz="0" w:space="0" w:color="auto"/>
        <w:bottom w:val="none" w:sz="0" w:space="0" w:color="auto"/>
        <w:right w:val="none" w:sz="0" w:space="0" w:color="auto"/>
      </w:divBdr>
    </w:div>
    <w:div w:id="356351700">
      <w:bodyDiv w:val="1"/>
      <w:marLeft w:val="0"/>
      <w:marRight w:val="0"/>
      <w:marTop w:val="0"/>
      <w:marBottom w:val="0"/>
      <w:divBdr>
        <w:top w:val="none" w:sz="0" w:space="0" w:color="auto"/>
        <w:left w:val="none" w:sz="0" w:space="0" w:color="auto"/>
        <w:bottom w:val="none" w:sz="0" w:space="0" w:color="auto"/>
        <w:right w:val="none" w:sz="0" w:space="0" w:color="auto"/>
      </w:divBdr>
    </w:div>
    <w:div w:id="360210316">
      <w:bodyDiv w:val="1"/>
      <w:marLeft w:val="0"/>
      <w:marRight w:val="0"/>
      <w:marTop w:val="0"/>
      <w:marBottom w:val="0"/>
      <w:divBdr>
        <w:top w:val="none" w:sz="0" w:space="0" w:color="auto"/>
        <w:left w:val="none" w:sz="0" w:space="0" w:color="auto"/>
        <w:bottom w:val="none" w:sz="0" w:space="0" w:color="auto"/>
        <w:right w:val="none" w:sz="0" w:space="0" w:color="auto"/>
      </w:divBdr>
    </w:div>
    <w:div w:id="393821235">
      <w:bodyDiv w:val="1"/>
      <w:marLeft w:val="0"/>
      <w:marRight w:val="0"/>
      <w:marTop w:val="0"/>
      <w:marBottom w:val="0"/>
      <w:divBdr>
        <w:top w:val="none" w:sz="0" w:space="0" w:color="auto"/>
        <w:left w:val="none" w:sz="0" w:space="0" w:color="auto"/>
        <w:bottom w:val="none" w:sz="0" w:space="0" w:color="auto"/>
        <w:right w:val="none" w:sz="0" w:space="0" w:color="auto"/>
      </w:divBdr>
    </w:div>
    <w:div w:id="502669008">
      <w:bodyDiv w:val="1"/>
      <w:marLeft w:val="0"/>
      <w:marRight w:val="0"/>
      <w:marTop w:val="0"/>
      <w:marBottom w:val="0"/>
      <w:divBdr>
        <w:top w:val="none" w:sz="0" w:space="0" w:color="auto"/>
        <w:left w:val="none" w:sz="0" w:space="0" w:color="auto"/>
        <w:bottom w:val="none" w:sz="0" w:space="0" w:color="auto"/>
        <w:right w:val="none" w:sz="0" w:space="0" w:color="auto"/>
      </w:divBdr>
    </w:div>
    <w:div w:id="511071824">
      <w:bodyDiv w:val="1"/>
      <w:marLeft w:val="0"/>
      <w:marRight w:val="0"/>
      <w:marTop w:val="0"/>
      <w:marBottom w:val="0"/>
      <w:divBdr>
        <w:top w:val="none" w:sz="0" w:space="0" w:color="auto"/>
        <w:left w:val="none" w:sz="0" w:space="0" w:color="auto"/>
        <w:bottom w:val="none" w:sz="0" w:space="0" w:color="auto"/>
        <w:right w:val="none" w:sz="0" w:space="0" w:color="auto"/>
      </w:divBdr>
    </w:div>
    <w:div w:id="512258690">
      <w:bodyDiv w:val="1"/>
      <w:marLeft w:val="0"/>
      <w:marRight w:val="0"/>
      <w:marTop w:val="0"/>
      <w:marBottom w:val="0"/>
      <w:divBdr>
        <w:top w:val="none" w:sz="0" w:space="0" w:color="auto"/>
        <w:left w:val="none" w:sz="0" w:space="0" w:color="auto"/>
        <w:bottom w:val="none" w:sz="0" w:space="0" w:color="auto"/>
        <w:right w:val="none" w:sz="0" w:space="0" w:color="auto"/>
      </w:divBdr>
    </w:div>
    <w:div w:id="654529607">
      <w:bodyDiv w:val="1"/>
      <w:marLeft w:val="0"/>
      <w:marRight w:val="0"/>
      <w:marTop w:val="0"/>
      <w:marBottom w:val="0"/>
      <w:divBdr>
        <w:top w:val="none" w:sz="0" w:space="0" w:color="auto"/>
        <w:left w:val="none" w:sz="0" w:space="0" w:color="auto"/>
        <w:bottom w:val="none" w:sz="0" w:space="0" w:color="auto"/>
        <w:right w:val="none" w:sz="0" w:space="0" w:color="auto"/>
      </w:divBdr>
    </w:div>
    <w:div w:id="738400328">
      <w:bodyDiv w:val="1"/>
      <w:marLeft w:val="0"/>
      <w:marRight w:val="0"/>
      <w:marTop w:val="0"/>
      <w:marBottom w:val="0"/>
      <w:divBdr>
        <w:top w:val="none" w:sz="0" w:space="0" w:color="auto"/>
        <w:left w:val="none" w:sz="0" w:space="0" w:color="auto"/>
        <w:bottom w:val="none" w:sz="0" w:space="0" w:color="auto"/>
        <w:right w:val="none" w:sz="0" w:space="0" w:color="auto"/>
      </w:divBdr>
    </w:div>
    <w:div w:id="884946692">
      <w:bodyDiv w:val="1"/>
      <w:marLeft w:val="0"/>
      <w:marRight w:val="0"/>
      <w:marTop w:val="0"/>
      <w:marBottom w:val="0"/>
      <w:divBdr>
        <w:top w:val="none" w:sz="0" w:space="0" w:color="auto"/>
        <w:left w:val="none" w:sz="0" w:space="0" w:color="auto"/>
        <w:bottom w:val="none" w:sz="0" w:space="0" w:color="auto"/>
        <w:right w:val="none" w:sz="0" w:space="0" w:color="auto"/>
      </w:divBdr>
    </w:div>
    <w:div w:id="911038949">
      <w:bodyDiv w:val="1"/>
      <w:marLeft w:val="0"/>
      <w:marRight w:val="0"/>
      <w:marTop w:val="0"/>
      <w:marBottom w:val="0"/>
      <w:divBdr>
        <w:top w:val="none" w:sz="0" w:space="0" w:color="auto"/>
        <w:left w:val="none" w:sz="0" w:space="0" w:color="auto"/>
        <w:bottom w:val="none" w:sz="0" w:space="0" w:color="auto"/>
        <w:right w:val="none" w:sz="0" w:space="0" w:color="auto"/>
      </w:divBdr>
    </w:div>
    <w:div w:id="922884202">
      <w:bodyDiv w:val="1"/>
      <w:marLeft w:val="0"/>
      <w:marRight w:val="0"/>
      <w:marTop w:val="0"/>
      <w:marBottom w:val="0"/>
      <w:divBdr>
        <w:top w:val="none" w:sz="0" w:space="0" w:color="auto"/>
        <w:left w:val="none" w:sz="0" w:space="0" w:color="auto"/>
        <w:bottom w:val="none" w:sz="0" w:space="0" w:color="auto"/>
        <w:right w:val="none" w:sz="0" w:space="0" w:color="auto"/>
      </w:divBdr>
    </w:div>
    <w:div w:id="926882166">
      <w:bodyDiv w:val="1"/>
      <w:marLeft w:val="0"/>
      <w:marRight w:val="0"/>
      <w:marTop w:val="0"/>
      <w:marBottom w:val="0"/>
      <w:divBdr>
        <w:top w:val="none" w:sz="0" w:space="0" w:color="auto"/>
        <w:left w:val="none" w:sz="0" w:space="0" w:color="auto"/>
        <w:bottom w:val="none" w:sz="0" w:space="0" w:color="auto"/>
        <w:right w:val="none" w:sz="0" w:space="0" w:color="auto"/>
      </w:divBdr>
    </w:div>
    <w:div w:id="928778282">
      <w:bodyDiv w:val="1"/>
      <w:marLeft w:val="0"/>
      <w:marRight w:val="0"/>
      <w:marTop w:val="0"/>
      <w:marBottom w:val="0"/>
      <w:divBdr>
        <w:top w:val="none" w:sz="0" w:space="0" w:color="auto"/>
        <w:left w:val="none" w:sz="0" w:space="0" w:color="auto"/>
        <w:bottom w:val="none" w:sz="0" w:space="0" w:color="auto"/>
        <w:right w:val="none" w:sz="0" w:space="0" w:color="auto"/>
      </w:divBdr>
    </w:div>
    <w:div w:id="938878445">
      <w:bodyDiv w:val="1"/>
      <w:marLeft w:val="0"/>
      <w:marRight w:val="0"/>
      <w:marTop w:val="0"/>
      <w:marBottom w:val="0"/>
      <w:divBdr>
        <w:top w:val="none" w:sz="0" w:space="0" w:color="auto"/>
        <w:left w:val="none" w:sz="0" w:space="0" w:color="auto"/>
        <w:bottom w:val="none" w:sz="0" w:space="0" w:color="auto"/>
        <w:right w:val="none" w:sz="0" w:space="0" w:color="auto"/>
      </w:divBdr>
    </w:div>
    <w:div w:id="962535870">
      <w:bodyDiv w:val="1"/>
      <w:marLeft w:val="0"/>
      <w:marRight w:val="0"/>
      <w:marTop w:val="0"/>
      <w:marBottom w:val="0"/>
      <w:divBdr>
        <w:top w:val="none" w:sz="0" w:space="0" w:color="auto"/>
        <w:left w:val="none" w:sz="0" w:space="0" w:color="auto"/>
        <w:bottom w:val="none" w:sz="0" w:space="0" w:color="auto"/>
        <w:right w:val="none" w:sz="0" w:space="0" w:color="auto"/>
      </w:divBdr>
    </w:div>
    <w:div w:id="992684183">
      <w:bodyDiv w:val="1"/>
      <w:marLeft w:val="0"/>
      <w:marRight w:val="0"/>
      <w:marTop w:val="0"/>
      <w:marBottom w:val="0"/>
      <w:divBdr>
        <w:top w:val="none" w:sz="0" w:space="0" w:color="auto"/>
        <w:left w:val="none" w:sz="0" w:space="0" w:color="auto"/>
        <w:bottom w:val="none" w:sz="0" w:space="0" w:color="auto"/>
        <w:right w:val="none" w:sz="0" w:space="0" w:color="auto"/>
      </w:divBdr>
    </w:div>
    <w:div w:id="1056781278">
      <w:bodyDiv w:val="1"/>
      <w:marLeft w:val="0"/>
      <w:marRight w:val="0"/>
      <w:marTop w:val="0"/>
      <w:marBottom w:val="0"/>
      <w:divBdr>
        <w:top w:val="none" w:sz="0" w:space="0" w:color="auto"/>
        <w:left w:val="none" w:sz="0" w:space="0" w:color="auto"/>
        <w:bottom w:val="none" w:sz="0" w:space="0" w:color="auto"/>
        <w:right w:val="none" w:sz="0" w:space="0" w:color="auto"/>
      </w:divBdr>
    </w:div>
    <w:div w:id="1088311115">
      <w:bodyDiv w:val="1"/>
      <w:marLeft w:val="0"/>
      <w:marRight w:val="0"/>
      <w:marTop w:val="0"/>
      <w:marBottom w:val="0"/>
      <w:divBdr>
        <w:top w:val="none" w:sz="0" w:space="0" w:color="auto"/>
        <w:left w:val="none" w:sz="0" w:space="0" w:color="auto"/>
        <w:bottom w:val="none" w:sz="0" w:space="0" w:color="auto"/>
        <w:right w:val="none" w:sz="0" w:space="0" w:color="auto"/>
      </w:divBdr>
    </w:div>
    <w:div w:id="1204249495">
      <w:bodyDiv w:val="1"/>
      <w:marLeft w:val="0"/>
      <w:marRight w:val="0"/>
      <w:marTop w:val="0"/>
      <w:marBottom w:val="0"/>
      <w:divBdr>
        <w:top w:val="none" w:sz="0" w:space="0" w:color="auto"/>
        <w:left w:val="none" w:sz="0" w:space="0" w:color="auto"/>
        <w:bottom w:val="none" w:sz="0" w:space="0" w:color="auto"/>
        <w:right w:val="none" w:sz="0" w:space="0" w:color="auto"/>
      </w:divBdr>
    </w:div>
    <w:div w:id="1327905047">
      <w:bodyDiv w:val="1"/>
      <w:marLeft w:val="0"/>
      <w:marRight w:val="0"/>
      <w:marTop w:val="0"/>
      <w:marBottom w:val="0"/>
      <w:divBdr>
        <w:top w:val="none" w:sz="0" w:space="0" w:color="auto"/>
        <w:left w:val="none" w:sz="0" w:space="0" w:color="auto"/>
        <w:bottom w:val="none" w:sz="0" w:space="0" w:color="auto"/>
        <w:right w:val="none" w:sz="0" w:space="0" w:color="auto"/>
      </w:divBdr>
    </w:div>
    <w:div w:id="1332563971">
      <w:bodyDiv w:val="1"/>
      <w:marLeft w:val="0"/>
      <w:marRight w:val="0"/>
      <w:marTop w:val="0"/>
      <w:marBottom w:val="0"/>
      <w:divBdr>
        <w:top w:val="none" w:sz="0" w:space="0" w:color="auto"/>
        <w:left w:val="none" w:sz="0" w:space="0" w:color="auto"/>
        <w:bottom w:val="none" w:sz="0" w:space="0" w:color="auto"/>
        <w:right w:val="none" w:sz="0" w:space="0" w:color="auto"/>
      </w:divBdr>
    </w:div>
    <w:div w:id="1335380848">
      <w:bodyDiv w:val="1"/>
      <w:marLeft w:val="0"/>
      <w:marRight w:val="0"/>
      <w:marTop w:val="0"/>
      <w:marBottom w:val="0"/>
      <w:divBdr>
        <w:top w:val="none" w:sz="0" w:space="0" w:color="auto"/>
        <w:left w:val="none" w:sz="0" w:space="0" w:color="auto"/>
        <w:bottom w:val="none" w:sz="0" w:space="0" w:color="auto"/>
        <w:right w:val="none" w:sz="0" w:space="0" w:color="auto"/>
      </w:divBdr>
    </w:div>
    <w:div w:id="1362173211">
      <w:bodyDiv w:val="1"/>
      <w:marLeft w:val="0"/>
      <w:marRight w:val="0"/>
      <w:marTop w:val="0"/>
      <w:marBottom w:val="0"/>
      <w:divBdr>
        <w:top w:val="none" w:sz="0" w:space="0" w:color="auto"/>
        <w:left w:val="none" w:sz="0" w:space="0" w:color="auto"/>
        <w:bottom w:val="none" w:sz="0" w:space="0" w:color="auto"/>
        <w:right w:val="none" w:sz="0" w:space="0" w:color="auto"/>
      </w:divBdr>
    </w:div>
    <w:div w:id="1511791394">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3446005">
      <w:bodyDiv w:val="1"/>
      <w:marLeft w:val="0"/>
      <w:marRight w:val="0"/>
      <w:marTop w:val="0"/>
      <w:marBottom w:val="0"/>
      <w:divBdr>
        <w:top w:val="none" w:sz="0" w:space="0" w:color="auto"/>
        <w:left w:val="none" w:sz="0" w:space="0" w:color="auto"/>
        <w:bottom w:val="none" w:sz="0" w:space="0" w:color="auto"/>
        <w:right w:val="none" w:sz="0" w:space="0" w:color="auto"/>
      </w:divBdr>
    </w:div>
    <w:div w:id="1615090880">
      <w:bodyDiv w:val="1"/>
      <w:marLeft w:val="0"/>
      <w:marRight w:val="0"/>
      <w:marTop w:val="0"/>
      <w:marBottom w:val="0"/>
      <w:divBdr>
        <w:top w:val="none" w:sz="0" w:space="0" w:color="auto"/>
        <w:left w:val="none" w:sz="0" w:space="0" w:color="auto"/>
        <w:bottom w:val="none" w:sz="0" w:space="0" w:color="auto"/>
        <w:right w:val="none" w:sz="0" w:space="0" w:color="auto"/>
      </w:divBdr>
    </w:div>
    <w:div w:id="1673994016">
      <w:bodyDiv w:val="1"/>
      <w:marLeft w:val="0"/>
      <w:marRight w:val="0"/>
      <w:marTop w:val="0"/>
      <w:marBottom w:val="0"/>
      <w:divBdr>
        <w:top w:val="none" w:sz="0" w:space="0" w:color="auto"/>
        <w:left w:val="none" w:sz="0" w:space="0" w:color="auto"/>
        <w:bottom w:val="none" w:sz="0" w:space="0" w:color="auto"/>
        <w:right w:val="none" w:sz="0" w:space="0" w:color="auto"/>
      </w:divBdr>
    </w:div>
    <w:div w:id="1839687195">
      <w:bodyDiv w:val="1"/>
      <w:marLeft w:val="0"/>
      <w:marRight w:val="0"/>
      <w:marTop w:val="0"/>
      <w:marBottom w:val="0"/>
      <w:divBdr>
        <w:top w:val="none" w:sz="0" w:space="0" w:color="auto"/>
        <w:left w:val="none" w:sz="0" w:space="0" w:color="auto"/>
        <w:bottom w:val="none" w:sz="0" w:space="0" w:color="auto"/>
        <w:right w:val="none" w:sz="0" w:space="0" w:color="auto"/>
      </w:divBdr>
    </w:div>
    <w:div w:id="2040080353">
      <w:bodyDiv w:val="1"/>
      <w:marLeft w:val="0"/>
      <w:marRight w:val="0"/>
      <w:marTop w:val="0"/>
      <w:marBottom w:val="0"/>
      <w:divBdr>
        <w:top w:val="none" w:sz="0" w:space="0" w:color="auto"/>
        <w:left w:val="none" w:sz="0" w:space="0" w:color="auto"/>
        <w:bottom w:val="none" w:sz="0" w:space="0" w:color="auto"/>
        <w:right w:val="none" w:sz="0" w:space="0" w:color="auto"/>
      </w:divBdr>
    </w:div>
    <w:div w:id="20917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www.google.com/url?sa=t&amp;rct=j&amp;q=&amp;esrc=s&amp;source=web&amp;cd=&amp;ved=2ahUKEwiH0fz6_qyEAxV_U0EAHUm3AfYQFnoECBoQAQ&amp;url=https%3A%2F%2Fwww.essex.pfcc.police.uk%2Fwp-content%2Fuploads%2F2022%2F09%2FApp-1-PFCCFRA-Constitution-Review-June-2022.pdf%3Fx85524&amp;usg=AOvVaw1SBkWDo_k4BmIhdibvaMjO&amp;opi=8997844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f0d0c61-922d-48b4-b62f-1ef0f8a428b6" xsi:nil="true"/>
    <_ip_UnifiedCompliancePolicyUIAction xmlns="http://schemas.microsoft.com/sharepoint/v3" xsi:nil="true"/>
    <_ip_UnifiedCompliancePolicyProperties xmlns="http://schemas.microsoft.com/sharepoint/v3" xsi:nil="true"/>
    <lcf76f155ced4ddcb4097134ff3c332f xmlns="0045ecbb-72e5-4e23-8ce6-cfd22e2769ea">
      <Terms xmlns="http://schemas.microsoft.com/office/infopath/2007/PartnerControls"/>
    </lcf76f155ced4ddcb4097134ff3c332f>
    <SharedWithUsers xmlns="33d1aacd-eed5-4181-a91e-0fde566d8e98">
      <UserInfo>
        <DisplayName>Neil Cross</DisplayName>
        <AccountId>19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37CDF28091F54ABBD6D52DBDB7409D" ma:contentTypeVersion="15" ma:contentTypeDescription="Create a new document." ma:contentTypeScope="" ma:versionID="f839e2c06a8bef135015df86c64ebca0">
  <xsd:schema xmlns:xsd="http://www.w3.org/2001/XMLSchema" xmlns:xs="http://www.w3.org/2001/XMLSchema" xmlns:p="http://schemas.microsoft.com/office/2006/metadata/properties" xmlns:ns1="http://schemas.microsoft.com/sharepoint/v3" xmlns:ns2="0045ecbb-72e5-4e23-8ce6-cfd22e2769ea" xmlns:ns3="33d1aacd-eed5-4181-a91e-0fde566d8e98" xmlns:ns4="6f0d0c61-922d-48b4-b62f-1ef0f8a428b6" targetNamespace="http://schemas.microsoft.com/office/2006/metadata/properties" ma:root="true" ma:fieldsID="df112648c0226d3f26474b832d363ebf" ns1:_="" ns2:_="" ns3:_="" ns4:_="">
    <xsd:import namespace="http://schemas.microsoft.com/sharepoint/v3"/>
    <xsd:import namespace="0045ecbb-72e5-4e23-8ce6-cfd22e2769ea"/>
    <xsd:import namespace="33d1aacd-eed5-4181-a91e-0fde566d8e98"/>
    <xsd:import namespace="6f0d0c61-922d-48b4-b62f-1ef0f8a428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5ecbb-72e5-4e23-8ce6-cfd22e276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781236-037b-411b-a023-bd80484dbec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d1aacd-eed5-4181-a91e-0fde566d8e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0d0c61-922d-48b4-b62f-1ef0f8a428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0da4be-9e2c-46ca-92db-8871b2180bda}" ma:internalName="TaxCatchAll" ma:showField="CatchAllData" ma:web="33d1aacd-eed5-4181-a91e-0fde566d8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D8960-49A1-443E-AB50-4E5B8CDD6557}">
  <ds:schemaRefs>
    <ds:schemaRef ds:uri="http://schemas.microsoft.com/sharepoint/v3/contenttype/forms"/>
  </ds:schemaRefs>
</ds:datastoreItem>
</file>

<file path=customXml/itemProps2.xml><?xml version="1.0" encoding="utf-8"?>
<ds:datastoreItem xmlns:ds="http://schemas.openxmlformats.org/officeDocument/2006/customXml" ds:itemID="{23605756-7125-49B9-B12C-B3E0F35ECFB7}">
  <ds:schemaRefs>
    <ds:schemaRef ds:uri="http://schemas.openxmlformats.org/officeDocument/2006/bibliography"/>
  </ds:schemaRefs>
</ds:datastoreItem>
</file>

<file path=customXml/itemProps3.xml><?xml version="1.0" encoding="utf-8"?>
<ds:datastoreItem xmlns:ds="http://schemas.openxmlformats.org/officeDocument/2006/customXml" ds:itemID="{4E4C3EB1-A67D-49D1-95A6-3643259C02CF}">
  <ds:schemaRefs>
    <ds:schemaRef ds:uri="http://schemas.microsoft.com/office/2006/metadata/properties"/>
    <ds:schemaRef ds:uri="http://schemas.microsoft.com/office/infopath/2007/PartnerControls"/>
    <ds:schemaRef ds:uri="6f0d0c61-922d-48b4-b62f-1ef0f8a428b6"/>
    <ds:schemaRef ds:uri="http://schemas.microsoft.com/sharepoint/v3"/>
    <ds:schemaRef ds:uri="0045ecbb-72e5-4e23-8ce6-cfd22e2769ea"/>
    <ds:schemaRef ds:uri="33d1aacd-eed5-4181-a91e-0fde566d8e98"/>
  </ds:schemaRefs>
</ds:datastoreItem>
</file>

<file path=customXml/itemProps4.xml><?xml version="1.0" encoding="utf-8"?>
<ds:datastoreItem xmlns:ds="http://schemas.openxmlformats.org/officeDocument/2006/customXml" ds:itemID="{80878B60-90B4-4488-85B8-05517E806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45ecbb-72e5-4e23-8ce6-cfd22e2769ea"/>
    <ds:schemaRef ds:uri="33d1aacd-eed5-4181-a91e-0fde566d8e98"/>
    <ds:schemaRef ds:uri="6f0d0c61-922d-48b4-b62f-1ef0f8a4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7404</Words>
  <Characters>41664</Characters>
  <Application>Microsoft Office Word</Application>
  <DocSecurity>4</DocSecurity>
  <Lines>347</Lines>
  <Paragraphs>97</Paragraphs>
  <ScaleCrop>false</ScaleCrop>
  <Company>EssexFire</Company>
  <LinksUpToDate>false</LinksUpToDate>
  <CharactersWithSpaces>48971</CharactersWithSpaces>
  <SharedDoc>false</SharedDoc>
  <HLinks>
    <vt:vector size="84" baseType="variant">
      <vt:variant>
        <vt:i4>589904</vt:i4>
      </vt:variant>
      <vt:variant>
        <vt:i4>75</vt:i4>
      </vt:variant>
      <vt:variant>
        <vt:i4>0</vt:i4>
      </vt:variant>
      <vt:variant>
        <vt:i4>5</vt:i4>
      </vt:variant>
      <vt:variant>
        <vt:lpwstr>https://www.google.com/url?sa=t&amp;rct=j&amp;q=&amp;esrc=s&amp;source=web&amp;cd=&amp;ved=2ahUKEwiH0fz6_qyEAxV_U0EAHUm3AfYQFnoECBoQAQ&amp;url=https%3A%2F%2Fwww.essex.pfcc.police.uk%2Fwp-content%2Fuploads%2F2022%2F09%2FApp-1-PFCCFRA-Constitution-Review-June-2022.pdf%3Fx85524&amp;usg=AOvVaw1SBkWDo_k4BmIhdibvaMjO&amp;opi=89978449</vt:lpwstr>
      </vt:variant>
      <vt:variant>
        <vt:lpwstr/>
      </vt:variant>
      <vt:variant>
        <vt:i4>1245234</vt:i4>
      </vt:variant>
      <vt:variant>
        <vt:i4>68</vt:i4>
      </vt:variant>
      <vt:variant>
        <vt:i4>0</vt:i4>
      </vt:variant>
      <vt:variant>
        <vt:i4>5</vt:i4>
      </vt:variant>
      <vt:variant>
        <vt:lpwstr/>
      </vt:variant>
      <vt:variant>
        <vt:lpwstr>_Toc158793253</vt:lpwstr>
      </vt:variant>
      <vt:variant>
        <vt:i4>1245234</vt:i4>
      </vt:variant>
      <vt:variant>
        <vt:i4>62</vt:i4>
      </vt:variant>
      <vt:variant>
        <vt:i4>0</vt:i4>
      </vt:variant>
      <vt:variant>
        <vt:i4>5</vt:i4>
      </vt:variant>
      <vt:variant>
        <vt:lpwstr/>
      </vt:variant>
      <vt:variant>
        <vt:lpwstr>_Toc158793252</vt:lpwstr>
      </vt:variant>
      <vt:variant>
        <vt:i4>1245234</vt:i4>
      </vt:variant>
      <vt:variant>
        <vt:i4>56</vt:i4>
      </vt:variant>
      <vt:variant>
        <vt:i4>0</vt:i4>
      </vt:variant>
      <vt:variant>
        <vt:i4>5</vt:i4>
      </vt:variant>
      <vt:variant>
        <vt:lpwstr/>
      </vt:variant>
      <vt:variant>
        <vt:lpwstr>_Toc158793251</vt:lpwstr>
      </vt:variant>
      <vt:variant>
        <vt:i4>1245234</vt:i4>
      </vt:variant>
      <vt:variant>
        <vt:i4>50</vt:i4>
      </vt:variant>
      <vt:variant>
        <vt:i4>0</vt:i4>
      </vt:variant>
      <vt:variant>
        <vt:i4>5</vt:i4>
      </vt:variant>
      <vt:variant>
        <vt:lpwstr/>
      </vt:variant>
      <vt:variant>
        <vt:lpwstr>_Toc158793250</vt:lpwstr>
      </vt:variant>
      <vt:variant>
        <vt:i4>1179698</vt:i4>
      </vt:variant>
      <vt:variant>
        <vt:i4>44</vt:i4>
      </vt:variant>
      <vt:variant>
        <vt:i4>0</vt:i4>
      </vt:variant>
      <vt:variant>
        <vt:i4>5</vt:i4>
      </vt:variant>
      <vt:variant>
        <vt:lpwstr/>
      </vt:variant>
      <vt:variant>
        <vt:lpwstr>_Toc158793248</vt:lpwstr>
      </vt:variant>
      <vt:variant>
        <vt:i4>1179698</vt:i4>
      </vt:variant>
      <vt:variant>
        <vt:i4>38</vt:i4>
      </vt:variant>
      <vt:variant>
        <vt:i4>0</vt:i4>
      </vt:variant>
      <vt:variant>
        <vt:i4>5</vt:i4>
      </vt:variant>
      <vt:variant>
        <vt:lpwstr/>
      </vt:variant>
      <vt:variant>
        <vt:lpwstr>_Toc158793247</vt:lpwstr>
      </vt:variant>
      <vt:variant>
        <vt:i4>1179698</vt:i4>
      </vt:variant>
      <vt:variant>
        <vt:i4>32</vt:i4>
      </vt:variant>
      <vt:variant>
        <vt:i4>0</vt:i4>
      </vt:variant>
      <vt:variant>
        <vt:i4>5</vt:i4>
      </vt:variant>
      <vt:variant>
        <vt:lpwstr/>
      </vt:variant>
      <vt:variant>
        <vt:lpwstr>_Toc158793246</vt:lpwstr>
      </vt:variant>
      <vt:variant>
        <vt:i4>1179698</vt:i4>
      </vt:variant>
      <vt:variant>
        <vt:i4>26</vt:i4>
      </vt:variant>
      <vt:variant>
        <vt:i4>0</vt:i4>
      </vt:variant>
      <vt:variant>
        <vt:i4>5</vt:i4>
      </vt:variant>
      <vt:variant>
        <vt:lpwstr/>
      </vt:variant>
      <vt:variant>
        <vt:lpwstr>_Toc158793245</vt:lpwstr>
      </vt:variant>
      <vt:variant>
        <vt:i4>1179698</vt:i4>
      </vt:variant>
      <vt:variant>
        <vt:i4>20</vt:i4>
      </vt:variant>
      <vt:variant>
        <vt:i4>0</vt:i4>
      </vt:variant>
      <vt:variant>
        <vt:i4>5</vt:i4>
      </vt:variant>
      <vt:variant>
        <vt:lpwstr/>
      </vt:variant>
      <vt:variant>
        <vt:lpwstr>_Toc158793244</vt:lpwstr>
      </vt:variant>
      <vt:variant>
        <vt:i4>1179698</vt:i4>
      </vt:variant>
      <vt:variant>
        <vt:i4>14</vt:i4>
      </vt:variant>
      <vt:variant>
        <vt:i4>0</vt:i4>
      </vt:variant>
      <vt:variant>
        <vt:i4>5</vt:i4>
      </vt:variant>
      <vt:variant>
        <vt:lpwstr/>
      </vt:variant>
      <vt:variant>
        <vt:lpwstr>_Toc158793243</vt:lpwstr>
      </vt:variant>
      <vt:variant>
        <vt:i4>1179698</vt:i4>
      </vt:variant>
      <vt:variant>
        <vt:i4>8</vt:i4>
      </vt:variant>
      <vt:variant>
        <vt:i4>0</vt:i4>
      </vt:variant>
      <vt:variant>
        <vt:i4>5</vt:i4>
      </vt:variant>
      <vt:variant>
        <vt:lpwstr/>
      </vt:variant>
      <vt:variant>
        <vt:lpwstr>_Toc158793242</vt:lpwstr>
      </vt:variant>
      <vt:variant>
        <vt:i4>1179698</vt:i4>
      </vt:variant>
      <vt:variant>
        <vt:i4>2</vt:i4>
      </vt:variant>
      <vt:variant>
        <vt:i4>0</vt:i4>
      </vt:variant>
      <vt:variant>
        <vt:i4>5</vt:i4>
      </vt:variant>
      <vt:variant>
        <vt:lpwstr/>
      </vt:variant>
      <vt:variant>
        <vt:lpwstr>_Toc158793241</vt:lpwstr>
      </vt:variant>
      <vt:variant>
        <vt:i4>5832745</vt:i4>
      </vt:variant>
      <vt:variant>
        <vt:i4>0</vt:i4>
      </vt:variant>
      <vt:variant>
        <vt:i4>0</vt:i4>
      </vt:variant>
      <vt:variant>
        <vt:i4>5</vt:i4>
      </vt:variant>
      <vt:variant>
        <vt:lpwstr>mailto:neil.cross@essex-fire.gov.uk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Rebecca Twin</cp:lastModifiedBy>
  <cp:revision>2</cp:revision>
  <cp:lastPrinted>2023-03-22T05:27:00Z</cp:lastPrinted>
  <dcterms:created xsi:type="dcterms:W3CDTF">2024-03-13T17:08:00Z</dcterms:created>
  <dcterms:modified xsi:type="dcterms:W3CDTF">2024-03-13T17:08:00Z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0x0101002137CDF28091F54ABBD6D52DBDB7409D</vt:lpwstr>
  </property>
  <property fmtid="{D5CDD505-2E9C-101B-9397-08002B2CF9AE}" pid="3" name="ClassificationContentMarkingHeaderShapeIds">
    <vt:lpwstr>1,2,4,5,6,7</vt:lpwstr>
  </property>
  <property fmtid="{D5CDD505-2E9C-101B-9397-08002B2CF9AE}" pid="4" name="ClassificationContentMarkingHeaderFontProps">
    <vt:lpwstr>#000000,10,Calibri</vt:lpwstr>
  </property>
  <property fmtid="{D5CDD505-2E9C-101B-9397-08002B2CF9AE}" pid="5" name="ClassificationContentMarkingHeaderText">
    <vt:lpwstr>OFFICIAL-SENSITIVE</vt:lpwstr>
  </property>
  <property fmtid="{D5CDD505-2E9C-101B-9397-08002B2CF9AE}" pid="6" name="ClassificationContentMarkingFooterShapeIds">
    <vt:lpwstr>8,9,b,c,d,e</vt:lpwstr>
  </property>
  <property fmtid="{D5CDD505-2E9C-101B-9397-08002B2CF9AE}" pid="7" name="ClassificationContentMarkingFooterFontProps">
    <vt:lpwstr>#000000,10,Calibri</vt:lpwstr>
  </property>
  <property fmtid="{D5CDD505-2E9C-101B-9397-08002B2CF9AE}" pid="8" name="ClassificationContentMarkingFooterText">
    <vt:lpwstr>OFFICIAL-SENSITIVE</vt:lpwstr>
  </property>
  <property fmtid="{D5CDD505-2E9C-101B-9397-08002B2CF9AE}" pid="9" name="MSIP_Label_74be8931-9cf2-4b28-9e7a-7dabaadc249f_Enabled">
    <vt:lpwstr>true</vt:lpwstr>
  </property>
  <property fmtid="{D5CDD505-2E9C-101B-9397-08002B2CF9AE}" pid="10" name="MSIP_Label_74be8931-9cf2-4b28-9e7a-7dabaadc249f_SetDate">
    <vt:lpwstr>2022-01-28T08:45:43Z</vt:lpwstr>
  </property>
  <property fmtid="{D5CDD505-2E9C-101B-9397-08002B2CF9AE}" pid="11" name="MSIP_Label_74be8931-9cf2-4b28-9e7a-7dabaadc249f_Method">
    <vt:lpwstr>Privileged</vt:lpwstr>
  </property>
  <property fmtid="{D5CDD505-2E9C-101B-9397-08002B2CF9AE}" pid="12" name="MSIP_Label_74be8931-9cf2-4b28-9e7a-7dabaadc249f_Name">
    <vt:lpwstr>OFFICIAL-SENSITIVE</vt:lpwstr>
  </property>
  <property fmtid="{D5CDD505-2E9C-101B-9397-08002B2CF9AE}" pid="13" name="MSIP_Label_74be8931-9cf2-4b28-9e7a-7dabaadc249f_SiteId">
    <vt:lpwstr>ebb4b37b-40c4-4b17-825c-5dc692c18888</vt:lpwstr>
  </property>
  <property fmtid="{D5CDD505-2E9C-101B-9397-08002B2CF9AE}" pid="14" name="MSIP_Label_74be8931-9cf2-4b28-9e7a-7dabaadc249f_ActionId">
    <vt:lpwstr>3db08272-6c58-4370-a6d3-7f9c35e1ad6f</vt:lpwstr>
  </property>
  <property fmtid="{D5CDD505-2E9C-101B-9397-08002B2CF9AE}" pid="15" name="MSIP_Label_74be8931-9cf2-4b28-9e7a-7dabaadc249f_ContentBits">
    <vt:lpwstr>3</vt:lpwstr>
  </property>
  <property fmtid="{D5CDD505-2E9C-101B-9397-08002B2CF9AE}" pid="16" name="MediaServiceImageTags">
    <vt:lpwstr/>
  </property>
</Properties>
</file>