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B47E" w14:textId="00FA2635" w:rsidR="00570C22" w:rsidRDefault="00EF6ADD" w:rsidP="00E710CC">
      <w:pPr>
        <w:rPr>
          <w:rFonts w:ascii="Calibri" w:hAnsi="Calibri"/>
        </w:rPr>
      </w:pPr>
      <w:r>
        <w:rPr>
          <w:noProof/>
        </w:rPr>
        <w:drawing>
          <wp:anchor distT="0" distB="0" distL="114300" distR="114300" simplePos="0" relativeHeight="251658241" behindDoc="0" locked="0" layoutInCell="1" allowOverlap="1" wp14:anchorId="1C6A599C" wp14:editId="7DC2B4E7">
            <wp:simplePos x="0" y="0"/>
            <wp:positionH relativeFrom="margin">
              <wp:align>center</wp:align>
            </wp:positionH>
            <wp:positionV relativeFrom="page">
              <wp:posOffset>533400</wp:posOffset>
            </wp:positionV>
            <wp:extent cx="4172585" cy="1478280"/>
            <wp:effectExtent l="0" t="0" r="0" b="7620"/>
            <wp:wrapSquare wrapText="bothSides"/>
            <wp:docPr id="2756" name="Picture 275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 name="Picture 2756" descr="Text&#10;&#10;Description automatically generated with medium confidence"/>
                    <pic:cNvPicPr/>
                  </pic:nvPicPr>
                  <pic:blipFill>
                    <a:blip r:embed="rId11" cstate="screen">
                      <a:extLst>
                        <a:ext uri="{28A0092B-C50C-407E-A947-70E740481C1C}">
                          <a14:useLocalDpi xmlns:a14="http://schemas.microsoft.com/office/drawing/2010/main"/>
                        </a:ext>
                      </a:extLst>
                    </a:blip>
                    <a:stretch>
                      <a:fillRect/>
                    </a:stretch>
                  </pic:blipFill>
                  <pic:spPr>
                    <a:xfrm>
                      <a:off x="0" y="0"/>
                      <a:ext cx="4172585" cy="1478280"/>
                    </a:xfrm>
                    <a:prstGeom prst="rect">
                      <a:avLst/>
                    </a:prstGeom>
                  </pic:spPr>
                </pic:pic>
              </a:graphicData>
            </a:graphic>
            <wp14:sizeRelH relativeFrom="page">
              <wp14:pctWidth>0</wp14:pctWidth>
            </wp14:sizeRelH>
            <wp14:sizeRelV relativeFrom="page">
              <wp14:pctHeight>0</wp14:pctHeight>
            </wp14:sizeRelV>
          </wp:anchor>
        </w:drawing>
      </w:r>
      <w:r w:rsidR="00D212B1">
        <w:rPr>
          <w:noProof/>
        </w:rPr>
        <w:drawing>
          <wp:anchor distT="0" distB="0" distL="114300" distR="114300" simplePos="0" relativeHeight="251658240" behindDoc="0" locked="0" layoutInCell="1" allowOverlap="1" wp14:anchorId="64FCA63B" wp14:editId="5223E024">
            <wp:simplePos x="0" y="0"/>
            <wp:positionH relativeFrom="page">
              <wp:align>right</wp:align>
            </wp:positionH>
            <wp:positionV relativeFrom="paragraph">
              <wp:posOffset>-721067</wp:posOffset>
            </wp:positionV>
            <wp:extent cx="7559675" cy="8654415"/>
            <wp:effectExtent l="0" t="0" r="3175" b="0"/>
            <wp:wrapNone/>
            <wp:docPr id="41606" name="Picture 41606"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41606" name="Picture 41606" descr="Shape, arrow&#10;&#10;Description automatically generated"/>
                    <pic:cNvPicPr/>
                  </pic:nvPicPr>
                  <pic:blipFill>
                    <a:blip r:embed="rId12" cstate="email">
                      <a:extLst>
                        <a:ext uri="{28A0092B-C50C-407E-A947-70E740481C1C}">
                          <a14:useLocalDpi xmlns:a14="http://schemas.microsoft.com/office/drawing/2010/main"/>
                        </a:ext>
                      </a:extLst>
                    </a:blip>
                    <a:stretch>
                      <a:fillRect/>
                    </a:stretch>
                  </pic:blipFill>
                  <pic:spPr>
                    <a:xfrm>
                      <a:off x="0" y="0"/>
                      <a:ext cx="7559675" cy="8654415"/>
                    </a:xfrm>
                    <a:prstGeom prst="rect">
                      <a:avLst/>
                    </a:prstGeom>
                  </pic:spPr>
                </pic:pic>
              </a:graphicData>
            </a:graphic>
          </wp:anchor>
        </w:drawing>
      </w:r>
    </w:p>
    <w:p w14:paraId="3D46998A" w14:textId="1C60DE70" w:rsidR="002110C8" w:rsidRPr="00AE6BE1" w:rsidRDefault="002110C8" w:rsidP="00E710CC">
      <w:pPr>
        <w:rPr>
          <w:rFonts w:ascii="Calibri" w:hAnsi="Calibri"/>
        </w:rPr>
      </w:pPr>
    </w:p>
    <w:p w14:paraId="63B2A12B" w14:textId="576EDB84" w:rsidR="0030771A" w:rsidRPr="00AE6BE1" w:rsidRDefault="0030771A" w:rsidP="00E710CC">
      <w:pPr>
        <w:rPr>
          <w:rFonts w:ascii="Calibri" w:hAnsi="Calibri"/>
        </w:rPr>
      </w:pPr>
    </w:p>
    <w:p w14:paraId="161DE002" w14:textId="271AA933" w:rsidR="0030771A" w:rsidRPr="00AE6BE1" w:rsidRDefault="0030771A" w:rsidP="00E710CC">
      <w:pPr>
        <w:rPr>
          <w:rFonts w:ascii="Calibri" w:hAnsi="Calibri"/>
        </w:rPr>
      </w:pPr>
    </w:p>
    <w:p w14:paraId="680D0349" w14:textId="26E2DCA5" w:rsidR="0030771A" w:rsidRPr="00AE6BE1" w:rsidRDefault="0030771A" w:rsidP="00E710CC">
      <w:pPr>
        <w:rPr>
          <w:rFonts w:ascii="Calibri" w:hAnsi="Calibri"/>
        </w:rPr>
      </w:pPr>
    </w:p>
    <w:p w14:paraId="08767213" w14:textId="0CE42C34" w:rsidR="0030771A" w:rsidRPr="00AE6BE1" w:rsidRDefault="0030771A" w:rsidP="00E710CC">
      <w:pPr>
        <w:rPr>
          <w:rFonts w:ascii="Calibri" w:hAnsi="Calibri"/>
        </w:rPr>
      </w:pPr>
    </w:p>
    <w:p w14:paraId="48D12010" w14:textId="59EF550D" w:rsidR="00BF00CA" w:rsidRPr="00AE6BE1" w:rsidRDefault="00BF00CA" w:rsidP="00BF00CA">
      <w:pPr>
        <w:spacing w:after="240"/>
        <w:rPr>
          <w:rFonts w:ascii="Calibri" w:hAnsi="Calibri"/>
        </w:rPr>
      </w:pPr>
    </w:p>
    <w:p w14:paraId="19C7DAEF" w14:textId="17986372" w:rsidR="00BF00CA" w:rsidRPr="00AE6BE1" w:rsidRDefault="00963C0A" w:rsidP="00BF00CA">
      <w:pPr>
        <w:spacing w:after="240"/>
        <w:rPr>
          <w:rFonts w:ascii="Calibri" w:hAnsi="Calibri"/>
        </w:rPr>
      </w:pPr>
      <w:r>
        <w:rPr>
          <w:noProof/>
        </w:rPr>
        <mc:AlternateContent>
          <mc:Choice Requires="wps">
            <w:drawing>
              <wp:anchor distT="0" distB="0" distL="114300" distR="114300" simplePos="0" relativeHeight="251658242" behindDoc="0" locked="0" layoutInCell="1" allowOverlap="1" wp14:anchorId="41CB5CA6" wp14:editId="21B60203">
                <wp:simplePos x="0" y="0"/>
                <wp:positionH relativeFrom="column">
                  <wp:posOffset>385151</wp:posOffset>
                </wp:positionH>
                <wp:positionV relativeFrom="paragraph">
                  <wp:posOffset>87678</wp:posOffset>
                </wp:positionV>
                <wp:extent cx="6028055" cy="3291840"/>
                <wp:effectExtent l="0" t="0" r="0" b="0"/>
                <wp:wrapNone/>
                <wp:docPr id="18" name="Rectangle 18"/>
                <wp:cNvGraphicFramePr/>
                <a:graphic xmlns:a="http://schemas.openxmlformats.org/drawingml/2006/main">
                  <a:graphicData uri="http://schemas.microsoft.com/office/word/2010/wordprocessingShape">
                    <wps:wsp>
                      <wps:cNvSpPr/>
                      <wps:spPr>
                        <a:xfrm>
                          <a:off x="0" y="0"/>
                          <a:ext cx="6028055" cy="3291840"/>
                        </a:xfrm>
                        <a:prstGeom prst="rect">
                          <a:avLst/>
                        </a:prstGeom>
                        <a:ln>
                          <a:noFill/>
                        </a:ln>
                      </wps:spPr>
                      <wps:txbx>
                        <w:txbxContent>
                          <w:p w14:paraId="24D6D53A" w14:textId="0C1F0529" w:rsidR="00963C0A" w:rsidRPr="00F377A7" w:rsidRDefault="00963C0A" w:rsidP="00963C0A">
                            <w:pPr>
                              <w:spacing w:after="240"/>
                              <w:jc w:val="right"/>
                              <w:rPr>
                                <w:rFonts w:ascii="Rockwell" w:hAnsi="Rockwell" w:cstheme="minorBidi"/>
                                <w:b/>
                                <w:color w:val="FFFFFF" w:themeColor="background1"/>
                                <w:sz w:val="48"/>
                                <w:szCs w:val="48"/>
                              </w:rPr>
                            </w:pPr>
                            <w:r w:rsidRPr="00F377A7">
                              <w:rPr>
                                <w:rFonts w:ascii="Rockwell" w:hAnsi="Rockwell" w:cstheme="minorBidi"/>
                                <w:b/>
                                <w:color w:val="FFFFFF" w:themeColor="background1"/>
                                <w:sz w:val="48"/>
                                <w:szCs w:val="48"/>
                              </w:rPr>
                              <w:t>Essex County Fire and Rescue Service</w:t>
                            </w:r>
                            <w:r w:rsidRPr="00F377A7">
                              <w:rPr>
                                <w:rFonts w:ascii="Rockwell" w:hAnsi="Rockwell" w:cstheme="minorBidi"/>
                                <w:b/>
                                <w:color w:val="FFFFFF" w:themeColor="background1"/>
                                <w:sz w:val="48"/>
                                <w:szCs w:val="48"/>
                              </w:rPr>
                              <w:br/>
                              <w:t>Reserves Strategy</w:t>
                            </w:r>
                          </w:p>
                          <w:p w14:paraId="60BED654" w14:textId="77777777" w:rsidR="00963C0A" w:rsidRPr="00F377A7" w:rsidRDefault="00963C0A" w:rsidP="00963C0A">
                            <w:pPr>
                              <w:spacing w:after="240"/>
                              <w:jc w:val="right"/>
                              <w:rPr>
                                <w:rFonts w:ascii="Rockwell" w:hAnsi="Rockwell" w:cstheme="minorBidi"/>
                                <w:b/>
                                <w:color w:val="FFFFFF" w:themeColor="background1"/>
                                <w:sz w:val="48"/>
                                <w:szCs w:val="48"/>
                              </w:rPr>
                            </w:pPr>
                            <w:r w:rsidRPr="00F377A7">
                              <w:rPr>
                                <w:rFonts w:ascii="Rockwell" w:hAnsi="Rockwell" w:cstheme="minorBidi"/>
                                <w:b/>
                                <w:color w:val="FFFFFF" w:themeColor="background1"/>
                                <w:sz w:val="48"/>
                                <w:szCs w:val="48"/>
                              </w:rPr>
                              <w:t>2024/25</w:t>
                            </w:r>
                          </w:p>
                          <w:p w14:paraId="14314091" w14:textId="77777777" w:rsidR="00963C0A" w:rsidRPr="00ED0D98" w:rsidRDefault="00963C0A" w:rsidP="00963C0A">
                            <w:pPr>
                              <w:spacing w:after="160" w:line="259" w:lineRule="auto"/>
                              <w:jc w:val="right"/>
                              <w:rPr>
                                <w:b/>
                                <w:bCs/>
                                <w:color w:val="FFFFFF" w:themeColor="background1"/>
                                <w:sz w:val="48"/>
                                <w:szCs w:val="48"/>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1CB5CA6" id="Rectangle 18" o:spid="_x0000_s1026" style="position:absolute;margin-left:30.35pt;margin-top:6.9pt;width:474.65pt;height:25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" filled="f" stroked="f">
                <v:textbox inset="0,0,0,0">
                  <w:txbxContent>
                    <w:p w14:paraId="24D6D53A" w14:textId="0C1F0529" w:rsidR="00963C0A" w:rsidRPr="00F377A7" w:rsidRDefault="00963C0A" w:rsidP="00963C0A">
                      <w:pPr>
                        <w:spacing w:after="240"/>
                        <w:jc w:val="right"/>
                        <w:rPr>
                          <w:rFonts w:ascii="Rockwell" w:hAnsi="Rockwell" w:cstheme="minorBidi"/>
                          <w:b/>
                          <w:color w:val="FFFFFF" w:themeColor="background1"/>
                          <w:sz w:val="48"/>
                          <w:szCs w:val="48"/>
                        </w:rPr>
                      </w:pPr>
                      <w:r w:rsidRPr="00F377A7">
                        <w:rPr>
                          <w:rFonts w:ascii="Rockwell" w:hAnsi="Rockwell" w:cstheme="minorBidi"/>
                          <w:b/>
                          <w:color w:val="FFFFFF" w:themeColor="background1"/>
                          <w:sz w:val="48"/>
                          <w:szCs w:val="48"/>
                        </w:rPr>
                        <w:t>Essex County Fire and Rescue Service</w:t>
                      </w:r>
                      <w:r w:rsidRPr="00F377A7">
                        <w:rPr>
                          <w:rFonts w:ascii="Rockwell" w:hAnsi="Rockwell" w:cstheme="minorBidi"/>
                          <w:b/>
                          <w:color w:val="FFFFFF" w:themeColor="background1"/>
                          <w:sz w:val="48"/>
                          <w:szCs w:val="48"/>
                        </w:rPr>
                        <w:br/>
                        <w:t>Reserves Strategy</w:t>
                      </w:r>
                    </w:p>
                    <w:p w14:paraId="60BED654" w14:textId="77777777" w:rsidR="00963C0A" w:rsidRPr="00F377A7" w:rsidRDefault="00963C0A" w:rsidP="00963C0A">
                      <w:pPr>
                        <w:spacing w:after="240"/>
                        <w:jc w:val="right"/>
                        <w:rPr>
                          <w:rFonts w:ascii="Rockwell" w:hAnsi="Rockwell" w:cstheme="minorBidi"/>
                          <w:b/>
                          <w:color w:val="FFFFFF" w:themeColor="background1"/>
                          <w:sz w:val="48"/>
                          <w:szCs w:val="48"/>
                        </w:rPr>
                      </w:pPr>
                      <w:r w:rsidRPr="00F377A7">
                        <w:rPr>
                          <w:rFonts w:ascii="Rockwell" w:hAnsi="Rockwell" w:cstheme="minorBidi"/>
                          <w:b/>
                          <w:color w:val="FFFFFF" w:themeColor="background1"/>
                          <w:sz w:val="48"/>
                          <w:szCs w:val="48"/>
                        </w:rPr>
                        <w:t>2024/25</w:t>
                      </w:r>
                    </w:p>
                    <w:p w14:paraId="14314091" w14:textId="77777777" w:rsidR="00963C0A" w:rsidRPr="00ED0D98" w:rsidRDefault="00963C0A" w:rsidP="00963C0A">
                      <w:pPr>
                        <w:spacing w:after="160" w:line="259" w:lineRule="auto"/>
                        <w:jc w:val="right"/>
                        <w:rPr>
                          <w:b/>
                          <w:bCs/>
                          <w:color w:val="FFFFFF" w:themeColor="background1"/>
                          <w:sz w:val="48"/>
                          <w:szCs w:val="48"/>
                        </w:rPr>
                      </w:pPr>
                    </w:p>
                  </w:txbxContent>
                </v:textbox>
              </v:rect>
            </w:pict>
          </mc:Fallback>
        </mc:AlternateContent>
      </w:r>
    </w:p>
    <w:p w14:paraId="1D1DBEF8" w14:textId="1933E9CB" w:rsidR="0030771A" w:rsidRPr="00AE6BE1" w:rsidRDefault="0030771A" w:rsidP="00BF00CA">
      <w:pPr>
        <w:spacing w:after="240"/>
        <w:rPr>
          <w:rFonts w:ascii="Calibri" w:hAnsi="Calibri"/>
        </w:rPr>
      </w:pPr>
    </w:p>
    <w:p w14:paraId="779CBEF9" w14:textId="5357596E" w:rsidR="0030771A" w:rsidRPr="00AE6BE1" w:rsidRDefault="0030771A" w:rsidP="00BF00CA">
      <w:pPr>
        <w:spacing w:after="240"/>
        <w:rPr>
          <w:rFonts w:ascii="Calibri" w:hAnsi="Calibri"/>
        </w:rPr>
      </w:pPr>
    </w:p>
    <w:p w14:paraId="590EBE48" w14:textId="25A6AA86" w:rsidR="0030771A" w:rsidRPr="00AE6BE1" w:rsidRDefault="0030771A" w:rsidP="00BF00CA">
      <w:pPr>
        <w:spacing w:after="240"/>
        <w:rPr>
          <w:rFonts w:ascii="Calibri" w:hAnsi="Calibri"/>
        </w:rPr>
      </w:pPr>
    </w:p>
    <w:p w14:paraId="05E88C68" w14:textId="455F2E53" w:rsidR="0030771A" w:rsidRPr="00AE6BE1" w:rsidRDefault="0030771A" w:rsidP="00BF00CA">
      <w:pPr>
        <w:spacing w:after="240"/>
        <w:rPr>
          <w:rFonts w:ascii="Calibri" w:hAnsi="Calibri"/>
        </w:rPr>
      </w:pPr>
    </w:p>
    <w:p w14:paraId="6F80F6FF" w14:textId="41909477" w:rsidR="0030771A" w:rsidRPr="00AE6BE1" w:rsidRDefault="0030771A" w:rsidP="00BF00CA">
      <w:pPr>
        <w:spacing w:after="240"/>
        <w:rPr>
          <w:rFonts w:ascii="Calibri" w:hAnsi="Calibri"/>
        </w:rPr>
      </w:pPr>
    </w:p>
    <w:p w14:paraId="629C6E92" w14:textId="264AD2F9" w:rsidR="0030771A" w:rsidRPr="00AE6BE1" w:rsidRDefault="0030771A" w:rsidP="00BF00CA">
      <w:pPr>
        <w:spacing w:after="240"/>
        <w:rPr>
          <w:rFonts w:ascii="Calibri" w:hAnsi="Calibri"/>
        </w:rPr>
      </w:pPr>
    </w:p>
    <w:p w14:paraId="1F8C5E92" w14:textId="6714BEC9" w:rsidR="0030771A" w:rsidRPr="00AE6BE1" w:rsidRDefault="0030771A" w:rsidP="00BF00CA">
      <w:pPr>
        <w:spacing w:after="240"/>
        <w:rPr>
          <w:rFonts w:ascii="Calibri" w:hAnsi="Calibri"/>
        </w:rPr>
      </w:pPr>
    </w:p>
    <w:p w14:paraId="21E80441" w14:textId="5CF80648" w:rsidR="0030771A" w:rsidRPr="00AE6BE1" w:rsidRDefault="0030771A" w:rsidP="00BF00CA">
      <w:pPr>
        <w:spacing w:after="240"/>
        <w:rPr>
          <w:rFonts w:ascii="Calibri" w:hAnsi="Calibri"/>
        </w:rPr>
      </w:pPr>
    </w:p>
    <w:p w14:paraId="3215DBBD" w14:textId="0B9BA480" w:rsidR="0030771A" w:rsidRPr="00AE6BE1" w:rsidRDefault="0030771A" w:rsidP="00BF00CA">
      <w:pPr>
        <w:spacing w:after="240"/>
        <w:rPr>
          <w:rFonts w:ascii="Calibri" w:hAnsi="Calibri"/>
        </w:rPr>
      </w:pPr>
    </w:p>
    <w:p w14:paraId="6D0276DF" w14:textId="129747F1" w:rsidR="0030771A" w:rsidRPr="00AE6BE1" w:rsidRDefault="0030771A" w:rsidP="00BF00CA">
      <w:pPr>
        <w:spacing w:after="240"/>
        <w:rPr>
          <w:rFonts w:ascii="Calibri" w:hAnsi="Calibri"/>
        </w:rPr>
      </w:pPr>
    </w:p>
    <w:p w14:paraId="50AFB700" w14:textId="77777777" w:rsidR="0030771A" w:rsidRPr="00AE6BE1" w:rsidRDefault="0030771A" w:rsidP="00BF00CA">
      <w:pPr>
        <w:spacing w:after="240"/>
        <w:rPr>
          <w:rFonts w:ascii="Calibri" w:hAnsi="Calibri"/>
        </w:rPr>
      </w:pPr>
    </w:p>
    <w:p w14:paraId="2326C37D" w14:textId="1BEC2D0E" w:rsidR="00E211F6" w:rsidRPr="00AE6BE1" w:rsidRDefault="00E211F6" w:rsidP="00BF00CA">
      <w:pPr>
        <w:spacing w:after="240"/>
        <w:rPr>
          <w:rFonts w:ascii="Calibri" w:hAnsi="Calibri"/>
        </w:rPr>
      </w:pPr>
    </w:p>
    <w:p w14:paraId="4E8945C8" w14:textId="023C2A35" w:rsidR="00AB294D" w:rsidRPr="00AE6BE1" w:rsidRDefault="00267CCC" w:rsidP="00BF00CA">
      <w:pPr>
        <w:spacing w:after="240"/>
        <w:rPr>
          <w:rFonts w:ascii="Calibri" w:hAnsi="Calibri"/>
        </w:rPr>
      </w:pPr>
      <w:r>
        <w:rPr>
          <w:rFonts w:eastAsia="Calibri" w:cs="Calibri"/>
          <w:noProof/>
          <w:color w:val="2B579A"/>
          <w:sz w:val="22"/>
        </w:rPr>
        <mc:AlternateContent>
          <mc:Choice Requires="wps">
            <w:drawing>
              <wp:anchor distT="0" distB="0" distL="114300" distR="114300" simplePos="0" relativeHeight="251658244" behindDoc="1" locked="0" layoutInCell="1" allowOverlap="1" wp14:anchorId="25CA83E8" wp14:editId="2E563900">
                <wp:simplePos x="0" y="0"/>
                <wp:positionH relativeFrom="column">
                  <wp:posOffset>-77470</wp:posOffset>
                </wp:positionH>
                <wp:positionV relativeFrom="paragraph">
                  <wp:posOffset>277641</wp:posOffset>
                </wp:positionV>
                <wp:extent cx="7936230" cy="4415708"/>
                <wp:effectExtent l="38100" t="19050" r="26670" b="23495"/>
                <wp:wrapNone/>
                <wp:docPr id="2753" name="Right Triangle 2753"/>
                <wp:cNvGraphicFramePr/>
                <a:graphic xmlns:a="http://schemas.openxmlformats.org/drawingml/2006/main">
                  <a:graphicData uri="http://schemas.microsoft.com/office/word/2010/wordprocessingShape">
                    <wps:wsp>
                      <wps:cNvSpPr/>
                      <wps:spPr>
                        <a:xfrm flipH="1">
                          <a:off x="0" y="0"/>
                          <a:ext cx="7936230" cy="4415708"/>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8BE41" id="_x0000_t6" coordsize="21600,21600" o:spt="6" path="m,l,21600r21600,xe">
                <v:stroke joinstyle="miter"/>
                <v:path gradientshapeok="t" o:connecttype="custom" o:connectlocs="0,0;0,10800;0,21600;10800,21600;21600,21600;10800,10800" textboxrect="1800,12600,12600,19800"/>
              </v:shapetype>
              <v:shape id="Right Triangle 2753" o:spid="_x0000_s1026" type="#_x0000_t6" style="position:absolute;margin-left:-6.1pt;margin-top:21.85pt;width:624.9pt;height:347.7pt;flip:x;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" fillcolor="black [3200]" strokecolor="black [1600]" strokeweight="1pt"/>
            </w:pict>
          </mc:Fallback>
        </mc:AlternateContent>
      </w:r>
    </w:p>
    <w:p w14:paraId="1AF5028B" w14:textId="6FCA7F57" w:rsidR="00AB294D" w:rsidRDefault="00AB294D" w:rsidP="00AB294D">
      <w:pPr>
        <w:spacing w:after="240"/>
        <w:rPr>
          <w:b/>
          <w:bCs/>
          <w:sz w:val="28"/>
          <w:szCs w:val="28"/>
        </w:rPr>
      </w:pPr>
    </w:p>
    <w:p w14:paraId="4D0D584A" w14:textId="76A0CF36" w:rsidR="00AE58F2" w:rsidRDefault="00AE58F2" w:rsidP="00AB294D">
      <w:pPr>
        <w:spacing w:after="240"/>
        <w:rPr>
          <w:b/>
          <w:bCs/>
          <w:sz w:val="28"/>
          <w:szCs w:val="28"/>
        </w:rPr>
      </w:pPr>
    </w:p>
    <w:p w14:paraId="0340039F" w14:textId="74C613BC" w:rsidR="00AE58F2" w:rsidRDefault="00AE58F2" w:rsidP="00AB294D">
      <w:pPr>
        <w:spacing w:after="240"/>
        <w:rPr>
          <w:b/>
          <w:bCs/>
          <w:sz w:val="28"/>
          <w:szCs w:val="28"/>
        </w:rPr>
      </w:pPr>
    </w:p>
    <w:p w14:paraId="71AA4724" w14:textId="4FE5C079" w:rsidR="00AE58F2" w:rsidRDefault="00AE58F2" w:rsidP="00AB294D">
      <w:pPr>
        <w:spacing w:after="240"/>
        <w:rPr>
          <w:b/>
          <w:bCs/>
          <w:sz w:val="28"/>
          <w:szCs w:val="28"/>
        </w:rPr>
      </w:pPr>
    </w:p>
    <w:p w14:paraId="166E9389" w14:textId="19DDCDB8" w:rsidR="00AE58F2" w:rsidRDefault="00AE58F2" w:rsidP="00AB294D">
      <w:pPr>
        <w:spacing w:after="240"/>
        <w:rPr>
          <w:b/>
          <w:bCs/>
          <w:sz w:val="28"/>
          <w:szCs w:val="28"/>
        </w:rPr>
      </w:pPr>
    </w:p>
    <w:p w14:paraId="51123EC2" w14:textId="183B895F" w:rsidR="00AE58F2" w:rsidRDefault="00AE58F2" w:rsidP="00AB294D">
      <w:pPr>
        <w:spacing w:after="240"/>
        <w:rPr>
          <w:b/>
          <w:bCs/>
          <w:sz w:val="28"/>
          <w:szCs w:val="28"/>
        </w:rPr>
      </w:pPr>
    </w:p>
    <w:p w14:paraId="12634B63" w14:textId="6C6BE4FA" w:rsidR="00AE58F2" w:rsidRDefault="005568A8" w:rsidP="00AB294D">
      <w:pPr>
        <w:spacing w:after="240"/>
        <w:rPr>
          <w:b/>
          <w:bCs/>
          <w:sz w:val="28"/>
          <w:szCs w:val="28"/>
        </w:rPr>
      </w:pPr>
      <w:r>
        <w:rPr>
          <w:noProof/>
        </w:rPr>
        <mc:AlternateContent>
          <mc:Choice Requires="wps">
            <w:drawing>
              <wp:anchor distT="0" distB="0" distL="114300" distR="114300" simplePos="0" relativeHeight="251658243" behindDoc="0" locked="0" layoutInCell="1" allowOverlap="1" wp14:anchorId="59040327" wp14:editId="09F9CD35">
                <wp:simplePos x="0" y="0"/>
                <wp:positionH relativeFrom="column">
                  <wp:posOffset>0</wp:posOffset>
                </wp:positionH>
                <wp:positionV relativeFrom="paragraph">
                  <wp:posOffset>0</wp:posOffset>
                </wp:positionV>
                <wp:extent cx="3566795" cy="727710"/>
                <wp:effectExtent l="0" t="0" r="0" b="0"/>
                <wp:wrapNone/>
                <wp:docPr id="1381545319" name="Rectangle 1381545319"/>
                <wp:cNvGraphicFramePr/>
                <a:graphic xmlns:a="http://schemas.openxmlformats.org/drawingml/2006/main">
                  <a:graphicData uri="http://schemas.microsoft.com/office/word/2010/wordprocessingShape">
                    <wps:wsp>
                      <wps:cNvSpPr/>
                      <wps:spPr>
                        <a:xfrm>
                          <a:off x="0" y="0"/>
                          <a:ext cx="3566795" cy="727710"/>
                        </a:xfrm>
                        <a:prstGeom prst="rect">
                          <a:avLst/>
                        </a:prstGeom>
                        <a:ln>
                          <a:noFill/>
                        </a:ln>
                      </wps:spPr>
                      <wps:txbx>
                        <w:txbxContent>
                          <w:p w14:paraId="0FACC076" w14:textId="77777777" w:rsidR="005568A8" w:rsidRPr="00C01363" w:rsidRDefault="005568A8" w:rsidP="005568A8">
                            <w:pPr>
                              <w:tabs>
                                <w:tab w:val="left" w:pos="709"/>
                              </w:tabs>
                              <w:autoSpaceDE w:val="0"/>
                              <w:autoSpaceDN w:val="0"/>
                              <w:adjustRightInd w:val="0"/>
                              <w:spacing w:before="120" w:after="60"/>
                              <w:jc w:val="both"/>
                              <w:rPr>
                                <w:rFonts w:asciiTheme="minorBidi" w:hAnsiTheme="minorBidi" w:cstheme="minorBidi"/>
                                <w:b/>
                                <w:color w:val="FFFFFF" w:themeColor="background1"/>
                              </w:rPr>
                            </w:pPr>
                            <w:r w:rsidRPr="00C01363">
                              <w:rPr>
                                <w:rFonts w:asciiTheme="minorBidi" w:hAnsiTheme="minorBidi" w:cstheme="minorBidi"/>
                                <w:b/>
                                <w:color w:val="FFFFFF" w:themeColor="background1"/>
                              </w:rPr>
                              <w:t>Last updated on 12 February 2024</w:t>
                            </w:r>
                          </w:p>
                          <w:p w14:paraId="716026C3" w14:textId="77777777" w:rsidR="005568A8" w:rsidRPr="00ED0D98" w:rsidRDefault="005568A8" w:rsidP="005568A8">
                            <w:pPr>
                              <w:spacing w:after="160" w:line="259" w:lineRule="auto"/>
                              <w:jc w:val="right"/>
                              <w:rPr>
                                <w:b/>
                                <w:bCs/>
                                <w:color w:val="FFFFFF" w:themeColor="background1"/>
                                <w:sz w:val="48"/>
                                <w:szCs w:val="48"/>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9040327" id="Rectangle 1381545319" o:spid="_x0000_s1027" style="position:absolute;margin-left:0;margin-top:0;width:280.85pt;height:57.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" filled="f" stroked="f">
                <v:textbox inset="0,0,0,0">
                  <w:txbxContent>
                    <w:p w14:paraId="0FACC076" w14:textId="77777777" w:rsidR="005568A8" w:rsidRPr="00C01363" w:rsidRDefault="005568A8" w:rsidP="005568A8">
                      <w:pPr>
                        <w:tabs>
                          <w:tab w:val="left" w:pos="709"/>
                        </w:tabs>
                        <w:autoSpaceDE w:val="0"/>
                        <w:autoSpaceDN w:val="0"/>
                        <w:adjustRightInd w:val="0"/>
                        <w:spacing w:before="120" w:after="60"/>
                        <w:jc w:val="both"/>
                        <w:rPr>
                          <w:rFonts w:asciiTheme="minorBidi" w:hAnsiTheme="minorBidi" w:cstheme="minorBidi"/>
                          <w:b/>
                          <w:color w:val="FFFFFF" w:themeColor="background1"/>
                        </w:rPr>
                      </w:pPr>
                      <w:r w:rsidRPr="00C01363">
                        <w:rPr>
                          <w:rFonts w:asciiTheme="minorBidi" w:hAnsiTheme="minorBidi" w:cstheme="minorBidi"/>
                          <w:b/>
                          <w:color w:val="FFFFFF" w:themeColor="background1"/>
                        </w:rPr>
                        <w:t>Last updated on 12 February 2024</w:t>
                      </w:r>
                    </w:p>
                    <w:p w14:paraId="716026C3" w14:textId="77777777" w:rsidR="005568A8" w:rsidRPr="00ED0D98" w:rsidRDefault="005568A8" w:rsidP="005568A8">
                      <w:pPr>
                        <w:spacing w:after="160" w:line="259" w:lineRule="auto"/>
                        <w:jc w:val="right"/>
                        <w:rPr>
                          <w:b/>
                          <w:bCs/>
                          <w:color w:val="FFFFFF" w:themeColor="background1"/>
                          <w:sz w:val="48"/>
                          <w:szCs w:val="48"/>
                        </w:rPr>
                      </w:pPr>
                    </w:p>
                  </w:txbxContent>
                </v:textbox>
              </v:rect>
            </w:pict>
          </mc:Fallback>
        </mc:AlternateContent>
      </w:r>
    </w:p>
    <w:p w14:paraId="11FA71E2" w14:textId="0ADDDF62" w:rsidR="00AE58F2" w:rsidRPr="00AE6BE1" w:rsidRDefault="004014A9" w:rsidP="00AB294D">
      <w:pPr>
        <w:spacing w:after="240"/>
        <w:rPr>
          <w:b/>
          <w:bCs/>
          <w:sz w:val="28"/>
          <w:szCs w:val="28"/>
        </w:rPr>
      </w:pPr>
      <w:r>
        <w:rPr>
          <w:noProof/>
        </w:rPr>
        <mc:AlternateContent>
          <mc:Choice Requires="wps">
            <w:drawing>
              <wp:anchor distT="0" distB="0" distL="114300" distR="114300" simplePos="0" relativeHeight="251658245" behindDoc="0" locked="0" layoutInCell="1" allowOverlap="1" wp14:anchorId="7CCF6F11" wp14:editId="29DFD1D5">
                <wp:simplePos x="0" y="0"/>
                <wp:positionH relativeFrom="column">
                  <wp:posOffset>3874379</wp:posOffset>
                </wp:positionH>
                <wp:positionV relativeFrom="paragraph">
                  <wp:posOffset>762000</wp:posOffset>
                </wp:positionV>
                <wp:extent cx="3566795" cy="727710"/>
                <wp:effectExtent l="0" t="0" r="0" b="0"/>
                <wp:wrapNone/>
                <wp:docPr id="1819855696" name="Rectangle 1819855696"/>
                <wp:cNvGraphicFramePr/>
                <a:graphic xmlns:a="http://schemas.openxmlformats.org/drawingml/2006/main">
                  <a:graphicData uri="http://schemas.microsoft.com/office/word/2010/wordprocessingShape">
                    <wps:wsp>
                      <wps:cNvSpPr/>
                      <wps:spPr>
                        <a:xfrm>
                          <a:off x="0" y="0"/>
                          <a:ext cx="3566795" cy="727710"/>
                        </a:xfrm>
                        <a:prstGeom prst="rect">
                          <a:avLst/>
                        </a:prstGeom>
                        <a:ln>
                          <a:noFill/>
                        </a:ln>
                      </wps:spPr>
                      <wps:txbx>
                        <w:txbxContent>
                          <w:p w14:paraId="0ADE12BF" w14:textId="77777777" w:rsidR="004014A9" w:rsidRPr="004014A9" w:rsidRDefault="004014A9" w:rsidP="004014A9">
                            <w:pPr>
                              <w:tabs>
                                <w:tab w:val="left" w:pos="709"/>
                              </w:tabs>
                              <w:autoSpaceDE w:val="0"/>
                              <w:autoSpaceDN w:val="0"/>
                              <w:adjustRightInd w:val="0"/>
                              <w:spacing w:before="120" w:after="60"/>
                              <w:jc w:val="both"/>
                              <w:rPr>
                                <w:b/>
                                <w:color w:val="FFFFFF" w:themeColor="background1"/>
                              </w:rPr>
                            </w:pPr>
                            <w:r w:rsidRPr="004014A9">
                              <w:rPr>
                                <w:b/>
                                <w:color w:val="FFFFFF" w:themeColor="background1"/>
                              </w:rPr>
                              <w:t>Last updated on 12 February 2024</w:t>
                            </w:r>
                          </w:p>
                          <w:p w14:paraId="0481E0FD" w14:textId="77777777" w:rsidR="004014A9" w:rsidRPr="00ED0D98" w:rsidRDefault="004014A9" w:rsidP="004014A9">
                            <w:pPr>
                              <w:spacing w:after="160" w:line="259" w:lineRule="auto"/>
                              <w:jc w:val="right"/>
                              <w:rPr>
                                <w:b/>
                                <w:bCs/>
                                <w:color w:val="FFFFFF" w:themeColor="background1"/>
                                <w:sz w:val="48"/>
                                <w:szCs w:val="48"/>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CCF6F11" id="Rectangle 1819855696" o:spid="_x0000_s1028" style="position:absolute;margin-left:305.05pt;margin-top:60pt;width:280.85pt;height:57.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" filled="f" stroked="f">
                <v:textbox inset="0,0,0,0">
                  <w:txbxContent>
                    <w:p w14:paraId="0ADE12BF" w14:textId="77777777" w:rsidR="004014A9" w:rsidRPr="004014A9" w:rsidRDefault="004014A9" w:rsidP="004014A9">
                      <w:pPr>
                        <w:tabs>
                          <w:tab w:val="left" w:pos="709"/>
                        </w:tabs>
                        <w:autoSpaceDE w:val="0"/>
                        <w:autoSpaceDN w:val="0"/>
                        <w:adjustRightInd w:val="0"/>
                        <w:spacing w:before="120" w:after="60"/>
                        <w:jc w:val="both"/>
                        <w:rPr>
                          <w:b/>
                          <w:color w:val="FFFFFF" w:themeColor="background1"/>
                        </w:rPr>
                      </w:pPr>
                      <w:r w:rsidRPr="004014A9">
                        <w:rPr>
                          <w:b/>
                          <w:color w:val="FFFFFF" w:themeColor="background1"/>
                        </w:rPr>
                        <w:t>Last updated on 12 February 2024</w:t>
                      </w:r>
                    </w:p>
                    <w:p w14:paraId="0481E0FD" w14:textId="77777777" w:rsidR="004014A9" w:rsidRPr="00ED0D98" w:rsidRDefault="004014A9" w:rsidP="004014A9">
                      <w:pPr>
                        <w:spacing w:after="160" w:line="259" w:lineRule="auto"/>
                        <w:jc w:val="right"/>
                        <w:rPr>
                          <w:b/>
                          <w:bCs/>
                          <w:color w:val="FFFFFF" w:themeColor="background1"/>
                          <w:sz w:val="48"/>
                          <w:szCs w:val="48"/>
                        </w:rPr>
                      </w:pPr>
                    </w:p>
                  </w:txbxContent>
                </v:textbox>
              </v:rect>
            </w:pict>
          </mc:Fallback>
        </mc:AlternateContent>
      </w:r>
    </w:p>
    <w:sdt>
      <w:sdtPr>
        <w:rPr>
          <w:rFonts w:ascii="Arial" w:eastAsia="Times New Roman" w:hAnsi="Arial" w:cs="Arial"/>
          <w:color w:val="auto"/>
          <w:sz w:val="24"/>
          <w:szCs w:val="24"/>
          <w:lang w:val="en-GB"/>
        </w:rPr>
        <w:id w:val="922608016"/>
        <w:docPartObj>
          <w:docPartGallery w:val="Table of Contents"/>
          <w:docPartUnique/>
        </w:docPartObj>
      </w:sdtPr>
      <w:sdtEndPr>
        <w:rPr>
          <w:b/>
          <w:bCs/>
          <w:noProof/>
        </w:rPr>
      </w:sdtEndPr>
      <w:sdtContent>
        <w:p w14:paraId="021374C1" w14:textId="1A3361CF" w:rsidR="00AB294D" w:rsidRPr="00AE6BE1" w:rsidRDefault="00AB294D">
          <w:pPr>
            <w:pStyle w:val="TOCHeading"/>
            <w:rPr>
              <w:rFonts w:ascii="Arial" w:hAnsi="Arial" w:cs="Arial"/>
              <w:b/>
              <w:bCs/>
              <w:color w:val="auto"/>
              <w:sz w:val="28"/>
              <w:szCs w:val="28"/>
            </w:rPr>
          </w:pPr>
          <w:r w:rsidRPr="00AE6BE1">
            <w:rPr>
              <w:rFonts w:ascii="Arial" w:hAnsi="Arial" w:cs="Arial"/>
              <w:b/>
              <w:bCs/>
              <w:color w:val="auto"/>
              <w:sz w:val="28"/>
              <w:szCs w:val="28"/>
            </w:rPr>
            <w:t>Contents</w:t>
          </w:r>
        </w:p>
        <w:p w14:paraId="403C0B54" w14:textId="77777777" w:rsidR="00AB294D" w:rsidRPr="00AE6BE1" w:rsidRDefault="00AB294D" w:rsidP="00AB294D">
          <w:pPr>
            <w:rPr>
              <w:lang w:val="en-US"/>
            </w:rPr>
          </w:pPr>
        </w:p>
        <w:p w14:paraId="33834660" w14:textId="3EFFF7A9" w:rsidR="0005431D" w:rsidRDefault="00AB294D">
          <w:pPr>
            <w:pStyle w:val="TOC1"/>
            <w:rPr>
              <w:rFonts w:asciiTheme="minorHAnsi" w:eastAsiaTheme="minorEastAsia" w:hAnsiTheme="minorHAnsi" w:cstheme="minorBidi"/>
              <w:noProof/>
              <w:kern w:val="2"/>
              <w:lang w:eastAsia="en-GB"/>
              <w14:ligatures w14:val="standardContextual"/>
            </w:rPr>
          </w:pPr>
          <w:r w:rsidRPr="00AE6BE1">
            <w:fldChar w:fldCharType="begin"/>
          </w:r>
          <w:r w:rsidRPr="00AE6BE1">
            <w:instrText xml:space="preserve"> TOC \o "1-3" \h \z \u </w:instrText>
          </w:r>
          <w:r w:rsidRPr="00AE6BE1">
            <w:fldChar w:fldCharType="separate"/>
          </w:r>
          <w:hyperlink w:anchor="_Toc161241620" w:history="1">
            <w:r w:rsidR="0005431D" w:rsidRPr="007F32FE">
              <w:rPr>
                <w:rStyle w:val="Hyperlink"/>
                <w:b/>
                <w:bCs/>
                <w:noProof/>
              </w:rPr>
              <w:t>1.</w:t>
            </w:r>
            <w:r w:rsidR="0005431D">
              <w:rPr>
                <w:rFonts w:asciiTheme="minorHAnsi" w:eastAsiaTheme="minorEastAsia" w:hAnsiTheme="minorHAnsi" w:cstheme="minorBidi"/>
                <w:noProof/>
                <w:kern w:val="2"/>
                <w:lang w:eastAsia="en-GB"/>
                <w14:ligatures w14:val="standardContextual"/>
              </w:rPr>
              <w:tab/>
            </w:r>
            <w:r w:rsidR="0005431D" w:rsidRPr="007F32FE">
              <w:rPr>
                <w:rStyle w:val="Hyperlink"/>
                <w:b/>
                <w:bCs/>
                <w:noProof/>
              </w:rPr>
              <w:t>Background</w:t>
            </w:r>
            <w:r w:rsidR="0005431D">
              <w:rPr>
                <w:noProof/>
                <w:webHidden/>
              </w:rPr>
              <w:tab/>
            </w:r>
            <w:r w:rsidR="0005431D">
              <w:rPr>
                <w:noProof/>
                <w:webHidden/>
              </w:rPr>
              <w:fldChar w:fldCharType="begin"/>
            </w:r>
            <w:r w:rsidR="0005431D">
              <w:rPr>
                <w:noProof/>
                <w:webHidden/>
              </w:rPr>
              <w:instrText xml:space="preserve"> PAGEREF _Toc161241620 \h </w:instrText>
            </w:r>
            <w:r w:rsidR="0005431D">
              <w:rPr>
                <w:noProof/>
                <w:webHidden/>
              </w:rPr>
            </w:r>
            <w:r w:rsidR="0005431D">
              <w:rPr>
                <w:noProof/>
                <w:webHidden/>
              </w:rPr>
              <w:fldChar w:fldCharType="separate"/>
            </w:r>
            <w:r w:rsidR="0005431D">
              <w:rPr>
                <w:noProof/>
                <w:webHidden/>
              </w:rPr>
              <w:t>3</w:t>
            </w:r>
            <w:r w:rsidR="0005431D">
              <w:rPr>
                <w:noProof/>
                <w:webHidden/>
              </w:rPr>
              <w:fldChar w:fldCharType="end"/>
            </w:r>
          </w:hyperlink>
        </w:p>
        <w:p w14:paraId="4E2FADEB" w14:textId="34382D11" w:rsidR="0005431D" w:rsidRDefault="009032C9">
          <w:pPr>
            <w:pStyle w:val="TOC1"/>
            <w:rPr>
              <w:rFonts w:asciiTheme="minorHAnsi" w:eastAsiaTheme="minorEastAsia" w:hAnsiTheme="minorHAnsi" w:cstheme="minorBidi"/>
              <w:noProof/>
              <w:kern w:val="2"/>
              <w:lang w:eastAsia="en-GB"/>
              <w14:ligatures w14:val="standardContextual"/>
            </w:rPr>
          </w:pPr>
          <w:hyperlink w:anchor="_Toc161241621" w:history="1">
            <w:r w:rsidR="0005431D" w:rsidRPr="007F32FE">
              <w:rPr>
                <w:rStyle w:val="Hyperlink"/>
                <w:b/>
                <w:bCs/>
                <w:noProof/>
              </w:rPr>
              <w:t>2.</w:t>
            </w:r>
            <w:r w:rsidR="0005431D">
              <w:rPr>
                <w:rFonts w:asciiTheme="minorHAnsi" w:eastAsiaTheme="minorEastAsia" w:hAnsiTheme="minorHAnsi" w:cstheme="minorBidi"/>
                <w:noProof/>
                <w:kern w:val="2"/>
                <w:lang w:eastAsia="en-GB"/>
                <w14:ligatures w14:val="standardContextual"/>
              </w:rPr>
              <w:tab/>
            </w:r>
            <w:r w:rsidR="0005431D" w:rsidRPr="007F32FE">
              <w:rPr>
                <w:rStyle w:val="Hyperlink"/>
                <w:b/>
                <w:bCs/>
                <w:noProof/>
              </w:rPr>
              <w:t>Categories of Reserves</w:t>
            </w:r>
            <w:r w:rsidR="0005431D">
              <w:rPr>
                <w:noProof/>
                <w:webHidden/>
              </w:rPr>
              <w:tab/>
            </w:r>
            <w:r w:rsidR="0005431D">
              <w:rPr>
                <w:noProof/>
                <w:webHidden/>
              </w:rPr>
              <w:fldChar w:fldCharType="begin"/>
            </w:r>
            <w:r w:rsidR="0005431D">
              <w:rPr>
                <w:noProof/>
                <w:webHidden/>
              </w:rPr>
              <w:instrText xml:space="preserve"> PAGEREF _Toc161241621 \h </w:instrText>
            </w:r>
            <w:r w:rsidR="0005431D">
              <w:rPr>
                <w:noProof/>
                <w:webHidden/>
              </w:rPr>
            </w:r>
            <w:r w:rsidR="0005431D">
              <w:rPr>
                <w:noProof/>
                <w:webHidden/>
              </w:rPr>
              <w:fldChar w:fldCharType="separate"/>
            </w:r>
            <w:r w:rsidR="0005431D">
              <w:rPr>
                <w:noProof/>
                <w:webHidden/>
              </w:rPr>
              <w:t>4</w:t>
            </w:r>
            <w:r w:rsidR="0005431D">
              <w:rPr>
                <w:noProof/>
                <w:webHidden/>
              </w:rPr>
              <w:fldChar w:fldCharType="end"/>
            </w:r>
          </w:hyperlink>
        </w:p>
        <w:p w14:paraId="162FE2A5" w14:textId="024A8A2F" w:rsidR="0005431D" w:rsidRDefault="009032C9">
          <w:pPr>
            <w:pStyle w:val="TOC1"/>
            <w:rPr>
              <w:rFonts w:asciiTheme="minorHAnsi" w:eastAsiaTheme="minorEastAsia" w:hAnsiTheme="minorHAnsi" w:cstheme="minorBidi"/>
              <w:noProof/>
              <w:kern w:val="2"/>
              <w:lang w:eastAsia="en-GB"/>
              <w14:ligatures w14:val="standardContextual"/>
            </w:rPr>
          </w:pPr>
          <w:hyperlink w:anchor="_Toc161241622" w:history="1">
            <w:r w:rsidR="0005431D" w:rsidRPr="007F32FE">
              <w:rPr>
                <w:rStyle w:val="Hyperlink"/>
                <w:b/>
                <w:bCs/>
                <w:noProof/>
              </w:rPr>
              <w:t>3.</w:t>
            </w:r>
            <w:r w:rsidR="0005431D">
              <w:rPr>
                <w:rFonts w:asciiTheme="minorHAnsi" w:eastAsiaTheme="minorEastAsia" w:hAnsiTheme="minorHAnsi" w:cstheme="minorBidi"/>
                <w:noProof/>
                <w:kern w:val="2"/>
                <w:lang w:eastAsia="en-GB"/>
                <w14:ligatures w14:val="standardContextual"/>
              </w:rPr>
              <w:tab/>
            </w:r>
            <w:r w:rsidR="0005431D" w:rsidRPr="007F32FE">
              <w:rPr>
                <w:rStyle w:val="Hyperlink"/>
                <w:b/>
                <w:bCs/>
                <w:noProof/>
              </w:rPr>
              <w:t>Flexible Use of Capital Receipts</w:t>
            </w:r>
            <w:r w:rsidR="0005431D">
              <w:rPr>
                <w:noProof/>
                <w:webHidden/>
              </w:rPr>
              <w:tab/>
            </w:r>
            <w:r w:rsidR="0005431D">
              <w:rPr>
                <w:noProof/>
                <w:webHidden/>
              </w:rPr>
              <w:fldChar w:fldCharType="begin"/>
            </w:r>
            <w:r w:rsidR="0005431D">
              <w:rPr>
                <w:noProof/>
                <w:webHidden/>
              </w:rPr>
              <w:instrText xml:space="preserve"> PAGEREF _Toc161241622 \h </w:instrText>
            </w:r>
            <w:r w:rsidR="0005431D">
              <w:rPr>
                <w:noProof/>
                <w:webHidden/>
              </w:rPr>
            </w:r>
            <w:r w:rsidR="0005431D">
              <w:rPr>
                <w:noProof/>
                <w:webHidden/>
              </w:rPr>
              <w:fldChar w:fldCharType="separate"/>
            </w:r>
            <w:r w:rsidR="0005431D">
              <w:rPr>
                <w:noProof/>
                <w:webHidden/>
              </w:rPr>
              <w:t>9</w:t>
            </w:r>
            <w:r w:rsidR="0005431D">
              <w:rPr>
                <w:noProof/>
                <w:webHidden/>
              </w:rPr>
              <w:fldChar w:fldCharType="end"/>
            </w:r>
          </w:hyperlink>
        </w:p>
        <w:p w14:paraId="4616985A" w14:textId="4C95CA65" w:rsidR="0005431D" w:rsidRDefault="009032C9">
          <w:pPr>
            <w:pStyle w:val="TOC1"/>
            <w:rPr>
              <w:rFonts w:asciiTheme="minorHAnsi" w:eastAsiaTheme="minorEastAsia" w:hAnsiTheme="minorHAnsi" w:cstheme="minorBidi"/>
              <w:noProof/>
              <w:kern w:val="2"/>
              <w:lang w:eastAsia="en-GB"/>
              <w14:ligatures w14:val="standardContextual"/>
            </w:rPr>
          </w:pPr>
          <w:hyperlink w:anchor="_Toc161241623" w:history="1">
            <w:r w:rsidR="0005431D" w:rsidRPr="007F32FE">
              <w:rPr>
                <w:rStyle w:val="Hyperlink"/>
                <w:b/>
                <w:bCs/>
                <w:noProof/>
              </w:rPr>
              <w:t>4.</w:t>
            </w:r>
            <w:r w:rsidR="0005431D">
              <w:rPr>
                <w:rFonts w:asciiTheme="minorHAnsi" w:eastAsiaTheme="minorEastAsia" w:hAnsiTheme="minorHAnsi" w:cstheme="minorBidi"/>
                <w:noProof/>
                <w:kern w:val="2"/>
                <w:lang w:eastAsia="en-GB"/>
                <w14:ligatures w14:val="standardContextual"/>
              </w:rPr>
              <w:tab/>
            </w:r>
            <w:r w:rsidR="0005431D" w:rsidRPr="007F32FE">
              <w:rPr>
                <w:rStyle w:val="Hyperlink"/>
                <w:b/>
                <w:bCs/>
                <w:noProof/>
              </w:rPr>
              <w:t>Risks</w:t>
            </w:r>
            <w:r w:rsidR="0005431D">
              <w:rPr>
                <w:noProof/>
                <w:webHidden/>
              </w:rPr>
              <w:tab/>
            </w:r>
            <w:r w:rsidR="0005431D">
              <w:rPr>
                <w:noProof/>
                <w:webHidden/>
              </w:rPr>
              <w:fldChar w:fldCharType="begin"/>
            </w:r>
            <w:r w:rsidR="0005431D">
              <w:rPr>
                <w:noProof/>
                <w:webHidden/>
              </w:rPr>
              <w:instrText xml:space="preserve"> PAGEREF _Toc161241623 \h </w:instrText>
            </w:r>
            <w:r w:rsidR="0005431D">
              <w:rPr>
                <w:noProof/>
                <w:webHidden/>
              </w:rPr>
            </w:r>
            <w:r w:rsidR="0005431D">
              <w:rPr>
                <w:noProof/>
                <w:webHidden/>
              </w:rPr>
              <w:fldChar w:fldCharType="separate"/>
            </w:r>
            <w:r w:rsidR="0005431D">
              <w:rPr>
                <w:noProof/>
                <w:webHidden/>
              </w:rPr>
              <w:t>10</w:t>
            </w:r>
            <w:r w:rsidR="0005431D">
              <w:rPr>
                <w:noProof/>
                <w:webHidden/>
              </w:rPr>
              <w:fldChar w:fldCharType="end"/>
            </w:r>
          </w:hyperlink>
        </w:p>
        <w:p w14:paraId="6BDF8850" w14:textId="54C69EE9" w:rsidR="0005431D" w:rsidRDefault="009032C9">
          <w:pPr>
            <w:pStyle w:val="TOC1"/>
            <w:rPr>
              <w:rFonts w:asciiTheme="minorHAnsi" w:eastAsiaTheme="minorEastAsia" w:hAnsiTheme="minorHAnsi" w:cstheme="minorBidi"/>
              <w:noProof/>
              <w:kern w:val="2"/>
              <w:lang w:eastAsia="en-GB"/>
              <w14:ligatures w14:val="standardContextual"/>
            </w:rPr>
          </w:pPr>
          <w:hyperlink w:anchor="_Toc161241624" w:history="1">
            <w:r w:rsidR="0005431D" w:rsidRPr="007F32FE">
              <w:rPr>
                <w:rStyle w:val="Hyperlink"/>
                <w:b/>
                <w:bCs/>
                <w:noProof/>
              </w:rPr>
              <w:t>Appendix 1 – Summary Table of Reserves</w:t>
            </w:r>
            <w:r w:rsidR="0005431D">
              <w:rPr>
                <w:noProof/>
                <w:webHidden/>
              </w:rPr>
              <w:tab/>
            </w:r>
            <w:r w:rsidR="0005431D">
              <w:rPr>
                <w:noProof/>
                <w:webHidden/>
              </w:rPr>
              <w:fldChar w:fldCharType="begin"/>
            </w:r>
            <w:r w:rsidR="0005431D">
              <w:rPr>
                <w:noProof/>
                <w:webHidden/>
              </w:rPr>
              <w:instrText xml:space="preserve"> PAGEREF _Toc161241624 \h </w:instrText>
            </w:r>
            <w:r w:rsidR="0005431D">
              <w:rPr>
                <w:noProof/>
                <w:webHidden/>
              </w:rPr>
            </w:r>
            <w:r w:rsidR="0005431D">
              <w:rPr>
                <w:noProof/>
                <w:webHidden/>
              </w:rPr>
              <w:fldChar w:fldCharType="separate"/>
            </w:r>
            <w:r w:rsidR="0005431D">
              <w:rPr>
                <w:noProof/>
                <w:webHidden/>
              </w:rPr>
              <w:t>11</w:t>
            </w:r>
            <w:r w:rsidR="0005431D">
              <w:rPr>
                <w:noProof/>
                <w:webHidden/>
              </w:rPr>
              <w:fldChar w:fldCharType="end"/>
            </w:r>
          </w:hyperlink>
        </w:p>
        <w:p w14:paraId="3F72C8E9" w14:textId="797D5A2C" w:rsidR="00AB294D" w:rsidRPr="00AE6BE1" w:rsidRDefault="00AB294D">
          <w:r w:rsidRPr="00AE6BE1">
            <w:rPr>
              <w:b/>
              <w:bCs/>
              <w:noProof/>
            </w:rPr>
            <w:fldChar w:fldCharType="end"/>
          </w:r>
        </w:p>
      </w:sdtContent>
    </w:sdt>
    <w:p w14:paraId="7F76621A" w14:textId="70D39D93" w:rsidR="00AB294D" w:rsidRPr="00AE6BE1" w:rsidRDefault="00AB294D" w:rsidP="00AB294D">
      <w:pPr>
        <w:spacing w:after="240"/>
        <w:rPr>
          <w:b/>
          <w:bCs/>
          <w:sz w:val="28"/>
          <w:szCs w:val="28"/>
        </w:rPr>
      </w:pPr>
    </w:p>
    <w:p w14:paraId="36551F31" w14:textId="77777777" w:rsidR="00AB294D" w:rsidRPr="00AE6BE1" w:rsidRDefault="00AB294D" w:rsidP="00AB294D">
      <w:pPr>
        <w:spacing w:after="240"/>
        <w:rPr>
          <w:b/>
          <w:bCs/>
          <w:sz w:val="28"/>
          <w:szCs w:val="28"/>
        </w:rPr>
        <w:sectPr w:rsidR="00AB294D" w:rsidRPr="00AE6BE1" w:rsidSect="00761694">
          <w:headerReference w:type="even" r:id="rId13"/>
          <w:headerReference w:type="default" r:id="rId14"/>
          <w:footerReference w:type="even" r:id="rId15"/>
          <w:footerReference w:type="default" r:id="rId16"/>
          <w:footerReference w:type="first" r:id="rId17"/>
          <w:pgSz w:w="11906" w:h="16838" w:code="9"/>
          <w:pgMar w:top="1134" w:right="1134" w:bottom="142" w:left="1276" w:header="709" w:footer="709" w:gutter="0"/>
          <w:cols w:space="708"/>
          <w:titlePg/>
          <w:docGrid w:linePitch="360"/>
        </w:sectPr>
      </w:pPr>
    </w:p>
    <w:p w14:paraId="58AC5516" w14:textId="13683E64" w:rsidR="005F6851" w:rsidRPr="00AE6BE1" w:rsidRDefault="00B76493" w:rsidP="00AB294D">
      <w:pPr>
        <w:pStyle w:val="Heading1"/>
        <w:numPr>
          <w:ilvl w:val="0"/>
          <w:numId w:val="39"/>
        </w:numPr>
        <w:spacing w:before="0" w:after="240"/>
        <w:ind w:left="426" w:hanging="426"/>
        <w:rPr>
          <w:rFonts w:ascii="Arial" w:hAnsi="Arial" w:cs="Arial"/>
          <w:b/>
          <w:bCs/>
          <w:color w:val="auto"/>
          <w:sz w:val="28"/>
          <w:szCs w:val="28"/>
        </w:rPr>
      </w:pPr>
      <w:bookmarkStart w:id="0" w:name="_Toc161241620"/>
      <w:r w:rsidRPr="00AE6BE1">
        <w:rPr>
          <w:rFonts w:ascii="Arial" w:hAnsi="Arial" w:cs="Arial"/>
          <w:b/>
          <w:bCs/>
          <w:color w:val="auto"/>
          <w:sz w:val="28"/>
          <w:szCs w:val="28"/>
        </w:rPr>
        <w:lastRenderedPageBreak/>
        <w:t>Background</w:t>
      </w:r>
      <w:bookmarkEnd w:id="0"/>
    </w:p>
    <w:p w14:paraId="664916CA" w14:textId="77777777" w:rsidR="00F95149" w:rsidRPr="00AE6BE1" w:rsidRDefault="00F95149" w:rsidP="002E045F">
      <w:pPr>
        <w:tabs>
          <w:tab w:val="left" w:pos="709"/>
        </w:tabs>
        <w:autoSpaceDE w:val="0"/>
        <w:autoSpaceDN w:val="0"/>
        <w:adjustRightInd w:val="0"/>
        <w:spacing w:after="120"/>
        <w:ind w:left="425"/>
        <w:jc w:val="both"/>
        <w:rPr>
          <w:bCs/>
          <w:color w:val="000000"/>
        </w:rPr>
      </w:pPr>
      <w:r w:rsidRPr="00AE6BE1">
        <w:rPr>
          <w:bCs/>
          <w:color w:val="000000"/>
        </w:rPr>
        <w:t>The Reserves Strategy sets out our level of reserves and what we intend to use them for.</w:t>
      </w:r>
    </w:p>
    <w:p w14:paraId="00763CA2" w14:textId="77777777" w:rsidR="00B24517" w:rsidRPr="00AE6BE1" w:rsidRDefault="00DF0C6D" w:rsidP="002E045F">
      <w:pPr>
        <w:autoSpaceDE w:val="0"/>
        <w:autoSpaceDN w:val="0"/>
        <w:adjustRightInd w:val="0"/>
        <w:spacing w:after="120"/>
        <w:ind w:left="425"/>
        <w:jc w:val="both"/>
        <w:rPr>
          <w:color w:val="000000"/>
        </w:rPr>
      </w:pPr>
      <w:r w:rsidRPr="00AE6BE1">
        <w:rPr>
          <w:color w:val="000000"/>
        </w:rPr>
        <w:t xml:space="preserve">The Home Office published the Fire and Rescue National Framework in May </w:t>
      </w:r>
      <w:r w:rsidR="00953F4C" w:rsidRPr="00AE6BE1">
        <w:rPr>
          <w:color w:val="000000"/>
        </w:rPr>
        <w:t>2018;</w:t>
      </w:r>
      <w:r w:rsidRPr="00AE6BE1">
        <w:rPr>
          <w:color w:val="000000"/>
        </w:rPr>
        <w:t xml:space="preserve"> in </w:t>
      </w:r>
      <w:r w:rsidR="00953F4C" w:rsidRPr="00AE6BE1">
        <w:rPr>
          <w:color w:val="000000"/>
        </w:rPr>
        <w:t>addition,</w:t>
      </w:r>
      <w:r w:rsidRPr="00AE6BE1">
        <w:rPr>
          <w:color w:val="000000"/>
        </w:rPr>
        <w:t xml:space="preserve"> </w:t>
      </w:r>
      <w:r w:rsidR="00F04D99" w:rsidRPr="00AE6BE1">
        <w:rPr>
          <w:color w:val="000000"/>
        </w:rPr>
        <w:t>a Financial</w:t>
      </w:r>
      <w:r w:rsidRPr="00AE6BE1">
        <w:rPr>
          <w:color w:val="000000"/>
        </w:rPr>
        <w:t xml:space="preserve"> Management Code of Practice </w:t>
      </w:r>
      <w:r w:rsidR="001422E0" w:rsidRPr="00AE6BE1">
        <w:rPr>
          <w:color w:val="000000"/>
        </w:rPr>
        <w:t>has been</w:t>
      </w:r>
      <w:r w:rsidRPr="00AE6BE1">
        <w:rPr>
          <w:color w:val="000000"/>
        </w:rPr>
        <w:t xml:space="preserve"> issued. Both these documents include reference to reserves. The main elements are:</w:t>
      </w:r>
    </w:p>
    <w:p w14:paraId="2913C39F" w14:textId="2B4D0A0B" w:rsidR="002E045F" w:rsidRPr="00AE6BE1" w:rsidRDefault="00DF0C6D" w:rsidP="002E045F">
      <w:pPr>
        <w:numPr>
          <w:ilvl w:val="0"/>
          <w:numId w:val="38"/>
        </w:numPr>
        <w:autoSpaceDE w:val="0"/>
        <w:autoSpaceDN w:val="0"/>
        <w:adjustRightInd w:val="0"/>
        <w:spacing w:before="120" w:after="120"/>
        <w:ind w:left="993" w:hanging="357"/>
        <w:jc w:val="both"/>
      </w:pPr>
      <w:r w:rsidRPr="00AE6BE1">
        <w:t>Sections 31A, 32, 42A and 43 of the Local Government Finance Act 1992 requires billing and precepting authorities to have regard to the level of reserves needed for meeting estimated future expenditure when calculating the budget requirement</w:t>
      </w:r>
      <w:r w:rsidR="00BF654C" w:rsidRPr="00AE6BE1">
        <w:t>.</w:t>
      </w:r>
      <w:r w:rsidRPr="00AE6BE1">
        <w:t xml:space="preserve"> </w:t>
      </w:r>
    </w:p>
    <w:p w14:paraId="3EFE80F3" w14:textId="52C9522C" w:rsidR="00DF0C6D" w:rsidRPr="00AE6BE1" w:rsidRDefault="00DF0C6D" w:rsidP="002E045F">
      <w:pPr>
        <w:numPr>
          <w:ilvl w:val="0"/>
          <w:numId w:val="38"/>
        </w:numPr>
        <w:autoSpaceDE w:val="0"/>
        <w:autoSpaceDN w:val="0"/>
        <w:adjustRightInd w:val="0"/>
        <w:spacing w:before="120" w:after="120"/>
        <w:ind w:left="993" w:hanging="357"/>
        <w:jc w:val="both"/>
      </w:pPr>
      <w:r w:rsidRPr="00AE6BE1">
        <w:t xml:space="preserve">Fire and </w:t>
      </w:r>
      <w:r w:rsidR="008D2B34">
        <w:t>R</w:t>
      </w:r>
      <w:r w:rsidRPr="00AE6BE1">
        <w:t xml:space="preserve">escue </w:t>
      </w:r>
      <w:r w:rsidR="008D2B34">
        <w:t>A</w:t>
      </w:r>
      <w:r w:rsidRPr="00AE6BE1">
        <w:t>uthorities</w:t>
      </w:r>
      <w:r w:rsidR="008D2B34">
        <w:t xml:space="preserve"> (FRA’s)</w:t>
      </w:r>
      <w:r w:rsidRPr="00AE6BE1">
        <w:t xml:space="preserve"> should establish a policy on reserves and provisions in consultation with their </w:t>
      </w:r>
      <w:r w:rsidR="00B81A3C" w:rsidRPr="00AE6BE1">
        <w:t>C</w:t>
      </w:r>
      <w:r w:rsidRPr="00AE6BE1">
        <w:t xml:space="preserve">hief </w:t>
      </w:r>
      <w:r w:rsidR="00B81A3C" w:rsidRPr="00AE6BE1">
        <w:t>F</w:t>
      </w:r>
      <w:r w:rsidRPr="00AE6BE1">
        <w:t xml:space="preserve">inance </w:t>
      </w:r>
      <w:r w:rsidR="00B81A3C" w:rsidRPr="00AE6BE1">
        <w:t>O</w:t>
      </w:r>
      <w:r w:rsidRPr="00AE6BE1">
        <w:t xml:space="preserve">fficer. General </w:t>
      </w:r>
      <w:r w:rsidR="008D2B34">
        <w:t>R</w:t>
      </w:r>
      <w:r w:rsidRPr="00AE6BE1">
        <w:t xml:space="preserve">eserves should be held by the </w:t>
      </w:r>
      <w:r w:rsidR="008D2B34">
        <w:t>F</w:t>
      </w:r>
      <w:r w:rsidRPr="00AE6BE1">
        <w:t xml:space="preserve">ire and </w:t>
      </w:r>
      <w:r w:rsidR="008D2B34">
        <w:t>R</w:t>
      </w:r>
      <w:r w:rsidRPr="00AE6BE1">
        <w:t xml:space="preserve">escue </w:t>
      </w:r>
      <w:r w:rsidR="008D2B34">
        <w:t>A</w:t>
      </w:r>
      <w:r w:rsidRPr="00AE6BE1">
        <w:t>uthority and managed to balance funding and spending priorities and to manage risks. Th</w:t>
      </w:r>
      <w:r w:rsidR="00FA1CAB" w:rsidRPr="00AE6BE1">
        <w:t>ese</w:t>
      </w:r>
      <w:r w:rsidRPr="00AE6BE1">
        <w:t xml:space="preserve"> should be established as part of the medium-term financial planning process</w:t>
      </w:r>
      <w:r w:rsidR="007F3644" w:rsidRPr="00AE6BE1">
        <w:t xml:space="preserve">, as presented in the </w:t>
      </w:r>
      <w:r w:rsidR="004238A6" w:rsidRPr="00AE6BE1">
        <w:t>M</w:t>
      </w:r>
      <w:r w:rsidR="007F3644" w:rsidRPr="00AE6BE1">
        <w:t>edium</w:t>
      </w:r>
      <w:r w:rsidR="005D26C8">
        <w:t xml:space="preserve"> </w:t>
      </w:r>
      <w:r w:rsidR="004238A6" w:rsidRPr="00AE6BE1">
        <w:t>T</w:t>
      </w:r>
      <w:r w:rsidR="007F3644" w:rsidRPr="00AE6BE1">
        <w:t xml:space="preserve">erm </w:t>
      </w:r>
      <w:r w:rsidR="004238A6" w:rsidRPr="00AE6BE1">
        <w:t>F</w:t>
      </w:r>
      <w:r w:rsidR="007F3644" w:rsidRPr="00AE6BE1">
        <w:t xml:space="preserve">inancial </w:t>
      </w:r>
      <w:r w:rsidR="004238A6" w:rsidRPr="00AE6BE1">
        <w:t>S</w:t>
      </w:r>
      <w:r w:rsidR="007F3644" w:rsidRPr="00AE6BE1">
        <w:t>trategy</w:t>
      </w:r>
      <w:r w:rsidRPr="00AE6BE1">
        <w:t xml:space="preserve">. </w:t>
      </w:r>
    </w:p>
    <w:p w14:paraId="26D75F45" w14:textId="01B2A85F" w:rsidR="00DF0C6D" w:rsidRPr="00AE6BE1" w:rsidRDefault="00DF0C6D" w:rsidP="002E045F">
      <w:pPr>
        <w:pStyle w:val="Default"/>
        <w:numPr>
          <w:ilvl w:val="0"/>
          <w:numId w:val="38"/>
        </w:numPr>
        <w:spacing w:after="120"/>
        <w:ind w:left="992" w:hanging="357"/>
        <w:jc w:val="both"/>
      </w:pPr>
      <w:r w:rsidRPr="00AE6BE1">
        <w:t xml:space="preserve">Each </w:t>
      </w:r>
      <w:r w:rsidR="000503F8" w:rsidRPr="00AE6BE1">
        <w:t>F</w:t>
      </w:r>
      <w:r w:rsidRPr="00AE6BE1">
        <w:t xml:space="preserve">ire and </w:t>
      </w:r>
      <w:r w:rsidR="000503F8" w:rsidRPr="00AE6BE1">
        <w:t>R</w:t>
      </w:r>
      <w:r w:rsidRPr="00AE6BE1">
        <w:t xml:space="preserve">escue </w:t>
      </w:r>
      <w:r w:rsidR="008D2B34">
        <w:t>A</w:t>
      </w:r>
      <w:r w:rsidRPr="00AE6BE1">
        <w:t xml:space="preserve">uthority should publish their </w:t>
      </w:r>
      <w:r w:rsidR="008D2B34">
        <w:t>R</w:t>
      </w:r>
      <w:r w:rsidRPr="00AE6BE1">
        <w:t xml:space="preserve">eserves </w:t>
      </w:r>
      <w:r w:rsidR="008D2B34">
        <w:t>S</w:t>
      </w:r>
      <w:r w:rsidRPr="00AE6BE1">
        <w:t xml:space="preserve">trategy on their website, either as part of their </w:t>
      </w:r>
      <w:r w:rsidR="004238A6" w:rsidRPr="00AE6BE1">
        <w:t xml:space="preserve">Medium Term Financial Strategy </w:t>
      </w:r>
      <w:r w:rsidRPr="00AE6BE1">
        <w:t xml:space="preserve">or in a separate </w:t>
      </w:r>
      <w:r w:rsidR="008D2B34">
        <w:t>R</w:t>
      </w:r>
      <w:r w:rsidRPr="00AE6BE1">
        <w:t xml:space="preserve">eserves </w:t>
      </w:r>
      <w:r w:rsidR="008D2B34">
        <w:t>S</w:t>
      </w:r>
      <w:r w:rsidRPr="00AE6BE1">
        <w:t xml:space="preserve">trategy document. The </w:t>
      </w:r>
      <w:r w:rsidR="008D2B34">
        <w:t>R</w:t>
      </w:r>
      <w:r w:rsidRPr="00AE6BE1">
        <w:t xml:space="preserve">eserves </w:t>
      </w:r>
      <w:r w:rsidR="008D2B34">
        <w:t>S</w:t>
      </w:r>
      <w:r w:rsidRPr="00AE6BE1">
        <w:t xml:space="preserve">trategy should include details of current and future planned reserve levels, setting out a total amount of reserves and the amount of each specific reserve that is held for each year. The </w:t>
      </w:r>
      <w:r w:rsidR="008D2B34">
        <w:t>R</w:t>
      </w:r>
      <w:r w:rsidRPr="00AE6BE1">
        <w:t xml:space="preserve">eserves </w:t>
      </w:r>
      <w:r w:rsidR="008D2B34">
        <w:t>S</w:t>
      </w:r>
      <w:r w:rsidRPr="00AE6BE1">
        <w:t xml:space="preserve">trategy should cover resource and capital reserves and provide information for the period of the </w:t>
      </w:r>
      <w:r w:rsidR="004238A6" w:rsidRPr="00AE6BE1">
        <w:t xml:space="preserve">Medium Term Financial Strategy </w:t>
      </w:r>
      <w:r w:rsidRPr="00AE6BE1">
        <w:t xml:space="preserve">(and at least two years ahead). </w:t>
      </w:r>
    </w:p>
    <w:p w14:paraId="2F6EA3F2" w14:textId="66F47252" w:rsidR="00DF0C6D" w:rsidRPr="00AE6BE1" w:rsidRDefault="00DF0C6D" w:rsidP="002E045F">
      <w:pPr>
        <w:pStyle w:val="Default"/>
        <w:numPr>
          <w:ilvl w:val="0"/>
          <w:numId w:val="38"/>
        </w:numPr>
        <w:spacing w:after="120"/>
        <w:ind w:left="993" w:hanging="357"/>
        <w:jc w:val="both"/>
      </w:pPr>
      <w:r w:rsidRPr="00AE6BE1">
        <w:t xml:space="preserve">Sufficient information should be provided to enable understanding of the purpose(s) for which each reserve is held and how holding each reserve supports the </w:t>
      </w:r>
      <w:r w:rsidR="008D2B34">
        <w:t>F</w:t>
      </w:r>
      <w:r w:rsidRPr="00AE6BE1">
        <w:t xml:space="preserve">ire and </w:t>
      </w:r>
      <w:r w:rsidR="008D2B34">
        <w:t>R</w:t>
      </w:r>
      <w:r w:rsidRPr="00AE6BE1">
        <w:t xml:space="preserve">escue </w:t>
      </w:r>
      <w:r w:rsidR="008D2B34">
        <w:t>A</w:t>
      </w:r>
      <w:r w:rsidRPr="00AE6BE1">
        <w:t xml:space="preserve">uthority’s </w:t>
      </w:r>
      <w:r w:rsidR="008D2B34">
        <w:t>M</w:t>
      </w:r>
      <w:r w:rsidRPr="00AE6BE1">
        <w:t xml:space="preserve">edium </w:t>
      </w:r>
      <w:r w:rsidR="008D2B34">
        <w:t>T</w:t>
      </w:r>
      <w:r w:rsidRPr="00AE6BE1">
        <w:t xml:space="preserve">erm </w:t>
      </w:r>
      <w:r w:rsidR="008D2B34">
        <w:t>F</w:t>
      </w:r>
      <w:r w:rsidRPr="00AE6BE1">
        <w:t xml:space="preserve">inancial </w:t>
      </w:r>
      <w:r w:rsidR="008D2B34">
        <w:t>S</w:t>
      </w:r>
      <w:r w:rsidR="00CA3D67" w:rsidRPr="00AE6BE1">
        <w:t>trategy</w:t>
      </w:r>
      <w:r w:rsidRPr="00AE6BE1">
        <w:t>. The strategy should be set out in a way that is clear</w:t>
      </w:r>
      <w:r w:rsidR="002E045F" w:rsidRPr="00AE6BE1">
        <w:t>,</w:t>
      </w:r>
      <w:r w:rsidRPr="00AE6BE1">
        <w:t xml:space="preserve"> and understandable for members of the public, and should include: </w:t>
      </w:r>
    </w:p>
    <w:p w14:paraId="42945880" w14:textId="459FA128" w:rsidR="00DF0C6D" w:rsidRPr="00AE6BE1" w:rsidRDefault="00DF0C6D" w:rsidP="002E045F">
      <w:pPr>
        <w:pStyle w:val="Default"/>
        <w:numPr>
          <w:ilvl w:val="1"/>
          <w:numId w:val="25"/>
        </w:numPr>
        <w:spacing w:after="36"/>
        <w:ind w:left="1418" w:hanging="426"/>
      </w:pPr>
      <w:r w:rsidRPr="00AE6BE1">
        <w:t xml:space="preserve">how the level of the </w:t>
      </w:r>
      <w:r w:rsidR="008D2B34">
        <w:t>G</w:t>
      </w:r>
      <w:r w:rsidRPr="00AE6BE1">
        <w:t xml:space="preserve">eneral </w:t>
      </w:r>
      <w:r w:rsidR="008D2B34">
        <w:t>R</w:t>
      </w:r>
      <w:r w:rsidRPr="00AE6BE1">
        <w:t xml:space="preserve">eserve has been </w:t>
      </w:r>
      <w:r w:rsidR="00E265FC" w:rsidRPr="00AE6BE1">
        <w:t>set.</w:t>
      </w:r>
      <w:r w:rsidRPr="00AE6BE1">
        <w:t xml:space="preserve"> </w:t>
      </w:r>
    </w:p>
    <w:p w14:paraId="5013FB51" w14:textId="73D84D62" w:rsidR="00DF0C6D" w:rsidRPr="00AE6BE1" w:rsidRDefault="00DF0C6D" w:rsidP="002E045F">
      <w:pPr>
        <w:pStyle w:val="Default"/>
        <w:numPr>
          <w:ilvl w:val="1"/>
          <w:numId w:val="25"/>
        </w:numPr>
        <w:spacing w:after="36"/>
        <w:ind w:left="1418" w:hanging="426"/>
      </w:pPr>
      <w:r w:rsidRPr="00AE6BE1">
        <w:t xml:space="preserve">justification for holding a </w:t>
      </w:r>
      <w:r w:rsidR="008D2B34">
        <w:t>G</w:t>
      </w:r>
      <w:r w:rsidRPr="00AE6BE1">
        <w:t xml:space="preserve">eneral </w:t>
      </w:r>
      <w:r w:rsidR="008D2B34">
        <w:t>R</w:t>
      </w:r>
      <w:r w:rsidRPr="00AE6BE1">
        <w:t>eserve larger than five percent of budget; and</w:t>
      </w:r>
      <w:r w:rsidR="00BF654C" w:rsidRPr="00AE6BE1">
        <w:t>,</w:t>
      </w:r>
      <w:r w:rsidRPr="00AE6BE1">
        <w:t xml:space="preserve"> </w:t>
      </w:r>
    </w:p>
    <w:p w14:paraId="6736893F" w14:textId="414273C5" w:rsidR="00AA1279" w:rsidRDefault="00426F47" w:rsidP="00292397">
      <w:pPr>
        <w:pStyle w:val="Default"/>
        <w:numPr>
          <w:ilvl w:val="0"/>
          <w:numId w:val="25"/>
        </w:numPr>
        <w:spacing w:after="120"/>
        <w:ind w:left="992" w:hanging="357"/>
      </w:pPr>
      <w:r>
        <w:t>D</w:t>
      </w:r>
      <w:r w:rsidR="00DF0C6D" w:rsidRPr="00AE6BE1">
        <w:t xml:space="preserve">etails of the activities or items to be funded from each </w:t>
      </w:r>
      <w:r w:rsidR="008D2B34">
        <w:t>E</w:t>
      </w:r>
      <w:r w:rsidR="00DF0C6D" w:rsidRPr="00AE6BE1">
        <w:t xml:space="preserve">armarked </w:t>
      </w:r>
      <w:r w:rsidR="008D2B34">
        <w:t>R</w:t>
      </w:r>
      <w:r w:rsidR="00DF0C6D" w:rsidRPr="00AE6BE1">
        <w:t xml:space="preserve">eserve, and how these support the FRA’s strategy to deliver a good quality service to the public. Where an </w:t>
      </w:r>
      <w:r w:rsidR="008D2B34">
        <w:t>E</w:t>
      </w:r>
      <w:r w:rsidR="00DF0C6D" w:rsidRPr="00AE6BE1">
        <w:t xml:space="preserve">armarked </w:t>
      </w:r>
      <w:r w:rsidR="008D2B34">
        <w:t>R</w:t>
      </w:r>
      <w:r w:rsidR="00DF0C6D" w:rsidRPr="00AE6BE1">
        <w:t>eserve is intended to fund a number of projects or programmes (for example, a change or transformation reserve), details of each programme or project to be funded should be set ou</w:t>
      </w:r>
      <w:r w:rsidR="00CA3D67" w:rsidRPr="00AE6BE1">
        <w:t>t.</w:t>
      </w:r>
    </w:p>
    <w:p w14:paraId="0F7EA6D2" w14:textId="7D4BFD04" w:rsidR="00603FD0" w:rsidRPr="00AE6BE1" w:rsidRDefault="00603FD0" w:rsidP="00292397">
      <w:pPr>
        <w:pStyle w:val="Default"/>
        <w:numPr>
          <w:ilvl w:val="0"/>
          <w:numId w:val="25"/>
        </w:numPr>
        <w:spacing w:after="120"/>
        <w:ind w:left="992" w:hanging="357"/>
      </w:pPr>
      <w:r w:rsidRPr="00AE6BE1">
        <w:t xml:space="preserve">The information on each reserve should make clear how much of the funding falls into the following three categories: </w:t>
      </w:r>
    </w:p>
    <w:p w14:paraId="08D27666" w14:textId="4FA06CB5" w:rsidR="00603FD0" w:rsidRPr="00AE6BE1" w:rsidRDefault="00603FD0" w:rsidP="00CA3D67">
      <w:pPr>
        <w:pStyle w:val="Default"/>
        <w:numPr>
          <w:ilvl w:val="1"/>
          <w:numId w:val="25"/>
        </w:numPr>
        <w:spacing w:after="18"/>
        <w:ind w:left="1418" w:hanging="426"/>
      </w:pPr>
      <w:r w:rsidRPr="00AE6BE1">
        <w:t xml:space="preserve">Funding for planned expenditure on projects and programmes over the period of the current medium term financial </w:t>
      </w:r>
      <w:r w:rsidR="00CA3D67" w:rsidRPr="00AE6BE1">
        <w:t>strategy</w:t>
      </w:r>
      <w:r w:rsidRPr="00AE6BE1">
        <w:t xml:space="preserve">. </w:t>
      </w:r>
    </w:p>
    <w:p w14:paraId="0D14CBB3" w14:textId="77777777" w:rsidR="00603FD0" w:rsidRPr="00AE6BE1" w:rsidRDefault="00603FD0" w:rsidP="00CA3D67">
      <w:pPr>
        <w:pStyle w:val="Default"/>
        <w:numPr>
          <w:ilvl w:val="1"/>
          <w:numId w:val="25"/>
        </w:numPr>
        <w:spacing w:after="18"/>
        <w:ind w:left="1418" w:hanging="426"/>
      </w:pPr>
      <w:r w:rsidRPr="00AE6BE1">
        <w:t xml:space="preserve">Funding for specific projects and programmes beyond the current planning period. </w:t>
      </w:r>
    </w:p>
    <w:p w14:paraId="20E66AB4" w14:textId="2715A8BA" w:rsidR="00E05353" w:rsidRPr="00AE6BE1" w:rsidRDefault="00603FD0" w:rsidP="00005893">
      <w:pPr>
        <w:pStyle w:val="Default"/>
        <w:numPr>
          <w:ilvl w:val="1"/>
          <w:numId w:val="25"/>
        </w:numPr>
        <w:spacing w:after="360"/>
        <w:ind w:left="1417" w:hanging="425"/>
      </w:pPr>
      <w:r w:rsidRPr="00AE6BE1">
        <w:t xml:space="preserve">As a general contingency or resource to </w:t>
      </w:r>
      <w:r w:rsidR="00953F4C" w:rsidRPr="00AE6BE1">
        <w:t>meet,</w:t>
      </w:r>
      <w:r w:rsidRPr="00AE6BE1">
        <w:t xml:space="preserve"> other expenditure needs held in accordance with sound principles of good financial management (</w:t>
      </w:r>
      <w:r w:rsidR="004238A6" w:rsidRPr="00AE6BE1">
        <w:t>e.g.,</w:t>
      </w:r>
      <w:r w:rsidRPr="00AE6BE1">
        <w:t xml:space="preserve"> insurance). </w:t>
      </w:r>
    </w:p>
    <w:p w14:paraId="095D8EBE" w14:textId="61090D6C" w:rsidR="00FC0670" w:rsidRPr="00AE6BE1" w:rsidRDefault="00B76493" w:rsidP="00B76493">
      <w:pPr>
        <w:pStyle w:val="Heading1"/>
        <w:numPr>
          <w:ilvl w:val="0"/>
          <w:numId w:val="40"/>
        </w:numPr>
        <w:spacing w:before="0" w:after="240"/>
        <w:ind w:left="425" w:hanging="425"/>
        <w:rPr>
          <w:rFonts w:ascii="Arial" w:hAnsi="Arial" w:cs="Arial"/>
          <w:b/>
          <w:bCs/>
          <w:color w:val="auto"/>
          <w:sz w:val="28"/>
          <w:szCs w:val="28"/>
        </w:rPr>
      </w:pPr>
      <w:bookmarkStart w:id="1" w:name="_Toc161241621"/>
      <w:r w:rsidRPr="00AE6BE1">
        <w:rPr>
          <w:rFonts w:ascii="Arial" w:hAnsi="Arial" w:cs="Arial"/>
          <w:b/>
          <w:bCs/>
          <w:color w:val="auto"/>
          <w:sz w:val="28"/>
          <w:szCs w:val="28"/>
        </w:rPr>
        <w:lastRenderedPageBreak/>
        <w:t>Categories of Reserves</w:t>
      </w:r>
      <w:bookmarkEnd w:id="1"/>
    </w:p>
    <w:p w14:paraId="71ED90EE" w14:textId="3DA05843" w:rsidR="00FC0670" w:rsidRPr="00AE6BE1" w:rsidRDefault="00FC0670" w:rsidP="007732C4">
      <w:pPr>
        <w:spacing w:after="120"/>
        <w:ind w:left="425"/>
        <w:jc w:val="both"/>
        <w:rPr>
          <w:color w:val="000000"/>
          <w:lang w:eastAsia="en-GB"/>
        </w:rPr>
      </w:pPr>
      <w:r w:rsidRPr="00AE6BE1">
        <w:rPr>
          <w:color w:val="000000"/>
          <w:lang w:eastAsia="en-GB"/>
        </w:rPr>
        <w:t>Reserves that are held the Fire Author</w:t>
      </w:r>
      <w:r w:rsidR="00167E77" w:rsidRPr="00AE6BE1">
        <w:rPr>
          <w:color w:val="000000"/>
          <w:lang w:eastAsia="en-GB"/>
        </w:rPr>
        <w:t>it</w:t>
      </w:r>
      <w:r w:rsidRPr="00AE6BE1">
        <w:rPr>
          <w:color w:val="000000"/>
          <w:lang w:eastAsia="en-GB"/>
        </w:rPr>
        <w:t xml:space="preserve">y are </w:t>
      </w:r>
      <w:r w:rsidR="00167E77" w:rsidRPr="00AE6BE1">
        <w:rPr>
          <w:color w:val="000000"/>
          <w:lang w:eastAsia="en-GB"/>
        </w:rPr>
        <w:t>categorised</w:t>
      </w:r>
      <w:r w:rsidRPr="00AE6BE1">
        <w:rPr>
          <w:color w:val="000000"/>
          <w:lang w:eastAsia="en-GB"/>
        </w:rPr>
        <w:t xml:space="preserve"> into two separate categories as follows:</w:t>
      </w:r>
    </w:p>
    <w:p w14:paraId="7B4AE47C" w14:textId="5D80DC71" w:rsidR="007C37CA" w:rsidRPr="00AE6BE1" w:rsidRDefault="00FC0670" w:rsidP="007732C4">
      <w:pPr>
        <w:numPr>
          <w:ilvl w:val="0"/>
          <w:numId w:val="35"/>
        </w:numPr>
        <w:spacing w:after="120"/>
        <w:ind w:left="1134" w:hanging="430"/>
        <w:jc w:val="both"/>
        <w:rPr>
          <w:color w:val="000000"/>
          <w:lang w:eastAsia="en-GB"/>
        </w:rPr>
      </w:pPr>
      <w:r w:rsidRPr="00AE6BE1">
        <w:rPr>
          <w:b/>
          <w:bCs/>
          <w:color w:val="000000"/>
          <w:lang w:eastAsia="en-GB"/>
        </w:rPr>
        <w:t>Useable Reserves</w:t>
      </w:r>
      <w:r w:rsidRPr="00AE6BE1">
        <w:rPr>
          <w:color w:val="000000"/>
          <w:lang w:eastAsia="en-GB"/>
        </w:rPr>
        <w:t xml:space="preserve"> – These reserves are those that the Authority may use to provide services</w:t>
      </w:r>
      <w:r w:rsidR="001F714F" w:rsidRPr="00AE6BE1">
        <w:rPr>
          <w:color w:val="000000"/>
          <w:lang w:eastAsia="en-GB"/>
        </w:rPr>
        <w:t xml:space="preserve">, subject to the need to maintain a prudent level of reserves and any statutory limitations on their use (for example the Capital Receipts Reserve that may only be used to fund capital expenditure or repay debt). </w:t>
      </w:r>
    </w:p>
    <w:p w14:paraId="59A36FDC" w14:textId="733869A0" w:rsidR="0052150A" w:rsidRPr="00AE6BE1" w:rsidRDefault="00FC0670" w:rsidP="007732C4">
      <w:pPr>
        <w:numPr>
          <w:ilvl w:val="0"/>
          <w:numId w:val="35"/>
        </w:numPr>
        <w:autoSpaceDE w:val="0"/>
        <w:autoSpaceDN w:val="0"/>
        <w:adjustRightInd w:val="0"/>
        <w:spacing w:after="240"/>
        <w:ind w:left="1134" w:hanging="430"/>
        <w:jc w:val="both"/>
        <w:rPr>
          <w:color w:val="000000"/>
          <w:lang w:eastAsia="en-GB"/>
        </w:rPr>
      </w:pPr>
      <w:r w:rsidRPr="00AE6BE1">
        <w:rPr>
          <w:b/>
          <w:bCs/>
          <w:color w:val="000000"/>
          <w:lang w:eastAsia="en-GB"/>
        </w:rPr>
        <w:t>Unusable Reserves</w:t>
      </w:r>
      <w:r w:rsidRPr="00AE6BE1">
        <w:rPr>
          <w:color w:val="000000"/>
          <w:lang w:eastAsia="en-GB"/>
        </w:rPr>
        <w:t xml:space="preserve"> </w:t>
      </w:r>
      <w:r w:rsidR="0080791A" w:rsidRPr="00AE6BE1">
        <w:rPr>
          <w:color w:val="000000"/>
          <w:lang w:eastAsia="en-GB"/>
        </w:rPr>
        <w:t xml:space="preserve">– These reserves </w:t>
      </w:r>
      <w:r w:rsidR="001D3D95" w:rsidRPr="00AE6BE1">
        <w:rPr>
          <w:color w:val="000000"/>
          <w:lang w:eastAsia="en-GB"/>
        </w:rPr>
        <w:t>are those that the Authority cannot</w:t>
      </w:r>
      <w:r w:rsidR="00167E77" w:rsidRPr="00AE6BE1">
        <w:rPr>
          <w:color w:val="000000"/>
          <w:lang w:eastAsia="en-GB"/>
        </w:rPr>
        <w:t xml:space="preserve"> use</w:t>
      </w:r>
      <w:r w:rsidR="001D3D95" w:rsidRPr="00AE6BE1">
        <w:rPr>
          <w:color w:val="000000"/>
          <w:lang w:eastAsia="en-GB"/>
        </w:rPr>
        <w:t xml:space="preserve"> to provide services</w:t>
      </w:r>
      <w:r w:rsidR="002F0AF4" w:rsidRPr="00AE6BE1">
        <w:rPr>
          <w:color w:val="000000"/>
          <w:lang w:eastAsia="en-GB"/>
        </w:rPr>
        <w:t>.</w:t>
      </w:r>
      <w:r w:rsidR="007C37CA" w:rsidRPr="00AE6BE1">
        <w:rPr>
          <w:color w:val="000000"/>
          <w:lang w:eastAsia="en-GB"/>
        </w:rPr>
        <w:t xml:space="preserve"> These arise </w:t>
      </w:r>
      <w:r w:rsidR="00831FEB" w:rsidRPr="00AE6BE1">
        <w:rPr>
          <w:color w:val="000000"/>
          <w:lang w:eastAsia="en-GB"/>
        </w:rPr>
        <w:t>from</w:t>
      </w:r>
      <w:r w:rsidR="007C37CA" w:rsidRPr="00AE6BE1">
        <w:rPr>
          <w:color w:val="000000"/>
          <w:lang w:eastAsia="en-GB"/>
        </w:rPr>
        <w:t xml:space="preserve"> accounting </w:t>
      </w:r>
      <w:r w:rsidR="007829D3" w:rsidRPr="00AE6BE1">
        <w:rPr>
          <w:color w:val="000000"/>
          <w:lang w:eastAsia="en-GB"/>
        </w:rPr>
        <w:t xml:space="preserve">adjustments </w:t>
      </w:r>
      <w:r w:rsidR="00B712AF" w:rsidRPr="00AE6BE1">
        <w:rPr>
          <w:color w:val="000000"/>
          <w:lang w:eastAsia="en-GB"/>
        </w:rPr>
        <w:t xml:space="preserve">and change </w:t>
      </w:r>
      <w:r w:rsidR="00AB3660" w:rsidRPr="00AE6BE1">
        <w:rPr>
          <w:color w:val="000000"/>
          <w:lang w:eastAsia="en-GB"/>
        </w:rPr>
        <w:t>annually as part of the year end process</w:t>
      </w:r>
      <w:r w:rsidR="007C37CA" w:rsidRPr="00AE6BE1">
        <w:rPr>
          <w:color w:val="000000"/>
          <w:lang w:eastAsia="en-GB"/>
        </w:rPr>
        <w:t>.</w:t>
      </w:r>
      <w:r w:rsidR="002F0AF4" w:rsidRPr="00AE6BE1">
        <w:rPr>
          <w:color w:val="000000"/>
          <w:lang w:eastAsia="en-GB"/>
        </w:rPr>
        <w:t xml:space="preserve"> </w:t>
      </w:r>
    </w:p>
    <w:p w14:paraId="268CADD0" w14:textId="0F0F74EC" w:rsidR="0052150A" w:rsidRPr="00AE6BE1" w:rsidRDefault="00517A0F" w:rsidP="0076279C">
      <w:pPr>
        <w:autoSpaceDE w:val="0"/>
        <w:autoSpaceDN w:val="0"/>
        <w:adjustRightInd w:val="0"/>
        <w:spacing w:after="120"/>
        <w:ind w:left="426"/>
        <w:rPr>
          <w:b/>
          <w:bCs/>
          <w:color w:val="000000"/>
          <w:lang w:eastAsia="en-GB"/>
        </w:rPr>
      </w:pPr>
      <w:r w:rsidRPr="00AE6BE1">
        <w:rPr>
          <w:b/>
          <w:bCs/>
          <w:color w:val="000000"/>
          <w:lang w:eastAsia="en-GB"/>
        </w:rPr>
        <w:t>UNUSABLE RESERVES</w:t>
      </w:r>
    </w:p>
    <w:p w14:paraId="34B77618" w14:textId="720324B9" w:rsidR="00FE7B52" w:rsidRPr="00AE6BE1" w:rsidRDefault="00FE7B52" w:rsidP="0076279C">
      <w:pPr>
        <w:autoSpaceDE w:val="0"/>
        <w:autoSpaceDN w:val="0"/>
        <w:adjustRightInd w:val="0"/>
        <w:spacing w:after="120"/>
        <w:ind w:left="425"/>
        <w:rPr>
          <w:lang w:eastAsia="en-GB"/>
        </w:rPr>
      </w:pPr>
      <w:r w:rsidRPr="00AE6BE1">
        <w:rPr>
          <w:lang w:eastAsia="en-GB"/>
        </w:rPr>
        <w:t>The table below shows the current</w:t>
      </w:r>
      <w:r w:rsidR="007750D6">
        <w:rPr>
          <w:lang w:eastAsia="en-GB"/>
        </w:rPr>
        <w:t xml:space="preserve"> and prior year</w:t>
      </w:r>
      <w:r w:rsidRPr="00AE6BE1">
        <w:rPr>
          <w:lang w:eastAsia="en-GB"/>
        </w:rPr>
        <w:t xml:space="preserve"> position of </w:t>
      </w:r>
      <w:r w:rsidR="002C3EC2">
        <w:rPr>
          <w:lang w:eastAsia="en-GB"/>
        </w:rPr>
        <w:t xml:space="preserve">the </w:t>
      </w:r>
      <w:r w:rsidR="008D2B34">
        <w:rPr>
          <w:lang w:eastAsia="en-GB"/>
        </w:rPr>
        <w:t>Authorit</w:t>
      </w:r>
      <w:r w:rsidR="006D1763">
        <w:rPr>
          <w:lang w:eastAsia="en-GB"/>
        </w:rPr>
        <w:t>y</w:t>
      </w:r>
      <w:r w:rsidR="002C3EC2">
        <w:rPr>
          <w:lang w:eastAsia="en-GB"/>
        </w:rPr>
        <w:t>’s</w:t>
      </w:r>
      <w:r w:rsidRPr="00AE6BE1">
        <w:rPr>
          <w:lang w:eastAsia="en-GB"/>
        </w:rPr>
        <w:t xml:space="preserve"> Unusable Reserves</w:t>
      </w:r>
      <w:r w:rsidR="007750D6">
        <w:rPr>
          <w:lang w:eastAsia="en-GB"/>
        </w:rPr>
        <w:t>:</w:t>
      </w:r>
    </w:p>
    <w:tbl>
      <w:tblPr>
        <w:tblW w:w="7446" w:type="dxa"/>
        <w:tblInd w:w="429" w:type="dxa"/>
        <w:tblLook w:val="04A0" w:firstRow="1" w:lastRow="0" w:firstColumn="1" w:lastColumn="0" w:noHBand="0" w:noVBand="1"/>
      </w:tblPr>
      <w:tblGrid>
        <w:gridCol w:w="3930"/>
        <w:gridCol w:w="1758"/>
        <w:gridCol w:w="1758"/>
      </w:tblGrid>
      <w:tr w:rsidR="0052150A" w:rsidRPr="00AE6BE1" w14:paraId="55AB8D5C" w14:textId="77777777" w:rsidTr="001B24C6">
        <w:trPr>
          <w:trHeight w:val="473"/>
        </w:trPr>
        <w:tc>
          <w:tcPr>
            <w:tcW w:w="3930" w:type="dxa"/>
            <w:tcBorders>
              <w:top w:val="single" w:sz="4" w:space="0" w:color="auto"/>
              <w:left w:val="single" w:sz="4" w:space="0" w:color="auto"/>
              <w:bottom w:val="nil"/>
              <w:right w:val="single" w:sz="8" w:space="0" w:color="auto"/>
            </w:tcBorders>
            <w:shd w:val="clear" w:color="000000" w:fill="BDD7EE"/>
            <w:vAlign w:val="center"/>
            <w:hideMark/>
          </w:tcPr>
          <w:p w14:paraId="7D3A3B93" w14:textId="77777777" w:rsidR="0052150A" w:rsidRPr="00AE6BE1" w:rsidRDefault="0052150A" w:rsidP="0052150A">
            <w:pPr>
              <w:rPr>
                <w:b/>
                <w:bCs/>
                <w:sz w:val="22"/>
                <w:szCs w:val="22"/>
                <w:lang w:eastAsia="en-GB"/>
              </w:rPr>
            </w:pPr>
            <w:r w:rsidRPr="00AE6BE1">
              <w:rPr>
                <w:b/>
                <w:bCs/>
                <w:sz w:val="22"/>
                <w:szCs w:val="22"/>
                <w:lang w:eastAsia="en-GB"/>
              </w:rPr>
              <w:t> </w:t>
            </w:r>
          </w:p>
        </w:tc>
        <w:tc>
          <w:tcPr>
            <w:tcW w:w="1758" w:type="dxa"/>
            <w:tcBorders>
              <w:top w:val="single" w:sz="4" w:space="0" w:color="auto"/>
              <w:left w:val="nil"/>
              <w:bottom w:val="nil"/>
              <w:right w:val="single" w:sz="8" w:space="0" w:color="auto"/>
            </w:tcBorders>
            <w:shd w:val="clear" w:color="000000" w:fill="BDD7EE"/>
            <w:vAlign w:val="center"/>
            <w:hideMark/>
          </w:tcPr>
          <w:p w14:paraId="22D3D109" w14:textId="096CDDA3" w:rsidR="004F0F8C" w:rsidRDefault="006D1763" w:rsidP="0052150A">
            <w:pPr>
              <w:jc w:val="center"/>
              <w:rPr>
                <w:b/>
                <w:bCs/>
                <w:sz w:val="22"/>
                <w:szCs w:val="22"/>
                <w:lang w:eastAsia="en-GB"/>
              </w:rPr>
            </w:pPr>
            <w:r>
              <w:rPr>
                <w:b/>
                <w:bCs/>
                <w:sz w:val="22"/>
                <w:szCs w:val="22"/>
                <w:lang w:eastAsia="en-GB"/>
              </w:rPr>
              <w:t>Actual</w:t>
            </w:r>
          </w:p>
          <w:p w14:paraId="3E0C73D5" w14:textId="44A25641" w:rsidR="0052150A" w:rsidRPr="00AE6BE1" w:rsidRDefault="0052150A" w:rsidP="0052150A">
            <w:pPr>
              <w:jc w:val="center"/>
              <w:rPr>
                <w:b/>
                <w:bCs/>
                <w:sz w:val="22"/>
                <w:szCs w:val="22"/>
                <w:lang w:eastAsia="en-GB"/>
              </w:rPr>
            </w:pPr>
            <w:r w:rsidRPr="00AE6BE1">
              <w:rPr>
                <w:b/>
                <w:bCs/>
                <w:sz w:val="22"/>
                <w:szCs w:val="22"/>
                <w:lang w:eastAsia="en-GB"/>
              </w:rPr>
              <w:t>Balance at 31st March 202</w:t>
            </w:r>
            <w:r w:rsidR="00C22572">
              <w:rPr>
                <w:b/>
                <w:bCs/>
                <w:sz w:val="22"/>
                <w:szCs w:val="22"/>
                <w:lang w:eastAsia="en-GB"/>
              </w:rPr>
              <w:t>2</w:t>
            </w:r>
          </w:p>
        </w:tc>
        <w:tc>
          <w:tcPr>
            <w:tcW w:w="1758" w:type="dxa"/>
            <w:tcBorders>
              <w:top w:val="single" w:sz="4" w:space="0" w:color="auto"/>
              <w:left w:val="nil"/>
              <w:bottom w:val="nil"/>
              <w:right w:val="single" w:sz="8" w:space="0" w:color="auto"/>
            </w:tcBorders>
            <w:shd w:val="clear" w:color="000000" w:fill="BDD7EE"/>
            <w:vAlign w:val="center"/>
            <w:hideMark/>
          </w:tcPr>
          <w:p w14:paraId="336E8353" w14:textId="1B28B713" w:rsidR="004F0F8C" w:rsidRDefault="006D1763" w:rsidP="0052150A">
            <w:pPr>
              <w:jc w:val="center"/>
              <w:rPr>
                <w:b/>
                <w:bCs/>
                <w:sz w:val="22"/>
                <w:szCs w:val="22"/>
                <w:lang w:eastAsia="en-GB"/>
              </w:rPr>
            </w:pPr>
            <w:r>
              <w:rPr>
                <w:b/>
                <w:bCs/>
                <w:sz w:val="22"/>
                <w:szCs w:val="22"/>
                <w:lang w:eastAsia="en-GB"/>
              </w:rPr>
              <w:t>Actual</w:t>
            </w:r>
            <w:r w:rsidR="00426F47">
              <w:rPr>
                <w:b/>
                <w:bCs/>
                <w:sz w:val="22"/>
                <w:szCs w:val="22"/>
                <w:lang w:eastAsia="en-GB"/>
              </w:rPr>
              <w:t xml:space="preserve"> (Unaudited)</w:t>
            </w:r>
          </w:p>
          <w:p w14:paraId="7EC48EE9" w14:textId="6B26328F" w:rsidR="0052150A" w:rsidRPr="00AE6BE1" w:rsidRDefault="0052150A" w:rsidP="0052150A">
            <w:pPr>
              <w:jc w:val="center"/>
              <w:rPr>
                <w:b/>
                <w:bCs/>
                <w:sz w:val="22"/>
                <w:szCs w:val="22"/>
                <w:lang w:eastAsia="en-GB"/>
              </w:rPr>
            </w:pPr>
            <w:r w:rsidRPr="00AE6BE1">
              <w:rPr>
                <w:b/>
                <w:bCs/>
                <w:sz w:val="22"/>
                <w:szCs w:val="22"/>
                <w:lang w:eastAsia="en-GB"/>
              </w:rPr>
              <w:t>Balance at 31st March 202</w:t>
            </w:r>
            <w:r w:rsidR="00C22572">
              <w:rPr>
                <w:b/>
                <w:bCs/>
                <w:sz w:val="22"/>
                <w:szCs w:val="22"/>
                <w:lang w:eastAsia="en-GB"/>
              </w:rPr>
              <w:t>3</w:t>
            </w:r>
          </w:p>
        </w:tc>
      </w:tr>
      <w:tr w:rsidR="0052150A" w:rsidRPr="00AE6BE1" w14:paraId="4B54EDE3" w14:textId="77777777" w:rsidTr="001B24C6">
        <w:trPr>
          <w:trHeight w:val="168"/>
        </w:trPr>
        <w:tc>
          <w:tcPr>
            <w:tcW w:w="3930" w:type="dxa"/>
            <w:tcBorders>
              <w:top w:val="nil"/>
              <w:left w:val="single" w:sz="4" w:space="0" w:color="auto"/>
              <w:bottom w:val="single" w:sz="12" w:space="0" w:color="auto"/>
              <w:right w:val="single" w:sz="8" w:space="0" w:color="auto"/>
            </w:tcBorders>
            <w:shd w:val="clear" w:color="000000" w:fill="BDD7EE"/>
            <w:vAlign w:val="bottom"/>
            <w:hideMark/>
          </w:tcPr>
          <w:p w14:paraId="315AE10F" w14:textId="77777777" w:rsidR="0052150A" w:rsidRPr="00AE6BE1" w:rsidRDefault="0052150A" w:rsidP="0052150A">
            <w:pPr>
              <w:jc w:val="center"/>
              <w:rPr>
                <w:b/>
                <w:bCs/>
                <w:sz w:val="22"/>
                <w:szCs w:val="22"/>
                <w:lang w:eastAsia="en-GB"/>
              </w:rPr>
            </w:pPr>
            <w:r w:rsidRPr="00AE6BE1">
              <w:rPr>
                <w:b/>
                <w:bCs/>
                <w:sz w:val="22"/>
                <w:szCs w:val="22"/>
                <w:lang w:eastAsia="en-GB"/>
              </w:rPr>
              <w:t> </w:t>
            </w:r>
          </w:p>
        </w:tc>
        <w:tc>
          <w:tcPr>
            <w:tcW w:w="1758" w:type="dxa"/>
            <w:tcBorders>
              <w:top w:val="nil"/>
              <w:left w:val="nil"/>
              <w:bottom w:val="single" w:sz="12" w:space="0" w:color="auto"/>
              <w:right w:val="single" w:sz="8" w:space="0" w:color="auto"/>
            </w:tcBorders>
            <w:shd w:val="clear" w:color="000000" w:fill="BDD7EE"/>
            <w:vAlign w:val="bottom"/>
            <w:hideMark/>
          </w:tcPr>
          <w:p w14:paraId="0678BFBD" w14:textId="77777777" w:rsidR="0052150A" w:rsidRPr="00AE6BE1" w:rsidRDefault="0052150A" w:rsidP="0052150A">
            <w:pPr>
              <w:jc w:val="center"/>
              <w:rPr>
                <w:b/>
                <w:bCs/>
                <w:sz w:val="22"/>
                <w:szCs w:val="22"/>
                <w:lang w:eastAsia="en-GB"/>
              </w:rPr>
            </w:pPr>
            <w:r w:rsidRPr="00AE6BE1">
              <w:rPr>
                <w:b/>
                <w:bCs/>
                <w:sz w:val="22"/>
                <w:szCs w:val="22"/>
                <w:lang w:eastAsia="en-GB"/>
              </w:rPr>
              <w:t>£000's</w:t>
            </w:r>
          </w:p>
        </w:tc>
        <w:tc>
          <w:tcPr>
            <w:tcW w:w="1758" w:type="dxa"/>
            <w:tcBorders>
              <w:top w:val="nil"/>
              <w:left w:val="nil"/>
              <w:bottom w:val="single" w:sz="12" w:space="0" w:color="auto"/>
              <w:right w:val="single" w:sz="8" w:space="0" w:color="auto"/>
            </w:tcBorders>
            <w:shd w:val="clear" w:color="000000" w:fill="BDD7EE"/>
            <w:vAlign w:val="bottom"/>
            <w:hideMark/>
          </w:tcPr>
          <w:p w14:paraId="61606D7B" w14:textId="77777777" w:rsidR="0052150A" w:rsidRPr="00AE6BE1" w:rsidRDefault="0052150A" w:rsidP="0052150A">
            <w:pPr>
              <w:jc w:val="center"/>
              <w:rPr>
                <w:b/>
                <w:bCs/>
                <w:sz w:val="22"/>
                <w:szCs w:val="22"/>
                <w:lang w:eastAsia="en-GB"/>
              </w:rPr>
            </w:pPr>
            <w:r w:rsidRPr="00AE6BE1">
              <w:rPr>
                <w:b/>
                <w:bCs/>
                <w:sz w:val="22"/>
                <w:szCs w:val="22"/>
                <w:lang w:eastAsia="en-GB"/>
              </w:rPr>
              <w:t>£000's</w:t>
            </w:r>
          </w:p>
        </w:tc>
      </w:tr>
      <w:tr w:rsidR="00C22572" w:rsidRPr="00AE6BE1" w14:paraId="10C826FC" w14:textId="77777777" w:rsidTr="001B24C6">
        <w:trPr>
          <w:trHeight w:val="168"/>
        </w:trPr>
        <w:tc>
          <w:tcPr>
            <w:tcW w:w="3930" w:type="dxa"/>
            <w:tcBorders>
              <w:top w:val="nil"/>
              <w:left w:val="single" w:sz="4" w:space="0" w:color="auto"/>
              <w:bottom w:val="nil"/>
              <w:right w:val="single" w:sz="4" w:space="0" w:color="auto"/>
            </w:tcBorders>
            <w:shd w:val="clear" w:color="000000" w:fill="FFFFFF"/>
            <w:noWrap/>
            <w:vAlign w:val="bottom"/>
            <w:hideMark/>
          </w:tcPr>
          <w:p w14:paraId="1436EE04" w14:textId="77777777" w:rsidR="00C22572" w:rsidRPr="00AE6BE1" w:rsidRDefault="00C22572" w:rsidP="00C22572">
            <w:pPr>
              <w:rPr>
                <w:color w:val="000000"/>
                <w:sz w:val="22"/>
                <w:szCs w:val="22"/>
                <w:lang w:eastAsia="en-GB"/>
              </w:rPr>
            </w:pPr>
            <w:r w:rsidRPr="00AE6BE1">
              <w:rPr>
                <w:color w:val="000000"/>
                <w:sz w:val="22"/>
                <w:szCs w:val="22"/>
                <w:lang w:eastAsia="en-GB"/>
              </w:rPr>
              <w:t>Revaluation Reserve</w:t>
            </w:r>
          </w:p>
        </w:tc>
        <w:tc>
          <w:tcPr>
            <w:tcW w:w="1758" w:type="dxa"/>
            <w:tcBorders>
              <w:top w:val="nil"/>
              <w:left w:val="nil"/>
              <w:bottom w:val="nil"/>
              <w:right w:val="single" w:sz="4" w:space="0" w:color="auto"/>
            </w:tcBorders>
            <w:shd w:val="clear" w:color="000000" w:fill="FFFFFF"/>
            <w:noWrap/>
            <w:vAlign w:val="bottom"/>
            <w:hideMark/>
          </w:tcPr>
          <w:p w14:paraId="1A55CD0C" w14:textId="36CC6969" w:rsidR="00C22572" w:rsidRPr="00A61F0F" w:rsidRDefault="00C22572" w:rsidP="00C22572">
            <w:pPr>
              <w:jc w:val="right"/>
              <w:rPr>
                <w:color w:val="000000"/>
                <w:sz w:val="22"/>
                <w:szCs w:val="22"/>
                <w:lang w:eastAsia="en-GB"/>
              </w:rPr>
            </w:pPr>
            <w:r>
              <w:rPr>
                <w:color w:val="000000"/>
                <w:sz w:val="22"/>
                <w:szCs w:val="22"/>
                <w:lang w:eastAsia="en-GB"/>
              </w:rPr>
              <w:t>41,336</w:t>
            </w:r>
            <w:r w:rsidRPr="00AE6BE1">
              <w:rPr>
                <w:color w:val="000000"/>
                <w:sz w:val="22"/>
                <w:szCs w:val="22"/>
                <w:lang w:eastAsia="en-GB"/>
              </w:rPr>
              <w:t xml:space="preserve"> </w:t>
            </w:r>
          </w:p>
        </w:tc>
        <w:tc>
          <w:tcPr>
            <w:tcW w:w="1758" w:type="dxa"/>
            <w:tcBorders>
              <w:top w:val="nil"/>
              <w:left w:val="nil"/>
              <w:bottom w:val="nil"/>
              <w:right w:val="single" w:sz="4" w:space="0" w:color="auto"/>
            </w:tcBorders>
            <w:shd w:val="clear" w:color="000000" w:fill="FFFFFF"/>
            <w:noWrap/>
            <w:vAlign w:val="bottom"/>
            <w:hideMark/>
          </w:tcPr>
          <w:p w14:paraId="68A804AC" w14:textId="0ADA2634" w:rsidR="00C22572" w:rsidRPr="00AE6BE1" w:rsidRDefault="000175EE" w:rsidP="00C22572">
            <w:pPr>
              <w:jc w:val="right"/>
              <w:rPr>
                <w:color w:val="000000"/>
                <w:sz w:val="22"/>
                <w:szCs w:val="22"/>
                <w:lang w:eastAsia="en-GB"/>
              </w:rPr>
            </w:pPr>
            <w:r>
              <w:rPr>
                <w:color w:val="000000"/>
                <w:sz w:val="22"/>
                <w:szCs w:val="22"/>
                <w:lang w:eastAsia="en-GB"/>
              </w:rPr>
              <w:t>43,840</w:t>
            </w:r>
            <w:r w:rsidR="00C22572" w:rsidRPr="00AE6BE1">
              <w:rPr>
                <w:color w:val="000000"/>
                <w:sz w:val="22"/>
                <w:szCs w:val="22"/>
                <w:lang w:eastAsia="en-GB"/>
              </w:rPr>
              <w:t xml:space="preserve"> </w:t>
            </w:r>
          </w:p>
        </w:tc>
      </w:tr>
      <w:tr w:rsidR="00C22572" w:rsidRPr="00AE6BE1" w14:paraId="422BC657" w14:textId="77777777" w:rsidTr="001B24C6">
        <w:trPr>
          <w:trHeight w:val="163"/>
        </w:trPr>
        <w:tc>
          <w:tcPr>
            <w:tcW w:w="3930" w:type="dxa"/>
            <w:tcBorders>
              <w:top w:val="nil"/>
              <w:left w:val="single" w:sz="4" w:space="0" w:color="auto"/>
              <w:bottom w:val="nil"/>
              <w:right w:val="single" w:sz="4" w:space="0" w:color="auto"/>
            </w:tcBorders>
            <w:shd w:val="clear" w:color="000000" w:fill="FFFFFF"/>
            <w:noWrap/>
            <w:vAlign w:val="bottom"/>
            <w:hideMark/>
          </w:tcPr>
          <w:p w14:paraId="698C459F" w14:textId="77777777" w:rsidR="00C22572" w:rsidRPr="00AE6BE1" w:rsidRDefault="00C22572" w:rsidP="00C22572">
            <w:pPr>
              <w:rPr>
                <w:color w:val="000000"/>
                <w:sz w:val="22"/>
                <w:szCs w:val="22"/>
                <w:lang w:eastAsia="en-GB"/>
              </w:rPr>
            </w:pPr>
            <w:r w:rsidRPr="00AE6BE1">
              <w:rPr>
                <w:color w:val="000000"/>
                <w:sz w:val="22"/>
                <w:szCs w:val="22"/>
                <w:lang w:eastAsia="en-GB"/>
              </w:rPr>
              <w:t>Capital Adjustment Account</w:t>
            </w:r>
          </w:p>
        </w:tc>
        <w:tc>
          <w:tcPr>
            <w:tcW w:w="1758" w:type="dxa"/>
            <w:tcBorders>
              <w:top w:val="nil"/>
              <w:left w:val="nil"/>
              <w:bottom w:val="nil"/>
              <w:right w:val="single" w:sz="4" w:space="0" w:color="auto"/>
            </w:tcBorders>
            <w:shd w:val="clear" w:color="000000" w:fill="FFFFFF"/>
            <w:noWrap/>
            <w:vAlign w:val="bottom"/>
            <w:hideMark/>
          </w:tcPr>
          <w:p w14:paraId="4557C7D1" w14:textId="7A3A6144" w:rsidR="00C22572" w:rsidRPr="00A61F0F" w:rsidRDefault="00C22572" w:rsidP="00C22572">
            <w:pPr>
              <w:jc w:val="right"/>
              <w:rPr>
                <w:color w:val="000000"/>
                <w:sz w:val="22"/>
                <w:szCs w:val="22"/>
                <w:lang w:eastAsia="en-GB"/>
              </w:rPr>
            </w:pPr>
            <w:r w:rsidRPr="00AE6BE1">
              <w:rPr>
                <w:color w:val="000000"/>
                <w:sz w:val="22"/>
                <w:szCs w:val="22"/>
                <w:lang w:eastAsia="en-GB"/>
              </w:rPr>
              <w:t xml:space="preserve">              </w:t>
            </w:r>
            <w:r>
              <w:rPr>
                <w:color w:val="000000"/>
                <w:sz w:val="22"/>
                <w:szCs w:val="22"/>
                <w:lang w:eastAsia="en-GB"/>
              </w:rPr>
              <w:t>66,978</w:t>
            </w:r>
            <w:r w:rsidRPr="00AE6BE1">
              <w:rPr>
                <w:color w:val="000000"/>
                <w:sz w:val="22"/>
                <w:szCs w:val="22"/>
                <w:lang w:eastAsia="en-GB"/>
              </w:rPr>
              <w:t xml:space="preserve"> </w:t>
            </w:r>
          </w:p>
        </w:tc>
        <w:tc>
          <w:tcPr>
            <w:tcW w:w="1758" w:type="dxa"/>
            <w:tcBorders>
              <w:top w:val="nil"/>
              <w:left w:val="nil"/>
              <w:bottom w:val="nil"/>
              <w:right w:val="single" w:sz="4" w:space="0" w:color="auto"/>
            </w:tcBorders>
            <w:shd w:val="clear" w:color="000000" w:fill="FFFFFF"/>
            <w:noWrap/>
            <w:vAlign w:val="bottom"/>
            <w:hideMark/>
          </w:tcPr>
          <w:p w14:paraId="53997BB6" w14:textId="248ECADE" w:rsidR="00C22572" w:rsidRPr="00AE6BE1" w:rsidRDefault="00C22572" w:rsidP="00C22572">
            <w:pPr>
              <w:jc w:val="right"/>
              <w:rPr>
                <w:color w:val="000000"/>
                <w:sz w:val="22"/>
                <w:szCs w:val="22"/>
                <w:lang w:eastAsia="en-GB"/>
              </w:rPr>
            </w:pPr>
            <w:r w:rsidRPr="00AE6BE1">
              <w:rPr>
                <w:color w:val="000000"/>
                <w:sz w:val="22"/>
                <w:szCs w:val="22"/>
                <w:lang w:eastAsia="en-GB"/>
              </w:rPr>
              <w:t xml:space="preserve">              </w:t>
            </w:r>
            <w:r w:rsidR="004F0F8C">
              <w:rPr>
                <w:color w:val="000000"/>
                <w:sz w:val="22"/>
                <w:szCs w:val="22"/>
                <w:lang w:eastAsia="en-GB"/>
              </w:rPr>
              <w:t>66,198</w:t>
            </w:r>
            <w:r w:rsidRPr="00AE6BE1">
              <w:rPr>
                <w:color w:val="000000"/>
                <w:sz w:val="22"/>
                <w:szCs w:val="22"/>
                <w:lang w:eastAsia="en-GB"/>
              </w:rPr>
              <w:t xml:space="preserve"> </w:t>
            </w:r>
          </w:p>
        </w:tc>
      </w:tr>
      <w:tr w:rsidR="00C22572" w:rsidRPr="00AE6BE1" w14:paraId="1D3C1849" w14:textId="77777777" w:rsidTr="001B24C6">
        <w:trPr>
          <w:trHeight w:val="163"/>
        </w:trPr>
        <w:tc>
          <w:tcPr>
            <w:tcW w:w="3930" w:type="dxa"/>
            <w:tcBorders>
              <w:top w:val="nil"/>
              <w:left w:val="single" w:sz="4" w:space="0" w:color="auto"/>
              <w:bottom w:val="nil"/>
              <w:right w:val="single" w:sz="4" w:space="0" w:color="auto"/>
            </w:tcBorders>
            <w:shd w:val="clear" w:color="000000" w:fill="FFFFFF"/>
            <w:noWrap/>
            <w:vAlign w:val="bottom"/>
            <w:hideMark/>
          </w:tcPr>
          <w:p w14:paraId="2464CD8D" w14:textId="77777777" w:rsidR="00C22572" w:rsidRPr="00AE6BE1" w:rsidRDefault="00C22572" w:rsidP="00C22572">
            <w:pPr>
              <w:rPr>
                <w:color w:val="000000"/>
                <w:sz w:val="22"/>
                <w:szCs w:val="22"/>
                <w:lang w:eastAsia="en-GB"/>
              </w:rPr>
            </w:pPr>
            <w:r w:rsidRPr="00AE6BE1">
              <w:rPr>
                <w:color w:val="000000"/>
                <w:sz w:val="22"/>
                <w:szCs w:val="22"/>
                <w:lang w:eastAsia="en-GB"/>
              </w:rPr>
              <w:t>Holiday Pay Account</w:t>
            </w:r>
          </w:p>
        </w:tc>
        <w:tc>
          <w:tcPr>
            <w:tcW w:w="1758" w:type="dxa"/>
            <w:tcBorders>
              <w:top w:val="nil"/>
              <w:left w:val="nil"/>
              <w:bottom w:val="nil"/>
              <w:right w:val="single" w:sz="4" w:space="0" w:color="auto"/>
            </w:tcBorders>
            <w:shd w:val="clear" w:color="000000" w:fill="FFFFFF"/>
            <w:noWrap/>
            <w:vAlign w:val="bottom"/>
            <w:hideMark/>
          </w:tcPr>
          <w:p w14:paraId="4A2E5AD0" w14:textId="54742BEC" w:rsidR="00C22572" w:rsidRPr="00A61F0F" w:rsidRDefault="00C22572" w:rsidP="00C22572">
            <w:pPr>
              <w:jc w:val="right"/>
              <w:rPr>
                <w:color w:val="000000"/>
                <w:sz w:val="22"/>
                <w:szCs w:val="22"/>
                <w:lang w:eastAsia="en-GB"/>
              </w:rPr>
            </w:pPr>
            <w:r w:rsidRPr="00AE6BE1">
              <w:rPr>
                <w:color w:val="000000"/>
                <w:sz w:val="22"/>
                <w:szCs w:val="22"/>
                <w:lang w:eastAsia="en-GB"/>
              </w:rPr>
              <w:t>(</w:t>
            </w:r>
            <w:r>
              <w:rPr>
                <w:color w:val="000000"/>
                <w:sz w:val="22"/>
                <w:szCs w:val="22"/>
                <w:lang w:eastAsia="en-GB"/>
              </w:rPr>
              <w:t>1,269</w:t>
            </w:r>
            <w:r w:rsidRPr="00AE6BE1">
              <w:rPr>
                <w:color w:val="000000"/>
                <w:sz w:val="22"/>
                <w:szCs w:val="22"/>
                <w:lang w:eastAsia="en-GB"/>
              </w:rPr>
              <w:t xml:space="preserve">) </w:t>
            </w:r>
          </w:p>
        </w:tc>
        <w:tc>
          <w:tcPr>
            <w:tcW w:w="1758" w:type="dxa"/>
            <w:tcBorders>
              <w:top w:val="nil"/>
              <w:left w:val="nil"/>
              <w:bottom w:val="nil"/>
              <w:right w:val="single" w:sz="4" w:space="0" w:color="auto"/>
            </w:tcBorders>
            <w:shd w:val="clear" w:color="000000" w:fill="FFFFFF"/>
            <w:noWrap/>
            <w:vAlign w:val="bottom"/>
            <w:hideMark/>
          </w:tcPr>
          <w:p w14:paraId="6F5EA711" w14:textId="27944C27" w:rsidR="00C22572" w:rsidRPr="00AE6BE1" w:rsidRDefault="00C22572" w:rsidP="00C22572">
            <w:pPr>
              <w:jc w:val="right"/>
              <w:rPr>
                <w:color w:val="000000"/>
                <w:sz w:val="22"/>
                <w:szCs w:val="22"/>
                <w:lang w:eastAsia="en-GB"/>
              </w:rPr>
            </w:pPr>
            <w:r w:rsidRPr="00AE6BE1">
              <w:rPr>
                <w:color w:val="000000"/>
                <w:sz w:val="22"/>
                <w:szCs w:val="22"/>
                <w:lang w:eastAsia="en-GB"/>
              </w:rPr>
              <w:t>(</w:t>
            </w:r>
            <w:r w:rsidR="004F0F8C">
              <w:rPr>
                <w:color w:val="000000"/>
                <w:sz w:val="22"/>
                <w:szCs w:val="22"/>
                <w:lang w:eastAsia="en-GB"/>
              </w:rPr>
              <w:t>1,353</w:t>
            </w:r>
            <w:r w:rsidRPr="00AE6BE1">
              <w:rPr>
                <w:color w:val="000000"/>
                <w:sz w:val="22"/>
                <w:szCs w:val="22"/>
                <w:lang w:eastAsia="en-GB"/>
              </w:rPr>
              <w:t xml:space="preserve">) </w:t>
            </w:r>
          </w:p>
        </w:tc>
      </w:tr>
      <w:tr w:rsidR="00C22572" w:rsidRPr="00AE6BE1" w14:paraId="2EA869C2" w14:textId="77777777" w:rsidTr="001B24C6">
        <w:trPr>
          <w:trHeight w:val="163"/>
        </w:trPr>
        <w:tc>
          <w:tcPr>
            <w:tcW w:w="3930" w:type="dxa"/>
            <w:tcBorders>
              <w:top w:val="nil"/>
              <w:left w:val="single" w:sz="4" w:space="0" w:color="auto"/>
              <w:bottom w:val="nil"/>
              <w:right w:val="single" w:sz="4" w:space="0" w:color="auto"/>
            </w:tcBorders>
            <w:shd w:val="clear" w:color="000000" w:fill="FFFFFF"/>
            <w:noWrap/>
            <w:vAlign w:val="bottom"/>
            <w:hideMark/>
          </w:tcPr>
          <w:p w14:paraId="257C6B95" w14:textId="77777777" w:rsidR="00C22572" w:rsidRPr="00AE6BE1" w:rsidRDefault="00C22572" w:rsidP="00C22572">
            <w:pPr>
              <w:rPr>
                <w:color w:val="000000"/>
                <w:sz w:val="22"/>
                <w:szCs w:val="22"/>
                <w:lang w:eastAsia="en-GB"/>
              </w:rPr>
            </w:pPr>
            <w:r w:rsidRPr="00AE6BE1">
              <w:rPr>
                <w:color w:val="000000"/>
                <w:sz w:val="22"/>
                <w:szCs w:val="22"/>
                <w:lang w:eastAsia="en-GB"/>
              </w:rPr>
              <w:t>Collection Fund Account</w:t>
            </w:r>
          </w:p>
        </w:tc>
        <w:tc>
          <w:tcPr>
            <w:tcW w:w="1758" w:type="dxa"/>
            <w:tcBorders>
              <w:top w:val="nil"/>
              <w:left w:val="nil"/>
              <w:bottom w:val="nil"/>
              <w:right w:val="single" w:sz="4" w:space="0" w:color="auto"/>
            </w:tcBorders>
            <w:shd w:val="clear" w:color="000000" w:fill="FFFFFF"/>
            <w:noWrap/>
            <w:vAlign w:val="bottom"/>
            <w:hideMark/>
          </w:tcPr>
          <w:p w14:paraId="3137FC69" w14:textId="4F2C8FE3" w:rsidR="00C22572" w:rsidRPr="00A61F0F" w:rsidRDefault="00C22572" w:rsidP="00C22572">
            <w:pPr>
              <w:jc w:val="right"/>
              <w:rPr>
                <w:color w:val="000000"/>
                <w:sz w:val="22"/>
                <w:szCs w:val="22"/>
                <w:lang w:eastAsia="en-GB"/>
              </w:rPr>
            </w:pPr>
            <w:r w:rsidRPr="00AE6BE1">
              <w:rPr>
                <w:color w:val="000000"/>
                <w:sz w:val="22"/>
                <w:szCs w:val="22"/>
                <w:lang w:eastAsia="en-GB"/>
              </w:rPr>
              <w:t>(</w:t>
            </w:r>
            <w:r>
              <w:rPr>
                <w:color w:val="000000"/>
                <w:sz w:val="22"/>
                <w:szCs w:val="22"/>
                <w:lang w:eastAsia="en-GB"/>
              </w:rPr>
              <w:t>418</w:t>
            </w:r>
            <w:r w:rsidRPr="00AE6BE1">
              <w:rPr>
                <w:color w:val="000000"/>
                <w:sz w:val="22"/>
                <w:szCs w:val="22"/>
                <w:lang w:eastAsia="en-GB"/>
              </w:rPr>
              <w:t xml:space="preserve">) </w:t>
            </w:r>
          </w:p>
        </w:tc>
        <w:tc>
          <w:tcPr>
            <w:tcW w:w="1758" w:type="dxa"/>
            <w:tcBorders>
              <w:top w:val="nil"/>
              <w:left w:val="nil"/>
              <w:bottom w:val="nil"/>
              <w:right w:val="single" w:sz="4" w:space="0" w:color="auto"/>
            </w:tcBorders>
            <w:shd w:val="clear" w:color="000000" w:fill="FFFFFF"/>
            <w:noWrap/>
            <w:vAlign w:val="bottom"/>
            <w:hideMark/>
          </w:tcPr>
          <w:p w14:paraId="4BDB1459" w14:textId="56D45C96" w:rsidR="00C22572" w:rsidRPr="00AE6BE1" w:rsidRDefault="004F0F8C" w:rsidP="00C22572">
            <w:pPr>
              <w:jc w:val="right"/>
              <w:rPr>
                <w:color w:val="000000"/>
                <w:sz w:val="22"/>
                <w:szCs w:val="22"/>
                <w:lang w:eastAsia="en-GB"/>
              </w:rPr>
            </w:pPr>
            <w:r>
              <w:rPr>
                <w:color w:val="000000"/>
                <w:sz w:val="22"/>
                <w:szCs w:val="22"/>
                <w:lang w:eastAsia="en-GB"/>
              </w:rPr>
              <w:t>1,557</w:t>
            </w:r>
            <w:r w:rsidR="00C22572" w:rsidRPr="00AE6BE1">
              <w:rPr>
                <w:color w:val="000000"/>
                <w:sz w:val="22"/>
                <w:szCs w:val="22"/>
                <w:lang w:eastAsia="en-GB"/>
              </w:rPr>
              <w:t xml:space="preserve"> </w:t>
            </w:r>
          </w:p>
        </w:tc>
      </w:tr>
      <w:tr w:rsidR="00C22572" w:rsidRPr="00AE6BE1" w14:paraId="20C3EA68" w14:textId="77777777" w:rsidTr="001B24C6">
        <w:trPr>
          <w:trHeight w:val="163"/>
        </w:trPr>
        <w:tc>
          <w:tcPr>
            <w:tcW w:w="3930" w:type="dxa"/>
            <w:tcBorders>
              <w:top w:val="nil"/>
              <w:left w:val="single" w:sz="4" w:space="0" w:color="auto"/>
              <w:bottom w:val="nil"/>
              <w:right w:val="single" w:sz="4" w:space="0" w:color="auto"/>
            </w:tcBorders>
            <w:shd w:val="clear" w:color="000000" w:fill="FFFFFF"/>
            <w:noWrap/>
            <w:vAlign w:val="bottom"/>
            <w:hideMark/>
          </w:tcPr>
          <w:p w14:paraId="0DEDFFA3" w14:textId="77777777" w:rsidR="00C22572" w:rsidRPr="00AE6BE1" w:rsidRDefault="00C22572" w:rsidP="00C22572">
            <w:pPr>
              <w:rPr>
                <w:color w:val="000000"/>
                <w:sz w:val="22"/>
                <w:szCs w:val="22"/>
                <w:lang w:eastAsia="en-GB"/>
              </w:rPr>
            </w:pPr>
            <w:r w:rsidRPr="00AE6BE1">
              <w:rPr>
                <w:color w:val="000000"/>
                <w:sz w:val="22"/>
                <w:szCs w:val="22"/>
                <w:lang w:eastAsia="en-GB"/>
              </w:rPr>
              <w:t>Pension Reserve</w:t>
            </w:r>
          </w:p>
        </w:tc>
        <w:tc>
          <w:tcPr>
            <w:tcW w:w="1758" w:type="dxa"/>
            <w:tcBorders>
              <w:top w:val="nil"/>
              <w:left w:val="nil"/>
              <w:bottom w:val="nil"/>
              <w:right w:val="single" w:sz="4" w:space="0" w:color="auto"/>
            </w:tcBorders>
            <w:shd w:val="clear" w:color="000000" w:fill="FFFFFF"/>
            <w:noWrap/>
            <w:vAlign w:val="bottom"/>
            <w:hideMark/>
          </w:tcPr>
          <w:p w14:paraId="7E74C09D" w14:textId="332931E9" w:rsidR="00C22572" w:rsidRPr="00A61F0F" w:rsidRDefault="00C22572" w:rsidP="00C22572">
            <w:pPr>
              <w:jc w:val="right"/>
              <w:rPr>
                <w:color w:val="000000"/>
                <w:sz w:val="22"/>
                <w:szCs w:val="22"/>
                <w:lang w:eastAsia="en-GB"/>
              </w:rPr>
            </w:pPr>
            <w:r w:rsidRPr="00AE6BE1">
              <w:rPr>
                <w:color w:val="000000"/>
                <w:sz w:val="22"/>
                <w:szCs w:val="22"/>
                <w:lang w:eastAsia="en-GB"/>
              </w:rPr>
              <w:t>(</w:t>
            </w:r>
            <w:r>
              <w:rPr>
                <w:color w:val="000000"/>
                <w:sz w:val="22"/>
                <w:szCs w:val="22"/>
                <w:lang w:eastAsia="en-GB"/>
              </w:rPr>
              <w:t>902,453</w:t>
            </w:r>
            <w:r w:rsidRPr="00AE6BE1">
              <w:rPr>
                <w:color w:val="000000"/>
                <w:sz w:val="22"/>
                <w:szCs w:val="22"/>
                <w:lang w:eastAsia="en-GB"/>
              </w:rPr>
              <w:t xml:space="preserve">) </w:t>
            </w:r>
          </w:p>
        </w:tc>
        <w:tc>
          <w:tcPr>
            <w:tcW w:w="1758" w:type="dxa"/>
            <w:tcBorders>
              <w:top w:val="nil"/>
              <w:left w:val="nil"/>
              <w:bottom w:val="nil"/>
              <w:right w:val="single" w:sz="4" w:space="0" w:color="auto"/>
            </w:tcBorders>
            <w:shd w:val="clear" w:color="000000" w:fill="FFFFFF"/>
            <w:noWrap/>
            <w:vAlign w:val="bottom"/>
            <w:hideMark/>
          </w:tcPr>
          <w:p w14:paraId="600E5446" w14:textId="01289262" w:rsidR="00C22572" w:rsidRPr="00AE6BE1" w:rsidRDefault="00C22572" w:rsidP="00C22572">
            <w:pPr>
              <w:jc w:val="right"/>
              <w:rPr>
                <w:color w:val="000000"/>
                <w:sz w:val="22"/>
                <w:szCs w:val="22"/>
                <w:lang w:eastAsia="en-GB"/>
              </w:rPr>
            </w:pPr>
            <w:r w:rsidRPr="00AE6BE1">
              <w:rPr>
                <w:color w:val="000000"/>
                <w:sz w:val="22"/>
                <w:szCs w:val="22"/>
                <w:lang w:eastAsia="en-GB"/>
              </w:rPr>
              <w:t>(</w:t>
            </w:r>
            <w:r w:rsidR="004F0F8C">
              <w:rPr>
                <w:color w:val="000000"/>
                <w:sz w:val="22"/>
                <w:szCs w:val="22"/>
                <w:lang w:eastAsia="en-GB"/>
              </w:rPr>
              <w:t>570,842</w:t>
            </w:r>
            <w:r w:rsidRPr="00AE6BE1">
              <w:rPr>
                <w:color w:val="000000"/>
                <w:sz w:val="22"/>
                <w:szCs w:val="22"/>
                <w:lang w:eastAsia="en-GB"/>
              </w:rPr>
              <w:t xml:space="preserve">) </w:t>
            </w:r>
          </w:p>
        </w:tc>
      </w:tr>
      <w:tr w:rsidR="00C22572" w:rsidRPr="00AE6BE1" w14:paraId="6B7D0591" w14:textId="77777777" w:rsidTr="001B24C6">
        <w:trPr>
          <w:trHeight w:val="163"/>
        </w:trPr>
        <w:tc>
          <w:tcPr>
            <w:tcW w:w="39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045D9E" w14:textId="77777777" w:rsidR="00C22572" w:rsidRPr="00AE6BE1" w:rsidRDefault="00C22572" w:rsidP="00C22572">
            <w:pPr>
              <w:rPr>
                <w:b/>
                <w:bCs/>
                <w:color w:val="000000"/>
                <w:sz w:val="22"/>
                <w:szCs w:val="22"/>
                <w:lang w:eastAsia="en-GB"/>
              </w:rPr>
            </w:pPr>
            <w:r w:rsidRPr="00AE6BE1">
              <w:rPr>
                <w:b/>
                <w:bCs/>
                <w:color w:val="000000"/>
                <w:sz w:val="22"/>
                <w:szCs w:val="22"/>
                <w:lang w:eastAsia="en-GB"/>
              </w:rPr>
              <w:t>Unusable Reserves</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1D8834F7" w14:textId="350D9F9E" w:rsidR="00C22572" w:rsidRPr="00A61F0F" w:rsidRDefault="00C22572" w:rsidP="00C22572">
            <w:pPr>
              <w:jc w:val="right"/>
              <w:rPr>
                <w:b/>
                <w:bCs/>
                <w:color w:val="000000"/>
                <w:sz w:val="22"/>
                <w:szCs w:val="22"/>
                <w:lang w:eastAsia="en-GB"/>
              </w:rPr>
            </w:pPr>
            <w:r w:rsidRPr="00AE6BE1">
              <w:rPr>
                <w:b/>
                <w:bCs/>
                <w:color w:val="000000"/>
                <w:sz w:val="22"/>
                <w:szCs w:val="22"/>
                <w:lang w:eastAsia="en-GB"/>
              </w:rPr>
              <w:t>(</w:t>
            </w:r>
            <w:r>
              <w:rPr>
                <w:b/>
                <w:bCs/>
                <w:color w:val="000000"/>
                <w:sz w:val="22"/>
                <w:szCs w:val="22"/>
                <w:lang w:eastAsia="en-GB"/>
              </w:rPr>
              <w:t>795,826</w:t>
            </w:r>
            <w:r w:rsidRPr="00AE6BE1">
              <w:rPr>
                <w:b/>
                <w:bCs/>
                <w:color w:val="000000"/>
                <w:sz w:val="22"/>
                <w:szCs w:val="22"/>
                <w:lang w:eastAsia="en-GB"/>
              </w:rPr>
              <w:t xml:space="preserve">)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0D64B4E9" w14:textId="69C1A34B" w:rsidR="00C22572" w:rsidRPr="00AE6BE1" w:rsidRDefault="00C22572" w:rsidP="00C22572">
            <w:pPr>
              <w:jc w:val="right"/>
              <w:rPr>
                <w:b/>
                <w:bCs/>
                <w:color w:val="000000"/>
                <w:sz w:val="22"/>
                <w:szCs w:val="22"/>
                <w:lang w:eastAsia="en-GB"/>
              </w:rPr>
            </w:pPr>
            <w:r w:rsidRPr="00AE6BE1">
              <w:rPr>
                <w:b/>
                <w:bCs/>
                <w:color w:val="000000"/>
                <w:sz w:val="22"/>
                <w:szCs w:val="22"/>
                <w:lang w:eastAsia="en-GB"/>
              </w:rPr>
              <w:t>(</w:t>
            </w:r>
            <w:r w:rsidR="004F0F8C">
              <w:rPr>
                <w:b/>
                <w:bCs/>
                <w:color w:val="000000"/>
                <w:sz w:val="22"/>
                <w:szCs w:val="22"/>
                <w:lang w:eastAsia="en-GB"/>
              </w:rPr>
              <w:t>460,600</w:t>
            </w:r>
            <w:r w:rsidRPr="00AE6BE1">
              <w:rPr>
                <w:b/>
                <w:bCs/>
                <w:color w:val="000000"/>
                <w:sz w:val="22"/>
                <w:szCs w:val="22"/>
                <w:lang w:eastAsia="en-GB"/>
              </w:rPr>
              <w:t xml:space="preserve">) </w:t>
            </w:r>
          </w:p>
        </w:tc>
      </w:tr>
    </w:tbl>
    <w:p w14:paraId="06542130" w14:textId="77777777" w:rsidR="00FE7B52" w:rsidRPr="00AE6BE1" w:rsidRDefault="00FE7B52" w:rsidP="00E05353">
      <w:pPr>
        <w:autoSpaceDE w:val="0"/>
        <w:autoSpaceDN w:val="0"/>
        <w:adjustRightInd w:val="0"/>
        <w:rPr>
          <w:color w:val="000000"/>
          <w:lang w:eastAsia="en-GB"/>
        </w:rPr>
      </w:pPr>
    </w:p>
    <w:p w14:paraId="198435FC" w14:textId="4A71B9BF" w:rsidR="00FE7B52" w:rsidRPr="00AE6BE1" w:rsidRDefault="00FE7B52" w:rsidP="00E05353">
      <w:pPr>
        <w:autoSpaceDE w:val="0"/>
        <w:autoSpaceDN w:val="0"/>
        <w:adjustRightInd w:val="0"/>
        <w:spacing w:after="120"/>
        <w:ind w:left="425"/>
        <w:rPr>
          <w:color w:val="000000"/>
          <w:lang w:eastAsia="en-GB"/>
        </w:rPr>
      </w:pPr>
      <w:r w:rsidRPr="00AE6BE1">
        <w:rPr>
          <w:color w:val="000000"/>
          <w:lang w:eastAsia="en-GB"/>
        </w:rPr>
        <w:t>The detail of each Unusable Reserve is outlined below:</w:t>
      </w:r>
    </w:p>
    <w:p w14:paraId="0017B568" w14:textId="1AE873E7" w:rsidR="007C37CA" w:rsidRPr="00AE6BE1" w:rsidRDefault="007C37CA" w:rsidP="00132D9E">
      <w:pPr>
        <w:numPr>
          <w:ilvl w:val="0"/>
          <w:numId w:val="31"/>
        </w:numPr>
        <w:spacing w:after="120"/>
        <w:ind w:left="1077" w:hanging="357"/>
        <w:jc w:val="both"/>
        <w:rPr>
          <w:color w:val="000000"/>
          <w:lang w:eastAsia="en-GB"/>
        </w:rPr>
      </w:pPr>
      <w:r w:rsidRPr="00AE6BE1">
        <w:rPr>
          <w:b/>
          <w:bCs/>
          <w:color w:val="000000"/>
          <w:lang w:eastAsia="en-GB"/>
        </w:rPr>
        <w:t>Revaluation Reserve</w:t>
      </w:r>
      <w:r w:rsidRPr="00AE6BE1">
        <w:rPr>
          <w:color w:val="000000"/>
          <w:lang w:eastAsia="en-GB"/>
        </w:rPr>
        <w:t xml:space="preserve"> </w:t>
      </w:r>
      <w:r w:rsidR="00637039" w:rsidRPr="00AE6BE1">
        <w:rPr>
          <w:color w:val="000000"/>
          <w:lang w:eastAsia="en-GB"/>
        </w:rPr>
        <w:t xml:space="preserve">– </w:t>
      </w:r>
      <w:r w:rsidR="002C3EC2">
        <w:rPr>
          <w:color w:val="000000"/>
          <w:lang w:eastAsia="en-GB"/>
        </w:rPr>
        <w:t>I</w:t>
      </w:r>
      <w:r w:rsidRPr="00AE6BE1">
        <w:rPr>
          <w:color w:val="000000"/>
          <w:lang w:eastAsia="en-GB"/>
        </w:rPr>
        <w:t>nclude</w:t>
      </w:r>
      <w:r w:rsidR="00637039" w:rsidRPr="00AE6BE1">
        <w:rPr>
          <w:color w:val="000000"/>
          <w:lang w:eastAsia="en-GB"/>
        </w:rPr>
        <w:t>s</w:t>
      </w:r>
      <w:r w:rsidRPr="00AE6BE1">
        <w:rPr>
          <w:color w:val="000000"/>
          <w:lang w:eastAsia="en-GB"/>
        </w:rPr>
        <w:t xml:space="preserve"> unrealised gains and losses </w:t>
      </w:r>
      <w:r w:rsidR="00637039" w:rsidRPr="00AE6BE1">
        <w:rPr>
          <w:color w:val="000000"/>
          <w:lang w:eastAsia="en-GB"/>
        </w:rPr>
        <w:t>made by the Authority arising from changes in the value of its Property, Plant and Equipment (and Intangible Assets).</w:t>
      </w:r>
    </w:p>
    <w:p w14:paraId="2896F461" w14:textId="4AEA222A" w:rsidR="007C37CA" w:rsidRPr="00AE6BE1" w:rsidRDefault="007C37CA" w:rsidP="00132D9E">
      <w:pPr>
        <w:numPr>
          <w:ilvl w:val="0"/>
          <w:numId w:val="31"/>
        </w:numPr>
        <w:spacing w:after="120"/>
        <w:ind w:left="1077" w:hanging="357"/>
        <w:jc w:val="both"/>
        <w:rPr>
          <w:color w:val="000000"/>
          <w:lang w:eastAsia="en-GB"/>
        </w:rPr>
      </w:pPr>
      <w:r w:rsidRPr="00AE6BE1">
        <w:rPr>
          <w:b/>
          <w:bCs/>
          <w:color w:val="000000"/>
          <w:lang w:eastAsia="en-GB"/>
        </w:rPr>
        <w:t xml:space="preserve">Capital Adjustment Account </w:t>
      </w:r>
      <w:r w:rsidR="007750D6" w:rsidRPr="00AE6BE1">
        <w:rPr>
          <w:color w:val="000000"/>
          <w:lang w:eastAsia="en-GB"/>
        </w:rPr>
        <w:t>–</w:t>
      </w:r>
      <w:r w:rsidR="00167E77" w:rsidRPr="00AE6BE1">
        <w:rPr>
          <w:b/>
          <w:bCs/>
          <w:color w:val="000000"/>
          <w:lang w:eastAsia="en-GB"/>
        </w:rPr>
        <w:t xml:space="preserve"> </w:t>
      </w:r>
      <w:r w:rsidR="002C3EC2">
        <w:rPr>
          <w:color w:val="000000"/>
          <w:lang w:eastAsia="en-GB"/>
        </w:rPr>
        <w:t>A</w:t>
      </w:r>
      <w:r w:rsidR="00167E77" w:rsidRPr="00AE6BE1">
        <w:rPr>
          <w:color w:val="000000"/>
          <w:lang w:eastAsia="en-GB"/>
        </w:rPr>
        <w:t>bsorbs</w:t>
      </w:r>
      <w:r w:rsidR="00637039" w:rsidRPr="00AE6BE1">
        <w:rPr>
          <w:color w:val="000000"/>
          <w:lang w:eastAsia="en-GB"/>
        </w:rPr>
        <w:t xml:space="preserve"> the timing differences arising from the different arrangements for accounting for the consumption of non-current assets and for financing the acquisition, </w:t>
      </w:r>
      <w:r w:rsidR="00167E77" w:rsidRPr="00AE6BE1">
        <w:rPr>
          <w:color w:val="000000"/>
          <w:lang w:eastAsia="en-GB"/>
        </w:rPr>
        <w:t>construction,</w:t>
      </w:r>
      <w:r w:rsidR="00637039" w:rsidRPr="00AE6BE1">
        <w:rPr>
          <w:color w:val="000000"/>
          <w:lang w:eastAsia="en-GB"/>
        </w:rPr>
        <w:t xml:space="preserve"> or enhancement of those assets under statutory provisions.</w:t>
      </w:r>
    </w:p>
    <w:p w14:paraId="4229FD6A" w14:textId="531B77A2" w:rsidR="007C37CA" w:rsidRPr="00AE6BE1" w:rsidRDefault="007C37CA" w:rsidP="00132D9E">
      <w:pPr>
        <w:numPr>
          <w:ilvl w:val="0"/>
          <w:numId w:val="31"/>
        </w:numPr>
        <w:spacing w:after="120"/>
        <w:ind w:left="1077" w:hanging="357"/>
        <w:jc w:val="both"/>
        <w:rPr>
          <w:b/>
          <w:bCs/>
          <w:color w:val="000000"/>
          <w:lang w:eastAsia="en-GB"/>
        </w:rPr>
      </w:pPr>
      <w:r w:rsidRPr="00AE6BE1">
        <w:rPr>
          <w:b/>
          <w:bCs/>
          <w:color w:val="000000"/>
          <w:lang w:eastAsia="en-GB"/>
        </w:rPr>
        <w:t>Holiday Pay Account</w:t>
      </w:r>
      <w:r w:rsidR="00637039" w:rsidRPr="00AE6BE1">
        <w:rPr>
          <w:b/>
          <w:bCs/>
          <w:color w:val="000000"/>
          <w:lang w:eastAsia="en-GB"/>
        </w:rPr>
        <w:t xml:space="preserve"> </w:t>
      </w:r>
      <w:r w:rsidR="007750D6" w:rsidRPr="00AE6BE1">
        <w:rPr>
          <w:color w:val="000000"/>
          <w:lang w:eastAsia="en-GB"/>
        </w:rPr>
        <w:t>–</w:t>
      </w:r>
      <w:r w:rsidR="00637039" w:rsidRPr="00AE6BE1">
        <w:rPr>
          <w:b/>
          <w:bCs/>
          <w:color w:val="000000"/>
          <w:lang w:eastAsia="en-GB"/>
        </w:rPr>
        <w:t xml:space="preserve"> </w:t>
      </w:r>
      <w:r w:rsidR="002C3EC2">
        <w:rPr>
          <w:color w:val="000000"/>
          <w:lang w:eastAsia="en-GB"/>
        </w:rPr>
        <w:t>A</w:t>
      </w:r>
      <w:r w:rsidR="00637039" w:rsidRPr="00AE6BE1">
        <w:rPr>
          <w:color w:val="000000"/>
          <w:lang w:eastAsia="en-GB"/>
        </w:rPr>
        <w:t xml:space="preserve">bsorbs the differences that would otherwise arise on the General Fund Balance from accruing for compensated absences earned but not taken in the year </w:t>
      </w:r>
      <w:r w:rsidR="00167E77" w:rsidRPr="00AE6BE1">
        <w:rPr>
          <w:color w:val="000000"/>
          <w:lang w:eastAsia="en-GB"/>
        </w:rPr>
        <w:t>e.g.,</w:t>
      </w:r>
      <w:r w:rsidR="00637039" w:rsidRPr="00AE6BE1">
        <w:rPr>
          <w:color w:val="000000"/>
          <w:lang w:eastAsia="en-GB"/>
        </w:rPr>
        <w:t xml:space="preserve"> annual leave entitlement carried forward at the year end.</w:t>
      </w:r>
    </w:p>
    <w:p w14:paraId="5FEB9A41" w14:textId="4C05D901" w:rsidR="007C37CA" w:rsidRPr="00AE6BE1" w:rsidRDefault="007C37CA" w:rsidP="00132D9E">
      <w:pPr>
        <w:numPr>
          <w:ilvl w:val="0"/>
          <w:numId w:val="31"/>
        </w:numPr>
        <w:spacing w:after="120"/>
        <w:ind w:left="1077" w:hanging="357"/>
        <w:jc w:val="both"/>
        <w:rPr>
          <w:color w:val="000000"/>
          <w:lang w:eastAsia="en-GB"/>
        </w:rPr>
      </w:pPr>
      <w:r w:rsidRPr="00AE6BE1">
        <w:rPr>
          <w:b/>
          <w:bCs/>
          <w:color w:val="000000"/>
          <w:lang w:eastAsia="en-GB"/>
        </w:rPr>
        <w:t xml:space="preserve">Collection Fund </w:t>
      </w:r>
      <w:r w:rsidR="00167E77" w:rsidRPr="00AE6BE1">
        <w:rPr>
          <w:b/>
          <w:bCs/>
          <w:color w:val="000000"/>
          <w:lang w:eastAsia="en-GB"/>
        </w:rPr>
        <w:t xml:space="preserve">Account </w:t>
      </w:r>
      <w:r w:rsidR="007750D6" w:rsidRPr="00AE6BE1">
        <w:rPr>
          <w:color w:val="000000"/>
          <w:lang w:eastAsia="en-GB"/>
        </w:rPr>
        <w:t>–</w:t>
      </w:r>
      <w:r w:rsidR="00637039" w:rsidRPr="00AE6BE1">
        <w:rPr>
          <w:b/>
          <w:bCs/>
          <w:color w:val="000000"/>
          <w:lang w:eastAsia="en-GB"/>
        </w:rPr>
        <w:t xml:space="preserve"> </w:t>
      </w:r>
      <w:r w:rsidR="00637039" w:rsidRPr="00AE6BE1">
        <w:rPr>
          <w:color w:val="000000"/>
          <w:lang w:eastAsia="en-GB"/>
        </w:rPr>
        <w:t>The Collection Fund Adjustment Account manages the differences arising from the recognition of council tax and non-domestic rates income in the Comprehensive Income and Expenditure Statement compared with the statutory arrangements for paying across amounts to the General Fund from the Collection Fund.</w:t>
      </w:r>
    </w:p>
    <w:p w14:paraId="6C89AC24" w14:textId="47D323F5" w:rsidR="007C37CA" w:rsidRDefault="007C37CA" w:rsidP="00132D9E">
      <w:pPr>
        <w:numPr>
          <w:ilvl w:val="0"/>
          <w:numId w:val="31"/>
        </w:numPr>
        <w:spacing w:after="240"/>
        <w:ind w:left="1077" w:hanging="357"/>
        <w:jc w:val="both"/>
        <w:rPr>
          <w:color w:val="000000"/>
          <w:lang w:eastAsia="en-GB"/>
        </w:rPr>
      </w:pPr>
      <w:r w:rsidRPr="00AE6BE1">
        <w:rPr>
          <w:b/>
          <w:bCs/>
          <w:color w:val="000000"/>
          <w:lang w:eastAsia="en-GB"/>
        </w:rPr>
        <w:t>Pension Reserve</w:t>
      </w:r>
      <w:r w:rsidRPr="00AE6BE1">
        <w:rPr>
          <w:color w:val="000000"/>
          <w:lang w:eastAsia="en-GB"/>
        </w:rPr>
        <w:t xml:space="preserve"> </w:t>
      </w:r>
      <w:r w:rsidR="007750D6" w:rsidRPr="00AE6BE1">
        <w:rPr>
          <w:color w:val="000000"/>
          <w:lang w:eastAsia="en-GB"/>
        </w:rPr>
        <w:t>–</w:t>
      </w:r>
      <w:r w:rsidRPr="00AE6BE1">
        <w:rPr>
          <w:color w:val="000000"/>
          <w:lang w:eastAsia="en-GB"/>
        </w:rPr>
        <w:t xml:space="preserve"> </w:t>
      </w:r>
      <w:r w:rsidR="002C3EC2">
        <w:rPr>
          <w:color w:val="000000"/>
          <w:lang w:eastAsia="en-GB"/>
        </w:rPr>
        <w:t>A</w:t>
      </w:r>
      <w:r w:rsidR="00637039" w:rsidRPr="00AE6BE1">
        <w:rPr>
          <w:color w:val="000000"/>
          <w:lang w:eastAsia="en-GB"/>
        </w:rPr>
        <w:t>bsorbs the timing differences arising from the different arrangements for accounting for post-employment benefits and for funding benefits in accordance with statutory provisions.</w:t>
      </w:r>
    </w:p>
    <w:p w14:paraId="19E378B2" w14:textId="3F69CF40" w:rsidR="00517A0F" w:rsidRPr="00AE6BE1" w:rsidRDefault="00517A0F" w:rsidP="00132D9E">
      <w:pPr>
        <w:autoSpaceDE w:val="0"/>
        <w:autoSpaceDN w:val="0"/>
        <w:adjustRightInd w:val="0"/>
        <w:spacing w:after="120"/>
        <w:ind w:left="426"/>
        <w:jc w:val="both"/>
        <w:rPr>
          <w:b/>
          <w:color w:val="000000"/>
        </w:rPr>
      </w:pPr>
      <w:r w:rsidRPr="00AE6BE1">
        <w:rPr>
          <w:b/>
          <w:bCs/>
          <w:color w:val="000000"/>
          <w:lang w:eastAsia="en-GB"/>
        </w:rPr>
        <w:lastRenderedPageBreak/>
        <w:t>USABLE RESERVES</w:t>
      </w:r>
    </w:p>
    <w:p w14:paraId="1CFF212C" w14:textId="64B0AE23" w:rsidR="00F654B6" w:rsidRPr="00AE6BE1" w:rsidRDefault="00F654B6" w:rsidP="00132D9E">
      <w:pPr>
        <w:autoSpaceDE w:val="0"/>
        <w:autoSpaceDN w:val="0"/>
        <w:adjustRightInd w:val="0"/>
        <w:spacing w:after="120"/>
        <w:ind w:left="425"/>
        <w:jc w:val="both"/>
        <w:rPr>
          <w:color w:val="000000"/>
          <w:lang w:eastAsia="en-GB"/>
        </w:rPr>
      </w:pPr>
      <w:r w:rsidRPr="00AE6BE1">
        <w:rPr>
          <w:color w:val="000000"/>
          <w:lang w:eastAsia="en-GB"/>
        </w:rPr>
        <w:t>The Authority maintains the following type of Useable Reserves:</w:t>
      </w:r>
    </w:p>
    <w:p w14:paraId="02A863AA" w14:textId="73895F50" w:rsidR="008A1DB9" w:rsidRPr="00AE6BE1" w:rsidRDefault="008A1DB9" w:rsidP="00132D9E">
      <w:pPr>
        <w:autoSpaceDE w:val="0"/>
        <w:autoSpaceDN w:val="0"/>
        <w:adjustRightInd w:val="0"/>
        <w:spacing w:after="120"/>
        <w:ind w:left="425"/>
        <w:jc w:val="both"/>
      </w:pPr>
      <w:r w:rsidRPr="00AE6BE1">
        <w:rPr>
          <w:b/>
          <w:color w:val="000000"/>
        </w:rPr>
        <w:t>General Reserves</w:t>
      </w:r>
    </w:p>
    <w:p w14:paraId="16B65D01" w14:textId="794FFA8A" w:rsidR="00E05353" w:rsidRPr="00AE6BE1" w:rsidRDefault="008A1DB9" w:rsidP="00132D9E">
      <w:pPr>
        <w:pStyle w:val="Default"/>
        <w:spacing w:after="120"/>
        <w:ind w:left="425"/>
        <w:jc w:val="both"/>
      </w:pPr>
      <w:r w:rsidRPr="00AE6BE1">
        <w:t xml:space="preserve">These are held by the Authority </w:t>
      </w:r>
      <w:r w:rsidR="002C3EC2">
        <w:t>to</w:t>
      </w:r>
      <w:r w:rsidRPr="00AE6BE1">
        <w:t xml:space="preserve"> balance funding and spending priorities and to manage risks. These are established as part of the medium term financial planning process. </w:t>
      </w:r>
    </w:p>
    <w:p w14:paraId="4422CC47" w14:textId="19439F83" w:rsidR="008A1DB9" w:rsidRPr="00AE6BE1" w:rsidRDefault="008A1DB9" w:rsidP="00132D9E">
      <w:pPr>
        <w:autoSpaceDE w:val="0"/>
        <w:autoSpaceDN w:val="0"/>
        <w:adjustRightInd w:val="0"/>
        <w:spacing w:after="120"/>
        <w:ind w:left="425"/>
        <w:jc w:val="both"/>
        <w:rPr>
          <w:color w:val="000000"/>
        </w:rPr>
      </w:pPr>
      <w:r w:rsidRPr="00AE6BE1">
        <w:rPr>
          <w:color w:val="000000"/>
        </w:rPr>
        <w:t>The Authority needs to hold an adequate level of general reserves to provide:</w:t>
      </w:r>
    </w:p>
    <w:p w14:paraId="06038DB9" w14:textId="77777777" w:rsidR="008A1DB9" w:rsidRPr="00AE6BE1" w:rsidRDefault="008A1DB9" w:rsidP="00132D9E">
      <w:pPr>
        <w:numPr>
          <w:ilvl w:val="0"/>
          <w:numId w:val="30"/>
        </w:numPr>
        <w:autoSpaceDE w:val="0"/>
        <w:autoSpaceDN w:val="0"/>
        <w:adjustRightInd w:val="0"/>
        <w:ind w:left="1134"/>
        <w:jc w:val="both"/>
        <w:rPr>
          <w:lang w:eastAsia="en-GB"/>
        </w:rPr>
      </w:pPr>
      <w:r w:rsidRPr="00AE6BE1">
        <w:rPr>
          <w:lang w:eastAsia="en-GB"/>
        </w:rPr>
        <w:t xml:space="preserve">A working balance to help cushion the impact of uneven cash flows and avoid unnecessary temporary </w:t>
      </w:r>
      <w:r w:rsidR="00E265FC" w:rsidRPr="00AE6BE1">
        <w:rPr>
          <w:lang w:eastAsia="en-GB"/>
        </w:rPr>
        <w:t>borrowing.</w:t>
      </w:r>
    </w:p>
    <w:p w14:paraId="5160A216" w14:textId="77777777" w:rsidR="008A1DB9" w:rsidRPr="00AE6BE1" w:rsidRDefault="008A1DB9" w:rsidP="00132D9E">
      <w:pPr>
        <w:numPr>
          <w:ilvl w:val="0"/>
          <w:numId w:val="28"/>
        </w:numPr>
        <w:autoSpaceDE w:val="0"/>
        <w:autoSpaceDN w:val="0"/>
        <w:adjustRightInd w:val="0"/>
        <w:ind w:left="1134"/>
        <w:jc w:val="both"/>
        <w:rPr>
          <w:lang w:eastAsia="en-GB"/>
        </w:rPr>
      </w:pPr>
      <w:r w:rsidRPr="00AE6BE1">
        <w:rPr>
          <w:lang w:eastAsia="en-GB"/>
        </w:rPr>
        <w:t xml:space="preserve">A contingency to cushion the impact of unexpected </w:t>
      </w:r>
      <w:r w:rsidR="00E265FC" w:rsidRPr="00AE6BE1">
        <w:rPr>
          <w:lang w:eastAsia="en-GB"/>
        </w:rPr>
        <w:t>events.</w:t>
      </w:r>
    </w:p>
    <w:p w14:paraId="7065FB86" w14:textId="33495FC1" w:rsidR="008A1DB9" w:rsidRPr="00AE6BE1" w:rsidRDefault="008A1DB9" w:rsidP="00132D9E">
      <w:pPr>
        <w:numPr>
          <w:ilvl w:val="0"/>
          <w:numId w:val="28"/>
        </w:numPr>
        <w:autoSpaceDE w:val="0"/>
        <w:autoSpaceDN w:val="0"/>
        <w:adjustRightInd w:val="0"/>
        <w:spacing w:after="120"/>
        <w:ind w:left="1134" w:hanging="357"/>
        <w:jc w:val="both"/>
        <w:rPr>
          <w:lang w:eastAsia="en-GB"/>
        </w:rPr>
      </w:pPr>
      <w:r w:rsidRPr="00AE6BE1">
        <w:rPr>
          <w:lang w:eastAsia="en-GB"/>
        </w:rPr>
        <w:t>A means of smoothing out large fluctuations in spending requirements and/or funding available.</w:t>
      </w:r>
    </w:p>
    <w:p w14:paraId="28BF8E01" w14:textId="57B78172" w:rsidR="0078761F" w:rsidRPr="00AE6BE1" w:rsidRDefault="008A1DB9" w:rsidP="0078761F">
      <w:pPr>
        <w:autoSpaceDE w:val="0"/>
        <w:autoSpaceDN w:val="0"/>
        <w:adjustRightInd w:val="0"/>
        <w:spacing w:after="120"/>
        <w:ind w:left="425"/>
        <w:jc w:val="both"/>
        <w:rPr>
          <w:lang w:eastAsia="en-GB"/>
        </w:rPr>
      </w:pPr>
      <w:r w:rsidRPr="00AE6BE1">
        <w:rPr>
          <w:lang w:eastAsia="en-GB"/>
        </w:rPr>
        <w:t xml:space="preserve">The table below shows the current </w:t>
      </w:r>
      <w:r w:rsidR="001A7735" w:rsidRPr="00AE6BE1">
        <w:rPr>
          <w:lang w:eastAsia="en-GB"/>
        </w:rPr>
        <w:t xml:space="preserve">and projected </w:t>
      </w:r>
      <w:r w:rsidRPr="00AE6BE1">
        <w:rPr>
          <w:lang w:eastAsia="en-GB"/>
        </w:rPr>
        <w:t>position of our General Reserves:</w:t>
      </w:r>
    </w:p>
    <w:tbl>
      <w:tblPr>
        <w:tblW w:w="10154" w:type="dxa"/>
        <w:tblInd w:w="137" w:type="dxa"/>
        <w:tblLook w:val="04A0" w:firstRow="1" w:lastRow="0" w:firstColumn="1" w:lastColumn="0" w:noHBand="0" w:noVBand="1"/>
      </w:tblPr>
      <w:tblGrid>
        <w:gridCol w:w="2977"/>
        <w:gridCol w:w="1517"/>
        <w:gridCol w:w="1418"/>
        <w:gridCol w:w="1417"/>
        <w:gridCol w:w="1442"/>
        <w:gridCol w:w="1383"/>
      </w:tblGrid>
      <w:tr w:rsidR="00025895" w:rsidRPr="00AE6BE1" w14:paraId="1F8A95C7" w14:textId="77777777" w:rsidTr="00B125AD">
        <w:trPr>
          <w:trHeight w:val="732"/>
        </w:trPr>
        <w:tc>
          <w:tcPr>
            <w:tcW w:w="2977" w:type="dxa"/>
            <w:tcBorders>
              <w:top w:val="single" w:sz="4" w:space="0" w:color="auto"/>
              <w:left w:val="single" w:sz="4" w:space="0" w:color="auto"/>
              <w:bottom w:val="nil"/>
              <w:right w:val="single" w:sz="8" w:space="0" w:color="auto"/>
            </w:tcBorders>
            <w:shd w:val="clear" w:color="000000" w:fill="BDD7EE"/>
            <w:vAlign w:val="center"/>
            <w:hideMark/>
          </w:tcPr>
          <w:p w14:paraId="7EF56F10" w14:textId="77777777" w:rsidR="00E82B56" w:rsidRPr="00AE6BE1" w:rsidRDefault="00E82B56" w:rsidP="00E82B56">
            <w:pPr>
              <w:rPr>
                <w:b/>
                <w:bCs/>
                <w:sz w:val="22"/>
                <w:szCs w:val="22"/>
                <w:lang w:eastAsia="en-GB"/>
              </w:rPr>
            </w:pPr>
            <w:r w:rsidRPr="00AE6BE1">
              <w:rPr>
                <w:b/>
                <w:bCs/>
                <w:sz w:val="22"/>
                <w:szCs w:val="22"/>
                <w:lang w:eastAsia="en-GB"/>
              </w:rPr>
              <w:t> </w:t>
            </w:r>
          </w:p>
        </w:tc>
        <w:tc>
          <w:tcPr>
            <w:tcW w:w="1517" w:type="dxa"/>
            <w:tcBorders>
              <w:top w:val="single" w:sz="4" w:space="0" w:color="auto"/>
              <w:left w:val="nil"/>
              <w:bottom w:val="nil"/>
              <w:right w:val="single" w:sz="8" w:space="0" w:color="auto"/>
            </w:tcBorders>
            <w:shd w:val="clear" w:color="000000" w:fill="BDD7EE"/>
            <w:vAlign w:val="center"/>
            <w:hideMark/>
          </w:tcPr>
          <w:p w14:paraId="28B2BB31" w14:textId="0F82F99D" w:rsidR="00E82B56" w:rsidRPr="00AE6BE1" w:rsidRDefault="00204A3D" w:rsidP="00E82B56">
            <w:pPr>
              <w:jc w:val="center"/>
              <w:rPr>
                <w:b/>
                <w:bCs/>
                <w:sz w:val="22"/>
                <w:szCs w:val="22"/>
                <w:lang w:eastAsia="en-GB"/>
              </w:rPr>
            </w:pPr>
            <w:r>
              <w:rPr>
                <w:b/>
                <w:bCs/>
                <w:sz w:val="22"/>
                <w:szCs w:val="22"/>
                <w:lang w:eastAsia="en-GB"/>
              </w:rPr>
              <w:t>Actual</w:t>
            </w:r>
            <w:r w:rsidR="00E82B56" w:rsidRPr="00AE6BE1">
              <w:rPr>
                <w:b/>
                <w:bCs/>
                <w:sz w:val="22"/>
                <w:szCs w:val="22"/>
                <w:lang w:eastAsia="en-GB"/>
              </w:rPr>
              <w:t xml:space="preserve"> Balance at 31st March 202</w:t>
            </w:r>
            <w:r w:rsidR="00F755A8">
              <w:rPr>
                <w:b/>
                <w:bCs/>
                <w:sz w:val="22"/>
                <w:szCs w:val="22"/>
                <w:lang w:eastAsia="en-GB"/>
              </w:rPr>
              <w:t>3</w:t>
            </w:r>
            <w:r w:rsidR="0066043A">
              <w:rPr>
                <w:b/>
                <w:bCs/>
                <w:sz w:val="22"/>
                <w:szCs w:val="22"/>
                <w:lang w:eastAsia="en-GB"/>
              </w:rPr>
              <w:t>*</w:t>
            </w:r>
          </w:p>
        </w:tc>
        <w:tc>
          <w:tcPr>
            <w:tcW w:w="1418" w:type="dxa"/>
            <w:tcBorders>
              <w:top w:val="single" w:sz="4" w:space="0" w:color="auto"/>
              <w:left w:val="nil"/>
              <w:bottom w:val="nil"/>
              <w:right w:val="single" w:sz="8" w:space="0" w:color="auto"/>
            </w:tcBorders>
            <w:shd w:val="clear" w:color="000000" w:fill="BDD7EE"/>
            <w:vAlign w:val="center"/>
            <w:hideMark/>
          </w:tcPr>
          <w:p w14:paraId="6BC3FC5F" w14:textId="389B71F3" w:rsidR="00E82B56" w:rsidRPr="00AE6BE1" w:rsidRDefault="00E82B56" w:rsidP="00E82B56">
            <w:pPr>
              <w:jc w:val="center"/>
              <w:rPr>
                <w:b/>
                <w:bCs/>
                <w:sz w:val="22"/>
                <w:szCs w:val="22"/>
                <w:lang w:eastAsia="en-GB"/>
              </w:rPr>
            </w:pPr>
            <w:r w:rsidRPr="00AE6BE1">
              <w:rPr>
                <w:b/>
                <w:bCs/>
                <w:sz w:val="22"/>
                <w:szCs w:val="22"/>
                <w:lang w:eastAsia="en-GB"/>
              </w:rPr>
              <w:t>Projected Balance at 31st March 202</w:t>
            </w:r>
            <w:r w:rsidR="00F755A8">
              <w:rPr>
                <w:b/>
                <w:bCs/>
                <w:sz w:val="22"/>
                <w:szCs w:val="22"/>
                <w:lang w:eastAsia="en-GB"/>
              </w:rPr>
              <w:t>4</w:t>
            </w:r>
          </w:p>
        </w:tc>
        <w:tc>
          <w:tcPr>
            <w:tcW w:w="1417" w:type="dxa"/>
            <w:tcBorders>
              <w:top w:val="single" w:sz="4" w:space="0" w:color="auto"/>
              <w:left w:val="nil"/>
              <w:bottom w:val="nil"/>
              <w:right w:val="single" w:sz="8" w:space="0" w:color="auto"/>
            </w:tcBorders>
            <w:shd w:val="clear" w:color="000000" w:fill="BDD7EE"/>
            <w:vAlign w:val="center"/>
            <w:hideMark/>
          </w:tcPr>
          <w:p w14:paraId="58B5C3D8" w14:textId="4E42EC2F" w:rsidR="00E82B56" w:rsidRPr="00AE6BE1" w:rsidRDefault="00E82B56" w:rsidP="00E82B56">
            <w:pPr>
              <w:jc w:val="center"/>
              <w:rPr>
                <w:b/>
                <w:bCs/>
                <w:sz w:val="22"/>
                <w:szCs w:val="22"/>
                <w:lang w:eastAsia="en-GB"/>
              </w:rPr>
            </w:pPr>
            <w:r w:rsidRPr="00AE6BE1">
              <w:rPr>
                <w:b/>
                <w:bCs/>
                <w:sz w:val="22"/>
                <w:szCs w:val="22"/>
                <w:lang w:eastAsia="en-GB"/>
              </w:rPr>
              <w:t>Projected Balance at 31st March 202</w:t>
            </w:r>
            <w:r w:rsidR="00F755A8">
              <w:rPr>
                <w:b/>
                <w:bCs/>
                <w:sz w:val="22"/>
                <w:szCs w:val="22"/>
                <w:lang w:eastAsia="en-GB"/>
              </w:rPr>
              <w:t>5</w:t>
            </w:r>
          </w:p>
        </w:tc>
        <w:tc>
          <w:tcPr>
            <w:tcW w:w="1442" w:type="dxa"/>
            <w:tcBorders>
              <w:top w:val="single" w:sz="4" w:space="0" w:color="auto"/>
              <w:left w:val="nil"/>
              <w:bottom w:val="nil"/>
              <w:right w:val="single" w:sz="8" w:space="0" w:color="auto"/>
            </w:tcBorders>
            <w:shd w:val="clear" w:color="000000" w:fill="BDD7EE"/>
            <w:vAlign w:val="center"/>
            <w:hideMark/>
          </w:tcPr>
          <w:p w14:paraId="50270EB5" w14:textId="54C3DA46" w:rsidR="00E82B56" w:rsidRPr="00AE6BE1" w:rsidRDefault="00E82B56" w:rsidP="00E82B56">
            <w:pPr>
              <w:jc w:val="center"/>
              <w:rPr>
                <w:b/>
                <w:bCs/>
                <w:sz w:val="22"/>
                <w:szCs w:val="22"/>
                <w:lang w:eastAsia="en-GB"/>
              </w:rPr>
            </w:pPr>
            <w:r w:rsidRPr="00AE6BE1">
              <w:rPr>
                <w:b/>
                <w:bCs/>
                <w:sz w:val="22"/>
                <w:szCs w:val="22"/>
                <w:lang w:eastAsia="en-GB"/>
              </w:rPr>
              <w:t>Projected Balance at 31st March 202</w:t>
            </w:r>
            <w:r w:rsidR="00F755A8">
              <w:rPr>
                <w:b/>
                <w:bCs/>
                <w:sz w:val="22"/>
                <w:szCs w:val="22"/>
                <w:lang w:eastAsia="en-GB"/>
              </w:rPr>
              <w:t>6</w:t>
            </w:r>
          </w:p>
        </w:tc>
        <w:tc>
          <w:tcPr>
            <w:tcW w:w="1383" w:type="dxa"/>
            <w:tcBorders>
              <w:top w:val="single" w:sz="4" w:space="0" w:color="auto"/>
              <w:left w:val="nil"/>
              <w:bottom w:val="nil"/>
              <w:right w:val="single" w:sz="8" w:space="0" w:color="auto"/>
            </w:tcBorders>
            <w:shd w:val="clear" w:color="000000" w:fill="BDD7EE"/>
            <w:vAlign w:val="center"/>
            <w:hideMark/>
          </w:tcPr>
          <w:p w14:paraId="056C1C69" w14:textId="353F6D39" w:rsidR="00E82B56" w:rsidRPr="00AE6BE1" w:rsidRDefault="00E82B56" w:rsidP="00E82B56">
            <w:pPr>
              <w:jc w:val="center"/>
              <w:rPr>
                <w:b/>
                <w:bCs/>
                <w:sz w:val="22"/>
                <w:szCs w:val="22"/>
                <w:lang w:eastAsia="en-GB"/>
              </w:rPr>
            </w:pPr>
            <w:r w:rsidRPr="00AE6BE1">
              <w:rPr>
                <w:b/>
                <w:bCs/>
                <w:sz w:val="22"/>
                <w:szCs w:val="22"/>
                <w:lang w:eastAsia="en-GB"/>
              </w:rPr>
              <w:t>Projected Balance at 31st March 202</w:t>
            </w:r>
            <w:r w:rsidR="00F755A8">
              <w:rPr>
                <w:b/>
                <w:bCs/>
                <w:sz w:val="22"/>
                <w:szCs w:val="22"/>
                <w:lang w:eastAsia="en-GB"/>
              </w:rPr>
              <w:t>7</w:t>
            </w:r>
          </w:p>
        </w:tc>
      </w:tr>
      <w:tr w:rsidR="00025895" w:rsidRPr="00AE6BE1" w14:paraId="0C54BC57" w14:textId="77777777" w:rsidTr="00B125AD">
        <w:trPr>
          <w:trHeight w:val="156"/>
        </w:trPr>
        <w:tc>
          <w:tcPr>
            <w:tcW w:w="2977" w:type="dxa"/>
            <w:tcBorders>
              <w:top w:val="nil"/>
              <w:left w:val="single" w:sz="4" w:space="0" w:color="auto"/>
              <w:bottom w:val="single" w:sz="12" w:space="0" w:color="auto"/>
              <w:right w:val="single" w:sz="8" w:space="0" w:color="auto"/>
            </w:tcBorders>
            <w:shd w:val="clear" w:color="000000" w:fill="BDD7EE"/>
            <w:vAlign w:val="bottom"/>
            <w:hideMark/>
          </w:tcPr>
          <w:p w14:paraId="22A0BE86" w14:textId="77777777" w:rsidR="00E82B56" w:rsidRPr="00AE6BE1" w:rsidRDefault="00E82B56" w:rsidP="00E82B56">
            <w:pPr>
              <w:jc w:val="center"/>
              <w:rPr>
                <w:b/>
                <w:bCs/>
                <w:sz w:val="22"/>
                <w:szCs w:val="22"/>
                <w:lang w:eastAsia="en-GB"/>
              </w:rPr>
            </w:pPr>
            <w:r w:rsidRPr="00AE6BE1">
              <w:rPr>
                <w:b/>
                <w:bCs/>
                <w:sz w:val="22"/>
                <w:szCs w:val="22"/>
                <w:lang w:eastAsia="en-GB"/>
              </w:rPr>
              <w:t> </w:t>
            </w:r>
          </w:p>
        </w:tc>
        <w:tc>
          <w:tcPr>
            <w:tcW w:w="1517" w:type="dxa"/>
            <w:tcBorders>
              <w:top w:val="nil"/>
              <w:left w:val="nil"/>
              <w:bottom w:val="single" w:sz="12" w:space="0" w:color="auto"/>
              <w:right w:val="single" w:sz="8" w:space="0" w:color="auto"/>
            </w:tcBorders>
            <w:shd w:val="clear" w:color="000000" w:fill="BDD7EE"/>
            <w:vAlign w:val="bottom"/>
            <w:hideMark/>
          </w:tcPr>
          <w:p w14:paraId="0BB9DC3F" w14:textId="77777777" w:rsidR="00E82B56" w:rsidRPr="00AE6BE1" w:rsidRDefault="00E82B56" w:rsidP="00E82B56">
            <w:pPr>
              <w:jc w:val="center"/>
              <w:rPr>
                <w:b/>
                <w:bCs/>
                <w:sz w:val="22"/>
                <w:szCs w:val="22"/>
                <w:lang w:eastAsia="en-GB"/>
              </w:rPr>
            </w:pPr>
            <w:r w:rsidRPr="00AE6BE1">
              <w:rPr>
                <w:b/>
                <w:bCs/>
                <w:sz w:val="22"/>
                <w:szCs w:val="22"/>
                <w:lang w:eastAsia="en-GB"/>
              </w:rPr>
              <w:t>£000's</w:t>
            </w:r>
          </w:p>
        </w:tc>
        <w:tc>
          <w:tcPr>
            <w:tcW w:w="1418" w:type="dxa"/>
            <w:tcBorders>
              <w:top w:val="nil"/>
              <w:left w:val="nil"/>
              <w:bottom w:val="single" w:sz="12" w:space="0" w:color="auto"/>
              <w:right w:val="single" w:sz="8" w:space="0" w:color="auto"/>
            </w:tcBorders>
            <w:shd w:val="clear" w:color="000000" w:fill="BDD7EE"/>
            <w:vAlign w:val="bottom"/>
            <w:hideMark/>
          </w:tcPr>
          <w:p w14:paraId="74430DE3" w14:textId="77777777" w:rsidR="00E82B56" w:rsidRPr="00AE6BE1" w:rsidRDefault="00E82B56" w:rsidP="00E82B56">
            <w:pPr>
              <w:jc w:val="center"/>
              <w:rPr>
                <w:b/>
                <w:bCs/>
                <w:sz w:val="22"/>
                <w:szCs w:val="22"/>
                <w:lang w:eastAsia="en-GB"/>
              </w:rPr>
            </w:pPr>
            <w:r w:rsidRPr="00AE6BE1">
              <w:rPr>
                <w:b/>
                <w:bCs/>
                <w:sz w:val="22"/>
                <w:szCs w:val="22"/>
                <w:lang w:eastAsia="en-GB"/>
              </w:rPr>
              <w:t>£000's</w:t>
            </w:r>
          </w:p>
        </w:tc>
        <w:tc>
          <w:tcPr>
            <w:tcW w:w="1417" w:type="dxa"/>
            <w:tcBorders>
              <w:top w:val="nil"/>
              <w:left w:val="nil"/>
              <w:bottom w:val="single" w:sz="12" w:space="0" w:color="auto"/>
              <w:right w:val="single" w:sz="8" w:space="0" w:color="auto"/>
            </w:tcBorders>
            <w:shd w:val="clear" w:color="000000" w:fill="BDD7EE"/>
            <w:vAlign w:val="bottom"/>
            <w:hideMark/>
          </w:tcPr>
          <w:p w14:paraId="4B78B5B9" w14:textId="77777777" w:rsidR="00E82B56" w:rsidRPr="00AE6BE1" w:rsidRDefault="00E82B56" w:rsidP="00E82B56">
            <w:pPr>
              <w:jc w:val="center"/>
              <w:rPr>
                <w:b/>
                <w:bCs/>
                <w:sz w:val="22"/>
                <w:szCs w:val="22"/>
                <w:lang w:eastAsia="en-GB"/>
              </w:rPr>
            </w:pPr>
            <w:r w:rsidRPr="00AE6BE1">
              <w:rPr>
                <w:b/>
                <w:bCs/>
                <w:sz w:val="22"/>
                <w:szCs w:val="22"/>
                <w:lang w:eastAsia="en-GB"/>
              </w:rPr>
              <w:t>£000's</w:t>
            </w:r>
          </w:p>
        </w:tc>
        <w:tc>
          <w:tcPr>
            <w:tcW w:w="1442" w:type="dxa"/>
            <w:tcBorders>
              <w:top w:val="nil"/>
              <w:left w:val="nil"/>
              <w:bottom w:val="single" w:sz="12" w:space="0" w:color="auto"/>
              <w:right w:val="single" w:sz="8" w:space="0" w:color="auto"/>
            </w:tcBorders>
            <w:shd w:val="clear" w:color="000000" w:fill="BDD7EE"/>
            <w:vAlign w:val="bottom"/>
            <w:hideMark/>
          </w:tcPr>
          <w:p w14:paraId="70E06893" w14:textId="77777777" w:rsidR="00E82B56" w:rsidRPr="00AE6BE1" w:rsidRDefault="00E82B56" w:rsidP="00E82B56">
            <w:pPr>
              <w:jc w:val="center"/>
              <w:rPr>
                <w:b/>
                <w:bCs/>
                <w:sz w:val="22"/>
                <w:szCs w:val="22"/>
                <w:lang w:eastAsia="en-GB"/>
              </w:rPr>
            </w:pPr>
            <w:r w:rsidRPr="00AE6BE1">
              <w:rPr>
                <w:b/>
                <w:bCs/>
                <w:sz w:val="22"/>
                <w:szCs w:val="22"/>
                <w:lang w:eastAsia="en-GB"/>
              </w:rPr>
              <w:t>£000's</w:t>
            </w:r>
          </w:p>
        </w:tc>
        <w:tc>
          <w:tcPr>
            <w:tcW w:w="1383" w:type="dxa"/>
            <w:tcBorders>
              <w:top w:val="nil"/>
              <w:left w:val="nil"/>
              <w:bottom w:val="single" w:sz="12" w:space="0" w:color="auto"/>
              <w:right w:val="single" w:sz="8" w:space="0" w:color="auto"/>
            </w:tcBorders>
            <w:shd w:val="clear" w:color="000000" w:fill="BDD7EE"/>
            <w:vAlign w:val="bottom"/>
            <w:hideMark/>
          </w:tcPr>
          <w:p w14:paraId="6C18BE98" w14:textId="77777777" w:rsidR="00E82B56" w:rsidRPr="00AE6BE1" w:rsidRDefault="00E82B56" w:rsidP="00E82B56">
            <w:pPr>
              <w:jc w:val="center"/>
              <w:rPr>
                <w:b/>
                <w:bCs/>
                <w:sz w:val="22"/>
                <w:szCs w:val="22"/>
                <w:lang w:eastAsia="en-GB"/>
              </w:rPr>
            </w:pPr>
            <w:r w:rsidRPr="00AE6BE1">
              <w:rPr>
                <w:b/>
                <w:bCs/>
                <w:sz w:val="22"/>
                <w:szCs w:val="22"/>
                <w:lang w:eastAsia="en-GB"/>
              </w:rPr>
              <w:t>£000's</w:t>
            </w:r>
          </w:p>
        </w:tc>
      </w:tr>
      <w:tr w:rsidR="00BB21D0" w:rsidRPr="00AE6BE1" w14:paraId="2B6AF8D3" w14:textId="77777777" w:rsidTr="00B125AD">
        <w:trPr>
          <w:trHeight w:val="156"/>
        </w:trPr>
        <w:tc>
          <w:tcPr>
            <w:tcW w:w="2977" w:type="dxa"/>
            <w:tcBorders>
              <w:top w:val="nil"/>
              <w:left w:val="single" w:sz="4" w:space="0" w:color="auto"/>
              <w:bottom w:val="nil"/>
              <w:right w:val="single" w:sz="4" w:space="0" w:color="auto"/>
            </w:tcBorders>
            <w:shd w:val="clear" w:color="000000" w:fill="FFFFFF"/>
            <w:noWrap/>
            <w:vAlign w:val="bottom"/>
            <w:hideMark/>
          </w:tcPr>
          <w:p w14:paraId="29CA1778" w14:textId="30B970BC" w:rsidR="00BB21D0" w:rsidRPr="00AE6BE1" w:rsidRDefault="00BB21D0" w:rsidP="004670A8">
            <w:pPr>
              <w:rPr>
                <w:color w:val="000000"/>
                <w:sz w:val="20"/>
                <w:szCs w:val="20"/>
                <w:lang w:eastAsia="en-GB"/>
              </w:rPr>
            </w:pPr>
            <w:r w:rsidRPr="00AE6BE1">
              <w:rPr>
                <w:color w:val="000000"/>
                <w:sz w:val="20"/>
                <w:szCs w:val="20"/>
                <w:lang w:eastAsia="en-GB"/>
              </w:rPr>
              <w:t>General Reserves Opening Balance</w:t>
            </w:r>
          </w:p>
        </w:tc>
        <w:tc>
          <w:tcPr>
            <w:tcW w:w="1517" w:type="dxa"/>
            <w:tcBorders>
              <w:top w:val="nil"/>
              <w:left w:val="nil"/>
              <w:bottom w:val="nil"/>
              <w:right w:val="single" w:sz="4" w:space="0" w:color="auto"/>
            </w:tcBorders>
            <w:shd w:val="clear" w:color="000000" w:fill="FFFFFF"/>
            <w:noWrap/>
            <w:hideMark/>
          </w:tcPr>
          <w:p w14:paraId="48F32378" w14:textId="0A1C9DD8" w:rsidR="00BB21D0" w:rsidRPr="00AE6BE1" w:rsidRDefault="00BB21D0" w:rsidP="00BB21D0">
            <w:pPr>
              <w:jc w:val="right"/>
              <w:rPr>
                <w:color w:val="000000"/>
                <w:sz w:val="20"/>
                <w:szCs w:val="20"/>
                <w:lang w:eastAsia="en-GB"/>
              </w:rPr>
            </w:pPr>
            <w:r w:rsidRPr="00BB21D0">
              <w:rPr>
                <w:color w:val="000000"/>
                <w:sz w:val="20"/>
                <w:szCs w:val="20"/>
                <w:lang w:eastAsia="en-GB"/>
              </w:rPr>
              <w:t>4,341</w:t>
            </w:r>
          </w:p>
        </w:tc>
        <w:tc>
          <w:tcPr>
            <w:tcW w:w="1418" w:type="dxa"/>
            <w:tcBorders>
              <w:top w:val="nil"/>
              <w:left w:val="nil"/>
              <w:bottom w:val="nil"/>
              <w:right w:val="single" w:sz="4" w:space="0" w:color="auto"/>
            </w:tcBorders>
            <w:shd w:val="clear" w:color="000000" w:fill="FFFFFF"/>
            <w:noWrap/>
            <w:hideMark/>
          </w:tcPr>
          <w:p w14:paraId="32A49A5F" w14:textId="60A14EA0" w:rsidR="00BB21D0" w:rsidRPr="00AE6BE1" w:rsidRDefault="00BB21D0" w:rsidP="00BB21D0">
            <w:pPr>
              <w:jc w:val="right"/>
              <w:rPr>
                <w:color w:val="000000"/>
                <w:sz w:val="20"/>
                <w:szCs w:val="20"/>
                <w:lang w:eastAsia="en-GB"/>
              </w:rPr>
            </w:pPr>
            <w:r w:rsidRPr="00BB21D0">
              <w:rPr>
                <w:color w:val="000000"/>
                <w:sz w:val="20"/>
                <w:szCs w:val="20"/>
                <w:lang w:eastAsia="en-GB"/>
              </w:rPr>
              <w:t>3,882</w:t>
            </w:r>
          </w:p>
        </w:tc>
        <w:tc>
          <w:tcPr>
            <w:tcW w:w="1417" w:type="dxa"/>
            <w:tcBorders>
              <w:top w:val="nil"/>
              <w:left w:val="nil"/>
              <w:bottom w:val="nil"/>
              <w:right w:val="single" w:sz="4" w:space="0" w:color="auto"/>
            </w:tcBorders>
            <w:shd w:val="clear" w:color="000000" w:fill="FFFFFF"/>
            <w:noWrap/>
            <w:hideMark/>
          </w:tcPr>
          <w:p w14:paraId="6FC2F7F0" w14:textId="17994977" w:rsidR="00BB21D0" w:rsidRPr="00AE6BE1" w:rsidRDefault="00BB21D0" w:rsidP="00BB21D0">
            <w:pPr>
              <w:jc w:val="right"/>
              <w:rPr>
                <w:color w:val="000000"/>
                <w:sz w:val="20"/>
                <w:szCs w:val="20"/>
                <w:lang w:eastAsia="en-GB"/>
              </w:rPr>
            </w:pPr>
            <w:r w:rsidRPr="00BB21D0">
              <w:rPr>
                <w:color w:val="000000"/>
                <w:sz w:val="20"/>
                <w:szCs w:val="20"/>
                <w:lang w:eastAsia="en-GB"/>
              </w:rPr>
              <w:t>3,344</w:t>
            </w:r>
          </w:p>
        </w:tc>
        <w:tc>
          <w:tcPr>
            <w:tcW w:w="1442" w:type="dxa"/>
            <w:tcBorders>
              <w:top w:val="nil"/>
              <w:left w:val="nil"/>
              <w:bottom w:val="nil"/>
              <w:right w:val="single" w:sz="4" w:space="0" w:color="auto"/>
            </w:tcBorders>
            <w:shd w:val="clear" w:color="000000" w:fill="FFFFFF"/>
            <w:noWrap/>
            <w:hideMark/>
          </w:tcPr>
          <w:p w14:paraId="25AEB2B1" w14:textId="26330FFD" w:rsidR="00BB21D0" w:rsidRPr="00AE6BE1" w:rsidRDefault="00BB21D0" w:rsidP="00BB21D0">
            <w:pPr>
              <w:jc w:val="right"/>
              <w:rPr>
                <w:color w:val="000000"/>
                <w:sz w:val="20"/>
                <w:szCs w:val="20"/>
                <w:lang w:eastAsia="en-GB"/>
              </w:rPr>
            </w:pPr>
            <w:r w:rsidRPr="00BB21D0">
              <w:rPr>
                <w:color w:val="000000"/>
                <w:sz w:val="20"/>
                <w:szCs w:val="20"/>
                <w:lang w:eastAsia="en-GB"/>
              </w:rPr>
              <w:t>3,344</w:t>
            </w:r>
          </w:p>
        </w:tc>
        <w:tc>
          <w:tcPr>
            <w:tcW w:w="1383" w:type="dxa"/>
            <w:tcBorders>
              <w:top w:val="nil"/>
              <w:left w:val="nil"/>
              <w:bottom w:val="nil"/>
              <w:right w:val="single" w:sz="4" w:space="0" w:color="auto"/>
            </w:tcBorders>
            <w:shd w:val="clear" w:color="000000" w:fill="FFFFFF"/>
            <w:noWrap/>
            <w:hideMark/>
          </w:tcPr>
          <w:p w14:paraId="3A09F78F" w14:textId="64774F49" w:rsidR="00BB21D0" w:rsidRPr="00AE6BE1" w:rsidRDefault="00BB21D0" w:rsidP="00BB21D0">
            <w:pPr>
              <w:jc w:val="right"/>
              <w:rPr>
                <w:color w:val="000000"/>
                <w:sz w:val="20"/>
                <w:szCs w:val="20"/>
                <w:lang w:eastAsia="en-GB"/>
              </w:rPr>
            </w:pPr>
            <w:r w:rsidRPr="00BB21D0">
              <w:rPr>
                <w:color w:val="000000"/>
                <w:sz w:val="20"/>
                <w:szCs w:val="20"/>
                <w:lang w:eastAsia="en-GB"/>
              </w:rPr>
              <w:t>3,344</w:t>
            </w:r>
          </w:p>
        </w:tc>
      </w:tr>
      <w:tr w:rsidR="004373F3" w:rsidRPr="00AE6BE1" w14:paraId="2F6EE734" w14:textId="77777777" w:rsidTr="00B125AD">
        <w:trPr>
          <w:trHeight w:val="151"/>
        </w:trPr>
        <w:tc>
          <w:tcPr>
            <w:tcW w:w="2977" w:type="dxa"/>
            <w:tcBorders>
              <w:top w:val="nil"/>
              <w:left w:val="single" w:sz="4" w:space="0" w:color="auto"/>
              <w:bottom w:val="nil"/>
              <w:right w:val="single" w:sz="4" w:space="0" w:color="auto"/>
            </w:tcBorders>
            <w:shd w:val="clear" w:color="000000" w:fill="FFFFFF"/>
            <w:noWrap/>
            <w:vAlign w:val="bottom"/>
            <w:hideMark/>
          </w:tcPr>
          <w:p w14:paraId="1D961820" w14:textId="1930059E" w:rsidR="004373F3" w:rsidRPr="00AE6BE1" w:rsidRDefault="004373F3" w:rsidP="004373F3">
            <w:pPr>
              <w:rPr>
                <w:color w:val="000000"/>
                <w:sz w:val="20"/>
                <w:szCs w:val="20"/>
                <w:lang w:eastAsia="en-GB"/>
              </w:rPr>
            </w:pPr>
            <w:r w:rsidRPr="00AE6BE1">
              <w:rPr>
                <w:color w:val="000000"/>
                <w:sz w:val="20"/>
                <w:szCs w:val="20"/>
                <w:lang w:eastAsia="en-GB"/>
              </w:rPr>
              <w:t>Surplus / (deficit) in year</w:t>
            </w:r>
          </w:p>
          <w:p w14:paraId="41D88241" w14:textId="4BC34760" w:rsidR="004373F3" w:rsidRPr="00AE6BE1" w:rsidRDefault="004373F3" w:rsidP="004373F3">
            <w:pPr>
              <w:rPr>
                <w:color w:val="000000"/>
                <w:sz w:val="20"/>
                <w:szCs w:val="20"/>
                <w:lang w:eastAsia="en-GB"/>
              </w:rPr>
            </w:pPr>
          </w:p>
        </w:tc>
        <w:tc>
          <w:tcPr>
            <w:tcW w:w="1517" w:type="dxa"/>
            <w:tcBorders>
              <w:top w:val="nil"/>
              <w:left w:val="nil"/>
              <w:bottom w:val="nil"/>
              <w:right w:val="single" w:sz="4" w:space="0" w:color="auto"/>
            </w:tcBorders>
            <w:shd w:val="clear" w:color="000000" w:fill="FFFFFF"/>
            <w:noWrap/>
            <w:hideMark/>
          </w:tcPr>
          <w:p w14:paraId="19810C6F" w14:textId="77777777" w:rsidR="004373F3" w:rsidRDefault="004373F3" w:rsidP="004373F3">
            <w:pPr>
              <w:jc w:val="right"/>
              <w:rPr>
                <w:color w:val="000000"/>
                <w:sz w:val="20"/>
                <w:szCs w:val="20"/>
                <w:lang w:eastAsia="en-GB"/>
              </w:rPr>
            </w:pPr>
          </w:p>
          <w:p w14:paraId="2A09DC05" w14:textId="525664B2" w:rsidR="004373F3" w:rsidRPr="00B314BA" w:rsidRDefault="004373F3" w:rsidP="004373F3">
            <w:pPr>
              <w:jc w:val="right"/>
              <w:rPr>
                <w:color w:val="000000"/>
                <w:sz w:val="20"/>
                <w:szCs w:val="20"/>
                <w:lang w:eastAsia="en-GB"/>
              </w:rPr>
            </w:pPr>
            <w:r w:rsidRPr="004373F3">
              <w:rPr>
                <w:color w:val="000000"/>
                <w:sz w:val="20"/>
                <w:szCs w:val="20"/>
                <w:lang w:eastAsia="en-GB"/>
              </w:rPr>
              <w:t>(</w:t>
            </w:r>
            <w:r w:rsidR="00B125AD">
              <w:rPr>
                <w:color w:val="000000"/>
                <w:sz w:val="20"/>
                <w:szCs w:val="20"/>
                <w:lang w:eastAsia="en-GB"/>
              </w:rPr>
              <w:t>459</w:t>
            </w:r>
            <w:r w:rsidRPr="004373F3">
              <w:rPr>
                <w:color w:val="000000"/>
                <w:sz w:val="20"/>
                <w:szCs w:val="20"/>
                <w:lang w:eastAsia="en-GB"/>
              </w:rPr>
              <w:t>)</w:t>
            </w:r>
          </w:p>
        </w:tc>
        <w:tc>
          <w:tcPr>
            <w:tcW w:w="1418" w:type="dxa"/>
            <w:tcBorders>
              <w:top w:val="nil"/>
              <w:left w:val="nil"/>
              <w:bottom w:val="nil"/>
              <w:right w:val="single" w:sz="4" w:space="0" w:color="auto"/>
            </w:tcBorders>
            <w:shd w:val="clear" w:color="000000" w:fill="FFFFFF"/>
            <w:noWrap/>
            <w:hideMark/>
          </w:tcPr>
          <w:p w14:paraId="117741F0" w14:textId="77777777" w:rsidR="004373F3" w:rsidRDefault="004373F3" w:rsidP="004373F3">
            <w:pPr>
              <w:jc w:val="right"/>
              <w:rPr>
                <w:color w:val="000000"/>
                <w:sz w:val="20"/>
                <w:szCs w:val="20"/>
                <w:lang w:eastAsia="en-GB"/>
              </w:rPr>
            </w:pPr>
          </w:p>
          <w:p w14:paraId="574A6E94" w14:textId="06C6BE18" w:rsidR="004373F3" w:rsidRPr="00B314BA" w:rsidRDefault="004373F3" w:rsidP="004373F3">
            <w:pPr>
              <w:jc w:val="right"/>
              <w:rPr>
                <w:color w:val="000000"/>
                <w:sz w:val="20"/>
                <w:szCs w:val="20"/>
                <w:lang w:eastAsia="en-GB"/>
              </w:rPr>
            </w:pPr>
            <w:r w:rsidRPr="004373F3">
              <w:rPr>
                <w:color w:val="000000"/>
                <w:sz w:val="20"/>
                <w:szCs w:val="20"/>
                <w:lang w:eastAsia="en-GB"/>
              </w:rPr>
              <w:t>(538)</w:t>
            </w:r>
          </w:p>
        </w:tc>
        <w:tc>
          <w:tcPr>
            <w:tcW w:w="1417" w:type="dxa"/>
            <w:tcBorders>
              <w:top w:val="nil"/>
              <w:left w:val="nil"/>
              <w:bottom w:val="nil"/>
              <w:right w:val="single" w:sz="4" w:space="0" w:color="auto"/>
            </w:tcBorders>
            <w:shd w:val="clear" w:color="000000" w:fill="FFFFFF"/>
            <w:noWrap/>
            <w:vAlign w:val="bottom"/>
            <w:hideMark/>
          </w:tcPr>
          <w:p w14:paraId="5D80F789" w14:textId="22EB15A7" w:rsidR="004373F3" w:rsidRPr="00B314BA" w:rsidRDefault="004373F3" w:rsidP="004373F3">
            <w:pPr>
              <w:jc w:val="right"/>
              <w:rPr>
                <w:color w:val="000000"/>
                <w:sz w:val="20"/>
                <w:szCs w:val="20"/>
                <w:lang w:eastAsia="en-GB"/>
              </w:rPr>
            </w:pPr>
            <w:r w:rsidRPr="00B314BA">
              <w:rPr>
                <w:color w:val="000000"/>
                <w:sz w:val="20"/>
                <w:szCs w:val="20"/>
                <w:lang w:eastAsia="en-GB"/>
              </w:rPr>
              <w:t xml:space="preserve">                    -   </w:t>
            </w:r>
          </w:p>
        </w:tc>
        <w:tc>
          <w:tcPr>
            <w:tcW w:w="1442" w:type="dxa"/>
            <w:tcBorders>
              <w:top w:val="nil"/>
              <w:left w:val="nil"/>
              <w:bottom w:val="nil"/>
              <w:right w:val="single" w:sz="4" w:space="0" w:color="auto"/>
            </w:tcBorders>
            <w:shd w:val="clear" w:color="000000" w:fill="FFFFFF"/>
            <w:noWrap/>
            <w:vAlign w:val="bottom"/>
            <w:hideMark/>
          </w:tcPr>
          <w:p w14:paraId="37A51F75" w14:textId="77777777" w:rsidR="004373F3" w:rsidRPr="00B314BA" w:rsidRDefault="004373F3" w:rsidP="004373F3">
            <w:pPr>
              <w:jc w:val="right"/>
              <w:rPr>
                <w:color w:val="000000"/>
                <w:sz w:val="20"/>
                <w:szCs w:val="20"/>
                <w:lang w:eastAsia="en-GB"/>
              </w:rPr>
            </w:pPr>
            <w:r w:rsidRPr="00B314BA">
              <w:rPr>
                <w:color w:val="000000"/>
                <w:sz w:val="20"/>
                <w:szCs w:val="20"/>
                <w:lang w:eastAsia="en-GB"/>
              </w:rPr>
              <w:t xml:space="preserve">                    -   </w:t>
            </w:r>
          </w:p>
        </w:tc>
        <w:tc>
          <w:tcPr>
            <w:tcW w:w="1383" w:type="dxa"/>
            <w:tcBorders>
              <w:top w:val="nil"/>
              <w:left w:val="nil"/>
              <w:bottom w:val="nil"/>
              <w:right w:val="single" w:sz="4" w:space="0" w:color="auto"/>
            </w:tcBorders>
            <w:shd w:val="clear" w:color="000000" w:fill="FFFFFF"/>
            <w:noWrap/>
            <w:vAlign w:val="bottom"/>
            <w:hideMark/>
          </w:tcPr>
          <w:p w14:paraId="54B4996E" w14:textId="77777777" w:rsidR="004373F3" w:rsidRPr="00B314BA" w:rsidRDefault="004373F3" w:rsidP="004373F3">
            <w:pPr>
              <w:jc w:val="right"/>
              <w:rPr>
                <w:color w:val="000000"/>
                <w:sz w:val="20"/>
                <w:szCs w:val="20"/>
                <w:lang w:eastAsia="en-GB"/>
              </w:rPr>
            </w:pPr>
            <w:r w:rsidRPr="00B314BA">
              <w:rPr>
                <w:color w:val="000000"/>
                <w:sz w:val="20"/>
                <w:szCs w:val="20"/>
                <w:lang w:eastAsia="en-GB"/>
              </w:rPr>
              <w:t xml:space="preserve">                 -   </w:t>
            </w:r>
          </w:p>
        </w:tc>
      </w:tr>
      <w:tr w:rsidR="00896240" w:rsidRPr="00AE6BE1" w14:paraId="60882BBD" w14:textId="77777777" w:rsidTr="00B125AD">
        <w:trPr>
          <w:trHeight w:val="106"/>
        </w:trPr>
        <w:tc>
          <w:tcPr>
            <w:tcW w:w="2977" w:type="dxa"/>
            <w:tcBorders>
              <w:top w:val="single" w:sz="4" w:space="0" w:color="auto"/>
              <w:left w:val="single" w:sz="4" w:space="0" w:color="auto"/>
              <w:bottom w:val="single" w:sz="4" w:space="0" w:color="auto"/>
              <w:right w:val="single" w:sz="4" w:space="0" w:color="auto"/>
            </w:tcBorders>
            <w:shd w:val="clear" w:color="000000" w:fill="FFFFFF"/>
            <w:noWrap/>
          </w:tcPr>
          <w:p w14:paraId="3F0FA142" w14:textId="057B9EB3" w:rsidR="00896240" w:rsidRPr="00AE6BE1" w:rsidRDefault="00896240" w:rsidP="00896240">
            <w:pPr>
              <w:rPr>
                <w:b/>
                <w:bCs/>
                <w:color w:val="000000"/>
                <w:sz w:val="20"/>
                <w:szCs w:val="20"/>
                <w:lang w:eastAsia="en-GB"/>
              </w:rPr>
            </w:pPr>
            <w:r w:rsidRPr="00AE6BE1">
              <w:rPr>
                <w:b/>
                <w:bCs/>
                <w:sz w:val="20"/>
                <w:szCs w:val="20"/>
              </w:rPr>
              <w:t>General Reserves Closing Balance</w:t>
            </w:r>
          </w:p>
        </w:tc>
        <w:tc>
          <w:tcPr>
            <w:tcW w:w="1517" w:type="dxa"/>
            <w:tcBorders>
              <w:top w:val="single" w:sz="4" w:space="0" w:color="auto"/>
              <w:left w:val="nil"/>
              <w:bottom w:val="single" w:sz="4" w:space="0" w:color="auto"/>
              <w:right w:val="single" w:sz="4" w:space="0" w:color="auto"/>
            </w:tcBorders>
            <w:shd w:val="clear" w:color="000000" w:fill="FFFFFF"/>
            <w:noWrap/>
          </w:tcPr>
          <w:p w14:paraId="55AA3352" w14:textId="6BC114BD" w:rsidR="00896240" w:rsidRPr="00896240" w:rsidRDefault="00896240" w:rsidP="00896240">
            <w:pPr>
              <w:jc w:val="right"/>
              <w:rPr>
                <w:b/>
                <w:bCs/>
                <w:sz w:val="20"/>
                <w:szCs w:val="20"/>
              </w:rPr>
            </w:pPr>
            <w:r w:rsidRPr="00896240">
              <w:rPr>
                <w:b/>
                <w:bCs/>
                <w:sz w:val="20"/>
                <w:szCs w:val="20"/>
              </w:rPr>
              <w:t>3,882</w:t>
            </w:r>
          </w:p>
        </w:tc>
        <w:tc>
          <w:tcPr>
            <w:tcW w:w="1418" w:type="dxa"/>
            <w:tcBorders>
              <w:top w:val="single" w:sz="4" w:space="0" w:color="auto"/>
              <w:left w:val="nil"/>
              <w:bottom w:val="single" w:sz="4" w:space="0" w:color="auto"/>
              <w:right w:val="single" w:sz="4" w:space="0" w:color="auto"/>
            </w:tcBorders>
            <w:shd w:val="clear" w:color="000000" w:fill="FFFFFF"/>
            <w:noWrap/>
          </w:tcPr>
          <w:p w14:paraId="7D7FC287" w14:textId="2DFE6AEE" w:rsidR="00896240" w:rsidRPr="00896240" w:rsidRDefault="00896240" w:rsidP="00896240">
            <w:pPr>
              <w:jc w:val="right"/>
              <w:rPr>
                <w:b/>
                <w:bCs/>
                <w:sz w:val="20"/>
                <w:szCs w:val="20"/>
              </w:rPr>
            </w:pPr>
            <w:r w:rsidRPr="00896240">
              <w:rPr>
                <w:b/>
                <w:bCs/>
                <w:sz w:val="20"/>
                <w:szCs w:val="20"/>
              </w:rPr>
              <w:t>3,344</w:t>
            </w:r>
          </w:p>
        </w:tc>
        <w:tc>
          <w:tcPr>
            <w:tcW w:w="1417" w:type="dxa"/>
            <w:tcBorders>
              <w:top w:val="single" w:sz="4" w:space="0" w:color="auto"/>
              <w:left w:val="nil"/>
              <w:bottom w:val="single" w:sz="4" w:space="0" w:color="auto"/>
              <w:right w:val="single" w:sz="4" w:space="0" w:color="auto"/>
            </w:tcBorders>
            <w:shd w:val="clear" w:color="000000" w:fill="FFFFFF"/>
            <w:noWrap/>
          </w:tcPr>
          <w:p w14:paraId="2956AAE8" w14:textId="33FAC4AD" w:rsidR="00896240" w:rsidRPr="00896240" w:rsidRDefault="00896240" w:rsidP="00896240">
            <w:pPr>
              <w:jc w:val="right"/>
              <w:rPr>
                <w:b/>
                <w:bCs/>
                <w:sz w:val="20"/>
                <w:szCs w:val="20"/>
              </w:rPr>
            </w:pPr>
            <w:r w:rsidRPr="00896240">
              <w:rPr>
                <w:b/>
                <w:bCs/>
                <w:sz w:val="20"/>
                <w:szCs w:val="20"/>
              </w:rPr>
              <w:t>3,344</w:t>
            </w:r>
          </w:p>
        </w:tc>
        <w:tc>
          <w:tcPr>
            <w:tcW w:w="1442" w:type="dxa"/>
            <w:tcBorders>
              <w:top w:val="single" w:sz="4" w:space="0" w:color="auto"/>
              <w:left w:val="nil"/>
              <w:bottom w:val="single" w:sz="4" w:space="0" w:color="auto"/>
              <w:right w:val="single" w:sz="4" w:space="0" w:color="auto"/>
            </w:tcBorders>
            <w:shd w:val="clear" w:color="000000" w:fill="FFFFFF"/>
            <w:noWrap/>
          </w:tcPr>
          <w:p w14:paraId="7CE7557A" w14:textId="650008B9" w:rsidR="00896240" w:rsidRPr="00896240" w:rsidRDefault="00896240" w:rsidP="00896240">
            <w:pPr>
              <w:jc w:val="right"/>
              <w:rPr>
                <w:b/>
                <w:bCs/>
                <w:sz w:val="20"/>
                <w:szCs w:val="20"/>
              </w:rPr>
            </w:pPr>
            <w:r w:rsidRPr="00896240">
              <w:rPr>
                <w:b/>
                <w:bCs/>
                <w:sz w:val="20"/>
                <w:szCs w:val="20"/>
              </w:rPr>
              <w:t>3,344</w:t>
            </w:r>
          </w:p>
        </w:tc>
        <w:tc>
          <w:tcPr>
            <w:tcW w:w="1383" w:type="dxa"/>
            <w:tcBorders>
              <w:top w:val="single" w:sz="4" w:space="0" w:color="auto"/>
              <w:left w:val="nil"/>
              <w:bottom w:val="single" w:sz="4" w:space="0" w:color="auto"/>
              <w:right w:val="single" w:sz="4" w:space="0" w:color="auto"/>
            </w:tcBorders>
            <w:shd w:val="clear" w:color="000000" w:fill="FFFFFF"/>
            <w:noWrap/>
          </w:tcPr>
          <w:p w14:paraId="51C7294C" w14:textId="4E40B6D8" w:rsidR="00896240" w:rsidRPr="00896240" w:rsidRDefault="00896240" w:rsidP="00896240">
            <w:pPr>
              <w:jc w:val="right"/>
              <w:rPr>
                <w:b/>
                <w:bCs/>
                <w:sz w:val="20"/>
                <w:szCs w:val="20"/>
              </w:rPr>
            </w:pPr>
            <w:r w:rsidRPr="00896240">
              <w:rPr>
                <w:b/>
                <w:bCs/>
                <w:sz w:val="20"/>
                <w:szCs w:val="20"/>
              </w:rPr>
              <w:t>3,344</w:t>
            </w:r>
          </w:p>
        </w:tc>
      </w:tr>
      <w:tr w:rsidR="00E7670D" w:rsidRPr="00AE6BE1" w14:paraId="361AAA32" w14:textId="77777777" w:rsidTr="00B125AD">
        <w:trPr>
          <w:trHeight w:val="151"/>
        </w:trPr>
        <w:tc>
          <w:tcPr>
            <w:tcW w:w="2977" w:type="dxa"/>
            <w:tcBorders>
              <w:top w:val="nil"/>
              <w:left w:val="single" w:sz="4" w:space="0" w:color="auto"/>
              <w:bottom w:val="single" w:sz="4" w:space="0" w:color="auto"/>
              <w:right w:val="single" w:sz="4" w:space="0" w:color="auto"/>
            </w:tcBorders>
            <w:shd w:val="clear" w:color="000000" w:fill="FFFFFF"/>
            <w:noWrap/>
          </w:tcPr>
          <w:p w14:paraId="6302D769" w14:textId="7D5E7895" w:rsidR="00E7670D" w:rsidRPr="00C563E6" w:rsidRDefault="00E7670D" w:rsidP="00E7670D">
            <w:pPr>
              <w:rPr>
                <w:rFonts w:ascii="Calibri" w:hAnsi="Calibri" w:cs="Calibri"/>
                <w:b/>
                <w:bCs/>
                <w:color w:val="000000"/>
                <w:sz w:val="20"/>
                <w:szCs w:val="20"/>
                <w:lang w:eastAsia="en-GB"/>
              </w:rPr>
            </w:pPr>
            <w:r w:rsidRPr="00C563E6">
              <w:rPr>
                <w:b/>
                <w:bCs/>
                <w:sz w:val="20"/>
                <w:szCs w:val="20"/>
              </w:rPr>
              <w:t>Per Previous Reserves Strategy</w:t>
            </w:r>
          </w:p>
        </w:tc>
        <w:tc>
          <w:tcPr>
            <w:tcW w:w="1517" w:type="dxa"/>
            <w:tcBorders>
              <w:top w:val="nil"/>
              <w:left w:val="nil"/>
              <w:bottom w:val="single" w:sz="4" w:space="0" w:color="auto"/>
              <w:right w:val="single" w:sz="4" w:space="0" w:color="auto"/>
            </w:tcBorders>
            <w:shd w:val="clear" w:color="000000" w:fill="FFFFFF"/>
            <w:noWrap/>
          </w:tcPr>
          <w:p w14:paraId="7F0ECA9B" w14:textId="430622A2" w:rsidR="00E7670D" w:rsidRPr="00E7670D" w:rsidRDefault="00E7670D" w:rsidP="00E7670D">
            <w:pPr>
              <w:jc w:val="right"/>
              <w:rPr>
                <w:b/>
                <w:bCs/>
                <w:sz w:val="20"/>
                <w:szCs w:val="20"/>
              </w:rPr>
            </w:pPr>
            <w:r w:rsidRPr="00E7670D">
              <w:rPr>
                <w:b/>
                <w:bCs/>
                <w:sz w:val="20"/>
                <w:szCs w:val="20"/>
              </w:rPr>
              <w:t xml:space="preserve"> 3,056 </w:t>
            </w:r>
          </w:p>
        </w:tc>
        <w:tc>
          <w:tcPr>
            <w:tcW w:w="1418" w:type="dxa"/>
            <w:tcBorders>
              <w:top w:val="nil"/>
              <w:left w:val="nil"/>
              <w:bottom w:val="single" w:sz="4" w:space="0" w:color="auto"/>
              <w:right w:val="single" w:sz="4" w:space="0" w:color="auto"/>
            </w:tcBorders>
            <w:shd w:val="clear" w:color="000000" w:fill="FFFFFF"/>
            <w:noWrap/>
          </w:tcPr>
          <w:p w14:paraId="757F98FD" w14:textId="7DB39C76" w:rsidR="00E7670D" w:rsidRPr="00E7670D" w:rsidRDefault="00E7670D" w:rsidP="00E7670D">
            <w:pPr>
              <w:jc w:val="right"/>
              <w:rPr>
                <w:b/>
                <w:bCs/>
                <w:sz w:val="20"/>
                <w:szCs w:val="20"/>
              </w:rPr>
            </w:pPr>
            <w:r w:rsidRPr="00E7670D">
              <w:rPr>
                <w:b/>
                <w:bCs/>
                <w:sz w:val="20"/>
                <w:szCs w:val="20"/>
              </w:rPr>
              <w:t xml:space="preserve"> 3,056 </w:t>
            </w:r>
          </w:p>
        </w:tc>
        <w:tc>
          <w:tcPr>
            <w:tcW w:w="1417" w:type="dxa"/>
            <w:tcBorders>
              <w:top w:val="single" w:sz="4" w:space="0" w:color="auto"/>
              <w:left w:val="nil"/>
              <w:bottom w:val="single" w:sz="4" w:space="0" w:color="auto"/>
              <w:right w:val="single" w:sz="4" w:space="0" w:color="auto"/>
            </w:tcBorders>
            <w:shd w:val="clear" w:color="000000" w:fill="FFFFFF"/>
            <w:noWrap/>
          </w:tcPr>
          <w:p w14:paraId="3B1D0557" w14:textId="35631C36" w:rsidR="00E7670D" w:rsidRPr="00E7670D" w:rsidRDefault="00E7670D" w:rsidP="00E7670D">
            <w:pPr>
              <w:jc w:val="right"/>
              <w:rPr>
                <w:b/>
                <w:bCs/>
                <w:sz w:val="20"/>
                <w:szCs w:val="20"/>
              </w:rPr>
            </w:pPr>
            <w:r w:rsidRPr="00E7670D">
              <w:rPr>
                <w:b/>
                <w:bCs/>
                <w:sz w:val="20"/>
                <w:szCs w:val="20"/>
              </w:rPr>
              <w:t>3,056</w:t>
            </w:r>
          </w:p>
        </w:tc>
        <w:tc>
          <w:tcPr>
            <w:tcW w:w="1442" w:type="dxa"/>
            <w:tcBorders>
              <w:top w:val="single" w:sz="4" w:space="0" w:color="auto"/>
              <w:left w:val="single" w:sz="4" w:space="0" w:color="auto"/>
              <w:bottom w:val="single" w:sz="4" w:space="0" w:color="auto"/>
              <w:right w:val="single" w:sz="4" w:space="0" w:color="auto"/>
            </w:tcBorders>
            <w:shd w:val="clear" w:color="000000" w:fill="FFFFFF"/>
            <w:noWrap/>
          </w:tcPr>
          <w:p w14:paraId="6362B5F1" w14:textId="08B4DAE7" w:rsidR="00E7670D" w:rsidRPr="00E7670D" w:rsidRDefault="00E7670D" w:rsidP="00E7670D">
            <w:pPr>
              <w:jc w:val="right"/>
              <w:rPr>
                <w:b/>
                <w:bCs/>
                <w:sz w:val="20"/>
                <w:szCs w:val="20"/>
              </w:rPr>
            </w:pPr>
            <w:r w:rsidRPr="00E7670D">
              <w:rPr>
                <w:b/>
                <w:bCs/>
                <w:sz w:val="20"/>
                <w:szCs w:val="20"/>
              </w:rPr>
              <w:t>3,056</w:t>
            </w:r>
          </w:p>
        </w:tc>
        <w:tc>
          <w:tcPr>
            <w:tcW w:w="1383" w:type="dxa"/>
            <w:tcBorders>
              <w:top w:val="nil"/>
              <w:left w:val="single" w:sz="4" w:space="0" w:color="auto"/>
              <w:bottom w:val="nil"/>
              <w:right w:val="nil"/>
            </w:tcBorders>
            <w:shd w:val="clear" w:color="000000" w:fill="FFFFFF"/>
            <w:noWrap/>
            <w:vAlign w:val="bottom"/>
          </w:tcPr>
          <w:p w14:paraId="5CEAC87F" w14:textId="40E0A543" w:rsidR="00E7670D" w:rsidRPr="00AE6BE1" w:rsidRDefault="00E7670D" w:rsidP="00E7670D">
            <w:pPr>
              <w:jc w:val="right"/>
              <w:rPr>
                <w:rFonts w:ascii="Calibri" w:hAnsi="Calibri" w:cs="Calibri"/>
                <w:color w:val="000000"/>
                <w:sz w:val="22"/>
                <w:szCs w:val="22"/>
                <w:lang w:eastAsia="en-GB"/>
              </w:rPr>
            </w:pPr>
          </w:p>
        </w:tc>
      </w:tr>
      <w:tr w:rsidR="007D7907" w:rsidRPr="00AE6BE1" w14:paraId="1C9EBA42" w14:textId="77777777" w:rsidTr="00B125AD">
        <w:trPr>
          <w:trHeight w:val="151"/>
        </w:trPr>
        <w:tc>
          <w:tcPr>
            <w:tcW w:w="2977" w:type="dxa"/>
            <w:tcBorders>
              <w:top w:val="nil"/>
              <w:left w:val="single" w:sz="4" w:space="0" w:color="auto"/>
              <w:bottom w:val="single" w:sz="4" w:space="0" w:color="auto"/>
              <w:right w:val="single" w:sz="4" w:space="0" w:color="auto"/>
            </w:tcBorders>
            <w:shd w:val="clear" w:color="000000" w:fill="FFFFFF"/>
            <w:noWrap/>
          </w:tcPr>
          <w:p w14:paraId="380015E2" w14:textId="065716B8" w:rsidR="007D7907" w:rsidRPr="00AE6BE1" w:rsidRDefault="007D7907" w:rsidP="007D7907">
            <w:pPr>
              <w:rPr>
                <w:rFonts w:ascii="Calibri" w:hAnsi="Calibri" w:cs="Calibri"/>
                <w:b/>
                <w:bCs/>
                <w:color w:val="000000"/>
                <w:sz w:val="20"/>
                <w:szCs w:val="20"/>
                <w:lang w:eastAsia="en-GB"/>
              </w:rPr>
            </w:pPr>
            <w:r w:rsidRPr="00AE6BE1">
              <w:rPr>
                <w:b/>
                <w:bCs/>
                <w:sz w:val="20"/>
                <w:szCs w:val="20"/>
              </w:rPr>
              <w:t>Movement</w:t>
            </w:r>
          </w:p>
        </w:tc>
        <w:tc>
          <w:tcPr>
            <w:tcW w:w="1517" w:type="dxa"/>
            <w:tcBorders>
              <w:top w:val="nil"/>
              <w:left w:val="nil"/>
              <w:bottom w:val="single" w:sz="4" w:space="0" w:color="auto"/>
              <w:right w:val="single" w:sz="4" w:space="0" w:color="auto"/>
            </w:tcBorders>
            <w:shd w:val="clear" w:color="000000" w:fill="FFFFFF"/>
            <w:noWrap/>
          </w:tcPr>
          <w:p w14:paraId="76545125" w14:textId="395DA07B" w:rsidR="007D7907" w:rsidRPr="007D7907" w:rsidRDefault="007D7907" w:rsidP="007D7907">
            <w:pPr>
              <w:jc w:val="right"/>
              <w:rPr>
                <w:b/>
                <w:bCs/>
                <w:sz w:val="20"/>
                <w:szCs w:val="20"/>
              </w:rPr>
            </w:pPr>
            <w:r w:rsidRPr="007D7907">
              <w:rPr>
                <w:b/>
                <w:bCs/>
                <w:sz w:val="20"/>
                <w:szCs w:val="20"/>
              </w:rPr>
              <w:t>826</w:t>
            </w:r>
          </w:p>
        </w:tc>
        <w:tc>
          <w:tcPr>
            <w:tcW w:w="1418" w:type="dxa"/>
            <w:tcBorders>
              <w:top w:val="nil"/>
              <w:left w:val="nil"/>
              <w:bottom w:val="single" w:sz="4" w:space="0" w:color="auto"/>
              <w:right w:val="single" w:sz="4" w:space="0" w:color="auto"/>
            </w:tcBorders>
            <w:shd w:val="clear" w:color="000000" w:fill="FFFFFF"/>
            <w:noWrap/>
          </w:tcPr>
          <w:p w14:paraId="1BB9F4AD" w14:textId="20B1924E" w:rsidR="007D7907" w:rsidRPr="007D7907" w:rsidRDefault="007D7907" w:rsidP="007D7907">
            <w:pPr>
              <w:jc w:val="right"/>
              <w:rPr>
                <w:b/>
                <w:bCs/>
                <w:sz w:val="20"/>
                <w:szCs w:val="20"/>
              </w:rPr>
            </w:pPr>
            <w:r w:rsidRPr="007D7907">
              <w:rPr>
                <w:b/>
                <w:bCs/>
                <w:sz w:val="20"/>
                <w:szCs w:val="20"/>
              </w:rPr>
              <w:t>288</w:t>
            </w:r>
          </w:p>
        </w:tc>
        <w:tc>
          <w:tcPr>
            <w:tcW w:w="1417" w:type="dxa"/>
            <w:tcBorders>
              <w:top w:val="single" w:sz="4" w:space="0" w:color="auto"/>
              <w:left w:val="nil"/>
              <w:bottom w:val="single" w:sz="4" w:space="0" w:color="auto"/>
              <w:right w:val="single" w:sz="4" w:space="0" w:color="auto"/>
            </w:tcBorders>
            <w:shd w:val="clear" w:color="000000" w:fill="FFFFFF"/>
            <w:noWrap/>
          </w:tcPr>
          <w:p w14:paraId="47EC4A9E" w14:textId="48D4DDD9" w:rsidR="007D7907" w:rsidRPr="007D7907" w:rsidRDefault="007D7907" w:rsidP="007D7907">
            <w:pPr>
              <w:jc w:val="right"/>
              <w:rPr>
                <w:b/>
                <w:bCs/>
                <w:sz w:val="20"/>
                <w:szCs w:val="20"/>
              </w:rPr>
            </w:pPr>
            <w:r w:rsidRPr="007D7907">
              <w:rPr>
                <w:b/>
                <w:bCs/>
                <w:sz w:val="20"/>
                <w:szCs w:val="20"/>
              </w:rPr>
              <w:t>288</w:t>
            </w:r>
          </w:p>
        </w:tc>
        <w:tc>
          <w:tcPr>
            <w:tcW w:w="1442" w:type="dxa"/>
            <w:tcBorders>
              <w:top w:val="single" w:sz="4" w:space="0" w:color="auto"/>
              <w:left w:val="single" w:sz="4" w:space="0" w:color="auto"/>
              <w:bottom w:val="single" w:sz="4" w:space="0" w:color="auto"/>
              <w:right w:val="single" w:sz="4" w:space="0" w:color="auto"/>
            </w:tcBorders>
            <w:shd w:val="clear" w:color="000000" w:fill="FFFFFF"/>
            <w:noWrap/>
          </w:tcPr>
          <w:p w14:paraId="4EF76AF6" w14:textId="70C07911" w:rsidR="007D7907" w:rsidRPr="007D7907" w:rsidRDefault="007D7907" w:rsidP="007D7907">
            <w:pPr>
              <w:jc w:val="right"/>
              <w:rPr>
                <w:b/>
                <w:bCs/>
                <w:sz w:val="20"/>
                <w:szCs w:val="20"/>
              </w:rPr>
            </w:pPr>
            <w:r w:rsidRPr="007D7907">
              <w:rPr>
                <w:b/>
                <w:bCs/>
                <w:sz w:val="20"/>
                <w:szCs w:val="20"/>
              </w:rPr>
              <w:t>288</w:t>
            </w:r>
          </w:p>
        </w:tc>
        <w:tc>
          <w:tcPr>
            <w:tcW w:w="1383" w:type="dxa"/>
            <w:tcBorders>
              <w:top w:val="nil"/>
              <w:left w:val="single" w:sz="4" w:space="0" w:color="auto"/>
              <w:bottom w:val="nil"/>
              <w:right w:val="nil"/>
            </w:tcBorders>
            <w:shd w:val="clear" w:color="000000" w:fill="FFFFFF"/>
            <w:noWrap/>
            <w:vAlign w:val="bottom"/>
          </w:tcPr>
          <w:p w14:paraId="04CF37DD" w14:textId="396C1BAC" w:rsidR="007D7907" w:rsidRPr="00AE6BE1" w:rsidRDefault="007D7907" w:rsidP="007D7907">
            <w:pPr>
              <w:jc w:val="right"/>
              <w:rPr>
                <w:rFonts w:ascii="Calibri" w:hAnsi="Calibri" w:cs="Calibri"/>
                <w:color w:val="000000"/>
                <w:sz w:val="22"/>
                <w:szCs w:val="22"/>
                <w:lang w:eastAsia="en-GB"/>
              </w:rPr>
            </w:pPr>
          </w:p>
        </w:tc>
      </w:tr>
      <w:tr w:rsidR="00025895" w:rsidRPr="00AE6BE1" w14:paraId="64874E65" w14:textId="77777777" w:rsidTr="00B125AD">
        <w:trPr>
          <w:trHeight w:val="151"/>
        </w:trPr>
        <w:tc>
          <w:tcPr>
            <w:tcW w:w="2977" w:type="dxa"/>
            <w:tcBorders>
              <w:top w:val="nil"/>
              <w:left w:val="nil"/>
              <w:bottom w:val="nil"/>
              <w:right w:val="nil"/>
            </w:tcBorders>
            <w:shd w:val="clear" w:color="000000" w:fill="FFFFFF"/>
            <w:noWrap/>
            <w:vAlign w:val="bottom"/>
            <w:hideMark/>
          </w:tcPr>
          <w:p w14:paraId="105C2675" w14:textId="77777777" w:rsidR="00E82B56" w:rsidRPr="00AE6BE1" w:rsidRDefault="00E82B56" w:rsidP="00E82B56">
            <w:pPr>
              <w:rPr>
                <w:rFonts w:ascii="Calibri" w:hAnsi="Calibri" w:cs="Calibri"/>
                <w:color w:val="000000"/>
                <w:sz w:val="22"/>
                <w:szCs w:val="22"/>
                <w:lang w:eastAsia="en-GB"/>
              </w:rPr>
            </w:pPr>
            <w:r w:rsidRPr="00AE6BE1">
              <w:rPr>
                <w:rFonts w:ascii="Calibri" w:hAnsi="Calibri" w:cs="Calibri"/>
                <w:color w:val="000000"/>
                <w:sz w:val="22"/>
                <w:szCs w:val="22"/>
                <w:lang w:eastAsia="en-GB"/>
              </w:rPr>
              <w:t> </w:t>
            </w:r>
          </w:p>
        </w:tc>
        <w:tc>
          <w:tcPr>
            <w:tcW w:w="1517" w:type="dxa"/>
            <w:tcBorders>
              <w:top w:val="nil"/>
              <w:left w:val="nil"/>
              <w:bottom w:val="nil"/>
              <w:right w:val="nil"/>
            </w:tcBorders>
            <w:shd w:val="clear" w:color="000000" w:fill="FFFFFF"/>
            <w:noWrap/>
            <w:vAlign w:val="bottom"/>
            <w:hideMark/>
          </w:tcPr>
          <w:p w14:paraId="3A3C1DFC" w14:textId="77777777" w:rsidR="00E82B56" w:rsidRPr="00AE6BE1" w:rsidRDefault="00E82B56" w:rsidP="00E82B56">
            <w:pPr>
              <w:rPr>
                <w:rFonts w:ascii="Calibri" w:hAnsi="Calibri" w:cs="Calibri"/>
                <w:color w:val="000000"/>
                <w:sz w:val="22"/>
                <w:szCs w:val="22"/>
                <w:lang w:eastAsia="en-GB"/>
              </w:rPr>
            </w:pPr>
            <w:r w:rsidRPr="00AE6BE1">
              <w:rPr>
                <w:rFonts w:ascii="Calibri" w:hAnsi="Calibri" w:cs="Calibri"/>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14:paraId="2F573154" w14:textId="77777777" w:rsidR="00E82B56" w:rsidRPr="00AE6BE1" w:rsidRDefault="00E82B56" w:rsidP="00E82B56">
            <w:pPr>
              <w:rPr>
                <w:rFonts w:ascii="Calibri" w:hAnsi="Calibri" w:cs="Calibri"/>
                <w:color w:val="000000"/>
                <w:sz w:val="22"/>
                <w:szCs w:val="22"/>
                <w:lang w:eastAsia="en-GB"/>
              </w:rPr>
            </w:pPr>
            <w:r w:rsidRPr="00AE6BE1">
              <w:rPr>
                <w:rFonts w:ascii="Calibri" w:hAnsi="Calibri" w:cs="Calibri"/>
                <w:color w:val="000000"/>
                <w:sz w:val="22"/>
                <w:szCs w:val="22"/>
                <w:lang w:eastAsia="en-GB"/>
              </w:rPr>
              <w:t> </w:t>
            </w:r>
          </w:p>
        </w:tc>
        <w:tc>
          <w:tcPr>
            <w:tcW w:w="1417" w:type="dxa"/>
            <w:tcBorders>
              <w:top w:val="single" w:sz="4" w:space="0" w:color="auto"/>
              <w:left w:val="nil"/>
              <w:bottom w:val="nil"/>
              <w:right w:val="nil"/>
            </w:tcBorders>
            <w:shd w:val="clear" w:color="000000" w:fill="FFFFFF"/>
            <w:noWrap/>
            <w:vAlign w:val="bottom"/>
            <w:hideMark/>
          </w:tcPr>
          <w:p w14:paraId="3F0C22C1" w14:textId="77777777" w:rsidR="00E82B56" w:rsidRPr="00AE6BE1" w:rsidRDefault="00E82B56" w:rsidP="00E82B56">
            <w:pPr>
              <w:rPr>
                <w:rFonts w:ascii="Calibri" w:hAnsi="Calibri" w:cs="Calibri"/>
                <w:color w:val="000000"/>
                <w:sz w:val="22"/>
                <w:szCs w:val="22"/>
                <w:lang w:eastAsia="en-GB"/>
              </w:rPr>
            </w:pPr>
            <w:r w:rsidRPr="00AE6BE1">
              <w:rPr>
                <w:rFonts w:ascii="Calibri" w:hAnsi="Calibri" w:cs="Calibri"/>
                <w:color w:val="000000"/>
                <w:sz w:val="22"/>
                <w:szCs w:val="22"/>
                <w:lang w:eastAsia="en-GB"/>
              </w:rPr>
              <w:t> </w:t>
            </w:r>
          </w:p>
        </w:tc>
        <w:tc>
          <w:tcPr>
            <w:tcW w:w="1442" w:type="dxa"/>
            <w:tcBorders>
              <w:top w:val="single" w:sz="4" w:space="0" w:color="auto"/>
              <w:left w:val="nil"/>
              <w:bottom w:val="nil"/>
              <w:right w:val="nil"/>
            </w:tcBorders>
            <w:shd w:val="clear" w:color="000000" w:fill="FFFFFF"/>
            <w:noWrap/>
            <w:vAlign w:val="bottom"/>
            <w:hideMark/>
          </w:tcPr>
          <w:p w14:paraId="4F9E2BA4" w14:textId="77777777" w:rsidR="00E82B56" w:rsidRPr="00AE6BE1" w:rsidRDefault="00E82B56" w:rsidP="00E82B56">
            <w:pPr>
              <w:rPr>
                <w:rFonts w:ascii="Calibri" w:hAnsi="Calibri" w:cs="Calibri"/>
                <w:color w:val="000000"/>
                <w:sz w:val="22"/>
                <w:szCs w:val="22"/>
                <w:lang w:eastAsia="en-GB"/>
              </w:rPr>
            </w:pPr>
            <w:r w:rsidRPr="00AE6BE1">
              <w:rPr>
                <w:rFonts w:ascii="Calibri" w:hAnsi="Calibri" w:cs="Calibri"/>
                <w:color w:val="000000"/>
                <w:sz w:val="22"/>
                <w:szCs w:val="22"/>
                <w:lang w:eastAsia="en-GB"/>
              </w:rPr>
              <w:t> </w:t>
            </w:r>
          </w:p>
        </w:tc>
        <w:tc>
          <w:tcPr>
            <w:tcW w:w="1383" w:type="dxa"/>
            <w:tcBorders>
              <w:top w:val="nil"/>
              <w:left w:val="nil"/>
              <w:bottom w:val="nil"/>
              <w:right w:val="nil"/>
            </w:tcBorders>
            <w:shd w:val="clear" w:color="000000" w:fill="FFFFFF"/>
            <w:noWrap/>
            <w:vAlign w:val="bottom"/>
            <w:hideMark/>
          </w:tcPr>
          <w:p w14:paraId="01FD1124" w14:textId="77777777" w:rsidR="00E82B56" w:rsidRPr="00AE6BE1" w:rsidRDefault="00E82B56" w:rsidP="00E82B56">
            <w:pPr>
              <w:rPr>
                <w:rFonts w:ascii="Calibri" w:hAnsi="Calibri" w:cs="Calibri"/>
                <w:color w:val="000000"/>
                <w:sz w:val="22"/>
                <w:szCs w:val="22"/>
                <w:lang w:eastAsia="en-GB"/>
              </w:rPr>
            </w:pPr>
            <w:r w:rsidRPr="00AE6BE1">
              <w:rPr>
                <w:rFonts w:ascii="Calibri" w:hAnsi="Calibri" w:cs="Calibri"/>
                <w:color w:val="000000"/>
                <w:sz w:val="22"/>
                <w:szCs w:val="22"/>
                <w:lang w:eastAsia="en-GB"/>
              </w:rPr>
              <w:t> </w:t>
            </w:r>
          </w:p>
        </w:tc>
      </w:tr>
      <w:tr w:rsidR="00025895" w:rsidRPr="00AE6BE1" w14:paraId="485BA568" w14:textId="77777777" w:rsidTr="00B125AD">
        <w:trPr>
          <w:trHeight w:val="156"/>
        </w:trPr>
        <w:tc>
          <w:tcPr>
            <w:tcW w:w="2977" w:type="dxa"/>
            <w:tcBorders>
              <w:top w:val="nil"/>
              <w:left w:val="nil"/>
              <w:bottom w:val="nil"/>
              <w:right w:val="nil"/>
            </w:tcBorders>
            <w:shd w:val="clear" w:color="000000" w:fill="FFFFFF"/>
            <w:noWrap/>
            <w:vAlign w:val="bottom"/>
            <w:hideMark/>
          </w:tcPr>
          <w:p w14:paraId="35D75B00" w14:textId="77777777" w:rsidR="00E82B56" w:rsidRPr="00AE6BE1" w:rsidRDefault="00E82B56" w:rsidP="00E82B56">
            <w:pPr>
              <w:rPr>
                <w:color w:val="000000"/>
                <w:sz w:val="20"/>
                <w:szCs w:val="20"/>
                <w:lang w:eastAsia="en-GB"/>
              </w:rPr>
            </w:pPr>
            <w:r w:rsidRPr="00AE6BE1">
              <w:rPr>
                <w:color w:val="000000"/>
                <w:sz w:val="20"/>
                <w:szCs w:val="20"/>
                <w:lang w:eastAsia="en-GB"/>
              </w:rPr>
              <w:t>General Reserve Closing Balance as a % of Budget</w:t>
            </w:r>
          </w:p>
        </w:tc>
        <w:tc>
          <w:tcPr>
            <w:tcW w:w="1517" w:type="dxa"/>
            <w:tcBorders>
              <w:top w:val="single" w:sz="4" w:space="0" w:color="auto"/>
              <w:left w:val="nil"/>
              <w:bottom w:val="single" w:sz="8" w:space="0" w:color="auto"/>
              <w:right w:val="nil"/>
            </w:tcBorders>
            <w:shd w:val="clear" w:color="000000" w:fill="FFFFFF"/>
            <w:noWrap/>
            <w:vAlign w:val="bottom"/>
            <w:hideMark/>
          </w:tcPr>
          <w:p w14:paraId="21CAE578" w14:textId="5233A890" w:rsidR="00E82B56" w:rsidRPr="00AE6BE1" w:rsidRDefault="00015A8F" w:rsidP="00E82B56">
            <w:pPr>
              <w:jc w:val="right"/>
              <w:rPr>
                <w:b/>
                <w:bCs/>
                <w:color w:val="000000"/>
                <w:sz w:val="20"/>
                <w:szCs w:val="20"/>
                <w:lang w:eastAsia="en-GB"/>
              </w:rPr>
            </w:pPr>
            <w:r>
              <w:rPr>
                <w:b/>
                <w:bCs/>
                <w:color w:val="000000"/>
                <w:sz w:val="20"/>
                <w:szCs w:val="20"/>
                <w:lang w:eastAsia="en-GB"/>
              </w:rPr>
              <w:t>5</w:t>
            </w:r>
            <w:r w:rsidR="00E82B56" w:rsidRPr="00AE6BE1">
              <w:rPr>
                <w:b/>
                <w:bCs/>
                <w:color w:val="000000"/>
                <w:sz w:val="20"/>
                <w:szCs w:val="20"/>
                <w:lang w:eastAsia="en-GB"/>
              </w:rPr>
              <w:t>%</w:t>
            </w:r>
          </w:p>
        </w:tc>
        <w:tc>
          <w:tcPr>
            <w:tcW w:w="1418" w:type="dxa"/>
            <w:tcBorders>
              <w:top w:val="single" w:sz="4" w:space="0" w:color="auto"/>
              <w:left w:val="nil"/>
              <w:bottom w:val="single" w:sz="8" w:space="0" w:color="auto"/>
              <w:right w:val="nil"/>
            </w:tcBorders>
            <w:shd w:val="clear" w:color="000000" w:fill="FFFFFF"/>
            <w:noWrap/>
            <w:vAlign w:val="bottom"/>
            <w:hideMark/>
          </w:tcPr>
          <w:p w14:paraId="7FD1F798" w14:textId="0A6B332F" w:rsidR="00E82B56" w:rsidRPr="00AE6BE1" w:rsidRDefault="00042A02" w:rsidP="00E82B56">
            <w:pPr>
              <w:jc w:val="right"/>
              <w:rPr>
                <w:b/>
                <w:bCs/>
                <w:color w:val="000000"/>
                <w:sz w:val="20"/>
                <w:szCs w:val="20"/>
                <w:lang w:eastAsia="en-GB"/>
              </w:rPr>
            </w:pPr>
            <w:r>
              <w:rPr>
                <w:b/>
                <w:bCs/>
                <w:color w:val="000000"/>
                <w:sz w:val="20"/>
                <w:szCs w:val="20"/>
                <w:lang w:eastAsia="en-GB"/>
              </w:rPr>
              <w:t>4</w:t>
            </w:r>
            <w:r w:rsidR="00015A8F">
              <w:rPr>
                <w:b/>
                <w:bCs/>
                <w:color w:val="000000"/>
                <w:sz w:val="20"/>
                <w:szCs w:val="20"/>
                <w:lang w:eastAsia="en-GB"/>
              </w:rPr>
              <w:t>%</w:t>
            </w:r>
          </w:p>
        </w:tc>
        <w:tc>
          <w:tcPr>
            <w:tcW w:w="1417" w:type="dxa"/>
            <w:tcBorders>
              <w:top w:val="single" w:sz="4" w:space="0" w:color="auto"/>
              <w:left w:val="nil"/>
              <w:bottom w:val="single" w:sz="8" w:space="0" w:color="auto"/>
              <w:right w:val="nil"/>
            </w:tcBorders>
            <w:shd w:val="clear" w:color="000000" w:fill="FFFFFF"/>
            <w:noWrap/>
            <w:vAlign w:val="bottom"/>
            <w:hideMark/>
          </w:tcPr>
          <w:p w14:paraId="35147B9B" w14:textId="3E0F3282" w:rsidR="00E82B56" w:rsidRPr="00AE6BE1" w:rsidRDefault="00015A8F" w:rsidP="00E82B56">
            <w:pPr>
              <w:jc w:val="right"/>
              <w:rPr>
                <w:b/>
                <w:bCs/>
                <w:color w:val="000000"/>
                <w:sz w:val="20"/>
                <w:szCs w:val="20"/>
                <w:lang w:eastAsia="en-GB"/>
              </w:rPr>
            </w:pPr>
            <w:r>
              <w:rPr>
                <w:b/>
                <w:bCs/>
                <w:color w:val="000000"/>
                <w:sz w:val="20"/>
                <w:szCs w:val="20"/>
                <w:lang w:eastAsia="en-GB"/>
              </w:rPr>
              <w:t>3</w:t>
            </w:r>
            <w:r w:rsidR="00E82B56" w:rsidRPr="00AE6BE1">
              <w:rPr>
                <w:b/>
                <w:bCs/>
                <w:color w:val="000000"/>
                <w:sz w:val="20"/>
                <w:szCs w:val="20"/>
                <w:lang w:eastAsia="en-GB"/>
              </w:rPr>
              <w:t>%</w:t>
            </w:r>
          </w:p>
        </w:tc>
        <w:tc>
          <w:tcPr>
            <w:tcW w:w="1442" w:type="dxa"/>
            <w:tcBorders>
              <w:top w:val="single" w:sz="4" w:space="0" w:color="auto"/>
              <w:left w:val="nil"/>
              <w:bottom w:val="single" w:sz="8" w:space="0" w:color="auto"/>
              <w:right w:val="nil"/>
            </w:tcBorders>
            <w:shd w:val="clear" w:color="000000" w:fill="FFFFFF"/>
            <w:noWrap/>
            <w:vAlign w:val="bottom"/>
            <w:hideMark/>
          </w:tcPr>
          <w:p w14:paraId="6DD6A6AC" w14:textId="02FF5872" w:rsidR="00E82B56" w:rsidRPr="00AE6BE1" w:rsidRDefault="00015A8F" w:rsidP="00E82B56">
            <w:pPr>
              <w:jc w:val="right"/>
              <w:rPr>
                <w:b/>
                <w:bCs/>
                <w:color w:val="000000"/>
                <w:sz w:val="20"/>
                <w:szCs w:val="20"/>
                <w:lang w:eastAsia="en-GB"/>
              </w:rPr>
            </w:pPr>
            <w:r>
              <w:rPr>
                <w:b/>
                <w:bCs/>
                <w:color w:val="000000"/>
                <w:sz w:val="20"/>
                <w:szCs w:val="20"/>
                <w:lang w:eastAsia="en-GB"/>
              </w:rPr>
              <w:t>3</w:t>
            </w:r>
            <w:r w:rsidR="00E82B56" w:rsidRPr="00AE6BE1">
              <w:rPr>
                <w:b/>
                <w:bCs/>
                <w:color w:val="000000"/>
                <w:sz w:val="20"/>
                <w:szCs w:val="20"/>
                <w:lang w:eastAsia="en-GB"/>
              </w:rPr>
              <w:t>%</w:t>
            </w:r>
          </w:p>
        </w:tc>
        <w:tc>
          <w:tcPr>
            <w:tcW w:w="1383" w:type="dxa"/>
            <w:tcBorders>
              <w:top w:val="single" w:sz="4" w:space="0" w:color="auto"/>
              <w:left w:val="nil"/>
              <w:bottom w:val="single" w:sz="8" w:space="0" w:color="auto"/>
              <w:right w:val="nil"/>
            </w:tcBorders>
            <w:shd w:val="clear" w:color="000000" w:fill="FFFFFF"/>
            <w:noWrap/>
            <w:vAlign w:val="bottom"/>
            <w:hideMark/>
          </w:tcPr>
          <w:p w14:paraId="5EC50B9E" w14:textId="672D5C1D" w:rsidR="00E82B56" w:rsidRPr="00AE6BE1" w:rsidRDefault="00015A8F" w:rsidP="00E82B56">
            <w:pPr>
              <w:jc w:val="right"/>
              <w:rPr>
                <w:b/>
                <w:bCs/>
                <w:color w:val="000000"/>
                <w:sz w:val="20"/>
                <w:szCs w:val="20"/>
                <w:lang w:eastAsia="en-GB"/>
              </w:rPr>
            </w:pPr>
            <w:r>
              <w:rPr>
                <w:b/>
                <w:bCs/>
                <w:color w:val="000000"/>
                <w:sz w:val="20"/>
                <w:szCs w:val="20"/>
                <w:lang w:eastAsia="en-GB"/>
              </w:rPr>
              <w:t>3</w:t>
            </w:r>
            <w:r w:rsidR="00E82B56" w:rsidRPr="00AE6BE1">
              <w:rPr>
                <w:b/>
                <w:bCs/>
                <w:color w:val="000000"/>
                <w:sz w:val="20"/>
                <w:szCs w:val="20"/>
                <w:lang w:eastAsia="en-GB"/>
              </w:rPr>
              <w:t>%</w:t>
            </w:r>
          </w:p>
        </w:tc>
      </w:tr>
    </w:tbl>
    <w:p w14:paraId="691046C5" w14:textId="77777777" w:rsidR="003203BF" w:rsidRPr="00AE6BE1" w:rsidRDefault="003203BF" w:rsidP="00C65004">
      <w:pPr>
        <w:autoSpaceDE w:val="0"/>
        <w:autoSpaceDN w:val="0"/>
        <w:adjustRightInd w:val="0"/>
        <w:rPr>
          <w:color w:val="000000"/>
        </w:rPr>
      </w:pPr>
    </w:p>
    <w:p w14:paraId="7B068A3F" w14:textId="2EAEA83F" w:rsidR="0078761F" w:rsidRPr="00B81883" w:rsidRDefault="00B81883" w:rsidP="0029613B">
      <w:pPr>
        <w:autoSpaceDE w:val="0"/>
        <w:autoSpaceDN w:val="0"/>
        <w:adjustRightInd w:val="0"/>
        <w:spacing w:after="120"/>
        <w:ind w:left="426"/>
        <w:jc w:val="both"/>
        <w:rPr>
          <w:color w:val="000000"/>
          <w:sz w:val="16"/>
          <w:szCs w:val="16"/>
        </w:rPr>
      </w:pPr>
      <w:r w:rsidRPr="00B81883">
        <w:rPr>
          <w:sz w:val="16"/>
          <w:szCs w:val="16"/>
        </w:rPr>
        <w:t>*2022/23 Figures based on Unaudited Financial Statements</w:t>
      </w:r>
    </w:p>
    <w:p w14:paraId="630714AC" w14:textId="452F0666" w:rsidR="00B84E31" w:rsidRPr="00221C1C" w:rsidRDefault="008A1DB9" w:rsidP="005A7EA2">
      <w:pPr>
        <w:pStyle w:val="pf0"/>
        <w:ind w:left="426"/>
        <w:jc w:val="both"/>
        <w:rPr>
          <w:rFonts w:ascii="Arial" w:hAnsi="Arial" w:cs="Arial"/>
          <w:color w:val="000000"/>
          <w:lang w:eastAsia="en-US"/>
        </w:rPr>
      </w:pPr>
      <w:r w:rsidRPr="00A32673">
        <w:rPr>
          <w:rFonts w:ascii="Arial" w:hAnsi="Arial" w:cs="Arial"/>
          <w:color w:val="000000"/>
          <w:lang w:eastAsia="en-US"/>
        </w:rPr>
        <w:t xml:space="preserve">The </w:t>
      </w:r>
      <w:r w:rsidR="00C66B4B" w:rsidRPr="00A32673">
        <w:rPr>
          <w:rFonts w:ascii="Arial" w:hAnsi="Arial" w:cs="Arial"/>
          <w:color w:val="000000"/>
          <w:lang w:eastAsia="en-US"/>
        </w:rPr>
        <w:t xml:space="preserve">actual </w:t>
      </w:r>
      <w:r w:rsidRPr="00A32673">
        <w:rPr>
          <w:rFonts w:ascii="Arial" w:hAnsi="Arial" w:cs="Arial"/>
          <w:color w:val="000000"/>
          <w:lang w:eastAsia="en-US"/>
        </w:rPr>
        <w:t xml:space="preserve">level of </w:t>
      </w:r>
      <w:r w:rsidR="001042DA">
        <w:rPr>
          <w:rFonts w:ascii="Arial" w:hAnsi="Arial" w:cs="Arial"/>
          <w:color w:val="000000"/>
          <w:lang w:eastAsia="en-US"/>
        </w:rPr>
        <w:t>G</w:t>
      </w:r>
      <w:r w:rsidRPr="00A32673">
        <w:rPr>
          <w:rFonts w:ascii="Arial" w:hAnsi="Arial" w:cs="Arial"/>
          <w:color w:val="000000"/>
          <w:lang w:eastAsia="en-US"/>
        </w:rPr>
        <w:t xml:space="preserve">eneral </w:t>
      </w:r>
      <w:r w:rsidR="001042DA">
        <w:rPr>
          <w:rFonts w:ascii="Arial" w:hAnsi="Arial" w:cs="Arial"/>
          <w:color w:val="000000"/>
          <w:lang w:eastAsia="en-US"/>
        </w:rPr>
        <w:t>R</w:t>
      </w:r>
      <w:r w:rsidRPr="00A32673">
        <w:rPr>
          <w:rFonts w:ascii="Arial" w:hAnsi="Arial" w:cs="Arial"/>
          <w:color w:val="000000"/>
          <w:lang w:eastAsia="en-US"/>
        </w:rPr>
        <w:t>eserves at 31 March 202</w:t>
      </w:r>
      <w:r w:rsidR="007D7907">
        <w:rPr>
          <w:rFonts w:ascii="Arial" w:hAnsi="Arial" w:cs="Arial"/>
          <w:color w:val="000000"/>
          <w:lang w:eastAsia="en-US"/>
        </w:rPr>
        <w:t>3</w:t>
      </w:r>
      <w:r w:rsidRPr="00A32673">
        <w:rPr>
          <w:rFonts w:ascii="Arial" w:hAnsi="Arial" w:cs="Arial"/>
          <w:color w:val="000000"/>
          <w:lang w:eastAsia="en-US"/>
        </w:rPr>
        <w:t xml:space="preserve"> </w:t>
      </w:r>
      <w:r w:rsidR="00C65004" w:rsidRPr="00A32673">
        <w:rPr>
          <w:rFonts w:ascii="Arial" w:hAnsi="Arial" w:cs="Arial"/>
          <w:color w:val="000000"/>
          <w:lang w:eastAsia="en-US"/>
        </w:rPr>
        <w:t xml:space="preserve">was </w:t>
      </w:r>
      <w:r w:rsidRPr="00A32673">
        <w:rPr>
          <w:rFonts w:ascii="Arial" w:hAnsi="Arial" w:cs="Arial"/>
          <w:color w:val="000000"/>
          <w:lang w:eastAsia="en-US"/>
        </w:rPr>
        <w:t>£</w:t>
      </w:r>
      <w:r w:rsidR="007D7907">
        <w:rPr>
          <w:rFonts w:ascii="Arial" w:hAnsi="Arial" w:cs="Arial"/>
          <w:color w:val="000000"/>
          <w:lang w:eastAsia="en-US"/>
        </w:rPr>
        <w:t>3.882</w:t>
      </w:r>
      <w:r w:rsidRPr="00A32673">
        <w:rPr>
          <w:rFonts w:ascii="Arial" w:hAnsi="Arial" w:cs="Arial"/>
          <w:color w:val="000000"/>
          <w:lang w:eastAsia="en-US"/>
        </w:rPr>
        <w:t>m</w:t>
      </w:r>
      <w:r w:rsidR="000F5743" w:rsidRPr="00A32673">
        <w:rPr>
          <w:rFonts w:ascii="Arial" w:hAnsi="Arial" w:cs="Arial"/>
          <w:color w:val="000000"/>
          <w:lang w:eastAsia="en-US"/>
        </w:rPr>
        <w:t xml:space="preserve">, </w:t>
      </w:r>
      <w:r w:rsidR="007A1D30" w:rsidRPr="00A32673">
        <w:rPr>
          <w:rFonts w:ascii="Arial" w:hAnsi="Arial" w:cs="Arial"/>
          <w:color w:val="000000"/>
          <w:lang w:eastAsia="en-US"/>
        </w:rPr>
        <w:t>which</w:t>
      </w:r>
      <w:r w:rsidR="000F5743" w:rsidRPr="00A32673">
        <w:rPr>
          <w:rFonts w:ascii="Arial" w:hAnsi="Arial" w:cs="Arial"/>
          <w:color w:val="000000"/>
          <w:lang w:eastAsia="en-US"/>
        </w:rPr>
        <w:t xml:space="preserve"> was £</w:t>
      </w:r>
      <w:r w:rsidR="007D7907">
        <w:rPr>
          <w:rFonts w:ascii="Arial" w:hAnsi="Arial" w:cs="Arial"/>
          <w:color w:val="000000"/>
          <w:lang w:eastAsia="en-US"/>
        </w:rPr>
        <w:t>0</w:t>
      </w:r>
      <w:r w:rsidR="00381566" w:rsidRPr="00A32673">
        <w:rPr>
          <w:rFonts w:ascii="Arial" w:hAnsi="Arial" w:cs="Arial"/>
          <w:color w:val="000000"/>
          <w:lang w:eastAsia="en-US"/>
        </w:rPr>
        <w:t>.</w:t>
      </w:r>
      <w:r w:rsidR="007D7907">
        <w:rPr>
          <w:rFonts w:ascii="Arial" w:hAnsi="Arial" w:cs="Arial"/>
          <w:color w:val="000000"/>
          <w:lang w:eastAsia="en-US"/>
        </w:rPr>
        <w:t>826</w:t>
      </w:r>
      <w:r w:rsidR="00381566" w:rsidRPr="00A32673">
        <w:rPr>
          <w:rFonts w:ascii="Arial" w:hAnsi="Arial" w:cs="Arial"/>
          <w:color w:val="000000"/>
          <w:lang w:eastAsia="en-US"/>
        </w:rPr>
        <w:t xml:space="preserve">m higher than </w:t>
      </w:r>
      <w:r w:rsidR="000F30DD">
        <w:rPr>
          <w:rFonts w:ascii="Arial" w:hAnsi="Arial" w:cs="Arial"/>
          <w:color w:val="000000"/>
          <w:lang w:eastAsia="en-US"/>
        </w:rPr>
        <w:t xml:space="preserve">those </w:t>
      </w:r>
      <w:r w:rsidR="007A1D30" w:rsidRPr="00A32673">
        <w:rPr>
          <w:rFonts w:ascii="Arial" w:hAnsi="Arial" w:cs="Arial"/>
          <w:color w:val="000000"/>
          <w:lang w:eastAsia="en-US"/>
        </w:rPr>
        <w:t xml:space="preserve">projected in </w:t>
      </w:r>
      <w:r w:rsidR="00381566" w:rsidRPr="00A32673">
        <w:rPr>
          <w:rFonts w:ascii="Arial" w:hAnsi="Arial" w:cs="Arial"/>
          <w:color w:val="000000"/>
          <w:lang w:eastAsia="en-US"/>
        </w:rPr>
        <w:t>the previous Reserves Strategy</w:t>
      </w:r>
      <w:r w:rsidR="007A1D30" w:rsidRPr="00A32673">
        <w:rPr>
          <w:rFonts w:ascii="Arial" w:hAnsi="Arial" w:cs="Arial"/>
          <w:color w:val="000000"/>
          <w:lang w:eastAsia="en-US"/>
        </w:rPr>
        <w:t>. This was</w:t>
      </w:r>
      <w:r w:rsidR="004D5BC5">
        <w:rPr>
          <w:rFonts w:ascii="Arial" w:hAnsi="Arial" w:cs="Arial"/>
          <w:color w:val="000000"/>
          <w:lang w:eastAsia="en-US"/>
        </w:rPr>
        <w:t xml:space="preserve"> primarily due to </w:t>
      </w:r>
      <w:r w:rsidR="00221C1C" w:rsidRPr="00A32673">
        <w:rPr>
          <w:rFonts w:ascii="Arial" w:hAnsi="Arial" w:cs="Arial"/>
          <w:color w:val="000000"/>
          <w:lang w:eastAsia="en-US"/>
        </w:rPr>
        <w:t>an improvement in our final outturn position for 202</w:t>
      </w:r>
      <w:r w:rsidR="007D7907">
        <w:rPr>
          <w:rFonts w:ascii="Arial" w:hAnsi="Arial" w:cs="Arial"/>
          <w:color w:val="000000"/>
          <w:lang w:eastAsia="en-US"/>
        </w:rPr>
        <w:t>2</w:t>
      </w:r>
      <w:r w:rsidR="00221C1C" w:rsidRPr="00A32673">
        <w:rPr>
          <w:rFonts w:ascii="Arial" w:hAnsi="Arial" w:cs="Arial"/>
          <w:color w:val="000000"/>
          <w:lang w:eastAsia="en-US"/>
        </w:rPr>
        <w:t>/2</w:t>
      </w:r>
      <w:r w:rsidR="007D7907">
        <w:rPr>
          <w:rFonts w:ascii="Arial" w:hAnsi="Arial" w:cs="Arial"/>
          <w:color w:val="000000"/>
          <w:lang w:eastAsia="en-US"/>
        </w:rPr>
        <w:t>3</w:t>
      </w:r>
      <w:r w:rsidR="004D5BC5">
        <w:rPr>
          <w:rFonts w:ascii="Arial" w:hAnsi="Arial" w:cs="Arial"/>
          <w:color w:val="000000"/>
          <w:lang w:eastAsia="en-US"/>
        </w:rPr>
        <w:t xml:space="preserve"> due to </w:t>
      </w:r>
      <w:r w:rsidR="003B3DC0">
        <w:rPr>
          <w:rFonts w:ascii="Arial" w:hAnsi="Arial" w:cs="Arial"/>
          <w:color w:val="000000"/>
          <w:lang w:eastAsia="en-US"/>
        </w:rPr>
        <w:t xml:space="preserve">receiving unplanned S31 Grants for </w:t>
      </w:r>
      <w:r w:rsidR="002D0CA3">
        <w:rPr>
          <w:rFonts w:ascii="Arial" w:hAnsi="Arial" w:cs="Arial"/>
          <w:color w:val="000000"/>
          <w:lang w:eastAsia="en-US"/>
        </w:rPr>
        <w:t>business rates relief.</w:t>
      </w:r>
      <w:r w:rsidR="005A7EA2">
        <w:rPr>
          <w:rFonts w:ascii="Arial" w:hAnsi="Arial" w:cs="Arial"/>
          <w:color w:val="000000"/>
          <w:lang w:eastAsia="en-US"/>
        </w:rPr>
        <w:t xml:space="preserve"> The final outturn position is </w:t>
      </w:r>
      <w:r w:rsidR="00EB6403">
        <w:rPr>
          <w:rFonts w:ascii="Arial" w:hAnsi="Arial" w:cs="Arial"/>
          <w:color w:val="000000"/>
          <w:lang w:eastAsia="en-US"/>
        </w:rPr>
        <w:t xml:space="preserve"> detail</w:t>
      </w:r>
      <w:r w:rsidR="003F3624">
        <w:rPr>
          <w:rFonts w:ascii="Arial" w:hAnsi="Arial" w:cs="Arial"/>
          <w:color w:val="000000"/>
          <w:lang w:eastAsia="en-US"/>
        </w:rPr>
        <w:t xml:space="preserve">ed </w:t>
      </w:r>
      <w:r w:rsidR="00EB6403">
        <w:rPr>
          <w:rFonts w:ascii="Arial" w:hAnsi="Arial" w:cs="Arial"/>
          <w:color w:val="000000"/>
          <w:lang w:eastAsia="en-US"/>
        </w:rPr>
        <w:t xml:space="preserve">in the </w:t>
      </w:r>
      <w:r w:rsidR="003F3624">
        <w:rPr>
          <w:rFonts w:ascii="Arial" w:hAnsi="Arial" w:cs="Arial"/>
          <w:color w:val="000000"/>
          <w:lang w:eastAsia="en-US"/>
        </w:rPr>
        <w:t xml:space="preserve">2022/23 </w:t>
      </w:r>
      <w:r w:rsidR="00EB6403">
        <w:rPr>
          <w:rFonts w:ascii="Arial" w:hAnsi="Arial" w:cs="Arial"/>
          <w:color w:val="000000"/>
          <w:lang w:eastAsia="en-US"/>
        </w:rPr>
        <w:t xml:space="preserve">Narrative Report within the Financial Statements </w:t>
      </w:r>
      <w:hyperlink r:id="rId18" w:history="1">
        <w:r w:rsidR="00EB6403" w:rsidRPr="00FC38E2">
          <w:rPr>
            <w:rStyle w:val="Hyperlink"/>
            <w:rFonts w:ascii="Arial" w:hAnsi="Arial" w:cs="Arial"/>
            <w:lang w:eastAsia="en-US"/>
          </w:rPr>
          <w:t>her</w:t>
        </w:r>
        <w:bookmarkStart w:id="2" w:name="_Hlt158812138"/>
        <w:bookmarkStart w:id="3" w:name="_Hlt158812139"/>
        <w:r w:rsidR="00EB6403" w:rsidRPr="00FC38E2">
          <w:rPr>
            <w:rStyle w:val="Hyperlink"/>
            <w:rFonts w:ascii="Arial" w:hAnsi="Arial" w:cs="Arial"/>
            <w:lang w:eastAsia="en-US"/>
          </w:rPr>
          <w:t>e</w:t>
        </w:r>
        <w:bookmarkEnd w:id="2"/>
        <w:bookmarkEnd w:id="3"/>
      </w:hyperlink>
      <w:r w:rsidR="00EB6403">
        <w:rPr>
          <w:rFonts w:ascii="Arial" w:hAnsi="Arial" w:cs="Arial"/>
          <w:color w:val="000000"/>
          <w:lang w:eastAsia="en-US"/>
        </w:rPr>
        <w:t xml:space="preserve"> (page 13).</w:t>
      </w:r>
    </w:p>
    <w:p w14:paraId="57F9D227" w14:textId="19CE953F" w:rsidR="00C66B4B" w:rsidRPr="00AE6BE1" w:rsidRDefault="00C66B4B" w:rsidP="0029613B">
      <w:pPr>
        <w:autoSpaceDE w:val="0"/>
        <w:autoSpaceDN w:val="0"/>
        <w:adjustRightInd w:val="0"/>
        <w:spacing w:after="120"/>
        <w:ind w:left="426"/>
        <w:jc w:val="both"/>
      </w:pPr>
      <w:r w:rsidRPr="00AE6BE1">
        <w:rPr>
          <w:color w:val="000000"/>
        </w:rPr>
        <w:t>The level of</w:t>
      </w:r>
      <w:r w:rsidR="00A0056C" w:rsidRPr="00AE6BE1">
        <w:rPr>
          <w:color w:val="000000"/>
        </w:rPr>
        <w:t xml:space="preserve"> </w:t>
      </w:r>
      <w:r w:rsidR="003F3624">
        <w:rPr>
          <w:color w:val="000000"/>
        </w:rPr>
        <w:t>G</w:t>
      </w:r>
      <w:r w:rsidRPr="00AE6BE1">
        <w:rPr>
          <w:color w:val="000000"/>
        </w:rPr>
        <w:t xml:space="preserve">eneral </w:t>
      </w:r>
      <w:r w:rsidR="003F3624">
        <w:rPr>
          <w:color w:val="000000"/>
        </w:rPr>
        <w:t>R</w:t>
      </w:r>
      <w:r w:rsidRPr="00AE6BE1">
        <w:rPr>
          <w:color w:val="000000"/>
        </w:rPr>
        <w:t xml:space="preserve">eserves </w:t>
      </w:r>
      <w:r w:rsidR="004238A6" w:rsidRPr="00AE6BE1">
        <w:rPr>
          <w:color w:val="000000"/>
        </w:rPr>
        <w:t>is</w:t>
      </w:r>
      <w:r w:rsidRPr="00AE6BE1">
        <w:rPr>
          <w:color w:val="000000"/>
        </w:rPr>
        <w:t xml:space="preserve"> projected to be £</w:t>
      </w:r>
      <w:r w:rsidR="00E92EF9">
        <w:rPr>
          <w:color w:val="000000"/>
        </w:rPr>
        <w:t>3</w:t>
      </w:r>
      <w:r w:rsidRPr="00AE6BE1">
        <w:rPr>
          <w:color w:val="000000"/>
        </w:rPr>
        <w:t>.</w:t>
      </w:r>
      <w:r w:rsidR="00FC38E2">
        <w:rPr>
          <w:color w:val="000000"/>
        </w:rPr>
        <w:t>344</w:t>
      </w:r>
      <w:r w:rsidRPr="00AE6BE1">
        <w:rPr>
          <w:color w:val="000000"/>
        </w:rPr>
        <w:t>m at 31 March 202</w:t>
      </w:r>
      <w:r w:rsidR="00FC38E2">
        <w:rPr>
          <w:color w:val="000000"/>
        </w:rPr>
        <w:t>4</w:t>
      </w:r>
      <w:r w:rsidR="002401AC">
        <w:rPr>
          <w:color w:val="000000"/>
        </w:rPr>
        <w:t>, and continue at this level across the medium term</w:t>
      </w:r>
      <w:r w:rsidRPr="00AE6BE1">
        <w:rPr>
          <w:color w:val="000000"/>
        </w:rPr>
        <w:t>.</w:t>
      </w:r>
      <w:r w:rsidR="008774A2">
        <w:rPr>
          <w:color w:val="000000"/>
        </w:rPr>
        <w:t xml:space="preserve"> </w:t>
      </w:r>
      <w:r w:rsidR="00C24C0E" w:rsidRPr="00AE6BE1">
        <w:t>The 202</w:t>
      </w:r>
      <w:r w:rsidR="00FC38E2">
        <w:t>4</w:t>
      </w:r>
      <w:r w:rsidR="00C24C0E" w:rsidRPr="00AE6BE1">
        <w:t>/2</w:t>
      </w:r>
      <w:r w:rsidR="00FC38E2">
        <w:t>5</w:t>
      </w:r>
      <w:r w:rsidR="00C24C0E" w:rsidRPr="00AE6BE1">
        <w:t xml:space="preserve"> </w:t>
      </w:r>
      <w:r w:rsidR="008455EF">
        <w:t>precept</w:t>
      </w:r>
      <w:r w:rsidR="001E3BA3">
        <w:t xml:space="preserve"> proposals</w:t>
      </w:r>
      <w:r w:rsidR="00C24C0E" w:rsidRPr="00AE6BE1">
        <w:t xml:space="preserve"> </w:t>
      </w:r>
      <w:r w:rsidR="003F3624" w:rsidRPr="00AE6BE1">
        <w:t>were</w:t>
      </w:r>
      <w:r w:rsidR="00C24C0E" w:rsidRPr="00AE6BE1">
        <w:t xml:space="preserve"> approved </w:t>
      </w:r>
      <w:r w:rsidR="00C24C0E" w:rsidRPr="00D53554">
        <w:t xml:space="preserve">on </w:t>
      </w:r>
      <w:r w:rsidR="00D53554" w:rsidRPr="00D53554">
        <w:t>1</w:t>
      </w:r>
      <w:r w:rsidR="008455EF" w:rsidRPr="00D53554">
        <w:t xml:space="preserve"> February 202</w:t>
      </w:r>
      <w:r w:rsidR="00C944AF" w:rsidRPr="00D53554">
        <w:t>4</w:t>
      </w:r>
      <w:r w:rsidR="00C24C0E" w:rsidRPr="00AE6BE1">
        <w:t xml:space="preserve"> by the Police, Fire and Crime Pan</w:t>
      </w:r>
      <w:r w:rsidRPr="00AE6BE1">
        <w:t>el</w:t>
      </w:r>
      <w:r w:rsidR="001E3BA3">
        <w:t>. The 202</w:t>
      </w:r>
      <w:r w:rsidR="00C944AF">
        <w:t>4</w:t>
      </w:r>
      <w:r w:rsidR="001E3BA3">
        <w:t>/2</w:t>
      </w:r>
      <w:r w:rsidR="00C944AF">
        <w:t>5</w:t>
      </w:r>
      <w:r w:rsidR="001E3BA3">
        <w:t xml:space="preserve"> budget </w:t>
      </w:r>
      <w:r w:rsidR="00445FC3">
        <w:t xml:space="preserve">is </w:t>
      </w:r>
      <w:r w:rsidRPr="00AE6BE1">
        <w:t xml:space="preserve">balanced with no use of </w:t>
      </w:r>
      <w:r w:rsidR="003F3624">
        <w:t>G</w:t>
      </w:r>
      <w:r w:rsidRPr="00AE6BE1">
        <w:t xml:space="preserve">eneral </w:t>
      </w:r>
      <w:r w:rsidR="003F3624">
        <w:t>R</w:t>
      </w:r>
      <w:r w:rsidRPr="00AE6BE1">
        <w:t>eserves.</w:t>
      </w:r>
    </w:p>
    <w:p w14:paraId="74138D28" w14:textId="2DF58C08" w:rsidR="00C74EBD" w:rsidRDefault="00C74EBD" w:rsidP="0029613B">
      <w:pPr>
        <w:autoSpaceDE w:val="0"/>
        <w:autoSpaceDN w:val="0"/>
        <w:adjustRightInd w:val="0"/>
        <w:spacing w:after="120"/>
        <w:ind w:left="426"/>
        <w:jc w:val="both"/>
        <w:rPr>
          <w:color w:val="000000"/>
        </w:rPr>
      </w:pPr>
      <w:r w:rsidRPr="00AE6BE1">
        <w:rPr>
          <w:color w:val="000000"/>
        </w:rPr>
        <w:t xml:space="preserve">The use of </w:t>
      </w:r>
      <w:r w:rsidR="003F3624">
        <w:rPr>
          <w:color w:val="000000"/>
        </w:rPr>
        <w:t>G</w:t>
      </w:r>
      <w:r w:rsidRPr="00AE6BE1">
        <w:rPr>
          <w:color w:val="000000"/>
        </w:rPr>
        <w:t xml:space="preserve">eneral </w:t>
      </w:r>
      <w:r w:rsidR="003F3624">
        <w:rPr>
          <w:color w:val="000000"/>
        </w:rPr>
        <w:t>R</w:t>
      </w:r>
      <w:r w:rsidRPr="00AE6BE1">
        <w:rPr>
          <w:color w:val="000000"/>
        </w:rPr>
        <w:t>eserves in the table above is consistent with the Medium</w:t>
      </w:r>
      <w:r w:rsidR="00091644">
        <w:rPr>
          <w:color w:val="000000"/>
        </w:rPr>
        <w:t xml:space="preserve"> </w:t>
      </w:r>
      <w:r w:rsidRPr="00AE6BE1">
        <w:rPr>
          <w:color w:val="000000"/>
        </w:rPr>
        <w:t>Term Financial Strategy</w:t>
      </w:r>
      <w:r w:rsidR="007C2D56" w:rsidRPr="00AE6BE1">
        <w:rPr>
          <w:color w:val="000000"/>
        </w:rPr>
        <w:t xml:space="preserve"> and 202</w:t>
      </w:r>
      <w:r w:rsidR="00C944AF">
        <w:rPr>
          <w:color w:val="000000"/>
        </w:rPr>
        <w:t>4</w:t>
      </w:r>
      <w:r w:rsidR="007C2D56" w:rsidRPr="00AE6BE1">
        <w:rPr>
          <w:color w:val="000000"/>
        </w:rPr>
        <w:t>/2</w:t>
      </w:r>
      <w:r w:rsidR="00C944AF">
        <w:rPr>
          <w:color w:val="000000"/>
        </w:rPr>
        <w:t>5</w:t>
      </w:r>
      <w:r w:rsidR="007C2D56" w:rsidRPr="00AE6BE1">
        <w:rPr>
          <w:color w:val="000000"/>
        </w:rPr>
        <w:t xml:space="preserve"> Budget Paper</w:t>
      </w:r>
      <w:r w:rsidRPr="00AE6BE1">
        <w:rPr>
          <w:color w:val="000000"/>
        </w:rPr>
        <w:t>.</w:t>
      </w:r>
    </w:p>
    <w:p w14:paraId="73EC82A6" w14:textId="4009D57D" w:rsidR="00860D2B" w:rsidRDefault="00D96DCF" w:rsidP="0029613B">
      <w:pPr>
        <w:autoSpaceDE w:val="0"/>
        <w:autoSpaceDN w:val="0"/>
        <w:adjustRightInd w:val="0"/>
        <w:spacing w:after="120"/>
        <w:ind w:left="426"/>
        <w:jc w:val="both"/>
        <w:rPr>
          <w:color w:val="000000"/>
        </w:rPr>
      </w:pPr>
      <w:r>
        <w:rPr>
          <w:color w:val="000000"/>
        </w:rPr>
        <w:t>T</w:t>
      </w:r>
      <w:r w:rsidR="00734B3F">
        <w:rPr>
          <w:color w:val="000000"/>
        </w:rPr>
        <w:t>he l</w:t>
      </w:r>
      <w:r w:rsidR="00091644">
        <w:rPr>
          <w:color w:val="000000"/>
        </w:rPr>
        <w:t>evel of General Reserves for 202</w:t>
      </w:r>
      <w:r w:rsidR="00C944AF">
        <w:rPr>
          <w:color w:val="000000"/>
        </w:rPr>
        <w:t>3</w:t>
      </w:r>
      <w:r w:rsidR="00091644">
        <w:rPr>
          <w:color w:val="000000"/>
        </w:rPr>
        <w:t>/2</w:t>
      </w:r>
      <w:r w:rsidR="00C944AF">
        <w:rPr>
          <w:color w:val="000000"/>
        </w:rPr>
        <w:t>4</w:t>
      </w:r>
      <w:r w:rsidR="00091644">
        <w:rPr>
          <w:color w:val="000000"/>
        </w:rPr>
        <w:t xml:space="preserve"> </w:t>
      </w:r>
      <w:r>
        <w:rPr>
          <w:color w:val="000000"/>
        </w:rPr>
        <w:t xml:space="preserve">is </w:t>
      </w:r>
      <w:r w:rsidR="002C0C0A">
        <w:rPr>
          <w:color w:val="000000"/>
        </w:rPr>
        <w:t>£0.2</w:t>
      </w:r>
      <w:r w:rsidR="00C944AF">
        <w:rPr>
          <w:color w:val="000000"/>
        </w:rPr>
        <w:t>88</w:t>
      </w:r>
      <w:r w:rsidR="002C0C0A">
        <w:rPr>
          <w:color w:val="000000"/>
        </w:rPr>
        <w:t xml:space="preserve">m </w:t>
      </w:r>
      <w:r w:rsidR="00C944AF">
        <w:rPr>
          <w:color w:val="000000"/>
        </w:rPr>
        <w:t>higher</w:t>
      </w:r>
      <w:r w:rsidR="002C0C0A">
        <w:rPr>
          <w:color w:val="000000"/>
        </w:rPr>
        <w:t xml:space="preserve"> than the prior year projection. This is a result of:</w:t>
      </w:r>
    </w:p>
    <w:p w14:paraId="443BF15E" w14:textId="7F876345" w:rsidR="00117E8A" w:rsidRPr="00DC62B3" w:rsidRDefault="002C0C0A" w:rsidP="00117E8A">
      <w:pPr>
        <w:pStyle w:val="ListParagraph"/>
        <w:numPr>
          <w:ilvl w:val="0"/>
          <w:numId w:val="44"/>
        </w:numPr>
        <w:autoSpaceDE w:val="0"/>
        <w:autoSpaceDN w:val="0"/>
        <w:adjustRightInd w:val="0"/>
        <w:spacing w:after="120"/>
        <w:jc w:val="both"/>
        <w:rPr>
          <w:color w:val="000000"/>
        </w:rPr>
      </w:pPr>
      <w:r w:rsidRPr="00DC62B3">
        <w:rPr>
          <w:color w:val="000000"/>
        </w:rPr>
        <w:t>£</w:t>
      </w:r>
      <w:r w:rsidR="00DC62B3" w:rsidRPr="00DC62B3">
        <w:rPr>
          <w:color w:val="000000"/>
        </w:rPr>
        <w:t>0.826</w:t>
      </w:r>
      <w:r w:rsidR="00117E8A" w:rsidRPr="00DC62B3">
        <w:rPr>
          <w:color w:val="000000"/>
        </w:rPr>
        <w:t>m improvement in the final position for 202</w:t>
      </w:r>
      <w:r w:rsidR="00DC62B3" w:rsidRPr="00DC62B3">
        <w:rPr>
          <w:color w:val="000000"/>
        </w:rPr>
        <w:t>2</w:t>
      </w:r>
      <w:r w:rsidR="00117E8A" w:rsidRPr="00DC62B3">
        <w:rPr>
          <w:color w:val="000000"/>
        </w:rPr>
        <w:t>/2</w:t>
      </w:r>
      <w:r w:rsidR="00DC62B3" w:rsidRPr="00DC62B3">
        <w:rPr>
          <w:color w:val="000000"/>
        </w:rPr>
        <w:t>3</w:t>
      </w:r>
      <w:r w:rsidR="00117E8A" w:rsidRPr="00DC62B3">
        <w:rPr>
          <w:color w:val="000000"/>
        </w:rPr>
        <w:t>, as mentioned above</w:t>
      </w:r>
    </w:p>
    <w:p w14:paraId="39A1A9F2" w14:textId="67E44070" w:rsidR="00117E8A" w:rsidRPr="00DC62B3" w:rsidRDefault="00117E8A" w:rsidP="00117E8A">
      <w:pPr>
        <w:pStyle w:val="ListParagraph"/>
        <w:numPr>
          <w:ilvl w:val="0"/>
          <w:numId w:val="44"/>
        </w:numPr>
        <w:autoSpaceDE w:val="0"/>
        <w:autoSpaceDN w:val="0"/>
        <w:adjustRightInd w:val="0"/>
        <w:spacing w:after="120"/>
        <w:jc w:val="both"/>
        <w:rPr>
          <w:color w:val="000000"/>
        </w:rPr>
      </w:pPr>
      <w:r w:rsidRPr="00DC62B3">
        <w:rPr>
          <w:color w:val="000000"/>
        </w:rPr>
        <w:lastRenderedPageBreak/>
        <w:t>(£</w:t>
      </w:r>
      <w:r w:rsidR="00DC62B3" w:rsidRPr="00DC62B3">
        <w:rPr>
          <w:color w:val="000000"/>
        </w:rPr>
        <w:t>0</w:t>
      </w:r>
      <w:r w:rsidRPr="00DC62B3">
        <w:rPr>
          <w:color w:val="000000"/>
        </w:rPr>
        <w:t>.</w:t>
      </w:r>
      <w:r w:rsidR="00DC62B3" w:rsidRPr="00DC62B3">
        <w:rPr>
          <w:color w:val="000000"/>
        </w:rPr>
        <w:t>538</w:t>
      </w:r>
      <w:r w:rsidRPr="00DC62B3">
        <w:rPr>
          <w:color w:val="000000"/>
        </w:rPr>
        <w:t xml:space="preserve">m) </w:t>
      </w:r>
      <w:r w:rsidR="006C3FAD" w:rsidRPr="00DC62B3">
        <w:rPr>
          <w:color w:val="000000"/>
        </w:rPr>
        <w:t>projected g</w:t>
      </w:r>
      <w:r w:rsidRPr="00DC62B3">
        <w:rPr>
          <w:color w:val="000000"/>
        </w:rPr>
        <w:t xml:space="preserve">eneral fund deficit </w:t>
      </w:r>
      <w:r w:rsidR="006C3FAD" w:rsidRPr="00DC62B3">
        <w:rPr>
          <w:color w:val="000000"/>
        </w:rPr>
        <w:t>for 202</w:t>
      </w:r>
      <w:r w:rsidR="00DC62B3" w:rsidRPr="00DC62B3">
        <w:rPr>
          <w:color w:val="000000"/>
        </w:rPr>
        <w:t>3</w:t>
      </w:r>
      <w:r w:rsidR="006C3FAD" w:rsidRPr="00DC62B3">
        <w:rPr>
          <w:color w:val="000000"/>
        </w:rPr>
        <w:t>/2</w:t>
      </w:r>
      <w:r w:rsidR="00DC62B3" w:rsidRPr="00DC62B3">
        <w:rPr>
          <w:color w:val="000000"/>
        </w:rPr>
        <w:t>4</w:t>
      </w:r>
      <w:r w:rsidR="006C3FAD" w:rsidRPr="00DC62B3">
        <w:rPr>
          <w:color w:val="000000"/>
        </w:rPr>
        <w:t xml:space="preserve">, which is primarily driven by </w:t>
      </w:r>
      <w:r w:rsidR="00930792" w:rsidRPr="00DC62B3">
        <w:rPr>
          <w:color w:val="000000"/>
        </w:rPr>
        <w:t xml:space="preserve">unbudgeted pay awards to </w:t>
      </w:r>
      <w:r w:rsidR="002F2B85">
        <w:rPr>
          <w:color w:val="000000"/>
        </w:rPr>
        <w:t>s</w:t>
      </w:r>
      <w:r w:rsidR="00930792" w:rsidRPr="00DC62B3">
        <w:rPr>
          <w:color w:val="000000"/>
        </w:rPr>
        <w:t>taff in the year.</w:t>
      </w:r>
    </w:p>
    <w:p w14:paraId="775CFEB3" w14:textId="0E6081F4" w:rsidR="006B0B91" w:rsidRDefault="00C038BB" w:rsidP="006B0B91">
      <w:pPr>
        <w:autoSpaceDE w:val="0"/>
        <w:autoSpaceDN w:val="0"/>
        <w:adjustRightInd w:val="0"/>
        <w:spacing w:after="240"/>
        <w:ind w:left="425"/>
        <w:jc w:val="both"/>
        <w:rPr>
          <w:color w:val="000000"/>
        </w:rPr>
      </w:pPr>
      <w:r>
        <w:rPr>
          <w:color w:val="000000"/>
        </w:rPr>
        <w:t xml:space="preserve">The Authority </w:t>
      </w:r>
      <w:r w:rsidR="00DD0020">
        <w:rPr>
          <w:color w:val="000000"/>
        </w:rPr>
        <w:t>deems that holding a 3% to 5% level of General Reserves</w:t>
      </w:r>
      <w:r w:rsidR="00826A8B">
        <w:rPr>
          <w:color w:val="000000"/>
        </w:rPr>
        <w:t xml:space="preserve"> is adequate</w:t>
      </w:r>
      <w:r w:rsidR="006F0A6D">
        <w:rPr>
          <w:color w:val="000000"/>
        </w:rPr>
        <w:t>.</w:t>
      </w:r>
      <w:r w:rsidR="006B0B91">
        <w:rPr>
          <w:color w:val="000000"/>
        </w:rPr>
        <w:t xml:space="preserve"> If</w:t>
      </w:r>
      <w:r w:rsidR="006B0B91">
        <w:t xml:space="preserve"> the general reserve fa</w:t>
      </w:r>
      <w:r w:rsidR="009032C9">
        <w:t>l</w:t>
      </w:r>
      <w:r w:rsidR="006B0B91">
        <w:t xml:space="preserve">ls below 3%, the </w:t>
      </w:r>
      <w:r w:rsidR="009F3A08">
        <w:t xml:space="preserve">Authority </w:t>
      </w:r>
      <w:r w:rsidR="006B0B91">
        <w:t xml:space="preserve">would </w:t>
      </w:r>
      <w:r w:rsidR="009F3A08">
        <w:t xml:space="preserve">look </w:t>
      </w:r>
      <w:r w:rsidR="005206F5">
        <w:t xml:space="preserve">to make appropriate plans in order </w:t>
      </w:r>
      <w:r w:rsidR="009F3A08">
        <w:t xml:space="preserve">to </w:t>
      </w:r>
      <w:r w:rsidR="006B0B91">
        <w:t>be replenish the level of the general reserves in the following year</w:t>
      </w:r>
      <w:r w:rsidR="005206F5">
        <w:t>.</w:t>
      </w:r>
    </w:p>
    <w:p w14:paraId="75FA14BA" w14:textId="3426C22B" w:rsidR="00005893" w:rsidRPr="00AE6BE1" w:rsidRDefault="008A1DB9" w:rsidP="00132D9E">
      <w:pPr>
        <w:autoSpaceDE w:val="0"/>
        <w:autoSpaceDN w:val="0"/>
        <w:adjustRightInd w:val="0"/>
        <w:spacing w:after="240"/>
        <w:ind w:left="425"/>
        <w:jc w:val="both"/>
        <w:rPr>
          <w:color w:val="000000"/>
        </w:rPr>
      </w:pPr>
      <w:r w:rsidRPr="00AE6BE1">
        <w:rPr>
          <w:color w:val="000000"/>
        </w:rPr>
        <w:t xml:space="preserve">The National Framework requires that any </w:t>
      </w:r>
      <w:r w:rsidR="002F2B85">
        <w:rPr>
          <w:color w:val="000000"/>
        </w:rPr>
        <w:t>G</w:t>
      </w:r>
      <w:r w:rsidRPr="00AE6BE1">
        <w:rPr>
          <w:color w:val="000000"/>
        </w:rPr>
        <w:t xml:space="preserve">eneral </w:t>
      </w:r>
      <w:r w:rsidR="002F2B85">
        <w:rPr>
          <w:color w:val="000000"/>
        </w:rPr>
        <w:t>R</w:t>
      </w:r>
      <w:r w:rsidRPr="00AE6BE1">
        <w:rPr>
          <w:color w:val="000000"/>
        </w:rPr>
        <w:t>eserve above 5% should be justified in the strategy document</w:t>
      </w:r>
      <w:r w:rsidR="005C15FF" w:rsidRPr="00AE6BE1">
        <w:rPr>
          <w:color w:val="000000"/>
        </w:rPr>
        <w:t>, in this context</w:t>
      </w:r>
      <w:r w:rsidRPr="00AE6BE1">
        <w:rPr>
          <w:color w:val="000000"/>
        </w:rPr>
        <w:t xml:space="preserve"> </w:t>
      </w:r>
      <w:r w:rsidR="005C15FF" w:rsidRPr="00AE6BE1">
        <w:rPr>
          <w:color w:val="000000"/>
        </w:rPr>
        <w:t>t</w:t>
      </w:r>
      <w:r w:rsidR="00522EF3" w:rsidRPr="00AE6BE1">
        <w:rPr>
          <w:color w:val="000000"/>
        </w:rPr>
        <w:t>he Authority plans to continue to operate within the 5% requirement.</w:t>
      </w:r>
    </w:p>
    <w:p w14:paraId="32E440DF" w14:textId="2E28AF62" w:rsidR="0029613B" w:rsidRPr="00AE6BE1" w:rsidRDefault="0080791A" w:rsidP="0029613B">
      <w:pPr>
        <w:autoSpaceDE w:val="0"/>
        <w:autoSpaceDN w:val="0"/>
        <w:adjustRightInd w:val="0"/>
        <w:spacing w:after="120"/>
        <w:ind w:left="426"/>
        <w:jc w:val="both"/>
        <w:rPr>
          <w:b/>
          <w:color w:val="000000"/>
        </w:rPr>
      </w:pPr>
      <w:r w:rsidRPr="00AE6BE1">
        <w:rPr>
          <w:b/>
          <w:color w:val="000000"/>
        </w:rPr>
        <w:t>Earmarked Reserves</w:t>
      </w:r>
    </w:p>
    <w:p w14:paraId="5E79C928" w14:textId="2F503E70" w:rsidR="0080791A" w:rsidRPr="00AE6BE1" w:rsidRDefault="0080791A" w:rsidP="00132D9E">
      <w:pPr>
        <w:autoSpaceDE w:val="0"/>
        <w:autoSpaceDN w:val="0"/>
        <w:adjustRightInd w:val="0"/>
        <w:spacing w:after="120"/>
        <w:ind w:left="426"/>
        <w:jc w:val="both"/>
        <w:rPr>
          <w:lang w:eastAsia="en-GB"/>
        </w:rPr>
      </w:pPr>
      <w:r w:rsidRPr="00AE6BE1">
        <w:rPr>
          <w:lang w:eastAsia="en-GB"/>
        </w:rPr>
        <w:t xml:space="preserve">The Authority has established specific reserves to manage key financial risks and to support the transformation of the </w:t>
      </w:r>
      <w:r w:rsidR="002745CB">
        <w:rPr>
          <w:lang w:eastAsia="en-GB"/>
        </w:rPr>
        <w:t>Authority</w:t>
      </w:r>
      <w:r w:rsidRPr="00AE6BE1">
        <w:rPr>
          <w:lang w:eastAsia="en-GB"/>
        </w:rPr>
        <w:t xml:space="preserve"> to ensure it is fit for the future.</w:t>
      </w:r>
    </w:p>
    <w:p w14:paraId="4F2367DA" w14:textId="7E4FDECB" w:rsidR="0080791A" w:rsidRPr="00AE6BE1" w:rsidRDefault="0080791A" w:rsidP="00132D9E">
      <w:pPr>
        <w:autoSpaceDE w:val="0"/>
        <w:autoSpaceDN w:val="0"/>
        <w:adjustRightInd w:val="0"/>
        <w:spacing w:after="120"/>
        <w:ind w:left="426"/>
        <w:jc w:val="both"/>
        <w:rPr>
          <w:lang w:eastAsia="en-GB"/>
        </w:rPr>
      </w:pPr>
      <w:r w:rsidRPr="00AE6BE1">
        <w:rPr>
          <w:lang w:eastAsia="en-GB"/>
        </w:rPr>
        <w:t xml:space="preserve">There are clear policies in place to set out how and when each </w:t>
      </w:r>
      <w:r w:rsidR="00161AE3">
        <w:rPr>
          <w:lang w:eastAsia="en-GB"/>
        </w:rPr>
        <w:t>E</w:t>
      </w:r>
      <w:r w:rsidRPr="00AE6BE1">
        <w:rPr>
          <w:lang w:eastAsia="en-GB"/>
        </w:rPr>
        <w:t xml:space="preserve">armarked </w:t>
      </w:r>
      <w:r w:rsidR="00161AE3">
        <w:rPr>
          <w:lang w:eastAsia="en-GB"/>
        </w:rPr>
        <w:t>R</w:t>
      </w:r>
      <w:r w:rsidRPr="00AE6BE1">
        <w:rPr>
          <w:lang w:eastAsia="en-GB"/>
        </w:rPr>
        <w:t xml:space="preserve">eserve can be used. </w:t>
      </w:r>
    </w:p>
    <w:p w14:paraId="546E0AD7" w14:textId="77777777" w:rsidR="0029613B" w:rsidRPr="00AE6BE1" w:rsidRDefault="0080791A" w:rsidP="00132D9E">
      <w:pPr>
        <w:autoSpaceDE w:val="0"/>
        <w:autoSpaceDN w:val="0"/>
        <w:adjustRightInd w:val="0"/>
        <w:spacing w:after="120"/>
        <w:ind w:left="425"/>
        <w:jc w:val="both"/>
        <w:rPr>
          <w:lang w:eastAsia="en-GB"/>
        </w:rPr>
      </w:pPr>
      <w:r w:rsidRPr="00AE6BE1">
        <w:rPr>
          <w:lang w:eastAsia="en-GB"/>
        </w:rPr>
        <w:t xml:space="preserve">This includes the requirement for the submission of a business case to support the </w:t>
      </w:r>
      <w:r w:rsidR="004C67EA" w:rsidRPr="00AE6BE1">
        <w:rPr>
          <w:lang w:eastAsia="en-GB"/>
        </w:rPr>
        <w:t xml:space="preserve">use </w:t>
      </w:r>
      <w:r w:rsidRPr="00AE6BE1">
        <w:rPr>
          <w:lang w:eastAsia="en-GB"/>
        </w:rPr>
        <w:t xml:space="preserve">of any Earmarked Reserve, which must be approved by the Commissioner on the advice of the Chief Finance Officer. </w:t>
      </w:r>
    </w:p>
    <w:p w14:paraId="4E7ABC2C" w14:textId="0CFD134E" w:rsidR="0029613B" w:rsidRPr="00AE6BE1" w:rsidRDefault="0080791A" w:rsidP="00132D9E">
      <w:pPr>
        <w:autoSpaceDE w:val="0"/>
        <w:autoSpaceDN w:val="0"/>
        <w:adjustRightInd w:val="0"/>
        <w:spacing w:after="120"/>
        <w:ind w:left="425"/>
        <w:jc w:val="both"/>
        <w:rPr>
          <w:lang w:eastAsia="en-GB"/>
        </w:rPr>
      </w:pPr>
      <w:r w:rsidRPr="00AE6BE1">
        <w:rPr>
          <w:lang w:eastAsia="en-GB"/>
        </w:rPr>
        <w:t>Each reserve is reviewed on a regular basis, at least annually</w:t>
      </w:r>
      <w:r w:rsidR="004C67EA" w:rsidRPr="00AE6BE1">
        <w:rPr>
          <w:lang w:eastAsia="en-GB"/>
        </w:rPr>
        <w:t xml:space="preserve">. Reviews </w:t>
      </w:r>
      <w:r w:rsidRPr="00AE6BE1">
        <w:rPr>
          <w:lang w:eastAsia="en-GB"/>
        </w:rPr>
        <w:t>of all reserves are also included as part of both the annual budge</w:t>
      </w:r>
      <w:r w:rsidR="006C42D1" w:rsidRPr="00AE6BE1">
        <w:rPr>
          <w:lang w:eastAsia="en-GB"/>
        </w:rPr>
        <w:t>t,</w:t>
      </w:r>
      <w:r w:rsidRPr="00AE6BE1">
        <w:rPr>
          <w:lang w:eastAsia="en-GB"/>
        </w:rPr>
        <w:t xml:space="preserve"> annual accounts</w:t>
      </w:r>
      <w:r w:rsidR="006C42D1" w:rsidRPr="00AE6BE1">
        <w:rPr>
          <w:lang w:eastAsia="en-GB"/>
        </w:rPr>
        <w:t xml:space="preserve"> and the Medium Term Financial </w:t>
      </w:r>
      <w:r w:rsidR="00B3489B" w:rsidRPr="00AE6BE1">
        <w:rPr>
          <w:lang w:eastAsia="en-GB"/>
        </w:rPr>
        <w:t>Strategy</w:t>
      </w:r>
      <w:r w:rsidR="006C42D1" w:rsidRPr="00AE6BE1">
        <w:rPr>
          <w:lang w:eastAsia="en-GB"/>
        </w:rPr>
        <w:t>.</w:t>
      </w:r>
    </w:p>
    <w:p w14:paraId="6511E783" w14:textId="61AE17F0" w:rsidR="007B5CD4" w:rsidRDefault="0004073B" w:rsidP="007B5CD4">
      <w:pPr>
        <w:autoSpaceDE w:val="0"/>
        <w:autoSpaceDN w:val="0"/>
        <w:adjustRightInd w:val="0"/>
        <w:ind w:left="426"/>
        <w:jc w:val="both"/>
      </w:pPr>
      <w:r w:rsidRPr="00AE6BE1">
        <w:t>The table below shows the current and future planned level of each</w:t>
      </w:r>
      <w:r w:rsidR="00006A7C" w:rsidRPr="00AE6BE1">
        <w:t xml:space="preserve"> </w:t>
      </w:r>
      <w:r w:rsidR="006C42D1" w:rsidRPr="00AE6BE1">
        <w:t>E</w:t>
      </w:r>
      <w:r w:rsidR="00006A7C" w:rsidRPr="00AE6BE1">
        <w:t>armarked</w:t>
      </w:r>
      <w:r w:rsidRPr="00AE6BE1">
        <w:t xml:space="preserve"> </w:t>
      </w:r>
      <w:r w:rsidR="002F2B85">
        <w:t>R</w:t>
      </w:r>
      <w:r w:rsidRPr="00AE6BE1">
        <w:t>eserve:</w:t>
      </w:r>
    </w:p>
    <w:p w14:paraId="1F0CC097" w14:textId="706CD7DD" w:rsidR="00D86702" w:rsidRDefault="00D86702" w:rsidP="007B5CD4">
      <w:pPr>
        <w:autoSpaceDE w:val="0"/>
        <w:autoSpaceDN w:val="0"/>
        <w:adjustRightInd w:val="0"/>
        <w:ind w:left="426"/>
        <w:jc w:val="both"/>
      </w:pPr>
      <w:r w:rsidRPr="00D86702">
        <w:rPr>
          <w:noProof/>
        </w:rPr>
        <w:drawing>
          <wp:inline distT="0" distB="0" distL="0" distR="0" wp14:anchorId="275671E8" wp14:editId="7319CB00">
            <wp:extent cx="6029960" cy="3522980"/>
            <wp:effectExtent l="0" t="0" r="8890" b="1270"/>
            <wp:docPr id="525432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9960" cy="3522980"/>
                    </a:xfrm>
                    <a:prstGeom prst="rect">
                      <a:avLst/>
                    </a:prstGeom>
                    <a:noFill/>
                    <a:ln>
                      <a:noFill/>
                    </a:ln>
                  </pic:spPr>
                </pic:pic>
              </a:graphicData>
            </a:graphic>
          </wp:inline>
        </w:drawing>
      </w:r>
    </w:p>
    <w:p w14:paraId="0CD90AFB" w14:textId="3B748F51" w:rsidR="00B81883" w:rsidRPr="00B81883" w:rsidRDefault="00B81883" w:rsidP="00292397">
      <w:pPr>
        <w:autoSpaceDE w:val="0"/>
        <w:autoSpaceDN w:val="0"/>
        <w:adjustRightInd w:val="0"/>
        <w:spacing w:after="120"/>
        <w:ind w:firstLine="425"/>
        <w:jc w:val="both"/>
        <w:rPr>
          <w:color w:val="000000"/>
          <w:sz w:val="16"/>
          <w:szCs w:val="16"/>
        </w:rPr>
      </w:pPr>
      <w:r w:rsidRPr="00B81883">
        <w:rPr>
          <w:sz w:val="16"/>
          <w:szCs w:val="16"/>
        </w:rPr>
        <w:t>*2022/23 Figures based on Unaudited Financial Statements</w:t>
      </w:r>
    </w:p>
    <w:p w14:paraId="2FE30121" w14:textId="03BCC661" w:rsidR="007B5CD4" w:rsidRPr="00022CF8" w:rsidRDefault="006C42D1" w:rsidP="006E67D8">
      <w:pPr>
        <w:autoSpaceDE w:val="0"/>
        <w:autoSpaceDN w:val="0"/>
        <w:adjustRightInd w:val="0"/>
        <w:spacing w:after="120"/>
        <w:ind w:left="425"/>
        <w:jc w:val="both"/>
      </w:pPr>
      <w:r w:rsidRPr="00022CF8">
        <w:t xml:space="preserve">The movements in the </w:t>
      </w:r>
      <w:r w:rsidR="00A95DBC" w:rsidRPr="00022CF8">
        <w:t>Earmarked</w:t>
      </w:r>
      <w:r w:rsidRPr="00022CF8">
        <w:t xml:space="preserve"> Reserves</w:t>
      </w:r>
      <w:r w:rsidR="00A95DBC" w:rsidRPr="00022CF8">
        <w:t xml:space="preserve"> for the year ending 31 March 202</w:t>
      </w:r>
      <w:r w:rsidR="00C46A73" w:rsidRPr="00022CF8">
        <w:t>4</w:t>
      </w:r>
      <w:r w:rsidR="00A95DBC" w:rsidRPr="00022CF8">
        <w:t xml:space="preserve">, are based on estimates made prior to </w:t>
      </w:r>
      <w:r w:rsidR="004238A6" w:rsidRPr="00022CF8">
        <w:t>year-end</w:t>
      </w:r>
      <w:r w:rsidR="00A95DBC" w:rsidRPr="00022CF8">
        <w:t xml:space="preserve">. </w:t>
      </w:r>
    </w:p>
    <w:p w14:paraId="2B4DE04C" w14:textId="77777777" w:rsidR="0005431D" w:rsidRDefault="0005431D" w:rsidP="00566F94">
      <w:pPr>
        <w:autoSpaceDE w:val="0"/>
        <w:autoSpaceDN w:val="0"/>
        <w:adjustRightInd w:val="0"/>
        <w:spacing w:after="120"/>
        <w:ind w:left="425"/>
        <w:jc w:val="both"/>
      </w:pPr>
    </w:p>
    <w:p w14:paraId="356BB109" w14:textId="37935C6F" w:rsidR="00BB64D3" w:rsidRDefault="00E11501" w:rsidP="00566F94">
      <w:pPr>
        <w:autoSpaceDE w:val="0"/>
        <w:autoSpaceDN w:val="0"/>
        <w:adjustRightInd w:val="0"/>
        <w:spacing w:after="120"/>
        <w:ind w:left="425"/>
        <w:jc w:val="both"/>
      </w:pPr>
      <w:r w:rsidRPr="00022CF8">
        <w:lastRenderedPageBreak/>
        <w:t xml:space="preserve">The comparatives </w:t>
      </w:r>
      <w:r w:rsidR="00C46085" w:rsidRPr="00022CF8">
        <w:t>in the table above,</w:t>
      </w:r>
      <w:r w:rsidRPr="00022CF8">
        <w:t xml:space="preserve"> show that Earmarked Reserves </w:t>
      </w:r>
      <w:r w:rsidR="00C46A73" w:rsidRPr="00022CF8">
        <w:rPr>
          <w:b/>
          <w:bCs/>
        </w:rPr>
        <w:t>are</w:t>
      </w:r>
      <w:r w:rsidRPr="00022CF8">
        <w:rPr>
          <w:b/>
          <w:bCs/>
        </w:rPr>
        <w:t xml:space="preserve"> £</w:t>
      </w:r>
      <w:r w:rsidR="00C46A73" w:rsidRPr="00022CF8">
        <w:rPr>
          <w:b/>
          <w:bCs/>
        </w:rPr>
        <w:t>0</w:t>
      </w:r>
      <w:r w:rsidR="00C46253" w:rsidRPr="00022CF8">
        <w:rPr>
          <w:b/>
          <w:bCs/>
        </w:rPr>
        <w:t>.</w:t>
      </w:r>
      <w:r w:rsidR="00C46A73" w:rsidRPr="00022CF8">
        <w:rPr>
          <w:b/>
          <w:bCs/>
        </w:rPr>
        <w:t>20</w:t>
      </w:r>
      <w:r w:rsidR="00BB64D3">
        <w:rPr>
          <w:b/>
          <w:bCs/>
        </w:rPr>
        <w:t>0</w:t>
      </w:r>
      <w:r w:rsidR="00B11FA4" w:rsidRPr="00022CF8">
        <w:rPr>
          <w:b/>
          <w:bCs/>
        </w:rPr>
        <w:t>m</w:t>
      </w:r>
      <w:r w:rsidRPr="00022CF8">
        <w:rPr>
          <w:b/>
          <w:bCs/>
        </w:rPr>
        <w:t xml:space="preserve"> higher</w:t>
      </w:r>
      <w:r w:rsidRPr="00022CF8">
        <w:t xml:space="preserve"> at 31 March 202</w:t>
      </w:r>
      <w:r w:rsidR="00C46A73" w:rsidRPr="00022CF8">
        <w:t>3</w:t>
      </w:r>
      <w:r w:rsidR="00C46085" w:rsidRPr="00022CF8">
        <w:t>, than forecast in the previous strategy</w:t>
      </w:r>
      <w:r w:rsidRPr="00022CF8">
        <w:t>. This</w:t>
      </w:r>
      <w:r w:rsidR="0026214B" w:rsidRPr="00022CF8">
        <w:t xml:space="preserve"> was </w:t>
      </w:r>
      <w:r w:rsidR="00566F94">
        <w:t xml:space="preserve">primarily due to </w:t>
      </w:r>
      <w:r w:rsidR="00974459">
        <w:t>£0.2</w:t>
      </w:r>
      <w:r w:rsidR="00CC3631">
        <w:t>3</w:t>
      </w:r>
      <w:r w:rsidR="009B5F00">
        <w:t xml:space="preserve">m </w:t>
      </w:r>
      <w:r w:rsidR="009A34F8">
        <w:t xml:space="preserve">of </w:t>
      </w:r>
      <w:r w:rsidR="009B5F00">
        <w:t>National Non-Do</w:t>
      </w:r>
      <w:r w:rsidR="000B0642">
        <w:t>mestic Rates</w:t>
      </w:r>
      <w:r w:rsidR="00F61BC6">
        <w:t xml:space="preserve"> Collection Reserves </w:t>
      </w:r>
      <w:r w:rsidR="00976BC6">
        <w:t>carried forward to offset future fluctuations in National Non-Domestic Rates deficits</w:t>
      </w:r>
      <w:r w:rsidR="009A34F8">
        <w:t>, that was not included in the prior projection.</w:t>
      </w:r>
    </w:p>
    <w:p w14:paraId="0BB999AE" w14:textId="78580968" w:rsidR="004E645A" w:rsidRPr="00BB64D3" w:rsidRDefault="004E745A" w:rsidP="00BB64D3">
      <w:pPr>
        <w:autoSpaceDE w:val="0"/>
        <w:autoSpaceDN w:val="0"/>
        <w:adjustRightInd w:val="0"/>
        <w:spacing w:after="120"/>
        <w:ind w:left="425"/>
        <w:jc w:val="both"/>
      </w:pPr>
      <w:r w:rsidRPr="00BB64D3">
        <w:t>Earmarked Reserves</w:t>
      </w:r>
      <w:r w:rsidR="00A338DE" w:rsidRPr="00BB64D3">
        <w:t xml:space="preserve"> projected at 31 March 202</w:t>
      </w:r>
      <w:r w:rsidR="00BB64D3" w:rsidRPr="00BB64D3">
        <w:t>4</w:t>
      </w:r>
      <w:r w:rsidR="00A338DE" w:rsidRPr="00BB64D3">
        <w:t xml:space="preserve"> </w:t>
      </w:r>
      <w:r w:rsidR="00E90FBF" w:rsidRPr="00BB64D3">
        <w:t xml:space="preserve">are </w:t>
      </w:r>
      <w:r w:rsidR="00A338DE" w:rsidRPr="00F75E25">
        <w:rPr>
          <w:b/>
          <w:bCs/>
        </w:rPr>
        <w:t>expected to be</w:t>
      </w:r>
      <w:r w:rsidR="00A338DE" w:rsidRPr="00BB64D3">
        <w:t xml:space="preserve"> </w:t>
      </w:r>
      <w:r w:rsidR="00A338DE" w:rsidRPr="00F75E25">
        <w:rPr>
          <w:b/>
          <w:bCs/>
        </w:rPr>
        <w:t>£</w:t>
      </w:r>
      <w:r w:rsidR="00C41717" w:rsidRPr="00F75E25">
        <w:rPr>
          <w:b/>
          <w:bCs/>
        </w:rPr>
        <w:t>0.</w:t>
      </w:r>
      <w:r w:rsidR="000822AC" w:rsidRPr="00F75E25">
        <w:rPr>
          <w:b/>
          <w:bCs/>
        </w:rPr>
        <w:t>224</w:t>
      </w:r>
      <w:r w:rsidR="00A338DE" w:rsidRPr="00F75E25">
        <w:rPr>
          <w:b/>
          <w:bCs/>
        </w:rPr>
        <w:t xml:space="preserve">m </w:t>
      </w:r>
      <w:r w:rsidR="00C41717" w:rsidRPr="00F75E25">
        <w:rPr>
          <w:b/>
          <w:bCs/>
        </w:rPr>
        <w:t>lower</w:t>
      </w:r>
      <w:r w:rsidR="004E645A" w:rsidRPr="00BB64D3">
        <w:t xml:space="preserve"> than </w:t>
      </w:r>
      <w:r w:rsidR="002573BE">
        <w:t xml:space="preserve">projected in the </w:t>
      </w:r>
      <w:r w:rsidR="004E645A" w:rsidRPr="00BB64D3">
        <w:t>previous</w:t>
      </w:r>
      <w:r w:rsidR="002573BE">
        <w:t xml:space="preserve"> Reserve</w:t>
      </w:r>
      <w:r w:rsidR="004E645A" w:rsidRPr="00BB64D3">
        <w:t xml:space="preserve"> strategy</w:t>
      </w:r>
      <w:r w:rsidR="00B5527E" w:rsidRPr="00BB64D3">
        <w:t>, which</w:t>
      </w:r>
      <w:r w:rsidR="00F31DB5" w:rsidRPr="00BB64D3">
        <w:t xml:space="preserve"> the key movements</w:t>
      </w:r>
      <w:r w:rsidR="00B5527E" w:rsidRPr="00BB64D3">
        <w:t xml:space="preserve"> compris</w:t>
      </w:r>
      <w:r w:rsidR="00F31DB5" w:rsidRPr="00BB64D3">
        <w:t>ing</w:t>
      </w:r>
      <w:r w:rsidR="00B5527E" w:rsidRPr="00BB64D3">
        <w:t xml:space="preserve"> of:</w:t>
      </w:r>
    </w:p>
    <w:p w14:paraId="606ECD82" w14:textId="1E56F6DD" w:rsidR="009526C5" w:rsidRDefault="009526C5" w:rsidP="006E3910">
      <w:pPr>
        <w:pStyle w:val="ListParagraph"/>
        <w:numPr>
          <w:ilvl w:val="0"/>
          <w:numId w:val="43"/>
        </w:numPr>
        <w:autoSpaceDE w:val="0"/>
        <w:autoSpaceDN w:val="0"/>
        <w:adjustRightInd w:val="0"/>
        <w:spacing w:after="120"/>
        <w:jc w:val="both"/>
        <w:rPr>
          <w:b/>
          <w:bCs/>
        </w:rPr>
      </w:pPr>
      <w:r>
        <w:rPr>
          <w:b/>
          <w:bCs/>
        </w:rPr>
        <w:t>£0.2</w:t>
      </w:r>
      <w:r w:rsidR="00F91A3C">
        <w:rPr>
          <w:b/>
          <w:bCs/>
        </w:rPr>
        <w:t>3</w:t>
      </w:r>
      <w:r>
        <w:rPr>
          <w:b/>
          <w:bCs/>
        </w:rPr>
        <w:t>m Earmarked Contingency Reserves:</w:t>
      </w:r>
    </w:p>
    <w:p w14:paraId="2F077C95" w14:textId="3DE80CAC" w:rsidR="005D6F0C" w:rsidRDefault="005D6F0C" w:rsidP="005D6F0C">
      <w:pPr>
        <w:pStyle w:val="ListParagraph"/>
        <w:numPr>
          <w:ilvl w:val="0"/>
          <w:numId w:val="46"/>
        </w:numPr>
        <w:autoSpaceDE w:val="0"/>
        <w:autoSpaceDN w:val="0"/>
        <w:adjustRightInd w:val="0"/>
        <w:spacing w:after="120"/>
        <w:jc w:val="both"/>
        <w:rPr>
          <w:b/>
          <w:bCs/>
        </w:rPr>
      </w:pPr>
      <w:r>
        <w:t>Additional</w:t>
      </w:r>
      <w:r w:rsidR="00E9715C">
        <w:t xml:space="preserve"> National Non-Domestic Rates Collection R</w:t>
      </w:r>
      <w:r>
        <w:t>eserves carried forward from 2022/23 as above.</w:t>
      </w:r>
    </w:p>
    <w:p w14:paraId="6EFEF85F" w14:textId="09493B4E" w:rsidR="006E3910" w:rsidRPr="009526C5" w:rsidRDefault="006E3910" w:rsidP="006E3910">
      <w:pPr>
        <w:pStyle w:val="ListParagraph"/>
        <w:numPr>
          <w:ilvl w:val="0"/>
          <w:numId w:val="43"/>
        </w:numPr>
        <w:autoSpaceDE w:val="0"/>
        <w:autoSpaceDN w:val="0"/>
        <w:adjustRightInd w:val="0"/>
        <w:spacing w:after="120"/>
        <w:jc w:val="both"/>
        <w:rPr>
          <w:b/>
          <w:bCs/>
        </w:rPr>
      </w:pPr>
      <w:r w:rsidRPr="009526C5">
        <w:rPr>
          <w:b/>
          <w:bCs/>
        </w:rPr>
        <w:t>(£0.</w:t>
      </w:r>
      <w:r w:rsidR="00AA3680">
        <w:rPr>
          <w:b/>
          <w:bCs/>
        </w:rPr>
        <w:t>57</w:t>
      </w:r>
      <w:r w:rsidRPr="009526C5">
        <w:rPr>
          <w:b/>
          <w:bCs/>
        </w:rPr>
        <w:t>m) Earmarked Reserves – Productivity:</w:t>
      </w:r>
    </w:p>
    <w:p w14:paraId="280EDB08" w14:textId="778B41EC" w:rsidR="00292397" w:rsidRPr="0005431D" w:rsidRDefault="00E870C4" w:rsidP="0005431D">
      <w:pPr>
        <w:pStyle w:val="ListParagraph"/>
        <w:numPr>
          <w:ilvl w:val="1"/>
          <w:numId w:val="43"/>
        </w:numPr>
        <w:autoSpaceDE w:val="0"/>
        <w:autoSpaceDN w:val="0"/>
        <w:adjustRightInd w:val="0"/>
        <w:spacing w:after="120"/>
        <w:jc w:val="both"/>
        <w:rPr>
          <w:rFonts w:eastAsia="Calibri"/>
          <w:b/>
        </w:rPr>
      </w:pPr>
      <w:r>
        <w:t xml:space="preserve">Additional use of the </w:t>
      </w:r>
      <w:r w:rsidR="002F55D0" w:rsidRPr="00AB57C8">
        <w:t xml:space="preserve">Innovation &amp; Transformation </w:t>
      </w:r>
      <w:r w:rsidR="004951D2">
        <w:t xml:space="preserve">Reserve to fund </w:t>
      </w:r>
      <w:r w:rsidR="00D170F6">
        <w:t xml:space="preserve">specific </w:t>
      </w:r>
      <w:r w:rsidR="004951D2">
        <w:t xml:space="preserve">one off specific </w:t>
      </w:r>
      <w:r w:rsidR="00EF3465">
        <w:t>cost</w:t>
      </w:r>
      <w:r w:rsidR="004951D2">
        <w:t>. This includes</w:t>
      </w:r>
      <w:r w:rsidR="00EC7E71">
        <w:t xml:space="preserve"> </w:t>
      </w:r>
      <w:r w:rsidR="004951D2">
        <w:t xml:space="preserve">funding the implementation costs of a </w:t>
      </w:r>
      <w:r w:rsidR="00EC7E71">
        <w:t xml:space="preserve">new </w:t>
      </w:r>
      <w:r w:rsidR="004951D2">
        <w:t>finance system</w:t>
      </w:r>
      <w:r w:rsidR="00D170F6">
        <w:t xml:space="preserve"> an</w:t>
      </w:r>
      <w:r w:rsidR="00C16800">
        <w:t xml:space="preserve">d </w:t>
      </w:r>
      <w:r w:rsidR="001204E4">
        <w:t>the funding o</w:t>
      </w:r>
      <w:r w:rsidR="00160172">
        <w:t>f</w:t>
      </w:r>
      <w:r w:rsidR="001204E4">
        <w:t xml:space="preserve"> the next phases of key property transformation </w:t>
      </w:r>
      <w:r w:rsidR="00EF48AC">
        <w:t xml:space="preserve">projects </w:t>
      </w:r>
      <w:r w:rsidR="00160172">
        <w:t>(</w:t>
      </w:r>
      <w:r w:rsidR="00390121" w:rsidRPr="002406C3">
        <w:rPr>
          <w:rFonts w:eastAsia="Calibri"/>
          <w:lang w:eastAsia="en-GB" w:bidi="en-GB"/>
        </w:rPr>
        <w:t>combined fleet workshop with Essex Police</w:t>
      </w:r>
      <w:r w:rsidR="00390121">
        <w:rPr>
          <w:rFonts w:eastAsia="Calibri"/>
          <w:lang w:eastAsia="en-GB" w:bidi="en-GB"/>
        </w:rPr>
        <w:t xml:space="preserve"> and </w:t>
      </w:r>
      <w:r w:rsidR="00160172">
        <w:rPr>
          <w:rFonts w:eastAsia="Calibri"/>
          <w:lang w:eastAsia="en-GB" w:bidi="en-GB"/>
        </w:rPr>
        <w:t>Hot Fire Training Facilities).</w:t>
      </w:r>
    </w:p>
    <w:p w14:paraId="08447D4E" w14:textId="1E75CB8E" w:rsidR="00517A0F" w:rsidRPr="00AE6BE1" w:rsidRDefault="0004073B" w:rsidP="00132D9E">
      <w:pPr>
        <w:autoSpaceDE w:val="0"/>
        <w:autoSpaceDN w:val="0"/>
        <w:adjustRightInd w:val="0"/>
        <w:spacing w:after="120"/>
        <w:ind w:left="425"/>
        <w:jc w:val="both"/>
      </w:pPr>
      <w:r w:rsidRPr="009A3F31">
        <w:t>The purpose for which each Earmarked Reserve is held is explained below</w:t>
      </w:r>
      <w:r w:rsidR="00167E77" w:rsidRPr="009A3F31">
        <w:t>:</w:t>
      </w:r>
    </w:p>
    <w:p w14:paraId="65781A53" w14:textId="1E0C4B27" w:rsidR="0004073B" w:rsidRPr="00AE6BE1" w:rsidRDefault="00517A0F" w:rsidP="00D86702">
      <w:pPr>
        <w:autoSpaceDE w:val="0"/>
        <w:autoSpaceDN w:val="0"/>
        <w:adjustRightInd w:val="0"/>
        <w:spacing w:before="240" w:after="120"/>
        <w:ind w:left="425"/>
        <w:jc w:val="both"/>
        <w:rPr>
          <w:b/>
          <w:bCs/>
          <w:i/>
          <w:iCs/>
          <w:u w:val="single"/>
        </w:rPr>
      </w:pPr>
      <w:r w:rsidRPr="00AE6BE1">
        <w:rPr>
          <w:b/>
          <w:bCs/>
          <w:i/>
          <w:iCs/>
          <w:u w:val="single"/>
        </w:rPr>
        <w:t>Earmarked Contingency Reserves:</w:t>
      </w:r>
    </w:p>
    <w:p w14:paraId="72859C1F" w14:textId="06959753" w:rsidR="00517A0F" w:rsidRPr="00AE6BE1" w:rsidRDefault="00517A0F" w:rsidP="00132D9E">
      <w:pPr>
        <w:autoSpaceDE w:val="0"/>
        <w:autoSpaceDN w:val="0"/>
        <w:adjustRightInd w:val="0"/>
        <w:spacing w:after="120"/>
        <w:ind w:left="425"/>
        <w:jc w:val="both"/>
        <w:rPr>
          <w:lang w:eastAsia="en-GB"/>
        </w:rPr>
      </w:pPr>
      <w:r w:rsidRPr="00AE6BE1">
        <w:rPr>
          <w:b/>
          <w:bCs/>
          <w:lang w:eastAsia="en-GB"/>
        </w:rPr>
        <w:t>Demand Pressures</w:t>
      </w:r>
      <w:r w:rsidRPr="00AE6BE1">
        <w:rPr>
          <w:lang w:eastAsia="en-GB"/>
        </w:rPr>
        <w:t xml:space="preserve"> – This reserve has been established to fund any exceptional in year costs that arise </w:t>
      </w:r>
      <w:r w:rsidR="00AB57C8">
        <w:rPr>
          <w:lang w:eastAsia="en-GB"/>
        </w:rPr>
        <w:t xml:space="preserve">due </w:t>
      </w:r>
      <w:r w:rsidRPr="00AE6BE1">
        <w:rPr>
          <w:lang w:eastAsia="en-GB"/>
        </w:rPr>
        <w:t>to increase in demand pressure resulting from major incidents.</w:t>
      </w:r>
    </w:p>
    <w:p w14:paraId="0055C85C" w14:textId="7D16D55A" w:rsidR="00517A0F" w:rsidRPr="00AE6BE1" w:rsidRDefault="00517A0F" w:rsidP="00132D9E">
      <w:pPr>
        <w:autoSpaceDE w:val="0"/>
        <w:autoSpaceDN w:val="0"/>
        <w:adjustRightInd w:val="0"/>
        <w:spacing w:after="120"/>
        <w:ind w:left="425"/>
        <w:jc w:val="both"/>
        <w:rPr>
          <w:lang w:eastAsia="en-GB"/>
        </w:rPr>
      </w:pPr>
      <w:r w:rsidRPr="00AE6BE1">
        <w:rPr>
          <w:b/>
          <w:bCs/>
          <w:lang w:eastAsia="en-GB"/>
        </w:rPr>
        <w:t>Tax base and Collection Account Reserve</w:t>
      </w:r>
      <w:r w:rsidRPr="00AE6BE1">
        <w:rPr>
          <w:lang w:eastAsia="en-GB"/>
        </w:rPr>
        <w:t xml:space="preserve"> – This reserve has been established to fund any unplanned fluctuations on the Council Tax Collection Account.</w:t>
      </w:r>
    </w:p>
    <w:p w14:paraId="33776EE0" w14:textId="7D38C3A2" w:rsidR="00517A0F" w:rsidRPr="00AE6BE1" w:rsidRDefault="00517A0F" w:rsidP="00132D9E">
      <w:pPr>
        <w:autoSpaceDE w:val="0"/>
        <w:autoSpaceDN w:val="0"/>
        <w:adjustRightInd w:val="0"/>
        <w:spacing w:after="120"/>
        <w:ind w:left="425"/>
        <w:jc w:val="both"/>
        <w:rPr>
          <w:lang w:eastAsia="en-GB"/>
        </w:rPr>
      </w:pPr>
      <w:r w:rsidRPr="00AE6BE1">
        <w:rPr>
          <w:b/>
          <w:bCs/>
          <w:lang w:eastAsia="en-GB"/>
        </w:rPr>
        <w:t>National Non-Domestic Rates Collection Reserve</w:t>
      </w:r>
      <w:r w:rsidRPr="00AE6BE1">
        <w:rPr>
          <w:lang w:eastAsia="en-GB"/>
        </w:rPr>
        <w:t xml:space="preserve"> </w:t>
      </w:r>
      <w:r w:rsidR="002E3110" w:rsidRPr="00AE6BE1">
        <w:rPr>
          <w:lang w:eastAsia="en-GB"/>
        </w:rPr>
        <w:t xml:space="preserve">– </w:t>
      </w:r>
      <w:r w:rsidRPr="00AE6BE1">
        <w:rPr>
          <w:lang w:eastAsia="en-GB"/>
        </w:rPr>
        <w:t>This reserve has been established to fund any unplanned fluctuations on the National Non-Domestic Rates Collection Account.</w:t>
      </w:r>
      <w:r w:rsidR="00675EDD" w:rsidRPr="00AE6BE1">
        <w:rPr>
          <w:lang w:eastAsia="en-GB"/>
        </w:rPr>
        <w:t xml:space="preserve"> </w:t>
      </w:r>
    </w:p>
    <w:p w14:paraId="36AE7FB0" w14:textId="5C53D5AE" w:rsidR="00517A0F" w:rsidRPr="00AE6BE1" w:rsidRDefault="00517A0F" w:rsidP="00132D9E">
      <w:pPr>
        <w:autoSpaceDE w:val="0"/>
        <w:autoSpaceDN w:val="0"/>
        <w:adjustRightInd w:val="0"/>
        <w:spacing w:after="120"/>
        <w:ind w:left="425"/>
        <w:jc w:val="both"/>
        <w:rPr>
          <w:lang w:eastAsia="en-GB"/>
        </w:rPr>
      </w:pPr>
      <w:r w:rsidRPr="00AE6BE1">
        <w:rPr>
          <w:b/>
          <w:bCs/>
          <w:lang w:eastAsia="en-GB"/>
        </w:rPr>
        <w:t>Risk Protection</w:t>
      </w:r>
      <w:r w:rsidRPr="00AE6BE1">
        <w:rPr>
          <w:lang w:eastAsia="en-GB"/>
        </w:rPr>
        <w:t xml:space="preserve"> – The purpose of this reserve is to fund any unknown legal or insurance exposures that may arise in the future.</w:t>
      </w:r>
    </w:p>
    <w:p w14:paraId="4C421E29" w14:textId="1612B067" w:rsidR="00517A0F" w:rsidRPr="00AE6BE1" w:rsidRDefault="00517A0F" w:rsidP="00D86702">
      <w:pPr>
        <w:autoSpaceDE w:val="0"/>
        <w:autoSpaceDN w:val="0"/>
        <w:adjustRightInd w:val="0"/>
        <w:spacing w:before="240" w:after="120"/>
        <w:ind w:left="425"/>
        <w:jc w:val="both"/>
        <w:rPr>
          <w:b/>
          <w:bCs/>
          <w:i/>
          <w:iCs/>
          <w:u w:val="single"/>
        </w:rPr>
      </w:pPr>
      <w:r w:rsidRPr="00AE6BE1">
        <w:rPr>
          <w:b/>
          <w:bCs/>
          <w:i/>
          <w:iCs/>
          <w:u w:val="single"/>
        </w:rPr>
        <w:t>Earmarked Reserves – Productivity:</w:t>
      </w:r>
    </w:p>
    <w:p w14:paraId="538840D7" w14:textId="4F51537B" w:rsidR="00517A0F" w:rsidRPr="00AE6BE1" w:rsidRDefault="00517A0F" w:rsidP="00132D9E">
      <w:pPr>
        <w:autoSpaceDE w:val="0"/>
        <w:autoSpaceDN w:val="0"/>
        <w:adjustRightInd w:val="0"/>
        <w:spacing w:after="120"/>
        <w:ind w:left="425"/>
        <w:jc w:val="both"/>
        <w:rPr>
          <w:color w:val="FF0000"/>
          <w:lang w:eastAsia="en-GB"/>
        </w:rPr>
      </w:pPr>
      <w:r w:rsidRPr="00AE6BE1">
        <w:rPr>
          <w:b/>
          <w:bCs/>
          <w:lang w:eastAsia="en-GB"/>
        </w:rPr>
        <w:t>On Call Support</w:t>
      </w:r>
      <w:r w:rsidRPr="00AE6BE1">
        <w:rPr>
          <w:lang w:eastAsia="en-GB"/>
        </w:rPr>
        <w:t xml:space="preserve"> – This is to support the On Call Development Programme, specifically targeting an improvement in recruitment and retention initiatives within this duty system.</w:t>
      </w:r>
    </w:p>
    <w:p w14:paraId="1A478BF5" w14:textId="7DFC7237" w:rsidR="00517A0F" w:rsidRPr="00AE6BE1" w:rsidRDefault="00517A0F" w:rsidP="00132D9E">
      <w:pPr>
        <w:autoSpaceDE w:val="0"/>
        <w:autoSpaceDN w:val="0"/>
        <w:adjustRightInd w:val="0"/>
        <w:spacing w:after="120"/>
        <w:ind w:left="425"/>
        <w:jc w:val="both"/>
        <w:rPr>
          <w:color w:val="FF0000"/>
          <w:lang w:eastAsia="en-GB"/>
        </w:rPr>
      </w:pPr>
      <w:r w:rsidRPr="00AE6BE1">
        <w:rPr>
          <w:b/>
          <w:bCs/>
          <w:lang w:eastAsia="en-GB"/>
        </w:rPr>
        <w:t xml:space="preserve">Invest to Save Reserve </w:t>
      </w:r>
      <w:r w:rsidRPr="00AE6BE1">
        <w:rPr>
          <w:lang w:eastAsia="en-GB"/>
        </w:rPr>
        <w:t xml:space="preserve">– </w:t>
      </w:r>
      <w:bookmarkStart w:id="4" w:name="_Hlk63365660"/>
      <w:r w:rsidRPr="00AE6BE1">
        <w:rPr>
          <w:lang w:eastAsia="en-GB"/>
        </w:rPr>
        <w:t>The purpose of this reserve is to enable managers to bid for in</w:t>
      </w:r>
      <w:r w:rsidRPr="00B566A4">
        <w:rPr>
          <w:lang w:eastAsia="en-GB"/>
        </w:rPr>
        <w:t>vestment funding for projects that would realise savings and efficiencies in future years.</w:t>
      </w:r>
      <w:bookmarkEnd w:id="4"/>
    </w:p>
    <w:p w14:paraId="45D0F0BF" w14:textId="0BAEF9F5" w:rsidR="001C765E" w:rsidRDefault="001C765E" w:rsidP="00A0056C">
      <w:pPr>
        <w:autoSpaceDE w:val="0"/>
        <w:autoSpaceDN w:val="0"/>
        <w:adjustRightInd w:val="0"/>
        <w:spacing w:after="240"/>
        <w:ind w:left="425"/>
        <w:jc w:val="both"/>
        <w:rPr>
          <w:lang w:eastAsia="en-GB"/>
        </w:rPr>
      </w:pPr>
      <w:r w:rsidRPr="00AE6BE1">
        <w:rPr>
          <w:b/>
          <w:bCs/>
          <w:lang w:eastAsia="en-GB"/>
        </w:rPr>
        <w:t>Innovation and Transformation Reserve</w:t>
      </w:r>
      <w:r w:rsidRPr="00AE6BE1">
        <w:rPr>
          <w:lang w:eastAsia="en-GB"/>
        </w:rPr>
        <w:t xml:space="preserve"> – This reserve has been established to fund innovation and transformation projects in line with the IRMP and the Fire &amp; Rescue Plan. </w:t>
      </w:r>
    </w:p>
    <w:p w14:paraId="45AECCD8" w14:textId="4C3DA0AF" w:rsidR="001C765E" w:rsidRPr="00AE6BE1" w:rsidRDefault="001C765E" w:rsidP="00132D9E">
      <w:pPr>
        <w:autoSpaceDE w:val="0"/>
        <w:autoSpaceDN w:val="0"/>
        <w:adjustRightInd w:val="0"/>
        <w:spacing w:after="120"/>
        <w:ind w:left="425"/>
        <w:jc w:val="both"/>
        <w:rPr>
          <w:b/>
          <w:bCs/>
          <w:i/>
          <w:iCs/>
          <w:u w:val="single"/>
        </w:rPr>
      </w:pPr>
      <w:r w:rsidRPr="00AE6BE1">
        <w:rPr>
          <w:b/>
          <w:bCs/>
          <w:i/>
          <w:iCs/>
          <w:u w:val="single"/>
        </w:rPr>
        <w:t>Earmarked Reserves – Specific Purpose:</w:t>
      </w:r>
    </w:p>
    <w:p w14:paraId="25AAC3A7" w14:textId="167B0C89" w:rsidR="0004073B" w:rsidRDefault="0004073B" w:rsidP="00132D9E">
      <w:pPr>
        <w:autoSpaceDE w:val="0"/>
        <w:autoSpaceDN w:val="0"/>
        <w:adjustRightInd w:val="0"/>
        <w:spacing w:after="120"/>
        <w:ind w:left="425"/>
        <w:jc w:val="both"/>
        <w:rPr>
          <w:lang w:eastAsia="en-GB"/>
        </w:rPr>
      </w:pPr>
      <w:r w:rsidRPr="00AE6BE1">
        <w:rPr>
          <w:b/>
          <w:bCs/>
          <w:lang w:eastAsia="en-GB"/>
        </w:rPr>
        <w:t>Unspent Government Grants</w:t>
      </w:r>
      <w:r w:rsidR="004F338D" w:rsidRPr="00AE6BE1">
        <w:rPr>
          <w:b/>
          <w:bCs/>
          <w:lang w:eastAsia="en-GB"/>
        </w:rPr>
        <w:t xml:space="preserve"> – Covid-19</w:t>
      </w:r>
      <w:r w:rsidR="006C42D1" w:rsidRPr="00AE6BE1">
        <w:rPr>
          <w:lang w:eastAsia="en-GB"/>
        </w:rPr>
        <w:t xml:space="preserve"> – This reserve reflects unspen</w:t>
      </w:r>
      <w:r w:rsidR="00A938F7" w:rsidRPr="00AE6BE1">
        <w:rPr>
          <w:lang w:eastAsia="en-GB"/>
        </w:rPr>
        <w:t xml:space="preserve">t </w:t>
      </w:r>
      <w:r w:rsidR="006C42D1" w:rsidRPr="00AE6BE1">
        <w:rPr>
          <w:lang w:eastAsia="en-GB"/>
        </w:rPr>
        <w:t>Government funding in respect to Covid 19 support.</w:t>
      </w:r>
    </w:p>
    <w:p w14:paraId="099CB200" w14:textId="011A5A00" w:rsidR="000B3EA8" w:rsidRPr="00AE6BE1" w:rsidRDefault="000B3EA8" w:rsidP="00AB1B74">
      <w:pPr>
        <w:autoSpaceDE w:val="0"/>
        <w:autoSpaceDN w:val="0"/>
        <w:adjustRightInd w:val="0"/>
        <w:spacing w:after="120"/>
        <w:ind w:left="425"/>
        <w:jc w:val="both"/>
        <w:rPr>
          <w:lang w:eastAsia="en-GB"/>
        </w:rPr>
      </w:pPr>
      <w:r w:rsidRPr="00AE6BE1">
        <w:rPr>
          <w:b/>
          <w:bCs/>
          <w:lang w:eastAsia="en-GB"/>
        </w:rPr>
        <w:lastRenderedPageBreak/>
        <w:t xml:space="preserve">Unspent Government Grants – </w:t>
      </w:r>
      <w:r>
        <w:rPr>
          <w:b/>
          <w:bCs/>
          <w:lang w:eastAsia="en-GB"/>
        </w:rPr>
        <w:t>Pension</w:t>
      </w:r>
      <w:r w:rsidRPr="00AE6BE1">
        <w:rPr>
          <w:lang w:eastAsia="en-GB"/>
        </w:rPr>
        <w:t xml:space="preserve"> – This reserve reflects </w:t>
      </w:r>
      <w:r>
        <w:rPr>
          <w:lang w:eastAsia="en-GB"/>
        </w:rPr>
        <w:t xml:space="preserve">specific </w:t>
      </w:r>
      <w:r w:rsidRPr="00AE6BE1">
        <w:rPr>
          <w:lang w:eastAsia="en-GB"/>
        </w:rPr>
        <w:t xml:space="preserve">unspent Government funding </w:t>
      </w:r>
      <w:r>
        <w:rPr>
          <w:lang w:eastAsia="en-GB"/>
        </w:rPr>
        <w:t xml:space="preserve">relating to </w:t>
      </w:r>
      <w:r w:rsidR="00AB1B74">
        <w:rPr>
          <w:lang w:eastAsia="en-GB"/>
        </w:rPr>
        <w:t>the pension administration grant.</w:t>
      </w:r>
    </w:p>
    <w:p w14:paraId="354A34A5" w14:textId="476ED58D" w:rsidR="0004073B" w:rsidRPr="00AE6BE1" w:rsidRDefault="0004073B" w:rsidP="00132D9E">
      <w:pPr>
        <w:autoSpaceDE w:val="0"/>
        <w:autoSpaceDN w:val="0"/>
        <w:adjustRightInd w:val="0"/>
        <w:spacing w:after="120"/>
        <w:ind w:left="425"/>
        <w:jc w:val="both"/>
        <w:rPr>
          <w:lang w:eastAsia="en-GB"/>
        </w:rPr>
      </w:pPr>
      <w:r w:rsidRPr="00AE6BE1">
        <w:rPr>
          <w:b/>
          <w:bCs/>
          <w:lang w:eastAsia="en-GB"/>
        </w:rPr>
        <w:t>Operation</w:t>
      </w:r>
      <w:r w:rsidR="00271548" w:rsidRPr="00AE6BE1">
        <w:rPr>
          <w:b/>
          <w:bCs/>
          <w:lang w:eastAsia="en-GB"/>
        </w:rPr>
        <w:t>al</w:t>
      </w:r>
      <w:r w:rsidRPr="00AE6BE1">
        <w:rPr>
          <w:b/>
          <w:bCs/>
          <w:lang w:eastAsia="en-GB"/>
        </w:rPr>
        <w:t xml:space="preserve"> Training Reserve</w:t>
      </w:r>
      <w:r w:rsidRPr="00AE6BE1">
        <w:rPr>
          <w:lang w:eastAsia="en-GB"/>
        </w:rPr>
        <w:t xml:space="preserve"> – This reserve has been established to support</w:t>
      </w:r>
      <w:r w:rsidR="004F338D" w:rsidRPr="00AE6BE1">
        <w:rPr>
          <w:lang w:eastAsia="en-GB"/>
        </w:rPr>
        <w:t xml:space="preserve"> investmen</w:t>
      </w:r>
      <w:r w:rsidR="0029613B" w:rsidRPr="00AE6BE1">
        <w:rPr>
          <w:lang w:eastAsia="en-GB"/>
        </w:rPr>
        <w:t>t</w:t>
      </w:r>
      <w:r w:rsidRPr="00AE6BE1">
        <w:rPr>
          <w:lang w:eastAsia="en-GB"/>
        </w:rPr>
        <w:t xml:space="preserve"> </w:t>
      </w:r>
      <w:r w:rsidR="004F338D" w:rsidRPr="00AE6BE1">
        <w:rPr>
          <w:lang w:eastAsia="en-GB"/>
        </w:rPr>
        <w:t>in o</w:t>
      </w:r>
      <w:r w:rsidRPr="00AE6BE1">
        <w:rPr>
          <w:lang w:eastAsia="en-GB"/>
        </w:rPr>
        <w:t xml:space="preserve">perational </w:t>
      </w:r>
      <w:r w:rsidR="004F338D" w:rsidRPr="00AE6BE1">
        <w:rPr>
          <w:lang w:eastAsia="en-GB"/>
        </w:rPr>
        <w:t>t</w:t>
      </w:r>
      <w:r w:rsidRPr="00AE6BE1">
        <w:rPr>
          <w:lang w:eastAsia="en-GB"/>
        </w:rPr>
        <w:t>raining</w:t>
      </w:r>
      <w:r w:rsidR="004F338D" w:rsidRPr="00AE6BE1">
        <w:rPr>
          <w:lang w:eastAsia="en-GB"/>
        </w:rPr>
        <w:t>.</w:t>
      </w:r>
    </w:p>
    <w:p w14:paraId="782FFAFB" w14:textId="182282E5" w:rsidR="0004073B" w:rsidRPr="00AE6BE1" w:rsidRDefault="0004073B" w:rsidP="00132D9E">
      <w:pPr>
        <w:autoSpaceDE w:val="0"/>
        <w:autoSpaceDN w:val="0"/>
        <w:adjustRightInd w:val="0"/>
        <w:spacing w:after="120"/>
        <w:ind w:left="425"/>
        <w:jc w:val="both"/>
        <w:rPr>
          <w:lang w:eastAsia="en-GB"/>
        </w:rPr>
      </w:pPr>
      <w:r w:rsidRPr="00AE6BE1">
        <w:rPr>
          <w:b/>
          <w:bCs/>
          <w:lang w:eastAsia="en-GB"/>
        </w:rPr>
        <w:t>Learning and Development Programme</w:t>
      </w:r>
      <w:r w:rsidRPr="00AE6BE1">
        <w:rPr>
          <w:lang w:eastAsia="en-GB"/>
        </w:rPr>
        <w:t xml:space="preserve"> – The reserve has been established to </w:t>
      </w:r>
      <w:r w:rsidR="004F338D" w:rsidRPr="00AE6BE1">
        <w:rPr>
          <w:lang w:eastAsia="en-GB"/>
        </w:rPr>
        <w:t>invest in structured l</w:t>
      </w:r>
      <w:r w:rsidRPr="00AE6BE1">
        <w:rPr>
          <w:lang w:eastAsia="en-GB"/>
        </w:rPr>
        <w:t xml:space="preserve">earning and </w:t>
      </w:r>
      <w:r w:rsidR="004F338D" w:rsidRPr="00AE6BE1">
        <w:rPr>
          <w:lang w:eastAsia="en-GB"/>
        </w:rPr>
        <w:t>d</w:t>
      </w:r>
      <w:r w:rsidRPr="00AE6BE1">
        <w:rPr>
          <w:lang w:eastAsia="en-GB"/>
        </w:rPr>
        <w:t xml:space="preserve">evelopment </w:t>
      </w:r>
      <w:r w:rsidR="004F338D" w:rsidRPr="00AE6BE1">
        <w:rPr>
          <w:lang w:eastAsia="en-GB"/>
        </w:rPr>
        <w:t>i</w:t>
      </w:r>
      <w:r w:rsidRPr="00AE6BE1">
        <w:rPr>
          <w:lang w:eastAsia="en-GB"/>
        </w:rPr>
        <w:t>nitiative</w:t>
      </w:r>
      <w:r w:rsidR="004F338D" w:rsidRPr="00AE6BE1">
        <w:rPr>
          <w:lang w:eastAsia="en-GB"/>
        </w:rPr>
        <w:t>s</w:t>
      </w:r>
      <w:r w:rsidRPr="00AE6BE1">
        <w:rPr>
          <w:lang w:eastAsia="en-GB"/>
        </w:rPr>
        <w:t>.</w:t>
      </w:r>
    </w:p>
    <w:p w14:paraId="4B94A28B" w14:textId="5562C9D2" w:rsidR="0004073B" w:rsidRPr="00AE6BE1" w:rsidRDefault="001C765E" w:rsidP="00132D9E">
      <w:pPr>
        <w:autoSpaceDE w:val="0"/>
        <w:autoSpaceDN w:val="0"/>
        <w:adjustRightInd w:val="0"/>
        <w:spacing w:after="120"/>
        <w:ind w:left="425"/>
        <w:jc w:val="both"/>
        <w:rPr>
          <w:lang w:eastAsia="en-GB"/>
        </w:rPr>
      </w:pPr>
      <w:r w:rsidRPr="00AE6BE1">
        <w:rPr>
          <w:b/>
          <w:bCs/>
          <w:lang w:eastAsia="en-GB"/>
        </w:rPr>
        <w:t xml:space="preserve">Community Safety Programme – Sprinkler Support </w:t>
      </w:r>
      <w:r w:rsidRPr="00AE6BE1">
        <w:rPr>
          <w:lang w:eastAsia="en-GB"/>
        </w:rPr>
        <w:t>– The purpose of this is to support the retro fitting of sprinklers in high rise premises in Essex.</w:t>
      </w:r>
    </w:p>
    <w:p w14:paraId="2A3B1DED" w14:textId="40B7112D" w:rsidR="004238A6" w:rsidRPr="0078761F" w:rsidRDefault="0004073B" w:rsidP="0078761F">
      <w:pPr>
        <w:autoSpaceDE w:val="0"/>
        <w:autoSpaceDN w:val="0"/>
        <w:adjustRightInd w:val="0"/>
        <w:spacing w:after="240"/>
        <w:ind w:left="425"/>
        <w:jc w:val="both"/>
        <w:rPr>
          <w:lang w:eastAsia="en-GB"/>
        </w:rPr>
      </w:pPr>
      <w:r w:rsidRPr="00AE6BE1">
        <w:rPr>
          <w:b/>
          <w:bCs/>
          <w:lang w:eastAsia="en-GB"/>
        </w:rPr>
        <w:t>LGPS Deficit</w:t>
      </w:r>
      <w:r w:rsidRPr="00AE6BE1">
        <w:rPr>
          <w:lang w:eastAsia="en-GB"/>
        </w:rPr>
        <w:t xml:space="preserve"> – This reserve has been established to Fund the LGPS Deficit</w:t>
      </w:r>
      <w:r w:rsidR="00B029C1" w:rsidRPr="00AE6BE1">
        <w:rPr>
          <w:lang w:eastAsia="en-GB"/>
        </w:rPr>
        <w:t>.</w:t>
      </w:r>
    </w:p>
    <w:p w14:paraId="0DC99DEA" w14:textId="147E64B9" w:rsidR="001377C8" w:rsidRPr="00F70187" w:rsidRDefault="0080791A" w:rsidP="00132D9E">
      <w:pPr>
        <w:autoSpaceDE w:val="0"/>
        <w:autoSpaceDN w:val="0"/>
        <w:adjustRightInd w:val="0"/>
        <w:spacing w:after="120"/>
        <w:ind w:left="426"/>
        <w:jc w:val="both"/>
        <w:rPr>
          <w:b/>
          <w:color w:val="000000"/>
          <w:u w:val="single"/>
        </w:rPr>
      </w:pPr>
      <w:r w:rsidRPr="00F70187">
        <w:rPr>
          <w:b/>
          <w:u w:val="single"/>
          <w:lang w:eastAsia="en-GB"/>
        </w:rPr>
        <w:t>Capital Receipts Reserve</w:t>
      </w:r>
    </w:p>
    <w:p w14:paraId="6436A3A7" w14:textId="7C6A9B3C" w:rsidR="00C509DB" w:rsidRPr="00AE6BE1" w:rsidRDefault="0080791A" w:rsidP="00132D9E">
      <w:pPr>
        <w:autoSpaceDE w:val="0"/>
        <w:autoSpaceDN w:val="0"/>
        <w:adjustRightInd w:val="0"/>
        <w:spacing w:after="120"/>
        <w:ind w:left="426"/>
        <w:jc w:val="both"/>
        <w:rPr>
          <w:lang w:eastAsia="en-GB"/>
        </w:rPr>
      </w:pPr>
      <w:r w:rsidRPr="00AE6BE1">
        <w:rPr>
          <w:lang w:eastAsia="en-GB"/>
        </w:rPr>
        <w:t xml:space="preserve">Capital Receipts </w:t>
      </w:r>
      <w:r w:rsidR="00C509DB" w:rsidRPr="00AE6BE1">
        <w:rPr>
          <w:lang w:eastAsia="en-GB"/>
        </w:rPr>
        <w:t xml:space="preserve">are </w:t>
      </w:r>
      <w:r w:rsidRPr="00AE6BE1">
        <w:rPr>
          <w:lang w:eastAsia="en-GB"/>
        </w:rPr>
        <w:t>generated from the sale of surplus assets</w:t>
      </w:r>
      <w:r w:rsidR="00C509DB" w:rsidRPr="00AE6BE1">
        <w:rPr>
          <w:lang w:eastAsia="en-GB"/>
        </w:rPr>
        <w:t>.</w:t>
      </w:r>
    </w:p>
    <w:p w14:paraId="1F313182" w14:textId="27040766" w:rsidR="00C509DB" w:rsidRPr="00AE6BE1" w:rsidRDefault="00C509DB" w:rsidP="00132D9E">
      <w:pPr>
        <w:autoSpaceDE w:val="0"/>
        <w:autoSpaceDN w:val="0"/>
        <w:adjustRightInd w:val="0"/>
        <w:spacing w:after="120"/>
        <w:ind w:left="426"/>
        <w:jc w:val="both"/>
        <w:rPr>
          <w:lang w:eastAsia="en-GB"/>
        </w:rPr>
      </w:pPr>
      <w:r w:rsidRPr="00AE6BE1">
        <w:rPr>
          <w:lang w:eastAsia="en-GB"/>
        </w:rPr>
        <w:t xml:space="preserve">The use of the Capital Receipts Reserve is governed by </w:t>
      </w:r>
      <w:r w:rsidR="004238A6" w:rsidRPr="00AE6BE1">
        <w:rPr>
          <w:lang w:eastAsia="en-GB"/>
        </w:rPr>
        <w:t>regulations,</w:t>
      </w:r>
      <w:r w:rsidRPr="00AE6BE1">
        <w:rPr>
          <w:lang w:eastAsia="en-GB"/>
        </w:rPr>
        <w:t xml:space="preserve"> and they can only be spent on:</w:t>
      </w:r>
    </w:p>
    <w:p w14:paraId="3D451B06" w14:textId="72A17313" w:rsidR="00C509DB" w:rsidRPr="00AE6BE1" w:rsidRDefault="00C509DB" w:rsidP="00132D9E">
      <w:pPr>
        <w:numPr>
          <w:ilvl w:val="0"/>
          <w:numId w:val="33"/>
        </w:numPr>
        <w:autoSpaceDE w:val="0"/>
        <w:autoSpaceDN w:val="0"/>
        <w:adjustRightInd w:val="0"/>
        <w:spacing w:after="120"/>
        <w:ind w:left="1134" w:hanging="357"/>
        <w:contextualSpacing/>
        <w:jc w:val="both"/>
        <w:rPr>
          <w:lang w:eastAsia="en-GB"/>
        </w:rPr>
      </w:pPr>
      <w:r w:rsidRPr="00AE6BE1">
        <w:rPr>
          <w:lang w:eastAsia="en-GB"/>
        </w:rPr>
        <w:t xml:space="preserve">Capital Financing of new </w:t>
      </w:r>
      <w:r w:rsidR="00E265FC" w:rsidRPr="00AE6BE1">
        <w:rPr>
          <w:lang w:eastAsia="en-GB"/>
        </w:rPr>
        <w:t>expenditure</w:t>
      </w:r>
    </w:p>
    <w:p w14:paraId="1F2A8402" w14:textId="140B3ABE" w:rsidR="00C509DB" w:rsidRPr="00AE6BE1" w:rsidRDefault="00C509DB" w:rsidP="00132D9E">
      <w:pPr>
        <w:numPr>
          <w:ilvl w:val="0"/>
          <w:numId w:val="33"/>
        </w:numPr>
        <w:autoSpaceDE w:val="0"/>
        <w:autoSpaceDN w:val="0"/>
        <w:adjustRightInd w:val="0"/>
        <w:spacing w:after="120"/>
        <w:ind w:left="1134" w:hanging="357"/>
        <w:contextualSpacing/>
        <w:jc w:val="both"/>
        <w:rPr>
          <w:lang w:eastAsia="en-GB"/>
        </w:rPr>
      </w:pPr>
      <w:r w:rsidRPr="00AE6BE1">
        <w:rPr>
          <w:lang w:eastAsia="en-GB"/>
        </w:rPr>
        <w:t xml:space="preserve">Repayment of </w:t>
      </w:r>
      <w:r w:rsidR="00C800A0">
        <w:rPr>
          <w:lang w:eastAsia="en-GB"/>
        </w:rPr>
        <w:t>d</w:t>
      </w:r>
      <w:r w:rsidRPr="00AE6BE1">
        <w:rPr>
          <w:lang w:eastAsia="en-GB"/>
        </w:rPr>
        <w:t>ebt</w:t>
      </w:r>
    </w:p>
    <w:p w14:paraId="3521BAE0" w14:textId="1C6BEA17" w:rsidR="00DB49BD" w:rsidRPr="00AE6BE1" w:rsidRDefault="00C509DB" w:rsidP="00132D9E">
      <w:pPr>
        <w:numPr>
          <w:ilvl w:val="0"/>
          <w:numId w:val="33"/>
        </w:numPr>
        <w:autoSpaceDE w:val="0"/>
        <w:autoSpaceDN w:val="0"/>
        <w:adjustRightInd w:val="0"/>
        <w:spacing w:after="120"/>
        <w:ind w:left="1134" w:hanging="357"/>
        <w:jc w:val="both"/>
        <w:rPr>
          <w:bCs/>
          <w:color w:val="000000"/>
        </w:rPr>
      </w:pPr>
      <w:r w:rsidRPr="00AE6BE1">
        <w:rPr>
          <w:lang w:eastAsia="en-GB"/>
        </w:rPr>
        <w:t>Funding the costs of disposals</w:t>
      </w:r>
    </w:p>
    <w:p w14:paraId="3E62698A" w14:textId="70B6942E" w:rsidR="00DB49BD" w:rsidRPr="00AE6BE1" w:rsidRDefault="0004073B" w:rsidP="00132D9E">
      <w:pPr>
        <w:autoSpaceDE w:val="0"/>
        <w:autoSpaceDN w:val="0"/>
        <w:adjustRightInd w:val="0"/>
        <w:spacing w:after="120"/>
        <w:ind w:left="426"/>
        <w:jc w:val="both"/>
        <w:rPr>
          <w:bCs/>
          <w:color w:val="000000"/>
        </w:rPr>
      </w:pPr>
      <w:r w:rsidRPr="00AE6BE1">
        <w:t>T</w:t>
      </w:r>
      <w:r w:rsidR="00A47E2B" w:rsidRPr="00AE6BE1">
        <w:t>he table below shows the current and future planned level of the Capital Receipts Reserve:</w:t>
      </w:r>
    </w:p>
    <w:tbl>
      <w:tblPr>
        <w:tblW w:w="9639" w:type="dxa"/>
        <w:tblInd w:w="-5" w:type="dxa"/>
        <w:tblLook w:val="04A0" w:firstRow="1" w:lastRow="0" w:firstColumn="1" w:lastColumn="0" w:noHBand="0" w:noVBand="1"/>
      </w:tblPr>
      <w:tblGrid>
        <w:gridCol w:w="2551"/>
        <w:gridCol w:w="1418"/>
        <w:gridCol w:w="1417"/>
        <w:gridCol w:w="1418"/>
        <w:gridCol w:w="1417"/>
        <w:gridCol w:w="1418"/>
      </w:tblGrid>
      <w:tr w:rsidR="002A3465" w:rsidRPr="00AE6BE1" w14:paraId="77405BAD" w14:textId="77777777" w:rsidTr="0074174A">
        <w:trPr>
          <w:trHeight w:val="1536"/>
        </w:trPr>
        <w:tc>
          <w:tcPr>
            <w:tcW w:w="2551" w:type="dxa"/>
            <w:tcBorders>
              <w:top w:val="single" w:sz="4" w:space="0" w:color="auto"/>
              <w:left w:val="single" w:sz="4" w:space="0" w:color="auto"/>
              <w:bottom w:val="single" w:sz="8" w:space="0" w:color="auto"/>
              <w:right w:val="nil"/>
            </w:tcBorders>
            <w:shd w:val="clear" w:color="000000" w:fill="BDD7EE"/>
            <w:vAlign w:val="center"/>
            <w:hideMark/>
          </w:tcPr>
          <w:p w14:paraId="25AE9412" w14:textId="0DD93F5D" w:rsidR="002A3465" w:rsidRPr="00AE6BE1" w:rsidRDefault="002A3465" w:rsidP="002A3465">
            <w:pPr>
              <w:rPr>
                <w:b/>
                <w:bCs/>
                <w:sz w:val="22"/>
                <w:szCs w:val="22"/>
                <w:lang w:eastAsia="en-GB"/>
              </w:rPr>
            </w:pPr>
            <w:r w:rsidRPr="00AE6BE1">
              <w:rPr>
                <w:b/>
                <w:bCs/>
                <w:sz w:val="22"/>
                <w:szCs w:val="22"/>
                <w:lang w:eastAsia="en-GB"/>
              </w:rPr>
              <w:t xml:space="preserve">Capital Receipts Reserve (CRR) </w:t>
            </w:r>
          </w:p>
        </w:tc>
        <w:tc>
          <w:tcPr>
            <w:tcW w:w="1418" w:type="dxa"/>
            <w:tcBorders>
              <w:top w:val="single" w:sz="4" w:space="0" w:color="auto"/>
              <w:left w:val="nil"/>
              <w:bottom w:val="single" w:sz="8" w:space="0" w:color="auto"/>
              <w:right w:val="nil"/>
            </w:tcBorders>
            <w:shd w:val="clear" w:color="000000" w:fill="BDD7EE"/>
            <w:vAlign w:val="center"/>
            <w:hideMark/>
          </w:tcPr>
          <w:p w14:paraId="357337A7" w14:textId="24B97870" w:rsidR="002A3465" w:rsidRPr="00AE6BE1" w:rsidRDefault="00CA2603" w:rsidP="002A3465">
            <w:pPr>
              <w:jc w:val="center"/>
              <w:rPr>
                <w:b/>
                <w:bCs/>
                <w:sz w:val="22"/>
                <w:szCs w:val="22"/>
                <w:lang w:eastAsia="en-GB"/>
              </w:rPr>
            </w:pPr>
            <w:r>
              <w:rPr>
                <w:b/>
                <w:bCs/>
                <w:sz w:val="22"/>
                <w:szCs w:val="22"/>
                <w:lang w:eastAsia="en-GB"/>
              </w:rPr>
              <w:t>Actual</w:t>
            </w:r>
            <w:r w:rsidR="002A3465" w:rsidRPr="00AE6BE1">
              <w:rPr>
                <w:b/>
                <w:bCs/>
                <w:sz w:val="22"/>
                <w:szCs w:val="22"/>
                <w:lang w:eastAsia="en-GB"/>
              </w:rPr>
              <w:t xml:space="preserve"> Balance at 31 March 202</w:t>
            </w:r>
            <w:r w:rsidR="004A2F9E">
              <w:rPr>
                <w:b/>
                <w:bCs/>
                <w:sz w:val="22"/>
                <w:szCs w:val="22"/>
                <w:lang w:eastAsia="en-GB"/>
              </w:rPr>
              <w:t>3</w:t>
            </w:r>
            <w:r w:rsidR="00D16738">
              <w:rPr>
                <w:b/>
                <w:bCs/>
                <w:sz w:val="22"/>
                <w:szCs w:val="22"/>
                <w:lang w:eastAsia="en-GB"/>
              </w:rPr>
              <w:t>*</w:t>
            </w:r>
            <w:r w:rsidR="002A3465" w:rsidRPr="00AE6BE1">
              <w:rPr>
                <w:b/>
                <w:bCs/>
                <w:sz w:val="22"/>
                <w:szCs w:val="22"/>
                <w:lang w:eastAsia="en-GB"/>
              </w:rPr>
              <w:br/>
              <w:t>£000</w:t>
            </w:r>
            <w:r w:rsidR="001B24C6" w:rsidRPr="00AE6BE1">
              <w:rPr>
                <w:b/>
                <w:bCs/>
                <w:sz w:val="22"/>
                <w:szCs w:val="22"/>
                <w:lang w:eastAsia="en-GB"/>
              </w:rPr>
              <w:t>’</w:t>
            </w:r>
            <w:r w:rsidR="002A3465" w:rsidRPr="00AE6BE1">
              <w:rPr>
                <w:b/>
                <w:bCs/>
                <w:sz w:val="22"/>
                <w:szCs w:val="22"/>
                <w:lang w:eastAsia="en-GB"/>
              </w:rPr>
              <w:t>s</w:t>
            </w:r>
          </w:p>
        </w:tc>
        <w:tc>
          <w:tcPr>
            <w:tcW w:w="1417" w:type="dxa"/>
            <w:tcBorders>
              <w:top w:val="single" w:sz="4" w:space="0" w:color="auto"/>
              <w:left w:val="nil"/>
              <w:bottom w:val="single" w:sz="8" w:space="0" w:color="auto"/>
              <w:right w:val="nil"/>
            </w:tcBorders>
            <w:shd w:val="clear" w:color="000000" w:fill="BDD7EE"/>
            <w:vAlign w:val="center"/>
            <w:hideMark/>
          </w:tcPr>
          <w:p w14:paraId="202AD597" w14:textId="4D05CB71" w:rsidR="002A3465" w:rsidRPr="00AE6BE1" w:rsidRDefault="002A3465" w:rsidP="002A3465">
            <w:pPr>
              <w:jc w:val="center"/>
              <w:rPr>
                <w:b/>
                <w:bCs/>
                <w:sz w:val="22"/>
                <w:szCs w:val="22"/>
                <w:lang w:eastAsia="en-GB"/>
              </w:rPr>
            </w:pPr>
            <w:r w:rsidRPr="00AE6BE1">
              <w:rPr>
                <w:b/>
                <w:bCs/>
                <w:sz w:val="22"/>
                <w:szCs w:val="22"/>
                <w:lang w:eastAsia="en-GB"/>
              </w:rPr>
              <w:t>Projected Balance at 31 March 202</w:t>
            </w:r>
            <w:r w:rsidR="004A2F9E">
              <w:rPr>
                <w:b/>
                <w:bCs/>
                <w:sz w:val="22"/>
                <w:szCs w:val="22"/>
                <w:lang w:eastAsia="en-GB"/>
              </w:rPr>
              <w:t>4</w:t>
            </w:r>
            <w:r w:rsidRPr="00AE6BE1">
              <w:rPr>
                <w:b/>
                <w:bCs/>
                <w:sz w:val="22"/>
                <w:szCs w:val="22"/>
                <w:lang w:eastAsia="en-GB"/>
              </w:rPr>
              <w:br/>
              <w:t>£000</w:t>
            </w:r>
            <w:r w:rsidR="001B24C6" w:rsidRPr="00AE6BE1">
              <w:rPr>
                <w:b/>
                <w:bCs/>
                <w:sz w:val="22"/>
                <w:szCs w:val="22"/>
                <w:lang w:eastAsia="en-GB"/>
              </w:rPr>
              <w:t>’</w:t>
            </w:r>
            <w:r w:rsidRPr="00AE6BE1">
              <w:rPr>
                <w:b/>
                <w:bCs/>
                <w:sz w:val="22"/>
                <w:szCs w:val="22"/>
                <w:lang w:eastAsia="en-GB"/>
              </w:rPr>
              <w:t>s</w:t>
            </w:r>
          </w:p>
        </w:tc>
        <w:tc>
          <w:tcPr>
            <w:tcW w:w="1418" w:type="dxa"/>
            <w:tcBorders>
              <w:top w:val="single" w:sz="4" w:space="0" w:color="auto"/>
              <w:left w:val="nil"/>
              <w:bottom w:val="single" w:sz="8" w:space="0" w:color="auto"/>
              <w:right w:val="nil"/>
            </w:tcBorders>
            <w:shd w:val="clear" w:color="000000" w:fill="BDD7EE"/>
            <w:vAlign w:val="center"/>
            <w:hideMark/>
          </w:tcPr>
          <w:p w14:paraId="2650C61E" w14:textId="15B48C29" w:rsidR="002A3465" w:rsidRPr="00AE6BE1" w:rsidRDefault="002A3465" w:rsidP="002A3465">
            <w:pPr>
              <w:jc w:val="center"/>
              <w:rPr>
                <w:b/>
                <w:bCs/>
                <w:sz w:val="22"/>
                <w:szCs w:val="22"/>
                <w:lang w:eastAsia="en-GB"/>
              </w:rPr>
            </w:pPr>
            <w:r w:rsidRPr="00AE6BE1">
              <w:rPr>
                <w:b/>
                <w:bCs/>
                <w:sz w:val="22"/>
                <w:szCs w:val="22"/>
                <w:lang w:eastAsia="en-GB"/>
              </w:rPr>
              <w:t>Projected Balance at 31 March 202</w:t>
            </w:r>
            <w:r w:rsidR="004A2F9E">
              <w:rPr>
                <w:b/>
                <w:bCs/>
                <w:sz w:val="22"/>
                <w:szCs w:val="22"/>
                <w:lang w:eastAsia="en-GB"/>
              </w:rPr>
              <w:t>5</w:t>
            </w:r>
            <w:r w:rsidRPr="00AE6BE1">
              <w:rPr>
                <w:b/>
                <w:bCs/>
                <w:sz w:val="22"/>
                <w:szCs w:val="22"/>
                <w:lang w:eastAsia="en-GB"/>
              </w:rPr>
              <w:br/>
              <w:t>£000</w:t>
            </w:r>
            <w:r w:rsidR="001B24C6" w:rsidRPr="00AE6BE1">
              <w:rPr>
                <w:b/>
                <w:bCs/>
                <w:sz w:val="22"/>
                <w:szCs w:val="22"/>
                <w:lang w:eastAsia="en-GB"/>
              </w:rPr>
              <w:t>’</w:t>
            </w:r>
            <w:r w:rsidRPr="00AE6BE1">
              <w:rPr>
                <w:b/>
                <w:bCs/>
                <w:sz w:val="22"/>
                <w:szCs w:val="22"/>
                <w:lang w:eastAsia="en-GB"/>
              </w:rPr>
              <w:t>s</w:t>
            </w:r>
          </w:p>
        </w:tc>
        <w:tc>
          <w:tcPr>
            <w:tcW w:w="1417" w:type="dxa"/>
            <w:tcBorders>
              <w:top w:val="single" w:sz="4" w:space="0" w:color="auto"/>
              <w:left w:val="nil"/>
              <w:bottom w:val="single" w:sz="8" w:space="0" w:color="auto"/>
              <w:right w:val="nil"/>
            </w:tcBorders>
            <w:shd w:val="clear" w:color="000000" w:fill="BDD7EE"/>
            <w:vAlign w:val="center"/>
            <w:hideMark/>
          </w:tcPr>
          <w:p w14:paraId="03CD3296" w14:textId="06527B80" w:rsidR="002A3465" w:rsidRPr="00AE6BE1" w:rsidRDefault="002A3465" w:rsidP="002A3465">
            <w:pPr>
              <w:jc w:val="center"/>
              <w:rPr>
                <w:b/>
                <w:bCs/>
                <w:sz w:val="22"/>
                <w:szCs w:val="22"/>
                <w:lang w:eastAsia="en-GB"/>
              </w:rPr>
            </w:pPr>
            <w:r w:rsidRPr="00AE6BE1">
              <w:rPr>
                <w:b/>
                <w:bCs/>
                <w:sz w:val="22"/>
                <w:szCs w:val="22"/>
                <w:lang w:eastAsia="en-GB"/>
              </w:rPr>
              <w:t>Projected Balance at 31 March 202</w:t>
            </w:r>
            <w:r w:rsidR="004A2F9E">
              <w:rPr>
                <w:b/>
                <w:bCs/>
                <w:sz w:val="22"/>
                <w:szCs w:val="22"/>
                <w:lang w:eastAsia="en-GB"/>
              </w:rPr>
              <w:t>6</w:t>
            </w:r>
            <w:r w:rsidRPr="00AE6BE1">
              <w:rPr>
                <w:b/>
                <w:bCs/>
                <w:sz w:val="22"/>
                <w:szCs w:val="22"/>
                <w:lang w:eastAsia="en-GB"/>
              </w:rPr>
              <w:br/>
              <w:t>£000</w:t>
            </w:r>
            <w:r w:rsidR="001B24C6" w:rsidRPr="00AE6BE1">
              <w:rPr>
                <w:b/>
                <w:bCs/>
                <w:sz w:val="22"/>
                <w:szCs w:val="22"/>
                <w:lang w:eastAsia="en-GB"/>
              </w:rPr>
              <w:t>’</w:t>
            </w:r>
            <w:r w:rsidRPr="00AE6BE1">
              <w:rPr>
                <w:b/>
                <w:bCs/>
                <w:sz w:val="22"/>
                <w:szCs w:val="22"/>
                <w:lang w:eastAsia="en-GB"/>
              </w:rPr>
              <w:t>s</w:t>
            </w:r>
          </w:p>
        </w:tc>
        <w:tc>
          <w:tcPr>
            <w:tcW w:w="1418" w:type="dxa"/>
            <w:tcBorders>
              <w:top w:val="single" w:sz="4" w:space="0" w:color="auto"/>
              <w:left w:val="nil"/>
              <w:bottom w:val="single" w:sz="8" w:space="0" w:color="auto"/>
              <w:right w:val="single" w:sz="4" w:space="0" w:color="auto"/>
            </w:tcBorders>
            <w:shd w:val="clear" w:color="000000" w:fill="BDD7EE"/>
            <w:vAlign w:val="center"/>
            <w:hideMark/>
          </w:tcPr>
          <w:p w14:paraId="721A551E" w14:textId="50266ADB" w:rsidR="002A3465" w:rsidRPr="00AE6BE1" w:rsidRDefault="002A3465" w:rsidP="002A3465">
            <w:pPr>
              <w:jc w:val="center"/>
              <w:rPr>
                <w:b/>
                <w:bCs/>
                <w:sz w:val="22"/>
                <w:szCs w:val="22"/>
                <w:lang w:eastAsia="en-GB"/>
              </w:rPr>
            </w:pPr>
            <w:r w:rsidRPr="00AE6BE1">
              <w:rPr>
                <w:b/>
                <w:bCs/>
                <w:sz w:val="22"/>
                <w:szCs w:val="22"/>
                <w:lang w:eastAsia="en-GB"/>
              </w:rPr>
              <w:t>Projected Balance at 31 March 202</w:t>
            </w:r>
            <w:r w:rsidR="004A2F9E">
              <w:rPr>
                <w:b/>
                <w:bCs/>
                <w:sz w:val="22"/>
                <w:szCs w:val="22"/>
                <w:lang w:eastAsia="en-GB"/>
              </w:rPr>
              <w:t>7</w:t>
            </w:r>
            <w:r w:rsidRPr="00AE6BE1">
              <w:rPr>
                <w:b/>
                <w:bCs/>
                <w:sz w:val="22"/>
                <w:szCs w:val="22"/>
                <w:lang w:eastAsia="en-GB"/>
              </w:rPr>
              <w:br/>
              <w:t>£000</w:t>
            </w:r>
            <w:r w:rsidR="001B24C6" w:rsidRPr="00AE6BE1">
              <w:rPr>
                <w:b/>
                <w:bCs/>
                <w:sz w:val="22"/>
                <w:szCs w:val="22"/>
                <w:lang w:eastAsia="en-GB"/>
              </w:rPr>
              <w:t>’</w:t>
            </w:r>
            <w:r w:rsidRPr="00AE6BE1">
              <w:rPr>
                <w:b/>
                <w:bCs/>
                <w:sz w:val="22"/>
                <w:szCs w:val="22"/>
                <w:lang w:eastAsia="en-GB"/>
              </w:rPr>
              <w:t>s</w:t>
            </w:r>
          </w:p>
        </w:tc>
      </w:tr>
      <w:tr w:rsidR="00391472" w:rsidRPr="00AE6BE1" w14:paraId="394A555A" w14:textId="77777777" w:rsidTr="0074174A">
        <w:trPr>
          <w:trHeight w:hRule="exact" w:val="309"/>
        </w:trPr>
        <w:tc>
          <w:tcPr>
            <w:tcW w:w="2551" w:type="dxa"/>
            <w:tcBorders>
              <w:top w:val="nil"/>
              <w:left w:val="single" w:sz="4" w:space="0" w:color="auto"/>
              <w:bottom w:val="nil"/>
              <w:right w:val="single" w:sz="4" w:space="0" w:color="auto"/>
            </w:tcBorders>
            <w:shd w:val="clear" w:color="000000" w:fill="FFFFFF"/>
            <w:noWrap/>
            <w:vAlign w:val="center"/>
            <w:hideMark/>
          </w:tcPr>
          <w:p w14:paraId="7B09FEBE" w14:textId="68A63040" w:rsidR="00391472" w:rsidRPr="00AE6BE1" w:rsidRDefault="00391472" w:rsidP="00391472">
            <w:pPr>
              <w:rPr>
                <w:b/>
                <w:bCs/>
                <w:color w:val="000000"/>
                <w:sz w:val="22"/>
                <w:szCs w:val="22"/>
                <w:lang w:eastAsia="en-GB"/>
              </w:rPr>
            </w:pPr>
            <w:r w:rsidRPr="00AE6BE1">
              <w:rPr>
                <w:b/>
                <w:bCs/>
                <w:color w:val="000000"/>
                <w:sz w:val="22"/>
                <w:szCs w:val="22"/>
                <w:lang w:eastAsia="en-GB"/>
              </w:rPr>
              <w:t>CRR Opening Balance</w:t>
            </w:r>
          </w:p>
        </w:tc>
        <w:tc>
          <w:tcPr>
            <w:tcW w:w="1418" w:type="dxa"/>
            <w:tcBorders>
              <w:top w:val="nil"/>
              <w:left w:val="nil"/>
              <w:bottom w:val="nil"/>
              <w:right w:val="single" w:sz="4" w:space="0" w:color="auto"/>
            </w:tcBorders>
            <w:shd w:val="clear" w:color="000000" w:fill="FFFFFF"/>
            <w:noWrap/>
          </w:tcPr>
          <w:p w14:paraId="497ECBD0" w14:textId="3547701A" w:rsidR="00391472" w:rsidRPr="00391472" w:rsidRDefault="00391472" w:rsidP="00391472">
            <w:pPr>
              <w:jc w:val="right"/>
              <w:rPr>
                <w:sz w:val="22"/>
                <w:szCs w:val="22"/>
              </w:rPr>
            </w:pPr>
            <w:r w:rsidRPr="00391472">
              <w:rPr>
                <w:sz w:val="22"/>
                <w:szCs w:val="22"/>
              </w:rPr>
              <w:t>13,152</w:t>
            </w:r>
          </w:p>
        </w:tc>
        <w:tc>
          <w:tcPr>
            <w:tcW w:w="1417" w:type="dxa"/>
            <w:tcBorders>
              <w:top w:val="nil"/>
              <w:left w:val="nil"/>
              <w:bottom w:val="nil"/>
              <w:right w:val="single" w:sz="4" w:space="0" w:color="auto"/>
            </w:tcBorders>
            <w:shd w:val="clear" w:color="000000" w:fill="FFFFFF"/>
            <w:noWrap/>
          </w:tcPr>
          <w:p w14:paraId="205DD018" w14:textId="1064E8A6" w:rsidR="00391472" w:rsidRPr="00391472" w:rsidRDefault="00391472" w:rsidP="00391472">
            <w:pPr>
              <w:jc w:val="right"/>
              <w:rPr>
                <w:sz w:val="22"/>
                <w:szCs w:val="22"/>
              </w:rPr>
            </w:pPr>
            <w:r w:rsidRPr="00391472">
              <w:rPr>
                <w:sz w:val="22"/>
                <w:szCs w:val="22"/>
              </w:rPr>
              <w:t>15,740</w:t>
            </w:r>
          </w:p>
        </w:tc>
        <w:tc>
          <w:tcPr>
            <w:tcW w:w="1418" w:type="dxa"/>
            <w:tcBorders>
              <w:top w:val="nil"/>
              <w:left w:val="nil"/>
              <w:bottom w:val="nil"/>
              <w:right w:val="single" w:sz="4" w:space="0" w:color="auto"/>
            </w:tcBorders>
            <w:shd w:val="clear" w:color="000000" w:fill="FFFFFF"/>
            <w:noWrap/>
          </w:tcPr>
          <w:p w14:paraId="4A04E0EA" w14:textId="0569D3B3" w:rsidR="00391472" w:rsidRPr="00391472" w:rsidRDefault="00391472" w:rsidP="00391472">
            <w:pPr>
              <w:jc w:val="right"/>
              <w:rPr>
                <w:sz w:val="22"/>
                <w:szCs w:val="22"/>
              </w:rPr>
            </w:pPr>
            <w:r w:rsidRPr="00391472">
              <w:rPr>
                <w:sz w:val="22"/>
                <w:szCs w:val="22"/>
              </w:rPr>
              <w:t>12,256</w:t>
            </w:r>
          </w:p>
        </w:tc>
        <w:tc>
          <w:tcPr>
            <w:tcW w:w="1417" w:type="dxa"/>
            <w:tcBorders>
              <w:top w:val="nil"/>
              <w:left w:val="nil"/>
              <w:bottom w:val="nil"/>
              <w:right w:val="single" w:sz="4" w:space="0" w:color="auto"/>
            </w:tcBorders>
            <w:shd w:val="clear" w:color="000000" w:fill="FFFFFF"/>
            <w:noWrap/>
          </w:tcPr>
          <w:p w14:paraId="383553B0" w14:textId="22ADF183" w:rsidR="00391472" w:rsidRPr="00391472" w:rsidRDefault="00391472" w:rsidP="00391472">
            <w:pPr>
              <w:jc w:val="right"/>
              <w:rPr>
                <w:sz w:val="22"/>
                <w:szCs w:val="22"/>
              </w:rPr>
            </w:pPr>
            <w:r w:rsidRPr="00391472">
              <w:rPr>
                <w:sz w:val="22"/>
                <w:szCs w:val="22"/>
              </w:rPr>
              <w:t>10,456</w:t>
            </w:r>
          </w:p>
        </w:tc>
        <w:tc>
          <w:tcPr>
            <w:tcW w:w="1418" w:type="dxa"/>
            <w:tcBorders>
              <w:top w:val="nil"/>
              <w:left w:val="nil"/>
              <w:bottom w:val="nil"/>
              <w:right w:val="single" w:sz="4" w:space="0" w:color="auto"/>
            </w:tcBorders>
            <w:shd w:val="clear" w:color="000000" w:fill="FFFFFF"/>
            <w:noWrap/>
          </w:tcPr>
          <w:p w14:paraId="70D8693E" w14:textId="3C355AF0" w:rsidR="00391472" w:rsidRPr="00391472" w:rsidRDefault="00391472" w:rsidP="00391472">
            <w:pPr>
              <w:jc w:val="right"/>
              <w:rPr>
                <w:sz w:val="22"/>
                <w:szCs w:val="22"/>
              </w:rPr>
            </w:pPr>
            <w:r w:rsidRPr="00391472">
              <w:rPr>
                <w:sz w:val="22"/>
                <w:szCs w:val="22"/>
              </w:rPr>
              <w:t>6,206</w:t>
            </w:r>
          </w:p>
        </w:tc>
      </w:tr>
      <w:tr w:rsidR="00391472" w:rsidRPr="00AE6BE1" w14:paraId="7F4E679F" w14:textId="77777777" w:rsidTr="0074174A">
        <w:trPr>
          <w:trHeight w:hRule="exact" w:val="309"/>
        </w:trPr>
        <w:tc>
          <w:tcPr>
            <w:tcW w:w="2551" w:type="dxa"/>
            <w:tcBorders>
              <w:top w:val="nil"/>
              <w:left w:val="single" w:sz="4" w:space="0" w:color="auto"/>
              <w:bottom w:val="nil"/>
              <w:right w:val="single" w:sz="4" w:space="0" w:color="auto"/>
            </w:tcBorders>
            <w:shd w:val="clear" w:color="000000" w:fill="FFFFFF"/>
            <w:noWrap/>
            <w:vAlign w:val="center"/>
            <w:hideMark/>
          </w:tcPr>
          <w:p w14:paraId="73B931D6" w14:textId="77777777" w:rsidR="00391472" w:rsidRPr="00AE6BE1" w:rsidRDefault="00391472" w:rsidP="00391472">
            <w:pPr>
              <w:rPr>
                <w:color w:val="000000"/>
                <w:sz w:val="22"/>
                <w:szCs w:val="22"/>
                <w:lang w:eastAsia="en-GB"/>
              </w:rPr>
            </w:pPr>
            <w:r w:rsidRPr="00AE6BE1">
              <w:rPr>
                <w:color w:val="000000"/>
                <w:sz w:val="22"/>
                <w:szCs w:val="22"/>
                <w:lang w:eastAsia="en-GB"/>
              </w:rPr>
              <w:t>Sale of Assets</w:t>
            </w:r>
          </w:p>
        </w:tc>
        <w:tc>
          <w:tcPr>
            <w:tcW w:w="1418" w:type="dxa"/>
            <w:tcBorders>
              <w:top w:val="nil"/>
              <w:left w:val="nil"/>
              <w:bottom w:val="nil"/>
              <w:right w:val="single" w:sz="4" w:space="0" w:color="auto"/>
            </w:tcBorders>
            <w:shd w:val="clear" w:color="000000" w:fill="FFFFFF"/>
            <w:noWrap/>
          </w:tcPr>
          <w:p w14:paraId="22B9DE46" w14:textId="4A4ADAAC" w:rsidR="00391472" w:rsidRPr="00391472" w:rsidRDefault="00391472" w:rsidP="00391472">
            <w:pPr>
              <w:jc w:val="right"/>
              <w:rPr>
                <w:sz w:val="22"/>
                <w:szCs w:val="22"/>
              </w:rPr>
            </w:pPr>
            <w:r w:rsidRPr="00391472">
              <w:rPr>
                <w:sz w:val="22"/>
                <w:szCs w:val="22"/>
              </w:rPr>
              <w:t>2,920</w:t>
            </w:r>
          </w:p>
        </w:tc>
        <w:tc>
          <w:tcPr>
            <w:tcW w:w="1417" w:type="dxa"/>
            <w:tcBorders>
              <w:top w:val="nil"/>
              <w:left w:val="nil"/>
              <w:bottom w:val="nil"/>
              <w:right w:val="single" w:sz="4" w:space="0" w:color="auto"/>
            </w:tcBorders>
            <w:shd w:val="clear" w:color="000000" w:fill="FFFFFF"/>
            <w:noWrap/>
          </w:tcPr>
          <w:p w14:paraId="4F90DCE6" w14:textId="73E01191" w:rsidR="00391472" w:rsidRPr="00391472" w:rsidRDefault="00391472" w:rsidP="00391472">
            <w:pPr>
              <w:jc w:val="right"/>
              <w:rPr>
                <w:sz w:val="22"/>
                <w:szCs w:val="22"/>
              </w:rPr>
            </w:pPr>
            <w:r w:rsidRPr="00391472">
              <w:rPr>
                <w:sz w:val="22"/>
                <w:szCs w:val="22"/>
              </w:rPr>
              <w:t>649</w:t>
            </w:r>
          </w:p>
        </w:tc>
        <w:tc>
          <w:tcPr>
            <w:tcW w:w="1418" w:type="dxa"/>
            <w:tcBorders>
              <w:top w:val="nil"/>
              <w:left w:val="nil"/>
              <w:bottom w:val="nil"/>
              <w:right w:val="single" w:sz="4" w:space="0" w:color="auto"/>
            </w:tcBorders>
            <w:shd w:val="clear" w:color="000000" w:fill="FFFFFF"/>
            <w:noWrap/>
          </w:tcPr>
          <w:p w14:paraId="0377499C" w14:textId="52F6E538" w:rsidR="00391472" w:rsidRPr="0069418C" w:rsidRDefault="00391472" w:rsidP="00391472">
            <w:pPr>
              <w:jc w:val="right"/>
              <w:rPr>
                <w:color w:val="000000"/>
                <w:sz w:val="22"/>
                <w:szCs w:val="22"/>
                <w:lang w:eastAsia="en-GB"/>
              </w:rPr>
            </w:pPr>
            <w:r w:rsidRPr="0069418C">
              <w:rPr>
                <w:sz w:val="22"/>
                <w:szCs w:val="22"/>
              </w:rPr>
              <w:t xml:space="preserve">-   </w:t>
            </w:r>
          </w:p>
        </w:tc>
        <w:tc>
          <w:tcPr>
            <w:tcW w:w="1417" w:type="dxa"/>
            <w:tcBorders>
              <w:top w:val="nil"/>
              <w:left w:val="nil"/>
              <w:bottom w:val="nil"/>
              <w:right w:val="single" w:sz="4" w:space="0" w:color="auto"/>
            </w:tcBorders>
            <w:shd w:val="clear" w:color="000000" w:fill="FFFFFF"/>
            <w:noWrap/>
          </w:tcPr>
          <w:p w14:paraId="124FA849" w14:textId="55B5B4A2" w:rsidR="00391472" w:rsidRPr="0069418C" w:rsidRDefault="00391472" w:rsidP="00391472">
            <w:pPr>
              <w:jc w:val="right"/>
              <w:rPr>
                <w:color w:val="000000"/>
                <w:sz w:val="22"/>
                <w:szCs w:val="22"/>
                <w:lang w:eastAsia="en-GB"/>
              </w:rPr>
            </w:pPr>
            <w:r w:rsidRPr="0069418C">
              <w:rPr>
                <w:sz w:val="22"/>
                <w:szCs w:val="22"/>
              </w:rPr>
              <w:t xml:space="preserve"> -   </w:t>
            </w:r>
          </w:p>
        </w:tc>
        <w:tc>
          <w:tcPr>
            <w:tcW w:w="1418" w:type="dxa"/>
            <w:tcBorders>
              <w:top w:val="nil"/>
              <w:left w:val="nil"/>
              <w:bottom w:val="nil"/>
              <w:right w:val="single" w:sz="4" w:space="0" w:color="auto"/>
            </w:tcBorders>
            <w:shd w:val="clear" w:color="000000" w:fill="FFFFFF"/>
            <w:noWrap/>
          </w:tcPr>
          <w:p w14:paraId="14F7BE5B" w14:textId="36DF8A63" w:rsidR="00391472" w:rsidRPr="0069418C" w:rsidRDefault="00391472" w:rsidP="00391472">
            <w:pPr>
              <w:jc w:val="right"/>
              <w:rPr>
                <w:color w:val="000000"/>
                <w:sz w:val="22"/>
                <w:szCs w:val="22"/>
                <w:lang w:eastAsia="en-GB"/>
              </w:rPr>
            </w:pPr>
            <w:r w:rsidRPr="0069418C">
              <w:rPr>
                <w:sz w:val="22"/>
                <w:szCs w:val="22"/>
              </w:rPr>
              <w:t xml:space="preserve"> -   </w:t>
            </w:r>
          </w:p>
        </w:tc>
      </w:tr>
      <w:tr w:rsidR="00EE39FB" w:rsidRPr="00AE6BE1" w14:paraId="2BEC4151" w14:textId="77777777" w:rsidTr="0074174A">
        <w:trPr>
          <w:trHeight w:hRule="exact" w:val="309"/>
        </w:trPr>
        <w:tc>
          <w:tcPr>
            <w:tcW w:w="2551" w:type="dxa"/>
            <w:tcBorders>
              <w:top w:val="nil"/>
              <w:left w:val="single" w:sz="4" w:space="0" w:color="auto"/>
              <w:bottom w:val="nil"/>
              <w:right w:val="single" w:sz="4" w:space="0" w:color="auto"/>
            </w:tcBorders>
            <w:shd w:val="clear" w:color="000000" w:fill="FFFFFF"/>
            <w:noWrap/>
            <w:vAlign w:val="center"/>
            <w:hideMark/>
          </w:tcPr>
          <w:p w14:paraId="7DEA324C" w14:textId="77777777" w:rsidR="00EE39FB" w:rsidRPr="00AE6BE1" w:rsidRDefault="00EE39FB" w:rsidP="00EE39FB">
            <w:pPr>
              <w:rPr>
                <w:color w:val="000000"/>
                <w:sz w:val="22"/>
                <w:szCs w:val="22"/>
                <w:lang w:eastAsia="en-GB"/>
              </w:rPr>
            </w:pPr>
            <w:r w:rsidRPr="00AE6BE1">
              <w:rPr>
                <w:color w:val="000000"/>
                <w:sz w:val="22"/>
                <w:szCs w:val="22"/>
                <w:lang w:eastAsia="en-GB"/>
              </w:rPr>
              <w:t>Utilised in Year</w:t>
            </w:r>
          </w:p>
        </w:tc>
        <w:tc>
          <w:tcPr>
            <w:tcW w:w="1418" w:type="dxa"/>
            <w:tcBorders>
              <w:top w:val="nil"/>
              <w:left w:val="nil"/>
              <w:bottom w:val="single" w:sz="4" w:space="0" w:color="auto"/>
              <w:right w:val="single" w:sz="4" w:space="0" w:color="auto"/>
            </w:tcBorders>
            <w:shd w:val="clear" w:color="000000" w:fill="FFFFFF"/>
            <w:noWrap/>
          </w:tcPr>
          <w:p w14:paraId="1C989169" w14:textId="67280FFB" w:rsidR="00EE39FB" w:rsidRPr="00EE39FB" w:rsidRDefault="00EE39FB" w:rsidP="00EE39FB">
            <w:pPr>
              <w:jc w:val="right"/>
              <w:rPr>
                <w:sz w:val="22"/>
                <w:szCs w:val="22"/>
              </w:rPr>
            </w:pPr>
            <w:r w:rsidRPr="00EE39FB">
              <w:rPr>
                <w:sz w:val="22"/>
                <w:szCs w:val="22"/>
              </w:rPr>
              <w:t>(332)</w:t>
            </w:r>
          </w:p>
        </w:tc>
        <w:tc>
          <w:tcPr>
            <w:tcW w:w="1417" w:type="dxa"/>
            <w:tcBorders>
              <w:top w:val="nil"/>
              <w:left w:val="nil"/>
              <w:bottom w:val="single" w:sz="4" w:space="0" w:color="auto"/>
              <w:right w:val="single" w:sz="4" w:space="0" w:color="auto"/>
            </w:tcBorders>
            <w:shd w:val="clear" w:color="000000" w:fill="FFFFFF"/>
            <w:noWrap/>
          </w:tcPr>
          <w:p w14:paraId="240F301B" w14:textId="418A40B1" w:rsidR="00EE39FB" w:rsidRPr="00EE39FB" w:rsidRDefault="00EE39FB" w:rsidP="00EE39FB">
            <w:pPr>
              <w:jc w:val="right"/>
              <w:rPr>
                <w:sz w:val="22"/>
                <w:szCs w:val="22"/>
              </w:rPr>
            </w:pPr>
            <w:r w:rsidRPr="00EE39FB">
              <w:rPr>
                <w:sz w:val="22"/>
                <w:szCs w:val="22"/>
              </w:rPr>
              <w:t>(4,133)</w:t>
            </w:r>
          </w:p>
        </w:tc>
        <w:tc>
          <w:tcPr>
            <w:tcW w:w="1418" w:type="dxa"/>
            <w:tcBorders>
              <w:top w:val="nil"/>
              <w:left w:val="nil"/>
              <w:bottom w:val="nil"/>
              <w:right w:val="single" w:sz="4" w:space="0" w:color="auto"/>
            </w:tcBorders>
            <w:shd w:val="clear" w:color="000000" w:fill="FFFFFF"/>
            <w:noWrap/>
          </w:tcPr>
          <w:p w14:paraId="75B52FCE" w14:textId="1497F758" w:rsidR="00EE39FB" w:rsidRPr="00EE39FB" w:rsidRDefault="00EE39FB" w:rsidP="00EE39FB">
            <w:pPr>
              <w:jc w:val="right"/>
              <w:rPr>
                <w:sz w:val="22"/>
                <w:szCs w:val="22"/>
              </w:rPr>
            </w:pPr>
            <w:r w:rsidRPr="00EE39FB">
              <w:rPr>
                <w:sz w:val="22"/>
                <w:szCs w:val="22"/>
              </w:rPr>
              <w:t>(1,800)</w:t>
            </w:r>
          </w:p>
        </w:tc>
        <w:tc>
          <w:tcPr>
            <w:tcW w:w="1417" w:type="dxa"/>
            <w:tcBorders>
              <w:top w:val="nil"/>
              <w:left w:val="nil"/>
              <w:bottom w:val="nil"/>
              <w:right w:val="single" w:sz="4" w:space="0" w:color="auto"/>
            </w:tcBorders>
            <w:shd w:val="clear" w:color="000000" w:fill="FFFFFF"/>
            <w:noWrap/>
          </w:tcPr>
          <w:p w14:paraId="42F7F449" w14:textId="713F48F2" w:rsidR="00EE39FB" w:rsidRPr="00EE39FB" w:rsidRDefault="00EE39FB" w:rsidP="00EE39FB">
            <w:pPr>
              <w:jc w:val="right"/>
              <w:rPr>
                <w:sz w:val="22"/>
                <w:szCs w:val="22"/>
              </w:rPr>
            </w:pPr>
            <w:r w:rsidRPr="00EE39FB">
              <w:rPr>
                <w:sz w:val="22"/>
                <w:szCs w:val="22"/>
              </w:rPr>
              <w:t>(4,250)</w:t>
            </w:r>
          </w:p>
        </w:tc>
        <w:tc>
          <w:tcPr>
            <w:tcW w:w="1418" w:type="dxa"/>
            <w:tcBorders>
              <w:top w:val="nil"/>
              <w:left w:val="nil"/>
              <w:bottom w:val="nil"/>
              <w:right w:val="single" w:sz="4" w:space="0" w:color="auto"/>
            </w:tcBorders>
            <w:shd w:val="clear" w:color="000000" w:fill="FFFFFF"/>
            <w:noWrap/>
          </w:tcPr>
          <w:p w14:paraId="3D637780" w14:textId="24516A64" w:rsidR="00EE39FB" w:rsidRPr="00EE39FB" w:rsidRDefault="00EE39FB" w:rsidP="00EE39FB">
            <w:pPr>
              <w:jc w:val="right"/>
              <w:rPr>
                <w:sz w:val="22"/>
                <w:szCs w:val="22"/>
              </w:rPr>
            </w:pPr>
            <w:r w:rsidRPr="00EE39FB">
              <w:rPr>
                <w:sz w:val="22"/>
                <w:szCs w:val="22"/>
              </w:rPr>
              <w:t>(5,500)</w:t>
            </w:r>
          </w:p>
        </w:tc>
      </w:tr>
      <w:tr w:rsidR="00EE39FB" w:rsidRPr="00AE6BE1" w14:paraId="1064C7EB" w14:textId="77777777" w:rsidTr="0074174A">
        <w:trPr>
          <w:trHeight w:hRule="exact" w:val="309"/>
        </w:trPr>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9295C5" w14:textId="1A36EA02" w:rsidR="00EE39FB" w:rsidRPr="00AE6BE1" w:rsidRDefault="00EE39FB" w:rsidP="00EE39FB">
            <w:pPr>
              <w:rPr>
                <w:b/>
                <w:bCs/>
                <w:color w:val="000000"/>
                <w:sz w:val="22"/>
                <w:szCs w:val="22"/>
                <w:lang w:eastAsia="en-GB"/>
              </w:rPr>
            </w:pPr>
            <w:r w:rsidRPr="00AE6BE1">
              <w:rPr>
                <w:b/>
                <w:bCs/>
                <w:color w:val="000000"/>
                <w:sz w:val="22"/>
                <w:szCs w:val="22"/>
                <w:lang w:eastAsia="en-GB"/>
              </w:rPr>
              <w:t>CRR Closing Balance</w:t>
            </w:r>
          </w:p>
        </w:tc>
        <w:tc>
          <w:tcPr>
            <w:tcW w:w="1418" w:type="dxa"/>
            <w:tcBorders>
              <w:top w:val="nil"/>
              <w:left w:val="nil"/>
              <w:bottom w:val="single" w:sz="4" w:space="0" w:color="auto"/>
              <w:right w:val="single" w:sz="4" w:space="0" w:color="auto"/>
            </w:tcBorders>
            <w:shd w:val="clear" w:color="000000" w:fill="FFFFFF"/>
            <w:noWrap/>
          </w:tcPr>
          <w:p w14:paraId="0F887C23" w14:textId="215DA0A8" w:rsidR="00EE39FB" w:rsidRPr="00EE39FB" w:rsidRDefault="00EE39FB" w:rsidP="00EE39FB">
            <w:pPr>
              <w:jc w:val="right"/>
              <w:rPr>
                <w:b/>
                <w:bCs/>
                <w:sz w:val="22"/>
                <w:szCs w:val="22"/>
              </w:rPr>
            </w:pPr>
            <w:r w:rsidRPr="00EE39FB">
              <w:rPr>
                <w:b/>
                <w:bCs/>
                <w:sz w:val="22"/>
                <w:szCs w:val="22"/>
              </w:rPr>
              <w:t>15,740</w:t>
            </w:r>
          </w:p>
        </w:tc>
        <w:tc>
          <w:tcPr>
            <w:tcW w:w="1417" w:type="dxa"/>
            <w:tcBorders>
              <w:top w:val="nil"/>
              <w:left w:val="nil"/>
              <w:bottom w:val="single" w:sz="4" w:space="0" w:color="auto"/>
              <w:right w:val="single" w:sz="4" w:space="0" w:color="auto"/>
            </w:tcBorders>
            <w:shd w:val="clear" w:color="000000" w:fill="FFFFFF"/>
            <w:noWrap/>
          </w:tcPr>
          <w:p w14:paraId="020F0ED4" w14:textId="4C8281D5" w:rsidR="00EE39FB" w:rsidRPr="00EE39FB" w:rsidRDefault="00EE39FB" w:rsidP="00EE39FB">
            <w:pPr>
              <w:jc w:val="right"/>
              <w:rPr>
                <w:b/>
                <w:bCs/>
                <w:sz w:val="22"/>
                <w:szCs w:val="22"/>
              </w:rPr>
            </w:pPr>
            <w:r w:rsidRPr="00EE39FB">
              <w:rPr>
                <w:b/>
                <w:bCs/>
                <w:sz w:val="22"/>
                <w:szCs w:val="22"/>
              </w:rPr>
              <w:t>12,256</w:t>
            </w:r>
          </w:p>
        </w:tc>
        <w:tc>
          <w:tcPr>
            <w:tcW w:w="1418" w:type="dxa"/>
            <w:tcBorders>
              <w:top w:val="single" w:sz="4" w:space="0" w:color="auto"/>
              <w:left w:val="nil"/>
              <w:bottom w:val="single" w:sz="4" w:space="0" w:color="auto"/>
              <w:right w:val="single" w:sz="4" w:space="0" w:color="auto"/>
            </w:tcBorders>
            <w:shd w:val="clear" w:color="000000" w:fill="FFFFFF"/>
            <w:noWrap/>
          </w:tcPr>
          <w:p w14:paraId="16B892C4" w14:textId="4B8A21A9" w:rsidR="00EE39FB" w:rsidRPr="00EE39FB" w:rsidRDefault="00EE39FB" w:rsidP="00EE39FB">
            <w:pPr>
              <w:jc w:val="right"/>
              <w:rPr>
                <w:b/>
                <w:bCs/>
                <w:sz w:val="22"/>
                <w:szCs w:val="22"/>
              </w:rPr>
            </w:pPr>
            <w:r w:rsidRPr="00EE39FB">
              <w:rPr>
                <w:b/>
                <w:bCs/>
                <w:sz w:val="22"/>
                <w:szCs w:val="22"/>
              </w:rPr>
              <w:t>10,456</w:t>
            </w:r>
          </w:p>
        </w:tc>
        <w:tc>
          <w:tcPr>
            <w:tcW w:w="1417" w:type="dxa"/>
            <w:tcBorders>
              <w:top w:val="single" w:sz="4" w:space="0" w:color="auto"/>
              <w:left w:val="nil"/>
              <w:bottom w:val="single" w:sz="4" w:space="0" w:color="auto"/>
              <w:right w:val="single" w:sz="4" w:space="0" w:color="auto"/>
            </w:tcBorders>
            <w:shd w:val="clear" w:color="000000" w:fill="FFFFFF"/>
            <w:noWrap/>
          </w:tcPr>
          <w:p w14:paraId="41E32214" w14:textId="0BD1ED34" w:rsidR="00EE39FB" w:rsidRPr="00EE39FB" w:rsidRDefault="00EE39FB" w:rsidP="00EE39FB">
            <w:pPr>
              <w:jc w:val="right"/>
              <w:rPr>
                <w:b/>
                <w:bCs/>
                <w:sz w:val="22"/>
                <w:szCs w:val="22"/>
              </w:rPr>
            </w:pPr>
            <w:r w:rsidRPr="00EE39FB">
              <w:rPr>
                <w:b/>
                <w:bCs/>
                <w:sz w:val="22"/>
                <w:szCs w:val="22"/>
              </w:rPr>
              <w:t>6,206</w:t>
            </w:r>
          </w:p>
        </w:tc>
        <w:tc>
          <w:tcPr>
            <w:tcW w:w="1418" w:type="dxa"/>
            <w:tcBorders>
              <w:top w:val="single" w:sz="4" w:space="0" w:color="auto"/>
              <w:left w:val="nil"/>
              <w:bottom w:val="single" w:sz="4" w:space="0" w:color="auto"/>
              <w:right w:val="single" w:sz="4" w:space="0" w:color="auto"/>
            </w:tcBorders>
            <w:shd w:val="clear" w:color="000000" w:fill="FFFFFF"/>
            <w:noWrap/>
          </w:tcPr>
          <w:p w14:paraId="419F1E93" w14:textId="15994577" w:rsidR="00EE39FB" w:rsidRPr="00EE39FB" w:rsidRDefault="00EE39FB" w:rsidP="00EE39FB">
            <w:pPr>
              <w:jc w:val="right"/>
              <w:rPr>
                <w:b/>
                <w:bCs/>
                <w:sz w:val="22"/>
                <w:szCs w:val="22"/>
              </w:rPr>
            </w:pPr>
            <w:r w:rsidRPr="00EE39FB">
              <w:rPr>
                <w:b/>
                <w:bCs/>
                <w:sz w:val="22"/>
                <w:szCs w:val="22"/>
              </w:rPr>
              <w:t>706</w:t>
            </w:r>
          </w:p>
        </w:tc>
      </w:tr>
      <w:tr w:rsidR="00111FD3" w:rsidRPr="00AE6BE1" w14:paraId="7C3DBBCC" w14:textId="77777777" w:rsidTr="0074174A">
        <w:trPr>
          <w:trHeight w:hRule="exact" w:val="309"/>
        </w:trPr>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05564609" w14:textId="1321CF30" w:rsidR="00111FD3" w:rsidRPr="00AE6BE1" w:rsidRDefault="00111FD3" w:rsidP="00111FD3">
            <w:pPr>
              <w:rPr>
                <w:b/>
                <w:bCs/>
                <w:color w:val="000000"/>
                <w:sz w:val="22"/>
                <w:szCs w:val="22"/>
                <w:lang w:eastAsia="en-GB"/>
              </w:rPr>
            </w:pPr>
            <w:r w:rsidRPr="00AE6BE1">
              <w:rPr>
                <w:b/>
                <w:bCs/>
                <w:color w:val="000000"/>
                <w:sz w:val="22"/>
                <w:szCs w:val="22"/>
                <w:lang w:eastAsia="en-GB"/>
              </w:rPr>
              <w:t>Per Previous Strategy</w:t>
            </w:r>
          </w:p>
        </w:tc>
        <w:tc>
          <w:tcPr>
            <w:tcW w:w="1418" w:type="dxa"/>
            <w:tcBorders>
              <w:top w:val="nil"/>
              <w:left w:val="nil"/>
              <w:bottom w:val="single" w:sz="4" w:space="0" w:color="auto"/>
              <w:right w:val="single" w:sz="4" w:space="0" w:color="auto"/>
            </w:tcBorders>
            <w:shd w:val="clear" w:color="000000" w:fill="FFFFFF"/>
            <w:noWrap/>
            <w:hideMark/>
          </w:tcPr>
          <w:p w14:paraId="59C97B91" w14:textId="11B0C213" w:rsidR="00111FD3" w:rsidRPr="008B256D" w:rsidRDefault="00111FD3" w:rsidP="00111FD3">
            <w:pPr>
              <w:jc w:val="right"/>
              <w:rPr>
                <w:b/>
                <w:bCs/>
                <w:sz w:val="22"/>
                <w:szCs w:val="22"/>
              </w:rPr>
            </w:pPr>
            <w:r w:rsidRPr="00111FD3">
              <w:rPr>
                <w:b/>
                <w:bCs/>
                <w:sz w:val="22"/>
                <w:szCs w:val="22"/>
              </w:rPr>
              <w:t>13</w:t>
            </w:r>
            <w:r>
              <w:rPr>
                <w:b/>
                <w:bCs/>
                <w:sz w:val="22"/>
                <w:szCs w:val="22"/>
              </w:rPr>
              <w:t>,</w:t>
            </w:r>
            <w:r w:rsidRPr="00111FD3">
              <w:rPr>
                <w:b/>
                <w:bCs/>
                <w:sz w:val="22"/>
                <w:szCs w:val="22"/>
              </w:rPr>
              <w:t>254</w:t>
            </w:r>
          </w:p>
        </w:tc>
        <w:tc>
          <w:tcPr>
            <w:tcW w:w="1417" w:type="dxa"/>
            <w:tcBorders>
              <w:top w:val="nil"/>
              <w:left w:val="nil"/>
              <w:bottom w:val="single" w:sz="4" w:space="0" w:color="auto"/>
              <w:right w:val="single" w:sz="4" w:space="0" w:color="auto"/>
            </w:tcBorders>
            <w:shd w:val="clear" w:color="000000" w:fill="FFFFFF"/>
            <w:noWrap/>
            <w:hideMark/>
          </w:tcPr>
          <w:p w14:paraId="219661A3" w14:textId="451217FC" w:rsidR="00111FD3" w:rsidRPr="008B256D" w:rsidRDefault="00111FD3" w:rsidP="00111FD3">
            <w:pPr>
              <w:jc w:val="right"/>
              <w:rPr>
                <w:b/>
                <w:bCs/>
                <w:sz w:val="22"/>
                <w:szCs w:val="22"/>
              </w:rPr>
            </w:pPr>
            <w:r w:rsidRPr="00111FD3">
              <w:rPr>
                <w:b/>
                <w:bCs/>
                <w:sz w:val="22"/>
                <w:szCs w:val="22"/>
              </w:rPr>
              <w:t>11</w:t>
            </w:r>
            <w:r>
              <w:rPr>
                <w:b/>
                <w:bCs/>
                <w:sz w:val="22"/>
                <w:szCs w:val="22"/>
              </w:rPr>
              <w:t>,</w:t>
            </w:r>
            <w:r w:rsidRPr="00111FD3">
              <w:rPr>
                <w:b/>
                <w:bCs/>
                <w:sz w:val="22"/>
                <w:szCs w:val="22"/>
              </w:rPr>
              <w:t>415</w:t>
            </w:r>
          </w:p>
        </w:tc>
        <w:tc>
          <w:tcPr>
            <w:tcW w:w="1418" w:type="dxa"/>
            <w:tcBorders>
              <w:top w:val="nil"/>
              <w:left w:val="nil"/>
              <w:bottom w:val="single" w:sz="4" w:space="0" w:color="auto"/>
              <w:right w:val="single" w:sz="4" w:space="0" w:color="auto"/>
            </w:tcBorders>
            <w:shd w:val="clear" w:color="000000" w:fill="FFFFFF"/>
            <w:noWrap/>
            <w:hideMark/>
          </w:tcPr>
          <w:p w14:paraId="212C7CA3" w14:textId="622F0A84" w:rsidR="00111FD3" w:rsidRPr="008B256D" w:rsidRDefault="00111FD3" w:rsidP="00111FD3">
            <w:pPr>
              <w:jc w:val="right"/>
              <w:rPr>
                <w:b/>
                <w:bCs/>
                <w:sz w:val="22"/>
                <w:szCs w:val="22"/>
              </w:rPr>
            </w:pPr>
            <w:r w:rsidRPr="00111FD3">
              <w:rPr>
                <w:b/>
                <w:bCs/>
                <w:sz w:val="22"/>
                <w:szCs w:val="22"/>
              </w:rPr>
              <w:t xml:space="preserve"> 6,665 </w:t>
            </w:r>
          </w:p>
        </w:tc>
        <w:tc>
          <w:tcPr>
            <w:tcW w:w="1417" w:type="dxa"/>
            <w:tcBorders>
              <w:top w:val="nil"/>
              <w:left w:val="nil"/>
              <w:bottom w:val="single" w:sz="4" w:space="0" w:color="auto"/>
              <w:right w:val="single" w:sz="4" w:space="0" w:color="auto"/>
            </w:tcBorders>
            <w:shd w:val="clear" w:color="000000" w:fill="FFFFFF"/>
            <w:noWrap/>
            <w:hideMark/>
          </w:tcPr>
          <w:p w14:paraId="42B64B90" w14:textId="41B36057" w:rsidR="00111FD3" w:rsidRPr="008B256D" w:rsidRDefault="00111FD3" w:rsidP="00111FD3">
            <w:pPr>
              <w:jc w:val="right"/>
              <w:rPr>
                <w:b/>
                <w:bCs/>
                <w:sz w:val="22"/>
                <w:szCs w:val="22"/>
              </w:rPr>
            </w:pPr>
            <w:r w:rsidRPr="00111FD3">
              <w:rPr>
                <w:b/>
                <w:bCs/>
                <w:sz w:val="22"/>
                <w:szCs w:val="22"/>
              </w:rPr>
              <w:t xml:space="preserve"> 1,915 </w:t>
            </w:r>
          </w:p>
        </w:tc>
        <w:tc>
          <w:tcPr>
            <w:tcW w:w="1418" w:type="dxa"/>
            <w:tcBorders>
              <w:top w:val="nil"/>
              <w:left w:val="nil"/>
              <w:bottom w:val="nil"/>
              <w:right w:val="nil"/>
            </w:tcBorders>
            <w:shd w:val="clear" w:color="000000" w:fill="FFFFFF"/>
            <w:noWrap/>
            <w:vAlign w:val="bottom"/>
            <w:hideMark/>
          </w:tcPr>
          <w:p w14:paraId="667D9EB0" w14:textId="77777777" w:rsidR="00111FD3" w:rsidRPr="00AE6BE1" w:rsidRDefault="00111FD3" w:rsidP="00111FD3">
            <w:pPr>
              <w:rPr>
                <w:color w:val="000000"/>
                <w:sz w:val="22"/>
                <w:szCs w:val="22"/>
                <w:lang w:eastAsia="en-GB"/>
              </w:rPr>
            </w:pPr>
            <w:r w:rsidRPr="00AE6BE1">
              <w:rPr>
                <w:color w:val="000000"/>
                <w:sz w:val="22"/>
                <w:szCs w:val="22"/>
                <w:lang w:eastAsia="en-GB"/>
              </w:rPr>
              <w:t> </w:t>
            </w:r>
          </w:p>
        </w:tc>
      </w:tr>
      <w:tr w:rsidR="009D5903" w:rsidRPr="00AE6BE1" w14:paraId="7AB352F8" w14:textId="77777777" w:rsidTr="0074174A">
        <w:trPr>
          <w:trHeight w:hRule="exact" w:val="309"/>
        </w:trPr>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675A7698" w14:textId="77777777" w:rsidR="009D5903" w:rsidRPr="00AE6BE1" w:rsidRDefault="009D5903" w:rsidP="009D5903">
            <w:pPr>
              <w:rPr>
                <w:b/>
                <w:bCs/>
                <w:color w:val="000000"/>
                <w:sz w:val="22"/>
                <w:szCs w:val="22"/>
                <w:lang w:eastAsia="en-GB"/>
              </w:rPr>
            </w:pPr>
            <w:r w:rsidRPr="00AE6BE1">
              <w:rPr>
                <w:b/>
                <w:bCs/>
                <w:color w:val="000000"/>
                <w:sz w:val="22"/>
                <w:szCs w:val="22"/>
                <w:lang w:eastAsia="en-GB"/>
              </w:rPr>
              <w:t>Movement</w:t>
            </w:r>
          </w:p>
        </w:tc>
        <w:tc>
          <w:tcPr>
            <w:tcW w:w="1418" w:type="dxa"/>
            <w:tcBorders>
              <w:top w:val="nil"/>
              <w:left w:val="nil"/>
              <w:bottom w:val="single" w:sz="4" w:space="0" w:color="auto"/>
              <w:right w:val="single" w:sz="4" w:space="0" w:color="auto"/>
            </w:tcBorders>
            <w:shd w:val="clear" w:color="000000" w:fill="FFFFFF"/>
            <w:noWrap/>
          </w:tcPr>
          <w:p w14:paraId="14849E3B" w14:textId="1BA9159B" w:rsidR="009D5903" w:rsidRPr="00F319B8" w:rsidRDefault="009F742C" w:rsidP="009D5903">
            <w:pPr>
              <w:jc w:val="right"/>
              <w:rPr>
                <w:b/>
                <w:bCs/>
                <w:color w:val="000000"/>
                <w:sz w:val="22"/>
                <w:szCs w:val="22"/>
                <w:lang w:eastAsia="en-GB"/>
              </w:rPr>
            </w:pPr>
            <w:r>
              <w:rPr>
                <w:b/>
                <w:bCs/>
                <w:sz w:val="22"/>
                <w:szCs w:val="22"/>
              </w:rPr>
              <w:t>2,486</w:t>
            </w:r>
            <w:r w:rsidR="009D5903" w:rsidRPr="00F319B8">
              <w:rPr>
                <w:b/>
                <w:bCs/>
                <w:sz w:val="22"/>
                <w:szCs w:val="22"/>
              </w:rPr>
              <w:t xml:space="preserve"> </w:t>
            </w:r>
          </w:p>
        </w:tc>
        <w:tc>
          <w:tcPr>
            <w:tcW w:w="1417" w:type="dxa"/>
            <w:tcBorders>
              <w:top w:val="nil"/>
              <w:left w:val="nil"/>
              <w:bottom w:val="single" w:sz="4" w:space="0" w:color="auto"/>
              <w:right w:val="single" w:sz="4" w:space="0" w:color="auto"/>
            </w:tcBorders>
            <w:shd w:val="clear" w:color="000000" w:fill="FFFFFF"/>
            <w:noWrap/>
          </w:tcPr>
          <w:p w14:paraId="3EB6FE52" w14:textId="73A7B2D5" w:rsidR="009D5903" w:rsidRPr="00F319B8" w:rsidRDefault="009F742C" w:rsidP="009D5903">
            <w:pPr>
              <w:jc w:val="right"/>
              <w:rPr>
                <w:b/>
                <w:bCs/>
                <w:color w:val="000000"/>
                <w:sz w:val="22"/>
                <w:szCs w:val="22"/>
                <w:lang w:eastAsia="en-GB"/>
              </w:rPr>
            </w:pPr>
            <w:r>
              <w:rPr>
                <w:b/>
                <w:bCs/>
                <w:sz w:val="22"/>
                <w:szCs w:val="22"/>
              </w:rPr>
              <w:t>841</w:t>
            </w:r>
          </w:p>
        </w:tc>
        <w:tc>
          <w:tcPr>
            <w:tcW w:w="1418" w:type="dxa"/>
            <w:tcBorders>
              <w:top w:val="nil"/>
              <w:left w:val="nil"/>
              <w:bottom w:val="single" w:sz="4" w:space="0" w:color="auto"/>
              <w:right w:val="single" w:sz="4" w:space="0" w:color="auto"/>
            </w:tcBorders>
            <w:shd w:val="clear" w:color="000000" w:fill="FFFFFF"/>
            <w:noWrap/>
          </w:tcPr>
          <w:p w14:paraId="0D47752C" w14:textId="2F2033AB" w:rsidR="009D5903" w:rsidRPr="00F319B8" w:rsidRDefault="009F742C" w:rsidP="009D5903">
            <w:pPr>
              <w:jc w:val="right"/>
              <w:rPr>
                <w:b/>
                <w:bCs/>
                <w:sz w:val="22"/>
                <w:szCs w:val="22"/>
              </w:rPr>
            </w:pPr>
            <w:r>
              <w:rPr>
                <w:b/>
                <w:bCs/>
                <w:sz w:val="22"/>
                <w:szCs w:val="22"/>
              </w:rPr>
              <w:t>3,791</w:t>
            </w:r>
          </w:p>
        </w:tc>
        <w:tc>
          <w:tcPr>
            <w:tcW w:w="1417" w:type="dxa"/>
            <w:tcBorders>
              <w:top w:val="nil"/>
              <w:left w:val="nil"/>
              <w:bottom w:val="single" w:sz="4" w:space="0" w:color="auto"/>
              <w:right w:val="single" w:sz="4" w:space="0" w:color="auto"/>
            </w:tcBorders>
            <w:shd w:val="clear" w:color="000000" w:fill="FFFFFF"/>
            <w:noWrap/>
          </w:tcPr>
          <w:p w14:paraId="0966C33F" w14:textId="0A4F4F2E" w:rsidR="009D5903" w:rsidRPr="00F319B8" w:rsidRDefault="009F742C" w:rsidP="009D5903">
            <w:pPr>
              <w:jc w:val="right"/>
              <w:rPr>
                <w:b/>
                <w:bCs/>
                <w:sz w:val="22"/>
                <w:szCs w:val="22"/>
              </w:rPr>
            </w:pPr>
            <w:r>
              <w:rPr>
                <w:b/>
                <w:bCs/>
                <w:sz w:val="22"/>
                <w:szCs w:val="22"/>
              </w:rPr>
              <w:t>4,291</w:t>
            </w:r>
          </w:p>
        </w:tc>
        <w:tc>
          <w:tcPr>
            <w:tcW w:w="1418" w:type="dxa"/>
            <w:tcBorders>
              <w:top w:val="nil"/>
              <w:left w:val="nil"/>
              <w:bottom w:val="nil"/>
              <w:right w:val="nil"/>
            </w:tcBorders>
            <w:shd w:val="clear" w:color="000000" w:fill="FFFFFF"/>
            <w:noWrap/>
            <w:vAlign w:val="bottom"/>
            <w:hideMark/>
          </w:tcPr>
          <w:p w14:paraId="465D0C72" w14:textId="77777777" w:rsidR="009D5903" w:rsidRPr="00AE6BE1" w:rsidRDefault="009D5903" w:rsidP="009D5903">
            <w:pPr>
              <w:rPr>
                <w:color w:val="000000"/>
                <w:sz w:val="22"/>
                <w:szCs w:val="22"/>
                <w:lang w:eastAsia="en-GB"/>
              </w:rPr>
            </w:pPr>
            <w:r w:rsidRPr="00AE6BE1">
              <w:rPr>
                <w:color w:val="000000"/>
                <w:sz w:val="22"/>
                <w:szCs w:val="22"/>
                <w:lang w:eastAsia="en-GB"/>
              </w:rPr>
              <w:t> </w:t>
            </w:r>
          </w:p>
        </w:tc>
      </w:tr>
    </w:tbl>
    <w:p w14:paraId="21C1516A" w14:textId="77777777" w:rsidR="00D16738" w:rsidRPr="00B81883" w:rsidRDefault="00D16738" w:rsidP="00D16738">
      <w:pPr>
        <w:autoSpaceDE w:val="0"/>
        <w:autoSpaceDN w:val="0"/>
        <w:adjustRightInd w:val="0"/>
        <w:spacing w:after="120"/>
        <w:jc w:val="both"/>
        <w:rPr>
          <w:color w:val="000000"/>
          <w:sz w:val="16"/>
          <w:szCs w:val="16"/>
        </w:rPr>
      </w:pPr>
      <w:r w:rsidRPr="00B81883">
        <w:rPr>
          <w:sz w:val="16"/>
          <w:szCs w:val="16"/>
        </w:rPr>
        <w:t>*2022/23 Figures based on Unaudited Financial Statements</w:t>
      </w:r>
    </w:p>
    <w:p w14:paraId="60779D63" w14:textId="6735BCF8" w:rsidR="00F21C33" w:rsidRPr="00AE6BE1" w:rsidRDefault="00F21C33" w:rsidP="00DB49BD">
      <w:pPr>
        <w:autoSpaceDE w:val="0"/>
        <w:autoSpaceDN w:val="0"/>
        <w:adjustRightInd w:val="0"/>
        <w:rPr>
          <w:b/>
          <w:lang w:eastAsia="en-GB"/>
        </w:rPr>
      </w:pPr>
    </w:p>
    <w:p w14:paraId="46DFFA4A" w14:textId="5116EDCB" w:rsidR="0061162A" w:rsidRPr="004A5C53" w:rsidRDefault="00554F59" w:rsidP="00132D9E">
      <w:pPr>
        <w:autoSpaceDE w:val="0"/>
        <w:autoSpaceDN w:val="0"/>
        <w:adjustRightInd w:val="0"/>
        <w:spacing w:after="120"/>
        <w:ind w:left="426"/>
        <w:jc w:val="both"/>
        <w:rPr>
          <w:lang w:eastAsia="en-GB"/>
        </w:rPr>
      </w:pPr>
      <w:r w:rsidRPr="004A5C53">
        <w:rPr>
          <w:lang w:eastAsia="en-GB"/>
        </w:rPr>
        <w:t xml:space="preserve">The Capital Receipts from the Sale of Asset primarily relate to the sale of surplus day crew housing. </w:t>
      </w:r>
      <w:r w:rsidR="00CF6483" w:rsidRPr="004A5C53">
        <w:rPr>
          <w:lang w:eastAsia="en-GB"/>
        </w:rPr>
        <w:t>The projected use of capital receipts</w:t>
      </w:r>
      <w:r w:rsidR="003B0C95" w:rsidRPr="004A5C53">
        <w:rPr>
          <w:lang w:eastAsia="en-GB"/>
        </w:rPr>
        <w:t>, and the impact on borrowing,</w:t>
      </w:r>
      <w:r w:rsidR="00CF6483" w:rsidRPr="004A5C53">
        <w:rPr>
          <w:lang w:eastAsia="en-GB"/>
        </w:rPr>
        <w:t xml:space="preserve"> is further </w:t>
      </w:r>
      <w:r w:rsidR="0063512F" w:rsidRPr="004A5C53">
        <w:rPr>
          <w:lang w:eastAsia="en-GB"/>
        </w:rPr>
        <w:t>reviewed as part of the Treasury Management</w:t>
      </w:r>
      <w:r w:rsidR="00FA0B56">
        <w:rPr>
          <w:lang w:eastAsia="en-GB"/>
        </w:rPr>
        <w:t xml:space="preserve"> and Capital</w:t>
      </w:r>
      <w:r w:rsidR="0063512F" w:rsidRPr="004A5C53">
        <w:rPr>
          <w:lang w:eastAsia="en-GB"/>
        </w:rPr>
        <w:t xml:space="preserve"> Strate</w:t>
      </w:r>
      <w:r w:rsidR="00FA0B56">
        <w:rPr>
          <w:lang w:eastAsia="en-GB"/>
        </w:rPr>
        <w:t>gies</w:t>
      </w:r>
      <w:r w:rsidR="0063512F" w:rsidRPr="004A5C53">
        <w:rPr>
          <w:lang w:eastAsia="en-GB"/>
        </w:rPr>
        <w:t>.</w:t>
      </w:r>
    </w:p>
    <w:p w14:paraId="065596FD" w14:textId="5BED25D3" w:rsidR="0061162A" w:rsidRPr="004A5C53" w:rsidRDefault="00647E1F" w:rsidP="00132D9E">
      <w:pPr>
        <w:autoSpaceDE w:val="0"/>
        <w:autoSpaceDN w:val="0"/>
        <w:adjustRightInd w:val="0"/>
        <w:spacing w:after="120"/>
        <w:ind w:left="426"/>
        <w:jc w:val="both"/>
        <w:rPr>
          <w:lang w:eastAsia="en-GB"/>
        </w:rPr>
      </w:pPr>
      <w:r w:rsidRPr="00647E1F">
        <w:rPr>
          <w:b/>
          <w:bCs/>
          <w:lang w:eastAsia="en-GB"/>
        </w:rPr>
        <w:t>Use of Capital Receipts Reserve -</w:t>
      </w:r>
      <w:r>
        <w:rPr>
          <w:lang w:eastAsia="en-GB"/>
        </w:rPr>
        <w:t xml:space="preserve"> </w:t>
      </w:r>
      <w:r w:rsidR="0061162A" w:rsidRPr="004A5C53">
        <w:rPr>
          <w:lang w:eastAsia="en-GB"/>
        </w:rPr>
        <w:t xml:space="preserve">The Fleet, Estate and </w:t>
      </w:r>
      <w:r w:rsidR="008804AF" w:rsidRPr="004A5C53">
        <w:rPr>
          <w:lang w:eastAsia="en-GB"/>
        </w:rPr>
        <w:t>ICT Digital and Data</w:t>
      </w:r>
      <w:r w:rsidR="0061162A" w:rsidRPr="004A5C53">
        <w:rPr>
          <w:lang w:eastAsia="en-GB"/>
        </w:rPr>
        <w:t xml:space="preserve"> Strategies will determine th</w:t>
      </w:r>
      <w:r w:rsidR="008804AF" w:rsidRPr="004A5C53">
        <w:rPr>
          <w:lang w:eastAsia="en-GB"/>
        </w:rPr>
        <w:t>e</w:t>
      </w:r>
      <w:r w:rsidR="0061162A" w:rsidRPr="004A5C53">
        <w:rPr>
          <w:lang w:eastAsia="en-GB"/>
        </w:rPr>
        <w:t xml:space="preserve"> baseline level of funding that is to be included within the </w:t>
      </w:r>
      <w:r w:rsidR="008804AF" w:rsidRPr="004A5C53">
        <w:rPr>
          <w:lang w:eastAsia="en-GB"/>
        </w:rPr>
        <w:t xml:space="preserve">Annual </w:t>
      </w:r>
      <w:r w:rsidR="0061162A" w:rsidRPr="004A5C53">
        <w:rPr>
          <w:lang w:eastAsia="en-GB"/>
        </w:rPr>
        <w:t xml:space="preserve">Capital Programme. This baseline funding will primarily consist of Vehicle Replacement Programme, Asset Protection Works and ICT laptop </w:t>
      </w:r>
      <w:r w:rsidR="00E16D49" w:rsidRPr="004A5C53">
        <w:rPr>
          <w:lang w:eastAsia="en-GB"/>
        </w:rPr>
        <w:t xml:space="preserve">rolling </w:t>
      </w:r>
      <w:r w:rsidR="0061162A" w:rsidRPr="004A5C53">
        <w:rPr>
          <w:lang w:eastAsia="en-GB"/>
        </w:rPr>
        <w:t>replacement.</w:t>
      </w:r>
    </w:p>
    <w:p w14:paraId="12E5B4D4" w14:textId="0DFC4781" w:rsidR="0061162A" w:rsidRPr="00F319B8" w:rsidRDefault="0061162A" w:rsidP="00132D9E">
      <w:pPr>
        <w:autoSpaceDE w:val="0"/>
        <w:autoSpaceDN w:val="0"/>
        <w:adjustRightInd w:val="0"/>
        <w:spacing w:after="120"/>
        <w:ind w:left="426"/>
        <w:jc w:val="both"/>
        <w:rPr>
          <w:lang w:eastAsia="en-GB"/>
        </w:rPr>
      </w:pPr>
      <w:r w:rsidRPr="004A5C53">
        <w:rPr>
          <w:lang w:eastAsia="en-GB"/>
        </w:rPr>
        <w:t xml:space="preserve">The </w:t>
      </w:r>
      <w:r w:rsidRPr="004A5C53">
        <w:t xml:space="preserve">Capital Receipts Reserve </w:t>
      </w:r>
      <w:r w:rsidRPr="004A5C53">
        <w:rPr>
          <w:lang w:eastAsia="en-GB"/>
        </w:rPr>
        <w:t xml:space="preserve">will look to be utilised for Capital Expenditure that is outside of the baseline funding. This will require the submission of a business case, which must be approved by the Commissioner on the advice of the Chief Finance </w:t>
      </w:r>
      <w:r w:rsidRPr="00F319B8">
        <w:rPr>
          <w:lang w:eastAsia="en-GB"/>
        </w:rPr>
        <w:t>Officer.</w:t>
      </w:r>
    </w:p>
    <w:p w14:paraId="1156EF14" w14:textId="3823B8B7" w:rsidR="0061162A" w:rsidRPr="009218A9" w:rsidRDefault="00EF6202" w:rsidP="00132D9E">
      <w:pPr>
        <w:autoSpaceDE w:val="0"/>
        <w:autoSpaceDN w:val="0"/>
        <w:adjustRightInd w:val="0"/>
        <w:spacing w:after="120"/>
        <w:ind w:left="426"/>
        <w:jc w:val="both"/>
        <w:rPr>
          <w:lang w:eastAsia="en-GB"/>
        </w:rPr>
      </w:pPr>
      <w:r>
        <w:rPr>
          <w:lang w:eastAsia="en-GB"/>
        </w:rPr>
        <w:lastRenderedPageBreak/>
        <w:t>The projects</w:t>
      </w:r>
      <w:r w:rsidR="00C61E66">
        <w:rPr>
          <w:lang w:eastAsia="en-GB"/>
        </w:rPr>
        <w:t xml:space="preserve"> below</w:t>
      </w:r>
      <w:r>
        <w:rPr>
          <w:lang w:eastAsia="en-GB"/>
        </w:rPr>
        <w:t xml:space="preserve"> have been </w:t>
      </w:r>
      <w:r w:rsidR="00C61E66">
        <w:rPr>
          <w:lang w:eastAsia="en-GB"/>
        </w:rPr>
        <w:t>allocated funding from the</w:t>
      </w:r>
      <w:r w:rsidR="0061162A" w:rsidRPr="009218A9">
        <w:rPr>
          <w:lang w:eastAsia="en-GB"/>
        </w:rPr>
        <w:t xml:space="preserve"> Capital Receipts Reserve</w:t>
      </w:r>
      <w:r w:rsidR="00152931">
        <w:rPr>
          <w:lang w:eastAsia="en-GB"/>
        </w:rPr>
        <w:t>.</w:t>
      </w:r>
      <w:r w:rsidR="00040C00">
        <w:rPr>
          <w:lang w:eastAsia="en-GB"/>
        </w:rPr>
        <w:t xml:space="preserve"> </w:t>
      </w:r>
      <w:r w:rsidR="00233DE2">
        <w:rPr>
          <w:lang w:eastAsia="en-GB"/>
        </w:rPr>
        <w:t>With the exception of the Hyb</w:t>
      </w:r>
      <w:r w:rsidR="0018191F">
        <w:rPr>
          <w:lang w:eastAsia="en-GB"/>
        </w:rPr>
        <w:t>r</w:t>
      </w:r>
      <w:r w:rsidR="00233DE2">
        <w:rPr>
          <w:lang w:eastAsia="en-GB"/>
        </w:rPr>
        <w:t>id Vehicles</w:t>
      </w:r>
      <w:r w:rsidR="00257177">
        <w:rPr>
          <w:lang w:eastAsia="en-GB"/>
        </w:rPr>
        <w:t xml:space="preserve"> and </w:t>
      </w:r>
      <w:r w:rsidR="00292397">
        <w:rPr>
          <w:lang w:eastAsia="en-GB"/>
        </w:rPr>
        <w:t>the Cost Saving Initiative 2024/25</w:t>
      </w:r>
      <w:r w:rsidR="00233DE2">
        <w:rPr>
          <w:lang w:eastAsia="en-GB"/>
        </w:rPr>
        <w:t xml:space="preserve">, </w:t>
      </w:r>
      <w:r w:rsidR="0018191F">
        <w:rPr>
          <w:lang w:eastAsia="en-GB"/>
        </w:rPr>
        <w:t xml:space="preserve">all of the remaining </w:t>
      </w:r>
      <w:r w:rsidR="0061162A" w:rsidRPr="009218A9">
        <w:rPr>
          <w:lang w:eastAsia="en-GB"/>
        </w:rPr>
        <w:t>projects outlined below</w:t>
      </w:r>
      <w:r w:rsidR="0018191F">
        <w:rPr>
          <w:lang w:eastAsia="en-GB"/>
        </w:rPr>
        <w:t xml:space="preserve"> are consistent with the prior year.</w:t>
      </w:r>
    </w:p>
    <w:p w14:paraId="4F1E7F5F" w14:textId="154454BC" w:rsidR="0061162A" w:rsidRDefault="0061162A" w:rsidP="00132D9E">
      <w:pPr>
        <w:numPr>
          <w:ilvl w:val="0"/>
          <w:numId w:val="34"/>
        </w:numPr>
        <w:autoSpaceDE w:val="0"/>
        <w:autoSpaceDN w:val="0"/>
        <w:adjustRightInd w:val="0"/>
        <w:spacing w:after="120"/>
        <w:ind w:left="1134" w:hanging="357"/>
        <w:contextualSpacing/>
        <w:jc w:val="both"/>
        <w:rPr>
          <w:lang w:eastAsia="en-GB"/>
        </w:rPr>
      </w:pPr>
      <w:r w:rsidRPr="009218A9">
        <w:rPr>
          <w:lang w:eastAsia="en-GB"/>
        </w:rPr>
        <w:t xml:space="preserve">Shoeburyness Fire Station </w:t>
      </w:r>
      <w:r w:rsidR="00C61E66">
        <w:rPr>
          <w:lang w:eastAsia="en-GB"/>
        </w:rPr>
        <w:t xml:space="preserve">(2023/24) </w:t>
      </w:r>
      <w:r w:rsidRPr="009218A9">
        <w:rPr>
          <w:lang w:eastAsia="en-GB"/>
        </w:rPr>
        <w:t>– The investment is for the upgrade of the Station.</w:t>
      </w:r>
    </w:p>
    <w:p w14:paraId="12CFADF6" w14:textId="4337985D" w:rsidR="00E33F3C" w:rsidRDefault="00E33F3C" w:rsidP="004137D9">
      <w:pPr>
        <w:numPr>
          <w:ilvl w:val="0"/>
          <w:numId w:val="34"/>
        </w:numPr>
        <w:autoSpaceDE w:val="0"/>
        <w:autoSpaceDN w:val="0"/>
        <w:adjustRightInd w:val="0"/>
        <w:ind w:left="1134" w:hanging="357"/>
        <w:jc w:val="both"/>
        <w:rPr>
          <w:lang w:eastAsia="en-GB"/>
        </w:rPr>
      </w:pPr>
      <w:r w:rsidRPr="009218A9">
        <w:rPr>
          <w:lang w:eastAsia="en-GB"/>
        </w:rPr>
        <w:t>ICT Strategy</w:t>
      </w:r>
      <w:r>
        <w:rPr>
          <w:lang w:eastAsia="en-GB"/>
        </w:rPr>
        <w:t xml:space="preserve"> (2023/24)</w:t>
      </w:r>
      <w:r w:rsidRPr="009218A9">
        <w:rPr>
          <w:lang w:eastAsia="en-GB"/>
        </w:rPr>
        <w:t xml:space="preserve"> – Funding was agreed as part of the Digital &amp; Data Strategy, to update the </w:t>
      </w:r>
      <w:r>
        <w:rPr>
          <w:lang w:eastAsia="en-GB"/>
        </w:rPr>
        <w:t>Authority</w:t>
      </w:r>
      <w:r w:rsidRPr="009218A9">
        <w:rPr>
          <w:lang w:eastAsia="en-GB"/>
        </w:rPr>
        <w:t>’s ICT infrastructure.</w:t>
      </w:r>
    </w:p>
    <w:p w14:paraId="3E886D23" w14:textId="0A09F03F" w:rsidR="00E33F3C" w:rsidRDefault="0025419C" w:rsidP="004137D9">
      <w:pPr>
        <w:numPr>
          <w:ilvl w:val="0"/>
          <w:numId w:val="34"/>
        </w:numPr>
        <w:autoSpaceDE w:val="0"/>
        <w:autoSpaceDN w:val="0"/>
        <w:adjustRightInd w:val="0"/>
        <w:ind w:left="1134" w:hanging="357"/>
        <w:contextualSpacing/>
        <w:jc w:val="both"/>
        <w:rPr>
          <w:lang w:eastAsia="en-GB"/>
        </w:rPr>
      </w:pPr>
      <w:r w:rsidRPr="009218A9">
        <w:rPr>
          <w:lang w:eastAsia="en-GB"/>
        </w:rPr>
        <w:t>Control Project</w:t>
      </w:r>
      <w:r>
        <w:rPr>
          <w:lang w:eastAsia="en-GB"/>
        </w:rPr>
        <w:t xml:space="preserve"> (2023/24)</w:t>
      </w:r>
      <w:r w:rsidRPr="009218A9">
        <w:rPr>
          <w:lang w:eastAsia="en-GB"/>
        </w:rPr>
        <w:t xml:space="preserve"> – The investment is required to upgrade the Emergency Services Network, vital to the delivery of services.</w:t>
      </w:r>
    </w:p>
    <w:p w14:paraId="0AD3E478" w14:textId="34C8B1F3" w:rsidR="00B32D30" w:rsidRDefault="00B32D30" w:rsidP="004137D9">
      <w:pPr>
        <w:numPr>
          <w:ilvl w:val="0"/>
          <w:numId w:val="34"/>
        </w:numPr>
        <w:autoSpaceDE w:val="0"/>
        <w:autoSpaceDN w:val="0"/>
        <w:adjustRightInd w:val="0"/>
        <w:ind w:left="1134" w:hanging="357"/>
        <w:contextualSpacing/>
        <w:jc w:val="both"/>
        <w:rPr>
          <w:lang w:eastAsia="en-GB"/>
        </w:rPr>
      </w:pPr>
      <w:r>
        <w:rPr>
          <w:lang w:eastAsia="en-GB"/>
        </w:rPr>
        <w:t xml:space="preserve">Hybrid Vehicles (2023/24) – The Authority is investing in </w:t>
      </w:r>
      <w:r w:rsidR="002758CA">
        <w:rPr>
          <w:lang w:eastAsia="en-GB"/>
        </w:rPr>
        <w:t>hybrid vehicles as part of its Environmental Strategy.</w:t>
      </w:r>
    </w:p>
    <w:p w14:paraId="17B3FD42" w14:textId="7C531497" w:rsidR="00AE5855" w:rsidRPr="009218A9" w:rsidRDefault="00AE5855" w:rsidP="004137D9">
      <w:pPr>
        <w:numPr>
          <w:ilvl w:val="0"/>
          <w:numId w:val="34"/>
        </w:numPr>
        <w:autoSpaceDE w:val="0"/>
        <w:autoSpaceDN w:val="0"/>
        <w:adjustRightInd w:val="0"/>
        <w:ind w:left="1134" w:hanging="357"/>
        <w:contextualSpacing/>
        <w:jc w:val="both"/>
        <w:rPr>
          <w:lang w:eastAsia="en-GB"/>
        </w:rPr>
      </w:pPr>
      <w:r>
        <w:rPr>
          <w:lang w:eastAsia="en-GB"/>
        </w:rPr>
        <w:t xml:space="preserve">Savings Initiatives (2024/25) – The Authority is funding </w:t>
      </w:r>
      <w:r w:rsidR="00BE1F98">
        <w:rPr>
          <w:lang w:eastAsia="en-GB"/>
        </w:rPr>
        <w:t>ICT and vehicle expenditure as a cost saving initiative</w:t>
      </w:r>
      <w:r w:rsidR="00257177">
        <w:rPr>
          <w:lang w:eastAsia="en-GB"/>
        </w:rPr>
        <w:t>.</w:t>
      </w:r>
    </w:p>
    <w:p w14:paraId="600946B0" w14:textId="21DA40C0" w:rsidR="0061162A" w:rsidRPr="009218A9" w:rsidRDefault="0061162A" w:rsidP="00132D9E">
      <w:pPr>
        <w:numPr>
          <w:ilvl w:val="0"/>
          <w:numId w:val="34"/>
        </w:numPr>
        <w:autoSpaceDE w:val="0"/>
        <w:autoSpaceDN w:val="0"/>
        <w:adjustRightInd w:val="0"/>
        <w:spacing w:after="120"/>
        <w:ind w:left="1134" w:hanging="357"/>
        <w:contextualSpacing/>
        <w:jc w:val="both"/>
        <w:rPr>
          <w:lang w:eastAsia="en-GB"/>
        </w:rPr>
      </w:pPr>
      <w:r w:rsidRPr="009218A9">
        <w:rPr>
          <w:lang w:eastAsia="en-GB"/>
        </w:rPr>
        <w:t xml:space="preserve">Service </w:t>
      </w:r>
      <w:r w:rsidR="00167E77" w:rsidRPr="009218A9">
        <w:rPr>
          <w:lang w:eastAsia="en-GB"/>
        </w:rPr>
        <w:t xml:space="preserve">Workshops </w:t>
      </w:r>
      <w:r w:rsidR="00BD4370">
        <w:rPr>
          <w:lang w:eastAsia="en-GB"/>
        </w:rPr>
        <w:t xml:space="preserve">(2027/28) </w:t>
      </w:r>
      <w:r w:rsidR="009218A9" w:rsidRPr="009218A9">
        <w:rPr>
          <w:lang w:eastAsia="en-GB"/>
        </w:rPr>
        <w:t>–</w:t>
      </w:r>
      <w:r w:rsidRPr="009218A9">
        <w:rPr>
          <w:lang w:eastAsia="en-GB"/>
        </w:rPr>
        <w:t xml:space="preserve"> The investment is for the relocation of the Service Workshops to a new location in Collaboration with Essex Police.</w:t>
      </w:r>
    </w:p>
    <w:p w14:paraId="5181D643" w14:textId="45924588" w:rsidR="00040C00" w:rsidRDefault="00A26C85" w:rsidP="0005431D">
      <w:pPr>
        <w:numPr>
          <w:ilvl w:val="0"/>
          <w:numId w:val="34"/>
        </w:numPr>
        <w:autoSpaceDE w:val="0"/>
        <w:autoSpaceDN w:val="0"/>
        <w:adjustRightInd w:val="0"/>
        <w:spacing w:after="360"/>
        <w:ind w:left="1134" w:hanging="357"/>
        <w:contextualSpacing/>
        <w:jc w:val="both"/>
        <w:rPr>
          <w:lang w:eastAsia="en-GB"/>
        </w:rPr>
      </w:pPr>
      <w:r w:rsidRPr="009218A9">
        <w:rPr>
          <w:lang w:eastAsia="en-GB"/>
        </w:rPr>
        <w:t>Training Centre</w:t>
      </w:r>
      <w:r w:rsidR="00C228CD">
        <w:rPr>
          <w:lang w:eastAsia="en-GB"/>
        </w:rPr>
        <w:t xml:space="preserve"> Relocation (202</w:t>
      </w:r>
      <w:r w:rsidR="00B32D30">
        <w:rPr>
          <w:lang w:eastAsia="en-GB"/>
        </w:rPr>
        <w:t>4/25 to 2026/24)</w:t>
      </w:r>
      <w:r w:rsidRPr="009218A9">
        <w:rPr>
          <w:lang w:eastAsia="en-GB"/>
        </w:rPr>
        <w:t xml:space="preserve"> – The investment is for the replacement of our existing training facilities at Wethersfield.</w:t>
      </w:r>
    </w:p>
    <w:p w14:paraId="0CD654AD" w14:textId="77777777" w:rsidR="0005431D" w:rsidRPr="0025419C" w:rsidRDefault="0005431D" w:rsidP="0005431D">
      <w:pPr>
        <w:autoSpaceDE w:val="0"/>
        <w:autoSpaceDN w:val="0"/>
        <w:adjustRightInd w:val="0"/>
        <w:spacing w:after="360"/>
        <w:ind w:left="1134"/>
        <w:contextualSpacing/>
        <w:jc w:val="both"/>
        <w:rPr>
          <w:lang w:eastAsia="en-GB"/>
        </w:rPr>
      </w:pPr>
    </w:p>
    <w:p w14:paraId="7D05A027" w14:textId="63A997C0" w:rsidR="00040C00" w:rsidRDefault="00040C00" w:rsidP="0005431D">
      <w:pPr>
        <w:autoSpaceDE w:val="0"/>
        <w:autoSpaceDN w:val="0"/>
        <w:adjustRightInd w:val="0"/>
        <w:spacing w:before="240" w:after="120"/>
        <w:ind w:left="425"/>
        <w:contextualSpacing/>
        <w:jc w:val="both"/>
        <w:rPr>
          <w:lang w:eastAsia="en-GB"/>
        </w:rPr>
      </w:pPr>
      <w:r w:rsidRPr="004B315C">
        <w:rPr>
          <w:b/>
          <w:bCs/>
          <w:lang w:eastAsia="en-GB"/>
        </w:rPr>
        <w:t>Movements against prior strategy</w:t>
      </w:r>
      <w:r>
        <w:rPr>
          <w:b/>
          <w:bCs/>
          <w:lang w:eastAsia="en-GB"/>
        </w:rPr>
        <w:t xml:space="preserve"> </w:t>
      </w:r>
      <w:r w:rsidR="00F97617">
        <w:rPr>
          <w:b/>
          <w:bCs/>
          <w:lang w:eastAsia="en-GB"/>
        </w:rPr>
        <w:t>–</w:t>
      </w:r>
      <w:r>
        <w:rPr>
          <w:b/>
          <w:bCs/>
          <w:lang w:eastAsia="en-GB"/>
        </w:rPr>
        <w:t xml:space="preserve"> </w:t>
      </w:r>
      <w:r>
        <w:rPr>
          <w:lang w:eastAsia="en-GB"/>
        </w:rPr>
        <w:t xml:space="preserve">The utilisation of Capital Reserves Reserve has been updated to reflect the funding of capital expenditure as per the Authority’s Capital Strategy. </w:t>
      </w:r>
    </w:p>
    <w:p w14:paraId="7FDEF23E" w14:textId="6EB809FC" w:rsidR="006A3CA5" w:rsidRPr="009218A9" w:rsidRDefault="003A04BF" w:rsidP="00132D9E">
      <w:pPr>
        <w:autoSpaceDE w:val="0"/>
        <w:autoSpaceDN w:val="0"/>
        <w:adjustRightInd w:val="0"/>
        <w:spacing w:after="120"/>
        <w:ind w:left="426"/>
        <w:jc w:val="both"/>
        <w:rPr>
          <w:lang w:eastAsia="en-GB"/>
        </w:rPr>
      </w:pPr>
      <w:r w:rsidRPr="009218A9">
        <w:rPr>
          <w:lang w:eastAsia="en-GB"/>
        </w:rPr>
        <w:t>The Reserves Strategy will be reviewed and updated on an Annual Basis.</w:t>
      </w:r>
      <w:r w:rsidR="00E265FC" w:rsidRPr="009218A9">
        <w:rPr>
          <w:lang w:eastAsia="en-GB"/>
        </w:rPr>
        <w:t xml:space="preserve"> Business cases prepared to support the use of reserves, will be aligned to the Fire &amp; Rescue Plan. </w:t>
      </w:r>
    </w:p>
    <w:p w14:paraId="45B8BCFA" w14:textId="2E398076" w:rsidR="00590B11" w:rsidRDefault="003A04BF" w:rsidP="0005431D">
      <w:pPr>
        <w:autoSpaceDE w:val="0"/>
        <w:autoSpaceDN w:val="0"/>
        <w:adjustRightInd w:val="0"/>
        <w:spacing w:after="480"/>
        <w:ind w:left="425"/>
        <w:jc w:val="both"/>
        <w:rPr>
          <w:lang w:eastAsia="en-GB"/>
        </w:rPr>
      </w:pPr>
      <w:r w:rsidRPr="009218A9">
        <w:rPr>
          <w:lang w:eastAsia="en-GB"/>
        </w:rPr>
        <w:t>Useable reserves will be monitored on a regular basis through the Performance and Resources Board.</w:t>
      </w:r>
      <w:r w:rsidR="00E265FC" w:rsidRPr="00AE6BE1">
        <w:rPr>
          <w:lang w:eastAsia="en-GB"/>
        </w:rPr>
        <w:t xml:space="preserve"> </w:t>
      </w:r>
    </w:p>
    <w:p w14:paraId="02E52651" w14:textId="56A66E0C" w:rsidR="00590B11" w:rsidRPr="00AE6BE1" w:rsidRDefault="00590B11" w:rsidP="00590B11">
      <w:pPr>
        <w:pStyle w:val="Heading1"/>
        <w:numPr>
          <w:ilvl w:val="0"/>
          <w:numId w:val="40"/>
        </w:numPr>
        <w:spacing w:before="0" w:after="240"/>
        <w:ind w:left="425" w:hanging="425"/>
        <w:rPr>
          <w:rFonts w:ascii="Arial" w:hAnsi="Arial" w:cs="Arial"/>
          <w:b/>
          <w:bCs/>
          <w:color w:val="auto"/>
          <w:sz w:val="28"/>
          <w:szCs w:val="28"/>
        </w:rPr>
      </w:pPr>
      <w:bookmarkStart w:id="5" w:name="_Toc161241622"/>
      <w:r>
        <w:rPr>
          <w:rFonts w:ascii="Arial" w:hAnsi="Arial" w:cs="Arial"/>
          <w:b/>
          <w:bCs/>
          <w:color w:val="auto"/>
          <w:sz w:val="28"/>
          <w:szCs w:val="28"/>
        </w:rPr>
        <w:t xml:space="preserve">Flexible Use </w:t>
      </w:r>
      <w:r w:rsidR="00F85473">
        <w:rPr>
          <w:rFonts w:ascii="Arial" w:hAnsi="Arial" w:cs="Arial"/>
          <w:b/>
          <w:bCs/>
          <w:color w:val="auto"/>
          <w:sz w:val="28"/>
          <w:szCs w:val="28"/>
        </w:rPr>
        <w:t>of</w:t>
      </w:r>
      <w:r>
        <w:rPr>
          <w:rFonts w:ascii="Arial" w:hAnsi="Arial" w:cs="Arial"/>
          <w:b/>
          <w:bCs/>
          <w:color w:val="auto"/>
          <w:sz w:val="28"/>
          <w:szCs w:val="28"/>
        </w:rPr>
        <w:t xml:space="preserve"> Capital Receipts</w:t>
      </w:r>
      <w:bookmarkEnd w:id="5"/>
    </w:p>
    <w:p w14:paraId="0F67538A" w14:textId="51982433" w:rsidR="004F7D4F" w:rsidRDefault="004F7D4F" w:rsidP="004F7D4F">
      <w:pPr>
        <w:autoSpaceDE w:val="0"/>
        <w:autoSpaceDN w:val="0"/>
        <w:adjustRightInd w:val="0"/>
        <w:spacing w:after="120"/>
        <w:ind w:left="426"/>
        <w:jc w:val="both"/>
        <w:rPr>
          <w:lang w:eastAsia="en-GB"/>
        </w:rPr>
      </w:pPr>
      <w:r>
        <w:rPr>
          <w:lang w:eastAsia="en-GB"/>
        </w:rPr>
        <w:t xml:space="preserve">Capital </w:t>
      </w:r>
      <w:r w:rsidR="00883A8D">
        <w:rPr>
          <w:lang w:eastAsia="en-GB"/>
        </w:rPr>
        <w:t>R</w:t>
      </w:r>
      <w:r>
        <w:rPr>
          <w:lang w:eastAsia="en-GB"/>
        </w:rPr>
        <w:t>eceipts</w:t>
      </w:r>
      <w:r w:rsidR="00883A8D">
        <w:rPr>
          <w:lang w:eastAsia="en-GB"/>
        </w:rPr>
        <w:t xml:space="preserve"> Reserves</w:t>
      </w:r>
      <w:r>
        <w:rPr>
          <w:lang w:eastAsia="en-GB"/>
        </w:rPr>
        <w:t xml:space="preserve"> can only be used for specific purposes, and these are set out in Regulation 23 of the Local Authorities (Capital Finance and Accounting) (England) Regulations 2003 made under Section 11 of the Local Government Act 2003. The main permitted purpose is to fund capital expenditure, and the use of capital receipts to support revenue expenditure is not allowed by the regulations. </w:t>
      </w:r>
    </w:p>
    <w:p w14:paraId="6CF4E8BB" w14:textId="1B4ECD48" w:rsidR="004F7D4F" w:rsidRDefault="004F7D4F" w:rsidP="004F7D4F">
      <w:pPr>
        <w:autoSpaceDE w:val="0"/>
        <w:autoSpaceDN w:val="0"/>
        <w:adjustRightInd w:val="0"/>
        <w:spacing w:after="120"/>
        <w:ind w:left="426"/>
        <w:jc w:val="both"/>
        <w:rPr>
          <w:lang w:eastAsia="en-GB"/>
        </w:rPr>
      </w:pPr>
      <w:r>
        <w:rPr>
          <w:lang w:eastAsia="en-GB"/>
        </w:rPr>
        <w:t xml:space="preserve">The Secretary of State is empowered to issue Directions allowing expenditure incurred by local authorities to be treated as capital expenditure. Where such a direction is made, the specified expenditure can then be funded from capital receipts under the Regulations. </w:t>
      </w:r>
    </w:p>
    <w:p w14:paraId="0A914B84" w14:textId="77777777" w:rsidR="004F7D4F" w:rsidRDefault="004F7D4F" w:rsidP="004F7D4F">
      <w:pPr>
        <w:autoSpaceDE w:val="0"/>
        <w:autoSpaceDN w:val="0"/>
        <w:adjustRightInd w:val="0"/>
        <w:spacing w:after="120"/>
        <w:ind w:left="426"/>
        <w:jc w:val="both"/>
        <w:rPr>
          <w:lang w:eastAsia="en-GB"/>
        </w:rPr>
      </w:pPr>
      <w:r>
        <w:rPr>
          <w:lang w:eastAsia="en-GB"/>
        </w:rPr>
        <w:t xml:space="preserve">The Secretary of State for Communities and Local Government issued guidance in March 2016 giving local authorities greater freedoms with how capital receipts could be utilised. </w:t>
      </w:r>
    </w:p>
    <w:p w14:paraId="030ACAEB" w14:textId="77777777" w:rsidR="004F7D4F" w:rsidRDefault="004F7D4F" w:rsidP="004F7D4F">
      <w:pPr>
        <w:autoSpaceDE w:val="0"/>
        <w:autoSpaceDN w:val="0"/>
        <w:adjustRightInd w:val="0"/>
        <w:spacing w:after="120"/>
        <w:ind w:left="426"/>
        <w:jc w:val="both"/>
        <w:rPr>
          <w:lang w:eastAsia="en-GB"/>
        </w:rPr>
      </w:pPr>
      <w:r>
        <w:rPr>
          <w:lang w:eastAsia="en-GB"/>
        </w:rPr>
        <w:t xml:space="preserve">This Direction allows for the following expenditure to be treated as capital: </w:t>
      </w:r>
    </w:p>
    <w:p w14:paraId="27792331" w14:textId="77777777" w:rsidR="004F7D4F" w:rsidRDefault="004F7D4F" w:rsidP="004F7D4F">
      <w:pPr>
        <w:autoSpaceDE w:val="0"/>
        <w:autoSpaceDN w:val="0"/>
        <w:adjustRightInd w:val="0"/>
        <w:spacing w:after="120"/>
        <w:ind w:left="426"/>
        <w:jc w:val="both"/>
        <w:rPr>
          <w:lang w:eastAsia="en-GB"/>
        </w:rPr>
      </w:pPr>
      <w:r>
        <w:rPr>
          <w:lang w:eastAsia="en-GB"/>
        </w:rPr>
        <w:t xml:space="preserve">“Expenditure on any project that is designed to generate ongoing revenue savings in the delivery of public services and/or transform service delivery to reduce costs and/or transform service delivery in a way that reduces costs or demand for services in future years for any of the public sector delivery partners.” </w:t>
      </w:r>
    </w:p>
    <w:p w14:paraId="578F834D" w14:textId="4C139C6E" w:rsidR="00590B11" w:rsidRDefault="004F7D4F" w:rsidP="004F7D4F">
      <w:pPr>
        <w:autoSpaceDE w:val="0"/>
        <w:autoSpaceDN w:val="0"/>
        <w:adjustRightInd w:val="0"/>
        <w:spacing w:after="120"/>
        <w:ind w:left="426"/>
        <w:jc w:val="both"/>
        <w:rPr>
          <w:lang w:eastAsia="en-GB"/>
        </w:rPr>
      </w:pPr>
      <w:r>
        <w:rPr>
          <w:lang w:eastAsia="en-GB"/>
        </w:rPr>
        <w:lastRenderedPageBreak/>
        <w:t xml:space="preserve">To take advantage of this freedom, the </w:t>
      </w:r>
      <w:r w:rsidR="00BE3DE4">
        <w:rPr>
          <w:lang w:eastAsia="en-GB"/>
        </w:rPr>
        <w:t>Authority</w:t>
      </w:r>
      <w:r>
        <w:rPr>
          <w:lang w:eastAsia="en-GB"/>
        </w:rPr>
        <w:t xml:space="preserve"> must act in accordance with the Statutory Guidance issued by the Secretary of State. This guidance requires the </w:t>
      </w:r>
      <w:r w:rsidR="002745CB">
        <w:rPr>
          <w:lang w:eastAsia="en-GB"/>
        </w:rPr>
        <w:t>Authority</w:t>
      </w:r>
      <w:r>
        <w:rPr>
          <w:lang w:eastAsia="en-GB"/>
        </w:rPr>
        <w:t xml:space="preserve"> to prepare, publish and maintain a Flexible Use of Capital Receipts Strategy, with the initial strategy being effective from 1 April 2016 with future strategies included within future annual budget documents and reported as appropriate.</w:t>
      </w:r>
    </w:p>
    <w:p w14:paraId="27E26B66" w14:textId="62E7B918" w:rsidR="005123B1" w:rsidRPr="00AE6BE1" w:rsidRDefault="00AB2C93" w:rsidP="0005431D">
      <w:pPr>
        <w:autoSpaceDE w:val="0"/>
        <w:autoSpaceDN w:val="0"/>
        <w:adjustRightInd w:val="0"/>
        <w:spacing w:after="480"/>
        <w:ind w:left="425"/>
        <w:jc w:val="both"/>
        <w:rPr>
          <w:lang w:eastAsia="en-GB"/>
        </w:rPr>
      </w:pPr>
      <w:r>
        <w:rPr>
          <w:lang w:eastAsia="en-GB"/>
        </w:rPr>
        <w:t xml:space="preserve">The </w:t>
      </w:r>
      <w:r w:rsidR="00BE3DE4">
        <w:rPr>
          <w:lang w:eastAsia="en-GB"/>
        </w:rPr>
        <w:t>Authority</w:t>
      </w:r>
      <w:r>
        <w:rPr>
          <w:lang w:eastAsia="en-GB"/>
        </w:rPr>
        <w:t xml:space="preserve"> does not plan to apply </w:t>
      </w:r>
      <w:r w:rsidR="00697E64">
        <w:rPr>
          <w:lang w:eastAsia="en-GB"/>
        </w:rPr>
        <w:t xml:space="preserve">Capital Receipts Flexibility </w:t>
      </w:r>
      <w:r w:rsidR="00BC686C">
        <w:rPr>
          <w:lang w:eastAsia="en-GB"/>
        </w:rPr>
        <w:t>in 2024/25</w:t>
      </w:r>
      <w:r w:rsidR="00B70C6A">
        <w:rPr>
          <w:lang w:eastAsia="en-GB"/>
        </w:rPr>
        <w:t>.</w:t>
      </w:r>
      <w:r w:rsidR="00F85473">
        <w:rPr>
          <w:lang w:eastAsia="en-GB"/>
        </w:rPr>
        <w:t xml:space="preserve"> </w:t>
      </w:r>
    </w:p>
    <w:p w14:paraId="24411F0A" w14:textId="0607313B" w:rsidR="001D3D23" w:rsidRPr="00AE6BE1" w:rsidRDefault="001D3D23" w:rsidP="0005431D">
      <w:pPr>
        <w:pStyle w:val="Heading1"/>
        <w:numPr>
          <w:ilvl w:val="0"/>
          <w:numId w:val="40"/>
        </w:numPr>
        <w:spacing w:before="0" w:after="120"/>
        <w:ind w:left="425" w:hanging="425"/>
        <w:rPr>
          <w:rFonts w:ascii="Arial" w:hAnsi="Arial" w:cs="Arial"/>
          <w:b/>
          <w:bCs/>
          <w:color w:val="auto"/>
          <w:sz w:val="28"/>
          <w:szCs w:val="28"/>
        </w:rPr>
      </w:pPr>
      <w:bookmarkStart w:id="6" w:name="_Toc161241623"/>
      <w:r w:rsidRPr="00AE6BE1">
        <w:rPr>
          <w:rFonts w:ascii="Arial" w:hAnsi="Arial" w:cs="Arial"/>
          <w:b/>
          <w:bCs/>
          <w:color w:val="auto"/>
          <w:sz w:val="28"/>
          <w:szCs w:val="28"/>
        </w:rPr>
        <w:t>Risks</w:t>
      </w:r>
      <w:bookmarkEnd w:id="6"/>
    </w:p>
    <w:p w14:paraId="2D12EE8E" w14:textId="1DDE74A4" w:rsidR="00092FFC" w:rsidRPr="00AE6BE1" w:rsidRDefault="00BF36DB" w:rsidP="00092FFC">
      <w:pPr>
        <w:autoSpaceDE w:val="0"/>
        <w:autoSpaceDN w:val="0"/>
        <w:adjustRightInd w:val="0"/>
        <w:spacing w:after="120"/>
        <w:ind w:left="426"/>
        <w:jc w:val="both"/>
        <w:rPr>
          <w:lang w:eastAsia="en-GB"/>
        </w:rPr>
      </w:pPr>
      <w:r w:rsidRPr="00AE6BE1">
        <w:rPr>
          <w:lang w:eastAsia="en-GB"/>
        </w:rPr>
        <w:t xml:space="preserve">The Reserves Strategy has </w:t>
      </w:r>
      <w:r w:rsidR="00092FFC" w:rsidRPr="00AE6BE1">
        <w:rPr>
          <w:lang w:eastAsia="en-GB"/>
        </w:rPr>
        <w:t>considered</w:t>
      </w:r>
      <w:r w:rsidRPr="00AE6BE1">
        <w:rPr>
          <w:lang w:eastAsia="en-GB"/>
        </w:rPr>
        <w:t xml:space="preserve"> all significant financial risks to the </w:t>
      </w:r>
      <w:r w:rsidR="00FF10FD">
        <w:rPr>
          <w:lang w:eastAsia="en-GB"/>
        </w:rPr>
        <w:t>Authority</w:t>
      </w:r>
      <w:r w:rsidRPr="00AE6BE1">
        <w:rPr>
          <w:lang w:eastAsia="en-GB"/>
        </w:rPr>
        <w:t xml:space="preserve">, which are expected to </w:t>
      </w:r>
      <w:r w:rsidR="00092FFC" w:rsidRPr="00AE6BE1">
        <w:rPr>
          <w:lang w:eastAsia="en-GB"/>
        </w:rPr>
        <w:t xml:space="preserve">have an impact </w:t>
      </w:r>
      <w:r w:rsidR="00F83945" w:rsidRPr="00AE6BE1">
        <w:rPr>
          <w:lang w:eastAsia="en-GB"/>
        </w:rPr>
        <w:t xml:space="preserve">in the next </w:t>
      </w:r>
      <w:r w:rsidR="00C800A0">
        <w:rPr>
          <w:lang w:eastAsia="en-GB"/>
        </w:rPr>
        <w:t>three</w:t>
      </w:r>
      <w:r w:rsidR="00F83945" w:rsidRPr="00AE6BE1">
        <w:rPr>
          <w:lang w:eastAsia="en-GB"/>
        </w:rPr>
        <w:t xml:space="preserve"> years. </w:t>
      </w:r>
      <w:r w:rsidR="00092FFC" w:rsidRPr="00AE6BE1">
        <w:rPr>
          <w:lang w:eastAsia="en-GB"/>
        </w:rPr>
        <w:t xml:space="preserve">Reserves are monitored throughout the year in the finance pack presented to the Performance and Resources Board each month. Earmarked </w:t>
      </w:r>
      <w:r w:rsidR="00955B20" w:rsidRPr="00AE6BE1">
        <w:rPr>
          <w:lang w:eastAsia="en-GB"/>
        </w:rPr>
        <w:t>R</w:t>
      </w:r>
      <w:r w:rsidR="00092FFC" w:rsidRPr="00AE6BE1">
        <w:rPr>
          <w:lang w:eastAsia="en-GB"/>
        </w:rPr>
        <w:t>eserves are released throughout the year to mitigate against the financial impact of Service transformation.</w:t>
      </w:r>
    </w:p>
    <w:p w14:paraId="2001CF63" w14:textId="59413D05" w:rsidR="00F83945" w:rsidRDefault="00955B20" w:rsidP="00092FFC">
      <w:pPr>
        <w:autoSpaceDE w:val="0"/>
        <w:autoSpaceDN w:val="0"/>
        <w:adjustRightInd w:val="0"/>
        <w:spacing w:after="120"/>
        <w:ind w:left="426"/>
        <w:jc w:val="both"/>
        <w:rPr>
          <w:lang w:eastAsia="en-GB"/>
        </w:rPr>
      </w:pPr>
      <w:r w:rsidRPr="00AE6BE1">
        <w:rPr>
          <w:lang w:eastAsia="en-GB"/>
        </w:rPr>
        <w:t xml:space="preserve">One specific risk to the </w:t>
      </w:r>
      <w:r w:rsidR="00BE3DE4">
        <w:rPr>
          <w:lang w:eastAsia="en-GB"/>
        </w:rPr>
        <w:t>Authority</w:t>
      </w:r>
      <w:r w:rsidRPr="00AE6BE1">
        <w:rPr>
          <w:lang w:eastAsia="en-GB"/>
        </w:rPr>
        <w:t>, for which an Earmarked Reserve has not been created</w:t>
      </w:r>
      <w:r w:rsidR="00993808" w:rsidRPr="00AE6BE1">
        <w:rPr>
          <w:lang w:eastAsia="en-GB"/>
        </w:rPr>
        <w:t>,</w:t>
      </w:r>
      <w:r w:rsidRPr="00AE6BE1">
        <w:rPr>
          <w:lang w:eastAsia="en-GB"/>
        </w:rPr>
        <w:t xml:space="preserve"> is the </w:t>
      </w:r>
      <w:r w:rsidR="00017036" w:rsidRPr="00AE6BE1">
        <w:rPr>
          <w:lang w:eastAsia="en-GB"/>
        </w:rPr>
        <w:t>outcome of</w:t>
      </w:r>
      <w:r w:rsidRPr="00AE6BE1">
        <w:rPr>
          <w:lang w:eastAsia="en-GB"/>
        </w:rPr>
        <w:t xml:space="preserve"> the McCloud/Sargeant</w:t>
      </w:r>
      <w:r w:rsidR="00017036" w:rsidRPr="00AE6BE1">
        <w:rPr>
          <w:lang w:eastAsia="en-GB"/>
        </w:rPr>
        <w:t xml:space="preserve"> case in respect of the Firefighters Pension Scheme.</w:t>
      </w:r>
      <w:r w:rsidR="00993808" w:rsidRPr="00AE6BE1">
        <w:rPr>
          <w:lang w:eastAsia="en-GB"/>
        </w:rPr>
        <w:t xml:space="preserve"> </w:t>
      </w:r>
      <w:r w:rsidR="00BE3DE4">
        <w:rPr>
          <w:lang w:eastAsia="en-GB"/>
        </w:rPr>
        <w:t>The remedy has been agreed under The Firefighters Pensions (Remedial Service) Regulations 2023</w:t>
      </w:r>
      <w:r w:rsidR="00AE19A4">
        <w:rPr>
          <w:lang w:eastAsia="en-GB"/>
        </w:rPr>
        <w:t>, and qualifying expenditure is chargeable to the pension fund, therefore</w:t>
      </w:r>
      <w:r w:rsidR="001E6652">
        <w:rPr>
          <w:lang w:eastAsia="en-GB"/>
        </w:rPr>
        <w:t xml:space="preserve"> an Earmarked Reserve has not been created.</w:t>
      </w:r>
    </w:p>
    <w:p w14:paraId="2D8A505B" w14:textId="77777777" w:rsidR="0005431D" w:rsidRDefault="007F646D" w:rsidP="0005431D">
      <w:pPr>
        <w:autoSpaceDE w:val="0"/>
        <w:autoSpaceDN w:val="0"/>
        <w:adjustRightInd w:val="0"/>
        <w:spacing w:after="360"/>
        <w:ind w:left="425"/>
        <w:jc w:val="both"/>
        <w:rPr>
          <w:lang w:eastAsia="en-GB"/>
        </w:rPr>
        <w:sectPr w:rsidR="0005431D" w:rsidSect="00761694">
          <w:pgSz w:w="11906" w:h="16838" w:code="9"/>
          <w:pgMar w:top="1134" w:right="1134" w:bottom="142" w:left="1276" w:header="709" w:footer="709" w:gutter="0"/>
          <w:cols w:space="708"/>
          <w:titlePg/>
          <w:docGrid w:linePitch="360"/>
        </w:sectPr>
      </w:pPr>
      <w:r>
        <w:rPr>
          <w:lang w:eastAsia="en-GB"/>
        </w:rPr>
        <w:t xml:space="preserve">Additionally, </w:t>
      </w:r>
      <w:r w:rsidR="007E12F2">
        <w:rPr>
          <w:lang w:eastAsia="en-GB"/>
        </w:rPr>
        <w:t xml:space="preserve">there is a risk of additional unbudgeted cost pressures as a result of the </w:t>
      </w:r>
      <w:r w:rsidR="00FD0B28">
        <w:rPr>
          <w:lang w:eastAsia="en-GB"/>
        </w:rPr>
        <w:t>cost of living crisis and war in Ukraine</w:t>
      </w:r>
      <w:r w:rsidR="007E12F2">
        <w:rPr>
          <w:lang w:eastAsia="en-GB"/>
        </w:rPr>
        <w:t>.</w:t>
      </w:r>
      <w:r w:rsidR="00945677">
        <w:rPr>
          <w:lang w:eastAsia="en-GB"/>
        </w:rPr>
        <w:t xml:space="preserve"> This risk is mitigated by </w:t>
      </w:r>
      <w:r w:rsidR="00012FF0">
        <w:rPr>
          <w:lang w:eastAsia="en-GB"/>
        </w:rPr>
        <w:t>regular updates to the Medium Term Financial Strategy in the year, and</w:t>
      </w:r>
      <w:r w:rsidR="007E12F2">
        <w:rPr>
          <w:lang w:eastAsia="en-GB"/>
        </w:rPr>
        <w:t xml:space="preserve"> </w:t>
      </w:r>
      <w:r w:rsidR="00734468">
        <w:rPr>
          <w:lang w:eastAsia="en-GB"/>
        </w:rPr>
        <w:t xml:space="preserve">if reserves need to be reprioritised then proposals will be </w:t>
      </w:r>
      <w:r w:rsidR="00FA4195">
        <w:rPr>
          <w:lang w:eastAsia="en-GB"/>
        </w:rPr>
        <w:t>submitted to the PFCC for approval.</w:t>
      </w:r>
    </w:p>
    <w:p w14:paraId="5593F75C" w14:textId="728E656D" w:rsidR="002C78FA" w:rsidRPr="00820C27" w:rsidRDefault="008114EA" w:rsidP="00820C27">
      <w:pPr>
        <w:pStyle w:val="Heading1"/>
        <w:spacing w:before="0" w:after="240"/>
        <w:rPr>
          <w:rFonts w:ascii="Arial" w:hAnsi="Arial" w:cs="Arial"/>
          <w:b/>
          <w:bCs/>
          <w:color w:val="auto"/>
          <w:sz w:val="28"/>
          <w:szCs w:val="28"/>
        </w:rPr>
      </w:pPr>
      <w:bookmarkStart w:id="7" w:name="_Toc161241624"/>
      <w:r>
        <w:rPr>
          <w:rFonts w:ascii="Arial" w:hAnsi="Arial" w:cs="Arial"/>
          <w:b/>
          <w:bCs/>
          <w:color w:val="auto"/>
          <w:sz w:val="28"/>
          <w:szCs w:val="28"/>
        </w:rPr>
        <w:lastRenderedPageBreak/>
        <w:t>Appendix 1 – Summary Table of Reserves</w:t>
      </w:r>
      <w:bookmarkEnd w:id="7"/>
    </w:p>
    <w:tbl>
      <w:tblPr>
        <w:tblpPr w:leftFromText="180" w:rightFromText="180" w:vertAnchor="text" w:tblpY="1"/>
        <w:tblOverlap w:val="never"/>
        <w:tblW w:w="8642" w:type="dxa"/>
        <w:tblLook w:val="04A0" w:firstRow="1" w:lastRow="0" w:firstColumn="1" w:lastColumn="0" w:noHBand="0" w:noVBand="1"/>
      </w:tblPr>
      <w:tblGrid>
        <w:gridCol w:w="2972"/>
        <w:gridCol w:w="1418"/>
        <w:gridCol w:w="1417"/>
        <w:gridCol w:w="1418"/>
        <w:gridCol w:w="1417"/>
      </w:tblGrid>
      <w:tr w:rsidR="00DD7CCE" w:rsidRPr="00AE6BE1" w14:paraId="29985218" w14:textId="77777777" w:rsidTr="00DD7CCE">
        <w:trPr>
          <w:trHeight w:val="1536"/>
        </w:trPr>
        <w:tc>
          <w:tcPr>
            <w:tcW w:w="2972" w:type="dxa"/>
            <w:tcBorders>
              <w:top w:val="single" w:sz="4" w:space="0" w:color="auto"/>
              <w:left w:val="single" w:sz="4" w:space="0" w:color="auto"/>
              <w:bottom w:val="single" w:sz="8" w:space="0" w:color="auto"/>
              <w:right w:val="nil"/>
            </w:tcBorders>
            <w:shd w:val="clear" w:color="000000" w:fill="BDD7EE"/>
            <w:vAlign w:val="center"/>
            <w:hideMark/>
          </w:tcPr>
          <w:p w14:paraId="306C718B" w14:textId="13BA0346" w:rsidR="00DD7CCE" w:rsidRPr="00AE6BE1" w:rsidRDefault="00DD7CCE" w:rsidP="009F15E8">
            <w:pPr>
              <w:rPr>
                <w:b/>
                <w:bCs/>
                <w:sz w:val="22"/>
                <w:szCs w:val="22"/>
                <w:lang w:eastAsia="en-GB"/>
              </w:rPr>
            </w:pPr>
            <w:r>
              <w:rPr>
                <w:b/>
                <w:bCs/>
                <w:sz w:val="22"/>
                <w:szCs w:val="22"/>
                <w:lang w:eastAsia="en-GB"/>
              </w:rPr>
              <w:t>Summary Table of Reserves</w:t>
            </w:r>
            <w:r w:rsidRPr="00AE6BE1">
              <w:rPr>
                <w:b/>
                <w:bCs/>
                <w:sz w:val="22"/>
                <w:szCs w:val="22"/>
                <w:lang w:eastAsia="en-GB"/>
              </w:rPr>
              <w:t xml:space="preserve"> </w:t>
            </w:r>
          </w:p>
        </w:tc>
        <w:tc>
          <w:tcPr>
            <w:tcW w:w="1418" w:type="dxa"/>
            <w:tcBorders>
              <w:top w:val="single" w:sz="4" w:space="0" w:color="auto"/>
              <w:left w:val="nil"/>
              <w:bottom w:val="single" w:sz="8" w:space="0" w:color="auto"/>
              <w:right w:val="nil"/>
            </w:tcBorders>
            <w:shd w:val="clear" w:color="000000" w:fill="BDD7EE"/>
            <w:vAlign w:val="center"/>
            <w:hideMark/>
          </w:tcPr>
          <w:p w14:paraId="4B4CA53B" w14:textId="79E9464A" w:rsidR="00DD7CCE" w:rsidRPr="00AE6BE1" w:rsidRDefault="00DD7CCE" w:rsidP="009F15E8">
            <w:pPr>
              <w:jc w:val="center"/>
              <w:rPr>
                <w:b/>
                <w:bCs/>
                <w:sz w:val="22"/>
                <w:szCs w:val="22"/>
                <w:lang w:eastAsia="en-GB"/>
              </w:rPr>
            </w:pPr>
            <w:r w:rsidRPr="00AE6BE1">
              <w:rPr>
                <w:b/>
                <w:bCs/>
                <w:sz w:val="22"/>
                <w:szCs w:val="22"/>
                <w:lang w:eastAsia="en-GB"/>
              </w:rPr>
              <w:t>Published Balance at 31 March 202</w:t>
            </w:r>
            <w:r>
              <w:rPr>
                <w:b/>
                <w:bCs/>
                <w:sz w:val="22"/>
                <w:szCs w:val="22"/>
                <w:lang w:eastAsia="en-GB"/>
              </w:rPr>
              <w:t>3</w:t>
            </w:r>
            <w:r w:rsidRPr="00AE6BE1">
              <w:rPr>
                <w:b/>
                <w:bCs/>
                <w:sz w:val="22"/>
                <w:szCs w:val="22"/>
                <w:lang w:eastAsia="en-GB"/>
              </w:rPr>
              <w:br/>
              <w:t>£000’s</w:t>
            </w:r>
          </w:p>
        </w:tc>
        <w:tc>
          <w:tcPr>
            <w:tcW w:w="1417" w:type="dxa"/>
            <w:tcBorders>
              <w:top w:val="single" w:sz="4" w:space="0" w:color="auto"/>
              <w:left w:val="nil"/>
              <w:bottom w:val="single" w:sz="8" w:space="0" w:color="auto"/>
              <w:right w:val="nil"/>
            </w:tcBorders>
            <w:shd w:val="clear" w:color="000000" w:fill="BDD7EE"/>
            <w:vAlign w:val="center"/>
            <w:hideMark/>
          </w:tcPr>
          <w:p w14:paraId="566BAA10" w14:textId="32104328" w:rsidR="00DD7CCE" w:rsidRPr="00AE6BE1" w:rsidRDefault="00DD7CCE" w:rsidP="009F15E8">
            <w:pPr>
              <w:jc w:val="center"/>
              <w:rPr>
                <w:b/>
                <w:bCs/>
                <w:sz w:val="22"/>
                <w:szCs w:val="22"/>
                <w:lang w:eastAsia="en-GB"/>
              </w:rPr>
            </w:pPr>
            <w:r w:rsidRPr="00AE6BE1">
              <w:rPr>
                <w:b/>
                <w:bCs/>
                <w:sz w:val="22"/>
                <w:szCs w:val="22"/>
                <w:lang w:eastAsia="en-GB"/>
              </w:rPr>
              <w:t>Projected Balance at 31 March 202</w:t>
            </w:r>
            <w:r>
              <w:rPr>
                <w:b/>
                <w:bCs/>
                <w:sz w:val="22"/>
                <w:szCs w:val="22"/>
                <w:lang w:eastAsia="en-GB"/>
              </w:rPr>
              <w:t>4</w:t>
            </w:r>
            <w:r w:rsidRPr="00AE6BE1">
              <w:rPr>
                <w:b/>
                <w:bCs/>
                <w:sz w:val="22"/>
                <w:szCs w:val="22"/>
                <w:lang w:eastAsia="en-GB"/>
              </w:rPr>
              <w:br/>
              <w:t>£000’s</w:t>
            </w:r>
          </w:p>
        </w:tc>
        <w:tc>
          <w:tcPr>
            <w:tcW w:w="1418" w:type="dxa"/>
            <w:tcBorders>
              <w:top w:val="single" w:sz="4" w:space="0" w:color="auto"/>
              <w:left w:val="nil"/>
              <w:bottom w:val="single" w:sz="8" w:space="0" w:color="auto"/>
              <w:right w:val="nil"/>
            </w:tcBorders>
            <w:shd w:val="clear" w:color="000000" w:fill="BDD7EE"/>
            <w:vAlign w:val="center"/>
            <w:hideMark/>
          </w:tcPr>
          <w:p w14:paraId="7B681BA6" w14:textId="06F4E714" w:rsidR="00DD7CCE" w:rsidRPr="00AE6BE1" w:rsidRDefault="00DD7CCE" w:rsidP="009F15E8">
            <w:pPr>
              <w:jc w:val="center"/>
              <w:rPr>
                <w:b/>
                <w:bCs/>
                <w:sz w:val="22"/>
                <w:szCs w:val="22"/>
                <w:lang w:eastAsia="en-GB"/>
              </w:rPr>
            </w:pPr>
            <w:r w:rsidRPr="00AE6BE1">
              <w:rPr>
                <w:b/>
                <w:bCs/>
                <w:sz w:val="22"/>
                <w:szCs w:val="22"/>
                <w:lang w:eastAsia="en-GB"/>
              </w:rPr>
              <w:t>Projected Balance at 31 March 202</w:t>
            </w:r>
            <w:r>
              <w:rPr>
                <w:b/>
                <w:bCs/>
                <w:sz w:val="22"/>
                <w:szCs w:val="22"/>
                <w:lang w:eastAsia="en-GB"/>
              </w:rPr>
              <w:t>5</w:t>
            </w:r>
            <w:r w:rsidRPr="00AE6BE1">
              <w:rPr>
                <w:b/>
                <w:bCs/>
                <w:sz w:val="22"/>
                <w:szCs w:val="22"/>
                <w:lang w:eastAsia="en-GB"/>
              </w:rPr>
              <w:br/>
              <w:t>£000’s</w:t>
            </w:r>
          </w:p>
        </w:tc>
        <w:tc>
          <w:tcPr>
            <w:tcW w:w="1417" w:type="dxa"/>
            <w:tcBorders>
              <w:top w:val="single" w:sz="4" w:space="0" w:color="auto"/>
              <w:left w:val="nil"/>
              <w:bottom w:val="single" w:sz="8" w:space="0" w:color="auto"/>
              <w:right w:val="single" w:sz="4" w:space="0" w:color="auto"/>
            </w:tcBorders>
            <w:shd w:val="clear" w:color="000000" w:fill="BDD7EE"/>
            <w:vAlign w:val="center"/>
            <w:hideMark/>
          </w:tcPr>
          <w:p w14:paraId="63F9A876" w14:textId="64C6950B" w:rsidR="00DD7CCE" w:rsidRPr="00AE6BE1" w:rsidRDefault="00DD7CCE" w:rsidP="009F15E8">
            <w:pPr>
              <w:jc w:val="center"/>
              <w:rPr>
                <w:b/>
                <w:bCs/>
                <w:sz w:val="22"/>
                <w:szCs w:val="22"/>
                <w:lang w:eastAsia="en-GB"/>
              </w:rPr>
            </w:pPr>
            <w:r w:rsidRPr="00AE6BE1">
              <w:rPr>
                <w:b/>
                <w:bCs/>
                <w:sz w:val="22"/>
                <w:szCs w:val="22"/>
                <w:lang w:eastAsia="en-GB"/>
              </w:rPr>
              <w:t>Projected Balance at 31 March 202</w:t>
            </w:r>
            <w:r>
              <w:rPr>
                <w:b/>
                <w:bCs/>
                <w:sz w:val="22"/>
                <w:szCs w:val="22"/>
                <w:lang w:eastAsia="en-GB"/>
              </w:rPr>
              <w:t>6</w:t>
            </w:r>
            <w:r w:rsidRPr="00AE6BE1">
              <w:rPr>
                <w:b/>
                <w:bCs/>
                <w:sz w:val="22"/>
                <w:szCs w:val="22"/>
                <w:lang w:eastAsia="en-GB"/>
              </w:rPr>
              <w:br/>
              <w:t>£000’s</w:t>
            </w:r>
          </w:p>
        </w:tc>
      </w:tr>
      <w:tr w:rsidR="00DD7CCE" w:rsidRPr="0069418C" w14:paraId="4AFC0843" w14:textId="77777777" w:rsidTr="00DD7CCE">
        <w:trPr>
          <w:trHeight w:hRule="exact" w:val="309"/>
        </w:trPr>
        <w:tc>
          <w:tcPr>
            <w:tcW w:w="2972" w:type="dxa"/>
            <w:tcBorders>
              <w:top w:val="nil"/>
              <w:left w:val="single" w:sz="4" w:space="0" w:color="auto"/>
              <w:bottom w:val="nil"/>
              <w:right w:val="single" w:sz="4" w:space="0" w:color="auto"/>
            </w:tcBorders>
            <w:shd w:val="clear" w:color="000000" w:fill="FFFFFF"/>
            <w:noWrap/>
            <w:vAlign w:val="center"/>
            <w:hideMark/>
          </w:tcPr>
          <w:p w14:paraId="53922FF8" w14:textId="3420BDFF" w:rsidR="00DD7CCE" w:rsidRPr="00AE6BE1" w:rsidRDefault="00DD7CCE" w:rsidP="009F15E8">
            <w:pPr>
              <w:rPr>
                <w:b/>
                <w:bCs/>
                <w:color w:val="000000"/>
                <w:sz w:val="22"/>
                <w:szCs w:val="22"/>
                <w:lang w:eastAsia="en-GB"/>
              </w:rPr>
            </w:pPr>
            <w:r>
              <w:rPr>
                <w:b/>
                <w:bCs/>
                <w:color w:val="000000"/>
                <w:sz w:val="22"/>
                <w:szCs w:val="22"/>
                <w:lang w:eastAsia="en-GB"/>
              </w:rPr>
              <w:t>Usable Reserves</w:t>
            </w:r>
          </w:p>
        </w:tc>
        <w:tc>
          <w:tcPr>
            <w:tcW w:w="1418" w:type="dxa"/>
            <w:tcBorders>
              <w:top w:val="single" w:sz="8" w:space="0" w:color="auto"/>
              <w:left w:val="nil"/>
              <w:bottom w:val="nil"/>
              <w:right w:val="single" w:sz="4" w:space="0" w:color="auto"/>
            </w:tcBorders>
            <w:shd w:val="clear" w:color="000000" w:fill="FFFFFF"/>
            <w:noWrap/>
          </w:tcPr>
          <w:p w14:paraId="2A472159" w14:textId="7F662874" w:rsidR="00DD7CCE" w:rsidRPr="0069418C" w:rsidRDefault="00DD7CCE" w:rsidP="009F15E8">
            <w:pPr>
              <w:jc w:val="right"/>
              <w:rPr>
                <w:color w:val="000000"/>
                <w:sz w:val="22"/>
                <w:szCs w:val="22"/>
                <w:lang w:eastAsia="en-GB"/>
              </w:rPr>
            </w:pPr>
          </w:p>
        </w:tc>
        <w:tc>
          <w:tcPr>
            <w:tcW w:w="1417" w:type="dxa"/>
            <w:tcBorders>
              <w:top w:val="single" w:sz="8" w:space="0" w:color="auto"/>
              <w:left w:val="nil"/>
              <w:bottom w:val="nil"/>
              <w:right w:val="single" w:sz="4" w:space="0" w:color="auto"/>
            </w:tcBorders>
            <w:shd w:val="clear" w:color="000000" w:fill="FFFFFF"/>
            <w:noWrap/>
          </w:tcPr>
          <w:p w14:paraId="05D72E86" w14:textId="2D85C1BD" w:rsidR="00DD7CCE" w:rsidRPr="0069418C" w:rsidRDefault="00DD7CCE" w:rsidP="009F15E8">
            <w:pPr>
              <w:jc w:val="right"/>
              <w:rPr>
                <w:color w:val="000000"/>
                <w:sz w:val="22"/>
                <w:szCs w:val="22"/>
                <w:lang w:eastAsia="en-GB"/>
              </w:rPr>
            </w:pPr>
          </w:p>
        </w:tc>
        <w:tc>
          <w:tcPr>
            <w:tcW w:w="1418" w:type="dxa"/>
            <w:tcBorders>
              <w:top w:val="single" w:sz="8" w:space="0" w:color="auto"/>
              <w:left w:val="nil"/>
              <w:bottom w:val="nil"/>
              <w:right w:val="single" w:sz="4" w:space="0" w:color="auto"/>
            </w:tcBorders>
            <w:shd w:val="clear" w:color="000000" w:fill="FFFFFF"/>
            <w:noWrap/>
          </w:tcPr>
          <w:p w14:paraId="2B208054" w14:textId="56A90731" w:rsidR="00DD7CCE" w:rsidRPr="0069418C" w:rsidRDefault="00DD7CCE" w:rsidP="009F15E8">
            <w:pPr>
              <w:jc w:val="right"/>
              <w:rPr>
                <w:color w:val="000000"/>
                <w:sz w:val="22"/>
                <w:szCs w:val="22"/>
                <w:lang w:eastAsia="en-GB"/>
              </w:rPr>
            </w:pPr>
          </w:p>
        </w:tc>
        <w:tc>
          <w:tcPr>
            <w:tcW w:w="1417" w:type="dxa"/>
            <w:tcBorders>
              <w:top w:val="nil"/>
              <w:left w:val="nil"/>
              <w:bottom w:val="nil"/>
              <w:right w:val="single" w:sz="4" w:space="0" w:color="auto"/>
            </w:tcBorders>
            <w:shd w:val="clear" w:color="000000" w:fill="FFFFFF"/>
            <w:noWrap/>
          </w:tcPr>
          <w:p w14:paraId="18E7F275" w14:textId="7363CC7F" w:rsidR="00DD7CCE" w:rsidRPr="0069418C" w:rsidRDefault="00DD7CCE" w:rsidP="009F15E8">
            <w:pPr>
              <w:jc w:val="right"/>
              <w:rPr>
                <w:color w:val="000000"/>
                <w:sz w:val="22"/>
                <w:szCs w:val="22"/>
                <w:lang w:eastAsia="en-GB"/>
              </w:rPr>
            </w:pPr>
          </w:p>
        </w:tc>
      </w:tr>
      <w:tr w:rsidR="00DD7CCE" w:rsidRPr="0069418C" w14:paraId="5548167F" w14:textId="77777777" w:rsidTr="00DD7CCE">
        <w:trPr>
          <w:trHeight w:hRule="exact" w:val="309"/>
        </w:trPr>
        <w:tc>
          <w:tcPr>
            <w:tcW w:w="2972" w:type="dxa"/>
            <w:tcBorders>
              <w:top w:val="nil"/>
              <w:left w:val="single" w:sz="4" w:space="0" w:color="auto"/>
              <w:bottom w:val="nil"/>
              <w:right w:val="single" w:sz="4" w:space="0" w:color="auto"/>
            </w:tcBorders>
            <w:shd w:val="clear" w:color="000000" w:fill="FFFFFF"/>
            <w:noWrap/>
            <w:vAlign w:val="center"/>
            <w:hideMark/>
          </w:tcPr>
          <w:p w14:paraId="41D5CB0E" w14:textId="0FE97FD8" w:rsidR="00DD7CCE" w:rsidRPr="00AE6BE1" w:rsidRDefault="00DD7CCE" w:rsidP="00B61776">
            <w:pPr>
              <w:rPr>
                <w:color w:val="000000"/>
                <w:sz w:val="22"/>
                <w:szCs w:val="22"/>
                <w:lang w:eastAsia="en-GB"/>
              </w:rPr>
            </w:pPr>
            <w:r>
              <w:rPr>
                <w:color w:val="000000"/>
                <w:sz w:val="22"/>
                <w:szCs w:val="22"/>
                <w:lang w:eastAsia="en-GB"/>
              </w:rPr>
              <w:t>General Reserves</w:t>
            </w:r>
          </w:p>
        </w:tc>
        <w:tc>
          <w:tcPr>
            <w:tcW w:w="1418" w:type="dxa"/>
            <w:tcBorders>
              <w:top w:val="nil"/>
              <w:left w:val="nil"/>
              <w:right w:val="single" w:sz="4" w:space="0" w:color="auto"/>
            </w:tcBorders>
            <w:shd w:val="clear" w:color="000000" w:fill="FFFFFF"/>
            <w:noWrap/>
          </w:tcPr>
          <w:p w14:paraId="41DBB453" w14:textId="4EFB7AD6" w:rsidR="00DD7CCE" w:rsidRPr="0089710C" w:rsidRDefault="00DD7CCE" w:rsidP="00B61776">
            <w:pPr>
              <w:jc w:val="right"/>
              <w:rPr>
                <w:color w:val="000000"/>
                <w:sz w:val="22"/>
                <w:szCs w:val="22"/>
                <w:lang w:eastAsia="en-GB"/>
              </w:rPr>
            </w:pPr>
            <w:r w:rsidRPr="0089710C">
              <w:rPr>
                <w:sz w:val="22"/>
                <w:szCs w:val="22"/>
              </w:rPr>
              <w:t>3,882</w:t>
            </w:r>
          </w:p>
        </w:tc>
        <w:tc>
          <w:tcPr>
            <w:tcW w:w="1417" w:type="dxa"/>
            <w:tcBorders>
              <w:top w:val="nil"/>
              <w:left w:val="nil"/>
              <w:right w:val="single" w:sz="4" w:space="0" w:color="auto"/>
            </w:tcBorders>
            <w:shd w:val="clear" w:color="000000" w:fill="FFFFFF"/>
            <w:noWrap/>
          </w:tcPr>
          <w:p w14:paraId="24A19EA2" w14:textId="61B0AB98" w:rsidR="00DD7CCE" w:rsidRPr="0089710C" w:rsidRDefault="00DD7CCE" w:rsidP="00B61776">
            <w:pPr>
              <w:jc w:val="right"/>
              <w:rPr>
                <w:color w:val="000000"/>
                <w:sz w:val="22"/>
                <w:szCs w:val="22"/>
                <w:lang w:eastAsia="en-GB"/>
              </w:rPr>
            </w:pPr>
            <w:r>
              <w:rPr>
                <w:sz w:val="22"/>
                <w:szCs w:val="22"/>
              </w:rPr>
              <w:t>3,344</w:t>
            </w:r>
          </w:p>
        </w:tc>
        <w:tc>
          <w:tcPr>
            <w:tcW w:w="1418" w:type="dxa"/>
            <w:tcBorders>
              <w:top w:val="nil"/>
              <w:left w:val="nil"/>
              <w:bottom w:val="nil"/>
              <w:right w:val="single" w:sz="4" w:space="0" w:color="auto"/>
            </w:tcBorders>
            <w:shd w:val="clear" w:color="000000" w:fill="FFFFFF"/>
            <w:noWrap/>
          </w:tcPr>
          <w:p w14:paraId="674F7574" w14:textId="0D8E222C" w:rsidR="00DD7CCE" w:rsidRPr="0089710C" w:rsidRDefault="00DD7CCE" w:rsidP="00B61776">
            <w:pPr>
              <w:jc w:val="right"/>
              <w:rPr>
                <w:color w:val="000000"/>
                <w:sz w:val="22"/>
                <w:szCs w:val="22"/>
                <w:lang w:eastAsia="en-GB"/>
              </w:rPr>
            </w:pPr>
            <w:r w:rsidRPr="007D028A">
              <w:rPr>
                <w:sz w:val="22"/>
                <w:szCs w:val="22"/>
              </w:rPr>
              <w:t>3,344</w:t>
            </w:r>
          </w:p>
        </w:tc>
        <w:tc>
          <w:tcPr>
            <w:tcW w:w="1417" w:type="dxa"/>
            <w:tcBorders>
              <w:top w:val="nil"/>
              <w:left w:val="nil"/>
              <w:bottom w:val="nil"/>
              <w:right w:val="single" w:sz="4" w:space="0" w:color="auto"/>
            </w:tcBorders>
            <w:shd w:val="clear" w:color="000000" w:fill="FFFFFF"/>
            <w:noWrap/>
          </w:tcPr>
          <w:p w14:paraId="6E59E3B7" w14:textId="3EF59D0D" w:rsidR="00DD7CCE" w:rsidRPr="0089710C" w:rsidRDefault="00DD7CCE" w:rsidP="00B61776">
            <w:pPr>
              <w:jc w:val="right"/>
              <w:rPr>
                <w:color w:val="000000"/>
                <w:sz w:val="22"/>
                <w:szCs w:val="22"/>
                <w:lang w:eastAsia="en-GB"/>
              </w:rPr>
            </w:pPr>
            <w:r w:rsidRPr="007D028A">
              <w:rPr>
                <w:sz w:val="22"/>
                <w:szCs w:val="22"/>
              </w:rPr>
              <w:t>3,344</w:t>
            </w:r>
          </w:p>
        </w:tc>
      </w:tr>
      <w:tr w:rsidR="00DD7CCE" w:rsidRPr="0069418C" w14:paraId="394AC840" w14:textId="77777777" w:rsidTr="00DD7CCE">
        <w:trPr>
          <w:trHeight w:hRule="exact" w:val="309"/>
        </w:trPr>
        <w:tc>
          <w:tcPr>
            <w:tcW w:w="2972" w:type="dxa"/>
            <w:tcBorders>
              <w:top w:val="nil"/>
              <w:left w:val="single" w:sz="4" w:space="0" w:color="auto"/>
              <w:bottom w:val="nil"/>
              <w:right w:val="single" w:sz="4" w:space="0" w:color="auto"/>
            </w:tcBorders>
            <w:shd w:val="clear" w:color="000000" w:fill="FFFFFF"/>
            <w:noWrap/>
            <w:vAlign w:val="center"/>
          </w:tcPr>
          <w:p w14:paraId="331D0B16" w14:textId="0BB59B1D" w:rsidR="00DD7CCE" w:rsidRPr="00AE6BE1" w:rsidRDefault="00DD7CCE" w:rsidP="009F15E8">
            <w:pPr>
              <w:rPr>
                <w:color w:val="000000"/>
                <w:sz w:val="22"/>
                <w:szCs w:val="22"/>
                <w:lang w:eastAsia="en-GB"/>
              </w:rPr>
            </w:pPr>
            <w:r>
              <w:rPr>
                <w:color w:val="000000"/>
                <w:sz w:val="22"/>
                <w:szCs w:val="22"/>
                <w:lang w:eastAsia="en-GB"/>
              </w:rPr>
              <w:t>Earmarked Reserves</w:t>
            </w:r>
          </w:p>
        </w:tc>
        <w:tc>
          <w:tcPr>
            <w:tcW w:w="1418" w:type="dxa"/>
            <w:tcBorders>
              <w:top w:val="nil"/>
              <w:left w:val="single" w:sz="4" w:space="0" w:color="auto"/>
              <w:right w:val="single" w:sz="4" w:space="0" w:color="auto"/>
            </w:tcBorders>
            <w:shd w:val="clear" w:color="000000" w:fill="FFFFFF"/>
            <w:noWrap/>
          </w:tcPr>
          <w:p w14:paraId="7C3F0F53" w14:textId="25EE1D43" w:rsidR="00DD7CCE" w:rsidRPr="0089710C" w:rsidRDefault="00DD7CCE" w:rsidP="009F15E8">
            <w:pPr>
              <w:jc w:val="right"/>
              <w:rPr>
                <w:sz w:val="22"/>
                <w:szCs w:val="22"/>
              </w:rPr>
            </w:pPr>
            <w:r w:rsidRPr="0089710C">
              <w:rPr>
                <w:sz w:val="22"/>
                <w:szCs w:val="22"/>
              </w:rPr>
              <w:t>7,102</w:t>
            </w:r>
          </w:p>
        </w:tc>
        <w:tc>
          <w:tcPr>
            <w:tcW w:w="1417" w:type="dxa"/>
            <w:tcBorders>
              <w:top w:val="nil"/>
              <w:left w:val="single" w:sz="4" w:space="0" w:color="auto"/>
              <w:right w:val="single" w:sz="4" w:space="0" w:color="auto"/>
            </w:tcBorders>
            <w:shd w:val="clear" w:color="000000" w:fill="FFFFFF"/>
            <w:noWrap/>
          </w:tcPr>
          <w:p w14:paraId="1A3BD62B" w14:textId="63939E36" w:rsidR="00DD7CCE" w:rsidRPr="0089710C" w:rsidRDefault="00DD7CCE" w:rsidP="009F15E8">
            <w:pPr>
              <w:jc w:val="right"/>
              <w:rPr>
                <w:sz w:val="22"/>
                <w:szCs w:val="22"/>
              </w:rPr>
            </w:pPr>
            <w:r>
              <w:rPr>
                <w:sz w:val="22"/>
                <w:szCs w:val="22"/>
              </w:rPr>
              <w:t>5,068</w:t>
            </w:r>
          </w:p>
        </w:tc>
        <w:tc>
          <w:tcPr>
            <w:tcW w:w="1418" w:type="dxa"/>
            <w:tcBorders>
              <w:top w:val="nil"/>
              <w:left w:val="single" w:sz="4" w:space="0" w:color="auto"/>
              <w:bottom w:val="nil"/>
              <w:right w:val="single" w:sz="4" w:space="0" w:color="auto"/>
            </w:tcBorders>
            <w:shd w:val="clear" w:color="000000" w:fill="FFFFFF"/>
            <w:noWrap/>
          </w:tcPr>
          <w:p w14:paraId="04940292" w14:textId="7B99116A" w:rsidR="00DD7CCE" w:rsidRPr="0089710C" w:rsidRDefault="00DD7CCE" w:rsidP="009F15E8">
            <w:pPr>
              <w:jc w:val="right"/>
              <w:rPr>
                <w:sz w:val="22"/>
                <w:szCs w:val="22"/>
              </w:rPr>
            </w:pPr>
            <w:r>
              <w:rPr>
                <w:sz w:val="22"/>
                <w:szCs w:val="22"/>
              </w:rPr>
              <w:t>3,793</w:t>
            </w:r>
          </w:p>
        </w:tc>
        <w:tc>
          <w:tcPr>
            <w:tcW w:w="1417" w:type="dxa"/>
            <w:tcBorders>
              <w:top w:val="nil"/>
              <w:left w:val="nil"/>
              <w:bottom w:val="nil"/>
              <w:right w:val="single" w:sz="4" w:space="0" w:color="auto"/>
            </w:tcBorders>
            <w:shd w:val="clear" w:color="000000" w:fill="FFFFFF"/>
            <w:noWrap/>
          </w:tcPr>
          <w:p w14:paraId="3D335170" w14:textId="268419DF" w:rsidR="00DD7CCE" w:rsidRPr="0089710C" w:rsidRDefault="00DD7CCE" w:rsidP="009F15E8">
            <w:pPr>
              <w:jc w:val="right"/>
              <w:rPr>
                <w:sz w:val="22"/>
                <w:szCs w:val="22"/>
              </w:rPr>
            </w:pPr>
            <w:r>
              <w:rPr>
                <w:sz w:val="22"/>
                <w:szCs w:val="22"/>
              </w:rPr>
              <w:t>3,438</w:t>
            </w:r>
          </w:p>
        </w:tc>
      </w:tr>
      <w:tr w:rsidR="00DD7CCE" w:rsidRPr="0069418C" w14:paraId="4C2141F2" w14:textId="77777777" w:rsidTr="00DD7CCE">
        <w:trPr>
          <w:trHeight w:hRule="exact" w:val="309"/>
        </w:trPr>
        <w:tc>
          <w:tcPr>
            <w:tcW w:w="2972" w:type="dxa"/>
            <w:tcBorders>
              <w:top w:val="nil"/>
              <w:left w:val="single" w:sz="4" w:space="0" w:color="auto"/>
              <w:bottom w:val="single" w:sz="4" w:space="0" w:color="auto"/>
              <w:right w:val="single" w:sz="4" w:space="0" w:color="auto"/>
            </w:tcBorders>
            <w:shd w:val="clear" w:color="000000" w:fill="FFFFFF"/>
            <w:noWrap/>
            <w:vAlign w:val="center"/>
            <w:hideMark/>
          </w:tcPr>
          <w:p w14:paraId="4993DD34" w14:textId="41CBAC87" w:rsidR="00DD7CCE" w:rsidRPr="00AE6BE1" w:rsidRDefault="00DD7CCE" w:rsidP="007037F8">
            <w:pPr>
              <w:rPr>
                <w:color w:val="000000"/>
                <w:sz w:val="22"/>
                <w:szCs w:val="22"/>
                <w:lang w:eastAsia="en-GB"/>
              </w:rPr>
            </w:pPr>
            <w:r>
              <w:rPr>
                <w:color w:val="000000"/>
                <w:sz w:val="22"/>
                <w:szCs w:val="22"/>
                <w:lang w:eastAsia="en-GB"/>
              </w:rPr>
              <w:t>Capital Receipt Reserves</w:t>
            </w:r>
          </w:p>
        </w:tc>
        <w:tc>
          <w:tcPr>
            <w:tcW w:w="1418" w:type="dxa"/>
            <w:tcBorders>
              <w:left w:val="nil"/>
              <w:bottom w:val="single" w:sz="4" w:space="0" w:color="auto"/>
              <w:right w:val="single" w:sz="4" w:space="0" w:color="auto"/>
            </w:tcBorders>
            <w:shd w:val="clear" w:color="000000" w:fill="FFFFFF"/>
            <w:noWrap/>
          </w:tcPr>
          <w:p w14:paraId="4899F047" w14:textId="169A526A" w:rsidR="00DD7CCE" w:rsidRPr="0089710C" w:rsidRDefault="00DD7CCE" w:rsidP="007037F8">
            <w:pPr>
              <w:jc w:val="right"/>
              <w:rPr>
                <w:sz w:val="22"/>
                <w:szCs w:val="22"/>
              </w:rPr>
            </w:pPr>
            <w:r w:rsidRPr="0089710C">
              <w:rPr>
                <w:sz w:val="22"/>
                <w:szCs w:val="22"/>
              </w:rPr>
              <w:t>15,741</w:t>
            </w:r>
          </w:p>
        </w:tc>
        <w:tc>
          <w:tcPr>
            <w:tcW w:w="1417" w:type="dxa"/>
            <w:tcBorders>
              <w:left w:val="nil"/>
              <w:bottom w:val="single" w:sz="4" w:space="0" w:color="auto"/>
              <w:right w:val="single" w:sz="4" w:space="0" w:color="auto"/>
            </w:tcBorders>
            <w:shd w:val="clear" w:color="000000" w:fill="FFFFFF"/>
            <w:noWrap/>
          </w:tcPr>
          <w:p w14:paraId="54A3AC35" w14:textId="76EE375F" w:rsidR="00DD7CCE" w:rsidRPr="0089710C" w:rsidRDefault="00DD7CCE" w:rsidP="007037F8">
            <w:pPr>
              <w:jc w:val="right"/>
              <w:rPr>
                <w:sz w:val="22"/>
                <w:szCs w:val="22"/>
              </w:rPr>
            </w:pPr>
            <w:r w:rsidRPr="007037F8">
              <w:rPr>
                <w:sz w:val="22"/>
                <w:szCs w:val="22"/>
              </w:rPr>
              <w:t>12,256</w:t>
            </w:r>
          </w:p>
        </w:tc>
        <w:tc>
          <w:tcPr>
            <w:tcW w:w="1418" w:type="dxa"/>
            <w:tcBorders>
              <w:top w:val="nil"/>
              <w:left w:val="nil"/>
              <w:bottom w:val="nil"/>
              <w:right w:val="single" w:sz="4" w:space="0" w:color="auto"/>
            </w:tcBorders>
            <w:shd w:val="clear" w:color="000000" w:fill="FFFFFF"/>
            <w:noWrap/>
          </w:tcPr>
          <w:p w14:paraId="261253FC" w14:textId="43A286F4" w:rsidR="00DD7CCE" w:rsidRPr="0089710C" w:rsidRDefault="00DD7CCE" w:rsidP="007037F8">
            <w:pPr>
              <w:jc w:val="right"/>
              <w:rPr>
                <w:sz w:val="22"/>
                <w:szCs w:val="22"/>
              </w:rPr>
            </w:pPr>
            <w:r w:rsidRPr="007037F8">
              <w:rPr>
                <w:sz w:val="22"/>
                <w:szCs w:val="22"/>
              </w:rPr>
              <w:t>10,456</w:t>
            </w:r>
          </w:p>
        </w:tc>
        <w:tc>
          <w:tcPr>
            <w:tcW w:w="1417" w:type="dxa"/>
            <w:tcBorders>
              <w:top w:val="nil"/>
              <w:left w:val="nil"/>
              <w:bottom w:val="nil"/>
              <w:right w:val="single" w:sz="4" w:space="0" w:color="auto"/>
            </w:tcBorders>
            <w:shd w:val="clear" w:color="000000" w:fill="FFFFFF"/>
            <w:noWrap/>
          </w:tcPr>
          <w:p w14:paraId="282C9F26" w14:textId="64E78661" w:rsidR="00DD7CCE" w:rsidRPr="0089710C" w:rsidRDefault="00DD7CCE" w:rsidP="007037F8">
            <w:pPr>
              <w:jc w:val="right"/>
              <w:rPr>
                <w:sz w:val="22"/>
                <w:szCs w:val="22"/>
              </w:rPr>
            </w:pPr>
            <w:r w:rsidRPr="007037F8">
              <w:rPr>
                <w:sz w:val="22"/>
                <w:szCs w:val="22"/>
              </w:rPr>
              <w:t>6,206</w:t>
            </w:r>
          </w:p>
        </w:tc>
      </w:tr>
      <w:tr w:rsidR="00DD7CCE" w:rsidRPr="00A93131" w14:paraId="0860E89C" w14:textId="77777777" w:rsidTr="00DD7CCE">
        <w:trPr>
          <w:trHeight w:hRule="exact" w:val="309"/>
        </w:trPr>
        <w:tc>
          <w:tcPr>
            <w:tcW w:w="29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EBB4C3" w14:textId="4584C641" w:rsidR="00DD7CCE" w:rsidRPr="00AE6BE1" w:rsidRDefault="00DD7CCE" w:rsidP="009F15E8">
            <w:pPr>
              <w:rPr>
                <w:b/>
                <w:bCs/>
                <w:color w:val="000000"/>
                <w:sz w:val="22"/>
                <w:szCs w:val="22"/>
                <w:lang w:eastAsia="en-GB"/>
              </w:rPr>
            </w:pPr>
            <w:r>
              <w:rPr>
                <w:b/>
                <w:bCs/>
                <w:color w:val="000000"/>
                <w:sz w:val="22"/>
                <w:szCs w:val="22"/>
                <w:lang w:eastAsia="en-GB"/>
              </w:rPr>
              <w:t>Total Usable Reserves</w:t>
            </w:r>
          </w:p>
        </w:tc>
        <w:tc>
          <w:tcPr>
            <w:tcW w:w="1418" w:type="dxa"/>
            <w:tcBorders>
              <w:top w:val="single" w:sz="4" w:space="0" w:color="auto"/>
              <w:left w:val="nil"/>
              <w:bottom w:val="single" w:sz="4" w:space="0" w:color="auto"/>
              <w:right w:val="single" w:sz="4" w:space="0" w:color="auto"/>
            </w:tcBorders>
            <w:shd w:val="clear" w:color="000000" w:fill="FFFFFF"/>
            <w:noWrap/>
          </w:tcPr>
          <w:p w14:paraId="17825A22" w14:textId="503A6B68" w:rsidR="00DD7CCE" w:rsidRPr="0089710C" w:rsidRDefault="00DD7CCE" w:rsidP="009F15E8">
            <w:pPr>
              <w:jc w:val="right"/>
              <w:rPr>
                <w:b/>
                <w:bCs/>
                <w:sz w:val="22"/>
                <w:szCs w:val="22"/>
              </w:rPr>
            </w:pPr>
            <w:r w:rsidRPr="0089710C">
              <w:rPr>
                <w:b/>
                <w:bCs/>
                <w:sz w:val="22"/>
                <w:szCs w:val="22"/>
              </w:rPr>
              <w:t>26,725</w:t>
            </w:r>
          </w:p>
        </w:tc>
        <w:tc>
          <w:tcPr>
            <w:tcW w:w="1417" w:type="dxa"/>
            <w:tcBorders>
              <w:top w:val="single" w:sz="4" w:space="0" w:color="auto"/>
              <w:left w:val="nil"/>
              <w:bottom w:val="single" w:sz="4" w:space="0" w:color="auto"/>
              <w:right w:val="single" w:sz="4" w:space="0" w:color="auto"/>
            </w:tcBorders>
            <w:shd w:val="clear" w:color="000000" w:fill="FFFFFF"/>
            <w:noWrap/>
          </w:tcPr>
          <w:p w14:paraId="7EC89427" w14:textId="2287F53E" w:rsidR="00DD7CCE" w:rsidRPr="0089710C" w:rsidRDefault="00DD7CCE" w:rsidP="009F15E8">
            <w:pPr>
              <w:jc w:val="right"/>
              <w:rPr>
                <w:b/>
                <w:bCs/>
                <w:sz w:val="22"/>
                <w:szCs w:val="22"/>
              </w:rPr>
            </w:pPr>
            <w:r>
              <w:rPr>
                <w:b/>
                <w:bCs/>
                <w:sz w:val="22"/>
                <w:szCs w:val="22"/>
              </w:rPr>
              <w:t>20,668</w:t>
            </w:r>
          </w:p>
        </w:tc>
        <w:tc>
          <w:tcPr>
            <w:tcW w:w="1418" w:type="dxa"/>
            <w:tcBorders>
              <w:top w:val="single" w:sz="4" w:space="0" w:color="auto"/>
              <w:left w:val="nil"/>
              <w:bottom w:val="single" w:sz="4" w:space="0" w:color="auto"/>
              <w:right w:val="single" w:sz="4" w:space="0" w:color="auto"/>
            </w:tcBorders>
            <w:shd w:val="clear" w:color="000000" w:fill="FFFFFF"/>
            <w:noWrap/>
          </w:tcPr>
          <w:p w14:paraId="6FE89925" w14:textId="0FEABE86" w:rsidR="00DD7CCE" w:rsidRPr="0089710C" w:rsidRDefault="00DD7CCE" w:rsidP="009F15E8">
            <w:pPr>
              <w:jc w:val="right"/>
              <w:rPr>
                <w:b/>
                <w:bCs/>
                <w:sz w:val="22"/>
                <w:szCs w:val="22"/>
              </w:rPr>
            </w:pPr>
            <w:r>
              <w:rPr>
                <w:b/>
                <w:bCs/>
                <w:sz w:val="22"/>
                <w:szCs w:val="22"/>
              </w:rPr>
              <w:t>17,593</w:t>
            </w:r>
          </w:p>
        </w:tc>
        <w:tc>
          <w:tcPr>
            <w:tcW w:w="1417" w:type="dxa"/>
            <w:tcBorders>
              <w:top w:val="single" w:sz="4" w:space="0" w:color="auto"/>
              <w:left w:val="nil"/>
              <w:bottom w:val="single" w:sz="4" w:space="0" w:color="auto"/>
              <w:right w:val="single" w:sz="4" w:space="0" w:color="auto"/>
            </w:tcBorders>
            <w:shd w:val="clear" w:color="000000" w:fill="FFFFFF"/>
            <w:noWrap/>
          </w:tcPr>
          <w:p w14:paraId="49481FBF" w14:textId="725FD0C4" w:rsidR="00DD7CCE" w:rsidRPr="0089710C" w:rsidRDefault="00DD7CCE" w:rsidP="009F15E8">
            <w:pPr>
              <w:jc w:val="right"/>
              <w:rPr>
                <w:b/>
                <w:bCs/>
                <w:sz w:val="22"/>
                <w:szCs w:val="22"/>
              </w:rPr>
            </w:pPr>
            <w:r>
              <w:rPr>
                <w:b/>
                <w:bCs/>
                <w:sz w:val="22"/>
                <w:szCs w:val="22"/>
              </w:rPr>
              <w:t>12,988</w:t>
            </w:r>
          </w:p>
        </w:tc>
      </w:tr>
      <w:tr w:rsidR="002C78FA" w:rsidRPr="00AE6BE1" w14:paraId="49C80DA5" w14:textId="77777777" w:rsidTr="00DD7CCE">
        <w:trPr>
          <w:gridAfter w:val="2"/>
          <w:wAfter w:w="2835" w:type="dxa"/>
          <w:trHeight w:hRule="exact" w:val="309"/>
        </w:trPr>
        <w:tc>
          <w:tcPr>
            <w:tcW w:w="2972" w:type="dxa"/>
            <w:tcBorders>
              <w:top w:val="single" w:sz="4" w:space="0" w:color="auto"/>
              <w:left w:val="single" w:sz="4" w:space="0" w:color="auto"/>
              <w:right w:val="single" w:sz="4" w:space="0" w:color="auto"/>
            </w:tcBorders>
            <w:shd w:val="clear" w:color="auto" w:fill="auto"/>
            <w:noWrap/>
            <w:vAlign w:val="bottom"/>
          </w:tcPr>
          <w:p w14:paraId="08C86E6F" w14:textId="26CC30B2" w:rsidR="002C78FA" w:rsidRPr="00AE6BE1" w:rsidRDefault="002C78FA" w:rsidP="009F15E8">
            <w:pPr>
              <w:rPr>
                <w:b/>
                <w:bCs/>
                <w:color w:val="000000"/>
                <w:sz w:val="22"/>
                <w:szCs w:val="22"/>
                <w:lang w:eastAsia="en-GB"/>
              </w:rPr>
            </w:pPr>
          </w:p>
        </w:tc>
        <w:tc>
          <w:tcPr>
            <w:tcW w:w="1418" w:type="dxa"/>
            <w:tcBorders>
              <w:top w:val="single" w:sz="4" w:space="0" w:color="auto"/>
              <w:left w:val="single" w:sz="4" w:space="0" w:color="auto"/>
              <w:right w:val="single" w:sz="4" w:space="0" w:color="auto"/>
            </w:tcBorders>
            <w:shd w:val="clear" w:color="auto" w:fill="auto"/>
            <w:noWrap/>
          </w:tcPr>
          <w:p w14:paraId="0C414FED" w14:textId="627E6A98" w:rsidR="002C78FA" w:rsidRPr="00A93131" w:rsidRDefault="002C78FA" w:rsidP="009F15E8">
            <w:pPr>
              <w:jc w:val="right"/>
              <w:rPr>
                <w:b/>
                <w:bCs/>
                <w:color w:val="000000"/>
                <w:sz w:val="22"/>
                <w:szCs w:val="22"/>
                <w:highlight w:val="yellow"/>
                <w:lang w:eastAsia="en-GB"/>
              </w:rPr>
            </w:pPr>
          </w:p>
        </w:tc>
        <w:tc>
          <w:tcPr>
            <w:tcW w:w="1417" w:type="dxa"/>
            <w:tcBorders>
              <w:top w:val="nil"/>
              <w:left w:val="single" w:sz="4" w:space="0" w:color="auto"/>
              <w:bottom w:val="nil"/>
              <w:right w:val="nil"/>
            </w:tcBorders>
            <w:shd w:val="clear" w:color="000000" w:fill="FFFFFF"/>
            <w:noWrap/>
            <w:vAlign w:val="bottom"/>
            <w:hideMark/>
          </w:tcPr>
          <w:p w14:paraId="6BD0F15A" w14:textId="77777777" w:rsidR="002C78FA" w:rsidRPr="00AE6BE1" w:rsidRDefault="002C78FA" w:rsidP="009F15E8">
            <w:pPr>
              <w:rPr>
                <w:color w:val="000000"/>
                <w:sz w:val="22"/>
                <w:szCs w:val="22"/>
                <w:lang w:eastAsia="en-GB"/>
              </w:rPr>
            </w:pPr>
            <w:r w:rsidRPr="00AE6BE1">
              <w:rPr>
                <w:color w:val="000000"/>
                <w:sz w:val="22"/>
                <w:szCs w:val="22"/>
                <w:lang w:eastAsia="en-GB"/>
              </w:rPr>
              <w:t> </w:t>
            </w:r>
          </w:p>
        </w:tc>
      </w:tr>
      <w:tr w:rsidR="002C78FA" w:rsidRPr="00AE6BE1" w14:paraId="0F8B7D96" w14:textId="77777777" w:rsidTr="00DD7CCE">
        <w:trPr>
          <w:gridAfter w:val="2"/>
          <w:wAfter w:w="2835" w:type="dxa"/>
          <w:trHeight w:hRule="exact" w:val="309"/>
        </w:trPr>
        <w:tc>
          <w:tcPr>
            <w:tcW w:w="2972" w:type="dxa"/>
            <w:tcBorders>
              <w:top w:val="nil"/>
              <w:left w:val="single" w:sz="4" w:space="0" w:color="auto"/>
              <w:bottom w:val="nil"/>
              <w:right w:val="single" w:sz="4" w:space="0" w:color="auto"/>
            </w:tcBorders>
            <w:shd w:val="clear" w:color="auto" w:fill="auto"/>
            <w:noWrap/>
            <w:vAlign w:val="bottom"/>
            <w:hideMark/>
          </w:tcPr>
          <w:p w14:paraId="1AC047D6" w14:textId="73BC5F50" w:rsidR="002C78FA" w:rsidRPr="003567CA" w:rsidRDefault="002C78FA" w:rsidP="009F15E8">
            <w:pPr>
              <w:rPr>
                <w:b/>
                <w:bCs/>
                <w:color w:val="000000"/>
                <w:sz w:val="22"/>
                <w:szCs w:val="22"/>
                <w:lang w:eastAsia="en-GB"/>
              </w:rPr>
            </w:pPr>
            <w:r w:rsidRPr="003567CA">
              <w:rPr>
                <w:b/>
                <w:bCs/>
                <w:color w:val="000000"/>
                <w:sz w:val="22"/>
                <w:szCs w:val="22"/>
                <w:lang w:eastAsia="en-GB"/>
              </w:rPr>
              <w:t>Unusable Reserves</w:t>
            </w:r>
          </w:p>
        </w:tc>
        <w:tc>
          <w:tcPr>
            <w:tcW w:w="1418" w:type="dxa"/>
            <w:tcBorders>
              <w:top w:val="nil"/>
              <w:left w:val="single" w:sz="4" w:space="0" w:color="auto"/>
              <w:bottom w:val="nil"/>
              <w:right w:val="single" w:sz="4" w:space="0" w:color="auto"/>
            </w:tcBorders>
            <w:shd w:val="clear" w:color="auto" w:fill="auto"/>
            <w:noWrap/>
          </w:tcPr>
          <w:p w14:paraId="5D90AEDD" w14:textId="1E406D29" w:rsidR="002C78FA" w:rsidRPr="00A93131" w:rsidRDefault="002C78FA" w:rsidP="009F15E8">
            <w:pPr>
              <w:jc w:val="center"/>
              <w:rPr>
                <w:b/>
                <w:bCs/>
                <w:color w:val="000000"/>
                <w:sz w:val="22"/>
                <w:szCs w:val="22"/>
                <w:highlight w:val="yellow"/>
                <w:lang w:eastAsia="en-GB"/>
              </w:rPr>
            </w:pPr>
            <w:r w:rsidRPr="00A93131">
              <w:rPr>
                <w:b/>
                <w:bCs/>
                <w:sz w:val="22"/>
                <w:szCs w:val="22"/>
                <w:highlight w:val="yellow"/>
              </w:rPr>
              <w:t xml:space="preserve"> </w:t>
            </w:r>
          </w:p>
        </w:tc>
        <w:tc>
          <w:tcPr>
            <w:tcW w:w="1417" w:type="dxa"/>
            <w:tcBorders>
              <w:top w:val="nil"/>
              <w:left w:val="single" w:sz="4" w:space="0" w:color="auto"/>
              <w:bottom w:val="nil"/>
              <w:right w:val="nil"/>
            </w:tcBorders>
            <w:shd w:val="clear" w:color="000000" w:fill="FFFFFF"/>
            <w:noWrap/>
            <w:vAlign w:val="bottom"/>
            <w:hideMark/>
          </w:tcPr>
          <w:p w14:paraId="2758AA56" w14:textId="77777777" w:rsidR="002C78FA" w:rsidRPr="00AE6BE1" w:rsidRDefault="002C78FA" w:rsidP="009F15E8">
            <w:pPr>
              <w:rPr>
                <w:color w:val="000000"/>
                <w:sz w:val="22"/>
                <w:szCs w:val="22"/>
                <w:lang w:eastAsia="en-GB"/>
              </w:rPr>
            </w:pPr>
            <w:r w:rsidRPr="00AE6BE1">
              <w:rPr>
                <w:color w:val="000000"/>
                <w:sz w:val="22"/>
                <w:szCs w:val="22"/>
                <w:lang w:eastAsia="en-GB"/>
              </w:rPr>
              <w:t> </w:t>
            </w:r>
          </w:p>
        </w:tc>
      </w:tr>
      <w:tr w:rsidR="00E95595" w:rsidRPr="00AE6BE1" w14:paraId="36092EE1" w14:textId="77777777" w:rsidTr="00DD7CCE">
        <w:trPr>
          <w:gridAfter w:val="2"/>
          <w:wAfter w:w="2835" w:type="dxa"/>
          <w:trHeight w:hRule="exact" w:val="309"/>
        </w:trPr>
        <w:tc>
          <w:tcPr>
            <w:tcW w:w="2972" w:type="dxa"/>
            <w:tcBorders>
              <w:top w:val="nil"/>
              <w:left w:val="single" w:sz="4" w:space="0" w:color="auto"/>
              <w:bottom w:val="nil"/>
              <w:right w:val="single" w:sz="4" w:space="0" w:color="auto"/>
            </w:tcBorders>
            <w:shd w:val="clear" w:color="000000" w:fill="FFFFFF"/>
            <w:noWrap/>
            <w:vAlign w:val="bottom"/>
          </w:tcPr>
          <w:p w14:paraId="2FC7C9F5" w14:textId="6F78EF77" w:rsidR="00E95595" w:rsidRPr="002C78FA" w:rsidRDefault="00E95595" w:rsidP="009F15E8">
            <w:pPr>
              <w:rPr>
                <w:color w:val="000000"/>
                <w:sz w:val="22"/>
                <w:szCs w:val="22"/>
                <w:lang w:eastAsia="en-GB"/>
              </w:rPr>
            </w:pPr>
            <w:r w:rsidRPr="002C78FA">
              <w:rPr>
                <w:color w:val="000000"/>
                <w:sz w:val="22"/>
                <w:szCs w:val="22"/>
                <w:lang w:eastAsia="en-GB"/>
              </w:rPr>
              <w:t>Revaluation Reserve</w:t>
            </w:r>
          </w:p>
        </w:tc>
        <w:tc>
          <w:tcPr>
            <w:tcW w:w="1418" w:type="dxa"/>
            <w:tcBorders>
              <w:top w:val="nil"/>
              <w:left w:val="nil"/>
              <w:bottom w:val="nil"/>
              <w:right w:val="single" w:sz="4" w:space="0" w:color="auto"/>
            </w:tcBorders>
            <w:shd w:val="clear" w:color="000000" w:fill="FFFFFF"/>
            <w:noWrap/>
          </w:tcPr>
          <w:p w14:paraId="1E9B7C4B" w14:textId="479F8C7A" w:rsidR="00E95595" w:rsidRPr="00E95595" w:rsidRDefault="0089710C" w:rsidP="009F15E8">
            <w:pPr>
              <w:jc w:val="right"/>
              <w:rPr>
                <w:b/>
                <w:bCs/>
                <w:sz w:val="22"/>
                <w:szCs w:val="22"/>
              </w:rPr>
            </w:pPr>
            <w:r>
              <w:rPr>
                <w:sz w:val="22"/>
                <w:szCs w:val="22"/>
              </w:rPr>
              <w:t>43,840</w:t>
            </w:r>
            <w:r w:rsidR="00E95595" w:rsidRPr="00E95595">
              <w:rPr>
                <w:b/>
                <w:bCs/>
                <w:sz w:val="22"/>
                <w:szCs w:val="22"/>
              </w:rPr>
              <w:t xml:space="preserve"> </w:t>
            </w:r>
          </w:p>
        </w:tc>
        <w:tc>
          <w:tcPr>
            <w:tcW w:w="1417" w:type="dxa"/>
            <w:tcBorders>
              <w:top w:val="nil"/>
              <w:left w:val="nil"/>
              <w:bottom w:val="nil"/>
              <w:right w:val="nil"/>
            </w:tcBorders>
            <w:shd w:val="clear" w:color="000000" w:fill="FFFFFF"/>
            <w:noWrap/>
            <w:vAlign w:val="bottom"/>
          </w:tcPr>
          <w:p w14:paraId="4964AB37" w14:textId="77777777" w:rsidR="00E95595" w:rsidRPr="00AE6BE1" w:rsidRDefault="00E95595" w:rsidP="009F15E8">
            <w:pPr>
              <w:rPr>
                <w:color w:val="000000"/>
                <w:sz w:val="22"/>
                <w:szCs w:val="22"/>
                <w:lang w:eastAsia="en-GB"/>
              </w:rPr>
            </w:pPr>
          </w:p>
        </w:tc>
      </w:tr>
      <w:tr w:rsidR="00E95595" w:rsidRPr="00AE6BE1" w14:paraId="1E8D5A24" w14:textId="77777777" w:rsidTr="00DD7CCE">
        <w:trPr>
          <w:gridAfter w:val="3"/>
          <w:wAfter w:w="4252" w:type="dxa"/>
          <w:trHeight w:hRule="exact" w:val="309"/>
        </w:trPr>
        <w:tc>
          <w:tcPr>
            <w:tcW w:w="2972" w:type="dxa"/>
            <w:tcBorders>
              <w:top w:val="nil"/>
              <w:left w:val="single" w:sz="4" w:space="0" w:color="auto"/>
              <w:bottom w:val="nil"/>
              <w:right w:val="single" w:sz="4" w:space="0" w:color="auto"/>
            </w:tcBorders>
            <w:shd w:val="clear" w:color="000000" w:fill="FFFFFF"/>
            <w:noWrap/>
            <w:vAlign w:val="bottom"/>
          </w:tcPr>
          <w:p w14:paraId="47ACACC3" w14:textId="3DA2655D" w:rsidR="00E95595" w:rsidRPr="002C78FA" w:rsidRDefault="00E95595" w:rsidP="009F15E8">
            <w:pPr>
              <w:rPr>
                <w:color w:val="000000"/>
                <w:sz w:val="22"/>
                <w:szCs w:val="22"/>
                <w:lang w:eastAsia="en-GB"/>
              </w:rPr>
            </w:pPr>
            <w:r w:rsidRPr="002C78FA">
              <w:rPr>
                <w:color w:val="000000"/>
                <w:sz w:val="22"/>
                <w:szCs w:val="22"/>
                <w:lang w:eastAsia="en-GB"/>
              </w:rPr>
              <w:t>Capital Adjustment Account</w:t>
            </w:r>
          </w:p>
        </w:tc>
        <w:tc>
          <w:tcPr>
            <w:tcW w:w="1418" w:type="dxa"/>
            <w:tcBorders>
              <w:top w:val="nil"/>
              <w:left w:val="nil"/>
              <w:bottom w:val="nil"/>
              <w:right w:val="single" w:sz="4" w:space="0" w:color="auto"/>
            </w:tcBorders>
            <w:shd w:val="clear" w:color="000000" w:fill="FFFFFF"/>
            <w:noWrap/>
          </w:tcPr>
          <w:p w14:paraId="466C883C" w14:textId="6077104C" w:rsidR="00E95595" w:rsidRPr="00E95595" w:rsidRDefault="0089710C" w:rsidP="009F15E8">
            <w:pPr>
              <w:jc w:val="right"/>
              <w:rPr>
                <w:sz w:val="22"/>
                <w:szCs w:val="22"/>
              </w:rPr>
            </w:pPr>
            <w:r>
              <w:rPr>
                <w:sz w:val="22"/>
                <w:szCs w:val="22"/>
              </w:rPr>
              <w:t>66,198</w:t>
            </w:r>
          </w:p>
        </w:tc>
      </w:tr>
      <w:tr w:rsidR="00E95595" w:rsidRPr="00AE6BE1" w14:paraId="00A7C0B0" w14:textId="77777777" w:rsidTr="00DD7CCE">
        <w:trPr>
          <w:gridAfter w:val="3"/>
          <w:wAfter w:w="4252" w:type="dxa"/>
          <w:trHeight w:hRule="exact" w:val="309"/>
        </w:trPr>
        <w:tc>
          <w:tcPr>
            <w:tcW w:w="2972" w:type="dxa"/>
            <w:tcBorders>
              <w:top w:val="nil"/>
              <w:left w:val="single" w:sz="4" w:space="0" w:color="auto"/>
              <w:bottom w:val="nil"/>
              <w:right w:val="single" w:sz="4" w:space="0" w:color="auto"/>
            </w:tcBorders>
            <w:shd w:val="clear" w:color="000000" w:fill="FFFFFF"/>
            <w:noWrap/>
            <w:vAlign w:val="bottom"/>
          </w:tcPr>
          <w:p w14:paraId="02647D7F" w14:textId="64F3349C" w:rsidR="00E95595" w:rsidRPr="002C78FA" w:rsidRDefault="00E95595" w:rsidP="009F15E8">
            <w:pPr>
              <w:rPr>
                <w:color w:val="000000"/>
                <w:sz w:val="22"/>
                <w:szCs w:val="22"/>
                <w:lang w:eastAsia="en-GB"/>
              </w:rPr>
            </w:pPr>
            <w:r w:rsidRPr="002C78FA">
              <w:rPr>
                <w:color w:val="000000"/>
                <w:sz w:val="22"/>
                <w:szCs w:val="22"/>
                <w:lang w:eastAsia="en-GB"/>
              </w:rPr>
              <w:t>Holiday Pay Account</w:t>
            </w:r>
          </w:p>
        </w:tc>
        <w:tc>
          <w:tcPr>
            <w:tcW w:w="1418" w:type="dxa"/>
            <w:tcBorders>
              <w:top w:val="nil"/>
              <w:left w:val="nil"/>
              <w:bottom w:val="nil"/>
              <w:right w:val="single" w:sz="4" w:space="0" w:color="auto"/>
            </w:tcBorders>
            <w:shd w:val="clear" w:color="000000" w:fill="FFFFFF"/>
            <w:noWrap/>
          </w:tcPr>
          <w:p w14:paraId="642F2B94" w14:textId="5068A792" w:rsidR="00E95595" w:rsidRPr="00E95595" w:rsidRDefault="00E95595" w:rsidP="009F15E8">
            <w:pPr>
              <w:jc w:val="right"/>
              <w:rPr>
                <w:sz w:val="22"/>
                <w:szCs w:val="22"/>
              </w:rPr>
            </w:pPr>
            <w:r w:rsidRPr="00E95595">
              <w:rPr>
                <w:sz w:val="22"/>
                <w:szCs w:val="22"/>
              </w:rPr>
              <w:t>(</w:t>
            </w:r>
            <w:r w:rsidR="0089710C">
              <w:rPr>
                <w:sz w:val="22"/>
                <w:szCs w:val="22"/>
              </w:rPr>
              <w:t>1,353</w:t>
            </w:r>
            <w:r w:rsidRPr="00E95595">
              <w:rPr>
                <w:sz w:val="22"/>
                <w:szCs w:val="22"/>
              </w:rPr>
              <w:t>)</w:t>
            </w:r>
          </w:p>
        </w:tc>
      </w:tr>
      <w:tr w:rsidR="00E95595" w:rsidRPr="00AE6BE1" w14:paraId="238BA317" w14:textId="77777777" w:rsidTr="00DD7CCE">
        <w:trPr>
          <w:gridAfter w:val="3"/>
          <w:wAfter w:w="4252" w:type="dxa"/>
          <w:trHeight w:hRule="exact" w:val="309"/>
        </w:trPr>
        <w:tc>
          <w:tcPr>
            <w:tcW w:w="2972" w:type="dxa"/>
            <w:tcBorders>
              <w:top w:val="nil"/>
              <w:left w:val="single" w:sz="4" w:space="0" w:color="auto"/>
              <w:right w:val="single" w:sz="4" w:space="0" w:color="auto"/>
            </w:tcBorders>
            <w:shd w:val="clear" w:color="000000" w:fill="FFFFFF"/>
            <w:noWrap/>
            <w:vAlign w:val="bottom"/>
          </w:tcPr>
          <w:p w14:paraId="3E97C3FA" w14:textId="772403E7" w:rsidR="00E95595" w:rsidRPr="002C78FA" w:rsidRDefault="00E95595" w:rsidP="009F15E8">
            <w:pPr>
              <w:rPr>
                <w:color w:val="000000"/>
                <w:sz w:val="22"/>
                <w:szCs w:val="22"/>
                <w:lang w:eastAsia="en-GB"/>
              </w:rPr>
            </w:pPr>
            <w:r w:rsidRPr="002C78FA">
              <w:rPr>
                <w:color w:val="000000"/>
                <w:sz w:val="22"/>
                <w:szCs w:val="22"/>
                <w:lang w:eastAsia="en-GB"/>
              </w:rPr>
              <w:t>Collection Fund Account</w:t>
            </w:r>
          </w:p>
        </w:tc>
        <w:tc>
          <w:tcPr>
            <w:tcW w:w="1418" w:type="dxa"/>
            <w:tcBorders>
              <w:top w:val="nil"/>
              <w:left w:val="nil"/>
              <w:right w:val="single" w:sz="4" w:space="0" w:color="auto"/>
            </w:tcBorders>
            <w:shd w:val="clear" w:color="000000" w:fill="FFFFFF"/>
            <w:noWrap/>
          </w:tcPr>
          <w:p w14:paraId="5F4635D2" w14:textId="122CC811" w:rsidR="00E95595" w:rsidRPr="00E95595" w:rsidRDefault="0089710C" w:rsidP="009F15E8">
            <w:pPr>
              <w:jc w:val="right"/>
              <w:rPr>
                <w:sz w:val="22"/>
                <w:szCs w:val="22"/>
              </w:rPr>
            </w:pPr>
            <w:r>
              <w:rPr>
                <w:sz w:val="22"/>
                <w:szCs w:val="22"/>
              </w:rPr>
              <w:t>1,557</w:t>
            </w:r>
          </w:p>
        </w:tc>
      </w:tr>
      <w:tr w:rsidR="002C78FA" w:rsidRPr="00AE6BE1" w14:paraId="4905E665" w14:textId="77777777" w:rsidTr="00DD7CCE">
        <w:trPr>
          <w:gridAfter w:val="3"/>
          <w:wAfter w:w="4252" w:type="dxa"/>
          <w:trHeight w:hRule="exact" w:val="309"/>
        </w:trPr>
        <w:tc>
          <w:tcPr>
            <w:tcW w:w="2972" w:type="dxa"/>
            <w:tcBorders>
              <w:top w:val="nil"/>
              <w:left w:val="single" w:sz="4" w:space="0" w:color="auto"/>
              <w:bottom w:val="single" w:sz="4" w:space="0" w:color="auto"/>
              <w:right w:val="single" w:sz="4" w:space="0" w:color="auto"/>
            </w:tcBorders>
            <w:shd w:val="clear" w:color="000000" w:fill="FFFFFF"/>
            <w:noWrap/>
            <w:vAlign w:val="bottom"/>
          </w:tcPr>
          <w:p w14:paraId="1BF86C17" w14:textId="1826F155" w:rsidR="002C78FA" w:rsidRPr="002C78FA" w:rsidRDefault="002C78FA" w:rsidP="009F15E8">
            <w:pPr>
              <w:rPr>
                <w:color w:val="000000"/>
                <w:sz w:val="22"/>
                <w:szCs w:val="22"/>
                <w:lang w:eastAsia="en-GB"/>
              </w:rPr>
            </w:pPr>
            <w:r w:rsidRPr="002C78FA">
              <w:rPr>
                <w:color w:val="000000"/>
                <w:sz w:val="22"/>
                <w:szCs w:val="22"/>
                <w:lang w:eastAsia="en-GB"/>
              </w:rPr>
              <w:t>Pension Reserve</w:t>
            </w:r>
          </w:p>
        </w:tc>
        <w:tc>
          <w:tcPr>
            <w:tcW w:w="1418" w:type="dxa"/>
            <w:tcBorders>
              <w:top w:val="nil"/>
              <w:left w:val="nil"/>
              <w:bottom w:val="single" w:sz="4" w:space="0" w:color="auto"/>
              <w:right w:val="single" w:sz="4" w:space="0" w:color="auto"/>
            </w:tcBorders>
            <w:shd w:val="clear" w:color="auto" w:fill="auto"/>
            <w:noWrap/>
          </w:tcPr>
          <w:p w14:paraId="24576D39" w14:textId="59D62DDF" w:rsidR="002C78FA" w:rsidRPr="00E95595" w:rsidRDefault="00E95595" w:rsidP="009F15E8">
            <w:pPr>
              <w:jc w:val="right"/>
              <w:rPr>
                <w:sz w:val="22"/>
                <w:szCs w:val="22"/>
                <w:highlight w:val="yellow"/>
              </w:rPr>
            </w:pPr>
            <w:r w:rsidRPr="00E95595">
              <w:rPr>
                <w:sz w:val="22"/>
                <w:szCs w:val="22"/>
              </w:rPr>
              <w:t>(</w:t>
            </w:r>
            <w:r w:rsidR="0089710C">
              <w:rPr>
                <w:sz w:val="22"/>
                <w:szCs w:val="22"/>
              </w:rPr>
              <w:t>570,842</w:t>
            </w:r>
            <w:r w:rsidRPr="00E95595">
              <w:rPr>
                <w:sz w:val="22"/>
                <w:szCs w:val="22"/>
              </w:rPr>
              <w:t>)</w:t>
            </w:r>
          </w:p>
        </w:tc>
      </w:tr>
      <w:tr w:rsidR="002C78FA" w:rsidRPr="00AE6BE1" w14:paraId="40A32353" w14:textId="77777777" w:rsidTr="00DD7CCE">
        <w:trPr>
          <w:gridAfter w:val="3"/>
          <w:wAfter w:w="4252" w:type="dxa"/>
          <w:trHeight w:hRule="exact" w:val="309"/>
        </w:trPr>
        <w:tc>
          <w:tcPr>
            <w:tcW w:w="29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4C5D80" w14:textId="71204DC5" w:rsidR="002C78FA" w:rsidRPr="00AE6BE1" w:rsidRDefault="002C78FA" w:rsidP="009F15E8">
            <w:pPr>
              <w:rPr>
                <w:b/>
                <w:bCs/>
                <w:color w:val="000000"/>
                <w:sz w:val="22"/>
                <w:szCs w:val="22"/>
                <w:lang w:eastAsia="en-GB"/>
              </w:rPr>
            </w:pPr>
            <w:r>
              <w:rPr>
                <w:b/>
                <w:bCs/>
                <w:color w:val="000000"/>
                <w:sz w:val="22"/>
                <w:szCs w:val="22"/>
                <w:lang w:eastAsia="en-GB"/>
              </w:rPr>
              <w:t>Total Usable Reserves</w:t>
            </w:r>
            <w:r w:rsidR="009F15E8">
              <w:rPr>
                <w:b/>
                <w:bCs/>
                <w:color w:val="000000"/>
                <w:sz w:val="22"/>
                <w:szCs w:val="22"/>
                <w:lang w:eastAsia="en-GB"/>
              </w:rPr>
              <w:t>*</w:t>
            </w:r>
          </w:p>
        </w:tc>
        <w:tc>
          <w:tcPr>
            <w:tcW w:w="1418" w:type="dxa"/>
            <w:tcBorders>
              <w:top w:val="single" w:sz="4" w:space="0" w:color="auto"/>
              <w:left w:val="nil"/>
              <w:bottom w:val="single" w:sz="4" w:space="0" w:color="auto"/>
              <w:right w:val="single" w:sz="4" w:space="0" w:color="auto"/>
            </w:tcBorders>
            <w:shd w:val="clear" w:color="000000" w:fill="FFFFFF"/>
            <w:noWrap/>
          </w:tcPr>
          <w:p w14:paraId="46AB9C97" w14:textId="5D48095F" w:rsidR="002C78FA" w:rsidRPr="00A93131" w:rsidRDefault="00E95595" w:rsidP="009F15E8">
            <w:pPr>
              <w:jc w:val="right"/>
              <w:rPr>
                <w:b/>
                <w:bCs/>
                <w:sz w:val="22"/>
                <w:szCs w:val="22"/>
                <w:highlight w:val="yellow"/>
              </w:rPr>
            </w:pPr>
            <w:r w:rsidRPr="00E95595">
              <w:rPr>
                <w:b/>
                <w:bCs/>
                <w:sz w:val="22"/>
                <w:szCs w:val="22"/>
              </w:rPr>
              <w:t>(</w:t>
            </w:r>
            <w:r w:rsidR="0089710C">
              <w:rPr>
                <w:b/>
                <w:bCs/>
                <w:sz w:val="22"/>
                <w:szCs w:val="22"/>
              </w:rPr>
              <w:t>460,600</w:t>
            </w:r>
            <w:r w:rsidRPr="00E95595">
              <w:rPr>
                <w:b/>
                <w:bCs/>
                <w:sz w:val="22"/>
                <w:szCs w:val="22"/>
              </w:rPr>
              <w:t>)</w:t>
            </w:r>
          </w:p>
        </w:tc>
      </w:tr>
    </w:tbl>
    <w:p w14:paraId="3A65B3F3" w14:textId="3749C435" w:rsidR="00820C27" w:rsidRDefault="00820C27" w:rsidP="00FA4195"/>
    <w:p w14:paraId="219B9630" w14:textId="77777777" w:rsidR="0005431D" w:rsidRDefault="0005431D" w:rsidP="00FA4195"/>
    <w:p w14:paraId="11D7A949" w14:textId="77777777" w:rsidR="0005431D" w:rsidRDefault="0005431D" w:rsidP="00FA4195"/>
    <w:p w14:paraId="455BF896" w14:textId="77777777" w:rsidR="0005431D" w:rsidRDefault="0005431D" w:rsidP="00FA4195"/>
    <w:p w14:paraId="17EB939B" w14:textId="77777777" w:rsidR="0005431D" w:rsidRDefault="0005431D" w:rsidP="00FA4195"/>
    <w:p w14:paraId="2FCED311" w14:textId="77777777" w:rsidR="0005431D" w:rsidRDefault="0005431D" w:rsidP="00FA4195"/>
    <w:p w14:paraId="614A603E" w14:textId="77777777" w:rsidR="0005431D" w:rsidRDefault="0005431D" w:rsidP="00FA4195"/>
    <w:p w14:paraId="2C2A02C3" w14:textId="77777777" w:rsidR="0005431D" w:rsidRDefault="0005431D" w:rsidP="00FA4195"/>
    <w:p w14:paraId="65E488A4" w14:textId="77777777" w:rsidR="0005431D" w:rsidRDefault="0005431D" w:rsidP="00FA4195"/>
    <w:p w14:paraId="39385ED5" w14:textId="77777777" w:rsidR="0005431D" w:rsidRDefault="0005431D" w:rsidP="00FA4195"/>
    <w:p w14:paraId="4D0D8BB4" w14:textId="77777777" w:rsidR="0005431D" w:rsidRDefault="0005431D" w:rsidP="00FA4195"/>
    <w:p w14:paraId="1796224C" w14:textId="77777777" w:rsidR="0005431D" w:rsidRDefault="0005431D" w:rsidP="00FA4195"/>
    <w:p w14:paraId="4057A91D" w14:textId="77777777" w:rsidR="0005431D" w:rsidRDefault="0005431D" w:rsidP="00FA4195"/>
    <w:p w14:paraId="4FAA2334" w14:textId="77777777" w:rsidR="0005431D" w:rsidRDefault="0005431D" w:rsidP="00FA4195"/>
    <w:p w14:paraId="49445165" w14:textId="77777777" w:rsidR="0005431D" w:rsidRDefault="0005431D" w:rsidP="00FA4195"/>
    <w:p w14:paraId="03467F83" w14:textId="77777777" w:rsidR="0005431D" w:rsidRDefault="0005431D" w:rsidP="00FA4195"/>
    <w:p w14:paraId="1F1C11C9" w14:textId="77777777" w:rsidR="0005431D" w:rsidRDefault="0005431D" w:rsidP="00FA4195"/>
    <w:p w14:paraId="2DFCA86F" w14:textId="77777777" w:rsidR="0005431D" w:rsidRDefault="0005431D" w:rsidP="00FA4195"/>
    <w:p w14:paraId="4D9F5333" w14:textId="77777777" w:rsidR="0005431D" w:rsidRDefault="0005431D" w:rsidP="00FA4195"/>
    <w:p w14:paraId="7E3D9AAF" w14:textId="77777777" w:rsidR="0005431D" w:rsidRDefault="0005431D" w:rsidP="00FA4195"/>
    <w:p w14:paraId="49B6C5A0" w14:textId="77777777" w:rsidR="0005431D" w:rsidRDefault="0005431D" w:rsidP="00FA4195">
      <w:pPr>
        <w:rPr>
          <w:b/>
          <w:bCs/>
          <w:u w:val="single"/>
          <w:lang w:eastAsia="en-GB"/>
        </w:rPr>
      </w:pPr>
    </w:p>
    <w:p w14:paraId="59ED2D62" w14:textId="5BD5F6B0" w:rsidR="003B658A" w:rsidRDefault="003B658A" w:rsidP="00FA4195">
      <w:pPr>
        <w:rPr>
          <w:lang w:eastAsia="en-GB"/>
        </w:rPr>
      </w:pPr>
      <w:r w:rsidRPr="005D26C8">
        <w:rPr>
          <w:b/>
          <w:bCs/>
          <w:u w:val="single"/>
          <w:lang w:eastAsia="en-GB"/>
        </w:rPr>
        <w:t>Note:</w:t>
      </w:r>
    </w:p>
    <w:p w14:paraId="6DEE7FC3" w14:textId="12DB99B0" w:rsidR="008804AF" w:rsidRPr="00AE6BE1" w:rsidRDefault="00686877" w:rsidP="00F411CC">
      <w:pPr>
        <w:autoSpaceDE w:val="0"/>
        <w:autoSpaceDN w:val="0"/>
        <w:adjustRightInd w:val="0"/>
        <w:spacing w:after="120"/>
        <w:jc w:val="both"/>
        <w:rPr>
          <w:lang w:eastAsia="en-GB"/>
        </w:rPr>
      </w:pPr>
      <w:r>
        <w:rPr>
          <w:lang w:eastAsia="en-GB"/>
        </w:rPr>
        <w:t xml:space="preserve">Unusable reserves are not included in the forecast, as they </w:t>
      </w:r>
      <w:r w:rsidR="009F15E8">
        <w:rPr>
          <w:lang w:eastAsia="en-GB"/>
        </w:rPr>
        <w:t>arise</w:t>
      </w:r>
      <w:r>
        <w:rPr>
          <w:lang w:eastAsia="en-GB"/>
        </w:rPr>
        <w:t xml:space="preserve"> from accounting adjustments</w:t>
      </w:r>
      <w:r w:rsidR="00FE26B9">
        <w:rPr>
          <w:lang w:eastAsia="en-GB"/>
        </w:rPr>
        <w:t xml:space="preserve">. </w:t>
      </w:r>
    </w:p>
    <w:p w14:paraId="74940790" w14:textId="77777777" w:rsidR="006811AA" w:rsidRPr="00AE6BE1" w:rsidRDefault="006811AA" w:rsidP="00570C22">
      <w:pPr>
        <w:rPr>
          <w:rStyle w:val="normal2"/>
          <w:rFonts w:ascii="Arial" w:hAnsi="Arial" w:cs="Arial"/>
          <w:b/>
          <w:bCs/>
        </w:rPr>
      </w:pPr>
    </w:p>
    <w:tbl>
      <w:tblPr>
        <w:tblpPr w:leftFromText="187" w:rightFromText="187" w:vertAnchor="page" w:horzAnchor="margin" w:tblpY="13141"/>
        <w:tblOverlap w:val="neve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6956"/>
      </w:tblGrid>
      <w:tr w:rsidR="008351DE" w:rsidRPr="00AE6BE1" w14:paraId="1EAEAF16" w14:textId="77777777" w:rsidTr="008351DE">
        <w:tc>
          <w:tcPr>
            <w:tcW w:w="8954" w:type="dxa"/>
            <w:gridSpan w:val="2"/>
          </w:tcPr>
          <w:p w14:paraId="6DF3025E" w14:textId="77777777" w:rsidR="008351DE" w:rsidRPr="00AE6BE1" w:rsidRDefault="008351DE" w:rsidP="009F31F3">
            <w:pPr>
              <w:tabs>
                <w:tab w:val="left" w:pos="113"/>
              </w:tabs>
              <w:autoSpaceDE w:val="0"/>
              <w:autoSpaceDN w:val="0"/>
              <w:adjustRightInd w:val="0"/>
              <w:rPr>
                <w:rFonts w:ascii="Calibri" w:hAnsi="Calibri"/>
                <w:bCs/>
                <w:color w:val="000000"/>
              </w:rPr>
            </w:pPr>
            <w:r w:rsidRPr="00AE6BE1">
              <w:rPr>
                <w:rFonts w:ascii="Calibri" w:hAnsi="Calibri"/>
                <w:bCs/>
                <w:color w:val="000000"/>
              </w:rPr>
              <w:t>L</w:t>
            </w:r>
            <w:r w:rsidR="009F31F3" w:rsidRPr="00AE6BE1">
              <w:rPr>
                <w:rFonts w:ascii="Calibri" w:hAnsi="Calibri"/>
                <w:bCs/>
                <w:color w:val="000000"/>
              </w:rPr>
              <w:t>O</w:t>
            </w:r>
            <w:r w:rsidRPr="00AE6BE1">
              <w:rPr>
                <w:rFonts w:ascii="Calibri" w:hAnsi="Calibri"/>
                <w:bCs/>
                <w:color w:val="000000"/>
              </w:rPr>
              <w:t>CAL GOVERNMENT (ACCESS TO INFORMATION) ACT 1985</w:t>
            </w:r>
          </w:p>
        </w:tc>
      </w:tr>
      <w:tr w:rsidR="008351DE" w:rsidRPr="00AE6BE1" w14:paraId="6FF1CDF4" w14:textId="77777777" w:rsidTr="008351DE">
        <w:tc>
          <w:tcPr>
            <w:tcW w:w="8954" w:type="dxa"/>
            <w:gridSpan w:val="2"/>
          </w:tcPr>
          <w:p w14:paraId="2E7F97DD" w14:textId="77777777" w:rsidR="008351DE" w:rsidRPr="00AE6BE1" w:rsidRDefault="008351DE" w:rsidP="00EA3736">
            <w:pPr>
              <w:tabs>
                <w:tab w:val="left" w:pos="113"/>
              </w:tabs>
              <w:autoSpaceDE w:val="0"/>
              <w:autoSpaceDN w:val="0"/>
              <w:adjustRightInd w:val="0"/>
              <w:rPr>
                <w:rFonts w:ascii="Calibri" w:hAnsi="Calibri"/>
                <w:bCs/>
                <w:color w:val="000000"/>
              </w:rPr>
            </w:pPr>
            <w:r w:rsidRPr="00AE6BE1">
              <w:rPr>
                <w:rFonts w:ascii="Calibri" w:hAnsi="Calibri"/>
                <w:bCs/>
                <w:color w:val="000000"/>
              </w:rPr>
              <w:t xml:space="preserve">List of background documents – </w:t>
            </w:r>
            <w:r w:rsidR="00EA3736" w:rsidRPr="00AE6BE1">
              <w:rPr>
                <w:rFonts w:ascii="Calibri" w:hAnsi="Calibri"/>
                <w:bCs/>
                <w:color w:val="000000"/>
              </w:rPr>
              <w:t>none.</w:t>
            </w:r>
          </w:p>
        </w:tc>
      </w:tr>
      <w:tr w:rsidR="008351DE" w:rsidRPr="00AE6BE1" w14:paraId="2F77669F" w14:textId="77777777" w:rsidTr="008351DE">
        <w:tc>
          <w:tcPr>
            <w:tcW w:w="8954" w:type="dxa"/>
            <w:gridSpan w:val="2"/>
          </w:tcPr>
          <w:p w14:paraId="2A76ED39" w14:textId="77777777" w:rsidR="008351DE" w:rsidRPr="00AE6BE1" w:rsidRDefault="008351DE" w:rsidP="008351DE">
            <w:pPr>
              <w:tabs>
                <w:tab w:val="left" w:pos="113"/>
              </w:tabs>
              <w:autoSpaceDE w:val="0"/>
              <w:autoSpaceDN w:val="0"/>
              <w:adjustRightInd w:val="0"/>
              <w:rPr>
                <w:rFonts w:ascii="Calibri" w:hAnsi="Calibri"/>
                <w:bCs/>
                <w:color w:val="000000"/>
              </w:rPr>
            </w:pPr>
          </w:p>
        </w:tc>
      </w:tr>
      <w:tr w:rsidR="008351DE" w:rsidRPr="00AE6BE1" w14:paraId="36C4314A" w14:textId="77777777" w:rsidTr="008351DE">
        <w:trPr>
          <w:trHeight w:val="218"/>
        </w:trPr>
        <w:tc>
          <w:tcPr>
            <w:tcW w:w="1998" w:type="dxa"/>
          </w:tcPr>
          <w:p w14:paraId="12A89D1C" w14:textId="77777777" w:rsidR="008351DE" w:rsidRPr="00AE6BE1" w:rsidRDefault="008351DE"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Proper Officer:</w:t>
            </w:r>
          </w:p>
        </w:tc>
        <w:tc>
          <w:tcPr>
            <w:tcW w:w="6956" w:type="dxa"/>
          </w:tcPr>
          <w:p w14:paraId="699FE940" w14:textId="77777777" w:rsidR="008351DE" w:rsidRPr="00AE6BE1" w:rsidRDefault="00D063BB" w:rsidP="00D063BB">
            <w:pPr>
              <w:tabs>
                <w:tab w:val="left" w:pos="113"/>
              </w:tabs>
              <w:autoSpaceDE w:val="0"/>
              <w:autoSpaceDN w:val="0"/>
              <w:adjustRightInd w:val="0"/>
              <w:rPr>
                <w:rFonts w:ascii="Calibri" w:hAnsi="Calibri"/>
                <w:bCs/>
                <w:color w:val="000000"/>
              </w:rPr>
            </w:pPr>
            <w:r w:rsidRPr="00AE6BE1">
              <w:rPr>
                <w:rFonts w:ascii="Calibri" w:hAnsi="Calibri"/>
                <w:bCs/>
                <w:color w:val="000000"/>
              </w:rPr>
              <w:t>Chief Financ</w:t>
            </w:r>
            <w:r w:rsidR="00663D4A" w:rsidRPr="00AE6BE1">
              <w:rPr>
                <w:rFonts w:ascii="Calibri" w:hAnsi="Calibri"/>
                <w:bCs/>
                <w:color w:val="000000"/>
              </w:rPr>
              <w:t>ial</w:t>
            </w:r>
            <w:r w:rsidRPr="00AE6BE1">
              <w:rPr>
                <w:rFonts w:ascii="Calibri" w:hAnsi="Calibri"/>
                <w:bCs/>
                <w:color w:val="000000"/>
              </w:rPr>
              <w:t xml:space="preserve"> Officer</w:t>
            </w:r>
            <w:r w:rsidR="00663D4A" w:rsidRPr="00AE6BE1">
              <w:rPr>
                <w:rFonts w:ascii="Calibri" w:hAnsi="Calibri"/>
                <w:bCs/>
                <w:color w:val="000000"/>
              </w:rPr>
              <w:t xml:space="preserve"> (S151)</w:t>
            </w:r>
          </w:p>
        </w:tc>
      </w:tr>
      <w:tr w:rsidR="008351DE" w:rsidRPr="00A47E2B" w14:paraId="14C02B57" w14:textId="77777777" w:rsidTr="008351DE">
        <w:trPr>
          <w:trHeight w:val="217"/>
        </w:trPr>
        <w:tc>
          <w:tcPr>
            <w:tcW w:w="1998" w:type="dxa"/>
            <w:tcBorders>
              <w:bottom w:val="single" w:sz="4" w:space="0" w:color="auto"/>
            </w:tcBorders>
          </w:tcPr>
          <w:p w14:paraId="1FA3B316" w14:textId="77777777" w:rsidR="008351DE" w:rsidRPr="00AE6BE1" w:rsidRDefault="008351DE"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Contact Officer:</w:t>
            </w:r>
          </w:p>
        </w:tc>
        <w:tc>
          <w:tcPr>
            <w:tcW w:w="6956" w:type="dxa"/>
            <w:tcBorders>
              <w:bottom w:val="single" w:sz="4" w:space="0" w:color="auto"/>
            </w:tcBorders>
          </w:tcPr>
          <w:p w14:paraId="661A063E" w14:textId="77777777" w:rsidR="008351DE" w:rsidRPr="00AE6BE1" w:rsidRDefault="00663D4A"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Neil Cross</w:t>
            </w:r>
          </w:p>
          <w:p w14:paraId="0F6E5BA8" w14:textId="77777777" w:rsidR="008351DE" w:rsidRPr="00AE6BE1" w:rsidRDefault="008351DE"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Essex County Fire &amp; Rescue Service, Kelvedon Park, London Road, Rivenhall, Witham CM8 3HB</w:t>
            </w:r>
          </w:p>
          <w:p w14:paraId="17BEFB6C" w14:textId="77777777" w:rsidR="008351DE" w:rsidRPr="00A47E2B" w:rsidRDefault="00D063BB" w:rsidP="008351DE">
            <w:pPr>
              <w:tabs>
                <w:tab w:val="left" w:pos="113"/>
              </w:tabs>
              <w:autoSpaceDE w:val="0"/>
              <w:autoSpaceDN w:val="0"/>
              <w:adjustRightInd w:val="0"/>
              <w:rPr>
                <w:rFonts w:ascii="Calibri" w:hAnsi="Calibri"/>
                <w:bCs/>
                <w:color w:val="000000"/>
              </w:rPr>
            </w:pPr>
            <w:r w:rsidRPr="00AE6BE1">
              <w:rPr>
                <w:rFonts w:ascii="Calibri" w:hAnsi="Calibri"/>
                <w:bCs/>
                <w:color w:val="000000"/>
              </w:rPr>
              <w:t>Tel: 01376 576100</w:t>
            </w:r>
          </w:p>
        </w:tc>
      </w:tr>
    </w:tbl>
    <w:p w14:paraId="2B4B5890" w14:textId="77777777" w:rsidR="00FC584B" w:rsidRPr="00A47E2B" w:rsidRDefault="00C7102F" w:rsidP="004861B2">
      <w:pPr>
        <w:keepNext/>
        <w:tabs>
          <w:tab w:val="left" w:pos="113"/>
        </w:tabs>
        <w:autoSpaceDE w:val="0"/>
        <w:autoSpaceDN w:val="0"/>
        <w:adjustRightInd w:val="0"/>
        <w:spacing w:after="240"/>
        <w:rPr>
          <w:rStyle w:val="normal2"/>
          <w:rFonts w:ascii="Calibri" w:hAnsi="Calibri"/>
          <w:bCs/>
        </w:rPr>
      </w:pPr>
      <w:r w:rsidRPr="00A47E2B">
        <w:rPr>
          <w:rStyle w:val="normal2"/>
          <w:rFonts w:ascii="Calibri" w:hAnsi="Calibri" w:cs="Arial"/>
        </w:rPr>
        <w:t xml:space="preserve"> </w:t>
      </w:r>
    </w:p>
    <w:sectPr w:rsidR="00FC584B" w:rsidRPr="00A47E2B" w:rsidSect="00761694">
      <w:pgSz w:w="11906" w:h="16838" w:code="9"/>
      <w:pgMar w:top="1134" w:right="1134" w:bottom="14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E1F8" w14:textId="77777777" w:rsidR="00761694" w:rsidRDefault="00761694">
      <w:r>
        <w:separator/>
      </w:r>
    </w:p>
  </w:endnote>
  <w:endnote w:type="continuationSeparator" w:id="0">
    <w:p w14:paraId="6672E1FA" w14:textId="77777777" w:rsidR="00761694" w:rsidRDefault="00761694">
      <w:r>
        <w:continuationSeparator/>
      </w:r>
    </w:p>
  </w:endnote>
  <w:endnote w:type="continuationNotice" w:id="1">
    <w:p w14:paraId="16D8B8D3" w14:textId="77777777" w:rsidR="00761694" w:rsidRDefault="00761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0560" w14:textId="49AD0DDC" w:rsidR="00B15BAD" w:rsidRDefault="00B15BAD">
    <w:pPr>
      <w:pStyle w:val="Footer"/>
    </w:pPr>
    <w:r>
      <w:rPr>
        <w:noProof/>
      </w:rPr>
      <mc:AlternateContent>
        <mc:Choice Requires="wps">
          <w:drawing>
            <wp:anchor distT="0" distB="0" distL="0" distR="0" simplePos="0" relativeHeight="251658241" behindDoc="0" locked="0" layoutInCell="1" allowOverlap="1" wp14:anchorId="0EF99973" wp14:editId="2BCC7306">
              <wp:simplePos x="635" y="635"/>
              <wp:positionH relativeFrom="column">
                <wp:align>center</wp:align>
              </wp:positionH>
              <wp:positionV relativeFrom="paragraph">
                <wp:posOffset>635</wp:posOffset>
              </wp:positionV>
              <wp:extent cx="443865" cy="443865"/>
              <wp:effectExtent l="0" t="0" r="9525" b="16510"/>
              <wp:wrapSquare wrapText="bothSides"/>
              <wp:docPr id="6" name="Text Box 6"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9BB127" w14:textId="55E7F138" w:rsidR="00B15BAD" w:rsidRPr="00B15BAD" w:rsidRDefault="00B15BAD">
                          <w:pPr>
                            <w:rPr>
                              <w:rFonts w:ascii="Calibri" w:eastAsia="Calibri" w:hAnsi="Calibri" w:cs="Calibri"/>
                              <w:color w:val="000000"/>
                              <w:sz w:val="20"/>
                              <w:szCs w:val="20"/>
                            </w:rPr>
                          </w:pPr>
                          <w:r w:rsidRPr="00B15BAD">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F99973" id="_x0000_t202" coordsize="21600,21600" o:spt="202" path="m,l,21600r21600,l21600,xe">
              <v:stroke joinstyle="miter"/>
              <v:path gradientshapeok="t" o:connecttype="rect"/>
            </v:shapetype>
            <v:shape id="Text Box 6" o:spid="_x0000_s1030" type="#_x0000_t202" alt="OFFICIAL-SENSITIVE"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E9BB127" w14:textId="55E7F138" w:rsidR="00B15BAD" w:rsidRPr="00B15BAD" w:rsidRDefault="00B15BAD">
                    <w:pPr>
                      <w:rPr>
                        <w:rFonts w:ascii="Calibri" w:eastAsia="Calibri" w:hAnsi="Calibri" w:cs="Calibri"/>
                        <w:color w:val="000000"/>
                        <w:sz w:val="20"/>
                        <w:szCs w:val="20"/>
                      </w:rPr>
                    </w:pPr>
                    <w:r w:rsidRPr="00B15BAD">
                      <w:rPr>
                        <w:rFonts w:ascii="Calibri" w:eastAsia="Calibri" w:hAnsi="Calibri" w:cs="Calibri"/>
                        <w:color w:val="000000"/>
                        <w:sz w:val="20"/>
                        <w:szCs w:val="20"/>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3660" w14:textId="26D22710" w:rsidR="00EF2051" w:rsidRDefault="009032C9">
    <w:pPr>
      <w:pStyle w:val="Footer"/>
      <w:jc w:val="right"/>
    </w:pPr>
    <w:sdt>
      <w:sdtPr>
        <w:id w:val="-2057925486"/>
        <w:docPartObj>
          <w:docPartGallery w:val="Page Numbers (Bottom of Page)"/>
          <w:docPartUnique/>
        </w:docPartObj>
      </w:sdtPr>
      <w:sdtEndPr>
        <w:rPr>
          <w:noProof/>
        </w:rPr>
      </w:sdtEndPr>
      <w:sdtContent>
        <w:sdt>
          <w:sdtPr>
            <w:id w:val="-2082286279"/>
            <w:docPartObj>
              <w:docPartGallery w:val="Page Numbers (Bottom of Page)"/>
              <w:docPartUnique/>
            </w:docPartObj>
          </w:sdtPr>
          <w:sdtEndPr>
            <w:rPr>
              <w:noProof/>
            </w:rPr>
          </w:sdtEndPr>
          <w:sdtContent>
            <w:r w:rsidR="00082562">
              <w:fldChar w:fldCharType="begin"/>
            </w:r>
            <w:r w:rsidR="00082562">
              <w:instrText xml:space="preserve"> PAGE   \* MERGEFORMAT </w:instrText>
            </w:r>
            <w:r w:rsidR="00082562">
              <w:fldChar w:fldCharType="separate"/>
            </w:r>
            <w:r w:rsidR="00082562">
              <w:t>1</w:t>
            </w:r>
            <w:r w:rsidR="00082562">
              <w:rPr>
                <w:noProof/>
              </w:rPr>
              <w:fldChar w:fldCharType="end"/>
            </w:r>
            <w:r w:rsidR="00082562">
              <w:rPr>
                <w:noProof/>
              </w:rPr>
              <w:t xml:space="preserve"> of </w:t>
            </w:r>
            <w:r w:rsidR="00DE4371">
              <w:rPr>
                <w:noProof/>
              </w:rPr>
              <w:t>1</w:t>
            </w:r>
            <w:r w:rsidR="00DB2C69">
              <w:rPr>
                <w:noProof/>
              </w:rPr>
              <w:t>1</w:t>
            </w:r>
          </w:sdtContent>
        </w:sdt>
      </w:sdtContent>
    </w:sdt>
  </w:p>
  <w:p w14:paraId="1B4D5879" w14:textId="79FD14C9" w:rsidR="00F85B3C" w:rsidRPr="00AA60E6" w:rsidRDefault="00F85B3C" w:rsidP="00AA60E6">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AC0E" w14:textId="6D3B2A81" w:rsidR="00EF2051" w:rsidRDefault="009032C9">
    <w:pPr>
      <w:pStyle w:val="Footer"/>
      <w:jc w:val="right"/>
    </w:pPr>
    <w:sdt>
      <w:sdtPr>
        <w:id w:val="1502626863"/>
        <w:docPartObj>
          <w:docPartGallery w:val="Page Numbers (Bottom of Page)"/>
          <w:docPartUnique/>
        </w:docPartObj>
      </w:sdtPr>
      <w:sdtEndPr>
        <w:rPr>
          <w:noProof/>
        </w:rPr>
      </w:sdtEndPr>
      <w:sdtContent>
        <w:r w:rsidR="00EF2051">
          <w:fldChar w:fldCharType="begin"/>
        </w:r>
        <w:r w:rsidR="00EF2051">
          <w:instrText xml:space="preserve"> PAGE   \* MERGEFORMAT </w:instrText>
        </w:r>
        <w:r w:rsidR="00EF2051">
          <w:fldChar w:fldCharType="separate"/>
        </w:r>
        <w:r w:rsidR="00EF2051">
          <w:rPr>
            <w:noProof/>
          </w:rPr>
          <w:t>2</w:t>
        </w:r>
        <w:r w:rsidR="00EF2051">
          <w:rPr>
            <w:noProof/>
          </w:rPr>
          <w:fldChar w:fldCharType="end"/>
        </w:r>
        <w:r w:rsidR="00EF2051">
          <w:rPr>
            <w:noProof/>
          </w:rPr>
          <w:t xml:space="preserve"> of </w:t>
        </w:r>
        <w:r w:rsidR="00DE4371">
          <w:rPr>
            <w:noProof/>
          </w:rPr>
          <w:t>1</w:t>
        </w:r>
        <w:r w:rsidR="00DB2C69">
          <w:rPr>
            <w:noProof/>
          </w:rPr>
          <w:t>1</w:t>
        </w:r>
      </w:sdtContent>
    </w:sdt>
  </w:p>
  <w:p w14:paraId="6FAD84FD" w14:textId="77777777" w:rsidR="00F85B3C" w:rsidRDefault="00F85B3C"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4529" w14:textId="77777777" w:rsidR="00761694" w:rsidRDefault="00761694">
      <w:r>
        <w:separator/>
      </w:r>
    </w:p>
  </w:footnote>
  <w:footnote w:type="continuationSeparator" w:id="0">
    <w:p w14:paraId="43FBBEAD" w14:textId="77777777" w:rsidR="00761694" w:rsidRDefault="00761694">
      <w:r>
        <w:continuationSeparator/>
      </w:r>
    </w:p>
  </w:footnote>
  <w:footnote w:type="continuationNotice" w:id="1">
    <w:p w14:paraId="39B734C8" w14:textId="77777777" w:rsidR="00761694" w:rsidRDefault="00761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1052" w14:textId="3C48EEE5" w:rsidR="00B15BAD" w:rsidRDefault="00B15BAD">
    <w:pPr>
      <w:pStyle w:val="Header"/>
    </w:pPr>
    <w:r>
      <w:rPr>
        <w:noProof/>
      </w:rPr>
      <mc:AlternateContent>
        <mc:Choice Requires="wps">
          <w:drawing>
            <wp:anchor distT="0" distB="0" distL="0" distR="0" simplePos="0" relativeHeight="251658240" behindDoc="0" locked="0" layoutInCell="1" allowOverlap="1" wp14:anchorId="550195DD" wp14:editId="5AD2A704">
              <wp:simplePos x="635" y="635"/>
              <wp:positionH relativeFrom="column">
                <wp:align>center</wp:align>
              </wp:positionH>
              <wp:positionV relativeFrom="paragraph">
                <wp:posOffset>635</wp:posOffset>
              </wp:positionV>
              <wp:extent cx="443865" cy="443865"/>
              <wp:effectExtent l="0" t="0" r="9525" b="16510"/>
              <wp:wrapSquare wrapText="bothSides"/>
              <wp:docPr id="3" name="Text Box 3"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30F28B" w14:textId="37D5A440" w:rsidR="00B15BAD" w:rsidRPr="00B15BAD" w:rsidRDefault="00B15BAD">
                          <w:pPr>
                            <w:rPr>
                              <w:rFonts w:ascii="Calibri" w:eastAsia="Calibri" w:hAnsi="Calibri" w:cs="Calibri"/>
                              <w:color w:val="000000"/>
                              <w:sz w:val="20"/>
                              <w:szCs w:val="20"/>
                            </w:rPr>
                          </w:pPr>
                          <w:r w:rsidRPr="00B15BAD">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0195DD" id="_x0000_t202" coordsize="21600,21600" o:spt="202" path="m,l,21600r21600,l21600,xe">
              <v:stroke joinstyle="miter"/>
              <v:path gradientshapeok="t" o:connecttype="rect"/>
            </v:shapetype>
            <v:shape id="Text Box 3" o:spid="_x0000_s1029" type="#_x0000_t202" alt="OFFICIAL-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330F28B" w14:textId="37D5A440" w:rsidR="00B15BAD" w:rsidRPr="00B15BAD" w:rsidRDefault="00B15BAD">
                    <w:pPr>
                      <w:rPr>
                        <w:rFonts w:ascii="Calibri" w:eastAsia="Calibri" w:hAnsi="Calibri" w:cs="Calibri"/>
                        <w:color w:val="000000"/>
                        <w:sz w:val="20"/>
                        <w:szCs w:val="20"/>
                      </w:rPr>
                    </w:pPr>
                    <w:r w:rsidRPr="00B15BAD">
                      <w:rPr>
                        <w:rFonts w:ascii="Calibri" w:eastAsia="Calibri" w:hAnsi="Calibri" w:cs="Calibri"/>
                        <w:color w:val="000000"/>
                        <w:sz w:val="20"/>
                        <w:szCs w:val="20"/>
                      </w:rPr>
                      <w:t>OFFICIAL-SENSITIVE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3403" w14:textId="16160A67" w:rsidR="00F85B3C" w:rsidRDefault="00F85B3C" w:rsidP="00AA60E6">
    <w:pPr>
      <w:pStyle w:val="Header"/>
      <w:jc w:val="right"/>
      <w:rPr>
        <w:sz w:val="22"/>
        <w:szCs w:val="22"/>
      </w:rPr>
    </w:pPr>
  </w:p>
  <w:p w14:paraId="72852829" w14:textId="77777777" w:rsidR="00F85B3C" w:rsidRPr="00AA60E6" w:rsidRDefault="00F85B3C" w:rsidP="00AA60E6">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FEA"/>
    <w:multiLevelType w:val="hybridMultilevel"/>
    <w:tmpl w:val="879858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A19198E"/>
    <w:multiLevelType w:val="hybridMultilevel"/>
    <w:tmpl w:val="218C4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8572A"/>
    <w:multiLevelType w:val="hybridMultilevel"/>
    <w:tmpl w:val="4558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14AA1"/>
    <w:multiLevelType w:val="hybridMultilevel"/>
    <w:tmpl w:val="9770242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CC3B2B"/>
    <w:multiLevelType w:val="hybridMultilevel"/>
    <w:tmpl w:val="2FA8B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AF3DA7"/>
    <w:multiLevelType w:val="hybridMultilevel"/>
    <w:tmpl w:val="283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C3773"/>
    <w:multiLevelType w:val="hybridMultilevel"/>
    <w:tmpl w:val="DA16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E63F5"/>
    <w:multiLevelType w:val="hybridMultilevel"/>
    <w:tmpl w:val="4538F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D24C0"/>
    <w:multiLevelType w:val="hybridMultilevel"/>
    <w:tmpl w:val="31C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C75AB"/>
    <w:multiLevelType w:val="hybridMultilevel"/>
    <w:tmpl w:val="FD2C0D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194420"/>
    <w:multiLevelType w:val="hybridMultilevel"/>
    <w:tmpl w:val="72C2F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5770B"/>
    <w:multiLevelType w:val="hybridMultilevel"/>
    <w:tmpl w:val="08F4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170D0"/>
    <w:multiLevelType w:val="hybridMultilevel"/>
    <w:tmpl w:val="64B26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71A73"/>
    <w:multiLevelType w:val="hybridMultilevel"/>
    <w:tmpl w:val="0776A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871996"/>
    <w:multiLevelType w:val="hybridMultilevel"/>
    <w:tmpl w:val="2E480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CC315C"/>
    <w:multiLevelType w:val="hybridMultilevel"/>
    <w:tmpl w:val="A8D0D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8B3802"/>
    <w:multiLevelType w:val="hybridMultilevel"/>
    <w:tmpl w:val="F942E680"/>
    <w:lvl w:ilvl="0" w:tplc="0809000F">
      <w:start w:val="1"/>
      <w:numFmt w:val="decimal"/>
      <w:lvlText w:val="%1."/>
      <w:lvlJc w:val="left"/>
      <w:pPr>
        <w:ind w:left="180" w:hanging="360"/>
      </w:pPr>
    </w:lvl>
    <w:lvl w:ilvl="1" w:tplc="08090019">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2DD869F1"/>
    <w:multiLevelType w:val="hybridMultilevel"/>
    <w:tmpl w:val="2264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A10EB"/>
    <w:multiLevelType w:val="hybridMultilevel"/>
    <w:tmpl w:val="500C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FA0C53"/>
    <w:multiLevelType w:val="hybridMultilevel"/>
    <w:tmpl w:val="08F4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D01E60"/>
    <w:multiLevelType w:val="hybridMultilevel"/>
    <w:tmpl w:val="6AE8B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5046BA"/>
    <w:multiLevelType w:val="hybridMultilevel"/>
    <w:tmpl w:val="37005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620CF"/>
    <w:multiLevelType w:val="hybridMultilevel"/>
    <w:tmpl w:val="AA7E4F1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4" w15:restartNumberingAfterBreak="0">
    <w:nsid w:val="38D166E6"/>
    <w:multiLevelType w:val="hybridMultilevel"/>
    <w:tmpl w:val="927A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67F14"/>
    <w:multiLevelType w:val="hybridMultilevel"/>
    <w:tmpl w:val="8E861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D65250"/>
    <w:multiLevelType w:val="hybridMultilevel"/>
    <w:tmpl w:val="ED463FBA"/>
    <w:lvl w:ilvl="0" w:tplc="08090001">
      <w:start w:val="1"/>
      <w:numFmt w:val="bullet"/>
      <w:lvlText w:val=""/>
      <w:lvlJc w:val="left"/>
      <w:pPr>
        <w:ind w:left="753" w:hanging="360"/>
      </w:pPr>
      <w:rPr>
        <w:rFonts w:ascii="Symbol" w:hAnsi="Symbol" w:hint="default"/>
      </w:rPr>
    </w:lvl>
    <w:lvl w:ilvl="1" w:tplc="FFFFFFFF">
      <w:start w:val="1"/>
      <w:numFmt w:val="bullet"/>
      <w:lvlText w:val="o"/>
      <w:lvlJc w:val="left"/>
      <w:pPr>
        <w:ind w:left="1473" w:hanging="360"/>
      </w:pPr>
      <w:rPr>
        <w:rFonts w:ascii="Courier New" w:hAnsi="Courier New" w:cs="Courier New" w:hint="default"/>
      </w:rPr>
    </w:lvl>
    <w:lvl w:ilvl="2" w:tplc="FFFFFFFF" w:tentative="1">
      <w:start w:val="1"/>
      <w:numFmt w:val="bullet"/>
      <w:lvlText w:val=""/>
      <w:lvlJc w:val="left"/>
      <w:pPr>
        <w:ind w:left="2193" w:hanging="360"/>
      </w:pPr>
      <w:rPr>
        <w:rFonts w:ascii="Wingdings" w:hAnsi="Wingdings"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cs="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cs="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27" w15:restartNumberingAfterBreak="0">
    <w:nsid w:val="422A1993"/>
    <w:multiLevelType w:val="hybridMultilevel"/>
    <w:tmpl w:val="C15A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762B9F"/>
    <w:multiLevelType w:val="hybridMultilevel"/>
    <w:tmpl w:val="5A5AB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58A12E3"/>
    <w:multiLevelType w:val="hybridMultilevel"/>
    <w:tmpl w:val="70E46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5C7161E"/>
    <w:multiLevelType w:val="hybridMultilevel"/>
    <w:tmpl w:val="7B4CB9C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15:restartNumberingAfterBreak="0">
    <w:nsid w:val="48ED5E97"/>
    <w:multiLevelType w:val="hybridMultilevel"/>
    <w:tmpl w:val="08F4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3D7452"/>
    <w:multiLevelType w:val="multilevel"/>
    <w:tmpl w:val="B81C94D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E293E05"/>
    <w:multiLevelType w:val="hybridMultilevel"/>
    <w:tmpl w:val="4BEE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14EFD"/>
    <w:multiLevelType w:val="hybridMultilevel"/>
    <w:tmpl w:val="FC9ED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F42421"/>
    <w:multiLevelType w:val="hybridMultilevel"/>
    <w:tmpl w:val="5A6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D73F5"/>
    <w:multiLevelType w:val="hybridMultilevel"/>
    <w:tmpl w:val="84FC4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72B7B"/>
    <w:multiLevelType w:val="hybridMultilevel"/>
    <w:tmpl w:val="08F4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C107A"/>
    <w:multiLevelType w:val="hybridMultilevel"/>
    <w:tmpl w:val="9CBECF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841D2"/>
    <w:multiLevelType w:val="hybridMultilevel"/>
    <w:tmpl w:val="ACF0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150E1"/>
    <w:multiLevelType w:val="hybridMultilevel"/>
    <w:tmpl w:val="29CE335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1" w15:restartNumberingAfterBreak="0">
    <w:nsid w:val="77857672"/>
    <w:multiLevelType w:val="hybridMultilevel"/>
    <w:tmpl w:val="66181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3426F"/>
    <w:multiLevelType w:val="hybridMultilevel"/>
    <w:tmpl w:val="B7AA8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75B95"/>
    <w:multiLevelType w:val="hybridMultilevel"/>
    <w:tmpl w:val="6DA497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A585C6F"/>
    <w:multiLevelType w:val="hybridMultilevel"/>
    <w:tmpl w:val="DA5CB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E5CAB"/>
    <w:multiLevelType w:val="hybridMultilevel"/>
    <w:tmpl w:val="62A2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D60643"/>
    <w:multiLevelType w:val="multilevel"/>
    <w:tmpl w:val="B81C94D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909463420">
    <w:abstractNumId w:val="19"/>
  </w:num>
  <w:num w:numId="2" w16cid:durableId="647514715">
    <w:abstractNumId w:val="8"/>
  </w:num>
  <w:num w:numId="3" w16cid:durableId="425734570">
    <w:abstractNumId w:val="21"/>
  </w:num>
  <w:num w:numId="4" w16cid:durableId="1444114969">
    <w:abstractNumId w:val="31"/>
  </w:num>
  <w:num w:numId="5" w16cid:durableId="1729377132">
    <w:abstractNumId w:val="20"/>
  </w:num>
  <w:num w:numId="6" w16cid:durableId="249241400">
    <w:abstractNumId w:val="37"/>
  </w:num>
  <w:num w:numId="7" w16cid:durableId="537357928">
    <w:abstractNumId w:val="11"/>
  </w:num>
  <w:num w:numId="8" w16cid:durableId="1373194851">
    <w:abstractNumId w:val="16"/>
  </w:num>
  <w:num w:numId="9" w16cid:durableId="1103502701">
    <w:abstractNumId w:val="0"/>
  </w:num>
  <w:num w:numId="10" w16cid:durableId="1726904303">
    <w:abstractNumId w:val="6"/>
  </w:num>
  <w:num w:numId="11" w16cid:durableId="587155540">
    <w:abstractNumId w:val="10"/>
  </w:num>
  <w:num w:numId="12" w16cid:durableId="815226628">
    <w:abstractNumId w:val="1"/>
  </w:num>
  <w:num w:numId="13" w16cid:durableId="1194490631">
    <w:abstractNumId w:val="22"/>
  </w:num>
  <w:num w:numId="14" w16cid:durableId="1692995996">
    <w:abstractNumId w:val="25"/>
  </w:num>
  <w:num w:numId="15" w16cid:durableId="366025115">
    <w:abstractNumId w:val="18"/>
  </w:num>
  <w:num w:numId="16" w16cid:durableId="148136728">
    <w:abstractNumId w:val="27"/>
  </w:num>
  <w:num w:numId="17" w16cid:durableId="1053433728">
    <w:abstractNumId w:val="23"/>
  </w:num>
  <w:num w:numId="18" w16cid:durableId="593782666">
    <w:abstractNumId w:val="24"/>
  </w:num>
  <w:num w:numId="19" w16cid:durableId="1529291350">
    <w:abstractNumId w:val="41"/>
  </w:num>
  <w:num w:numId="20" w16cid:durableId="1605307269">
    <w:abstractNumId w:val="7"/>
  </w:num>
  <w:num w:numId="21" w16cid:durableId="381485161">
    <w:abstractNumId w:val="14"/>
  </w:num>
  <w:num w:numId="22" w16cid:durableId="564990498">
    <w:abstractNumId w:val="42"/>
  </w:num>
  <w:num w:numId="23" w16cid:durableId="514349758">
    <w:abstractNumId w:val="45"/>
  </w:num>
  <w:num w:numId="24" w16cid:durableId="1620337364">
    <w:abstractNumId w:val="29"/>
  </w:num>
  <w:num w:numId="25" w16cid:durableId="2123843488">
    <w:abstractNumId w:val="44"/>
  </w:num>
  <w:num w:numId="26" w16cid:durableId="1425761535">
    <w:abstractNumId w:val="34"/>
  </w:num>
  <w:num w:numId="27" w16cid:durableId="1618675555">
    <w:abstractNumId w:val="39"/>
  </w:num>
  <w:num w:numId="28" w16cid:durableId="941914530">
    <w:abstractNumId w:val="5"/>
  </w:num>
  <w:num w:numId="29" w16cid:durableId="656884900">
    <w:abstractNumId w:val="35"/>
  </w:num>
  <w:num w:numId="30" w16cid:durableId="1236863005">
    <w:abstractNumId w:val="17"/>
  </w:num>
  <w:num w:numId="31" w16cid:durableId="307825662">
    <w:abstractNumId w:val="13"/>
  </w:num>
  <w:num w:numId="32" w16cid:durableId="616105474">
    <w:abstractNumId w:val="36"/>
  </w:num>
  <w:num w:numId="33" w16cid:durableId="1553152847">
    <w:abstractNumId w:val="28"/>
  </w:num>
  <w:num w:numId="34" w16cid:durableId="1485311868">
    <w:abstractNumId w:val="2"/>
  </w:num>
  <w:num w:numId="35" w16cid:durableId="1984046749">
    <w:abstractNumId w:val="33"/>
  </w:num>
  <w:num w:numId="36" w16cid:durableId="341706710">
    <w:abstractNumId w:val="46"/>
  </w:num>
  <w:num w:numId="37" w16cid:durableId="410124794">
    <w:abstractNumId w:val="38"/>
  </w:num>
  <w:num w:numId="38" w16cid:durableId="1173034872">
    <w:abstractNumId w:val="43"/>
  </w:num>
  <w:num w:numId="39" w16cid:durableId="116070149">
    <w:abstractNumId w:val="12"/>
  </w:num>
  <w:num w:numId="40" w16cid:durableId="261494888">
    <w:abstractNumId w:val="32"/>
  </w:num>
  <w:num w:numId="41" w16cid:durableId="1124544671">
    <w:abstractNumId w:val="40"/>
  </w:num>
  <w:num w:numId="42" w16cid:durableId="971980525">
    <w:abstractNumId w:val="15"/>
  </w:num>
  <w:num w:numId="43" w16cid:durableId="578370393">
    <w:abstractNumId w:val="9"/>
  </w:num>
  <w:num w:numId="44" w16cid:durableId="200486464">
    <w:abstractNumId w:val="4"/>
  </w:num>
  <w:num w:numId="45" w16cid:durableId="95290189">
    <w:abstractNumId w:val="30"/>
  </w:num>
  <w:num w:numId="46" w16cid:durableId="2079092980">
    <w:abstractNumId w:val="3"/>
  </w:num>
  <w:num w:numId="47" w16cid:durableId="4537188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22"/>
    <w:rsid w:val="000001E6"/>
    <w:rsid w:val="000007B4"/>
    <w:rsid w:val="00000F31"/>
    <w:rsid w:val="00001B3C"/>
    <w:rsid w:val="00001EF3"/>
    <w:rsid w:val="000035D1"/>
    <w:rsid w:val="0000484C"/>
    <w:rsid w:val="00004A80"/>
    <w:rsid w:val="00005893"/>
    <w:rsid w:val="00006A7C"/>
    <w:rsid w:val="00006B4F"/>
    <w:rsid w:val="00006C81"/>
    <w:rsid w:val="000077B8"/>
    <w:rsid w:val="00007F2F"/>
    <w:rsid w:val="00011553"/>
    <w:rsid w:val="000127D8"/>
    <w:rsid w:val="000127F2"/>
    <w:rsid w:val="000129FE"/>
    <w:rsid w:val="00012FC3"/>
    <w:rsid w:val="00012FF0"/>
    <w:rsid w:val="00014B58"/>
    <w:rsid w:val="00015A8F"/>
    <w:rsid w:val="0001605A"/>
    <w:rsid w:val="00016E9E"/>
    <w:rsid w:val="00017036"/>
    <w:rsid w:val="000172A6"/>
    <w:rsid w:val="00017513"/>
    <w:rsid w:val="000175EE"/>
    <w:rsid w:val="00017E73"/>
    <w:rsid w:val="000204C0"/>
    <w:rsid w:val="000216AF"/>
    <w:rsid w:val="00021C6E"/>
    <w:rsid w:val="0002209D"/>
    <w:rsid w:val="00022849"/>
    <w:rsid w:val="00022CF8"/>
    <w:rsid w:val="000232BD"/>
    <w:rsid w:val="00023A84"/>
    <w:rsid w:val="00024490"/>
    <w:rsid w:val="00024588"/>
    <w:rsid w:val="00024D0E"/>
    <w:rsid w:val="00025895"/>
    <w:rsid w:val="00025C65"/>
    <w:rsid w:val="0002611E"/>
    <w:rsid w:val="00026CE5"/>
    <w:rsid w:val="00027DDC"/>
    <w:rsid w:val="000301F7"/>
    <w:rsid w:val="0003039A"/>
    <w:rsid w:val="00030D92"/>
    <w:rsid w:val="00031DE4"/>
    <w:rsid w:val="00031E35"/>
    <w:rsid w:val="0003296A"/>
    <w:rsid w:val="00032BE5"/>
    <w:rsid w:val="00032EE9"/>
    <w:rsid w:val="000340B9"/>
    <w:rsid w:val="00035151"/>
    <w:rsid w:val="000351C5"/>
    <w:rsid w:val="00035A87"/>
    <w:rsid w:val="00035B01"/>
    <w:rsid w:val="00036A9D"/>
    <w:rsid w:val="00037190"/>
    <w:rsid w:val="00037C5B"/>
    <w:rsid w:val="0004073B"/>
    <w:rsid w:val="00040C00"/>
    <w:rsid w:val="000414FC"/>
    <w:rsid w:val="000424F1"/>
    <w:rsid w:val="00042A02"/>
    <w:rsid w:val="00044939"/>
    <w:rsid w:val="00047123"/>
    <w:rsid w:val="000503F8"/>
    <w:rsid w:val="00050846"/>
    <w:rsid w:val="00050A61"/>
    <w:rsid w:val="00050FB5"/>
    <w:rsid w:val="00051866"/>
    <w:rsid w:val="0005431D"/>
    <w:rsid w:val="00054995"/>
    <w:rsid w:val="000550DB"/>
    <w:rsid w:val="000551D2"/>
    <w:rsid w:val="000562DA"/>
    <w:rsid w:val="00057E76"/>
    <w:rsid w:val="000609B3"/>
    <w:rsid w:val="00061F0C"/>
    <w:rsid w:val="00061FAE"/>
    <w:rsid w:val="00062A04"/>
    <w:rsid w:val="000632A5"/>
    <w:rsid w:val="00063A06"/>
    <w:rsid w:val="00063D17"/>
    <w:rsid w:val="000640F3"/>
    <w:rsid w:val="0006490C"/>
    <w:rsid w:val="000649BD"/>
    <w:rsid w:val="00064DAD"/>
    <w:rsid w:val="000651F2"/>
    <w:rsid w:val="000655B3"/>
    <w:rsid w:val="00066F23"/>
    <w:rsid w:val="00067B17"/>
    <w:rsid w:val="000708BF"/>
    <w:rsid w:val="000719AD"/>
    <w:rsid w:val="00071C68"/>
    <w:rsid w:val="000735CA"/>
    <w:rsid w:val="00074824"/>
    <w:rsid w:val="00074C33"/>
    <w:rsid w:val="00074FCB"/>
    <w:rsid w:val="0007685A"/>
    <w:rsid w:val="0007715F"/>
    <w:rsid w:val="0007728B"/>
    <w:rsid w:val="0007733D"/>
    <w:rsid w:val="00077D61"/>
    <w:rsid w:val="00080856"/>
    <w:rsid w:val="000816CB"/>
    <w:rsid w:val="00081A13"/>
    <w:rsid w:val="00081BA2"/>
    <w:rsid w:val="000822AC"/>
    <w:rsid w:val="00082562"/>
    <w:rsid w:val="00082A0E"/>
    <w:rsid w:val="0008484A"/>
    <w:rsid w:val="00085616"/>
    <w:rsid w:val="00085F5A"/>
    <w:rsid w:val="000860C5"/>
    <w:rsid w:val="00086F1C"/>
    <w:rsid w:val="000905C6"/>
    <w:rsid w:val="000906D9"/>
    <w:rsid w:val="00090DA3"/>
    <w:rsid w:val="00090F61"/>
    <w:rsid w:val="00091644"/>
    <w:rsid w:val="00091D64"/>
    <w:rsid w:val="00092187"/>
    <w:rsid w:val="00092822"/>
    <w:rsid w:val="00092D75"/>
    <w:rsid w:val="00092DEB"/>
    <w:rsid w:val="00092FFC"/>
    <w:rsid w:val="000931BD"/>
    <w:rsid w:val="00093B74"/>
    <w:rsid w:val="00094530"/>
    <w:rsid w:val="00094F71"/>
    <w:rsid w:val="000952E3"/>
    <w:rsid w:val="000961DD"/>
    <w:rsid w:val="00096D9B"/>
    <w:rsid w:val="00096EC1"/>
    <w:rsid w:val="00097190"/>
    <w:rsid w:val="000975FF"/>
    <w:rsid w:val="00097F2E"/>
    <w:rsid w:val="000A1B5F"/>
    <w:rsid w:val="000A37AE"/>
    <w:rsid w:val="000A43FA"/>
    <w:rsid w:val="000A58C0"/>
    <w:rsid w:val="000A5D6C"/>
    <w:rsid w:val="000A613E"/>
    <w:rsid w:val="000A68F1"/>
    <w:rsid w:val="000A77CF"/>
    <w:rsid w:val="000A78C6"/>
    <w:rsid w:val="000A7A2A"/>
    <w:rsid w:val="000A7C91"/>
    <w:rsid w:val="000B04B6"/>
    <w:rsid w:val="000B0642"/>
    <w:rsid w:val="000B0784"/>
    <w:rsid w:val="000B0E10"/>
    <w:rsid w:val="000B0FF6"/>
    <w:rsid w:val="000B2B3F"/>
    <w:rsid w:val="000B3154"/>
    <w:rsid w:val="000B3582"/>
    <w:rsid w:val="000B3EA8"/>
    <w:rsid w:val="000B42D8"/>
    <w:rsid w:val="000B4668"/>
    <w:rsid w:val="000B48BC"/>
    <w:rsid w:val="000B4DB5"/>
    <w:rsid w:val="000B52BB"/>
    <w:rsid w:val="000B7218"/>
    <w:rsid w:val="000B7DB2"/>
    <w:rsid w:val="000B7ECF"/>
    <w:rsid w:val="000C21A3"/>
    <w:rsid w:val="000C2F66"/>
    <w:rsid w:val="000C35D3"/>
    <w:rsid w:val="000C3DB4"/>
    <w:rsid w:val="000C3E78"/>
    <w:rsid w:val="000C4119"/>
    <w:rsid w:val="000C427F"/>
    <w:rsid w:val="000C5169"/>
    <w:rsid w:val="000C530B"/>
    <w:rsid w:val="000C6226"/>
    <w:rsid w:val="000C6736"/>
    <w:rsid w:val="000C711F"/>
    <w:rsid w:val="000C72ED"/>
    <w:rsid w:val="000D0335"/>
    <w:rsid w:val="000D12AB"/>
    <w:rsid w:val="000D2229"/>
    <w:rsid w:val="000D2281"/>
    <w:rsid w:val="000D28AC"/>
    <w:rsid w:val="000D2B69"/>
    <w:rsid w:val="000D2BAC"/>
    <w:rsid w:val="000D34CF"/>
    <w:rsid w:val="000D49F1"/>
    <w:rsid w:val="000D56A9"/>
    <w:rsid w:val="000D6200"/>
    <w:rsid w:val="000D664C"/>
    <w:rsid w:val="000D765C"/>
    <w:rsid w:val="000E01B6"/>
    <w:rsid w:val="000E4CAB"/>
    <w:rsid w:val="000E6924"/>
    <w:rsid w:val="000E7F5F"/>
    <w:rsid w:val="000F049E"/>
    <w:rsid w:val="000F079C"/>
    <w:rsid w:val="000F14B5"/>
    <w:rsid w:val="000F1BFE"/>
    <w:rsid w:val="000F24CB"/>
    <w:rsid w:val="000F30DD"/>
    <w:rsid w:val="000F38B9"/>
    <w:rsid w:val="000F41F3"/>
    <w:rsid w:val="000F447C"/>
    <w:rsid w:val="000F47E4"/>
    <w:rsid w:val="000F54D5"/>
    <w:rsid w:val="000F5743"/>
    <w:rsid w:val="000F65A2"/>
    <w:rsid w:val="000F7ACC"/>
    <w:rsid w:val="000F7D64"/>
    <w:rsid w:val="00100490"/>
    <w:rsid w:val="00100492"/>
    <w:rsid w:val="00100810"/>
    <w:rsid w:val="00101758"/>
    <w:rsid w:val="00103083"/>
    <w:rsid w:val="00103D34"/>
    <w:rsid w:val="00103FA4"/>
    <w:rsid w:val="001041C9"/>
    <w:rsid w:val="001042DA"/>
    <w:rsid w:val="00105054"/>
    <w:rsid w:val="001054A9"/>
    <w:rsid w:val="001054E4"/>
    <w:rsid w:val="001066FF"/>
    <w:rsid w:val="00106736"/>
    <w:rsid w:val="0010759D"/>
    <w:rsid w:val="00107BF6"/>
    <w:rsid w:val="00107D40"/>
    <w:rsid w:val="00110223"/>
    <w:rsid w:val="00110478"/>
    <w:rsid w:val="0011087D"/>
    <w:rsid w:val="00111FD3"/>
    <w:rsid w:val="001122D6"/>
    <w:rsid w:val="00112343"/>
    <w:rsid w:val="001123A9"/>
    <w:rsid w:val="001126F0"/>
    <w:rsid w:val="0011396F"/>
    <w:rsid w:val="0011420E"/>
    <w:rsid w:val="0011463C"/>
    <w:rsid w:val="00115CBB"/>
    <w:rsid w:val="00115D0F"/>
    <w:rsid w:val="001160E8"/>
    <w:rsid w:val="001167F8"/>
    <w:rsid w:val="00116860"/>
    <w:rsid w:val="00116F06"/>
    <w:rsid w:val="0011751B"/>
    <w:rsid w:val="00117DC8"/>
    <w:rsid w:val="00117E8A"/>
    <w:rsid w:val="001204E4"/>
    <w:rsid w:val="00120C59"/>
    <w:rsid w:val="00120C6E"/>
    <w:rsid w:val="00121537"/>
    <w:rsid w:val="00121710"/>
    <w:rsid w:val="00121C63"/>
    <w:rsid w:val="00122D37"/>
    <w:rsid w:val="0012353E"/>
    <w:rsid w:val="00124DF5"/>
    <w:rsid w:val="00126B19"/>
    <w:rsid w:val="0012725A"/>
    <w:rsid w:val="001277C9"/>
    <w:rsid w:val="00127AA5"/>
    <w:rsid w:val="00127C0A"/>
    <w:rsid w:val="00127D18"/>
    <w:rsid w:val="00127ED9"/>
    <w:rsid w:val="00127F9D"/>
    <w:rsid w:val="00127FFA"/>
    <w:rsid w:val="001300B1"/>
    <w:rsid w:val="00131182"/>
    <w:rsid w:val="00131632"/>
    <w:rsid w:val="001323A9"/>
    <w:rsid w:val="00132D9E"/>
    <w:rsid w:val="00132FCA"/>
    <w:rsid w:val="001332BE"/>
    <w:rsid w:val="00133449"/>
    <w:rsid w:val="00133CC7"/>
    <w:rsid w:val="00134004"/>
    <w:rsid w:val="00135262"/>
    <w:rsid w:val="001359B3"/>
    <w:rsid w:val="00136873"/>
    <w:rsid w:val="00136ED5"/>
    <w:rsid w:val="001377C8"/>
    <w:rsid w:val="001409EC"/>
    <w:rsid w:val="00140F64"/>
    <w:rsid w:val="00141BAD"/>
    <w:rsid w:val="00141D9F"/>
    <w:rsid w:val="001422E0"/>
    <w:rsid w:val="001430F8"/>
    <w:rsid w:val="00145602"/>
    <w:rsid w:val="00145D29"/>
    <w:rsid w:val="00145D73"/>
    <w:rsid w:val="00146633"/>
    <w:rsid w:val="00146B4B"/>
    <w:rsid w:val="0014714B"/>
    <w:rsid w:val="00147725"/>
    <w:rsid w:val="00151327"/>
    <w:rsid w:val="00151607"/>
    <w:rsid w:val="0015287A"/>
    <w:rsid w:val="00152931"/>
    <w:rsid w:val="00153361"/>
    <w:rsid w:val="0015398D"/>
    <w:rsid w:val="0015497F"/>
    <w:rsid w:val="00154F7E"/>
    <w:rsid w:val="001552EF"/>
    <w:rsid w:val="00156007"/>
    <w:rsid w:val="00160172"/>
    <w:rsid w:val="00160722"/>
    <w:rsid w:val="00160A48"/>
    <w:rsid w:val="00160C32"/>
    <w:rsid w:val="001619B4"/>
    <w:rsid w:val="00161AE3"/>
    <w:rsid w:val="00162E1F"/>
    <w:rsid w:val="00164527"/>
    <w:rsid w:val="001666C0"/>
    <w:rsid w:val="00166CB0"/>
    <w:rsid w:val="0016715E"/>
    <w:rsid w:val="00167E77"/>
    <w:rsid w:val="00167E80"/>
    <w:rsid w:val="0017052B"/>
    <w:rsid w:val="00170B86"/>
    <w:rsid w:val="00171207"/>
    <w:rsid w:val="00171873"/>
    <w:rsid w:val="00171B3F"/>
    <w:rsid w:val="00171E9D"/>
    <w:rsid w:val="001721F2"/>
    <w:rsid w:val="0017231F"/>
    <w:rsid w:val="00172383"/>
    <w:rsid w:val="00175029"/>
    <w:rsid w:val="0017517B"/>
    <w:rsid w:val="00176705"/>
    <w:rsid w:val="0017707B"/>
    <w:rsid w:val="00177819"/>
    <w:rsid w:val="00180328"/>
    <w:rsid w:val="00181604"/>
    <w:rsid w:val="00181851"/>
    <w:rsid w:val="0018191C"/>
    <w:rsid w:val="0018191F"/>
    <w:rsid w:val="00182957"/>
    <w:rsid w:val="0018427B"/>
    <w:rsid w:val="001846AE"/>
    <w:rsid w:val="0018517C"/>
    <w:rsid w:val="00186320"/>
    <w:rsid w:val="00186B3F"/>
    <w:rsid w:val="00187579"/>
    <w:rsid w:val="00187C47"/>
    <w:rsid w:val="00187FB1"/>
    <w:rsid w:val="00190BF5"/>
    <w:rsid w:val="00191D89"/>
    <w:rsid w:val="0019293A"/>
    <w:rsid w:val="0019306B"/>
    <w:rsid w:val="0019481F"/>
    <w:rsid w:val="0019574C"/>
    <w:rsid w:val="00196892"/>
    <w:rsid w:val="00196CAA"/>
    <w:rsid w:val="001A013D"/>
    <w:rsid w:val="001A05AD"/>
    <w:rsid w:val="001A06E9"/>
    <w:rsid w:val="001A0754"/>
    <w:rsid w:val="001A07A4"/>
    <w:rsid w:val="001A0CB3"/>
    <w:rsid w:val="001A2B1D"/>
    <w:rsid w:val="001A4AC0"/>
    <w:rsid w:val="001A4D55"/>
    <w:rsid w:val="001A5103"/>
    <w:rsid w:val="001A6A38"/>
    <w:rsid w:val="001A7735"/>
    <w:rsid w:val="001A7C3E"/>
    <w:rsid w:val="001A7FE4"/>
    <w:rsid w:val="001B11B8"/>
    <w:rsid w:val="001B1632"/>
    <w:rsid w:val="001B24C6"/>
    <w:rsid w:val="001B2635"/>
    <w:rsid w:val="001B28BD"/>
    <w:rsid w:val="001B2E8F"/>
    <w:rsid w:val="001B32CB"/>
    <w:rsid w:val="001B4462"/>
    <w:rsid w:val="001B4A01"/>
    <w:rsid w:val="001B4C05"/>
    <w:rsid w:val="001B4F93"/>
    <w:rsid w:val="001B57EE"/>
    <w:rsid w:val="001B7629"/>
    <w:rsid w:val="001B7C5B"/>
    <w:rsid w:val="001C0EA8"/>
    <w:rsid w:val="001C25B6"/>
    <w:rsid w:val="001C2A15"/>
    <w:rsid w:val="001C3213"/>
    <w:rsid w:val="001C38A3"/>
    <w:rsid w:val="001C474C"/>
    <w:rsid w:val="001C5063"/>
    <w:rsid w:val="001C52EF"/>
    <w:rsid w:val="001C5581"/>
    <w:rsid w:val="001C5FD5"/>
    <w:rsid w:val="001C603E"/>
    <w:rsid w:val="001C6116"/>
    <w:rsid w:val="001C6A87"/>
    <w:rsid w:val="001C713F"/>
    <w:rsid w:val="001C71BF"/>
    <w:rsid w:val="001C765E"/>
    <w:rsid w:val="001C7699"/>
    <w:rsid w:val="001D0EF3"/>
    <w:rsid w:val="001D1341"/>
    <w:rsid w:val="001D21F4"/>
    <w:rsid w:val="001D391E"/>
    <w:rsid w:val="001D3CCE"/>
    <w:rsid w:val="001D3D23"/>
    <w:rsid w:val="001D3D95"/>
    <w:rsid w:val="001D555B"/>
    <w:rsid w:val="001D58E7"/>
    <w:rsid w:val="001D6166"/>
    <w:rsid w:val="001D63B7"/>
    <w:rsid w:val="001D66D7"/>
    <w:rsid w:val="001E0E83"/>
    <w:rsid w:val="001E0EA4"/>
    <w:rsid w:val="001E14FC"/>
    <w:rsid w:val="001E1D30"/>
    <w:rsid w:val="001E1F44"/>
    <w:rsid w:val="001E3211"/>
    <w:rsid w:val="001E3BA3"/>
    <w:rsid w:val="001E608C"/>
    <w:rsid w:val="001E6652"/>
    <w:rsid w:val="001E67D0"/>
    <w:rsid w:val="001E6FA7"/>
    <w:rsid w:val="001E71C9"/>
    <w:rsid w:val="001E75B6"/>
    <w:rsid w:val="001E76E0"/>
    <w:rsid w:val="001E7C2B"/>
    <w:rsid w:val="001F133E"/>
    <w:rsid w:val="001F1937"/>
    <w:rsid w:val="001F2550"/>
    <w:rsid w:val="001F38C8"/>
    <w:rsid w:val="001F44D5"/>
    <w:rsid w:val="001F4842"/>
    <w:rsid w:val="001F48B9"/>
    <w:rsid w:val="001F4941"/>
    <w:rsid w:val="001F4CEA"/>
    <w:rsid w:val="001F61D1"/>
    <w:rsid w:val="001F61FA"/>
    <w:rsid w:val="001F6ACB"/>
    <w:rsid w:val="001F714F"/>
    <w:rsid w:val="001F7EE7"/>
    <w:rsid w:val="0020041F"/>
    <w:rsid w:val="00200911"/>
    <w:rsid w:val="00200C8D"/>
    <w:rsid w:val="0020144A"/>
    <w:rsid w:val="002018AB"/>
    <w:rsid w:val="002018BA"/>
    <w:rsid w:val="00203EB0"/>
    <w:rsid w:val="00204A3D"/>
    <w:rsid w:val="002051BD"/>
    <w:rsid w:val="0020595C"/>
    <w:rsid w:val="00205FB6"/>
    <w:rsid w:val="0020607D"/>
    <w:rsid w:val="00206247"/>
    <w:rsid w:val="00210822"/>
    <w:rsid w:val="00210E71"/>
    <w:rsid w:val="002110C8"/>
    <w:rsid w:val="00211179"/>
    <w:rsid w:val="00211330"/>
    <w:rsid w:val="00211A66"/>
    <w:rsid w:val="0021368E"/>
    <w:rsid w:val="0021521F"/>
    <w:rsid w:val="002156C7"/>
    <w:rsid w:val="00215D60"/>
    <w:rsid w:val="00216527"/>
    <w:rsid w:val="002175AC"/>
    <w:rsid w:val="00217BA2"/>
    <w:rsid w:val="00217E03"/>
    <w:rsid w:val="002203A9"/>
    <w:rsid w:val="0022053D"/>
    <w:rsid w:val="002207C3"/>
    <w:rsid w:val="00220E7E"/>
    <w:rsid w:val="002211F7"/>
    <w:rsid w:val="00221580"/>
    <w:rsid w:val="00221C1C"/>
    <w:rsid w:val="00221F30"/>
    <w:rsid w:val="00222F92"/>
    <w:rsid w:val="0022329A"/>
    <w:rsid w:val="002238F8"/>
    <w:rsid w:val="00223C26"/>
    <w:rsid w:val="00223D52"/>
    <w:rsid w:val="00224260"/>
    <w:rsid w:val="0022498A"/>
    <w:rsid w:val="002249D3"/>
    <w:rsid w:val="00224A46"/>
    <w:rsid w:val="00224A56"/>
    <w:rsid w:val="00224F69"/>
    <w:rsid w:val="00225429"/>
    <w:rsid w:val="002255B8"/>
    <w:rsid w:val="00226164"/>
    <w:rsid w:val="002265B5"/>
    <w:rsid w:val="00226E73"/>
    <w:rsid w:val="002273BB"/>
    <w:rsid w:val="0022799E"/>
    <w:rsid w:val="00227A04"/>
    <w:rsid w:val="00227CE7"/>
    <w:rsid w:val="00230279"/>
    <w:rsid w:val="002309C4"/>
    <w:rsid w:val="00230EFC"/>
    <w:rsid w:val="00231574"/>
    <w:rsid w:val="002320AB"/>
    <w:rsid w:val="00232D46"/>
    <w:rsid w:val="002332EC"/>
    <w:rsid w:val="00233DE2"/>
    <w:rsid w:val="00234001"/>
    <w:rsid w:val="00234784"/>
    <w:rsid w:val="00234EEB"/>
    <w:rsid w:val="002354A2"/>
    <w:rsid w:val="00237E27"/>
    <w:rsid w:val="002401AC"/>
    <w:rsid w:val="00241168"/>
    <w:rsid w:val="002414C2"/>
    <w:rsid w:val="0024178C"/>
    <w:rsid w:val="00241F9B"/>
    <w:rsid w:val="0024240D"/>
    <w:rsid w:val="00242845"/>
    <w:rsid w:val="00242BDE"/>
    <w:rsid w:val="00243CF7"/>
    <w:rsid w:val="00244DD9"/>
    <w:rsid w:val="00244E14"/>
    <w:rsid w:val="00246581"/>
    <w:rsid w:val="002467FB"/>
    <w:rsid w:val="00246DA4"/>
    <w:rsid w:val="00246DBB"/>
    <w:rsid w:val="00246DE0"/>
    <w:rsid w:val="00247326"/>
    <w:rsid w:val="00247A49"/>
    <w:rsid w:val="002507E2"/>
    <w:rsid w:val="002515E4"/>
    <w:rsid w:val="00251B83"/>
    <w:rsid w:val="00251EC5"/>
    <w:rsid w:val="00252076"/>
    <w:rsid w:val="00252AA9"/>
    <w:rsid w:val="0025315B"/>
    <w:rsid w:val="0025370F"/>
    <w:rsid w:val="00254127"/>
    <w:rsid w:val="0025419C"/>
    <w:rsid w:val="00254554"/>
    <w:rsid w:val="002557BB"/>
    <w:rsid w:val="00256130"/>
    <w:rsid w:val="00256991"/>
    <w:rsid w:val="00257177"/>
    <w:rsid w:val="002573BE"/>
    <w:rsid w:val="002577AD"/>
    <w:rsid w:val="0026017D"/>
    <w:rsid w:val="002604C2"/>
    <w:rsid w:val="0026099E"/>
    <w:rsid w:val="00260C5B"/>
    <w:rsid w:val="00260E81"/>
    <w:rsid w:val="00261662"/>
    <w:rsid w:val="0026214B"/>
    <w:rsid w:val="0026264D"/>
    <w:rsid w:val="00262F92"/>
    <w:rsid w:val="00263B8A"/>
    <w:rsid w:val="00263D8D"/>
    <w:rsid w:val="00264ADA"/>
    <w:rsid w:val="00264DF5"/>
    <w:rsid w:val="00265301"/>
    <w:rsid w:val="002661B8"/>
    <w:rsid w:val="00266A44"/>
    <w:rsid w:val="00266E64"/>
    <w:rsid w:val="00266FBA"/>
    <w:rsid w:val="00267CCC"/>
    <w:rsid w:val="00270F11"/>
    <w:rsid w:val="00271355"/>
    <w:rsid w:val="00271548"/>
    <w:rsid w:val="0027171A"/>
    <w:rsid w:val="00272039"/>
    <w:rsid w:val="0027399D"/>
    <w:rsid w:val="002745CB"/>
    <w:rsid w:val="002746DA"/>
    <w:rsid w:val="00274BB1"/>
    <w:rsid w:val="00274BF2"/>
    <w:rsid w:val="002758CA"/>
    <w:rsid w:val="00275A85"/>
    <w:rsid w:val="00276428"/>
    <w:rsid w:val="002764BA"/>
    <w:rsid w:val="002766D2"/>
    <w:rsid w:val="00276B9C"/>
    <w:rsid w:val="002803AC"/>
    <w:rsid w:val="0028061A"/>
    <w:rsid w:val="00280A2B"/>
    <w:rsid w:val="00280D92"/>
    <w:rsid w:val="00280DCB"/>
    <w:rsid w:val="00281A3E"/>
    <w:rsid w:val="00281CEE"/>
    <w:rsid w:val="00281EF4"/>
    <w:rsid w:val="0028236E"/>
    <w:rsid w:val="00283429"/>
    <w:rsid w:val="00283D27"/>
    <w:rsid w:val="00283D6E"/>
    <w:rsid w:val="002844D3"/>
    <w:rsid w:val="00284E11"/>
    <w:rsid w:val="00284E48"/>
    <w:rsid w:val="00285069"/>
    <w:rsid w:val="00285409"/>
    <w:rsid w:val="00285B53"/>
    <w:rsid w:val="00286302"/>
    <w:rsid w:val="00286926"/>
    <w:rsid w:val="0028722A"/>
    <w:rsid w:val="00287AF0"/>
    <w:rsid w:val="00287CAC"/>
    <w:rsid w:val="00287F84"/>
    <w:rsid w:val="00290508"/>
    <w:rsid w:val="00290856"/>
    <w:rsid w:val="0029107F"/>
    <w:rsid w:val="002911D7"/>
    <w:rsid w:val="002915CF"/>
    <w:rsid w:val="002919BB"/>
    <w:rsid w:val="00292397"/>
    <w:rsid w:val="00292719"/>
    <w:rsid w:val="00293174"/>
    <w:rsid w:val="00293E36"/>
    <w:rsid w:val="00295169"/>
    <w:rsid w:val="0029613B"/>
    <w:rsid w:val="002A0452"/>
    <w:rsid w:val="002A0622"/>
    <w:rsid w:val="002A10AF"/>
    <w:rsid w:val="002A1696"/>
    <w:rsid w:val="002A3465"/>
    <w:rsid w:val="002A4CFC"/>
    <w:rsid w:val="002A567E"/>
    <w:rsid w:val="002A5BC9"/>
    <w:rsid w:val="002A6854"/>
    <w:rsid w:val="002A7357"/>
    <w:rsid w:val="002A78AE"/>
    <w:rsid w:val="002A7B7D"/>
    <w:rsid w:val="002B0E9D"/>
    <w:rsid w:val="002B14D7"/>
    <w:rsid w:val="002B14DD"/>
    <w:rsid w:val="002B2C36"/>
    <w:rsid w:val="002B3411"/>
    <w:rsid w:val="002B4988"/>
    <w:rsid w:val="002B61FB"/>
    <w:rsid w:val="002B631D"/>
    <w:rsid w:val="002B67B3"/>
    <w:rsid w:val="002B7DE4"/>
    <w:rsid w:val="002B7F25"/>
    <w:rsid w:val="002C037B"/>
    <w:rsid w:val="002C0C0A"/>
    <w:rsid w:val="002C0FAA"/>
    <w:rsid w:val="002C1247"/>
    <w:rsid w:val="002C30F2"/>
    <w:rsid w:val="002C3628"/>
    <w:rsid w:val="002C37E4"/>
    <w:rsid w:val="002C3DAB"/>
    <w:rsid w:val="002C3EC2"/>
    <w:rsid w:val="002C4FDD"/>
    <w:rsid w:val="002C5DFB"/>
    <w:rsid w:val="002C6728"/>
    <w:rsid w:val="002C78FA"/>
    <w:rsid w:val="002C7BB1"/>
    <w:rsid w:val="002D0BFD"/>
    <w:rsid w:val="002D0C65"/>
    <w:rsid w:val="002D0CA3"/>
    <w:rsid w:val="002D11B8"/>
    <w:rsid w:val="002D1648"/>
    <w:rsid w:val="002D2162"/>
    <w:rsid w:val="002D246F"/>
    <w:rsid w:val="002D24A7"/>
    <w:rsid w:val="002D2AAD"/>
    <w:rsid w:val="002D4ACF"/>
    <w:rsid w:val="002D560C"/>
    <w:rsid w:val="002D678D"/>
    <w:rsid w:val="002D6A56"/>
    <w:rsid w:val="002D700B"/>
    <w:rsid w:val="002E045F"/>
    <w:rsid w:val="002E08E8"/>
    <w:rsid w:val="002E10B1"/>
    <w:rsid w:val="002E22AD"/>
    <w:rsid w:val="002E24CD"/>
    <w:rsid w:val="002E2693"/>
    <w:rsid w:val="002E30BF"/>
    <w:rsid w:val="002E3110"/>
    <w:rsid w:val="002E36F8"/>
    <w:rsid w:val="002E4289"/>
    <w:rsid w:val="002E44E3"/>
    <w:rsid w:val="002E49EB"/>
    <w:rsid w:val="002E4C9F"/>
    <w:rsid w:val="002E4FF7"/>
    <w:rsid w:val="002E5629"/>
    <w:rsid w:val="002E5EB2"/>
    <w:rsid w:val="002E6D94"/>
    <w:rsid w:val="002E7974"/>
    <w:rsid w:val="002E7B4A"/>
    <w:rsid w:val="002F0392"/>
    <w:rsid w:val="002F0617"/>
    <w:rsid w:val="002F0AF4"/>
    <w:rsid w:val="002F120B"/>
    <w:rsid w:val="002F1805"/>
    <w:rsid w:val="002F19E9"/>
    <w:rsid w:val="002F24E3"/>
    <w:rsid w:val="002F2B85"/>
    <w:rsid w:val="002F55D0"/>
    <w:rsid w:val="002F634D"/>
    <w:rsid w:val="002F6550"/>
    <w:rsid w:val="003022F1"/>
    <w:rsid w:val="0030271C"/>
    <w:rsid w:val="00303742"/>
    <w:rsid w:val="00303C4F"/>
    <w:rsid w:val="00304F86"/>
    <w:rsid w:val="00305FA1"/>
    <w:rsid w:val="0030771A"/>
    <w:rsid w:val="00307E2F"/>
    <w:rsid w:val="00310994"/>
    <w:rsid w:val="00310FB4"/>
    <w:rsid w:val="00311DE8"/>
    <w:rsid w:val="0031264D"/>
    <w:rsid w:val="00313226"/>
    <w:rsid w:val="00313858"/>
    <w:rsid w:val="00313AC9"/>
    <w:rsid w:val="00315108"/>
    <w:rsid w:val="00315810"/>
    <w:rsid w:val="0031608D"/>
    <w:rsid w:val="00316766"/>
    <w:rsid w:val="00317734"/>
    <w:rsid w:val="003202BD"/>
    <w:rsid w:val="003203BF"/>
    <w:rsid w:val="00320AFF"/>
    <w:rsid w:val="003213BF"/>
    <w:rsid w:val="00321BED"/>
    <w:rsid w:val="00322997"/>
    <w:rsid w:val="00322E3E"/>
    <w:rsid w:val="003242F3"/>
    <w:rsid w:val="003243ED"/>
    <w:rsid w:val="00324549"/>
    <w:rsid w:val="003247D0"/>
    <w:rsid w:val="003257F9"/>
    <w:rsid w:val="00325B97"/>
    <w:rsid w:val="00326EE8"/>
    <w:rsid w:val="00327063"/>
    <w:rsid w:val="0032754E"/>
    <w:rsid w:val="003309E7"/>
    <w:rsid w:val="00330F33"/>
    <w:rsid w:val="00331919"/>
    <w:rsid w:val="00334F89"/>
    <w:rsid w:val="003362E3"/>
    <w:rsid w:val="00336613"/>
    <w:rsid w:val="00336EE1"/>
    <w:rsid w:val="003372DC"/>
    <w:rsid w:val="003373B5"/>
    <w:rsid w:val="0033767C"/>
    <w:rsid w:val="00337BFE"/>
    <w:rsid w:val="00337C3B"/>
    <w:rsid w:val="00337D9C"/>
    <w:rsid w:val="00337E0A"/>
    <w:rsid w:val="00341B11"/>
    <w:rsid w:val="00342089"/>
    <w:rsid w:val="003448E4"/>
    <w:rsid w:val="00345B4F"/>
    <w:rsid w:val="003469EF"/>
    <w:rsid w:val="00347228"/>
    <w:rsid w:val="003476B2"/>
    <w:rsid w:val="00347FCD"/>
    <w:rsid w:val="00350124"/>
    <w:rsid w:val="00350E86"/>
    <w:rsid w:val="003517F9"/>
    <w:rsid w:val="0035183B"/>
    <w:rsid w:val="0035185C"/>
    <w:rsid w:val="00351CEC"/>
    <w:rsid w:val="0035223F"/>
    <w:rsid w:val="003528A1"/>
    <w:rsid w:val="00353461"/>
    <w:rsid w:val="00354228"/>
    <w:rsid w:val="00354DCE"/>
    <w:rsid w:val="003567CA"/>
    <w:rsid w:val="00356C2D"/>
    <w:rsid w:val="003570AC"/>
    <w:rsid w:val="00357F49"/>
    <w:rsid w:val="003602BF"/>
    <w:rsid w:val="003606A2"/>
    <w:rsid w:val="00360A3A"/>
    <w:rsid w:val="0036149C"/>
    <w:rsid w:val="00362AC4"/>
    <w:rsid w:val="00362C87"/>
    <w:rsid w:val="0036300C"/>
    <w:rsid w:val="00364850"/>
    <w:rsid w:val="003650E4"/>
    <w:rsid w:val="00365FBE"/>
    <w:rsid w:val="003660C3"/>
    <w:rsid w:val="00366169"/>
    <w:rsid w:val="0036690C"/>
    <w:rsid w:val="00367B21"/>
    <w:rsid w:val="003703D3"/>
    <w:rsid w:val="00371DD3"/>
    <w:rsid w:val="003724D0"/>
    <w:rsid w:val="003727BC"/>
    <w:rsid w:val="003730EC"/>
    <w:rsid w:val="003749FA"/>
    <w:rsid w:val="00374B46"/>
    <w:rsid w:val="0037510B"/>
    <w:rsid w:val="0037618E"/>
    <w:rsid w:val="00377909"/>
    <w:rsid w:val="00377C53"/>
    <w:rsid w:val="00380585"/>
    <w:rsid w:val="003806E5"/>
    <w:rsid w:val="00380A82"/>
    <w:rsid w:val="00380FE4"/>
    <w:rsid w:val="00381566"/>
    <w:rsid w:val="00382983"/>
    <w:rsid w:val="00382B0F"/>
    <w:rsid w:val="00384247"/>
    <w:rsid w:val="00387368"/>
    <w:rsid w:val="00387C8E"/>
    <w:rsid w:val="00390121"/>
    <w:rsid w:val="0039105D"/>
    <w:rsid w:val="00391472"/>
    <w:rsid w:val="00391893"/>
    <w:rsid w:val="003920D3"/>
    <w:rsid w:val="00392683"/>
    <w:rsid w:val="0039269C"/>
    <w:rsid w:val="00392E6F"/>
    <w:rsid w:val="003935BC"/>
    <w:rsid w:val="003935F3"/>
    <w:rsid w:val="00393928"/>
    <w:rsid w:val="003941BD"/>
    <w:rsid w:val="003947DD"/>
    <w:rsid w:val="003950D8"/>
    <w:rsid w:val="0039577E"/>
    <w:rsid w:val="00395786"/>
    <w:rsid w:val="00396119"/>
    <w:rsid w:val="003967DA"/>
    <w:rsid w:val="00397073"/>
    <w:rsid w:val="003974D8"/>
    <w:rsid w:val="00397CA2"/>
    <w:rsid w:val="003A00B9"/>
    <w:rsid w:val="003A04BF"/>
    <w:rsid w:val="003A04D5"/>
    <w:rsid w:val="003A16F1"/>
    <w:rsid w:val="003A1BF7"/>
    <w:rsid w:val="003A2929"/>
    <w:rsid w:val="003A2B71"/>
    <w:rsid w:val="003A3B2E"/>
    <w:rsid w:val="003A53E0"/>
    <w:rsid w:val="003A5A2F"/>
    <w:rsid w:val="003A6118"/>
    <w:rsid w:val="003A6392"/>
    <w:rsid w:val="003A689D"/>
    <w:rsid w:val="003A6C45"/>
    <w:rsid w:val="003A6D01"/>
    <w:rsid w:val="003A7548"/>
    <w:rsid w:val="003A7A3F"/>
    <w:rsid w:val="003A7E58"/>
    <w:rsid w:val="003A7F21"/>
    <w:rsid w:val="003B07AB"/>
    <w:rsid w:val="003B0B0C"/>
    <w:rsid w:val="003B0C95"/>
    <w:rsid w:val="003B0ED4"/>
    <w:rsid w:val="003B12E2"/>
    <w:rsid w:val="003B30AF"/>
    <w:rsid w:val="003B3A00"/>
    <w:rsid w:val="003B3DC0"/>
    <w:rsid w:val="003B415C"/>
    <w:rsid w:val="003B4C60"/>
    <w:rsid w:val="003B5119"/>
    <w:rsid w:val="003B5A72"/>
    <w:rsid w:val="003B658A"/>
    <w:rsid w:val="003B6B2E"/>
    <w:rsid w:val="003B7070"/>
    <w:rsid w:val="003B7201"/>
    <w:rsid w:val="003B73DA"/>
    <w:rsid w:val="003C03B5"/>
    <w:rsid w:val="003C06ED"/>
    <w:rsid w:val="003C07C3"/>
    <w:rsid w:val="003C1A2C"/>
    <w:rsid w:val="003C3084"/>
    <w:rsid w:val="003C33C4"/>
    <w:rsid w:val="003C38AA"/>
    <w:rsid w:val="003C603E"/>
    <w:rsid w:val="003C62FF"/>
    <w:rsid w:val="003C6904"/>
    <w:rsid w:val="003C6D6B"/>
    <w:rsid w:val="003D05C0"/>
    <w:rsid w:val="003D0970"/>
    <w:rsid w:val="003D0EAF"/>
    <w:rsid w:val="003D1796"/>
    <w:rsid w:val="003D22D1"/>
    <w:rsid w:val="003D2676"/>
    <w:rsid w:val="003D2754"/>
    <w:rsid w:val="003D2B6F"/>
    <w:rsid w:val="003D2BF1"/>
    <w:rsid w:val="003D3327"/>
    <w:rsid w:val="003D3504"/>
    <w:rsid w:val="003D4FD7"/>
    <w:rsid w:val="003D5873"/>
    <w:rsid w:val="003D68B1"/>
    <w:rsid w:val="003E0237"/>
    <w:rsid w:val="003E0526"/>
    <w:rsid w:val="003E0E9E"/>
    <w:rsid w:val="003E1EBA"/>
    <w:rsid w:val="003E23C5"/>
    <w:rsid w:val="003E2B63"/>
    <w:rsid w:val="003E3748"/>
    <w:rsid w:val="003E4670"/>
    <w:rsid w:val="003E4DCE"/>
    <w:rsid w:val="003E621F"/>
    <w:rsid w:val="003E6399"/>
    <w:rsid w:val="003E68E2"/>
    <w:rsid w:val="003E6955"/>
    <w:rsid w:val="003E707F"/>
    <w:rsid w:val="003E773C"/>
    <w:rsid w:val="003E7E2F"/>
    <w:rsid w:val="003F0387"/>
    <w:rsid w:val="003F1243"/>
    <w:rsid w:val="003F15B7"/>
    <w:rsid w:val="003F3081"/>
    <w:rsid w:val="003F3624"/>
    <w:rsid w:val="003F3EDA"/>
    <w:rsid w:val="003F40D7"/>
    <w:rsid w:val="003F4A6B"/>
    <w:rsid w:val="003F4C81"/>
    <w:rsid w:val="003F54CB"/>
    <w:rsid w:val="003F60A0"/>
    <w:rsid w:val="003F6782"/>
    <w:rsid w:val="003F684E"/>
    <w:rsid w:val="003F6C0F"/>
    <w:rsid w:val="003F7BB0"/>
    <w:rsid w:val="004003A2"/>
    <w:rsid w:val="00400510"/>
    <w:rsid w:val="004014A9"/>
    <w:rsid w:val="00403B35"/>
    <w:rsid w:val="00404002"/>
    <w:rsid w:val="00404B19"/>
    <w:rsid w:val="00404B21"/>
    <w:rsid w:val="00405469"/>
    <w:rsid w:val="004067C8"/>
    <w:rsid w:val="00406B88"/>
    <w:rsid w:val="00406CE1"/>
    <w:rsid w:val="00407528"/>
    <w:rsid w:val="00407BBF"/>
    <w:rsid w:val="00407BD6"/>
    <w:rsid w:val="00410923"/>
    <w:rsid w:val="0041116E"/>
    <w:rsid w:val="004111C8"/>
    <w:rsid w:val="0041154E"/>
    <w:rsid w:val="00411F90"/>
    <w:rsid w:val="00412F6D"/>
    <w:rsid w:val="004137D9"/>
    <w:rsid w:val="00413B48"/>
    <w:rsid w:val="00414042"/>
    <w:rsid w:val="00414FE6"/>
    <w:rsid w:val="00415DE6"/>
    <w:rsid w:val="0041653D"/>
    <w:rsid w:val="00416883"/>
    <w:rsid w:val="00420BDF"/>
    <w:rsid w:val="00420F52"/>
    <w:rsid w:val="00421629"/>
    <w:rsid w:val="00421C26"/>
    <w:rsid w:val="00421E10"/>
    <w:rsid w:val="00421EE5"/>
    <w:rsid w:val="00422B49"/>
    <w:rsid w:val="00422E5F"/>
    <w:rsid w:val="00422E6E"/>
    <w:rsid w:val="004238A6"/>
    <w:rsid w:val="004239D4"/>
    <w:rsid w:val="00424BB2"/>
    <w:rsid w:val="00425B53"/>
    <w:rsid w:val="00425C7D"/>
    <w:rsid w:val="00425F4C"/>
    <w:rsid w:val="004261E7"/>
    <w:rsid w:val="00426266"/>
    <w:rsid w:val="00426605"/>
    <w:rsid w:val="0042667E"/>
    <w:rsid w:val="00426F47"/>
    <w:rsid w:val="00427379"/>
    <w:rsid w:val="0043045B"/>
    <w:rsid w:val="00430830"/>
    <w:rsid w:val="004319B9"/>
    <w:rsid w:val="00431D30"/>
    <w:rsid w:val="00432D1D"/>
    <w:rsid w:val="00433283"/>
    <w:rsid w:val="00433768"/>
    <w:rsid w:val="00433AFA"/>
    <w:rsid w:val="00433D68"/>
    <w:rsid w:val="004340FE"/>
    <w:rsid w:val="00434D51"/>
    <w:rsid w:val="00435AAE"/>
    <w:rsid w:val="00436375"/>
    <w:rsid w:val="0043649A"/>
    <w:rsid w:val="0043708D"/>
    <w:rsid w:val="004373F3"/>
    <w:rsid w:val="00437977"/>
    <w:rsid w:val="00437BF2"/>
    <w:rsid w:val="00437E7D"/>
    <w:rsid w:val="004401FD"/>
    <w:rsid w:val="00440271"/>
    <w:rsid w:val="00440CFC"/>
    <w:rsid w:val="0044109C"/>
    <w:rsid w:val="00441B7A"/>
    <w:rsid w:val="00442176"/>
    <w:rsid w:val="00442368"/>
    <w:rsid w:val="0044279D"/>
    <w:rsid w:val="0044310F"/>
    <w:rsid w:val="004438D2"/>
    <w:rsid w:val="00444ED2"/>
    <w:rsid w:val="00445032"/>
    <w:rsid w:val="00445278"/>
    <w:rsid w:val="0044567B"/>
    <w:rsid w:val="00445FC3"/>
    <w:rsid w:val="004462B2"/>
    <w:rsid w:val="00446904"/>
    <w:rsid w:val="00446BE6"/>
    <w:rsid w:val="00446DDC"/>
    <w:rsid w:val="004472C6"/>
    <w:rsid w:val="0044753E"/>
    <w:rsid w:val="00447ECF"/>
    <w:rsid w:val="004521A1"/>
    <w:rsid w:val="004535DA"/>
    <w:rsid w:val="004544BC"/>
    <w:rsid w:val="00454A75"/>
    <w:rsid w:val="0045506D"/>
    <w:rsid w:val="004550A3"/>
    <w:rsid w:val="0045632A"/>
    <w:rsid w:val="00456D04"/>
    <w:rsid w:val="004576F0"/>
    <w:rsid w:val="00457FF3"/>
    <w:rsid w:val="00460210"/>
    <w:rsid w:val="00461383"/>
    <w:rsid w:val="00463B5C"/>
    <w:rsid w:val="00463C77"/>
    <w:rsid w:val="00463C85"/>
    <w:rsid w:val="00464B78"/>
    <w:rsid w:val="00464C3C"/>
    <w:rsid w:val="00465927"/>
    <w:rsid w:val="00465BBB"/>
    <w:rsid w:val="00465E8B"/>
    <w:rsid w:val="00466B4D"/>
    <w:rsid w:val="00466D89"/>
    <w:rsid w:val="00467072"/>
    <w:rsid w:val="004670A8"/>
    <w:rsid w:val="0046756B"/>
    <w:rsid w:val="004675DA"/>
    <w:rsid w:val="00467634"/>
    <w:rsid w:val="004677AE"/>
    <w:rsid w:val="004679FA"/>
    <w:rsid w:val="00467A80"/>
    <w:rsid w:val="00467CDC"/>
    <w:rsid w:val="00471E19"/>
    <w:rsid w:val="00472267"/>
    <w:rsid w:val="00472C2E"/>
    <w:rsid w:val="00472F8B"/>
    <w:rsid w:val="0047331C"/>
    <w:rsid w:val="00473409"/>
    <w:rsid w:val="00473927"/>
    <w:rsid w:val="0047497A"/>
    <w:rsid w:val="00474F6A"/>
    <w:rsid w:val="00475AC3"/>
    <w:rsid w:val="00475CA4"/>
    <w:rsid w:val="00476300"/>
    <w:rsid w:val="00477114"/>
    <w:rsid w:val="00477198"/>
    <w:rsid w:val="00480728"/>
    <w:rsid w:val="00480C49"/>
    <w:rsid w:val="004819E5"/>
    <w:rsid w:val="0048282B"/>
    <w:rsid w:val="004830B5"/>
    <w:rsid w:val="004831C5"/>
    <w:rsid w:val="00484012"/>
    <w:rsid w:val="00485B59"/>
    <w:rsid w:val="00485D14"/>
    <w:rsid w:val="004861B2"/>
    <w:rsid w:val="0048662A"/>
    <w:rsid w:val="00486D35"/>
    <w:rsid w:val="00486EEC"/>
    <w:rsid w:val="00487199"/>
    <w:rsid w:val="004914B7"/>
    <w:rsid w:val="0049194B"/>
    <w:rsid w:val="00491C6B"/>
    <w:rsid w:val="00492F49"/>
    <w:rsid w:val="004936BD"/>
    <w:rsid w:val="004944C6"/>
    <w:rsid w:val="004951D2"/>
    <w:rsid w:val="00495F79"/>
    <w:rsid w:val="00496384"/>
    <w:rsid w:val="00496BF8"/>
    <w:rsid w:val="00496C27"/>
    <w:rsid w:val="00497525"/>
    <w:rsid w:val="004A0006"/>
    <w:rsid w:val="004A0F5A"/>
    <w:rsid w:val="004A11EB"/>
    <w:rsid w:val="004A2D27"/>
    <w:rsid w:val="004A2F9E"/>
    <w:rsid w:val="004A3032"/>
    <w:rsid w:val="004A31F7"/>
    <w:rsid w:val="004A323C"/>
    <w:rsid w:val="004A54B0"/>
    <w:rsid w:val="004A5C53"/>
    <w:rsid w:val="004A6298"/>
    <w:rsid w:val="004A62B2"/>
    <w:rsid w:val="004A675E"/>
    <w:rsid w:val="004B0BA0"/>
    <w:rsid w:val="004B0C8C"/>
    <w:rsid w:val="004B1D80"/>
    <w:rsid w:val="004B2041"/>
    <w:rsid w:val="004B28AE"/>
    <w:rsid w:val="004B315C"/>
    <w:rsid w:val="004B3393"/>
    <w:rsid w:val="004B357C"/>
    <w:rsid w:val="004B3587"/>
    <w:rsid w:val="004B4016"/>
    <w:rsid w:val="004B410F"/>
    <w:rsid w:val="004B4F48"/>
    <w:rsid w:val="004B5554"/>
    <w:rsid w:val="004B64D2"/>
    <w:rsid w:val="004B6551"/>
    <w:rsid w:val="004B6BFF"/>
    <w:rsid w:val="004C03DC"/>
    <w:rsid w:val="004C05DD"/>
    <w:rsid w:val="004C06DD"/>
    <w:rsid w:val="004C0840"/>
    <w:rsid w:val="004C0ACD"/>
    <w:rsid w:val="004C0BB5"/>
    <w:rsid w:val="004C1069"/>
    <w:rsid w:val="004C142C"/>
    <w:rsid w:val="004C1952"/>
    <w:rsid w:val="004C263C"/>
    <w:rsid w:val="004C28D0"/>
    <w:rsid w:val="004C35FD"/>
    <w:rsid w:val="004C3CA7"/>
    <w:rsid w:val="004C3F42"/>
    <w:rsid w:val="004C46A8"/>
    <w:rsid w:val="004C4D69"/>
    <w:rsid w:val="004C543A"/>
    <w:rsid w:val="004C60E0"/>
    <w:rsid w:val="004C6240"/>
    <w:rsid w:val="004C67EA"/>
    <w:rsid w:val="004C7546"/>
    <w:rsid w:val="004D0589"/>
    <w:rsid w:val="004D0AFC"/>
    <w:rsid w:val="004D1153"/>
    <w:rsid w:val="004D26F4"/>
    <w:rsid w:val="004D2B1A"/>
    <w:rsid w:val="004D3FBF"/>
    <w:rsid w:val="004D43FF"/>
    <w:rsid w:val="004D5048"/>
    <w:rsid w:val="004D5156"/>
    <w:rsid w:val="004D549F"/>
    <w:rsid w:val="004D5BC5"/>
    <w:rsid w:val="004D6709"/>
    <w:rsid w:val="004D69B7"/>
    <w:rsid w:val="004D6BCF"/>
    <w:rsid w:val="004D6C4D"/>
    <w:rsid w:val="004D70D3"/>
    <w:rsid w:val="004D740F"/>
    <w:rsid w:val="004D742A"/>
    <w:rsid w:val="004D7F3F"/>
    <w:rsid w:val="004E1391"/>
    <w:rsid w:val="004E15C2"/>
    <w:rsid w:val="004E2135"/>
    <w:rsid w:val="004E26BD"/>
    <w:rsid w:val="004E2D81"/>
    <w:rsid w:val="004E3764"/>
    <w:rsid w:val="004E3DAC"/>
    <w:rsid w:val="004E49EA"/>
    <w:rsid w:val="004E5CAD"/>
    <w:rsid w:val="004E60A8"/>
    <w:rsid w:val="004E645A"/>
    <w:rsid w:val="004E7218"/>
    <w:rsid w:val="004E745A"/>
    <w:rsid w:val="004E7C6D"/>
    <w:rsid w:val="004F012F"/>
    <w:rsid w:val="004F02E8"/>
    <w:rsid w:val="004F0997"/>
    <w:rsid w:val="004F0F8C"/>
    <w:rsid w:val="004F155F"/>
    <w:rsid w:val="004F19B9"/>
    <w:rsid w:val="004F23CA"/>
    <w:rsid w:val="004F2C41"/>
    <w:rsid w:val="004F338D"/>
    <w:rsid w:val="004F3A47"/>
    <w:rsid w:val="004F3F6A"/>
    <w:rsid w:val="004F4326"/>
    <w:rsid w:val="004F4605"/>
    <w:rsid w:val="004F550C"/>
    <w:rsid w:val="004F7179"/>
    <w:rsid w:val="004F7D26"/>
    <w:rsid w:val="004F7D4F"/>
    <w:rsid w:val="004F7ED7"/>
    <w:rsid w:val="00500754"/>
    <w:rsid w:val="00502356"/>
    <w:rsid w:val="0050277E"/>
    <w:rsid w:val="00502ADB"/>
    <w:rsid w:val="00502C02"/>
    <w:rsid w:val="00503D85"/>
    <w:rsid w:val="00504292"/>
    <w:rsid w:val="00505420"/>
    <w:rsid w:val="005054C7"/>
    <w:rsid w:val="005063F1"/>
    <w:rsid w:val="0050677A"/>
    <w:rsid w:val="00507D91"/>
    <w:rsid w:val="005103A0"/>
    <w:rsid w:val="00510C59"/>
    <w:rsid w:val="00511043"/>
    <w:rsid w:val="005123B1"/>
    <w:rsid w:val="005131D1"/>
    <w:rsid w:val="005139FD"/>
    <w:rsid w:val="00514997"/>
    <w:rsid w:val="0051689E"/>
    <w:rsid w:val="005172F0"/>
    <w:rsid w:val="00517A0F"/>
    <w:rsid w:val="005206F5"/>
    <w:rsid w:val="00520A8B"/>
    <w:rsid w:val="0052150A"/>
    <w:rsid w:val="00521BBE"/>
    <w:rsid w:val="00522EF3"/>
    <w:rsid w:val="00523070"/>
    <w:rsid w:val="0052397C"/>
    <w:rsid w:val="00524BBE"/>
    <w:rsid w:val="00524D31"/>
    <w:rsid w:val="0052597D"/>
    <w:rsid w:val="00526616"/>
    <w:rsid w:val="00526681"/>
    <w:rsid w:val="00527690"/>
    <w:rsid w:val="005309E8"/>
    <w:rsid w:val="00531668"/>
    <w:rsid w:val="005326DA"/>
    <w:rsid w:val="00533129"/>
    <w:rsid w:val="00534B30"/>
    <w:rsid w:val="00534B86"/>
    <w:rsid w:val="005357B0"/>
    <w:rsid w:val="00535F5C"/>
    <w:rsid w:val="005361BF"/>
    <w:rsid w:val="005363BA"/>
    <w:rsid w:val="00537B61"/>
    <w:rsid w:val="00543651"/>
    <w:rsid w:val="005436ED"/>
    <w:rsid w:val="00543DC6"/>
    <w:rsid w:val="00544205"/>
    <w:rsid w:val="005449F7"/>
    <w:rsid w:val="0054613A"/>
    <w:rsid w:val="005461F6"/>
    <w:rsid w:val="00546E80"/>
    <w:rsid w:val="00550384"/>
    <w:rsid w:val="005509FE"/>
    <w:rsid w:val="0055185B"/>
    <w:rsid w:val="005525B4"/>
    <w:rsid w:val="00552724"/>
    <w:rsid w:val="0055273B"/>
    <w:rsid w:val="00552EF2"/>
    <w:rsid w:val="00552FA1"/>
    <w:rsid w:val="00552FA4"/>
    <w:rsid w:val="00553928"/>
    <w:rsid w:val="00554F59"/>
    <w:rsid w:val="00554F8D"/>
    <w:rsid w:val="00555B6A"/>
    <w:rsid w:val="00555BA5"/>
    <w:rsid w:val="005562C5"/>
    <w:rsid w:val="005568A8"/>
    <w:rsid w:val="00556B2D"/>
    <w:rsid w:val="00556D98"/>
    <w:rsid w:val="00556E26"/>
    <w:rsid w:val="005615C8"/>
    <w:rsid w:val="00561695"/>
    <w:rsid w:val="00562129"/>
    <w:rsid w:val="005647DD"/>
    <w:rsid w:val="00564DF5"/>
    <w:rsid w:val="00564FCE"/>
    <w:rsid w:val="00565ACA"/>
    <w:rsid w:val="00565B30"/>
    <w:rsid w:val="00565C29"/>
    <w:rsid w:val="00566F94"/>
    <w:rsid w:val="00567022"/>
    <w:rsid w:val="0056780A"/>
    <w:rsid w:val="00567AB8"/>
    <w:rsid w:val="0057017A"/>
    <w:rsid w:val="005702DA"/>
    <w:rsid w:val="00570A03"/>
    <w:rsid w:val="00570BE8"/>
    <w:rsid w:val="00570C22"/>
    <w:rsid w:val="00571242"/>
    <w:rsid w:val="00571321"/>
    <w:rsid w:val="00571D54"/>
    <w:rsid w:val="00571DA6"/>
    <w:rsid w:val="005726B4"/>
    <w:rsid w:val="00572BD4"/>
    <w:rsid w:val="00572EA4"/>
    <w:rsid w:val="0057344E"/>
    <w:rsid w:val="0057383B"/>
    <w:rsid w:val="005745A3"/>
    <w:rsid w:val="005753C6"/>
    <w:rsid w:val="005754AF"/>
    <w:rsid w:val="005761F4"/>
    <w:rsid w:val="00576820"/>
    <w:rsid w:val="005773CC"/>
    <w:rsid w:val="0057749B"/>
    <w:rsid w:val="00577918"/>
    <w:rsid w:val="00577E0B"/>
    <w:rsid w:val="00580692"/>
    <w:rsid w:val="00582203"/>
    <w:rsid w:val="0058237F"/>
    <w:rsid w:val="0058240B"/>
    <w:rsid w:val="00582538"/>
    <w:rsid w:val="005825D2"/>
    <w:rsid w:val="0058284E"/>
    <w:rsid w:val="0058399E"/>
    <w:rsid w:val="005849EB"/>
    <w:rsid w:val="00586041"/>
    <w:rsid w:val="005871BF"/>
    <w:rsid w:val="00587957"/>
    <w:rsid w:val="00590431"/>
    <w:rsid w:val="00590B11"/>
    <w:rsid w:val="00591154"/>
    <w:rsid w:val="00591204"/>
    <w:rsid w:val="00591805"/>
    <w:rsid w:val="00591CBC"/>
    <w:rsid w:val="005925AF"/>
    <w:rsid w:val="00592A99"/>
    <w:rsid w:val="00593B2A"/>
    <w:rsid w:val="00594F72"/>
    <w:rsid w:val="005952C6"/>
    <w:rsid w:val="00595416"/>
    <w:rsid w:val="00595954"/>
    <w:rsid w:val="00597623"/>
    <w:rsid w:val="00597D74"/>
    <w:rsid w:val="005A0117"/>
    <w:rsid w:val="005A15CD"/>
    <w:rsid w:val="005A186C"/>
    <w:rsid w:val="005A1AFF"/>
    <w:rsid w:val="005A2872"/>
    <w:rsid w:val="005A2C49"/>
    <w:rsid w:val="005A3A87"/>
    <w:rsid w:val="005A433F"/>
    <w:rsid w:val="005A4EA0"/>
    <w:rsid w:val="005A53DB"/>
    <w:rsid w:val="005A5DBB"/>
    <w:rsid w:val="005A66B3"/>
    <w:rsid w:val="005A6B7A"/>
    <w:rsid w:val="005A6FFA"/>
    <w:rsid w:val="005A7917"/>
    <w:rsid w:val="005A7A3C"/>
    <w:rsid w:val="005A7EA2"/>
    <w:rsid w:val="005B0195"/>
    <w:rsid w:val="005B0353"/>
    <w:rsid w:val="005B0A84"/>
    <w:rsid w:val="005B3085"/>
    <w:rsid w:val="005B35F4"/>
    <w:rsid w:val="005B3ADA"/>
    <w:rsid w:val="005B3C72"/>
    <w:rsid w:val="005B55EA"/>
    <w:rsid w:val="005B58CC"/>
    <w:rsid w:val="005B5BDB"/>
    <w:rsid w:val="005B6366"/>
    <w:rsid w:val="005B7713"/>
    <w:rsid w:val="005C15FF"/>
    <w:rsid w:val="005C1EC5"/>
    <w:rsid w:val="005C23A4"/>
    <w:rsid w:val="005C3712"/>
    <w:rsid w:val="005C488E"/>
    <w:rsid w:val="005C59E7"/>
    <w:rsid w:val="005C6ACF"/>
    <w:rsid w:val="005C6BA6"/>
    <w:rsid w:val="005D0A4D"/>
    <w:rsid w:val="005D0C3D"/>
    <w:rsid w:val="005D1386"/>
    <w:rsid w:val="005D1589"/>
    <w:rsid w:val="005D1595"/>
    <w:rsid w:val="005D26C8"/>
    <w:rsid w:val="005D311B"/>
    <w:rsid w:val="005D3AC7"/>
    <w:rsid w:val="005D41E9"/>
    <w:rsid w:val="005D433C"/>
    <w:rsid w:val="005D6A1B"/>
    <w:rsid w:val="005D6F0C"/>
    <w:rsid w:val="005D70A8"/>
    <w:rsid w:val="005D74B8"/>
    <w:rsid w:val="005E0A36"/>
    <w:rsid w:val="005E0DB3"/>
    <w:rsid w:val="005E11F9"/>
    <w:rsid w:val="005E1ABF"/>
    <w:rsid w:val="005E24F2"/>
    <w:rsid w:val="005E289E"/>
    <w:rsid w:val="005E317F"/>
    <w:rsid w:val="005E360D"/>
    <w:rsid w:val="005E4038"/>
    <w:rsid w:val="005E41B0"/>
    <w:rsid w:val="005E539D"/>
    <w:rsid w:val="005E5B4A"/>
    <w:rsid w:val="005E697A"/>
    <w:rsid w:val="005E7B57"/>
    <w:rsid w:val="005F01CF"/>
    <w:rsid w:val="005F06DF"/>
    <w:rsid w:val="005F0721"/>
    <w:rsid w:val="005F0F6E"/>
    <w:rsid w:val="005F1929"/>
    <w:rsid w:val="005F3BB6"/>
    <w:rsid w:val="005F4245"/>
    <w:rsid w:val="005F50B7"/>
    <w:rsid w:val="005F5328"/>
    <w:rsid w:val="005F588E"/>
    <w:rsid w:val="005F5B76"/>
    <w:rsid w:val="005F64B4"/>
    <w:rsid w:val="005F6851"/>
    <w:rsid w:val="005F6AEB"/>
    <w:rsid w:val="005F6D3C"/>
    <w:rsid w:val="005F7DDE"/>
    <w:rsid w:val="0060091C"/>
    <w:rsid w:val="00600FC8"/>
    <w:rsid w:val="006013F6"/>
    <w:rsid w:val="00602997"/>
    <w:rsid w:val="00602FFF"/>
    <w:rsid w:val="00603FD0"/>
    <w:rsid w:val="00604495"/>
    <w:rsid w:val="00604664"/>
    <w:rsid w:val="0060473C"/>
    <w:rsid w:val="00604C6F"/>
    <w:rsid w:val="0060581B"/>
    <w:rsid w:val="006069BF"/>
    <w:rsid w:val="006071D7"/>
    <w:rsid w:val="0060767F"/>
    <w:rsid w:val="006078E1"/>
    <w:rsid w:val="00607D64"/>
    <w:rsid w:val="00610B29"/>
    <w:rsid w:val="0061162A"/>
    <w:rsid w:val="006116E7"/>
    <w:rsid w:val="00612012"/>
    <w:rsid w:val="00613206"/>
    <w:rsid w:val="006138CD"/>
    <w:rsid w:val="0061459E"/>
    <w:rsid w:val="006146B2"/>
    <w:rsid w:val="00614916"/>
    <w:rsid w:val="0061598E"/>
    <w:rsid w:val="00616391"/>
    <w:rsid w:val="006167A7"/>
    <w:rsid w:val="00616E29"/>
    <w:rsid w:val="006214EC"/>
    <w:rsid w:val="0062231E"/>
    <w:rsid w:val="00622D55"/>
    <w:rsid w:val="006236EB"/>
    <w:rsid w:val="00626166"/>
    <w:rsid w:val="006265EC"/>
    <w:rsid w:val="006275AD"/>
    <w:rsid w:val="0062784C"/>
    <w:rsid w:val="00630CF7"/>
    <w:rsid w:val="00632B60"/>
    <w:rsid w:val="00633C11"/>
    <w:rsid w:val="006348BC"/>
    <w:rsid w:val="0063512F"/>
    <w:rsid w:val="00635565"/>
    <w:rsid w:val="00635E10"/>
    <w:rsid w:val="00636ADA"/>
    <w:rsid w:val="00637039"/>
    <w:rsid w:val="00640695"/>
    <w:rsid w:val="0064112D"/>
    <w:rsid w:val="00641795"/>
    <w:rsid w:val="00641996"/>
    <w:rsid w:val="006422FE"/>
    <w:rsid w:val="006424C0"/>
    <w:rsid w:val="00642EC1"/>
    <w:rsid w:val="00643EFD"/>
    <w:rsid w:val="006441AB"/>
    <w:rsid w:val="0064446C"/>
    <w:rsid w:val="006447C3"/>
    <w:rsid w:val="006447E3"/>
    <w:rsid w:val="00644911"/>
    <w:rsid w:val="006455AE"/>
    <w:rsid w:val="00646A4B"/>
    <w:rsid w:val="006470F5"/>
    <w:rsid w:val="00647A05"/>
    <w:rsid w:val="00647E1F"/>
    <w:rsid w:val="0065014B"/>
    <w:rsid w:val="00650182"/>
    <w:rsid w:val="00651C98"/>
    <w:rsid w:val="00651F0E"/>
    <w:rsid w:val="00652929"/>
    <w:rsid w:val="00653C07"/>
    <w:rsid w:val="00653E4C"/>
    <w:rsid w:val="00654841"/>
    <w:rsid w:val="00654E2D"/>
    <w:rsid w:val="00655636"/>
    <w:rsid w:val="00655B3C"/>
    <w:rsid w:val="00655EF3"/>
    <w:rsid w:val="006560CD"/>
    <w:rsid w:val="00656368"/>
    <w:rsid w:val="006564B2"/>
    <w:rsid w:val="0066026A"/>
    <w:rsid w:val="0066043A"/>
    <w:rsid w:val="00660826"/>
    <w:rsid w:val="00660BD5"/>
    <w:rsid w:val="00662AF2"/>
    <w:rsid w:val="00663594"/>
    <w:rsid w:val="00663D4A"/>
    <w:rsid w:val="006652F9"/>
    <w:rsid w:val="0066539E"/>
    <w:rsid w:val="00665DA7"/>
    <w:rsid w:val="00665ED6"/>
    <w:rsid w:val="0066631D"/>
    <w:rsid w:val="00666D7B"/>
    <w:rsid w:val="0066769F"/>
    <w:rsid w:val="0067032E"/>
    <w:rsid w:val="00670BC3"/>
    <w:rsid w:val="006712A1"/>
    <w:rsid w:val="006729AD"/>
    <w:rsid w:val="00673C16"/>
    <w:rsid w:val="00674926"/>
    <w:rsid w:val="00675396"/>
    <w:rsid w:val="006759F4"/>
    <w:rsid w:val="00675C98"/>
    <w:rsid w:val="00675E9D"/>
    <w:rsid w:val="00675EDD"/>
    <w:rsid w:val="0067624F"/>
    <w:rsid w:val="00676C09"/>
    <w:rsid w:val="00676C52"/>
    <w:rsid w:val="0067750B"/>
    <w:rsid w:val="0068042F"/>
    <w:rsid w:val="00680B9A"/>
    <w:rsid w:val="0068115C"/>
    <w:rsid w:val="006811AA"/>
    <w:rsid w:val="006839B0"/>
    <w:rsid w:val="00683BFD"/>
    <w:rsid w:val="0068405E"/>
    <w:rsid w:val="006845B4"/>
    <w:rsid w:val="00684870"/>
    <w:rsid w:val="00684D13"/>
    <w:rsid w:val="0068506D"/>
    <w:rsid w:val="00685071"/>
    <w:rsid w:val="00686877"/>
    <w:rsid w:val="00686D73"/>
    <w:rsid w:val="00686DAE"/>
    <w:rsid w:val="00690324"/>
    <w:rsid w:val="006909E7"/>
    <w:rsid w:val="006914DC"/>
    <w:rsid w:val="00691A70"/>
    <w:rsid w:val="00692E79"/>
    <w:rsid w:val="0069308F"/>
    <w:rsid w:val="00693ABE"/>
    <w:rsid w:val="00693C95"/>
    <w:rsid w:val="00693D23"/>
    <w:rsid w:val="0069418C"/>
    <w:rsid w:val="00694400"/>
    <w:rsid w:val="00694EF5"/>
    <w:rsid w:val="006959D1"/>
    <w:rsid w:val="00695D65"/>
    <w:rsid w:val="00696A15"/>
    <w:rsid w:val="00697E64"/>
    <w:rsid w:val="006A048B"/>
    <w:rsid w:val="006A05EA"/>
    <w:rsid w:val="006A063A"/>
    <w:rsid w:val="006A0DC2"/>
    <w:rsid w:val="006A10FC"/>
    <w:rsid w:val="006A147F"/>
    <w:rsid w:val="006A2B71"/>
    <w:rsid w:val="006A349C"/>
    <w:rsid w:val="006A3CA5"/>
    <w:rsid w:val="006A3E36"/>
    <w:rsid w:val="006A4DED"/>
    <w:rsid w:val="006A5076"/>
    <w:rsid w:val="006A54CE"/>
    <w:rsid w:val="006A7058"/>
    <w:rsid w:val="006A7884"/>
    <w:rsid w:val="006A7F0D"/>
    <w:rsid w:val="006B0005"/>
    <w:rsid w:val="006B0A82"/>
    <w:rsid w:val="006B0B91"/>
    <w:rsid w:val="006B0C26"/>
    <w:rsid w:val="006B0EB3"/>
    <w:rsid w:val="006B1890"/>
    <w:rsid w:val="006B2378"/>
    <w:rsid w:val="006B27CC"/>
    <w:rsid w:val="006B29AC"/>
    <w:rsid w:val="006B2D2F"/>
    <w:rsid w:val="006B2DC7"/>
    <w:rsid w:val="006B2F88"/>
    <w:rsid w:val="006B303D"/>
    <w:rsid w:val="006B328C"/>
    <w:rsid w:val="006B333D"/>
    <w:rsid w:val="006B3663"/>
    <w:rsid w:val="006B3F9B"/>
    <w:rsid w:val="006B4381"/>
    <w:rsid w:val="006B4E92"/>
    <w:rsid w:val="006B6514"/>
    <w:rsid w:val="006B66F6"/>
    <w:rsid w:val="006B682F"/>
    <w:rsid w:val="006B6DAD"/>
    <w:rsid w:val="006C0AF4"/>
    <w:rsid w:val="006C2595"/>
    <w:rsid w:val="006C2B32"/>
    <w:rsid w:val="006C30F6"/>
    <w:rsid w:val="006C312B"/>
    <w:rsid w:val="006C32F8"/>
    <w:rsid w:val="006C3A34"/>
    <w:rsid w:val="006C3FAD"/>
    <w:rsid w:val="006C42D1"/>
    <w:rsid w:val="006C4A58"/>
    <w:rsid w:val="006C4D93"/>
    <w:rsid w:val="006C6033"/>
    <w:rsid w:val="006C797E"/>
    <w:rsid w:val="006C7AF5"/>
    <w:rsid w:val="006C7C78"/>
    <w:rsid w:val="006C7D76"/>
    <w:rsid w:val="006D1066"/>
    <w:rsid w:val="006D1763"/>
    <w:rsid w:val="006D1EC8"/>
    <w:rsid w:val="006D2023"/>
    <w:rsid w:val="006D2AAA"/>
    <w:rsid w:val="006D351B"/>
    <w:rsid w:val="006D430F"/>
    <w:rsid w:val="006D50F9"/>
    <w:rsid w:val="006D6920"/>
    <w:rsid w:val="006D6A36"/>
    <w:rsid w:val="006D6C74"/>
    <w:rsid w:val="006E0700"/>
    <w:rsid w:val="006E096D"/>
    <w:rsid w:val="006E0BE4"/>
    <w:rsid w:val="006E16C8"/>
    <w:rsid w:val="006E2BC2"/>
    <w:rsid w:val="006E3483"/>
    <w:rsid w:val="006E373F"/>
    <w:rsid w:val="006E3910"/>
    <w:rsid w:val="006E3CFA"/>
    <w:rsid w:val="006E5213"/>
    <w:rsid w:val="006E67D8"/>
    <w:rsid w:val="006E6970"/>
    <w:rsid w:val="006E69AD"/>
    <w:rsid w:val="006E6C13"/>
    <w:rsid w:val="006F02AA"/>
    <w:rsid w:val="006F085D"/>
    <w:rsid w:val="006F0860"/>
    <w:rsid w:val="006F0A6D"/>
    <w:rsid w:val="006F0BC2"/>
    <w:rsid w:val="006F0DB9"/>
    <w:rsid w:val="006F1131"/>
    <w:rsid w:val="006F13B1"/>
    <w:rsid w:val="006F2CEC"/>
    <w:rsid w:val="006F30A6"/>
    <w:rsid w:val="006F338E"/>
    <w:rsid w:val="006F4997"/>
    <w:rsid w:val="006F4C3E"/>
    <w:rsid w:val="006F500D"/>
    <w:rsid w:val="006F5409"/>
    <w:rsid w:val="006F5426"/>
    <w:rsid w:val="006F5675"/>
    <w:rsid w:val="006F5BE0"/>
    <w:rsid w:val="006F5EDC"/>
    <w:rsid w:val="006F6AEE"/>
    <w:rsid w:val="006F720E"/>
    <w:rsid w:val="006F74CB"/>
    <w:rsid w:val="007000D1"/>
    <w:rsid w:val="007002F5"/>
    <w:rsid w:val="00700638"/>
    <w:rsid w:val="00700EF6"/>
    <w:rsid w:val="0070298A"/>
    <w:rsid w:val="00702E2C"/>
    <w:rsid w:val="007035DA"/>
    <w:rsid w:val="007037F8"/>
    <w:rsid w:val="00703E45"/>
    <w:rsid w:val="0070471E"/>
    <w:rsid w:val="00705955"/>
    <w:rsid w:val="00705BE5"/>
    <w:rsid w:val="00705C52"/>
    <w:rsid w:val="00705D84"/>
    <w:rsid w:val="007071D4"/>
    <w:rsid w:val="00707265"/>
    <w:rsid w:val="007103E9"/>
    <w:rsid w:val="00710504"/>
    <w:rsid w:val="00711923"/>
    <w:rsid w:val="00711FA9"/>
    <w:rsid w:val="00712517"/>
    <w:rsid w:val="007129E1"/>
    <w:rsid w:val="00712BE5"/>
    <w:rsid w:val="0071559B"/>
    <w:rsid w:val="007164EB"/>
    <w:rsid w:val="00717E5D"/>
    <w:rsid w:val="0072041D"/>
    <w:rsid w:val="0072089A"/>
    <w:rsid w:val="007209AB"/>
    <w:rsid w:val="00720A8A"/>
    <w:rsid w:val="00720D86"/>
    <w:rsid w:val="00721519"/>
    <w:rsid w:val="00722830"/>
    <w:rsid w:val="00722BA5"/>
    <w:rsid w:val="00722CC1"/>
    <w:rsid w:val="00723498"/>
    <w:rsid w:val="00725978"/>
    <w:rsid w:val="00725D49"/>
    <w:rsid w:val="00725F20"/>
    <w:rsid w:val="00726640"/>
    <w:rsid w:val="00730BA7"/>
    <w:rsid w:val="00730CA1"/>
    <w:rsid w:val="00730DEF"/>
    <w:rsid w:val="00732032"/>
    <w:rsid w:val="007321AE"/>
    <w:rsid w:val="00733585"/>
    <w:rsid w:val="007336BA"/>
    <w:rsid w:val="00734468"/>
    <w:rsid w:val="00734943"/>
    <w:rsid w:val="00734B3F"/>
    <w:rsid w:val="00734C70"/>
    <w:rsid w:val="00734D65"/>
    <w:rsid w:val="00734DE7"/>
    <w:rsid w:val="00734FDD"/>
    <w:rsid w:val="00735300"/>
    <w:rsid w:val="007358B5"/>
    <w:rsid w:val="00735A3D"/>
    <w:rsid w:val="007367D7"/>
    <w:rsid w:val="00737A86"/>
    <w:rsid w:val="0074174A"/>
    <w:rsid w:val="00741C13"/>
    <w:rsid w:val="00742099"/>
    <w:rsid w:val="007420A0"/>
    <w:rsid w:val="00743170"/>
    <w:rsid w:val="007440E4"/>
    <w:rsid w:val="00744B34"/>
    <w:rsid w:val="00745276"/>
    <w:rsid w:val="007452B2"/>
    <w:rsid w:val="007457CA"/>
    <w:rsid w:val="00745AB8"/>
    <w:rsid w:val="0074617F"/>
    <w:rsid w:val="00747F33"/>
    <w:rsid w:val="00750C6A"/>
    <w:rsid w:val="00750E84"/>
    <w:rsid w:val="00751B64"/>
    <w:rsid w:val="007530AA"/>
    <w:rsid w:val="00753119"/>
    <w:rsid w:val="00753280"/>
    <w:rsid w:val="00754AAF"/>
    <w:rsid w:val="0075540C"/>
    <w:rsid w:val="00755EC0"/>
    <w:rsid w:val="00755F67"/>
    <w:rsid w:val="00757835"/>
    <w:rsid w:val="00757DB2"/>
    <w:rsid w:val="00757F11"/>
    <w:rsid w:val="007604D4"/>
    <w:rsid w:val="0076087E"/>
    <w:rsid w:val="00760C45"/>
    <w:rsid w:val="00760CBC"/>
    <w:rsid w:val="00760E86"/>
    <w:rsid w:val="00761694"/>
    <w:rsid w:val="00761874"/>
    <w:rsid w:val="00761AB2"/>
    <w:rsid w:val="0076279C"/>
    <w:rsid w:val="007632AE"/>
    <w:rsid w:val="00767934"/>
    <w:rsid w:val="00767CDF"/>
    <w:rsid w:val="00767D50"/>
    <w:rsid w:val="00770C3D"/>
    <w:rsid w:val="007716EB"/>
    <w:rsid w:val="00772CDC"/>
    <w:rsid w:val="007730DF"/>
    <w:rsid w:val="007732C4"/>
    <w:rsid w:val="007733B8"/>
    <w:rsid w:val="00774844"/>
    <w:rsid w:val="007750D6"/>
    <w:rsid w:val="00775FAE"/>
    <w:rsid w:val="007765E2"/>
    <w:rsid w:val="0077734A"/>
    <w:rsid w:val="00780752"/>
    <w:rsid w:val="00780779"/>
    <w:rsid w:val="00780D23"/>
    <w:rsid w:val="00780E62"/>
    <w:rsid w:val="00781637"/>
    <w:rsid w:val="00781C17"/>
    <w:rsid w:val="007823A5"/>
    <w:rsid w:val="007829D3"/>
    <w:rsid w:val="00782C29"/>
    <w:rsid w:val="00782F6D"/>
    <w:rsid w:val="00783655"/>
    <w:rsid w:val="007849C6"/>
    <w:rsid w:val="00784AA4"/>
    <w:rsid w:val="00785161"/>
    <w:rsid w:val="007852E5"/>
    <w:rsid w:val="00785949"/>
    <w:rsid w:val="00785BF4"/>
    <w:rsid w:val="00786183"/>
    <w:rsid w:val="0078630D"/>
    <w:rsid w:val="00786414"/>
    <w:rsid w:val="00786E9E"/>
    <w:rsid w:val="00787168"/>
    <w:rsid w:val="0078761F"/>
    <w:rsid w:val="007901AB"/>
    <w:rsid w:val="007905E9"/>
    <w:rsid w:val="007911BF"/>
    <w:rsid w:val="00791B80"/>
    <w:rsid w:val="00791D2D"/>
    <w:rsid w:val="00791FB8"/>
    <w:rsid w:val="007923A6"/>
    <w:rsid w:val="007939E0"/>
    <w:rsid w:val="0079524F"/>
    <w:rsid w:val="007955FB"/>
    <w:rsid w:val="00795673"/>
    <w:rsid w:val="0079680D"/>
    <w:rsid w:val="007972A4"/>
    <w:rsid w:val="007977B8"/>
    <w:rsid w:val="007979CD"/>
    <w:rsid w:val="00797D5F"/>
    <w:rsid w:val="007A0064"/>
    <w:rsid w:val="007A0351"/>
    <w:rsid w:val="007A07C7"/>
    <w:rsid w:val="007A09DF"/>
    <w:rsid w:val="007A0A1D"/>
    <w:rsid w:val="007A1D30"/>
    <w:rsid w:val="007A20ED"/>
    <w:rsid w:val="007A2E57"/>
    <w:rsid w:val="007A41CD"/>
    <w:rsid w:val="007A49E0"/>
    <w:rsid w:val="007A5ECC"/>
    <w:rsid w:val="007A602E"/>
    <w:rsid w:val="007A6C0B"/>
    <w:rsid w:val="007A709C"/>
    <w:rsid w:val="007B0924"/>
    <w:rsid w:val="007B0EB2"/>
    <w:rsid w:val="007B1C55"/>
    <w:rsid w:val="007B29A7"/>
    <w:rsid w:val="007B2D29"/>
    <w:rsid w:val="007B34F2"/>
    <w:rsid w:val="007B3DF2"/>
    <w:rsid w:val="007B401A"/>
    <w:rsid w:val="007B4829"/>
    <w:rsid w:val="007B4C8B"/>
    <w:rsid w:val="007B510D"/>
    <w:rsid w:val="007B5CD4"/>
    <w:rsid w:val="007B6CBB"/>
    <w:rsid w:val="007B7A23"/>
    <w:rsid w:val="007B7B39"/>
    <w:rsid w:val="007C11FF"/>
    <w:rsid w:val="007C17D7"/>
    <w:rsid w:val="007C188D"/>
    <w:rsid w:val="007C262E"/>
    <w:rsid w:val="007C2D56"/>
    <w:rsid w:val="007C37CA"/>
    <w:rsid w:val="007C3AE4"/>
    <w:rsid w:val="007C5650"/>
    <w:rsid w:val="007C595B"/>
    <w:rsid w:val="007C5DF4"/>
    <w:rsid w:val="007C5F75"/>
    <w:rsid w:val="007C6161"/>
    <w:rsid w:val="007C6521"/>
    <w:rsid w:val="007C6BCD"/>
    <w:rsid w:val="007D00AF"/>
    <w:rsid w:val="007D0D07"/>
    <w:rsid w:val="007D153A"/>
    <w:rsid w:val="007D1623"/>
    <w:rsid w:val="007D5451"/>
    <w:rsid w:val="007D545C"/>
    <w:rsid w:val="007D7907"/>
    <w:rsid w:val="007E047B"/>
    <w:rsid w:val="007E0BC5"/>
    <w:rsid w:val="007E12F2"/>
    <w:rsid w:val="007E137D"/>
    <w:rsid w:val="007E3547"/>
    <w:rsid w:val="007E3809"/>
    <w:rsid w:val="007E3B90"/>
    <w:rsid w:val="007E4779"/>
    <w:rsid w:val="007E55EE"/>
    <w:rsid w:val="007E6088"/>
    <w:rsid w:val="007E67A3"/>
    <w:rsid w:val="007E6E14"/>
    <w:rsid w:val="007F08C1"/>
    <w:rsid w:val="007F107F"/>
    <w:rsid w:val="007F21E6"/>
    <w:rsid w:val="007F22B1"/>
    <w:rsid w:val="007F283D"/>
    <w:rsid w:val="007F2A2B"/>
    <w:rsid w:val="007F2C6B"/>
    <w:rsid w:val="007F320A"/>
    <w:rsid w:val="007F3644"/>
    <w:rsid w:val="007F391B"/>
    <w:rsid w:val="007F4ABA"/>
    <w:rsid w:val="007F646D"/>
    <w:rsid w:val="007F6538"/>
    <w:rsid w:val="007F6648"/>
    <w:rsid w:val="007F6B3A"/>
    <w:rsid w:val="00800CCA"/>
    <w:rsid w:val="0080243D"/>
    <w:rsid w:val="00802C20"/>
    <w:rsid w:val="00802EC1"/>
    <w:rsid w:val="00803594"/>
    <w:rsid w:val="00803C2F"/>
    <w:rsid w:val="008045AE"/>
    <w:rsid w:val="00804AF8"/>
    <w:rsid w:val="00805EAE"/>
    <w:rsid w:val="00806198"/>
    <w:rsid w:val="00806A15"/>
    <w:rsid w:val="008076DB"/>
    <w:rsid w:val="0080791A"/>
    <w:rsid w:val="00807BE2"/>
    <w:rsid w:val="00807CA6"/>
    <w:rsid w:val="008107FB"/>
    <w:rsid w:val="00810876"/>
    <w:rsid w:val="008108C0"/>
    <w:rsid w:val="00810E1C"/>
    <w:rsid w:val="008114EA"/>
    <w:rsid w:val="008115E5"/>
    <w:rsid w:val="008124C0"/>
    <w:rsid w:val="00815866"/>
    <w:rsid w:val="00815C39"/>
    <w:rsid w:val="00815FD5"/>
    <w:rsid w:val="008172C0"/>
    <w:rsid w:val="00817C9F"/>
    <w:rsid w:val="00817E10"/>
    <w:rsid w:val="008206F6"/>
    <w:rsid w:val="00820C27"/>
    <w:rsid w:val="00821E36"/>
    <w:rsid w:val="008221EF"/>
    <w:rsid w:val="00822BE4"/>
    <w:rsid w:val="00822FE6"/>
    <w:rsid w:val="0082306B"/>
    <w:rsid w:val="0082524E"/>
    <w:rsid w:val="00825954"/>
    <w:rsid w:val="00826291"/>
    <w:rsid w:val="008262B3"/>
    <w:rsid w:val="00826A8B"/>
    <w:rsid w:val="00827318"/>
    <w:rsid w:val="008300EE"/>
    <w:rsid w:val="00830CA9"/>
    <w:rsid w:val="00831847"/>
    <w:rsid w:val="0083198A"/>
    <w:rsid w:val="00831FEB"/>
    <w:rsid w:val="00832903"/>
    <w:rsid w:val="0083319B"/>
    <w:rsid w:val="00833819"/>
    <w:rsid w:val="00834CC3"/>
    <w:rsid w:val="00834FAF"/>
    <w:rsid w:val="008351DE"/>
    <w:rsid w:val="00835DE0"/>
    <w:rsid w:val="00835F67"/>
    <w:rsid w:val="00836358"/>
    <w:rsid w:val="00836F31"/>
    <w:rsid w:val="00837329"/>
    <w:rsid w:val="0083793C"/>
    <w:rsid w:val="00837C70"/>
    <w:rsid w:val="00837E49"/>
    <w:rsid w:val="00841407"/>
    <w:rsid w:val="00841BFA"/>
    <w:rsid w:val="00842260"/>
    <w:rsid w:val="00842CD0"/>
    <w:rsid w:val="0084430B"/>
    <w:rsid w:val="008449B3"/>
    <w:rsid w:val="008453B8"/>
    <w:rsid w:val="008455EF"/>
    <w:rsid w:val="0084586B"/>
    <w:rsid w:val="008458BE"/>
    <w:rsid w:val="00845FD2"/>
    <w:rsid w:val="008479C1"/>
    <w:rsid w:val="00847B4E"/>
    <w:rsid w:val="00847D0C"/>
    <w:rsid w:val="00850A0B"/>
    <w:rsid w:val="00850DF0"/>
    <w:rsid w:val="0085123F"/>
    <w:rsid w:val="008519FE"/>
    <w:rsid w:val="00851BCD"/>
    <w:rsid w:val="008525DB"/>
    <w:rsid w:val="008533EC"/>
    <w:rsid w:val="008545D0"/>
    <w:rsid w:val="008553DC"/>
    <w:rsid w:val="00855A08"/>
    <w:rsid w:val="008563E8"/>
    <w:rsid w:val="00857107"/>
    <w:rsid w:val="008605B2"/>
    <w:rsid w:val="00860607"/>
    <w:rsid w:val="00860665"/>
    <w:rsid w:val="00860D2B"/>
    <w:rsid w:val="00861B70"/>
    <w:rsid w:val="00861CA9"/>
    <w:rsid w:val="008623B8"/>
    <w:rsid w:val="00862A58"/>
    <w:rsid w:val="00862D2D"/>
    <w:rsid w:val="00863127"/>
    <w:rsid w:val="00863323"/>
    <w:rsid w:val="008641CF"/>
    <w:rsid w:val="0086481F"/>
    <w:rsid w:val="00864C4D"/>
    <w:rsid w:val="00865829"/>
    <w:rsid w:val="00865992"/>
    <w:rsid w:val="00866131"/>
    <w:rsid w:val="008663A5"/>
    <w:rsid w:val="00866711"/>
    <w:rsid w:val="00866C48"/>
    <w:rsid w:val="008675C2"/>
    <w:rsid w:val="008716DD"/>
    <w:rsid w:val="00871740"/>
    <w:rsid w:val="00871BB0"/>
    <w:rsid w:val="00871C9B"/>
    <w:rsid w:val="00871E11"/>
    <w:rsid w:val="00872286"/>
    <w:rsid w:val="00873B52"/>
    <w:rsid w:val="00873B81"/>
    <w:rsid w:val="00873C8B"/>
    <w:rsid w:val="0087404F"/>
    <w:rsid w:val="008740D6"/>
    <w:rsid w:val="00874C99"/>
    <w:rsid w:val="00875F21"/>
    <w:rsid w:val="0087716D"/>
    <w:rsid w:val="008774A2"/>
    <w:rsid w:val="00877F83"/>
    <w:rsid w:val="008804AF"/>
    <w:rsid w:val="00880F19"/>
    <w:rsid w:val="008818FD"/>
    <w:rsid w:val="008820A0"/>
    <w:rsid w:val="008837D2"/>
    <w:rsid w:val="008837FF"/>
    <w:rsid w:val="00883A8D"/>
    <w:rsid w:val="008846EC"/>
    <w:rsid w:val="0088500B"/>
    <w:rsid w:val="008858C0"/>
    <w:rsid w:val="00885E7A"/>
    <w:rsid w:val="00885FB0"/>
    <w:rsid w:val="00887076"/>
    <w:rsid w:val="008872DB"/>
    <w:rsid w:val="00887997"/>
    <w:rsid w:val="008901A9"/>
    <w:rsid w:val="00890F99"/>
    <w:rsid w:val="00891097"/>
    <w:rsid w:val="0089129D"/>
    <w:rsid w:val="008919ED"/>
    <w:rsid w:val="00891CC4"/>
    <w:rsid w:val="0089216C"/>
    <w:rsid w:val="00892215"/>
    <w:rsid w:val="0089221E"/>
    <w:rsid w:val="00893343"/>
    <w:rsid w:val="00893CF1"/>
    <w:rsid w:val="00894FC2"/>
    <w:rsid w:val="00895413"/>
    <w:rsid w:val="00895426"/>
    <w:rsid w:val="00895738"/>
    <w:rsid w:val="00896240"/>
    <w:rsid w:val="0089710C"/>
    <w:rsid w:val="008A019A"/>
    <w:rsid w:val="008A046A"/>
    <w:rsid w:val="008A0DC1"/>
    <w:rsid w:val="008A183E"/>
    <w:rsid w:val="008A1DB9"/>
    <w:rsid w:val="008A1FAB"/>
    <w:rsid w:val="008A272A"/>
    <w:rsid w:val="008A37D4"/>
    <w:rsid w:val="008A3E79"/>
    <w:rsid w:val="008A407D"/>
    <w:rsid w:val="008A6750"/>
    <w:rsid w:val="008A79C6"/>
    <w:rsid w:val="008A7E82"/>
    <w:rsid w:val="008B0C5C"/>
    <w:rsid w:val="008B256D"/>
    <w:rsid w:val="008B2F5B"/>
    <w:rsid w:val="008B310E"/>
    <w:rsid w:val="008B3804"/>
    <w:rsid w:val="008B3A78"/>
    <w:rsid w:val="008B4318"/>
    <w:rsid w:val="008B45AB"/>
    <w:rsid w:val="008B61BE"/>
    <w:rsid w:val="008B626D"/>
    <w:rsid w:val="008B63A6"/>
    <w:rsid w:val="008B6635"/>
    <w:rsid w:val="008B675C"/>
    <w:rsid w:val="008B7B36"/>
    <w:rsid w:val="008C133A"/>
    <w:rsid w:val="008C15AE"/>
    <w:rsid w:val="008C18EF"/>
    <w:rsid w:val="008C1E3A"/>
    <w:rsid w:val="008C2128"/>
    <w:rsid w:val="008C243A"/>
    <w:rsid w:val="008C24EB"/>
    <w:rsid w:val="008C29AB"/>
    <w:rsid w:val="008C2ACF"/>
    <w:rsid w:val="008C2C96"/>
    <w:rsid w:val="008C55C3"/>
    <w:rsid w:val="008C593A"/>
    <w:rsid w:val="008C5AF9"/>
    <w:rsid w:val="008C68E5"/>
    <w:rsid w:val="008C7346"/>
    <w:rsid w:val="008C7D04"/>
    <w:rsid w:val="008D0984"/>
    <w:rsid w:val="008D1D73"/>
    <w:rsid w:val="008D2B34"/>
    <w:rsid w:val="008D3578"/>
    <w:rsid w:val="008D3894"/>
    <w:rsid w:val="008D459A"/>
    <w:rsid w:val="008D4941"/>
    <w:rsid w:val="008D4FB1"/>
    <w:rsid w:val="008D714D"/>
    <w:rsid w:val="008D7391"/>
    <w:rsid w:val="008D77EB"/>
    <w:rsid w:val="008E0038"/>
    <w:rsid w:val="008E0747"/>
    <w:rsid w:val="008E0C98"/>
    <w:rsid w:val="008E14EA"/>
    <w:rsid w:val="008E1D73"/>
    <w:rsid w:val="008E28C9"/>
    <w:rsid w:val="008E2984"/>
    <w:rsid w:val="008E3A4D"/>
    <w:rsid w:val="008E40D7"/>
    <w:rsid w:val="008E41E2"/>
    <w:rsid w:val="008E4DEB"/>
    <w:rsid w:val="008E56B7"/>
    <w:rsid w:val="008E5917"/>
    <w:rsid w:val="008E6FDE"/>
    <w:rsid w:val="008E726B"/>
    <w:rsid w:val="008F024D"/>
    <w:rsid w:val="008F0B3B"/>
    <w:rsid w:val="008F0C9C"/>
    <w:rsid w:val="008F106B"/>
    <w:rsid w:val="008F1B8A"/>
    <w:rsid w:val="008F26E5"/>
    <w:rsid w:val="008F2FA9"/>
    <w:rsid w:val="008F3164"/>
    <w:rsid w:val="008F3607"/>
    <w:rsid w:val="008F4F1B"/>
    <w:rsid w:val="008F6000"/>
    <w:rsid w:val="00901202"/>
    <w:rsid w:val="00901672"/>
    <w:rsid w:val="00901BA9"/>
    <w:rsid w:val="009028C6"/>
    <w:rsid w:val="00902A7D"/>
    <w:rsid w:val="009032C9"/>
    <w:rsid w:val="009033DD"/>
    <w:rsid w:val="009037D8"/>
    <w:rsid w:val="00904A0A"/>
    <w:rsid w:val="00904A25"/>
    <w:rsid w:val="00905391"/>
    <w:rsid w:val="00905560"/>
    <w:rsid w:val="009066FF"/>
    <w:rsid w:val="00906D92"/>
    <w:rsid w:val="00907549"/>
    <w:rsid w:val="00907580"/>
    <w:rsid w:val="00907B1E"/>
    <w:rsid w:val="00910B15"/>
    <w:rsid w:val="00911209"/>
    <w:rsid w:val="0091143E"/>
    <w:rsid w:val="00911D99"/>
    <w:rsid w:val="009124ED"/>
    <w:rsid w:val="00912B69"/>
    <w:rsid w:val="00915416"/>
    <w:rsid w:val="0091584A"/>
    <w:rsid w:val="0091645A"/>
    <w:rsid w:val="009164AC"/>
    <w:rsid w:val="00916E87"/>
    <w:rsid w:val="00917678"/>
    <w:rsid w:val="009218A9"/>
    <w:rsid w:val="00921C55"/>
    <w:rsid w:val="00921D85"/>
    <w:rsid w:val="00923C0A"/>
    <w:rsid w:val="00923EFB"/>
    <w:rsid w:val="00924146"/>
    <w:rsid w:val="0092446C"/>
    <w:rsid w:val="00925043"/>
    <w:rsid w:val="009263A8"/>
    <w:rsid w:val="00926BDD"/>
    <w:rsid w:val="00927693"/>
    <w:rsid w:val="00927A9D"/>
    <w:rsid w:val="00927FD4"/>
    <w:rsid w:val="00930792"/>
    <w:rsid w:val="00931CFF"/>
    <w:rsid w:val="009326FD"/>
    <w:rsid w:val="00932949"/>
    <w:rsid w:val="00933B11"/>
    <w:rsid w:val="00933D7D"/>
    <w:rsid w:val="00933D8D"/>
    <w:rsid w:val="0093464D"/>
    <w:rsid w:val="0093515C"/>
    <w:rsid w:val="00936CB8"/>
    <w:rsid w:val="009377C4"/>
    <w:rsid w:val="00937DF7"/>
    <w:rsid w:val="00937EAA"/>
    <w:rsid w:val="0094057A"/>
    <w:rsid w:val="00940BC0"/>
    <w:rsid w:val="0094137E"/>
    <w:rsid w:val="00941F0F"/>
    <w:rsid w:val="0094425A"/>
    <w:rsid w:val="009447E3"/>
    <w:rsid w:val="00945677"/>
    <w:rsid w:val="009456B3"/>
    <w:rsid w:val="00945B4A"/>
    <w:rsid w:val="009465C7"/>
    <w:rsid w:val="009467F1"/>
    <w:rsid w:val="00946F2A"/>
    <w:rsid w:val="00946F65"/>
    <w:rsid w:val="00947245"/>
    <w:rsid w:val="0094797F"/>
    <w:rsid w:val="00947F59"/>
    <w:rsid w:val="00950021"/>
    <w:rsid w:val="00950F46"/>
    <w:rsid w:val="00951565"/>
    <w:rsid w:val="00951D63"/>
    <w:rsid w:val="009526C5"/>
    <w:rsid w:val="00952CD8"/>
    <w:rsid w:val="00952CE8"/>
    <w:rsid w:val="00953214"/>
    <w:rsid w:val="0095376F"/>
    <w:rsid w:val="00953F4C"/>
    <w:rsid w:val="0095476B"/>
    <w:rsid w:val="0095507F"/>
    <w:rsid w:val="00955442"/>
    <w:rsid w:val="00955A8F"/>
    <w:rsid w:val="00955B20"/>
    <w:rsid w:val="00956F60"/>
    <w:rsid w:val="0095724F"/>
    <w:rsid w:val="0095727A"/>
    <w:rsid w:val="0095741D"/>
    <w:rsid w:val="009579E8"/>
    <w:rsid w:val="00957AAC"/>
    <w:rsid w:val="00960096"/>
    <w:rsid w:val="00961917"/>
    <w:rsid w:val="00961F27"/>
    <w:rsid w:val="00961FF4"/>
    <w:rsid w:val="00962394"/>
    <w:rsid w:val="009626BB"/>
    <w:rsid w:val="0096286A"/>
    <w:rsid w:val="00962D2B"/>
    <w:rsid w:val="00963C0A"/>
    <w:rsid w:val="009641B2"/>
    <w:rsid w:val="00965569"/>
    <w:rsid w:val="009709D7"/>
    <w:rsid w:val="009711D8"/>
    <w:rsid w:val="00971724"/>
    <w:rsid w:val="00971815"/>
    <w:rsid w:val="0097193D"/>
    <w:rsid w:val="009719C0"/>
    <w:rsid w:val="00972A3E"/>
    <w:rsid w:val="00973318"/>
    <w:rsid w:val="009738D5"/>
    <w:rsid w:val="00974110"/>
    <w:rsid w:val="00974459"/>
    <w:rsid w:val="009746B6"/>
    <w:rsid w:val="00974DF7"/>
    <w:rsid w:val="00975A8C"/>
    <w:rsid w:val="00975BEB"/>
    <w:rsid w:val="00976BC6"/>
    <w:rsid w:val="00977E78"/>
    <w:rsid w:val="009801E7"/>
    <w:rsid w:val="009805C6"/>
    <w:rsid w:val="00981293"/>
    <w:rsid w:val="009815D0"/>
    <w:rsid w:val="00981A18"/>
    <w:rsid w:val="009829E6"/>
    <w:rsid w:val="00982F32"/>
    <w:rsid w:val="0098451E"/>
    <w:rsid w:val="00984A93"/>
    <w:rsid w:val="0098503B"/>
    <w:rsid w:val="00985413"/>
    <w:rsid w:val="00985838"/>
    <w:rsid w:val="0099000A"/>
    <w:rsid w:val="00990091"/>
    <w:rsid w:val="00990A19"/>
    <w:rsid w:val="00990F79"/>
    <w:rsid w:val="00991861"/>
    <w:rsid w:val="009919E4"/>
    <w:rsid w:val="00991C96"/>
    <w:rsid w:val="00993470"/>
    <w:rsid w:val="00993808"/>
    <w:rsid w:val="009945D8"/>
    <w:rsid w:val="00995BDD"/>
    <w:rsid w:val="00996440"/>
    <w:rsid w:val="009975E4"/>
    <w:rsid w:val="0099777D"/>
    <w:rsid w:val="00997BA9"/>
    <w:rsid w:val="009A2250"/>
    <w:rsid w:val="009A2730"/>
    <w:rsid w:val="009A2E95"/>
    <w:rsid w:val="009A34F8"/>
    <w:rsid w:val="009A3E34"/>
    <w:rsid w:val="009A3F31"/>
    <w:rsid w:val="009A514E"/>
    <w:rsid w:val="009A5716"/>
    <w:rsid w:val="009A6427"/>
    <w:rsid w:val="009A73B1"/>
    <w:rsid w:val="009A7870"/>
    <w:rsid w:val="009A7AF7"/>
    <w:rsid w:val="009A7AFF"/>
    <w:rsid w:val="009B1171"/>
    <w:rsid w:val="009B12E2"/>
    <w:rsid w:val="009B15FC"/>
    <w:rsid w:val="009B2302"/>
    <w:rsid w:val="009B3167"/>
    <w:rsid w:val="009B34BA"/>
    <w:rsid w:val="009B3AF7"/>
    <w:rsid w:val="009B3F33"/>
    <w:rsid w:val="009B46CF"/>
    <w:rsid w:val="009B488D"/>
    <w:rsid w:val="009B48A9"/>
    <w:rsid w:val="009B4DD9"/>
    <w:rsid w:val="009B4E07"/>
    <w:rsid w:val="009B5F00"/>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903"/>
    <w:rsid w:val="009D5E08"/>
    <w:rsid w:val="009D5E8C"/>
    <w:rsid w:val="009D5ECE"/>
    <w:rsid w:val="009D5FA9"/>
    <w:rsid w:val="009D64A1"/>
    <w:rsid w:val="009D6F73"/>
    <w:rsid w:val="009D7931"/>
    <w:rsid w:val="009D7B15"/>
    <w:rsid w:val="009E03FE"/>
    <w:rsid w:val="009E0539"/>
    <w:rsid w:val="009E0FCA"/>
    <w:rsid w:val="009E1213"/>
    <w:rsid w:val="009E1473"/>
    <w:rsid w:val="009E153C"/>
    <w:rsid w:val="009E2690"/>
    <w:rsid w:val="009E2988"/>
    <w:rsid w:val="009E4212"/>
    <w:rsid w:val="009E7261"/>
    <w:rsid w:val="009E74BD"/>
    <w:rsid w:val="009F00C4"/>
    <w:rsid w:val="009F0C9E"/>
    <w:rsid w:val="009F157D"/>
    <w:rsid w:val="009F15E8"/>
    <w:rsid w:val="009F2E78"/>
    <w:rsid w:val="009F31EE"/>
    <w:rsid w:val="009F31F3"/>
    <w:rsid w:val="009F33CE"/>
    <w:rsid w:val="009F3A08"/>
    <w:rsid w:val="009F3E43"/>
    <w:rsid w:val="009F4360"/>
    <w:rsid w:val="009F4387"/>
    <w:rsid w:val="009F5C1A"/>
    <w:rsid w:val="009F645B"/>
    <w:rsid w:val="009F6BD6"/>
    <w:rsid w:val="009F742C"/>
    <w:rsid w:val="00A0023F"/>
    <w:rsid w:val="00A0056C"/>
    <w:rsid w:val="00A01D71"/>
    <w:rsid w:val="00A03CB9"/>
    <w:rsid w:val="00A03DF4"/>
    <w:rsid w:val="00A03E26"/>
    <w:rsid w:val="00A040EF"/>
    <w:rsid w:val="00A04309"/>
    <w:rsid w:val="00A0447F"/>
    <w:rsid w:val="00A04680"/>
    <w:rsid w:val="00A04F81"/>
    <w:rsid w:val="00A063C6"/>
    <w:rsid w:val="00A06FC7"/>
    <w:rsid w:val="00A10340"/>
    <w:rsid w:val="00A11222"/>
    <w:rsid w:val="00A118EC"/>
    <w:rsid w:val="00A11DA8"/>
    <w:rsid w:val="00A1212A"/>
    <w:rsid w:val="00A12468"/>
    <w:rsid w:val="00A12928"/>
    <w:rsid w:val="00A135F9"/>
    <w:rsid w:val="00A1390A"/>
    <w:rsid w:val="00A155D9"/>
    <w:rsid w:val="00A15D23"/>
    <w:rsid w:val="00A1720F"/>
    <w:rsid w:val="00A173CD"/>
    <w:rsid w:val="00A179C2"/>
    <w:rsid w:val="00A20966"/>
    <w:rsid w:val="00A216A1"/>
    <w:rsid w:val="00A21772"/>
    <w:rsid w:val="00A21897"/>
    <w:rsid w:val="00A22118"/>
    <w:rsid w:val="00A22783"/>
    <w:rsid w:val="00A24745"/>
    <w:rsid w:val="00A260FD"/>
    <w:rsid w:val="00A2626A"/>
    <w:rsid w:val="00A26C85"/>
    <w:rsid w:val="00A278A2"/>
    <w:rsid w:val="00A27D6C"/>
    <w:rsid w:val="00A30508"/>
    <w:rsid w:val="00A30B57"/>
    <w:rsid w:val="00A30C2B"/>
    <w:rsid w:val="00A30EF6"/>
    <w:rsid w:val="00A316AC"/>
    <w:rsid w:val="00A31B36"/>
    <w:rsid w:val="00A32673"/>
    <w:rsid w:val="00A32CA2"/>
    <w:rsid w:val="00A32D73"/>
    <w:rsid w:val="00A333AB"/>
    <w:rsid w:val="00A338DE"/>
    <w:rsid w:val="00A34A2F"/>
    <w:rsid w:val="00A3536C"/>
    <w:rsid w:val="00A37435"/>
    <w:rsid w:val="00A378FA"/>
    <w:rsid w:val="00A40FA4"/>
    <w:rsid w:val="00A410B3"/>
    <w:rsid w:val="00A41586"/>
    <w:rsid w:val="00A42230"/>
    <w:rsid w:val="00A4224E"/>
    <w:rsid w:val="00A44647"/>
    <w:rsid w:val="00A44BE6"/>
    <w:rsid w:val="00A453AA"/>
    <w:rsid w:val="00A45AF5"/>
    <w:rsid w:val="00A47891"/>
    <w:rsid w:val="00A478F8"/>
    <w:rsid w:val="00A47CFE"/>
    <w:rsid w:val="00A47E2B"/>
    <w:rsid w:val="00A501E8"/>
    <w:rsid w:val="00A509D0"/>
    <w:rsid w:val="00A50A19"/>
    <w:rsid w:val="00A50B43"/>
    <w:rsid w:val="00A519B7"/>
    <w:rsid w:val="00A54316"/>
    <w:rsid w:val="00A5483B"/>
    <w:rsid w:val="00A54AB2"/>
    <w:rsid w:val="00A54BAE"/>
    <w:rsid w:val="00A55147"/>
    <w:rsid w:val="00A55EDE"/>
    <w:rsid w:val="00A57610"/>
    <w:rsid w:val="00A5794D"/>
    <w:rsid w:val="00A60CDC"/>
    <w:rsid w:val="00A61405"/>
    <w:rsid w:val="00A61F0F"/>
    <w:rsid w:val="00A62226"/>
    <w:rsid w:val="00A62B55"/>
    <w:rsid w:val="00A63EE1"/>
    <w:rsid w:val="00A642B5"/>
    <w:rsid w:val="00A65285"/>
    <w:rsid w:val="00A65ED8"/>
    <w:rsid w:val="00A7187A"/>
    <w:rsid w:val="00A7207D"/>
    <w:rsid w:val="00A7226E"/>
    <w:rsid w:val="00A730CE"/>
    <w:rsid w:val="00A73C77"/>
    <w:rsid w:val="00A75354"/>
    <w:rsid w:val="00A75C19"/>
    <w:rsid w:val="00A7627D"/>
    <w:rsid w:val="00A77B55"/>
    <w:rsid w:val="00A80706"/>
    <w:rsid w:val="00A80F16"/>
    <w:rsid w:val="00A82004"/>
    <w:rsid w:val="00A82F4E"/>
    <w:rsid w:val="00A82F7D"/>
    <w:rsid w:val="00A83668"/>
    <w:rsid w:val="00A8394D"/>
    <w:rsid w:val="00A8465A"/>
    <w:rsid w:val="00A8506A"/>
    <w:rsid w:val="00A853E9"/>
    <w:rsid w:val="00A8564B"/>
    <w:rsid w:val="00A86E41"/>
    <w:rsid w:val="00A87002"/>
    <w:rsid w:val="00A87105"/>
    <w:rsid w:val="00A8717A"/>
    <w:rsid w:val="00A906FD"/>
    <w:rsid w:val="00A9122B"/>
    <w:rsid w:val="00A91658"/>
    <w:rsid w:val="00A918BF"/>
    <w:rsid w:val="00A91DAA"/>
    <w:rsid w:val="00A91E9C"/>
    <w:rsid w:val="00A9269E"/>
    <w:rsid w:val="00A9290E"/>
    <w:rsid w:val="00A93131"/>
    <w:rsid w:val="00A938F7"/>
    <w:rsid w:val="00A93979"/>
    <w:rsid w:val="00A94585"/>
    <w:rsid w:val="00A9499B"/>
    <w:rsid w:val="00A9519A"/>
    <w:rsid w:val="00A9573E"/>
    <w:rsid w:val="00A95DBC"/>
    <w:rsid w:val="00A95EC2"/>
    <w:rsid w:val="00A97CC7"/>
    <w:rsid w:val="00AA0A63"/>
    <w:rsid w:val="00AA1279"/>
    <w:rsid w:val="00AA14A4"/>
    <w:rsid w:val="00AA221E"/>
    <w:rsid w:val="00AA316C"/>
    <w:rsid w:val="00AA3680"/>
    <w:rsid w:val="00AA3884"/>
    <w:rsid w:val="00AA4193"/>
    <w:rsid w:val="00AA4FD7"/>
    <w:rsid w:val="00AA55F8"/>
    <w:rsid w:val="00AA56D7"/>
    <w:rsid w:val="00AA60E6"/>
    <w:rsid w:val="00AA6201"/>
    <w:rsid w:val="00AA7578"/>
    <w:rsid w:val="00AB04EA"/>
    <w:rsid w:val="00AB0920"/>
    <w:rsid w:val="00AB0E95"/>
    <w:rsid w:val="00AB1238"/>
    <w:rsid w:val="00AB1894"/>
    <w:rsid w:val="00AB1B74"/>
    <w:rsid w:val="00AB26DE"/>
    <w:rsid w:val="00AB294D"/>
    <w:rsid w:val="00AB2C93"/>
    <w:rsid w:val="00AB3660"/>
    <w:rsid w:val="00AB3BEB"/>
    <w:rsid w:val="00AB4895"/>
    <w:rsid w:val="00AB51AD"/>
    <w:rsid w:val="00AB57C8"/>
    <w:rsid w:val="00AB5A86"/>
    <w:rsid w:val="00AB5CD3"/>
    <w:rsid w:val="00AB5D0D"/>
    <w:rsid w:val="00AB6645"/>
    <w:rsid w:val="00AB6B22"/>
    <w:rsid w:val="00AB7DAF"/>
    <w:rsid w:val="00AC0ED5"/>
    <w:rsid w:val="00AC166C"/>
    <w:rsid w:val="00AC1AAE"/>
    <w:rsid w:val="00AC40A6"/>
    <w:rsid w:val="00AC44D4"/>
    <w:rsid w:val="00AC520F"/>
    <w:rsid w:val="00AC53F9"/>
    <w:rsid w:val="00AC5446"/>
    <w:rsid w:val="00AC5A6D"/>
    <w:rsid w:val="00AC5C28"/>
    <w:rsid w:val="00AC5EE8"/>
    <w:rsid w:val="00AC6169"/>
    <w:rsid w:val="00AC6F3D"/>
    <w:rsid w:val="00AC7306"/>
    <w:rsid w:val="00AC7428"/>
    <w:rsid w:val="00AC7620"/>
    <w:rsid w:val="00AD0635"/>
    <w:rsid w:val="00AD109C"/>
    <w:rsid w:val="00AD16F8"/>
    <w:rsid w:val="00AD17AC"/>
    <w:rsid w:val="00AD2475"/>
    <w:rsid w:val="00AD29CB"/>
    <w:rsid w:val="00AD312F"/>
    <w:rsid w:val="00AD5398"/>
    <w:rsid w:val="00AD5BD0"/>
    <w:rsid w:val="00AE1216"/>
    <w:rsid w:val="00AE1616"/>
    <w:rsid w:val="00AE19A4"/>
    <w:rsid w:val="00AE19C3"/>
    <w:rsid w:val="00AE22D6"/>
    <w:rsid w:val="00AE2728"/>
    <w:rsid w:val="00AE3389"/>
    <w:rsid w:val="00AE494A"/>
    <w:rsid w:val="00AE4B91"/>
    <w:rsid w:val="00AE4CDB"/>
    <w:rsid w:val="00AE5807"/>
    <w:rsid w:val="00AE5855"/>
    <w:rsid w:val="00AE58F2"/>
    <w:rsid w:val="00AE59C4"/>
    <w:rsid w:val="00AE5EF8"/>
    <w:rsid w:val="00AE6254"/>
    <w:rsid w:val="00AE6BE1"/>
    <w:rsid w:val="00AE7E40"/>
    <w:rsid w:val="00AF07E6"/>
    <w:rsid w:val="00AF193A"/>
    <w:rsid w:val="00AF1C1B"/>
    <w:rsid w:val="00AF1F1D"/>
    <w:rsid w:val="00AF1FE8"/>
    <w:rsid w:val="00AF3A92"/>
    <w:rsid w:val="00AF45BC"/>
    <w:rsid w:val="00AF481D"/>
    <w:rsid w:val="00AF5357"/>
    <w:rsid w:val="00AF59ED"/>
    <w:rsid w:val="00AF6800"/>
    <w:rsid w:val="00AF7107"/>
    <w:rsid w:val="00AF7A5D"/>
    <w:rsid w:val="00AF7CDA"/>
    <w:rsid w:val="00B00998"/>
    <w:rsid w:val="00B014AA"/>
    <w:rsid w:val="00B01D9A"/>
    <w:rsid w:val="00B01DD2"/>
    <w:rsid w:val="00B01EEE"/>
    <w:rsid w:val="00B0275F"/>
    <w:rsid w:val="00B029C1"/>
    <w:rsid w:val="00B0340C"/>
    <w:rsid w:val="00B03BD2"/>
    <w:rsid w:val="00B0528C"/>
    <w:rsid w:val="00B067E2"/>
    <w:rsid w:val="00B10534"/>
    <w:rsid w:val="00B1056E"/>
    <w:rsid w:val="00B10B6A"/>
    <w:rsid w:val="00B11349"/>
    <w:rsid w:val="00B1135A"/>
    <w:rsid w:val="00B11FA4"/>
    <w:rsid w:val="00B125AD"/>
    <w:rsid w:val="00B12A65"/>
    <w:rsid w:val="00B12B28"/>
    <w:rsid w:val="00B14769"/>
    <w:rsid w:val="00B14CC2"/>
    <w:rsid w:val="00B15A85"/>
    <w:rsid w:val="00B15BAD"/>
    <w:rsid w:val="00B16F44"/>
    <w:rsid w:val="00B17C9D"/>
    <w:rsid w:val="00B20EEE"/>
    <w:rsid w:val="00B20FDE"/>
    <w:rsid w:val="00B21980"/>
    <w:rsid w:val="00B21A4B"/>
    <w:rsid w:val="00B21D92"/>
    <w:rsid w:val="00B21F23"/>
    <w:rsid w:val="00B2217F"/>
    <w:rsid w:val="00B22434"/>
    <w:rsid w:val="00B2319B"/>
    <w:rsid w:val="00B232FA"/>
    <w:rsid w:val="00B239AB"/>
    <w:rsid w:val="00B23D4C"/>
    <w:rsid w:val="00B24344"/>
    <w:rsid w:val="00B24517"/>
    <w:rsid w:val="00B24804"/>
    <w:rsid w:val="00B2481F"/>
    <w:rsid w:val="00B24C81"/>
    <w:rsid w:val="00B25311"/>
    <w:rsid w:val="00B256D1"/>
    <w:rsid w:val="00B25924"/>
    <w:rsid w:val="00B25ABC"/>
    <w:rsid w:val="00B25C92"/>
    <w:rsid w:val="00B2618B"/>
    <w:rsid w:val="00B266FF"/>
    <w:rsid w:val="00B2733D"/>
    <w:rsid w:val="00B306D9"/>
    <w:rsid w:val="00B3145C"/>
    <w:rsid w:val="00B314BA"/>
    <w:rsid w:val="00B32404"/>
    <w:rsid w:val="00B32D30"/>
    <w:rsid w:val="00B339BE"/>
    <w:rsid w:val="00B339D9"/>
    <w:rsid w:val="00B3489B"/>
    <w:rsid w:val="00B35FE0"/>
    <w:rsid w:val="00B369AB"/>
    <w:rsid w:val="00B37062"/>
    <w:rsid w:val="00B4042C"/>
    <w:rsid w:val="00B41B1F"/>
    <w:rsid w:val="00B42A84"/>
    <w:rsid w:val="00B43820"/>
    <w:rsid w:val="00B441B0"/>
    <w:rsid w:val="00B4439A"/>
    <w:rsid w:val="00B44F10"/>
    <w:rsid w:val="00B454F3"/>
    <w:rsid w:val="00B458BF"/>
    <w:rsid w:val="00B45FEF"/>
    <w:rsid w:val="00B46997"/>
    <w:rsid w:val="00B46F3A"/>
    <w:rsid w:val="00B476B5"/>
    <w:rsid w:val="00B47A03"/>
    <w:rsid w:val="00B50571"/>
    <w:rsid w:val="00B51909"/>
    <w:rsid w:val="00B51938"/>
    <w:rsid w:val="00B5282A"/>
    <w:rsid w:val="00B530A6"/>
    <w:rsid w:val="00B5456C"/>
    <w:rsid w:val="00B5527E"/>
    <w:rsid w:val="00B55358"/>
    <w:rsid w:val="00B560CA"/>
    <w:rsid w:val="00B565EC"/>
    <w:rsid w:val="00B56649"/>
    <w:rsid w:val="00B566A4"/>
    <w:rsid w:val="00B56A9E"/>
    <w:rsid w:val="00B607A6"/>
    <w:rsid w:val="00B60A73"/>
    <w:rsid w:val="00B60ED4"/>
    <w:rsid w:val="00B61776"/>
    <w:rsid w:val="00B61783"/>
    <w:rsid w:val="00B61A4C"/>
    <w:rsid w:val="00B621C2"/>
    <w:rsid w:val="00B63223"/>
    <w:rsid w:val="00B6330A"/>
    <w:rsid w:val="00B6453C"/>
    <w:rsid w:val="00B6466E"/>
    <w:rsid w:val="00B64702"/>
    <w:rsid w:val="00B648ED"/>
    <w:rsid w:val="00B654B5"/>
    <w:rsid w:val="00B658D6"/>
    <w:rsid w:val="00B66470"/>
    <w:rsid w:val="00B67149"/>
    <w:rsid w:val="00B70C6A"/>
    <w:rsid w:val="00B712AF"/>
    <w:rsid w:val="00B71E10"/>
    <w:rsid w:val="00B7248E"/>
    <w:rsid w:val="00B72BAD"/>
    <w:rsid w:val="00B73776"/>
    <w:rsid w:val="00B7380E"/>
    <w:rsid w:val="00B73972"/>
    <w:rsid w:val="00B754BA"/>
    <w:rsid w:val="00B75A53"/>
    <w:rsid w:val="00B762EC"/>
    <w:rsid w:val="00B76493"/>
    <w:rsid w:val="00B775A2"/>
    <w:rsid w:val="00B77A5B"/>
    <w:rsid w:val="00B77C81"/>
    <w:rsid w:val="00B77F82"/>
    <w:rsid w:val="00B804DB"/>
    <w:rsid w:val="00B809D5"/>
    <w:rsid w:val="00B81883"/>
    <w:rsid w:val="00B81A3C"/>
    <w:rsid w:val="00B81AD5"/>
    <w:rsid w:val="00B821B7"/>
    <w:rsid w:val="00B83AE3"/>
    <w:rsid w:val="00B83BD4"/>
    <w:rsid w:val="00B84E31"/>
    <w:rsid w:val="00B85264"/>
    <w:rsid w:val="00B8541D"/>
    <w:rsid w:val="00B8546A"/>
    <w:rsid w:val="00B86135"/>
    <w:rsid w:val="00B861CD"/>
    <w:rsid w:val="00B86596"/>
    <w:rsid w:val="00B8686C"/>
    <w:rsid w:val="00B87E93"/>
    <w:rsid w:val="00B87FFE"/>
    <w:rsid w:val="00B90FC5"/>
    <w:rsid w:val="00B91291"/>
    <w:rsid w:val="00B913A3"/>
    <w:rsid w:val="00B92921"/>
    <w:rsid w:val="00B929F4"/>
    <w:rsid w:val="00B93189"/>
    <w:rsid w:val="00B93569"/>
    <w:rsid w:val="00B95499"/>
    <w:rsid w:val="00B95C18"/>
    <w:rsid w:val="00BA0836"/>
    <w:rsid w:val="00BA0B22"/>
    <w:rsid w:val="00BA3D29"/>
    <w:rsid w:val="00BA45AB"/>
    <w:rsid w:val="00BA490D"/>
    <w:rsid w:val="00BA4E7E"/>
    <w:rsid w:val="00BA54E8"/>
    <w:rsid w:val="00BA58CA"/>
    <w:rsid w:val="00BA5C46"/>
    <w:rsid w:val="00BA60F8"/>
    <w:rsid w:val="00BA6811"/>
    <w:rsid w:val="00BA780A"/>
    <w:rsid w:val="00BB0C5A"/>
    <w:rsid w:val="00BB108D"/>
    <w:rsid w:val="00BB17A7"/>
    <w:rsid w:val="00BB1939"/>
    <w:rsid w:val="00BB205E"/>
    <w:rsid w:val="00BB21D0"/>
    <w:rsid w:val="00BB274D"/>
    <w:rsid w:val="00BB3C84"/>
    <w:rsid w:val="00BB3FA7"/>
    <w:rsid w:val="00BB49D2"/>
    <w:rsid w:val="00BB50C4"/>
    <w:rsid w:val="00BB5CCC"/>
    <w:rsid w:val="00BB64D3"/>
    <w:rsid w:val="00BB7690"/>
    <w:rsid w:val="00BB7954"/>
    <w:rsid w:val="00BC009D"/>
    <w:rsid w:val="00BC04F2"/>
    <w:rsid w:val="00BC1211"/>
    <w:rsid w:val="00BC1902"/>
    <w:rsid w:val="00BC1B9A"/>
    <w:rsid w:val="00BC3242"/>
    <w:rsid w:val="00BC426C"/>
    <w:rsid w:val="00BC46CD"/>
    <w:rsid w:val="00BC4FE7"/>
    <w:rsid w:val="00BC581D"/>
    <w:rsid w:val="00BC5B27"/>
    <w:rsid w:val="00BC63C8"/>
    <w:rsid w:val="00BC6659"/>
    <w:rsid w:val="00BC686C"/>
    <w:rsid w:val="00BC69EA"/>
    <w:rsid w:val="00BC727F"/>
    <w:rsid w:val="00BD090B"/>
    <w:rsid w:val="00BD0BB0"/>
    <w:rsid w:val="00BD0BE5"/>
    <w:rsid w:val="00BD119A"/>
    <w:rsid w:val="00BD131B"/>
    <w:rsid w:val="00BD2672"/>
    <w:rsid w:val="00BD2F89"/>
    <w:rsid w:val="00BD3970"/>
    <w:rsid w:val="00BD4370"/>
    <w:rsid w:val="00BD4581"/>
    <w:rsid w:val="00BD521C"/>
    <w:rsid w:val="00BD5C3D"/>
    <w:rsid w:val="00BD5DF1"/>
    <w:rsid w:val="00BD6A52"/>
    <w:rsid w:val="00BD718F"/>
    <w:rsid w:val="00BE007E"/>
    <w:rsid w:val="00BE02C9"/>
    <w:rsid w:val="00BE0C59"/>
    <w:rsid w:val="00BE0F2D"/>
    <w:rsid w:val="00BE184A"/>
    <w:rsid w:val="00BE1F98"/>
    <w:rsid w:val="00BE26E0"/>
    <w:rsid w:val="00BE27BE"/>
    <w:rsid w:val="00BE3115"/>
    <w:rsid w:val="00BE32AF"/>
    <w:rsid w:val="00BE3DE4"/>
    <w:rsid w:val="00BE4DAE"/>
    <w:rsid w:val="00BE5665"/>
    <w:rsid w:val="00BE5CC5"/>
    <w:rsid w:val="00BE5FD3"/>
    <w:rsid w:val="00BE638A"/>
    <w:rsid w:val="00BE7588"/>
    <w:rsid w:val="00BE776D"/>
    <w:rsid w:val="00BE7B55"/>
    <w:rsid w:val="00BF00CA"/>
    <w:rsid w:val="00BF07BA"/>
    <w:rsid w:val="00BF0BB2"/>
    <w:rsid w:val="00BF13C4"/>
    <w:rsid w:val="00BF142D"/>
    <w:rsid w:val="00BF18F5"/>
    <w:rsid w:val="00BF1B22"/>
    <w:rsid w:val="00BF1D4E"/>
    <w:rsid w:val="00BF1E5F"/>
    <w:rsid w:val="00BF2749"/>
    <w:rsid w:val="00BF2B10"/>
    <w:rsid w:val="00BF2CB5"/>
    <w:rsid w:val="00BF36DB"/>
    <w:rsid w:val="00BF3C42"/>
    <w:rsid w:val="00BF4361"/>
    <w:rsid w:val="00BF513B"/>
    <w:rsid w:val="00BF5A51"/>
    <w:rsid w:val="00BF5DB5"/>
    <w:rsid w:val="00BF6464"/>
    <w:rsid w:val="00BF64C2"/>
    <w:rsid w:val="00BF654C"/>
    <w:rsid w:val="00BF70E9"/>
    <w:rsid w:val="00BF7303"/>
    <w:rsid w:val="00BF7DAE"/>
    <w:rsid w:val="00C001E0"/>
    <w:rsid w:val="00C003D6"/>
    <w:rsid w:val="00C007FD"/>
    <w:rsid w:val="00C008F2"/>
    <w:rsid w:val="00C00947"/>
    <w:rsid w:val="00C01628"/>
    <w:rsid w:val="00C0205A"/>
    <w:rsid w:val="00C02F61"/>
    <w:rsid w:val="00C031D2"/>
    <w:rsid w:val="00C038BB"/>
    <w:rsid w:val="00C04CCF"/>
    <w:rsid w:val="00C05159"/>
    <w:rsid w:val="00C05500"/>
    <w:rsid w:val="00C0561B"/>
    <w:rsid w:val="00C05EC9"/>
    <w:rsid w:val="00C063B4"/>
    <w:rsid w:val="00C07636"/>
    <w:rsid w:val="00C07706"/>
    <w:rsid w:val="00C10661"/>
    <w:rsid w:val="00C10F2C"/>
    <w:rsid w:val="00C13C66"/>
    <w:rsid w:val="00C13C80"/>
    <w:rsid w:val="00C1477C"/>
    <w:rsid w:val="00C15D9E"/>
    <w:rsid w:val="00C166A7"/>
    <w:rsid w:val="00C16800"/>
    <w:rsid w:val="00C20A32"/>
    <w:rsid w:val="00C20AE6"/>
    <w:rsid w:val="00C20BF4"/>
    <w:rsid w:val="00C22572"/>
    <w:rsid w:val="00C228CD"/>
    <w:rsid w:val="00C2318C"/>
    <w:rsid w:val="00C24B29"/>
    <w:rsid w:val="00C24C0E"/>
    <w:rsid w:val="00C25A60"/>
    <w:rsid w:val="00C26D14"/>
    <w:rsid w:val="00C27053"/>
    <w:rsid w:val="00C270BB"/>
    <w:rsid w:val="00C27418"/>
    <w:rsid w:val="00C27454"/>
    <w:rsid w:val="00C27D7D"/>
    <w:rsid w:val="00C27FE9"/>
    <w:rsid w:val="00C305B3"/>
    <w:rsid w:val="00C3089D"/>
    <w:rsid w:val="00C311EF"/>
    <w:rsid w:val="00C31425"/>
    <w:rsid w:val="00C31AD5"/>
    <w:rsid w:val="00C31BD2"/>
    <w:rsid w:val="00C31E40"/>
    <w:rsid w:val="00C32CD1"/>
    <w:rsid w:val="00C33A57"/>
    <w:rsid w:val="00C341AC"/>
    <w:rsid w:val="00C34257"/>
    <w:rsid w:val="00C35555"/>
    <w:rsid w:val="00C359F1"/>
    <w:rsid w:val="00C35BB6"/>
    <w:rsid w:val="00C36300"/>
    <w:rsid w:val="00C36636"/>
    <w:rsid w:val="00C36E21"/>
    <w:rsid w:val="00C379B6"/>
    <w:rsid w:val="00C37D6A"/>
    <w:rsid w:val="00C40288"/>
    <w:rsid w:val="00C409B5"/>
    <w:rsid w:val="00C40F26"/>
    <w:rsid w:val="00C41717"/>
    <w:rsid w:val="00C41D73"/>
    <w:rsid w:val="00C42178"/>
    <w:rsid w:val="00C421BD"/>
    <w:rsid w:val="00C428BB"/>
    <w:rsid w:val="00C42CE9"/>
    <w:rsid w:val="00C43031"/>
    <w:rsid w:val="00C43345"/>
    <w:rsid w:val="00C43C8B"/>
    <w:rsid w:val="00C444E7"/>
    <w:rsid w:val="00C46085"/>
    <w:rsid w:val="00C46253"/>
    <w:rsid w:val="00C46A73"/>
    <w:rsid w:val="00C509DB"/>
    <w:rsid w:val="00C517B6"/>
    <w:rsid w:val="00C52902"/>
    <w:rsid w:val="00C52977"/>
    <w:rsid w:val="00C52C63"/>
    <w:rsid w:val="00C534BD"/>
    <w:rsid w:val="00C53804"/>
    <w:rsid w:val="00C54051"/>
    <w:rsid w:val="00C5433E"/>
    <w:rsid w:val="00C54620"/>
    <w:rsid w:val="00C55534"/>
    <w:rsid w:val="00C55D33"/>
    <w:rsid w:val="00C563E6"/>
    <w:rsid w:val="00C56B48"/>
    <w:rsid w:val="00C56E06"/>
    <w:rsid w:val="00C57168"/>
    <w:rsid w:val="00C601DB"/>
    <w:rsid w:val="00C60A6F"/>
    <w:rsid w:val="00C611CC"/>
    <w:rsid w:val="00C6150B"/>
    <w:rsid w:val="00C61E66"/>
    <w:rsid w:val="00C63103"/>
    <w:rsid w:val="00C641CF"/>
    <w:rsid w:val="00C644D9"/>
    <w:rsid w:val="00C64C60"/>
    <w:rsid w:val="00C64F04"/>
    <w:rsid w:val="00C65004"/>
    <w:rsid w:val="00C6506C"/>
    <w:rsid w:val="00C658B8"/>
    <w:rsid w:val="00C65E58"/>
    <w:rsid w:val="00C66495"/>
    <w:rsid w:val="00C66931"/>
    <w:rsid w:val="00C66B4B"/>
    <w:rsid w:val="00C67084"/>
    <w:rsid w:val="00C67E75"/>
    <w:rsid w:val="00C70C13"/>
    <w:rsid w:val="00C7102F"/>
    <w:rsid w:val="00C71416"/>
    <w:rsid w:val="00C714DC"/>
    <w:rsid w:val="00C714F3"/>
    <w:rsid w:val="00C7267F"/>
    <w:rsid w:val="00C740E7"/>
    <w:rsid w:val="00C74107"/>
    <w:rsid w:val="00C745DA"/>
    <w:rsid w:val="00C74CF7"/>
    <w:rsid w:val="00C74EBD"/>
    <w:rsid w:val="00C75265"/>
    <w:rsid w:val="00C755C1"/>
    <w:rsid w:val="00C75910"/>
    <w:rsid w:val="00C76237"/>
    <w:rsid w:val="00C76441"/>
    <w:rsid w:val="00C76E2F"/>
    <w:rsid w:val="00C76F56"/>
    <w:rsid w:val="00C77B97"/>
    <w:rsid w:val="00C77C83"/>
    <w:rsid w:val="00C800A0"/>
    <w:rsid w:val="00C801D6"/>
    <w:rsid w:val="00C80554"/>
    <w:rsid w:val="00C81193"/>
    <w:rsid w:val="00C81A89"/>
    <w:rsid w:val="00C81E79"/>
    <w:rsid w:val="00C833E6"/>
    <w:rsid w:val="00C839B4"/>
    <w:rsid w:val="00C83E1E"/>
    <w:rsid w:val="00C843DC"/>
    <w:rsid w:val="00C8447C"/>
    <w:rsid w:val="00C84BCA"/>
    <w:rsid w:val="00C85192"/>
    <w:rsid w:val="00C85952"/>
    <w:rsid w:val="00C869D1"/>
    <w:rsid w:val="00C86A4E"/>
    <w:rsid w:val="00C86C6F"/>
    <w:rsid w:val="00C87265"/>
    <w:rsid w:val="00C8741A"/>
    <w:rsid w:val="00C87DF9"/>
    <w:rsid w:val="00C90DB8"/>
    <w:rsid w:val="00C92C81"/>
    <w:rsid w:val="00C92F85"/>
    <w:rsid w:val="00C9355B"/>
    <w:rsid w:val="00C94270"/>
    <w:rsid w:val="00C942C9"/>
    <w:rsid w:val="00C944AF"/>
    <w:rsid w:val="00C946E6"/>
    <w:rsid w:val="00C94F06"/>
    <w:rsid w:val="00C95726"/>
    <w:rsid w:val="00C95C4C"/>
    <w:rsid w:val="00C963B7"/>
    <w:rsid w:val="00C97E6E"/>
    <w:rsid w:val="00CA0C8E"/>
    <w:rsid w:val="00CA11F2"/>
    <w:rsid w:val="00CA2603"/>
    <w:rsid w:val="00CA2D04"/>
    <w:rsid w:val="00CA3965"/>
    <w:rsid w:val="00CA3B8A"/>
    <w:rsid w:val="00CA3CB2"/>
    <w:rsid w:val="00CA3D67"/>
    <w:rsid w:val="00CA415A"/>
    <w:rsid w:val="00CA4C8F"/>
    <w:rsid w:val="00CA7692"/>
    <w:rsid w:val="00CA78E3"/>
    <w:rsid w:val="00CB0062"/>
    <w:rsid w:val="00CB00DF"/>
    <w:rsid w:val="00CB0BE8"/>
    <w:rsid w:val="00CB0EB9"/>
    <w:rsid w:val="00CB2A3A"/>
    <w:rsid w:val="00CB3934"/>
    <w:rsid w:val="00CB60CE"/>
    <w:rsid w:val="00CB6D8B"/>
    <w:rsid w:val="00CB6DA9"/>
    <w:rsid w:val="00CB72A5"/>
    <w:rsid w:val="00CC0109"/>
    <w:rsid w:val="00CC03B8"/>
    <w:rsid w:val="00CC12AE"/>
    <w:rsid w:val="00CC312A"/>
    <w:rsid w:val="00CC31E8"/>
    <w:rsid w:val="00CC3631"/>
    <w:rsid w:val="00CC41E8"/>
    <w:rsid w:val="00CC43B8"/>
    <w:rsid w:val="00CC4CB3"/>
    <w:rsid w:val="00CC5ABA"/>
    <w:rsid w:val="00CC6373"/>
    <w:rsid w:val="00CC711E"/>
    <w:rsid w:val="00CD0041"/>
    <w:rsid w:val="00CD07C2"/>
    <w:rsid w:val="00CD080A"/>
    <w:rsid w:val="00CD09D7"/>
    <w:rsid w:val="00CD1C47"/>
    <w:rsid w:val="00CD2864"/>
    <w:rsid w:val="00CD2A7C"/>
    <w:rsid w:val="00CD39E0"/>
    <w:rsid w:val="00CD3C37"/>
    <w:rsid w:val="00CD424C"/>
    <w:rsid w:val="00CD4CC0"/>
    <w:rsid w:val="00CD4DCA"/>
    <w:rsid w:val="00CD4E75"/>
    <w:rsid w:val="00CD50C9"/>
    <w:rsid w:val="00CD5379"/>
    <w:rsid w:val="00CD5768"/>
    <w:rsid w:val="00CD6A14"/>
    <w:rsid w:val="00CD7548"/>
    <w:rsid w:val="00CD7664"/>
    <w:rsid w:val="00CD7D52"/>
    <w:rsid w:val="00CE06F0"/>
    <w:rsid w:val="00CE0900"/>
    <w:rsid w:val="00CE096F"/>
    <w:rsid w:val="00CE18CE"/>
    <w:rsid w:val="00CE1C06"/>
    <w:rsid w:val="00CE230E"/>
    <w:rsid w:val="00CE250E"/>
    <w:rsid w:val="00CE2E2E"/>
    <w:rsid w:val="00CE3039"/>
    <w:rsid w:val="00CE3481"/>
    <w:rsid w:val="00CE38E8"/>
    <w:rsid w:val="00CE3BFE"/>
    <w:rsid w:val="00CE461E"/>
    <w:rsid w:val="00CE50BC"/>
    <w:rsid w:val="00CE56D2"/>
    <w:rsid w:val="00CE5C96"/>
    <w:rsid w:val="00CE6028"/>
    <w:rsid w:val="00CE6959"/>
    <w:rsid w:val="00CE6F0F"/>
    <w:rsid w:val="00CE7312"/>
    <w:rsid w:val="00CE7344"/>
    <w:rsid w:val="00CE7E27"/>
    <w:rsid w:val="00CE7ED4"/>
    <w:rsid w:val="00CF0BDA"/>
    <w:rsid w:val="00CF13C3"/>
    <w:rsid w:val="00CF26D3"/>
    <w:rsid w:val="00CF3C99"/>
    <w:rsid w:val="00CF4F95"/>
    <w:rsid w:val="00CF5FDC"/>
    <w:rsid w:val="00CF6483"/>
    <w:rsid w:val="00CF66A9"/>
    <w:rsid w:val="00CF6A44"/>
    <w:rsid w:val="00CF7708"/>
    <w:rsid w:val="00CF7A87"/>
    <w:rsid w:val="00CF7DC0"/>
    <w:rsid w:val="00CF7E00"/>
    <w:rsid w:val="00D0172B"/>
    <w:rsid w:val="00D0268B"/>
    <w:rsid w:val="00D029E2"/>
    <w:rsid w:val="00D04525"/>
    <w:rsid w:val="00D047FF"/>
    <w:rsid w:val="00D04893"/>
    <w:rsid w:val="00D04C69"/>
    <w:rsid w:val="00D04CD8"/>
    <w:rsid w:val="00D05A13"/>
    <w:rsid w:val="00D05E6C"/>
    <w:rsid w:val="00D063BB"/>
    <w:rsid w:val="00D0657B"/>
    <w:rsid w:val="00D066D4"/>
    <w:rsid w:val="00D06DEF"/>
    <w:rsid w:val="00D078AF"/>
    <w:rsid w:val="00D07A52"/>
    <w:rsid w:val="00D10417"/>
    <w:rsid w:val="00D10F39"/>
    <w:rsid w:val="00D11421"/>
    <w:rsid w:val="00D126E0"/>
    <w:rsid w:val="00D12896"/>
    <w:rsid w:val="00D13372"/>
    <w:rsid w:val="00D13EDB"/>
    <w:rsid w:val="00D1453C"/>
    <w:rsid w:val="00D15184"/>
    <w:rsid w:val="00D152A1"/>
    <w:rsid w:val="00D16025"/>
    <w:rsid w:val="00D1630E"/>
    <w:rsid w:val="00D16738"/>
    <w:rsid w:val="00D170F6"/>
    <w:rsid w:val="00D208D4"/>
    <w:rsid w:val="00D212B1"/>
    <w:rsid w:val="00D21753"/>
    <w:rsid w:val="00D21DC6"/>
    <w:rsid w:val="00D22087"/>
    <w:rsid w:val="00D220EB"/>
    <w:rsid w:val="00D22C40"/>
    <w:rsid w:val="00D23485"/>
    <w:rsid w:val="00D244D6"/>
    <w:rsid w:val="00D24E96"/>
    <w:rsid w:val="00D25377"/>
    <w:rsid w:val="00D26691"/>
    <w:rsid w:val="00D26703"/>
    <w:rsid w:val="00D26EBD"/>
    <w:rsid w:val="00D27313"/>
    <w:rsid w:val="00D2786E"/>
    <w:rsid w:val="00D27DDF"/>
    <w:rsid w:val="00D300C4"/>
    <w:rsid w:val="00D304AE"/>
    <w:rsid w:val="00D31BE9"/>
    <w:rsid w:val="00D31D7F"/>
    <w:rsid w:val="00D31E0A"/>
    <w:rsid w:val="00D32361"/>
    <w:rsid w:val="00D335F0"/>
    <w:rsid w:val="00D34CCD"/>
    <w:rsid w:val="00D34F3C"/>
    <w:rsid w:val="00D36474"/>
    <w:rsid w:val="00D36E3A"/>
    <w:rsid w:val="00D36E4F"/>
    <w:rsid w:val="00D37DB4"/>
    <w:rsid w:val="00D37E10"/>
    <w:rsid w:val="00D40694"/>
    <w:rsid w:val="00D4086E"/>
    <w:rsid w:val="00D4090B"/>
    <w:rsid w:val="00D40CF5"/>
    <w:rsid w:val="00D42385"/>
    <w:rsid w:val="00D462D4"/>
    <w:rsid w:val="00D4686F"/>
    <w:rsid w:val="00D518EC"/>
    <w:rsid w:val="00D51E0F"/>
    <w:rsid w:val="00D528B8"/>
    <w:rsid w:val="00D53554"/>
    <w:rsid w:val="00D54008"/>
    <w:rsid w:val="00D542EC"/>
    <w:rsid w:val="00D5524A"/>
    <w:rsid w:val="00D556EC"/>
    <w:rsid w:val="00D56329"/>
    <w:rsid w:val="00D56879"/>
    <w:rsid w:val="00D5719C"/>
    <w:rsid w:val="00D575B9"/>
    <w:rsid w:val="00D604B4"/>
    <w:rsid w:val="00D6090B"/>
    <w:rsid w:val="00D616AA"/>
    <w:rsid w:val="00D63009"/>
    <w:rsid w:val="00D633B5"/>
    <w:rsid w:val="00D63751"/>
    <w:rsid w:val="00D63DDB"/>
    <w:rsid w:val="00D63F47"/>
    <w:rsid w:val="00D64B6D"/>
    <w:rsid w:val="00D653F4"/>
    <w:rsid w:val="00D65BA4"/>
    <w:rsid w:val="00D65CD4"/>
    <w:rsid w:val="00D66669"/>
    <w:rsid w:val="00D66B24"/>
    <w:rsid w:val="00D67AF3"/>
    <w:rsid w:val="00D67B91"/>
    <w:rsid w:val="00D703A2"/>
    <w:rsid w:val="00D70D6A"/>
    <w:rsid w:val="00D70E82"/>
    <w:rsid w:val="00D71338"/>
    <w:rsid w:val="00D718B6"/>
    <w:rsid w:val="00D71C01"/>
    <w:rsid w:val="00D71F7C"/>
    <w:rsid w:val="00D7245F"/>
    <w:rsid w:val="00D72D78"/>
    <w:rsid w:val="00D72EAE"/>
    <w:rsid w:val="00D73214"/>
    <w:rsid w:val="00D737DA"/>
    <w:rsid w:val="00D739F6"/>
    <w:rsid w:val="00D74037"/>
    <w:rsid w:val="00D743CF"/>
    <w:rsid w:val="00D74869"/>
    <w:rsid w:val="00D748A5"/>
    <w:rsid w:val="00D75CAF"/>
    <w:rsid w:val="00D75F35"/>
    <w:rsid w:val="00D760A8"/>
    <w:rsid w:val="00D76250"/>
    <w:rsid w:val="00D76E7E"/>
    <w:rsid w:val="00D812DF"/>
    <w:rsid w:val="00D81A9B"/>
    <w:rsid w:val="00D81B32"/>
    <w:rsid w:val="00D84A95"/>
    <w:rsid w:val="00D84F02"/>
    <w:rsid w:val="00D85611"/>
    <w:rsid w:val="00D85F4A"/>
    <w:rsid w:val="00D8626D"/>
    <w:rsid w:val="00D86702"/>
    <w:rsid w:val="00D86840"/>
    <w:rsid w:val="00D8698F"/>
    <w:rsid w:val="00D87015"/>
    <w:rsid w:val="00D91115"/>
    <w:rsid w:val="00D91360"/>
    <w:rsid w:val="00D91D2C"/>
    <w:rsid w:val="00D924FB"/>
    <w:rsid w:val="00D92B28"/>
    <w:rsid w:val="00D9341A"/>
    <w:rsid w:val="00D939D5"/>
    <w:rsid w:val="00D95595"/>
    <w:rsid w:val="00D9695E"/>
    <w:rsid w:val="00D96DCF"/>
    <w:rsid w:val="00DA0157"/>
    <w:rsid w:val="00DA0B19"/>
    <w:rsid w:val="00DA167F"/>
    <w:rsid w:val="00DA2A53"/>
    <w:rsid w:val="00DA2FB3"/>
    <w:rsid w:val="00DA36F6"/>
    <w:rsid w:val="00DA43AC"/>
    <w:rsid w:val="00DA45F3"/>
    <w:rsid w:val="00DA5472"/>
    <w:rsid w:val="00DA54EA"/>
    <w:rsid w:val="00DA57D2"/>
    <w:rsid w:val="00DA6262"/>
    <w:rsid w:val="00DA6BA8"/>
    <w:rsid w:val="00DA6ED8"/>
    <w:rsid w:val="00DA71BD"/>
    <w:rsid w:val="00DA74C4"/>
    <w:rsid w:val="00DA77D1"/>
    <w:rsid w:val="00DA78DA"/>
    <w:rsid w:val="00DB0550"/>
    <w:rsid w:val="00DB07D3"/>
    <w:rsid w:val="00DB18F8"/>
    <w:rsid w:val="00DB1948"/>
    <w:rsid w:val="00DB1DEA"/>
    <w:rsid w:val="00DB2C69"/>
    <w:rsid w:val="00DB3518"/>
    <w:rsid w:val="00DB39AE"/>
    <w:rsid w:val="00DB3BAF"/>
    <w:rsid w:val="00DB4168"/>
    <w:rsid w:val="00DB49BD"/>
    <w:rsid w:val="00DB547B"/>
    <w:rsid w:val="00DB5637"/>
    <w:rsid w:val="00DB5C19"/>
    <w:rsid w:val="00DB6294"/>
    <w:rsid w:val="00DB71D1"/>
    <w:rsid w:val="00DB7D1D"/>
    <w:rsid w:val="00DB7D29"/>
    <w:rsid w:val="00DC1C1B"/>
    <w:rsid w:val="00DC243F"/>
    <w:rsid w:val="00DC2AF2"/>
    <w:rsid w:val="00DC2E46"/>
    <w:rsid w:val="00DC319B"/>
    <w:rsid w:val="00DC38FB"/>
    <w:rsid w:val="00DC3BC9"/>
    <w:rsid w:val="00DC413E"/>
    <w:rsid w:val="00DC49E0"/>
    <w:rsid w:val="00DC52AC"/>
    <w:rsid w:val="00DC62B3"/>
    <w:rsid w:val="00DC6357"/>
    <w:rsid w:val="00DC63B6"/>
    <w:rsid w:val="00DC65E9"/>
    <w:rsid w:val="00DC763D"/>
    <w:rsid w:val="00DC79F2"/>
    <w:rsid w:val="00DD0020"/>
    <w:rsid w:val="00DD08A2"/>
    <w:rsid w:val="00DD1255"/>
    <w:rsid w:val="00DD1D3A"/>
    <w:rsid w:val="00DD211D"/>
    <w:rsid w:val="00DD27F1"/>
    <w:rsid w:val="00DD2A12"/>
    <w:rsid w:val="00DD2BAE"/>
    <w:rsid w:val="00DD4686"/>
    <w:rsid w:val="00DD4835"/>
    <w:rsid w:val="00DD4FB1"/>
    <w:rsid w:val="00DD5B45"/>
    <w:rsid w:val="00DD608D"/>
    <w:rsid w:val="00DD6605"/>
    <w:rsid w:val="00DD6BC2"/>
    <w:rsid w:val="00DD6FEA"/>
    <w:rsid w:val="00DD7CCE"/>
    <w:rsid w:val="00DD7D0C"/>
    <w:rsid w:val="00DE030E"/>
    <w:rsid w:val="00DE252F"/>
    <w:rsid w:val="00DE329B"/>
    <w:rsid w:val="00DE347F"/>
    <w:rsid w:val="00DE39ED"/>
    <w:rsid w:val="00DE3F36"/>
    <w:rsid w:val="00DE4351"/>
    <w:rsid w:val="00DE4371"/>
    <w:rsid w:val="00DE4A82"/>
    <w:rsid w:val="00DE4CBB"/>
    <w:rsid w:val="00DE5204"/>
    <w:rsid w:val="00DE682A"/>
    <w:rsid w:val="00DE6987"/>
    <w:rsid w:val="00DE6C9F"/>
    <w:rsid w:val="00DE6D6C"/>
    <w:rsid w:val="00DE6E89"/>
    <w:rsid w:val="00DE72A9"/>
    <w:rsid w:val="00DE786A"/>
    <w:rsid w:val="00DE7DAD"/>
    <w:rsid w:val="00DE7F55"/>
    <w:rsid w:val="00DF036C"/>
    <w:rsid w:val="00DF066D"/>
    <w:rsid w:val="00DF0C58"/>
    <w:rsid w:val="00DF0C6D"/>
    <w:rsid w:val="00DF0ED5"/>
    <w:rsid w:val="00DF1552"/>
    <w:rsid w:val="00DF2564"/>
    <w:rsid w:val="00DF2853"/>
    <w:rsid w:val="00DF45C4"/>
    <w:rsid w:val="00DF4D3C"/>
    <w:rsid w:val="00DF540B"/>
    <w:rsid w:val="00DF5644"/>
    <w:rsid w:val="00DF5756"/>
    <w:rsid w:val="00DF5A59"/>
    <w:rsid w:val="00DF61B6"/>
    <w:rsid w:val="00DF7A46"/>
    <w:rsid w:val="00E015B6"/>
    <w:rsid w:val="00E01AA4"/>
    <w:rsid w:val="00E02CE5"/>
    <w:rsid w:val="00E04125"/>
    <w:rsid w:val="00E04668"/>
    <w:rsid w:val="00E048F7"/>
    <w:rsid w:val="00E04A5D"/>
    <w:rsid w:val="00E0505E"/>
    <w:rsid w:val="00E05353"/>
    <w:rsid w:val="00E05375"/>
    <w:rsid w:val="00E05813"/>
    <w:rsid w:val="00E07562"/>
    <w:rsid w:val="00E077D4"/>
    <w:rsid w:val="00E07B4F"/>
    <w:rsid w:val="00E10049"/>
    <w:rsid w:val="00E105A9"/>
    <w:rsid w:val="00E10CCF"/>
    <w:rsid w:val="00E11501"/>
    <w:rsid w:val="00E1186F"/>
    <w:rsid w:val="00E11CA9"/>
    <w:rsid w:val="00E12021"/>
    <w:rsid w:val="00E12382"/>
    <w:rsid w:val="00E12C10"/>
    <w:rsid w:val="00E12CF0"/>
    <w:rsid w:val="00E13193"/>
    <w:rsid w:val="00E13749"/>
    <w:rsid w:val="00E13A7A"/>
    <w:rsid w:val="00E13B77"/>
    <w:rsid w:val="00E13F00"/>
    <w:rsid w:val="00E14EEF"/>
    <w:rsid w:val="00E163BA"/>
    <w:rsid w:val="00E16A7B"/>
    <w:rsid w:val="00E16AD6"/>
    <w:rsid w:val="00E16D49"/>
    <w:rsid w:val="00E1711B"/>
    <w:rsid w:val="00E178C7"/>
    <w:rsid w:val="00E20A14"/>
    <w:rsid w:val="00E211F6"/>
    <w:rsid w:val="00E21494"/>
    <w:rsid w:val="00E21E60"/>
    <w:rsid w:val="00E22D12"/>
    <w:rsid w:val="00E2306E"/>
    <w:rsid w:val="00E2357A"/>
    <w:rsid w:val="00E24AB0"/>
    <w:rsid w:val="00E2542A"/>
    <w:rsid w:val="00E265FC"/>
    <w:rsid w:val="00E271DF"/>
    <w:rsid w:val="00E2761E"/>
    <w:rsid w:val="00E306B7"/>
    <w:rsid w:val="00E30AA7"/>
    <w:rsid w:val="00E30F51"/>
    <w:rsid w:val="00E31AD0"/>
    <w:rsid w:val="00E31F5D"/>
    <w:rsid w:val="00E335B2"/>
    <w:rsid w:val="00E33B42"/>
    <w:rsid w:val="00E33F3C"/>
    <w:rsid w:val="00E34062"/>
    <w:rsid w:val="00E34C86"/>
    <w:rsid w:val="00E361F6"/>
    <w:rsid w:val="00E371EF"/>
    <w:rsid w:val="00E376B2"/>
    <w:rsid w:val="00E37FEE"/>
    <w:rsid w:val="00E40A7D"/>
    <w:rsid w:val="00E4173D"/>
    <w:rsid w:val="00E42495"/>
    <w:rsid w:val="00E42B27"/>
    <w:rsid w:val="00E4303D"/>
    <w:rsid w:val="00E437A8"/>
    <w:rsid w:val="00E437DF"/>
    <w:rsid w:val="00E45312"/>
    <w:rsid w:val="00E45E5B"/>
    <w:rsid w:val="00E46C42"/>
    <w:rsid w:val="00E4719C"/>
    <w:rsid w:val="00E47909"/>
    <w:rsid w:val="00E47EEE"/>
    <w:rsid w:val="00E5009F"/>
    <w:rsid w:val="00E504D8"/>
    <w:rsid w:val="00E50F67"/>
    <w:rsid w:val="00E51102"/>
    <w:rsid w:val="00E52332"/>
    <w:rsid w:val="00E536CD"/>
    <w:rsid w:val="00E541DC"/>
    <w:rsid w:val="00E55050"/>
    <w:rsid w:val="00E5538B"/>
    <w:rsid w:val="00E55B4F"/>
    <w:rsid w:val="00E55C85"/>
    <w:rsid w:val="00E55E5C"/>
    <w:rsid w:val="00E56901"/>
    <w:rsid w:val="00E56A04"/>
    <w:rsid w:val="00E57C77"/>
    <w:rsid w:val="00E61076"/>
    <w:rsid w:val="00E61F66"/>
    <w:rsid w:val="00E62913"/>
    <w:rsid w:val="00E629F4"/>
    <w:rsid w:val="00E64BA2"/>
    <w:rsid w:val="00E6684E"/>
    <w:rsid w:val="00E6689D"/>
    <w:rsid w:val="00E66D03"/>
    <w:rsid w:val="00E67DFC"/>
    <w:rsid w:val="00E710CC"/>
    <w:rsid w:val="00E71818"/>
    <w:rsid w:val="00E7291E"/>
    <w:rsid w:val="00E72E7D"/>
    <w:rsid w:val="00E74846"/>
    <w:rsid w:val="00E74B2E"/>
    <w:rsid w:val="00E74C5B"/>
    <w:rsid w:val="00E758A0"/>
    <w:rsid w:val="00E7670D"/>
    <w:rsid w:val="00E77555"/>
    <w:rsid w:val="00E7795A"/>
    <w:rsid w:val="00E77A48"/>
    <w:rsid w:val="00E77D3F"/>
    <w:rsid w:val="00E80482"/>
    <w:rsid w:val="00E8111B"/>
    <w:rsid w:val="00E81268"/>
    <w:rsid w:val="00E81703"/>
    <w:rsid w:val="00E817C8"/>
    <w:rsid w:val="00E81E86"/>
    <w:rsid w:val="00E824C2"/>
    <w:rsid w:val="00E82B56"/>
    <w:rsid w:val="00E83B00"/>
    <w:rsid w:val="00E83F52"/>
    <w:rsid w:val="00E83F6A"/>
    <w:rsid w:val="00E841D1"/>
    <w:rsid w:val="00E8448E"/>
    <w:rsid w:val="00E845E1"/>
    <w:rsid w:val="00E8564B"/>
    <w:rsid w:val="00E856A7"/>
    <w:rsid w:val="00E85B54"/>
    <w:rsid w:val="00E85D35"/>
    <w:rsid w:val="00E85EB4"/>
    <w:rsid w:val="00E862C6"/>
    <w:rsid w:val="00E870C4"/>
    <w:rsid w:val="00E875A1"/>
    <w:rsid w:val="00E87734"/>
    <w:rsid w:val="00E900E0"/>
    <w:rsid w:val="00E90174"/>
    <w:rsid w:val="00E90FBF"/>
    <w:rsid w:val="00E9181A"/>
    <w:rsid w:val="00E91D9F"/>
    <w:rsid w:val="00E92C45"/>
    <w:rsid w:val="00E92EF9"/>
    <w:rsid w:val="00E93CB7"/>
    <w:rsid w:val="00E945AA"/>
    <w:rsid w:val="00E94A9D"/>
    <w:rsid w:val="00E94FE1"/>
    <w:rsid w:val="00E9501B"/>
    <w:rsid w:val="00E9548A"/>
    <w:rsid w:val="00E95595"/>
    <w:rsid w:val="00E958EB"/>
    <w:rsid w:val="00E95C4A"/>
    <w:rsid w:val="00E95F0E"/>
    <w:rsid w:val="00E95F50"/>
    <w:rsid w:val="00E96B44"/>
    <w:rsid w:val="00E9707F"/>
    <w:rsid w:val="00E9715C"/>
    <w:rsid w:val="00E972CE"/>
    <w:rsid w:val="00E97C54"/>
    <w:rsid w:val="00E97E31"/>
    <w:rsid w:val="00EA0238"/>
    <w:rsid w:val="00EA11D1"/>
    <w:rsid w:val="00EA2309"/>
    <w:rsid w:val="00EA2C4D"/>
    <w:rsid w:val="00EA2E00"/>
    <w:rsid w:val="00EA3103"/>
    <w:rsid w:val="00EA3736"/>
    <w:rsid w:val="00EA40EB"/>
    <w:rsid w:val="00EA5409"/>
    <w:rsid w:val="00EA5924"/>
    <w:rsid w:val="00EA656C"/>
    <w:rsid w:val="00EA7F29"/>
    <w:rsid w:val="00EB054A"/>
    <w:rsid w:val="00EB0791"/>
    <w:rsid w:val="00EB08B4"/>
    <w:rsid w:val="00EB1A5A"/>
    <w:rsid w:val="00EB1AFB"/>
    <w:rsid w:val="00EB1ECE"/>
    <w:rsid w:val="00EB2961"/>
    <w:rsid w:val="00EB2DDE"/>
    <w:rsid w:val="00EB33A0"/>
    <w:rsid w:val="00EB3922"/>
    <w:rsid w:val="00EB4858"/>
    <w:rsid w:val="00EB4BC1"/>
    <w:rsid w:val="00EB5640"/>
    <w:rsid w:val="00EB5911"/>
    <w:rsid w:val="00EB5AB1"/>
    <w:rsid w:val="00EB5D04"/>
    <w:rsid w:val="00EB629D"/>
    <w:rsid w:val="00EB6403"/>
    <w:rsid w:val="00EB679A"/>
    <w:rsid w:val="00EB6B81"/>
    <w:rsid w:val="00EC147F"/>
    <w:rsid w:val="00EC2028"/>
    <w:rsid w:val="00EC22A3"/>
    <w:rsid w:val="00EC3E60"/>
    <w:rsid w:val="00EC4C84"/>
    <w:rsid w:val="00EC5B45"/>
    <w:rsid w:val="00EC5BF0"/>
    <w:rsid w:val="00EC64C8"/>
    <w:rsid w:val="00EC652C"/>
    <w:rsid w:val="00EC67C8"/>
    <w:rsid w:val="00EC6ABE"/>
    <w:rsid w:val="00EC7BFD"/>
    <w:rsid w:val="00EC7C3F"/>
    <w:rsid w:val="00EC7E71"/>
    <w:rsid w:val="00ED04C5"/>
    <w:rsid w:val="00ED118A"/>
    <w:rsid w:val="00ED124A"/>
    <w:rsid w:val="00ED19B9"/>
    <w:rsid w:val="00ED2D6D"/>
    <w:rsid w:val="00ED313A"/>
    <w:rsid w:val="00ED3D72"/>
    <w:rsid w:val="00ED5808"/>
    <w:rsid w:val="00ED58AA"/>
    <w:rsid w:val="00ED66EC"/>
    <w:rsid w:val="00EE0677"/>
    <w:rsid w:val="00EE09C8"/>
    <w:rsid w:val="00EE0DED"/>
    <w:rsid w:val="00EE2692"/>
    <w:rsid w:val="00EE355D"/>
    <w:rsid w:val="00EE3635"/>
    <w:rsid w:val="00EE39FB"/>
    <w:rsid w:val="00EE3C72"/>
    <w:rsid w:val="00EE49B4"/>
    <w:rsid w:val="00EE537E"/>
    <w:rsid w:val="00EE5E4B"/>
    <w:rsid w:val="00EE60F8"/>
    <w:rsid w:val="00EE7B6D"/>
    <w:rsid w:val="00EF156D"/>
    <w:rsid w:val="00EF1FF1"/>
    <w:rsid w:val="00EF2051"/>
    <w:rsid w:val="00EF24DB"/>
    <w:rsid w:val="00EF3465"/>
    <w:rsid w:val="00EF3AB3"/>
    <w:rsid w:val="00EF3D08"/>
    <w:rsid w:val="00EF48AC"/>
    <w:rsid w:val="00EF4C06"/>
    <w:rsid w:val="00EF4C36"/>
    <w:rsid w:val="00EF5607"/>
    <w:rsid w:val="00EF586B"/>
    <w:rsid w:val="00EF6202"/>
    <w:rsid w:val="00EF6ADD"/>
    <w:rsid w:val="00EF7C9F"/>
    <w:rsid w:val="00F0027C"/>
    <w:rsid w:val="00F00D53"/>
    <w:rsid w:val="00F0161B"/>
    <w:rsid w:val="00F01843"/>
    <w:rsid w:val="00F04083"/>
    <w:rsid w:val="00F0423C"/>
    <w:rsid w:val="00F04D99"/>
    <w:rsid w:val="00F0591D"/>
    <w:rsid w:val="00F059AF"/>
    <w:rsid w:val="00F06218"/>
    <w:rsid w:val="00F0646E"/>
    <w:rsid w:val="00F064F7"/>
    <w:rsid w:val="00F06772"/>
    <w:rsid w:val="00F06BD8"/>
    <w:rsid w:val="00F06E03"/>
    <w:rsid w:val="00F078F5"/>
    <w:rsid w:val="00F07D10"/>
    <w:rsid w:val="00F100A7"/>
    <w:rsid w:val="00F1054E"/>
    <w:rsid w:val="00F124DF"/>
    <w:rsid w:val="00F124F1"/>
    <w:rsid w:val="00F12759"/>
    <w:rsid w:val="00F12FB2"/>
    <w:rsid w:val="00F13A89"/>
    <w:rsid w:val="00F14CE9"/>
    <w:rsid w:val="00F14E45"/>
    <w:rsid w:val="00F16083"/>
    <w:rsid w:val="00F16188"/>
    <w:rsid w:val="00F1640A"/>
    <w:rsid w:val="00F16781"/>
    <w:rsid w:val="00F16856"/>
    <w:rsid w:val="00F16A5D"/>
    <w:rsid w:val="00F16FAE"/>
    <w:rsid w:val="00F17436"/>
    <w:rsid w:val="00F17473"/>
    <w:rsid w:val="00F17A0A"/>
    <w:rsid w:val="00F21591"/>
    <w:rsid w:val="00F21C33"/>
    <w:rsid w:val="00F235AD"/>
    <w:rsid w:val="00F23EA4"/>
    <w:rsid w:val="00F250F0"/>
    <w:rsid w:val="00F25533"/>
    <w:rsid w:val="00F26627"/>
    <w:rsid w:val="00F2681F"/>
    <w:rsid w:val="00F26838"/>
    <w:rsid w:val="00F26854"/>
    <w:rsid w:val="00F26CF3"/>
    <w:rsid w:val="00F27766"/>
    <w:rsid w:val="00F27DF4"/>
    <w:rsid w:val="00F30F2B"/>
    <w:rsid w:val="00F313C3"/>
    <w:rsid w:val="00F3181E"/>
    <w:rsid w:val="00F319B8"/>
    <w:rsid w:val="00F31DB5"/>
    <w:rsid w:val="00F31F42"/>
    <w:rsid w:val="00F320F2"/>
    <w:rsid w:val="00F3229A"/>
    <w:rsid w:val="00F32FD0"/>
    <w:rsid w:val="00F33954"/>
    <w:rsid w:val="00F33DCE"/>
    <w:rsid w:val="00F34198"/>
    <w:rsid w:val="00F34A69"/>
    <w:rsid w:val="00F34AF1"/>
    <w:rsid w:val="00F357BF"/>
    <w:rsid w:val="00F35975"/>
    <w:rsid w:val="00F361AD"/>
    <w:rsid w:val="00F3635C"/>
    <w:rsid w:val="00F36A88"/>
    <w:rsid w:val="00F36C8E"/>
    <w:rsid w:val="00F377A7"/>
    <w:rsid w:val="00F3781B"/>
    <w:rsid w:val="00F400E9"/>
    <w:rsid w:val="00F407E3"/>
    <w:rsid w:val="00F411CC"/>
    <w:rsid w:val="00F41DD3"/>
    <w:rsid w:val="00F424BD"/>
    <w:rsid w:val="00F4348C"/>
    <w:rsid w:val="00F434B6"/>
    <w:rsid w:val="00F434B7"/>
    <w:rsid w:val="00F444BE"/>
    <w:rsid w:val="00F447C8"/>
    <w:rsid w:val="00F44D20"/>
    <w:rsid w:val="00F4500D"/>
    <w:rsid w:val="00F46117"/>
    <w:rsid w:val="00F467D5"/>
    <w:rsid w:val="00F47869"/>
    <w:rsid w:val="00F47C25"/>
    <w:rsid w:val="00F50246"/>
    <w:rsid w:val="00F50782"/>
    <w:rsid w:val="00F51423"/>
    <w:rsid w:val="00F51619"/>
    <w:rsid w:val="00F51F63"/>
    <w:rsid w:val="00F52AD4"/>
    <w:rsid w:val="00F53333"/>
    <w:rsid w:val="00F53789"/>
    <w:rsid w:val="00F539FF"/>
    <w:rsid w:val="00F53E6A"/>
    <w:rsid w:val="00F5462B"/>
    <w:rsid w:val="00F5524A"/>
    <w:rsid w:val="00F60A50"/>
    <w:rsid w:val="00F60FF2"/>
    <w:rsid w:val="00F61356"/>
    <w:rsid w:val="00F6145A"/>
    <w:rsid w:val="00F61BC6"/>
    <w:rsid w:val="00F61D90"/>
    <w:rsid w:val="00F62424"/>
    <w:rsid w:val="00F624C4"/>
    <w:rsid w:val="00F63445"/>
    <w:rsid w:val="00F641B7"/>
    <w:rsid w:val="00F654B6"/>
    <w:rsid w:val="00F6693C"/>
    <w:rsid w:val="00F67C77"/>
    <w:rsid w:val="00F70187"/>
    <w:rsid w:val="00F706D2"/>
    <w:rsid w:val="00F71767"/>
    <w:rsid w:val="00F71821"/>
    <w:rsid w:val="00F725CD"/>
    <w:rsid w:val="00F73E4B"/>
    <w:rsid w:val="00F74D2C"/>
    <w:rsid w:val="00F74E37"/>
    <w:rsid w:val="00F755A8"/>
    <w:rsid w:val="00F75964"/>
    <w:rsid w:val="00F75E25"/>
    <w:rsid w:val="00F7679D"/>
    <w:rsid w:val="00F7727F"/>
    <w:rsid w:val="00F80B6F"/>
    <w:rsid w:val="00F80F4C"/>
    <w:rsid w:val="00F8140B"/>
    <w:rsid w:val="00F818DD"/>
    <w:rsid w:val="00F81F3D"/>
    <w:rsid w:val="00F8234E"/>
    <w:rsid w:val="00F83450"/>
    <w:rsid w:val="00F83945"/>
    <w:rsid w:val="00F83CB6"/>
    <w:rsid w:val="00F84A40"/>
    <w:rsid w:val="00F85473"/>
    <w:rsid w:val="00F85995"/>
    <w:rsid w:val="00F85B3C"/>
    <w:rsid w:val="00F85E39"/>
    <w:rsid w:val="00F86A20"/>
    <w:rsid w:val="00F86C5A"/>
    <w:rsid w:val="00F86ED2"/>
    <w:rsid w:val="00F87485"/>
    <w:rsid w:val="00F90AB5"/>
    <w:rsid w:val="00F90B3E"/>
    <w:rsid w:val="00F91241"/>
    <w:rsid w:val="00F916A3"/>
    <w:rsid w:val="00F91A3C"/>
    <w:rsid w:val="00F922E2"/>
    <w:rsid w:val="00F92BC7"/>
    <w:rsid w:val="00F936AC"/>
    <w:rsid w:val="00F93E25"/>
    <w:rsid w:val="00F95149"/>
    <w:rsid w:val="00F956C9"/>
    <w:rsid w:val="00F97617"/>
    <w:rsid w:val="00FA0B56"/>
    <w:rsid w:val="00FA0BA1"/>
    <w:rsid w:val="00FA0C02"/>
    <w:rsid w:val="00FA152D"/>
    <w:rsid w:val="00FA1614"/>
    <w:rsid w:val="00FA1CAB"/>
    <w:rsid w:val="00FA2C40"/>
    <w:rsid w:val="00FA40A3"/>
    <w:rsid w:val="00FA4195"/>
    <w:rsid w:val="00FA4E4E"/>
    <w:rsid w:val="00FA50D9"/>
    <w:rsid w:val="00FA55F6"/>
    <w:rsid w:val="00FA5772"/>
    <w:rsid w:val="00FA5D7D"/>
    <w:rsid w:val="00FA61F8"/>
    <w:rsid w:val="00FA650E"/>
    <w:rsid w:val="00FA6C49"/>
    <w:rsid w:val="00FA77BC"/>
    <w:rsid w:val="00FA7CF3"/>
    <w:rsid w:val="00FB031D"/>
    <w:rsid w:val="00FB059A"/>
    <w:rsid w:val="00FB0C79"/>
    <w:rsid w:val="00FB114D"/>
    <w:rsid w:val="00FB1B29"/>
    <w:rsid w:val="00FB2FE7"/>
    <w:rsid w:val="00FB3385"/>
    <w:rsid w:val="00FB3D49"/>
    <w:rsid w:val="00FB63D8"/>
    <w:rsid w:val="00FB6DE4"/>
    <w:rsid w:val="00FB6E3F"/>
    <w:rsid w:val="00FB71A7"/>
    <w:rsid w:val="00FB75C1"/>
    <w:rsid w:val="00FC053C"/>
    <w:rsid w:val="00FC0670"/>
    <w:rsid w:val="00FC0B55"/>
    <w:rsid w:val="00FC0B6E"/>
    <w:rsid w:val="00FC1447"/>
    <w:rsid w:val="00FC165B"/>
    <w:rsid w:val="00FC1B03"/>
    <w:rsid w:val="00FC1D6B"/>
    <w:rsid w:val="00FC1FB0"/>
    <w:rsid w:val="00FC2410"/>
    <w:rsid w:val="00FC26B0"/>
    <w:rsid w:val="00FC2D2F"/>
    <w:rsid w:val="00FC3157"/>
    <w:rsid w:val="00FC321C"/>
    <w:rsid w:val="00FC38E2"/>
    <w:rsid w:val="00FC3C13"/>
    <w:rsid w:val="00FC485F"/>
    <w:rsid w:val="00FC4FC6"/>
    <w:rsid w:val="00FC553C"/>
    <w:rsid w:val="00FC584B"/>
    <w:rsid w:val="00FC5F71"/>
    <w:rsid w:val="00FC602C"/>
    <w:rsid w:val="00FC60C8"/>
    <w:rsid w:val="00FC70ED"/>
    <w:rsid w:val="00FC7855"/>
    <w:rsid w:val="00FC7F18"/>
    <w:rsid w:val="00FD08D9"/>
    <w:rsid w:val="00FD0B28"/>
    <w:rsid w:val="00FD21AE"/>
    <w:rsid w:val="00FD26AE"/>
    <w:rsid w:val="00FD350B"/>
    <w:rsid w:val="00FD37F5"/>
    <w:rsid w:val="00FD3FB0"/>
    <w:rsid w:val="00FD4213"/>
    <w:rsid w:val="00FD421D"/>
    <w:rsid w:val="00FD45D4"/>
    <w:rsid w:val="00FD4671"/>
    <w:rsid w:val="00FD4F53"/>
    <w:rsid w:val="00FD5C02"/>
    <w:rsid w:val="00FD5F86"/>
    <w:rsid w:val="00FD7B7D"/>
    <w:rsid w:val="00FD7FAA"/>
    <w:rsid w:val="00FE0E97"/>
    <w:rsid w:val="00FE1956"/>
    <w:rsid w:val="00FE1A33"/>
    <w:rsid w:val="00FE1AF1"/>
    <w:rsid w:val="00FE1EC6"/>
    <w:rsid w:val="00FE20A8"/>
    <w:rsid w:val="00FE218A"/>
    <w:rsid w:val="00FE2331"/>
    <w:rsid w:val="00FE26B9"/>
    <w:rsid w:val="00FE2C20"/>
    <w:rsid w:val="00FE3231"/>
    <w:rsid w:val="00FE3382"/>
    <w:rsid w:val="00FE349E"/>
    <w:rsid w:val="00FE3867"/>
    <w:rsid w:val="00FE4334"/>
    <w:rsid w:val="00FE4700"/>
    <w:rsid w:val="00FE4B8B"/>
    <w:rsid w:val="00FE5701"/>
    <w:rsid w:val="00FE58DE"/>
    <w:rsid w:val="00FE5EC2"/>
    <w:rsid w:val="00FE644E"/>
    <w:rsid w:val="00FE6E64"/>
    <w:rsid w:val="00FE7491"/>
    <w:rsid w:val="00FE7B52"/>
    <w:rsid w:val="00FE7EC2"/>
    <w:rsid w:val="00FF10FD"/>
    <w:rsid w:val="00FF241C"/>
    <w:rsid w:val="00FF2521"/>
    <w:rsid w:val="00FF2D13"/>
    <w:rsid w:val="00FF3C98"/>
    <w:rsid w:val="00FF43E2"/>
    <w:rsid w:val="00FF4460"/>
    <w:rsid w:val="00FF4FC8"/>
    <w:rsid w:val="00FF55C3"/>
    <w:rsid w:val="2998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E9285"/>
  <w15:chartTrackingRefBased/>
  <w15:docId w15:val="{D91CC926-AE07-4380-99FF-16B718B0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AB29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uiPriority w:val="99"/>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21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InfoBold">
    <w:name w:val="paper Info Bold"/>
    <w:basedOn w:val="Normal"/>
    <w:autoRedefine/>
    <w:rsid w:val="00D66B24"/>
    <w:pPr>
      <w:tabs>
        <w:tab w:val="left" w:pos="113"/>
      </w:tabs>
      <w:autoSpaceDE w:val="0"/>
      <w:autoSpaceDN w:val="0"/>
      <w:adjustRightInd w:val="0"/>
    </w:pPr>
    <w:rPr>
      <w:b/>
      <w:bCs/>
      <w:color w:val="000000"/>
      <w:sz w:val="22"/>
    </w:rPr>
  </w:style>
  <w:style w:type="character" w:styleId="CommentReference">
    <w:name w:val="annotation reference"/>
    <w:rsid w:val="0028236E"/>
    <w:rPr>
      <w:sz w:val="16"/>
      <w:szCs w:val="16"/>
    </w:rPr>
  </w:style>
  <w:style w:type="paragraph" w:styleId="CommentText">
    <w:name w:val="annotation text"/>
    <w:basedOn w:val="Normal"/>
    <w:link w:val="CommentTextChar"/>
    <w:rsid w:val="0028236E"/>
    <w:rPr>
      <w:sz w:val="20"/>
      <w:szCs w:val="20"/>
    </w:rPr>
  </w:style>
  <w:style w:type="character" w:customStyle="1" w:styleId="CommentTextChar">
    <w:name w:val="Comment Text Char"/>
    <w:link w:val="CommentText"/>
    <w:rsid w:val="0028236E"/>
    <w:rPr>
      <w:rFonts w:ascii="Arial" w:hAnsi="Arial" w:cs="Arial"/>
      <w:lang w:eastAsia="en-US"/>
    </w:rPr>
  </w:style>
  <w:style w:type="paragraph" w:styleId="CommentSubject">
    <w:name w:val="annotation subject"/>
    <w:basedOn w:val="CommentText"/>
    <w:next w:val="CommentText"/>
    <w:link w:val="CommentSubjectChar"/>
    <w:rsid w:val="0028236E"/>
    <w:rPr>
      <w:b/>
      <w:bCs/>
    </w:rPr>
  </w:style>
  <w:style w:type="character" w:customStyle="1" w:styleId="CommentSubjectChar">
    <w:name w:val="Comment Subject Char"/>
    <w:link w:val="CommentSubject"/>
    <w:rsid w:val="0028236E"/>
    <w:rPr>
      <w:rFonts w:ascii="Arial" w:hAnsi="Arial" w:cs="Arial"/>
      <w:b/>
      <w:bCs/>
      <w:lang w:eastAsia="en-US"/>
    </w:rPr>
  </w:style>
  <w:style w:type="paragraph" w:styleId="Revision">
    <w:name w:val="Revision"/>
    <w:hidden/>
    <w:uiPriority w:val="99"/>
    <w:semiHidden/>
    <w:rsid w:val="0028236E"/>
    <w:rPr>
      <w:rFonts w:ascii="Arial" w:hAnsi="Arial" w:cs="Arial"/>
      <w:sz w:val="24"/>
      <w:szCs w:val="24"/>
      <w:lang w:eastAsia="en-US"/>
    </w:rPr>
  </w:style>
  <w:style w:type="character" w:customStyle="1" w:styleId="HeaderChar">
    <w:name w:val="Header Char"/>
    <w:link w:val="Header"/>
    <w:rsid w:val="00AA14A4"/>
    <w:rPr>
      <w:rFonts w:ascii="Arial" w:hAnsi="Arial" w:cs="Arial"/>
      <w:sz w:val="24"/>
      <w:szCs w:val="24"/>
      <w:lang w:eastAsia="en-US"/>
    </w:rPr>
  </w:style>
  <w:style w:type="paragraph" w:customStyle="1" w:styleId="Default">
    <w:name w:val="Default"/>
    <w:rsid w:val="00DF0C6D"/>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454A75"/>
    <w:rPr>
      <w:color w:val="605E5C"/>
      <w:shd w:val="clear" w:color="auto" w:fill="E1DFDD"/>
    </w:rPr>
  </w:style>
  <w:style w:type="character" w:customStyle="1" w:styleId="Heading1Char">
    <w:name w:val="Heading 1 Char"/>
    <w:basedOn w:val="DefaultParagraphFont"/>
    <w:link w:val="Heading1"/>
    <w:rsid w:val="00AB294D"/>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AB294D"/>
    <w:pPr>
      <w:spacing w:line="259" w:lineRule="auto"/>
      <w:outlineLvl w:val="9"/>
    </w:pPr>
    <w:rPr>
      <w:lang w:val="en-US"/>
    </w:rPr>
  </w:style>
  <w:style w:type="paragraph" w:styleId="TOC1">
    <w:name w:val="toc 1"/>
    <w:basedOn w:val="Normal"/>
    <w:next w:val="Normal"/>
    <w:autoRedefine/>
    <w:uiPriority w:val="39"/>
    <w:rsid w:val="007829D3"/>
    <w:pPr>
      <w:tabs>
        <w:tab w:val="left" w:pos="440"/>
        <w:tab w:val="right" w:leader="dot" w:pos="9486"/>
      </w:tabs>
      <w:spacing w:after="100"/>
    </w:pPr>
  </w:style>
  <w:style w:type="character" w:customStyle="1" w:styleId="FooterChar">
    <w:name w:val="Footer Char"/>
    <w:basedOn w:val="DefaultParagraphFont"/>
    <w:link w:val="Footer"/>
    <w:uiPriority w:val="99"/>
    <w:rsid w:val="00EF2051"/>
    <w:rPr>
      <w:rFonts w:ascii="Arial" w:hAnsi="Arial" w:cs="Arial"/>
      <w:sz w:val="24"/>
      <w:szCs w:val="24"/>
      <w:lang w:eastAsia="en-US"/>
    </w:rPr>
  </w:style>
  <w:style w:type="paragraph" w:customStyle="1" w:styleId="pf0">
    <w:name w:val="pf0"/>
    <w:basedOn w:val="Normal"/>
    <w:rsid w:val="007A1D30"/>
    <w:pPr>
      <w:spacing w:before="100" w:beforeAutospacing="1" w:after="100" w:afterAutospacing="1"/>
    </w:pPr>
    <w:rPr>
      <w:rFonts w:ascii="Times New Roman" w:hAnsi="Times New Roman" w:cs="Times New Roman"/>
      <w:lang w:eastAsia="en-GB"/>
    </w:rPr>
  </w:style>
  <w:style w:type="character" w:customStyle="1" w:styleId="cf01">
    <w:name w:val="cf01"/>
    <w:basedOn w:val="DefaultParagraphFont"/>
    <w:rsid w:val="007A1D30"/>
    <w:rPr>
      <w:rFonts w:ascii="Segoe UI" w:hAnsi="Segoe UI" w:cs="Segoe UI" w:hint="default"/>
      <w:sz w:val="18"/>
      <w:szCs w:val="18"/>
    </w:rPr>
  </w:style>
  <w:style w:type="character" w:styleId="Mention">
    <w:name w:val="Mention"/>
    <w:basedOn w:val="DefaultParagraphFont"/>
    <w:uiPriority w:val="99"/>
    <w:unhideWhenUsed/>
    <w:rsid w:val="00895738"/>
    <w:rPr>
      <w:color w:val="2B579A"/>
      <w:shd w:val="clear" w:color="auto" w:fill="E1DFDD"/>
    </w:rPr>
  </w:style>
  <w:style w:type="character" w:styleId="FollowedHyperlink">
    <w:name w:val="FollowedHyperlink"/>
    <w:basedOn w:val="DefaultParagraphFont"/>
    <w:rsid w:val="00546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51700">
      <w:bodyDiv w:val="1"/>
      <w:marLeft w:val="0"/>
      <w:marRight w:val="0"/>
      <w:marTop w:val="0"/>
      <w:marBottom w:val="0"/>
      <w:divBdr>
        <w:top w:val="none" w:sz="0" w:space="0" w:color="auto"/>
        <w:left w:val="none" w:sz="0" w:space="0" w:color="auto"/>
        <w:bottom w:val="none" w:sz="0" w:space="0" w:color="auto"/>
        <w:right w:val="none" w:sz="0" w:space="0" w:color="auto"/>
      </w:divBdr>
    </w:div>
    <w:div w:id="393821235">
      <w:bodyDiv w:val="1"/>
      <w:marLeft w:val="0"/>
      <w:marRight w:val="0"/>
      <w:marTop w:val="0"/>
      <w:marBottom w:val="0"/>
      <w:divBdr>
        <w:top w:val="none" w:sz="0" w:space="0" w:color="auto"/>
        <w:left w:val="none" w:sz="0" w:space="0" w:color="auto"/>
        <w:bottom w:val="none" w:sz="0" w:space="0" w:color="auto"/>
        <w:right w:val="none" w:sz="0" w:space="0" w:color="auto"/>
      </w:divBdr>
    </w:div>
    <w:div w:id="418452814">
      <w:bodyDiv w:val="1"/>
      <w:marLeft w:val="0"/>
      <w:marRight w:val="0"/>
      <w:marTop w:val="0"/>
      <w:marBottom w:val="0"/>
      <w:divBdr>
        <w:top w:val="none" w:sz="0" w:space="0" w:color="auto"/>
        <w:left w:val="none" w:sz="0" w:space="0" w:color="auto"/>
        <w:bottom w:val="none" w:sz="0" w:space="0" w:color="auto"/>
        <w:right w:val="none" w:sz="0" w:space="0" w:color="auto"/>
      </w:divBdr>
    </w:div>
    <w:div w:id="509880510">
      <w:bodyDiv w:val="1"/>
      <w:marLeft w:val="0"/>
      <w:marRight w:val="0"/>
      <w:marTop w:val="0"/>
      <w:marBottom w:val="0"/>
      <w:divBdr>
        <w:top w:val="none" w:sz="0" w:space="0" w:color="auto"/>
        <w:left w:val="none" w:sz="0" w:space="0" w:color="auto"/>
        <w:bottom w:val="none" w:sz="0" w:space="0" w:color="auto"/>
        <w:right w:val="none" w:sz="0" w:space="0" w:color="auto"/>
      </w:divBdr>
    </w:div>
    <w:div w:id="511071824">
      <w:bodyDiv w:val="1"/>
      <w:marLeft w:val="0"/>
      <w:marRight w:val="0"/>
      <w:marTop w:val="0"/>
      <w:marBottom w:val="0"/>
      <w:divBdr>
        <w:top w:val="none" w:sz="0" w:space="0" w:color="auto"/>
        <w:left w:val="none" w:sz="0" w:space="0" w:color="auto"/>
        <w:bottom w:val="none" w:sz="0" w:space="0" w:color="auto"/>
        <w:right w:val="none" w:sz="0" w:space="0" w:color="auto"/>
      </w:divBdr>
    </w:div>
    <w:div w:id="642584635">
      <w:bodyDiv w:val="1"/>
      <w:marLeft w:val="0"/>
      <w:marRight w:val="0"/>
      <w:marTop w:val="0"/>
      <w:marBottom w:val="0"/>
      <w:divBdr>
        <w:top w:val="none" w:sz="0" w:space="0" w:color="auto"/>
        <w:left w:val="none" w:sz="0" w:space="0" w:color="auto"/>
        <w:bottom w:val="none" w:sz="0" w:space="0" w:color="auto"/>
        <w:right w:val="none" w:sz="0" w:space="0" w:color="auto"/>
      </w:divBdr>
    </w:div>
    <w:div w:id="881552084">
      <w:bodyDiv w:val="1"/>
      <w:marLeft w:val="0"/>
      <w:marRight w:val="0"/>
      <w:marTop w:val="0"/>
      <w:marBottom w:val="0"/>
      <w:divBdr>
        <w:top w:val="none" w:sz="0" w:space="0" w:color="auto"/>
        <w:left w:val="none" w:sz="0" w:space="0" w:color="auto"/>
        <w:bottom w:val="none" w:sz="0" w:space="0" w:color="auto"/>
        <w:right w:val="none" w:sz="0" w:space="0" w:color="auto"/>
      </w:divBdr>
    </w:div>
    <w:div w:id="992684183">
      <w:bodyDiv w:val="1"/>
      <w:marLeft w:val="0"/>
      <w:marRight w:val="0"/>
      <w:marTop w:val="0"/>
      <w:marBottom w:val="0"/>
      <w:divBdr>
        <w:top w:val="none" w:sz="0" w:space="0" w:color="auto"/>
        <w:left w:val="none" w:sz="0" w:space="0" w:color="auto"/>
        <w:bottom w:val="none" w:sz="0" w:space="0" w:color="auto"/>
        <w:right w:val="none" w:sz="0" w:space="0" w:color="auto"/>
      </w:divBdr>
    </w:div>
    <w:div w:id="1066682130">
      <w:bodyDiv w:val="1"/>
      <w:marLeft w:val="0"/>
      <w:marRight w:val="0"/>
      <w:marTop w:val="0"/>
      <w:marBottom w:val="0"/>
      <w:divBdr>
        <w:top w:val="none" w:sz="0" w:space="0" w:color="auto"/>
        <w:left w:val="none" w:sz="0" w:space="0" w:color="auto"/>
        <w:bottom w:val="none" w:sz="0" w:space="0" w:color="auto"/>
        <w:right w:val="none" w:sz="0" w:space="0" w:color="auto"/>
      </w:divBdr>
    </w:div>
    <w:div w:id="1088311115">
      <w:bodyDiv w:val="1"/>
      <w:marLeft w:val="0"/>
      <w:marRight w:val="0"/>
      <w:marTop w:val="0"/>
      <w:marBottom w:val="0"/>
      <w:divBdr>
        <w:top w:val="none" w:sz="0" w:space="0" w:color="auto"/>
        <w:left w:val="none" w:sz="0" w:space="0" w:color="auto"/>
        <w:bottom w:val="none" w:sz="0" w:space="0" w:color="auto"/>
        <w:right w:val="none" w:sz="0" w:space="0" w:color="auto"/>
      </w:divBdr>
    </w:div>
    <w:div w:id="1204249495">
      <w:bodyDiv w:val="1"/>
      <w:marLeft w:val="0"/>
      <w:marRight w:val="0"/>
      <w:marTop w:val="0"/>
      <w:marBottom w:val="0"/>
      <w:divBdr>
        <w:top w:val="none" w:sz="0" w:space="0" w:color="auto"/>
        <w:left w:val="none" w:sz="0" w:space="0" w:color="auto"/>
        <w:bottom w:val="none" w:sz="0" w:space="0" w:color="auto"/>
        <w:right w:val="none" w:sz="0" w:space="0" w:color="auto"/>
      </w:divBdr>
    </w:div>
    <w:div w:id="1335380848">
      <w:bodyDiv w:val="1"/>
      <w:marLeft w:val="0"/>
      <w:marRight w:val="0"/>
      <w:marTop w:val="0"/>
      <w:marBottom w:val="0"/>
      <w:divBdr>
        <w:top w:val="none" w:sz="0" w:space="0" w:color="auto"/>
        <w:left w:val="none" w:sz="0" w:space="0" w:color="auto"/>
        <w:bottom w:val="none" w:sz="0" w:space="0" w:color="auto"/>
        <w:right w:val="none" w:sz="0" w:space="0" w:color="auto"/>
      </w:divBdr>
    </w:div>
    <w:div w:id="1412121647">
      <w:bodyDiv w:val="1"/>
      <w:marLeft w:val="0"/>
      <w:marRight w:val="0"/>
      <w:marTop w:val="0"/>
      <w:marBottom w:val="0"/>
      <w:divBdr>
        <w:top w:val="none" w:sz="0" w:space="0" w:color="auto"/>
        <w:left w:val="none" w:sz="0" w:space="0" w:color="auto"/>
        <w:bottom w:val="none" w:sz="0" w:space="0" w:color="auto"/>
        <w:right w:val="none" w:sz="0" w:space="0" w:color="auto"/>
      </w:divBdr>
    </w:div>
    <w:div w:id="1493253573">
      <w:bodyDiv w:val="1"/>
      <w:marLeft w:val="0"/>
      <w:marRight w:val="0"/>
      <w:marTop w:val="0"/>
      <w:marBottom w:val="0"/>
      <w:divBdr>
        <w:top w:val="none" w:sz="0" w:space="0" w:color="auto"/>
        <w:left w:val="none" w:sz="0" w:space="0" w:color="auto"/>
        <w:bottom w:val="none" w:sz="0" w:space="0" w:color="auto"/>
        <w:right w:val="none" w:sz="0" w:space="0" w:color="auto"/>
      </w:divBdr>
    </w:div>
    <w:div w:id="1511791394">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583446005">
      <w:bodyDiv w:val="1"/>
      <w:marLeft w:val="0"/>
      <w:marRight w:val="0"/>
      <w:marTop w:val="0"/>
      <w:marBottom w:val="0"/>
      <w:divBdr>
        <w:top w:val="none" w:sz="0" w:space="0" w:color="auto"/>
        <w:left w:val="none" w:sz="0" w:space="0" w:color="auto"/>
        <w:bottom w:val="none" w:sz="0" w:space="0" w:color="auto"/>
        <w:right w:val="none" w:sz="0" w:space="0" w:color="auto"/>
      </w:divBdr>
    </w:div>
    <w:div w:id="1615090880">
      <w:bodyDiv w:val="1"/>
      <w:marLeft w:val="0"/>
      <w:marRight w:val="0"/>
      <w:marTop w:val="0"/>
      <w:marBottom w:val="0"/>
      <w:divBdr>
        <w:top w:val="none" w:sz="0" w:space="0" w:color="auto"/>
        <w:left w:val="none" w:sz="0" w:space="0" w:color="auto"/>
        <w:bottom w:val="none" w:sz="0" w:space="0" w:color="auto"/>
        <w:right w:val="none" w:sz="0" w:space="0" w:color="auto"/>
      </w:divBdr>
    </w:div>
    <w:div w:id="1680038958">
      <w:bodyDiv w:val="1"/>
      <w:marLeft w:val="0"/>
      <w:marRight w:val="0"/>
      <w:marTop w:val="0"/>
      <w:marBottom w:val="0"/>
      <w:divBdr>
        <w:top w:val="none" w:sz="0" w:space="0" w:color="auto"/>
        <w:left w:val="none" w:sz="0" w:space="0" w:color="auto"/>
        <w:bottom w:val="none" w:sz="0" w:space="0" w:color="auto"/>
        <w:right w:val="none" w:sz="0" w:space="0" w:color="auto"/>
      </w:divBdr>
    </w:div>
    <w:div w:id="1754357944">
      <w:bodyDiv w:val="1"/>
      <w:marLeft w:val="0"/>
      <w:marRight w:val="0"/>
      <w:marTop w:val="0"/>
      <w:marBottom w:val="0"/>
      <w:divBdr>
        <w:top w:val="none" w:sz="0" w:space="0" w:color="auto"/>
        <w:left w:val="none" w:sz="0" w:space="0" w:color="auto"/>
        <w:bottom w:val="none" w:sz="0" w:space="0" w:color="auto"/>
        <w:right w:val="none" w:sz="0" w:space="0" w:color="auto"/>
      </w:divBdr>
    </w:div>
    <w:div w:id="1969360196">
      <w:bodyDiv w:val="1"/>
      <w:marLeft w:val="0"/>
      <w:marRight w:val="0"/>
      <w:marTop w:val="0"/>
      <w:marBottom w:val="0"/>
      <w:divBdr>
        <w:top w:val="none" w:sz="0" w:space="0" w:color="auto"/>
        <w:left w:val="none" w:sz="0" w:space="0" w:color="auto"/>
        <w:bottom w:val="none" w:sz="0" w:space="0" w:color="auto"/>
        <w:right w:val="none" w:sz="0" w:space="0" w:color="auto"/>
      </w:divBdr>
    </w:div>
    <w:div w:id="20762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ssex-fire.gov.uk/sites/default/files/2023-05/Unaudited%20Statement%20of%20Accounts%202022-23.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0d0c61-922d-48b4-b62f-1ef0f8a428b6" xsi:nil="true"/>
    <_ip_UnifiedCompliancePolicyUIAction xmlns="http://schemas.microsoft.com/sharepoint/v3" xsi:nil="true"/>
    <_ip_UnifiedCompliancePolicyProperties xmlns="http://schemas.microsoft.com/sharepoint/v3" xsi:nil="true"/>
    <SharedWithUsers xmlns="33d1aacd-eed5-4181-a91e-0fde566d8e98">
      <UserInfo>
        <DisplayName>Beth Blackburn</DisplayName>
        <AccountId>18</AccountId>
        <AccountType/>
      </UserInfo>
      <UserInfo>
        <DisplayName>Callum Melville</DisplayName>
        <AccountId>24</AccountId>
        <AccountType/>
      </UserInfo>
      <UserInfo>
        <DisplayName>Neil Cross</DisplayName>
        <AccountId>19</AccountId>
        <AccountType/>
      </UserInfo>
    </SharedWithUsers>
    <lcf76f155ced4ddcb4097134ff3c332f xmlns="0045ecbb-72e5-4e23-8ce6-cfd22e2769e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37CDF28091F54ABBD6D52DBDB7409D" ma:contentTypeVersion="15" ma:contentTypeDescription="Create a new document." ma:contentTypeScope="" ma:versionID="f839e2c06a8bef135015df86c64ebca0">
  <xsd:schema xmlns:xsd="http://www.w3.org/2001/XMLSchema" xmlns:xs="http://www.w3.org/2001/XMLSchema" xmlns:p="http://schemas.microsoft.com/office/2006/metadata/properties" xmlns:ns1="http://schemas.microsoft.com/sharepoint/v3" xmlns:ns2="0045ecbb-72e5-4e23-8ce6-cfd22e2769ea" xmlns:ns3="33d1aacd-eed5-4181-a91e-0fde566d8e98" xmlns:ns4="6f0d0c61-922d-48b4-b62f-1ef0f8a428b6" targetNamespace="http://schemas.microsoft.com/office/2006/metadata/properties" ma:root="true" ma:fieldsID="df112648c0226d3f26474b832d363ebf" ns1:_="" ns2:_="" ns3:_="" ns4:_="">
    <xsd:import namespace="http://schemas.microsoft.com/sharepoint/v3"/>
    <xsd:import namespace="0045ecbb-72e5-4e23-8ce6-cfd22e2769ea"/>
    <xsd:import namespace="33d1aacd-eed5-4181-a91e-0fde566d8e98"/>
    <xsd:import namespace="6f0d0c61-922d-48b4-b62f-1ef0f8a428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5ecbb-72e5-4e23-8ce6-cfd22e276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781236-037b-411b-a023-bd80484dbec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d1aacd-eed5-4181-a91e-0fde566d8e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0c61-922d-48b4-b62f-1ef0f8a428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0da4be-9e2c-46ca-92db-8871b2180bda}" ma:internalName="TaxCatchAll" ma:showField="CatchAllData" ma:web="33d1aacd-eed5-4181-a91e-0fde566d8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4EF97-C89B-4BB9-B787-BAB5A316C5B3}">
  <ds:schemaRefs>
    <ds:schemaRef ds:uri="http://schemas.openxmlformats.org/package/2006/metadata/core-properties"/>
    <ds:schemaRef ds:uri="http://schemas.microsoft.com/office/2006/documentManagement/types"/>
    <ds:schemaRef ds:uri="33d1aacd-eed5-4181-a91e-0fde566d8e98"/>
    <ds:schemaRef ds:uri="http://schemas.microsoft.com/office/2006/metadata/properties"/>
    <ds:schemaRef ds:uri="6f0d0c61-922d-48b4-b62f-1ef0f8a428b6"/>
    <ds:schemaRef ds:uri="http://purl.org/dc/terms/"/>
    <ds:schemaRef ds:uri="http://purl.org/dc/elements/1.1/"/>
    <ds:schemaRef ds:uri="http://schemas.microsoft.com/office/infopath/2007/PartnerControls"/>
    <ds:schemaRef ds:uri="0045ecbb-72e5-4e23-8ce6-cfd22e2769ea"/>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B01B84B-2C6F-42EC-89A2-6547D7B9D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45ecbb-72e5-4e23-8ce6-cfd22e2769ea"/>
    <ds:schemaRef ds:uri="33d1aacd-eed5-4181-a91e-0fde566d8e98"/>
    <ds:schemaRef ds:uri="6f0d0c61-922d-48b4-b62f-1ef0f8a4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42906-0D83-49B8-AE76-041A14D6167C}">
  <ds:schemaRefs>
    <ds:schemaRef ds:uri="http://schemas.openxmlformats.org/officeDocument/2006/bibliography"/>
  </ds:schemaRefs>
</ds:datastoreItem>
</file>

<file path=customXml/itemProps4.xml><?xml version="1.0" encoding="utf-8"?>
<ds:datastoreItem xmlns:ds="http://schemas.openxmlformats.org/officeDocument/2006/customXml" ds:itemID="{EDEA157D-2AAC-4C0D-B01F-1935C2972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2996</Words>
  <Characters>17210</Characters>
  <Application>Microsoft Office Word</Application>
  <DocSecurity>0</DocSecurity>
  <Lines>143</Lines>
  <Paragraphs>40</Paragraphs>
  <ScaleCrop>false</ScaleCrop>
  <Company>EssexFire</Company>
  <LinksUpToDate>false</LinksUpToDate>
  <CharactersWithSpaces>20166</CharactersWithSpaces>
  <SharedDoc>false</SharedDoc>
  <HLinks>
    <vt:vector size="42" baseType="variant">
      <vt:variant>
        <vt:i4>4456478</vt:i4>
      </vt:variant>
      <vt:variant>
        <vt:i4>33</vt:i4>
      </vt:variant>
      <vt:variant>
        <vt:i4>0</vt:i4>
      </vt:variant>
      <vt:variant>
        <vt:i4>5</vt:i4>
      </vt:variant>
      <vt:variant>
        <vt:lpwstr>https://www.essex-fire.gov.uk/sites/default/files/2023-05/Unaudited Statement of Accounts 2022-23.pdf</vt:lpwstr>
      </vt:variant>
      <vt:variant>
        <vt:lpwstr/>
      </vt:variant>
      <vt:variant>
        <vt:i4>1966136</vt:i4>
      </vt:variant>
      <vt:variant>
        <vt:i4>26</vt:i4>
      </vt:variant>
      <vt:variant>
        <vt:i4>0</vt:i4>
      </vt:variant>
      <vt:variant>
        <vt:i4>5</vt:i4>
      </vt:variant>
      <vt:variant>
        <vt:lpwstr/>
      </vt:variant>
      <vt:variant>
        <vt:lpwstr>_Toc158629334</vt:lpwstr>
      </vt:variant>
      <vt:variant>
        <vt:i4>1966136</vt:i4>
      </vt:variant>
      <vt:variant>
        <vt:i4>20</vt:i4>
      </vt:variant>
      <vt:variant>
        <vt:i4>0</vt:i4>
      </vt:variant>
      <vt:variant>
        <vt:i4>5</vt:i4>
      </vt:variant>
      <vt:variant>
        <vt:lpwstr/>
      </vt:variant>
      <vt:variant>
        <vt:lpwstr>_Toc158629333</vt:lpwstr>
      </vt:variant>
      <vt:variant>
        <vt:i4>1966136</vt:i4>
      </vt:variant>
      <vt:variant>
        <vt:i4>14</vt:i4>
      </vt:variant>
      <vt:variant>
        <vt:i4>0</vt:i4>
      </vt:variant>
      <vt:variant>
        <vt:i4>5</vt:i4>
      </vt:variant>
      <vt:variant>
        <vt:lpwstr/>
      </vt:variant>
      <vt:variant>
        <vt:lpwstr>_Toc158629332</vt:lpwstr>
      </vt:variant>
      <vt:variant>
        <vt:i4>1966136</vt:i4>
      </vt:variant>
      <vt:variant>
        <vt:i4>8</vt:i4>
      </vt:variant>
      <vt:variant>
        <vt:i4>0</vt:i4>
      </vt:variant>
      <vt:variant>
        <vt:i4>5</vt:i4>
      </vt:variant>
      <vt:variant>
        <vt:lpwstr/>
      </vt:variant>
      <vt:variant>
        <vt:lpwstr>_Toc158629331</vt:lpwstr>
      </vt:variant>
      <vt:variant>
        <vt:i4>1966136</vt:i4>
      </vt:variant>
      <vt:variant>
        <vt:i4>2</vt:i4>
      </vt:variant>
      <vt:variant>
        <vt:i4>0</vt:i4>
      </vt:variant>
      <vt:variant>
        <vt:i4>5</vt:i4>
      </vt:variant>
      <vt:variant>
        <vt:lpwstr/>
      </vt:variant>
      <vt:variant>
        <vt:lpwstr>_Toc158629330</vt:lpwstr>
      </vt:variant>
      <vt:variant>
        <vt:i4>5832745</vt:i4>
      </vt:variant>
      <vt:variant>
        <vt:i4>0</vt:i4>
      </vt:variant>
      <vt:variant>
        <vt:i4>0</vt:i4>
      </vt:variant>
      <vt:variant>
        <vt:i4>5</vt:i4>
      </vt:variant>
      <vt:variant>
        <vt:lpwstr>mailto:neil.cross@essex-fire.gov.uk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Phillipa Brent-Isherwood 42078923</cp:lastModifiedBy>
  <cp:revision>3</cp:revision>
  <cp:lastPrinted>2024-02-12T19:22:00Z</cp:lastPrinted>
  <dcterms:created xsi:type="dcterms:W3CDTF">2024-03-13T17:00:00Z</dcterms:created>
  <dcterms:modified xsi:type="dcterms:W3CDTF">2024-03-21T15:08:00Z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0x0101002137CDF28091F54ABBD6D52DBDB7409D</vt:lpwstr>
  </property>
  <property fmtid="{D5CDD505-2E9C-101B-9397-08002B2CF9AE}" pid="3" name="ClassificationContentMarkingHeaderShapeIds">
    <vt:lpwstr>2,3,4</vt:lpwstr>
  </property>
  <property fmtid="{D5CDD505-2E9C-101B-9397-08002B2CF9AE}" pid="4" name="ClassificationContentMarkingHeaderFontProps">
    <vt:lpwstr>#000000,10,Calibri</vt:lpwstr>
  </property>
  <property fmtid="{D5CDD505-2E9C-101B-9397-08002B2CF9AE}" pid="5" name="ClassificationContentMarkingHeaderText">
    <vt:lpwstr>OFFICIAL-SENSITIVE</vt:lpwstr>
  </property>
  <property fmtid="{D5CDD505-2E9C-101B-9397-08002B2CF9AE}" pid="6" name="ClassificationContentMarkingFooterShapeIds">
    <vt:lpwstr>5,6,7</vt:lpwstr>
  </property>
  <property fmtid="{D5CDD505-2E9C-101B-9397-08002B2CF9AE}" pid="7" name="ClassificationContentMarkingFooterFontProps">
    <vt:lpwstr>#000000,10,Calibri</vt:lpwstr>
  </property>
  <property fmtid="{D5CDD505-2E9C-101B-9397-08002B2CF9AE}" pid="8" name="ClassificationContentMarkingFooterText">
    <vt:lpwstr>OFFICIAL-SENSITIVE</vt:lpwstr>
  </property>
  <property fmtid="{D5CDD505-2E9C-101B-9397-08002B2CF9AE}" pid="9" name="MSIP_Label_74be8931-9cf2-4b28-9e7a-7dabaadc249f_Enabled">
    <vt:lpwstr>true</vt:lpwstr>
  </property>
  <property fmtid="{D5CDD505-2E9C-101B-9397-08002B2CF9AE}" pid="10" name="MSIP_Label_74be8931-9cf2-4b28-9e7a-7dabaadc249f_SetDate">
    <vt:lpwstr>2022-02-08T17:14:57Z</vt:lpwstr>
  </property>
  <property fmtid="{D5CDD505-2E9C-101B-9397-08002B2CF9AE}" pid="11" name="MSIP_Label_74be8931-9cf2-4b28-9e7a-7dabaadc249f_Method">
    <vt:lpwstr>Privileged</vt:lpwstr>
  </property>
  <property fmtid="{D5CDD505-2E9C-101B-9397-08002B2CF9AE}" pid="12" name="MSIP_Label_74be8931-9cf2-4b28-9e7a-7dabaadc249f_Name">
    <vt:lpwstr>OFFICIAL-SENSITIVE</vt:lpwstr>
  </property>
  <property fmtid="{D5CDD505-2E9C-101B-9397-08002B2CF9AE}" pid="13" name="MSIP_Label_74be8931-9cf2-4b28-9e7a-7dabaadc249f_SiteId">
    <vt:lpwstr>ebb4b37b-40c4-4b17-825c-5dc692c18888</vt:lpwstr>
  </property>
  <property fmtid="{D5CDD505-2E9C-101B-9397-08002B2CF9AE}" pid="14" name="MSIP_Label_74be8931-9cf2-4b28-9e7a-7dabaadc249f_ActionId">
    <vt:lpwstr>2d872607-ab49-4414-8cdf-13ef4197564d</vt:lpwstr>
  </property>
  <property fmtid="{D5CDD505-2E9C-101B-9397-08002B2CF9AE}" pid="15" name="MSIP_Label_74be8931-9cf2-4b28-9e7a-7dabaadc249f_ContentBits">
    <vt:lpwstr>3</vt:lpwstr>
  </property>
  <property fmtid="{D5CDD505-2E9C-101B-9397-08002B2CF9AE}" pid="16" name="MediaServiceImageTags">
    <vt:lpwstr/>
  </property>
  <property fmtid="{D5CDD505-2E9C-101B-9397-08002B2CF9AE}" pid="17" name="MSIP_Label_8f716d1d-13e1-4569-9dd0-bef6621415c1_Enabled">
    <vt:lpwstr>true</vt:lpwstr>
  </property>
  <property fmtid="{D5CDD505-2E9C-101B-9397-08002B2CF9AE}" pid="18" name="MSIP_Label_8f716d1d-13e1-4569-9dd0-bef6621415c1_SetDate">
    <vt:lpwstr>2024-03-21T15:08:26Z</vt:lpwstr>
  </property>
  <property fmtid="{D5CDD505-2E9C-101B-9397-08002B2CF9AE}" pid="19" name="MSIP_Label_8f716d1d-13e1-4569-9dd0-bef6621415c1_Method">
    <vt:lpwstr>Standard</vt:lpwstr>
  </property>
  <property fmtid="{D5CDD505-2E9C-101B-9397-08002B2CF9AE}" pid="20" name="MSIP_Label_8f716d1d-13e1-4569-9dd0-bef6621415c1_Name">
    <vt:lpwstr>OFFICIAL</vt:lpwstr>
  </property>
  <property fmtid="{D5CDD505-2E9C-101B-9397-08002B2CF9AE}" pid="21" name="MSIP_Label_8f716d1d-13e1-4569-9dd0-bef6621415c1_SiteId">
    <vt:lpwstr>f31b07f0-9cf9-40db-964d-6ff986a97e3d</vt:lpwstr>
  </property>
  <property fmtid="{D5CDD505-2E9C-101B-9397-08002B2CF9AE}" pid="22" name="MSIP_Label_8f716d1d-13e1-4569-9dd0-bef6621415c1_ActionId">
    <vt:lpwstr>b1e7f1e0-b2dc-4db9-807d-08e92525dd4a</vt:lpwstr>
  </property>
  <property fmtid="{D5CDD505-2E9C-101B-9397-08002B2CF9AE}" pid="23" name="MSIP_Label_8f716d1d-13e1-4569-9dd0-bef6621415c1_ContentBits">
    <vt:lpwstr>0</vt:lpwstr>
  </property>
</Properties>
</file>