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8B47E" w14:textId="00FA2635" w:rsidR="00570C22" w:rsidRDefault="00EF6ADD" w:rsidP="00E710CC">
      <w:pPr>
        <w:rPr>
          <w:rFonts w:ascii="Calibri" w:hAnsi="Calibri"/>
        </w:rPr>
      </w:pPr>
      <w:r>
        <w:rPr>
          <w:noProof/>
        </w:rPr>
        <w:drawing>
          <wp:anchor distT="0" distB="0" distL="114300" distR="114300" simplePos="0" relativeHeight="251658241" behindDoc="0" locked="0" layoutInCell="1" allowOverlap="1" wp14:anchorId="1C6A599C" wp14:editId="7DC2B4E7">
            <wp:simplePos x="0" y="0"/>
            <wp:positionH relativeFrom="margin">
              <wp:align>center</wp:align>
            </wp:positionH>
            <wp:positionV relativeFrom="page">
              <wp:posOffset>533400</wp:posOffset>
            </wp:positionV>
            <wp:extent cx="4172585" cy="1478280"/>
            <wp:effectExtent l="0" t="0" r="0" b="7620"/>
            <wp:wrapSquare wrapText="bothSides"/>
            <wp:docPr id="2756" name="Picture 2756"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56" name="Picture 2756" descr="Text&#10;&#10;Description automatically generated with medium confidence"/>
                    <pic:cNvPicPr/>
                  </pic:nvPicPr>
                  <pic:blipFill>
                    <a:blip r:embed="rId11" cstate="screen">
                      <a:extLst>
                        <a:ext uri="{28A0092B-C50C-407E-A947-70E740481C1C}">
                          <a14:useLocalDpi xmlns:a14="http://schemas.microsoft.com/office/drawing/2010/main"/>
                        </a:ext>
                      </a:extLst>
                    </a:blip>
                    <a:stretch>
                      <a:fillRect/>
                    </a:stretch>
                  </pic:blipFill>
                  <pic:spPr>
                    <a:xfrm>
                      <a:off x="0" y="0"/>
                      <a:ext cx="4172585" cy="1478280"/>
                    </a:xfrm>
                    <a:prstGeom prst="rect">
                      <a:avLst/>
                    </a:prstGeom>
                  </pic:spPr>
                </pic:pic>
              </a:graphicData>
            </a:graphic>
            <wp14:sizeRelH relativeFrom="page">
              <wp14:pctWidth>0</wp14:pctWidth>
            </wp14:sizeRelH>
            <wp14:sizeRelV relativeFrom="page">
              <wp14:pctHeight>0</wp14:pctHeight>
            </wp14:sizeRelV>
          </wp:anchor>
        </w:drawing>
      </w:r>
      <w:r w:rsidR="00D212B1">
        <w:rPr>
          <w:noProof/>
        </w:rPr>
        <w:drawing>
          <wp:anchor distT="0" distB="0" distL="114300" distR="114300" simplePos="0" relativeHeight="251658240" behindDoc="0" locked="0" layoutInCell="1" allowOverlap="1" wp14:anchorId="64FCA63B" wp14:editId="5223E024">
            <wp:simplePos x="0" y="0"/>
            <wp:positionH relativeFrom="page">
              <wp:align>right</wp:align>
            </wp:positionH>
            <wp:positionV relativeFrom="paragraph">
              <wp:posOffset>-721067</wp:posOffset>
            </wp:positionV>
            <wp:extent cx="7559675" cy="8654415"/>
            <wp:effectExtent l="0" t="0" r="3175" b="0"/>
            <wp:wrapNone/>
            <wp:docPr id="41606" name="Picture 41606" descr="Shape, arrow&#10;&#10;Description automatically generated"/>
            <wp:cNvGraphicFramePr/>
            <a:graphic xmlns:a="http://schemas.openxmlformats.org/drawingml/2006/main">
              <a:graphicData uri="http://schemas.openxmlformats.org/drawingml/2006/picture">
                <pic:pic xmlns:pic="http://schemas.openxmlformats.org/drawingml/2006/picture">
                  <pic:nvPicPr>
                    <pic:cNvPr id="41606" name="Picture 41606" descr="Shape, arrow&#10;&#10;Description automatically generated"/>
                    <pic:cNvPicPr/>
                  </pic:nvPicPr>
                  <pic:blipFill>
                    <a:blip r:embed="rId12" cstate="email">
                      <a:extLst>
                        <a:ext uri="{28A0092B-C50C-407E-A947-70E740481C1C}">
                          <a14:useLocalDpi xmlns:a14="http://schemas.microsoft.com/office/drawing/2010/main"/>
                        </a:ext>
                      </a:extLst>
                    </a:blip>
                    <a:stretch>
                      <a:fillRect/>
                    </a:stretch>
                  </pic:blipFill>
                  <pic:spPr>
                    <a:xfrm>
                      <a:off x="0" y="0"/>
                      <a:ext cx="7559675" cy="8654415"/>
                    </a:xfrm>
                    <a:prstGeom prst="rect">
                      <a:avLst/>
                    </a:prstGeom>
                  </pic:spPr>
                </pic:pic>
              </a:graphicData>
            </a:graphic>
          </wp:anchor>
        </w:drawing>
      </w:r>
    </w:p>
    <w:p w14:paraId="3D46998A" w14:textId="1C60DE70" w:rsidR="002110C8" w:rsidRPr="00AE6BE1" w:rsidRDefault="002110C8" w:rsidP="00E710CC">
      <w:pPr>
        <w:rPr>
          <w:rFonts w:ascii="Calibri" w:hAnsi="Calibri"/>
        </w:rPr>
      </w:pPr>
    </w:p>
    <w:p w14:paraId="63B2A12B" w14:textId="576EDB84" w:rsidR="0030771A" w:rsidRPr="00AE6BE1" w:rsidRDefault="0030771A" w:rsidP="00E710CC">
      <w:pPr>
        <w:rPr>
          <w:rFonts w:ascii="Calibri" w:hAnsi="Calibri"/>
        </w:rPr>
      </w:pPr>
    </w:p>
    <w:p w14:paraId="161DE002" w14:textId="271AA933" w:rsidR="0030771A" w:rsidRPr="00AE6BE1" w:rsidRDefault="0030771A" w:rsidP="00E710CC">
      <w:pPr>
        <w:rPr>
          <w:rFonts w:ascii="Calibri" w:hAnsi="Calibri"/>
        </w:rPr>
      </w:pPr>
    </w:p>
    <w:p w14:paraId="680D0349" w14:textId="26E2DCA5" w:rsidR="0030771A" w:rsidRPr="00AE6BE1" w:rsidRDefault="0030771A" w:rsidP="00E710CC">
      <w:pPr>
        <w:rPr>
          <w:rFonts w:ascii="Calibri" w:hAnsi="Calibri"/>
        </w:rPr>
      </w:pPr>
    </w:p>
    <w:p w14:paraId="08767213" w14:textId="0CE42C34" w:rsidR="0030771A" w:rsidRPr="00AE6BE1" w:rsidRDefault="0030771A" w:rsidP="00E710CC">
      <w:pPr>
        <w:rPr>
          <w:rFonts w:ascii="Calibri" w:hAnsi="Calibri"/>
        </w:rPr>
      </w:pPr>
    </w:p>
    <w:p w14:paraId="48D12010" w14:textId="59EF550D" w:rsidR="00BF00CA" w:rsidRPr="00AE6BE1" w:rsidRDefault="00BF00CA" w:rsidP="00BF00CA">
      <w:pPr>
        <w:spacing w:after="240"/>
        <w:rPr>
          <w:rFonts w:ascii="Calibri" w:hAnsi="Calibri"/>
        </w:rPr>
      </w:pPr>
    </w:p>
    <w:p w14:paraId="19C7DAEF" w14:textId="17986372" w:rsidR="00BF00CA" w:rsidRPr="00AE6BE1" w:rsidRDefault="00963C0A" w:rsidP="00BF00CA">
      <w:pPr>
        <w:spacing w:after="240"/>
        <w:rPr>
          <w:rFonts w:ascii="Calibri" w:hAnsi="Calibri"/>
        </w:rPr>
      </w:pPr>
      <w:r>
        <w:rPr>
          <w:noProof/>
        </w:rPr>
        <mc:AlternateContent>
          <mc:Choice Requires="wps">
            <w:drawing>
              <wp:anchor distT="0" distB="0" distL="114300" distR="114300" simplePos="0" relativeHeight="251658242" behindDoc="0" locked="0" layoutInCell="1" allowOverlap="1" wp14:anchorId="41CB5CA6" wp14:editId="21B60203">
                <wp:simplePos x="0" y="0"/>
                <wp:positionH relativeFrom="column">
                  <wp:posOffset>385151</wp:posOffset>
                </wp:positionH>
                <wp:positionV relativeFrom="paragraph">
                  <wp:posOffset>87678</wp:posOffset>
                </wp:positionV>
                <wp:extent cx="6028055" cy="3291840"/>
                <wp:effectExtent l="0" t="0" r="0" b="0"/>
                <wp:wrapNone/>
                <wp:docPr id="18" name="Rectangle 18"/>
                <wp:cNvGraphicFramePr/>
                <a:graphic xmlns:a="http://schemas.openxmlformats.org/drawingml/2006/main">
                  <a:graphicData uri="http://schemas.microsoft.com/office/word/2010/wordprocessingShape">
                    <wps:wsp>
                      <wps:cNvSpPr/>
                      <wps:spPr>
                        <a:xfrm>
                          <a:off x="0" y="0"/>
                          <a:ext cx="6028055" cy="3291840"/>
                        </a:xfrm>
                        <a:prstGeom prst="rect">
                          <a:avLst/>
                        </a:prstGeom>
                        <a:ln>
                          <a:noFill/>
                        </a:ln>
                      </wps:spPr>
                      <wps:txbx>
                        <w:txbxContent>
                          <w:p w14:paraId="2F57568D" w14:textId="563CC0BD" w:rsidR="001874CF" w:rsidRPr="001874CF" w:rsidRDefault="00963C0A" w:rsidP="001874CF">
                            <w:pPr>
                              <w:spacing w:line="259" w:lineRule="auto"/>
                              <w:jc w:val="right"/>
                              <w:rPr>
                                <w:rFonts w:eastAsia="Arial"/>
                                <w:color w:val="000000"/>
                                <w:kern w:val="2"/>
                                <w:sz w:val="22"/>
                                <w:szCs w:val="22"/>
                                <w:lang w:eastAsia="en-GB"/>
                                <w14:ligatures w14:val="standardContextual"/>
                              </w:rPr>
                            </w:pPr>
                            <w:r w:rsidRPr="00F377A7">
                              <w:rPr>
                                <w:rFonts w:ascii="Rockwell" w:hAnsi="Rockwell" w:cstheme="minorBidi"/>
                                <w:b/>
                                <w:color w:val="FFFFFF" w:themeColor="background1"/>
                                <w:sz w:val="48"/>
                                <w:szCs w:val="48"/>
                              </w:rPr>
                              <w:t>Essex County Fire and Rescue Service</w:t>
                            </w:r>
                            <w:r w:rsidRPr="00F377A7">
                              <w:rPr>
                                <w:rFonts w:ascii="Rockwell" w:hAnsi="Rockwell" w:cstheme="minorBidi"/>
                                <w:b/>
                                <w:color w:val="FFFFFF" w:themeColor="background1"/>
                                <w:sz w:val="48"/>
                                <w:szCs w:val="48"/>
                              </w:rPr>
                              <w:br/>
                            </w:r>
                            <w:r w:rsidR="001874CF" w:rsidRPr="001874CF">
                              <w:rPr>
                                <w:rFonts w:ascii="Rockwell" w:eastAsia="Rockwell" w:hAnsi="Rockwell" w:cs="Rockwell"/>
                                <w:b/>
                                <w:color w:val="FFFFFF" w:themeColor="background1"/>
                                <w:kern w:val="2"/>
                                <w:sz w:val="48"/>
                                <w:szCs w:val="22"/>
                                <w:lang w:eastAsia="en-GB"/>
                                <w14:ligatures w14:val="standardContextual"/>
                              </w:rPr>
                              <w:t xml:space="preserve">Medium Term Financial Strategy 2024/25 </w:t>
                            </w:r>
                          </w:p>
                          <w:p w14:paraId="14314091" w14:textId="44A029ED" w:rsidR="00963C0A" w:rsidRPr="00ED0D98" w:rsidRDefault="00963C0A" w:rsidP="001874CF">
                            <w:pPr>
                              <w:spacing w:after="240"/>
                              <w:jc w:val="right"/>
                              <w:rPr>
                                <w:b/>
                                <w:bCs/>
                                <w:color w:val="FFFFFF" w:themeColor="background1"/>
                                <w:sz w:val="48"/>
                                <w:szCs w:val="48"/>
                              </w:rPr>
                            </w:pP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41CB5CA6" id="Rectangle 18" o:spid="_x0000_s1026" style="position:absolute;margin-left:30.35pt;margin-top:6.9pt;width:474.65pt;height:259.2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" filled="f" stroked="f">
                <v:textbox inset="0,0,0,0">
                  <w:txbxContent>
                    <w:p w14:paraId="2F57568D" w14:textId="563CC0BD" w:rsidR="001874CF" w:rsidRPr="001874CF" w:rsidRDefault="00963C0A" w:rsidP="001874CF">
                      <w:pPr>
                        <w:spacing w:line="259" w:lineRule="auto"/>
                        <w:jc w:val="right"/>
                        <w:rPr>
                          <w:rFonts w:eastAsia="Arial"/>
                          <w:color w:val="000000"/>
                          <w:kern w:val="2"/>
                          <w:sz w:val="22"/>
                          <w:szCs w:val="22"/>
                          <w:lang w:eastAsia="en-GB"/>
                          <w14:ligatures w14:val="standardContextual"/>
                        </w:rPr>
                      </w:pPr>
                      <w:r w:rsidRPr="00F377A7">
                        <w:rPr>
                          <w:rFonts w:ascii="Rockwell" w:hAnsi="Rockwell" w:cstheme="minorBidi"/>
                          <w:b/>
                          <w:color w:val="FFFFFF" w:themeColor="background1"/>
                          <w:sz w:val="48"/>
                          <w:szCs w:val="48"/>
                        </w:rPr>
                        <w:t>Essex County Fire and Rescue Service</w:t>
                      </w:r>
                      <w:r w:rsidRPr="00F377A7">
                        <w:rPr>
                          <w:rFonts w:ascii="Rockwell" w:hAnsi="Rockwell" w:cstheme="minorBidi"/>
                          <w:b/>
                          <w:color w:val="FFFFFF" w:themeColor="background1"/>
                          <w:sz w:val="48"/>
                          <w:szCs w:val="48"/>
                        </w:rPr>
                        <w:br/>
                      </w:r>
                      <w:r w:rsidR="001874CF" w:rsidRPr="001874CF">
                        <w:rPr>
                          <w:rFonts w:ascii="Rockwell" w:eastAsia="Rockwell" w:hAnsi="Rockwell" w:cs="Rockwell"/>
                          <w:b/>
                          <w:color w:val="FFFFFF" w:themeColor="background1"/>
                          <w:kern w:val="2"/>
                          <w:sz w:val="48"/>
                          <w:szCs w:val="22"/>
                          <w:lang w:eastAsia="en-GB"/>
                          <w14:ligatures w14:val="standardContextual"/>
                        </w:rPr>
                        <w:t xml:space="preserve">Medium Term Financial Strategy 2024/25 </w:t>
                      </w:r>
                    </w:p>
                    <w:p w14:paraId="14314091" w14:textId="44A029ED" w:rsidR="00963C0A" w:rsidRPr="00ED0D98" w:rsidRDefault="00963C0A" w:rsidP="001874CF">
                      <w:pPr>
                        <w:spacing w:after="240"/>
                        <w:jc w:val="right"/>
                        <w:rPr>
                          <w:b/>
                          <w:bCs/>
                          <w:color w:val="FFFFFF" w:themeColor="background1"/>
                          <w:sz w:val="48"/>
                          <w:szCs w:val="48"/>
                        </w:rPr>
                      </w:pPr>
                    </w:p>
                  </w:txbxContent>
                </v:textbox>
              </v:rect>
            </w:pict>
          </mc:Fallback>
        </mc:AlternateContent>
      </w:r>
    </w:p>
    <w:p w14:paraId="1D1DBEF8" w14:textId="1933E9CB" w:rsidR="0030771A" w:rsidRPr="00AE6BE1" w:rsidRDefault="0030771A" w:rsidP="00BF00CA">
      <w:pPr>
        <w:spacing w:after="240"/>
        <w:rPr>
          <w:rFonts w:ascii="Calibri" w:hAnsi="Calibri"/>
        </w:rPr>
      </w:pPr>
    </w:p>
    <w:p w14:paraId="779CBEF9" w14:textId="5357596E" w:rsidR="0030771A" w:rsidRPr="00AE6BE1" w:rsidRDefault="0030771A" w:rsidP="00BF00CA">
      <w:pPr>
        <w:spacing w:after="240"/>
        <w:rPr>
          <w:rFonts w:ascii="Calibri" w:hAnsi="Calibri"/>
        </w:rPr>
      </w:pPr>
    </w:p>
    <w:p w14:paraId="590EBE48" w14:textId="25A6AA86" w:rsidR="0030771A" w:rsidRPr="00AE6BE1" w:rsidRDefault="0030771A" w:rsidP="00BF00CA">
      <w:pPr>
        <w:spacing w:after="240"/>
        <w:rPr>
          <w:rFonts w:ascii="Calibri" w:hAnsi="Calibri"/>
        </w:rPr>
      </w:pPr>
    </w:p>
    <w:p w14:paraId="05E88C68" w14:textId="455F2E53" w:rsidR="0030771A" w:rsidRPr="00AE6BE1" w:rsidRDefault="0030771A" w:rsidP="00BF00CA">
      <w:pPr>
        <w:spacing w:after="240"/>
        <w:rPr>
          <w:rFonts w:ascii="Calibri" w:hAnsi="Calibri"/>
        </w:rPr>
      </w:pPr>
    </w:p>
    <w:p w14:paraId="6F80F6FF" w14:textId="41909477" w:rsidR="0030771A" w:rsidRPr="00AE6BE1" w:rsidRDefault="0030771A" w:rsidP="00BF00CA">
      <w:pPr>
        <w:spacing w:after="240"/>
        <w:rPr>
          <w:rFonts w:ascii="Calibri" w:hAnsi="Calibri"/>
        </w:rPr>
      </w:pPr>
    </w:p>
    <w:p w14:paraId="629C6E92" w14:textId="264AD2F9" w:rsidR="0030771A" w:rsidRPr="00AE6BE1" w:rsidRDefault="0030771A" w:rsidP="00BF00CA">
      <w:pPr>
        <w:spacing w:after="240"/>
        <w:rPr>
          <w:rFonts w:ascii="Calibri" w:hAnsi="Calibri"/>
        </w:rPr>
      </w:pPr>
    </w:p>
    <w:p w14:paraId="1F8C5E92" w14:textId="6714BEC9" w:rsidR="0030771A" w:rsidRPr="00AE6BE1" w:rsidRDefault="0030771A" w:rsidP="00BF00CA">
      <w:pPr>
        <w:spacing w:after="240"/>
        <w:rPr>
          <w:rFonts w:ascii="Calibri" w:hAnsi="Calibri"/>
        </w:rPr>
      </w:pPr>
    </w:p>
    <w:p w14:paraId="21E80441" w14:textId="5CF80648" w:rsidR="0030771A" w:rsidRPr="00AE6BE1" w:rsidRDefault="0030771A" w:rsidP="00BF00CA">
      <w:pPr>
        <w:spacing w:after="240"/>
        <w:rPr>
          <w:rFonts w:ascii="Calibri" w:hAnsi="Calibri"/>
        </w:rPr>
      </w:pPr>
    </w:p>
    <w:p w14:paraId="3215DBBD" w14:textId="0B9BA480" w:rsidR="0030771A" w:rsidRPr="00AE6BE1" w:rsidRDefault="0030771A" w:rsidP="00BF00CA">
      <w:pPr>
        <w:spacing w:after="240"/>
        <w:rPr>
          <w:rFonts w:ascii="Calibri" w:hAnsi="Calibri"/>
        </w:rPr>
      </w:pPr>
    </w:p>
    <w:p w14:paraId="6D0276DF" w14:textId="129747F1" w:rsidR="0030771A" w:rsidRPr="00AE6BE1" w:rsidRDefault="0030771A" w:rsidP="00BF00CA">
      <w:pPr>
        <w:spacing w:after="240"/>
        <w:rPr>
          <w:rFonts w:ascii="Calibri" w:hAnsi="Calibri"/>
        </w:rPr>
      </w:pPr>
    </w:p>
    <w:p w14:paraId="50AFB700" w14:textId="77777777" w:rsidR="0030771A" w:rsidRPr="00AE6BE1" w:rsidRDefault="0030771A" w:rsidP="00BF00CA">
      <w:pPr>
        <w:spacing w:after="240"/>
        <w:rPr>
          <w:rFonts w:ascii="Calibri" w:hAnsi="Calibri"/>
        </w:rPr>
      </w:pPr>
    </w:p>
    <w:p w14:paraId="2326C37D" w14:textId="1BEC2D0E" w:rsidR="00E211F6" w:rsidRPr="00AE6BE1" w:rsidRDefault="00E211F6" w:rsidP="00BF00CA">
      <w:pPr>
        <w:spacing w:after="240"/>
        <w:rPr>
          <w:rFonts w:ascii="Calibri" w:hAnsi="Calibri"/>
        </w:rPr>
      </w:pPr>
    </w:p>
    <w:p w14:paraId="4E8945C8" w14:textId="023C2A35" w:rsidR="00AB294D" w:rsidRPr="00AE6BE1" w:rsidRDefault="00267CCC" w:rsidP="00BF00CA">
      <w:pPr>
        <w:spacing w:after="240"/>
        <w:rPr>
          <w:rFonts w:ascii="Calibri" w:hAnsi="Calibri"/>
        </w:rPr>
      </w:pPr>
      <w:r>
        <w:rPr>
          <w:rFonts w:eastAsia="Calibri" w:cs="Calibri"/>
          <w:noProof/>
          <w:color w:val="2B579A"/>
          <w:sz w:val="22"/>
        </w:rPr>
        <mc:AlternateContent>
          <mc:Choice Requires="wps">
            <w:drawing>
              <wp:anchor distT="0" distB="0" distL="114300" distR="114300" simplePos="0" relativeHeight="251658244" behindDoc="1" locked="0" layoutInCell="1" allowOverlap="1" wp14:anchorId="25CA83E8" wp14:editId="2E563900">
                <wp:simplePos x="0" y="0"/>
                <wp:positionH relativeFrom="column">
                  <wp:posOffset>-77470</wp:posOffset>
                </wp:positionH>
                <wp:positionV relativeFrom="paragraph">
                  <wp:posOffset>277641</wp:posOffset>
                </wp:positionV>
                <wp:extent cx="7936230" cy="4415708"/>
                <wp:effectExtent l="38100" t="19050" r="26670" b="23495"/>
                <wp:wrapNone/>
                <wp:docPr id="2753" name="Right Triangle 2753"/>
                <wp:cNvGraphicFramePr/>
                <a:graphic xmlns:a="http://schemas.openxmlformats.org/drawingml/2006/main">
                  <a:graphicData uri="http://schemas.microsoft.com/office/word/2010/wordprocessingShape">
                    <wps:wsp>
                      <wps:cNvSpPr/>
                      <wps:spPr>
                        <a:xfrm flipH="1">
                          <a:off x="0" y="0"/>
                          <a:ext cx="7936230" cy="4415708"/>
                        </a:xfrm>
                        <a:prstGeom prst="r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58BE41" id="_x0000_t6" coordsize="21600,21600" o:spt="6" path="m,l,21600r21600,xe">
                <v:stroke joinstyle="miter"/>
                <v:path gradientshapeok="t" o:connecttype="custom" o:connectlocs="0,0;0,10800;0,21600;10800,21600;21600,21600;10800,10800" textboxrect="1800,12600,12600,19800"/>
              </v:shapetype>
              <v:shape id="Right Triangle 2753" o:spid="_x0000_s1026" type="#_x0000_t6" style="position:absolute;margin-left:-6.1pt;margin-top:21.85pt;width:624.9pt;height:347.7pt;flip:x;z-index:-2516582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" fillcolor="black [3200]" strokecolor="black [1600]" strokeweight="1pt"/>
            </w:pict>
          </mc:Fallback>
        </mc:AlternateContent>
      </w:r>
    </w:p>
    <w:p w14:paraId="1AF5028B" w14:textId="6FCA7F57" w:rsidR="00AB294D" w:rsidRDefault="00AB294D" w:rsidP="00AB294D">
      <w:pPr>
        <w:spacing w:after="240"/>
        <w:rPr>
          <w:b/>
          <w:bCs/>
          <w:sz w:val="28"/>
          <w:szCs w:val="28"/>
        </w:rPr>
      </w:pPr>
    </w:p>
    <w:p w14:paraId="4D0D584A" w14:textId="76A0CF36" w:rsidR="00AE58F2" w:rsidRDefault="00AE58F2" w:rsidP="00AB294D">
      <w:pPr>
        <w:spacing w:after="240"/>
        <w:rPr>
          <w:b/>
          <w:bCs/>
          <w:sz w:val="28"/>
          <w:szCs w:val="28"/>
        </w:rPr>
      </w:pPr>
    </w:p>
    <w:p w14:paraId="0340039F" w14:textId="74C613BC" w:rsidR="00AE58F2" w:rsidRDefault="00AE58F2" w:rsidP="00AB294D">
      <w:pPr>
        <w:spacing w:after="240"/>
        <w:rPr>
          <w:b/>
          <w:bCs/>
          <w:sz w:val="28"/>
          <w:szCs w:val="28"/>
        </w:rPr>
      </w:pPr>
    </w:p>
    <w:p w14:paraId="71AA4724" w14:textId="4FE5C079" w:rsidR="00AE58F2" w:rsidRDefault="00AE58F2" w:rsidP="00AB294D">
      <w:pPr>
        <w:spacing w:after="240"/>
        <w:rPr>
          <w:b/>
          <w:bCs/>
          <w:sz w:val="28"/>
          <w:szCs w:val="28"/>
        </w:rPr>
      </w:pPr>
    </w:p>
    <w:p w14:paraId="166E9389" w14:textId="19DDCDB8" w:rsidR="00AE58F2" w:rsidRDefault="00AE58F2" w:rsidP="00AB294D">
      <w:pPr>
        <w:spacing w:after="240"/>
        <w:rPr>
          <w:b/>
          <w:bCs/>
          <w:sz w:val="28"/>
          <w:szCs w:val="28"/>
        </w:rPr>
      </w:pPr>
    </w:p>
    <w:p w14:paraId="51123EC2" w14:textId="183B895F" w:rsidR="00AE58F2" w:rsidRDefault="00AE58F2" w:rsidP="00AB294D">
      <w:pPr>
        <w:spacing w:after="240"/>
        <w:rPr>
          <w:b/>
          <w:bCs/>
          <w:sz w:val="28"/>
          <w:szCs w:val="28"/>
        </w:rPr>
      </w:pPr>
    </w:p>
    <w:p w14:paraId="12634B63" w14:textId="6C6BE4FA" w:rsidR="00AE58F2" w:rsidRDefault="005568A8" w:rsidP="00AB294D">
      <w:pPr>
        <w:spacing w:after="240"/>
        <w:rPr>
          <w:b/>
          <w:bCs/>
          <w:sz w:val="28"/>
          <w:szCs w:val="28"/>
        </w:rPr>
      </w:pPr>
      <w:r>
        <w:rPr>
          <w:noProof/>
        </w:rPr>
        <mc:AlternateContent>
          <mc:Choice Requires="wps">
            <w:drawing>
              <wp:anchor distT="0" distB="0" distL="114300" distR="114300" simplePos="0" relativeHeight="251658243" behindDoc="0" locked="0" layoutInCell="1" allowOverlap="1" wp14:anchorId="59040327" wp14:editId="09F9CD35">
                <wp:simplePos x="0" y="0"/>
                <wp:positionH relativeFrom="column">
                  <wp:posOffset>0</wp:posOffset>
                </wp:positionH>
                <wp:positionV relativeFrom="paragraph">
                  <wp:posOffset>0</wp:posOffset>
                </wp:positionV>
                <wp:extent cx="3566795" cy="727710"/>
                <wp:effectExtent l="0" t="0" r="0" b="0"/>
                <wp:wrapNone/>
                <wp:docPr id="1381545319" name="Rectangle 1381545319"/>
                <wp:cNvGraphicFramePr/>
                <a:graphic xmlns:a="http://schemas.openxmlformats.org/drawingml/2006/main">
                  <a:graphicData uri="http://schemas.microsoft.com/office/word/2010/wordprocessingShape">
                    <wps:wsp>
                      <wps:cNvSpPr/>
                      <wps:spPr>
                        <a:xfrm>
                          <a:off x="0" y="0"/>
                          <a:ext cx="3566795" cy="727710"/>
                        </a:xfrm>
                        <a:prstGeom prst="rect">
                          <a:avLst/>
                        </a:prstGeom>
                        <a:ln>
                          <a:noFill/>
                        </a:ln>
                      </wps:spPr>
                      <wps:txbx>
                        <w:txbxContent>
                          <w:p w14:paraId="0FACC076" w14:textId="77777777" w:rsidR="005568A8" w:rsidRPr="00C01363" w:rsidRDefault="005568A8" w:rsidP="005568A8">
                            <w:pPr>
                              <w:tabs>
                                <w:tab w:val="left" w:pos="709"/>
                              </w:tabs>
                              <w:autoSpaceDE w:val="0"/>
                              <w:autoSpaceDN w:val="0"/>
                              <w:adjustRightInd w:val="0"/>
                              <w:spacing w:before="120" w:after="60"/>
                              <w:jc w:val="both"/>
                              <w:rPr>
                                <w:rFonts w:asciiTheme="minorBidi" w:hAnsiTheme="minorBidi" w:cstheme="minorBidi"/>
                                <w:b/>
                                <w:color w:val="FFFFFF" w:themeColor="background1"/>
                              </w:rPr>
                            </w:pPr>
                            <w:r w:rsidRPr="00C01363">
                              <w:rPr>
                                <w:rFonts w:asciiTheme="minorBidi" w:hAnsiTheme="minorBidi" w:cstheme="minorBidi"/>
                                <w:b/>
                                <w:color w:val="FFFFFF" w:themeColor="background1"/>
                              </w:rPr>
                              <w:t>Last updated on 12 February 2024</w:t>
                            </w:r>
                          </w:p>
                          <w:p w14:paraId="716026C3" w14:textId="77777777" w:rsidR="005568A8" w:rsidRPr="00ED0D98" w:rsidRDefault="005568A8" w:rsidP="005568A8">
                            <w:pPr>
                              <w:spacing w:after="160" w:line="259" w:lineRule="auto"/>
                              <w:jc w:val="right"/>
                              <w:rPr>
                                <w:b/>
                                <w:bCs/>
                                <w:color w:val="FFFFFF" w:themeColor="background1"/>
                                <w:sz w:val="48"/>
                                <w:szCs w:val="48"/>
                              </w:rPr>
                            </w:pP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59040327" id="Rectangle 1381545319" o:spid="_x0000_s1027" style="position:absolute;margin-left:0;margin-top:0;width:280.85pt;height:57.3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" filled="f" stroked="f">
                <v:textbox inset="0,0,0,0">
                  <w:txbxContent>
                    <w:p w14:paraId="0FACC076" w14:textId="77777777" w:rsidR="005568A8" w:rsidRPr="00C01363" w:rsidRDefault="005568A8" w:rsidP="005568A8">
                      <w:pPr>
                        <w:tabs>
                          <w:tab w:val="left" w:pos="709"/>
                        </w:tabs>
                        <w:autoSpaceDE w:val="0"/>
                        <w:autoSpaceDN w:val="0"/>
                        <w:adjustRightInd w:val="0"/>
                        <w:spacing w:before="120" w:after="60"/>
                        <w:jc w:val="both"/>
                        <w:rPr>
                          <w:rFonts w:asciiTheme="minorBidi" w:hAnsiTheme="minorBidi" w:cstheme="minorBidi"/>
                          <w:b/>
                          <w:color w:val="FFFFFF" w:themeColor="background1"/>
                        </w:rPr>
                      </w:pPr>
                      <w:r w:rsidRPr="00C01363">
                        <w:rPr>
                          <w:rFonts w:asciiTheme="minorBidi" w:hAnsiTheme="minorBidi" w:cstheme="minorBidi"/>
                          <w:b/>
                          <w:color w:val="FFFFFF" w:themeColor="background1"/>
                        </w:rPr>
                        <w:t>Last updated on 12 February 2024</w:t>
                      </w:r>
                    </w:p>
                    <w:p w14:paraId="716026C3" w14:textId="77777777" w:rsidR="005568A8" w:rsidRPr="00ED0D98" w:rsidRDefault="005568A8" w:rsidP="005568A8">
                      <w:pPr>
                        <w:spacing w:after="160" w:line="259" w:lineRule="auto"/>
                        <w:jc w:val="right"/>
                        <w:rPr>
                          <w:b/>
                          <w:bCs/>
                          <w:color w:val="FFFFFF" w:themeColor="background1"/>
                          <w:sz w:val="48"/>
                          <w:szCs w:val="48"/>
                        </w:rPr>
                      </w:pPr>
                    </w:p>
                  </w:txbxContent>
                </v:textbox>
              </v:rect>
            </w:pict>
          </mc:Fallback>
        </mc:AlternateContent>
      </w:r>
    </w:p>
    <w:p w14:paraId="11FA71E2" w14:textId="0ADDDF62" w:rsidR="00AE58F2" w:rsidRPr="00AE6BE1" w:rsidRDefault="004014A9" w:rsidP="00AB294D">
      <w:pPr>
        <w:spacing w:after="240"/>
        <w:rPr>
          <w:b/>
          <w:bCs/>
          <w:sz w:val="28"/>
          <w:szCs w:val="28"/>
        </w:rPr>
      </w:pPr>
      <w:r>
        <w:rPr>
          <w:noProof/>
        </w:rPr>
        <mc:AlternateContent>
          <mc:Choice Requires="wps">
            <w:drawing>
              <wp:anchor distT="0" distB="0" distL="114300" distR="114300" simplePos="0" relativeHeight="251658245" behindDoc="0" locked="0" layoutInCell="1" allowOverlap="1" wp14:anchorId="7CCF6F11" wp14:editId="29DFD1D5">
                <wp:simplePos x="0" y="0"/>
                <wp:positionH relativeFrom="column">
                  <wp:posOffset>3874379</wp:posOffset>
                </wp:positionH>
                <wp:positionV relativeFrom="paragraph">
                  <wp:posOffset>762000</wp:posOffset>
                </wp:positionV>
                <wp:extent cx="3566795" cy="727710"/>
                <wp:effectExtent l="0" t="0" r="0" b="0"/>
                <wp:wrapNone/>
                <wp:docPr id="1819855696" name="Rectangle 1819855696"/>
                <wp:cNvGraphicFramePr/>
                <a:graphic xmlns:a="http://schemas.openxmlformats.org/drawingml/2006/main">
                  <a:graphicData uri="http://schemas.microsoft.com/office/word/2010/wordprocessingShape">
                    <wps:wsp>
                      <wps:cNvSpPr/>
                      <wps:spPr>
                        <a:xfrm>
                          <a:off x="0" y="0"/>
                          <a:ext cx="3566795" cy="727710"/>
                        </a:xfrm>
                        <a:prstGeom prst="rect">
                          <a:avLst/>
                        </a:prstGeom>
                        <a:ln>
                          <a:noFill/>
                        </a:ln>
                      </wps:spPr>
                      <wps:txbx>
                        <w:txbxContent>
                          <w:p w14:paraId="0ADE12BF" w14:textId="168CF1FB" w:rsidR="004014A9" w:rsidRPr="004014A9" w:rsidRDefault="004014A9" w:rsidP="004014A9">
                            <w:pPr>
                              <w:tabs>
                                <w:tab w:val="left" w:pos="709"/>
                              </w:tabs>
                              <w:autoSpaceDE w:val="0"/>
                              <w:autoSpaceDN w:val="0"/>
                              <w:adjustRightInd w:val="0"/>
                              <w:spacing w:before="120" w:after="60"/>
                              <w:jc w:val="both"/>
                              <w:rPr>
                                <w:b/>
                                <w:color w:val="FFFFFF" w:themeColor="background1"/>
                              </w:rPr>
                            </w:pPr>
                            <w:r w:rsidRPr="004014A9">
                              <w:rPr>
                                <w:b/>
                                <w:color w:val="FFFFFF" w:themeColor="background1"/>
                              </w:rPr>
                              <w:t>Last updated on 1</w:t>
                            </w:r>
                            <w:r w:rsidR="00730462">
                              <w:rPr>
                                <w:b/>
                                <w:color w:val="FFFFFF" w:themeColor="background1"/>
                              </w:rPr>
                              <w:t>0</w:t>
                            </w:r>
                            <w:r w:rsidRPr="004014A9">
                              <w:rPr>
                                <w:b/>
                                <w:color w:val="FFFFFF" w:themeColor="background1"/>
                              </w:rPr>
                              <w:t xml:space="preserve"> February 2024</w:t>
                            </w:r>
                          </w:p>
                          <w:p w14:paraId="0481E0FD" w14:textId="77777777" w:rsidR="004014A9" w:rsidRPr="00ED0D98" w:rsidRDefault="004014A9" w:rsidP="004014A9">
                            <w:pPr>
                              <w:spacing w:after="160" w:line="259" w:lineRule="auto"/>
                              <w:jc w:val="right"/>
                              <w:rPr>
                                <w:b/>
                                <w:bCs/>
                                <w:color w:val="FFFFFF" w:themeColor="background1"/>
                                <w:sz w:val="48"/>
                                <w:szCs w:val="48"/>
                              </w:rPr>
                            </w:pP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7CCF6F11" id="Rectangle 1819855696" o:spid="_x0000_s1028" style="position:absolute;margin-left:305.05pt;margin-top:60pt;width:280.85pt;height:57.3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" filled="f" stroked="f">
                <v:textbox inset="0,0,0,0">
                  <w:txbxContent>
                    <w:p w14:paraId="0ADE12BF" w14:textId="168CF1FB" w:rsidR="004014A9" w:rsidRPr="004014A9" w:rsidRDefault="004014A9" w:rsidP="004014A9">
                      <w:pPr>
                        <w:tabs>
                          <w:tab w:val="left" w:pos="709"/>
                        </w:tabs>
                        <w:autoSpaceDE w:val="0"/>
                        <w:autoSpaceDN w:val="0"/>
                        <w:adjustRightInd w:val="0"/>
                        <w:spacing w:before="120" w:after="60"/>
                        <w:jc w:val="both"/>
                        <w:rPr>
                          <w:b/>
                          <w:color w:val="FFFFFF" w:themeColor="background1"/>
                        </w:rPr>
                      </w:pPr>
                      <w:r w:rsidRPr="004014A9">
                        <w:rPr>
                          <w:b/>
                          <w:color w:val="FFFFFF" w:themeColor="background1"/>
                        </w:rPr>
                        <w:t>Last updated on 1</w:t>
                      </w:r>
                      <w:r w:rsidR="00730462">
                        <w:rPr>
                          <w:b/>
                          <w:color w:val="FFFFFF" w:themeColor="background1"/>
                        </w:rPr>
                        <w:t>0</w:t>
                      </w:r>
                      <w:r w:rsidRPr="004014A9">
                        <w:rPr>
                          <w:b/>
                          <w:color w:val="FFFFFF" w:themeColor="background1"/>
                        </w:rPr>
                        <w:t xml:space="preserve"> February 2024</w:t>
                      </w:r>
                    </w:p>
                    <w:p w14:paraId="0481E0FD" w14:textId="77777777" w:rsidR="004014A9" w:rsidRPr="00ED0D98" w:rsidRDefault="004014A9" w:rsidP="004014A9">
                      <w:pPr>
                        <w:spacing w:after="160" w:line="259" w:lineRule="auto"/>
                        <w:jc w:val="right"/>
                        <w:rPr>
                          <w:b/>
                          <w:bCs/>
                          <w:color w:val="FFFFFF" w:themeColor="background1"/>
                          <w:sz w:val="48"/>
                          <w:szCs w:val="48"/>
                        </w:rPr>
                      </w:pPr>
                    </w:p>
                  </w:txbxContent>
                </v:textbox>
              </v:rect>
            </w:pict>
          </mc:Fallback>
        </mc:AlternateContent>
      </w:r>
    </w:p>
    <w:p w14:paraId="36551F31" w14:textId="77777777" w:rsidR="00AB294D" w:rsidRPr="00AE6BE1" w:rsidRDefault="00AB294D" w:rsidP="00AB294D">
      <w:pPr>
        <w:spacing w:after="240"/>
        <w:rPr>
          <w:b/>
          <w:bCs/>
          <w:sz w:val="28"/>
          <w:szCs w:val="28"/>
        </w:rPr>
        <w:sectPr w:rsidR="00AB294D" w:rsidRPr="00AE6BE1" w:rsidSect="007C52E8">
          <w:headerReference w:type="even" r:id="rId13"/>
          <w:headerReference w:type="default" r:id="rId14"/>
          <w:footerReference w:type="even" r:id="rId15"/>
          <w:footerReference w:type="default" r:id="rId16"/>
          <w:footerReference w:type="first" r:id="rId17"/>
          <w:pgSz w:w="11906" w:h="16838" w:code="9"/>
          <w:pgMar w:top="1134" w:right="1134" w:bottom="142" w:left="1276" w:header="709" w:footer="709" w:gutter="0"/>
          <w:cols w:space="708"/>
          <w:titlePg/>
          <w:docGrid w:linePitch="360"/>
        </w:sectPr>
      </w:pPr>
    </w:p>
    <w:p w14:paraId="55C97824" w14:textId="77777777" w:rsidR="00CE6087" w:rsidRPr="00CE6087" w:rsidRDefault="00CE6087" w:rsidP="00CE6087">
      <w:pPr>
        <w:spacing w:line="259" w:lineRule="auto"/>
        <w:rPr>
          <w:rFonts w:eastAsia="Arial"/>
          <w:b/>
          <w:color w:val="000000"/>
          <w:kern w:val="2"/>
          <w:szCs w:val="22"/>
          <w:lang w:eastAsia="en-GB"/>
          <w14:ligatures w14:val="standardContextual"/>
        </w:rPr>
      </w:pPr>
    </w:p>
    <w:sdt>
      <w:sdtPr>
        <w:rPr>
          <w:rFonts w:eastAsia="Arial"/>
          <w:kern w:val="2"/>
          <w:sz w:val="22"/>
          <w:szCs w:val="22"/>
          <w:lang w:eastAsia="en-GB"/>
          <w14:ligatures w14:val="standardContextual"/>
        </w:rPr>
        <w:id w:val="2091113281"/>
        <w:docPartObj>
          <w:docPartGallery w:val="Table of Contents"/>
        </w:docPartObj>
      </w:sdtPr>
      <w:sdtContent>
        <w:p w14:paraId="2D12CF20" w14:textId="77777777" w:rsidR="00CE6087" w:rsidRPr="00CE6087" w:rsidRDefault="00CE6087" w:rsidP="00CE6087">
          <w:pPr>
            <w:spacing w:after="292" w:line="259" w:lineRule="auto"/>
            <w:rPr>
              <w:rFonts w:eastAsia="Arial"/>
              <w:kern w:val="2"/>
              <w:sz w:val="22"/>
              <w:szCs w:val="22"/>
              <w:lang w:eastAsia="en-GB"/>
              <w14:ligatures w14:val="standardContextual"/>
            </w:rPr>
          </w:pPr>
          <w:r w:rsidRPr="00CE6087">
            <w:rPr>
              <w:rFonts w:eastAsia="Arial"/>
              <w:b/>
              <w:kern w:val="2"/>
              <w:sz w:val="32"/>
              <w:szCs w:val="22"/>
              <w:lang w:eastAsia="en-GB"/>
              <w14:ligatures w14:val="standardContextual"/>
            </w:rPr>
            <w:t xml:space="preserve">Contents </w:t>
          </w:r>
        </w:p>
        <w:p w14:paraId="45A0D47E" w14:textId="77777777" w:rsidR="00CE6087" w:rsidRPr="00CE6087" w:rsidRDefault="00CE6087" w:rsidP="00CE6087">
          <w:pPr>
            <w:spacing w:line="259" w:lineRule="auto"/>
            <w:rPr>
              <w:rFonts w:eastAsia="Arial"/>
              <w:kern w:val="2"/>
              <w:sz w:val="22"/>
              <w:szCs w:val="22"/>
              <w:lang w:eastAsia="en-GB"/>
              <w14:ligatures w14:val="standardContextual"/>
            </w:rPr>
          </w:pPr>
          <w:r w:rsidRPr="00CE6087">
            <w:rPr>
              <w:rFonts w:eastAsia="Arial"/>
              <w:kern w:val="2"/>
              <w:szCs w:val="22"/>
              <w:lang w:eastAsia="en-GB"/>
              <w14:ligatures w14:val="standardContextual"/>
            </w:rPr>
            <w:t xml:space="preserve"> </w:t>
          </w:r>
        </w:p>
        <w:p w14:paraId="4CECF3B8" w14:textId="2FD7C5F7" w:rsidR="00945835" w:rsidRDefault="00CE6087">
          <w:pPr>
            <w:pStyle w:val="TOC1"/>
            <w:rPr>
              <w:rFonts w:asciiTheme="minorHAnsi" w:eastAsiaTheme="minorEastAsia" w:hAnsiTheme="minorHAnsi" w:cstheme="minorBidi"/>
              <w:noProof/>
              <w:kern w:val="2"/>
              <w:lang w:eastAsia="en-GB"/>
              <w14:ligatures w14:val="standardContextual"/>
            </w:rPr>
          </w:pPr>
          <w:r w:rsidRPr="00CE6087">
            <w:rPr>
              <w:rFonts w:eastAsia="Arial"/>
              <w:b/>
              <w:kern w:val="2"/>
              <w:szCs w:val="22"/>
              <w:lang w:eastAsia="en-GB"/>
              <w14:ligatures w14:val="standardContextual"/>
            </w:rPr>
            <w:fldChar w:fldCharType="begin"/>
          </w:r>
          <w:r w:rsidRPr="00CE6087">
            <w:rPr>
              <w:rFonts w:eastAsia="Arial"/>
              <w:b/>
              <w:kern w:val="2"/>
              <w:szCs w:val="22"/>
              <w:lang w:eastAsia="en-GB"/>
              <w14:ligatures w14:val="standardContextual"/>
            </w:rPr>
            <w:instrText xml:space="preserve"> TOC \o "1-1" \h \z \u </w:instrText>
          </w:r>
          <w:r w:rsidRPr="00CE6087">
            <w:rPr>
              <w:rFonts w:eastAsia="Arial"/>
              <w:b/>
              <w:kern w:val="2"/>
              <w:szCs w:val="22"/>
              <w:lang w:eastAsia="en-GB"/>
              <w14:ligatures w14:val="standardContextual"/>
            </w:rPr>
            <w:fldChar w:fldCharType="separate"/>
          </w:r>
          <w:hyperlink w:anchor="_Toc161232876" w:history="1">
            <w:r w:rsidR="00945835" w:rsidRPr="00BB401C">
              <w:rPr>
                <w:rStyle w:val="Hyperlink"/>
                <w:rFonts w:ascii="Rockwell" w:eastAsia="Arial" w:hAnsi="Rockwell"/>
                <w:b/>
                <w:noProof/>
                <w:lang w:eastAsia="en-GB"/>
              </w:rPr>
              <w:t>1.</w:t>
            </w:r>
            <w:r w:rsidR="00945835">
              <w:rPr>
                <w:rFonts w:asciiTheme="minorHAnsi" w:eastAsiaTheme="minorEastAsia" w:hAnsiTheme="minorHAnsi" w:cstheme="minorBidi"/>
                <w:noProof/>
                <w:kern w:val="2"/>
                <w:lang w:eastAsia="en-GB"/>
                <w14:ligatures w14:val="standardContextual"/>
              </w:rPr>
              <w:tab/>
            </w:r>
            <w:r w:rsidR="00945835" w:rsidRPr="00BB401C">
              <w:rPr>
                <w:rStyle w:val="Hyperlink"/>
                <w:rFonts w:ascii="Rockwell" w:eastAsia="Arial" w:hAnsi="Rockwell"/>
                <w:b/>
                <w:noProof/>
                <w:lang w:eastAsia="en-GB"/>
              </w:rPr>
              <w:t>Background</w:t>
            </w:r>
            <w:r w:rsidR="00945835">
              <w:rPr>
                <w:noProof/>
                <w:webHidden/>
              </w:rPr>
              <w:tab/>
            </w:r>
            <w:r w:rsidR="00945835">
              <w:rPr>
                <w:noProof/>
                <w:webHidden/>
              </w:rPr>
              <w:fldChar w:fldCharType="begin"/>
            </w:r>
            <w:r w:rsidR="00945835">
              <w:rPr>
                <w:noProof/>
                <w:webHidden/>
              </w:rPr>
              <w:instrText xml:space="preserve"> PAGEREF _Toc161232876 \h </w:instrText>
            </w:r>
            <w:r w:rsidR="00945835">
              <w:rPr>
                <w:noProof/>
                <w:webHidden/>
              </w:rPr>
            </w:r>
            <w:r w:rsidR="00945835">
              <w:rPr>
                <w:noProof/>
                <w:webHidden/>
              </w:rPr>
              <w:fldChar w:fldCharType="separate"/>
            </w:r>
            <w:r w:rsidR="00945835">
              <w:rPr>
                <w:noProof/>
                <w:webHidden/>
              </w:rPr>
              <w:t>3</w:t>
            </w:r>
            <w:r w:rsidR="00945835">
              <w:rPr>
                <w:noProof/>
                <w:webHidden/>
              </w:rPr>
              <w:fldChar w:fldCharType="end"/>
            </w:r>
          </w:hyperlink>
        </w:p>
        <w:p w14:paraId="394EC42B" w14:textId="461A2790" w:rsidR="00945835" w:rsidRDefault="00945835">
          <w:pPr>
            <w:pStyle w:val="TOC1"/>
            <w:rPr>
              <w:rFonts w:asciiTheme="minorHAnsi" w:eastAsiaTheme="minorEastAsia" w:hAnsiTheme="minorHAnsi" w:cstheme="minorBidi"/>
              <w:noProof/>
              <w:kern w:val="2"/>
              <w:lang w:eastAsia="en-GB"/>
              <w14:ligatures w14:val="standardContextual"/>
            </w:rPr>
          </w:pPr>
          <w:hyperlink w:anchor="_Toc161232877" w:history="1">
            <w:r w:rsidRPr="00BB401C">
              <w:rPr>
                <w:rStyle w:val="Hyperlink"/>
                <w:rFonts w:ascii="Rockwell" w:eastAsia="Arial" w:hAnsi="Rockwell"/>
                <w:b/>
                <w:noProof/>
                <w:lang w:eastAsia="en-GB"/>
              </w:rPr>
              <w:t xml:space="preserve">2. </w:t>
            </w:r>
            <w:r>
              <w:rPr>
                <w:rFonts w:asciiTheme="minorHAnsi" w:eastAsiaTheme="minorEastAsia" w:hAnsiTheme="minorHAnsi" w:cstheme="minorBidi"/>
                <w:noProof/>
                <w:kern w:val="2"/>
                <w:lang w:eastAsia="en-GB"/>
                <w14:ligatures w14:val="standardContextual"/>
              </w:rPr>
              <w:tab/>
            </w:r>
            <w:r w:rsidRPr="00BB401C">
              <w:rPr>
                <w:rStyle w:val="Hyperlink"/>
                <w:rFonts w:ascii="Rockwell" w:eastAsia="Arial" w:hAnsi="Rockwell"/>
                <w:b/>
                <w:noProof/>
                <w:lang w:eastAsia="en-GB"/>
              </w:rPr>
              <w:t>Medium Term Financial Strategy</w:t>
            </w:r>
            <w:r>
              <w:rPr>
                <w:noProof/>
                <w:webHidden/>
              </w:rPr>
              <w:tab/>
            </w:r>
            <w:r>
              <w:rPr>
                <w:noProof/>
                <w:webHidden/>
              </w:rPr>
              <w:fldChar w:fldCharType="begin"/>
            </w:r>
            <w:r>
              <w:rPr>
                <w:noProof/>
                <w:webHidden/>
              </w:rPr>
              <w:instrText xml:space="preserve"> PAGEREF _Toc161232877 \h </w:instrText>
            </w:r>
            <w:r>
              <w:rPr>
                <w:noProof/>
                <w:webHidden/>
              </w:rPr>
            </w:r>
            <w:r>
              <w:rPr>
                <w:noProof/>
                <w:webHidden/>
              </w:rPr>
              <w:fldChar w:fldCharType="separate"/>
            </w:r>
            <w:r>
              <w:rPr>
                <w:noProof/>
                <w:webHidden/>
              </w:rPr>
              <w:t>5</w:t>
            </w:r>
            <w:r>
              <w:rPr>
                <w:noProof/>
                <w:webHidden/>
              </w:rPr>
              <w:fldChar w:fldCharType="end"/>
            </w:r>
          </w:hyperlink>
        </w:p>
        <w:p w14:paraId="1DC875CC" w14:textId="71BA0AD3" w:rsidR="00945835" w:rsidRDefault="00945835">
          <w:pPr>
            <w:pStyle w:val="TOC1"/>
            <w:rPr>
              <w:rFonts w:asciiTheme="minorHAnsi" w:eastAsiaTheme="minorEastAsia" w:hAnsiTheme="minorHAnsi" w:cstheme="minorBidi"/>
              <w:noProof/>
              <w:kern w:val="2"/>
              <w:lang w:eastAsia="en-GB"/>
              <w14:ligatures w14:val="standardContextual"/>
            </w:rPr>
          </w:pPr>
          <w:hyperlink w:anchor="_Toc161232878" w:history="1">
            <w:r w:rsidRPr="00BB401C">
              <w:rPr>
                <w:rStyle w:val="Hyperlink"/>
                <w:rFonts w:eastAsia="Arial"/>
                <w:b/>
                <w:noProof/>
                <w:lang w:eastAsia="en-GB"/>
              </w:rPr>
              <w:t xml:space="preserve">3. </w:t>
            </w:r>
            <w:r>
              <w:rPr>
                <w:rFonts w:asciiTheme="minorHAnsi" w:eastAsiaTheme="minorEastAsia" w:hAnsiTheme="minorHAnsi" w:cstheme="minorBidi"/>
                <w:noProof/>
                <w:kern w:val="2"/>
                <w:lang w:eastAsia="en-GB"/>
                <w14:ligatures w14:val="standardContextual"/>
              </w:rPr>
              <w:tab/>
            </w:r>
            <w:r w:rsidRPr="00BB401C">
              <w:rPr>
                <w:rStyle w:val="Hyperlink"/>
                <w:rFonts w:eastAsia="Arial"/>
                <w:b/>
                <w:noProof/>
                <w:lang w:eastAsia="en-GB"/>
              </w:rPr>
              <w:t>Assumptions and Sensitivity Analysis</w:t>
            </w:r>
            <w:r>
              <w:rPr>
                <w:noProof/>
                <w:webHidden/>
              </w:rPr>
              <w:tab/>
            </w:r>
            <w:r>
              <w:rPr>
                <w:noProof/>
                <w:webHidden/>
              </w:rPr>
              <w:fldChar w:fldCharType="begin"/>
            </w:r>
            <w:r>
              <w:rPr>
                <w:noProof/>
                <w:webHidden/>
              </w:rPr>
              <w:instrText xml:space="preserve"> PAGEREF _Toc161232878 \h </w:instrText>
            </w:r>
            <w:r>
              <w:rPr>
                <w:noProof/>
                <w:webHidden/>
              </w:rPr>
            </w:r>
            <w:r>
              <w:rPr>
                <w:noProof/>
                <w:webHidden/>
              </w:rPr>
              <w:fldChar w:fldCharType="separate"/>
            </w:r>
            <w:r>
              <w:rPr>
                <w:noProof/>
                <w:webHidden/>
              </w:rPr>
              <w:t>6</w:t>
            </w:r>
            <w:r>
              <w:rPr>
                <w:noProof/>
                <w:webHidden/>
              </w:rPr>
              <w:fldChar w:fldCharType="end"/>
            </w:r>
          </w:hyperlink>
        </w:p>
        <w:p w14:paraId="2E5BD439" w14:textId="185BAB18" w:rsidR="00945835" w:rsidRDefault="00945835">
          <w:pPr>
            <w:pStyle w:val="TOC1"/>
            <w:rPr>
              <w:rFonts w:asciiTheme="minorHAnsi" w:eastAsiaTheme="minorEastAsia" w:hAnsiTheme="minorHAnsi" w:cstheme="minorBidi"/>
              <w:noProof/>
              <w:kern w:val="2"/>
              <w:lang w:eastAsia="en-GB"/>
              <w14:ligatures w14:val="standardContextual"/>
            </w:rPr>
          </w:pPr>
          <w:hyperlink w:anchor="_Toc161232879" w:history="1">
            <w:r w:rsidRPr="00BB401C">
              <w:rPr>
                <w:rStyle w:val="Hyperlink"/>
                <w:rFonts w:ascii="Rockwell" w:eastAsia="Arial" w:hAnsi="Rockwell"/>
                <w:b/>
                <w:noProof/>
                <w:lang w:eastAsia="en-GB"/>
              </w:rPr>
              <w:t xml:space="preserve">4. </w:t>
            </w:r>
            <w:r>
              <w:rPr>
                <w:rFonts w:asciiTheme="minorHAnsi" w:eastAsiaTheme="minorEastAsia" w:hAnsiTheme="minorHAnsi" w:cstheme="minorBidi"/>
                <w:noProof/>
                <w:kern w:val="2"/>
                <w:lang w:eastAsia="en-GB"/>
                <w14:ligatures w14:val="standardContextual"/>
              </w:rPr>
              <w:tab/>
            </w:r>
            <w:r w:rsidRPr="00BB401C">
              <w:rPr>
                <w:rStyle w:val="Hyperlink"/>
                <w:rFonts w:ascii="Rockwell" w:eastAsia="Arial" w:hAnsi="Rockwell"/>
                <w:b/>
                <w:noProof/>
                <w:lang w:eastAsia="en-GB"/>
              </w:rPr>
              <w:t>Risks</w:t>
            </w:r>
            <w:r>
              <w:rPr>
                <w:noProof/>
                <w:webHidden/>
              </w:rPr>
              <w:tab/>
            </w:r>
            <w:r>
              <w:rPr>
                <w:noProof/>
                <w:webHidden/>
              </w:rPr>
              <w:fldChar w:fldCharType="begin"/>
            </w:r>
            <w:r>
              <w:rPr>
                <w:noProof/>
                <w:webHidden/>
              </w:rPr>
              <w:instrText xml:space="preserve"> PAGEREF _Toc161232879 \h </w:instrText>
            </w:r>
            <w:r>
              <w:rPr>
                <w:noProof/>
                <w:webHidden/>
              </w:rPr>
            </w:r>
            <w:r>
              <w:rPr>
                <w:noProof/>
                <w:webHidden/>
              </w:rPr>
              <w:fldChar w:fldCharType="separate"/>
            </w:r>
            <w:r>
              <w:rPr>
                <w:noProof/>
                <w:webHidden/>
              </w:rPr>
              <w:t>9</w:t>
            </w:r>
            <w:r>
              <w:rPr>
                <w:noProof/>
                <w:webHidden/>
              </w:rPr>
              <w:fldChar w:fldCharType="end"/>
            </w:r>
          </w:hyperlink>
        </w:p>
        <w:p w14:paraId="13E962A1" w14:textId="37E38076" w:rsidR="00945835" w:rsidRDefault="00945835">
          <w:pPr>
            <w:pStyle w:val="TOC1"/>
            <w:rPr>
              <w:rFonts w:asciiTheme="minorHAnsi" w:eastAsiaTheme="minorEastAsia" w:hAnsiTheme="minorHAnsi" w:cstheme="minorBidi"/>
              <w:noProof/>
              <w:kern w:val="2"/>
              <w:lang w:eastAsia="en-GB"/>
              <w14:ligatures w14:val="standardContextual"/>
            </w:rPr>
          </w:pPr>
          <w:hyperlink w:anchor="_Toc161232880" w:history="1">
            <w:r w:rsidRPr="00BB401C">
              <w:rPr>
                <w:rStyle w:val="Hyperlink"/>
                <w:rFonts w:ascii="Rockwell" w:eastAsia="Arial" w:hAnsi="Rockwell"/>
                <w:b/>
                <w:noProof/>
                <w:lang w:eastAsia="en-GB"/>
              </w:rPr>
              <w:t xml:space="preserve">5. </w:t>
            </w:r>
            <w:r>
              <w:rPr>
                <w:rFonts w:asciiTheme="minorHAnsi" w:eastAsiaTheme="minorEastAsia" w:hAnsiTheme="minorHAnsi" w:cstheme="minorBidi"/>
                <w:noProof/>
                <w:kern w:val="2"/>
                <w:lang w:eastAsia="en-GB"/>
                <w14:ligatures w14:val="standardContextual"/>
              </w:rPr>
              <w:tab/>
            </w:r>
            <w:r w:rsidRPr="00BB401C">
              <w:rPr>
                <w:rStyle w:val="Hyperlink"/>
                <w:rFonts w:ascii="Rockwell" w:eastAsia="Arial" w:hAnsi="Rockwell"/>
                <w:b/>
                <w:noProof/>
                <w:lang w:eastAsia="en-GB"/>
              </w:rPr>
              <w:t>Governance</w:t>
            </w:r>
            <w:r>
              <w:rPr>
                <w:noProof/>
                <w:webHidden/>
              </w:rPr>
              <w:tab/>
            </w:r>
            <w:r>
              <w:rPr>
                <w:noProof/>
                <w:webHidden/>
              </w:rPr>
              <w:fldChar w:fldCharType="begin"/>
            </w:r>
            <w:r>
              <w:rPr>
                <w:noProof/>
                <w:webHidden/>
              </w:rPr>
              <w:instrText xml:space="preserve"> PAGEREF _Toc161232880 \h </w:instrText>
            </w:r>
            <w:r>
              <w:rPr>
                <w:noProof/>
                <w:webHidden/>
              </w:rPr>
            </w:r>
            <w:r>
              <w:rPr>
                <w:noProof/>
                <w:webHidden/>
              </w:rPr>
              <w:fldChar w:fldCharType="separate"/>
            </w:r>
            <w:r>
              <w:rPr>
                <w:noProof/>
                <w:webHidden/>
              </w:rPr>
              <w:t>10</w:t>
            </w:r>
            <w:r>
              <w:rPr>
                <w:noProof/>
                <w:webHidden/>
              </w:rPr>
              <w:fldChar w:fldCharType="end"/>
            </w:r>
          </w:hyperlink>
        </w:p>
        <w:p w14:paraId="7B797EBF" w14:textId="46E0237D" w:rsidR="00945835" w:rsidRDefault="00945835">
          <w:pPr>
            <w:pStyle w:val="TOC1"/>
            <w:rPr>
              <w:rFonts w:asciiTheme="minorHAnsi" w:eastAsiaTheme="minorEastAsia" w:hAnsiTheme="minorHAnsi" w:cstheme="minorBidi"/>
              <w:noProof/>
              <w:kern w:val="2"/>
              <w:lang w:eastAsia="en-GB"/>
              <w14:ligatures w14:val="standardContextual"/>
            </w:rPr>
          </w:pPr>
          <w:hyperlink w:anchor="_Toc161232881" w:history="1">
            <w:r w:rsidRPr="00BB401C">
              <w:rPr>
                <w:rStyle w:val="Hyperlink"/>
                <w:rFonts w:ascii="Rockwell" w:eastAsia="Arial" w:hAnsi="Rockwell"/>
                <w:b/>
                <w:noProof/>
                <w:lang w:eastAsia="en-GB"/>
              </w:rPr>
              <w:t xml:space="preserve">6. </w:t>
            </w:r>
            <w:r>
              <w:rPr>
                <w:rFonts w:asciiTheme="minorHAnsi" w:eastAsiaTheme="minorEastAsia" w:hAnsiTheme="minorHAnsi" w:cstheme="minorBidi"/>
                <w:noProof/>
                <w:kern w:val="2"/>
                <w:lang w:eastAsia="en-GB"/>
                <w14:ligatures w14:val="standardContextual"/>
              </w:rPr>
              <w:tab/>
            </w:r>
            <w:r w:rsidRPr="00BB401C">
              <w:rPr>
                <w:rStyle w:val="Hyperlink"/>
                <w:rFonts w:ascii="Rockwell" w:eastAsia="Arial" w:hAnsi="Rockwell"/>
                <w:b/>
                <w:noProof/>
                <w:lang w:eastAsia="en-GB"/>
              </w:rPr>
              <w:t>Related Strategies</w:t>
            </w:r>
            <w:r>
              <w:rPr>
                <w:noProof/>
                <w:webHidden/>
              </w:rPr>
              <w:tab/>
            </w:r>
            <w:r>
              <w:rPr>
                <w:noProof/>
                <w:webHidden/>
              </w:rPr>
              <w:fldChar w:fldCharType="begin"/>
            </w:r>
            <w:r>
              <w:rPr>
                <w:noProof/>
                <w:webHidden/>
              </w:rPr>
              <w:instrText xml:space="preserve"> PAGEREF _Toc161232881 \h </w:instrText>
            </w:r>
            <w:r>
              <w:rPr>
                <w:noProof/>
                <w:webHidden/>
              </w:rPr>
            </w:r>
            <w:r>
              <w:rPr>
                <w:noProof/>
                <w:webHidden/>
              </w:rPr>
              <w:fldChar w:fldCharType="separate"/>
            </w:r>
            <w:r>
              <w:rPr>
                <w:noProof/>
                <w:webHidden/>
              </w:rPr>
              <w:t>10</w:t>
            </w:r>
            <w:r>
              <w:rPr>
                <w:noProof/>
                <w:webHidden/>
              </w:rPr>
              <w:fldChar w:fldCharType="end"/>
            </w:r>
          </w:hyperlink>
        </w:p>
        <w:p w14:paraId="732FDB3E" w14:textId="7F00516E" w:rsidR="00CE6087" w:rsidRPr="00CE6087" w:rsidRDefault="00CE6087" w:rsidP="00CE6087">
          <w:pPr>
            <w:spacing w:after="231" w:line="248" w:lineRule="auto"/>
            <w:ind w:left="577" w:right="2" w:hanging="10"/>
            <w:jc w:val="both"/>
            <w:rPr>
              <w:rFonts w:eastAsia="Arial"/>
              <w:kern w:val="2"/>
              <w:sz w:val="22"/>
              <w:szCs w:val="22"/>
              <w:lang w:eastAsia="en-GB"/>
              <w14:ligatures w14:val="standardContextual"/>
            </w:rPr>
          </w:pPr>
          <w:r w:rsidRPr="00CE6087">
            <w:rPr>
              <w:rFonts w:eastAsia="Arial"/>
              <w:kern w:val="2"/>
              <w:sz w:val="22"/>
              <w:szCs w:val="22"/>
              <w:lang w:eastAsia="en-GB"/>
              <w14:ligatures w14:val="standardContextual"/>
            </w:rPr>
            <w:fldChar w:fldCharType="end"/>
          </w:r>
        </w:p>
      </w:sdtContent>
    </w:sdt>
    <w:p w14:paraId="0DFABC0F" w14:textId="77777777" w:rsidR="00CE6087" w:rsidRPr="00CE6087" w:rsidRDefault="00CE6087" w:rsidP="00CE6087">
      <w:pPr>
        <w:spacing w:line="259" w:lineRule="auto"/>
        <w:rPr>
          <w:rFonts w:eastAsia="Arial"/>
          <w:color w:val="000000"/>
          <w:kern w:val="2"/>
          <w:sz w:val="22"/>
          <w:szCs w:val="22"/>
          <w:lang w:eastAsia="en-GB"/>
          <w14:ligatures w14:val="standardContextual"/>
        </w:rPr>
      </w:pPr>
    </w:p>
    <w:p w14:paraId="670D3987" w14:textId="77777777" w:rsidR="00CE6087" w:rsidRPr="00CE6087" w:rsidRDefault="00CE6087" w:rsidP="00CE6087">
      <w:pPr>
        <w:spacing w:after="10754" w:line="259" w:lineRule="auto"/>
        <w:rPr>
          <w:rFonts w:eastAsia="Arial"/>
          <w:color w:val="000000"/>
          <w:kern w:val="2"/>
          <w:sz w:val="22"/>
          <w:szCs w:val="22"/>
          <w:lang w:eastAsia="en-GB"/>
          <w14:ligatures w14:val="standardContextual"/>
        </w:rPr>
      </w:pPr>
      <w:r w:rsidRPr="00CE6087">
        <w:rPr>
          <w:rFonts w:eastAsia="Arial"/>
          <w:b/>
          <w:color w:val="000000"/>
          <w:kern w:val="2"/>
          <w:szCs w:val="22"/>
          <w:lang w:eastAsia="en-GB"/>
          <w14:ligatures w14:val="standardContextual"/>
        </w:rPr>
        <w:t xml:space="preserve"> </w:t>
      </w:r>
      <w:r w:rsidRPr="00CE6087">
        <w:rPr>
          <w:rFonts w:eastAsia="Arial"/>
          <w:b/>
          <w:color w:val="000000"/>
          <w:kern w:val="2"/>
          <w:szCs w:val="22"/>
          <w:lang w:eastAsia="en-GB"/>
          <w14:ligatures w14:val="standardContextual"/>
        </w:rPr>
        <w:tab/>
        <w:t xml:space="preserve"> </w:t>
      </w:r>
    </w:p>
    <w:p w14:paraId="16B525D5" w14:textId="77777777" w:rsidR="00CE6087" w:rsidRPr="00CE6087" w:rsidRDefault="00CE6087" w:rsidP="00945835">
      <w:pPr>
        <w:keepNext/>
        <w:keepLines/>
        <w:numPr>
          <w:ilvl w:val="0"/>
          <w:numId w:val="4"/>
        </w:numPr>
        <w:spacing w:after="168" w:line="259" w:lineRule="auto"/>
        <w:ind w:left="426" w:right="2" w:hanging="426"/>
        <w:jc w:val="both"/>
        <w:outlineLvl w:val="0"/>
        <w:rPr>
          <w:rFonts w:ascii="Rockwell" w:eastAsia="Arial" w:hAnsi="Rockwell"/>
          <w:b/>
          <w:color w:val="000000"/>
          <w:kern w:val="2"/>
          <w:sz w:val="28"/>
          <w:szCs w:val="22"/>
          <w:u w:color="000000"/>
          <w:lang w:eastAsia="en-GB"/>
          <w14:ligatures w14:val="standardContextual"/>
        </w:rPr>
      </w:pPr>
      <w:bookmarkStart w:id="0" w:name="_Toc161232876"/>
      <w:r w:rsidRPr="00CE6087">
        <w:rPr>
          <w:rFonts w:ascii="Rockwell" w:eastAsia="Arial" w:hAnsi="Rockwell"/>
          <w:b/>
          <w:color w:val="000000"/>
          <w:kern w:val="2"/>
          <w:sz w:val="28"/>
          <w:szCs w:val="22"/>
          <w:u w:color="000000"/>
          <w:lang w:eastAsia="en-GB"/>
          <w14:ligatures w14:val="standardContextual"/>
        </w:rPr>
        <w:lastRenderedPageBreak/>
        <w:t>Background</w:t>
      </w:r>
      <w:bookmarkEnd w:id="0"/>
    </w:p>
    <w:p w14:paraId="3E790FA2" w14:textId="77777777" w:rsidR="00CE6087" w:rsidRPr="00CE6087" w:rsidRDefault="00CE6087" w:rsidP="00CE6087">
      <w:pPr>
        <w:spacing w:line="248" w:lineRule="auto"/>
        <w:ind w:left="426" w:right="61"/>
        <w:jc w:val="both"/>
        <w:rPr>
          <w:rFonts w:eastAsia="Arial"/>
          <w:color w:val="000000"/>
          <w:kern w:val="2"/>
          <w:sz w:val="22"/>
          <w:szCs w:val="22"/>
          <w:lang w:eastAsia="en-GB"/>
          <w14:ligatures w14:val="standardContextual"/>
        </w:rPr>
      </w:pPr>
      <w:r w:rsidRPr="00CE6087">
        <w:rPr>
          <w:rFonts w:eastAsia="Arial"/>
          <w:color w:val="000000"/>
          <w:kern w:val="2"/>
          <w:sz w:val="22"/>
          <w:szCs w:val="22"/>
          <w:lang w:eastAsia="en-GB"/>
          <w14:ligatures w14:val="standardContextual"/>
        </w:rPr>
        <w:t xml:space="preserve">The </w:t>
      </w:r>
      <w:proofErr w:type="gramStart"/>
      <w:r w:rsidRPr="00CE6087">
        <w:rPr>
          <w:rFonts w:eastAsia="Arial"/>
          <w:color w:val="000000"/>
          <w:kern w:val="2"/>
          <w:sz w:val="22"/>
          <w:szCs w:val="22"/>
          <w:lang w:eastAsia="en-GB"/>
          <w14:ligatures w14:val="standardContextual"/>
        </w:rPr>
        <w:t>Medium Term</w:t>
      </w:r>
      <w:proofErr w:type="gramEnd"/>
      <w:r w:rsidRPr="00CE6087">
        <w:rPr>
          <w:rFonts w:eastAsia="Arial"/>
          <w:color w:val="000000"/>
          <w:kern w:val="2"/>
          <w:sz w:val="22"/>
          <w:szCs w:val="22"/>
          <w:lang w:eastAsia="en-GB"/>
          <w14:ligatures w14:val="standardContextual"/>
        </w:rPr>
        <w:t xml:space="preserve"> Finance Strategy (MTFS) was presented at the 17 January 2024 Strategic Board following the publication of the draft Local Government Finance Settlement which was on 18</w:t>
      </w:r>
      <w:r w:rsidRPr="00CE6087">
        <w:rPr>
          <w:rFonts w:eastAsia="Arial"/>
          <w:color w:val="000000"/>
          <w:kern w:val="2"/>
          <w:sz w:val="22"/>
          <w:szCs w:val="22"/>
          <w:vertAlign w:val="superscript"/>
          <w:lang w:eastAsia="en-GB"/>
          <w14:ligatures w14:val="standardContextual"/>
        </w:rPr>
        <w:t xml:space="preserve"> </w:t>
      </w:r>
      <w:r w:rsidRPr="00CE6087">
        <w:rPr>
          <w:rFonts w:eastAsia="Arial"/>
          <w:color w:val="000000"/>
          <w:kern w:val="2"/>
          <w:sz w:val="22"/>
          <w:szCs w:val="22"/>
          <w:lang w:eastAsia="en-GB"/>
          <w14:ligatures w14:val="standardContextual"/>
        </w:rPr>
        <w:t>December 2023. The was presented alongside the 2024/25 budget proposal.</w:t>
      </w:r>
    </w:p>
    <w:p w14:paraId="4559821F" w14:textId="77777777" w:rsidR="00CE6087" w:rsidRPr="00CE6087" w:rsidRDefault="00CE6087" w:rsidP="00CE6087">
      <w:pPr>
        <w:spacing w:line="248" w:lineRule="auto"/>
        <w:ind w:left="426" w:right="61" w:hanging="10"/>
        <w:jc w:val="both"/>
        <w:rPr>
          <w:rFonts w:eastAsia="Arial"/>
          <w:color w:val="000000"/>
          <w:kern w:val="2"/>
          <w:sz w:val="22"/>
          <w:szCs w:val="22"/>
          <w:lang w:eastAsia="en-GB"/>
          <w14:ligatures w14:val="standardContextual"/>
        </w:rPr>
      </w:pPr>
    </w:p>
    <w:p w14:paraId="15E1AD57" w14:textId="77777777" w:rsidR="00CE6087" w:rsidRPr="00CE6087" w:rsidRDefault="00CE6087" w:rsidP="00CE6087">
      <w:pPr>
        <w:spacing w:after="231" w:line="248" w:lineRule="auto"/>
        <w:ind w:left="426" w:right="61" w:hanging="10"/>
        <w:jc w:val="both"/>
        <w:rPr>
          <w:rFonts w:eastAsia="Arial"/>
          <w:color w:val="000000"/>
          <w:kern w:val="2"/>
          <w:sz w:val="22"/>
          <w:szCs w:val="22"/>
          <w:lang w:eastAsia="en-GB"/>
          <w14:ligatures w14:val="standardContextual"/>
        </w:rPr>
      </w:pPr>
      <w:r w:rsidRPr="00CE6087">
        <w:rPr>
          <w:rFonts w:eastAsia="Arial"/>
          <w:color w:val="000000"/>
          <w:kern w:val="2"/>
          <w:sz w:val="22"/>
          <w:szCs w:val="22"/>
          <w:lang w:eastAsia="en-GB"/>
          <w14:ligatures w14:val="standardContextual"/>
        </w:rPr>
        <w:t>On 1</w:t>
      </w:r>
      <w:r w:rsidRPr="00CE6087">
        <w:rPr>
          <w:rFonts w:eastAsia="Arial"/>
          <w:color w:val="000000"/>
          <w:kern w:val="2"/>
          <w:sz w:val="22"/>
          <w:szCs w:val="22"/>
          <w:vertAlign w:val="superscript"/>
          <w:lang w:eastAsia="en-GB"/>
          <w14:ligatures w14:val="standardContextual"/>
        </w:rPr>
        <w:t>st</w:t>
      </w:r>
      <w:r w:rsidRPr="00CE6087">
        <w:rPr>
          <w:rFonts w:eastAsia="Arial"/>
          <w:color w:val="000000"/>
          <w:kern w:val="2"/>
          <w:sz w:val="22"/>
          <w:szCs w:val="22"/>
          <w:lang w:eastAsia="en-GB"/>
          <w14:ligatures w14:val="standardContextual"/>
        </w:rPr>
        <w:t xml:space="preserve"> February 2024, The Police, Fire and Crime Panel endorsed the PFCC’s decision to increase the Fire precept by 2.91% equivalent to an increase of £2.34 a year, from £80.28 to £82.62 for a Band D property, for the 2024/25 financial year. This MTFS alongside the budget for 2024/25 was included within the supporting papers for the precept proposal presented at the Police, Fire and Crime Panel on 1</w:t>
      </w:r>
      <w:r w:rsidRPr="00CE6087">
        <w:rPr>
          <w:rFonts w:eastAsia="Arial"/>
          <w:color w:val="000000"/>
          <w:kern w:val="2"/>
          <w:sz w:val="22"/>
          <w:szCs w:val="22"/>
          <w:vertAlign w:val="superscript"/>
          <w:lang w:eastAsia="en-GB"/>
          <w14:ligatures w14:val="standardContextual"/>
        </w:rPr>
        <w:t>st</w:t>
      </w:r>
      <w:r w:rsidRPr="00CE6087">
        <w:rPr>
          <w:rFonts w:eastAsia="Arial"/>
          <w:color w:val="000000"/>
          <w:kern w:val="2"/>
          <w:sz w:val="22"/>
          <w:szCs w:val="22"/>
          <w:lang w:eastAsia="en-GB"/>
          <w14:ligatures w14:val="standardContextual"/>
        </w:rPr>
        <w:t xml:space="preserve"> February 2024. </w:t>
      </w:r>
    </w:p>
    <w:p w14:paraId="0DC3A06D" w14:textId="77777777" w:rsidR="00CE6087" w:rsidRPr="00CE6087" w:rsidRDefault="00CE6087" w:rsidP="00CE6087">
      <w:pPr>
        <w:spacing w:after="240" w:line="248" w:lineRule="auto"/>
        <w:ind w:left="426" w:right="2"/>
        <w:jc w:val="both"/>
        <w:rPr>
          <w:color w:val="000000"/>
          <w:kern w:val="2"/>
          <w:sz w:val="22"/>
          <w:szCs w:val="22"/>
          <w14:ligatures w14:val="standardContextual"/>
        </w:rPr>
      </w:pPr>
      <w:r w:rsidRPr="00CE6087">
        <w:rPr>
          <w:color w:val="000000"/>
          <w:kern w:val="2"/>
          <w:sz w:val="22"/>
          <w:szCs w:val="22"/>
          <w14:ligatures w14:val="standardContextual"/>
        </w:rPr>
        <w:t>ECFRS is making is making good progress on delivering against the Fire and Rescue Plan priorities and, in acknowledgement of the considerable work still to do, has set the following as the improvement and investment areas for 2024-2025:</w:t>
      </w:r>
    </w:p>
    <w:p w14:paraId="24EE2375" w14:textId="77777777" w:rsidR="00CE6087" w:rsidRPr="00CE6087" w:rsidRDefault="00CE6087" w:rsidP="00CE6087">
      <w:pPr>
        <w:spacing w:after="240" w:line="248" w:lineRule="auto"/>
        <w:ind w:left="426" w:right="2" w:hanging="10"/>
        <w:jc w:val="both"/>
        <w:rPr>
          <w:b/>
          <w:bCs/>
          <w:color w:val="000000"/>
          <w:kern w:val="2"/>
          <w:sz w:val="22"/>
          <w:szCs w:val="22"/>
          <w14:ligatures w14:val="standardContextual"/>
        </w:rPr>
      </w:pPr>
      <w:r w:rsidRPr="00CE6087">
        <w:rPr>
          <w:b/>
          <w:bCs/>
          <w:color w:val="000000"/>
          <w:kern w:val="2"/>
          <w:sz w:val="22"/>
          <w:szCs w:val="22"/>
          <w14:ligatures w14:val="standardContextual"/>
        </w:rPr>
        <w:t xml:space="preserve">Service Delivery </w:t>
      </w:r>
    </w:p>
    <w:p w14:paraId="5ED2F946" w14:textId="77777777" w:rsidR="00CE6087" w:rsidRPr="00CE6087" w:rsidRDefault="00CE6087" w:rsidP="00CE6087">
      <w:pPr>
        <w:widowControl w:val="0"/>
        <w:autoSpaceDE w:val="0"/>
        <w:autoSpaceDN w:val="0"/>
        <w:spacing w:after="240"/>
        <w:ind w:left="426"/>
        <w:jc w:val="both"/>
        <w:rPr>
          <w:sz w:val="22"/>
          <w:szCs w:val="22"/>
        </w:rPr>
      </w:pPr>
      <w:r w:rsidRPr="00CE6087">
        <w:rPr>
          <w:sz w:val="22"/>
          <w:szCs w:val="22"/>
        </w:rPr>
        <w:t xml:space="preserve">ECFRS is making good progress on delivering against the Fire and Rescue Plan priorities and associated improvement activities within the IRMP. Both of which are in the final year and work has already begun on identification of the improvement and investment areas for 2025-2029. </w:t>
      </w:r>
    </w:p>
    <w:p w14:paraId="5EB1CDFE" w14:textId="77777777" w:rsidR="00CE6087" w:rsidRPr="00CE6087" w:rsidRDefault="00CE6087" w:rsidP="00CE6087">
      <w:pPr>
        <w:widowControl w:val="0"/>
        <w:autoSpaceDE w:val="0"/>
        <w:autoSpaceDN w:val="0"/>
        <w:spacing w:after="240"/>
        <w:ind w:left="426"/>
        <w:jc w:val="both"/>
        <w:rPr>
          <w:sz w:val="22"/>
          <w:szCs w:val="22"/>
        </w:rPr>
      </w:pPr>
      <w:r w:rsidRPr="00CE6087">
        <w:rPr>
          <w:sz w:val="22"/>
          <w:szCs w:val="22"/>
        </w:rPr>
        <w:t xml:space="preserve">Within the context of closing out the activity required to make the improvements detailed in our current plans the Service is focussed upon the following priority areas. </w:t>
      </w:r>
    </w:p>
    <w:p w14:paraId="663861C3" w14:textId="77777777" w:rsidR="00CE6087" w:rsidRPr="00CE6087" w:rsidRDefault="00CE6087" w:rsidP="00CE6087">
      <w:pPr>
        <w:widowControl w:val="0"/>
        <w:autoSpaceDE w:val="0"/>
        <w:autoSpaceDN w:val="0"/>
        <w:spacing w:after="240"/>
        <w:ind w:left="426"/>
        <w:jc w:val="both"/>
        <w:rPr>
          <w:sz w:val="22"/>
          <w:szCs w:val="22"/>
        </w:rPr>
      </w:pPr>
      <w:r w:rsidRPr="00CE6087">
        <w:rPr>
          <w:sz w:val="22"/>
          <w:szCs w:val="22"/>
        </w:rPr>
        <w:t xml:space="preserve">The Service has over the past 3 years invested heavily in the resources, skills and competencies required to ensure it can meet increases in demand on legislative fire safety. </w:t>
      </w:r>
      <w:r w:rsidRPr="00CE6087">
        <w:rPr>
          <w:b/>
          <w:bCs/>
          <w:sz w:val="22"/>
          <w:szCs w:val="22"/>
        </w:rPr>
        <w:t xml:space="preserve">The Service has a commitment to embed the investment made in Fire Protection </w:t>
      </w:r>
      <w:r w:rsidRPr="00CE6087">
        <w:rPr>
          <w:sz w:val="22"/>
          <w:szCs w:val="22"/>
        </w:rPr>
        <w:t xml:space="preserve">to ensure it has sufficient resources to meet the needs of the Risk Based Inspection Programme, support business and take proportionate enforcement action where required. </w:t>
      </w:r>
    </w:p>
    <w:p w14:paraId="1C0B638A" w14:textId="77777777" w:rsidR="00CE6087" w:rsidRPr="00CE6087" w:rsidRDefault="00CE6087" w:rsidP="00CE6087">
      <w:pPr>
        <w:widowControl w:val="0"/>
        <w:autoSpaceDE w:val="0"/>
        <w:autoSpaceDN w:val="0"/>
        <w:spacing w:after="240"/>
        <w:ind w:left="426"/>
        <w:jc w:val="both"/>
        <w:rPr>
          <w:sz w:val="22"/>
          <w:szCs w:val="22"/>
        </w:rPr>
      </w:pPr>
      <w:r w:rsidRPr="00CE6087">
        <w:rPr>
          <w:sz w:val="22"/>
          <w:szCs w:val="22"/>
        </w:rPr>
        <w:t xml:space="preserve">The Service continues to increase </w:t>
      </w:r>
      <w:r w:rsidRPr="00CE6087">
        <w:rPr>
          <w:b/>
          <w:bCs/>
          <w:sz w:val="22"/>
          <w:szCs w:val="22"/>
        </w:rPr>
        <w:t>the amount of prevention activity</w:t>
      </w:r>
      <w:r w:rsidRPr="00CE6087">
        <w:rPr>
          <w:sz w:val="22"/>
          <w:szCs w:val="22"/>
        </w:rPr>
        <w:t xml:space="preserve"> it undertakes, specifically the number of home safety checks it delivers to the most vulnerable by operational crews. This activity is likely to increase over the course of 2024-25 in response to the risk within the County.</w:t>
      </w:r>
    </w:p>
    <w:p w14:paraId="7BF6559C" w14:textId="77777777" w:rsidR="00CE6087" w:rsidRPr="00CE6087" w:rsidRDefault="00CE6087" w:rsidP="00CE6087">
      <w:pPr>
        <w:widowControl w:val="0"/>
        <w:autoSpaceDE w:val="0"/>
        <w:autoSpaceDN w:val="0"/>
        <w:spacing w:after="240"/>
        <w:ind w:left="426"/>
        <w:jc w:val="both"/>
        <w:rPr>
          <w:sz w:val="22"/>
          <w:szCs w:val="22"/>
        </w:rPr>
      </w:pPr>
      <w:r w:rsidRPr="00CE6087">
        <w:rPr>
          <w:sz w:val="22"/>
          <w:szCs w:val="22"/>
        </w:rPr>
        <w:t xml:space="preserve">To respond to a range of emergences when called upon, requires the Service to actively manage the resources it has available to meet not only the day-to-day demand of incidents, but also the ability to respond to prolonged and sustained periods of high demand as was seen in the summer of 2022. This has resulted in the </w:t>
      </w:r>
      <w:r w:rsidRPr="00CE6087">
        <w:rPr>
          <w:b/>
          <w:bCs/>
          <w:sz w:val="22"/>
          <w:szCs w:val="22"/>
        </w:rPr>
        <w:t>Service making better use of the resources it has at its disposal on a risk basis</w:t>
      </w:r>
      <w:r w:rsidRPr="00CE6087">
        <w:rPr>
          <w:sz w:val="22"/>
          <w:szCs w:val="22"/>
        </w:rPr>
        <w:t xml:space="preserve">. This movement of appliances has an increased cost to the Service. </w:t>
      </w:r>
    </w:p>
    <w:p w14:paraId="770EBFE1" w14:textId="51CEA724" w:rsidR="00CE6087" w:rsidRPr="00CE6087" w:rsidRDefault="00CE6087" w:rsidP="004B69C1">
      <w:pPr>
        <w:spacing w:after="240" w:line="248" w:lineRule="auto"/>
        <w:ind w:left="426" w:right="2" w:hanging="10"/>
        <w:jc w:val="both"/>
        <w:rPr>
          <w:color w:val="000000"/>
          <w:kern w:val="2"/>
          <w:sz w:val="22"/>
          <w:szCs w:val="22"/>
          <w14:ligatures w14:val="standardContextual"/>
        </w:rPr>
      </w:pPr>
      <w:r w:rsidRPr="00CE6087">
        <w:rPr>
          <w:color w:val="000000"/>
          <w:kern w:val="2"/>
          <w:sz w:val="22"/>
          <w:szCs w:val="22"/>
          <w14:ligatures w14:val="standardContextual"/>
        </w:rPr>
        <w:t xml:space="preserve">Resourcing this demand is key. The current economic situation alongside planned retirements create a pressure on the Service to be able to recruit ahead of time, and then have sufficient time to develop the skills of new staff to replace those that have been lost.  </w:t>
      </w:r>
    </w:p>
    <w:p w14:paraId="7FEF0231" w14:textId="77777777" w:rsidR="004B69C1" w:rsidRDefault="00CE6087" w:rsidP="00CE6087">
      <w:pPr>
        <w:spacing w:after="240" w:line="248" w:lineRule="auto"/>
        <w:ind w:left="426" w:right="2" w:hanging="10"/>
        <w:jc w:val="both"/>
        <w:rPr>
          <w:color w:val="000000"/>
          <w:kern w:val="2"/>
          <w:sz w:val="22"/>
          <w:szCs w:val="22"/>
          <w14:ligatures w14:val="standardContextual"/>
        </w:rPr>
        <w:sectPr w:rsidR="004B69C1" w:rsidSect="007C52E8">
          <w:footerReference w:type="even" r:id="rId18"/>
          <w:footerReference w:type="default" r:id="rId19"/>
          <w:footerReference w:type="first" r:id="rId20"/>
          <w:pgSz w:w="11906" w:h="16838"/>
          <w:pgMar w:top="1139" w:right="1057" w:bottom="708" w:left="1277" w:header="720" w:footer="707" w:gutter="0"/>
          <w:cols w:space="720"/>
          <w:titlePg/>
        </w:sectPr>
      </w:pPr>
      <w:r w:rsidRPr="00CE6087">
        <w:rPr>
          <w:color w:val="000000"/>
          <w:kern w:val="2"/>
          <w:sz w:val="22"/>
          <w:szCs w:val="22"/>
          <w14:ligatures w14:val="standardContextual"/>
        </w:rPr>
        <w:t xml:space="preserve">The Service is required as part of its Workforce Succession plan to </w:t>
      </w:r>
      <w:r w:rsidRPr="00CE6087">
        <w:rPr>
          <w:b/>
          <w:bCs/>
          <w:color w:val="000000"/>
          <w:kern w:val="2"/>
          <w:sz w:val="22"/>
          <w:szCs w:val="22"/>
          <w14:ligatures w14:val="standardContextual"/>
        </w:rPr>
        <w:t>recruit around 150 firefighters</w:t>
      </w:r>
      <w:r w:rsidRPr="00CE6087">
        <w:rPr>
          <w:color w:val="000000"/>
          <w:kern w:val="2"/>
          <w:sz w:val="22"/>
          <w:szCs w:val="22"/>
          <w14:ligatures w14:val="standardContextual"/>
        </w:rPr>
        <w:t xml:space="preserve"> in the next year. Recruitment is a significant pressure in terms of cost and time. The skills and risk critical specialisms of our emergency responders can take years to train for and can be costly to develop. As those officers may apply to any other Service's in the Country, we need to work hard to be an employer of choice to attract and retain in this field. </w:t>
      </w:r>
    </w:p>
    <w:p w14:paraId="4704973A" w14:textId="77777777" w:rsidR="00CE6087" w:rsidRPr="00CE6087" w:rsidRDefault="00CE6087" w:rsidP="00CE6087">
      <w:pPr>
        <w:widowControl w:val="0"/>
        <w:autoSpaceDE w:val="0"/>
        <w:autoSpaceDN w:val="0"/>
        <w:spacing w:after="240"/>
        <w:ind w:left="426"/>
        <w:jc w:val="both"/>
        <w:rPr>
          <w:sz w:val="22"/>
          <w:szCs w:val="22"/>
        </w:rPr>
      </w:pPr>
      <w:r w:rsidRPr="00CE6087">
        <w:rPr>
          <w:b/>
          <w:bCs/>
          <w:sz w:val="22"/>
          <w:szCs w:val="22"/>
        </w:rPr>
        <w:lastRenderedPageBreak/>
        <w:t>Capability &amp; Capacity for the future</w:t>
      </w:r>
      <w:r w:rsidRPr="00CE6087">
        <w:rPr>
          <w:sz w:val="22"/>
          <w:szCs w:val="22"/>
        </w:rPr>
        <w:t xml:space="preserve"> – Investment in our property portfolio to ensure that it is fit for purpose and able to meet the support and wellbeing needs of our workforce. The Authority is looking to make an investment in Fire Training Facilities at its headquarters in Kelvedon Park which will deliver crucial safety critical, specialist training. This is expected to progress to full business case within 2024-25. </w:t>
      </w:r>
    </w:p>
    <w:p w14:paraId="162A7952" w14:textId="77777777" w:rsidR="00CE6087" w:rsidRPr="00CE6087" w:rsidRDefault="00CE6087" w:rsidP="00CE6087">
      <w:pPr>
        <w:widowControl w:val="0"/>
        <w:autoSpaceDE w:val="0"/>
        <w:autoSpaceDN w:val="0"/>
        <w:spacing w:after="240"/>
        <w:ind w:left="426"/>
        <w:jc w:val="both"/>
        <w:rPr>
          <w:sz w:val="22"/>
          <w:szCs w:val="22"/>
        </w:rPr>
      </w:pPr>
      <w:r w:rsidRPr="00CE6087">
        <w:rPr>
          <w:sz w:val="22"/>
          <w:szCs w:val="22"/>
        </w:rPr>
        <w:t>The Authority has updated its Capital Plan to reflect its share of investment it will be making in the creation of a new joint fleet workshop in Boreham with Essex Police. Both organisations currently have separate workshops which are deteriorating and in need of significant investment. This is expecting to progress within 2024-25.</w:t>
      </w:r>
    </w:p>
    <w:p w14:paraId="767CEBD1" w14:textId="77777777" w:rsidR="00CE6087" w:rsidRPr="00CE6087" w:rsidRDefault="00CE6087" w:rsidP="00CE6087">
      <w:pPr>
        <w:spacing w:after="240" w:line="248" w:lineRule="auto"/>
        <w:ind w:left="426" w:right="2" w:hanging="10"/>
        <w:jc w:val="both"/>
        <w:rPr>
          <w:color w:val="000000"/>
          <w:kern w:val="2"/>
          <w:sz w:val="22"/>
          <w:szCs w:val="22"/>
          <w14:ligatures w14:val="standardContextual"/>
        </w:rPr>
      </w:pPr>
      <w:r w:rsidRPr="00CE6087">
        <w:rPr>
          <w:color w:val="000000"/>
          <w:kern w:val="2"/>
          <w:sz w:val="22"/>
          <w:szCs w:val="22"/>
          <w14:ligatures w14:val="standardContextual"/>
        </w:rPr>
        <w:t>Changes to the Firefighters pension scheme is resulting in a growing demand for the Service to respond to and deal with changes in legislation. This is resulting in the need to invest another role in within our pensions team.</w:t>
      </w:r>
    </w:p>
    <w:p w14:paraId="316FB780" w14:textId="77777777" w:rsidR="00CE6087" w:rsidRPr="00CE6087" w:rsidRDefault="00CE6087" w:rsidP="00CE6087">
      <w:pPr>
        <w:spacing w:after="480" w:line="248" w:lineRule="auto"/>
        <w:ind w:left="426" w:right="2" w:hanging="10"/>
        <w:jc w:val="both"/>
        <w:rPr>
          <w:rFonts w:eastAsia="Arial"/>
          <w:color w:val="000000"/>
          <w:kern w:val="2"/>
          <w:sz w:val="22"/>
          <w:szCs w:val="22"/>
          <w:lang w:eastAsia="en-GB"/>
          <w14:ligatures w14:val="standardContextual"/>
        </w:rPr>
      </w:pPr>
      <w:r w:rsidRPr="00CE6087">
        <w:rPr>
          <w:color w:val="000000"/>
          <w:kern w:val="2"/>
          <w:sz w:val="22"/>
          <w:szCs w:val="22"/>
          <w14:ligatures w14:val="standardContextual"/>
        </w:rPr>
        <w:t xml:space="preserve">The service will </w:t>
      </w:r>
      <w:r w:rsidRPr="00CE6087">
        <w:rPr>
          <w:b/>
          <w:bCs/>
          <w:color w:val="000000"/>
          <w:kern w:val="2"/>
          <w:sz w:val="22"/>
          <w:szCs w:val="22"/>
          <w14:ligatures w14:val="standardContextual"/>
        </w:rPr>
        <w:t>continue the delivery of its Digital and Data Strategy</w:t>
      </w:r>
      <w:r w:rsidRPr="00CE6087">
        <w:rPr>
          <w:color w:val="000000"/>
          <w:kern w:val="2"/>
          <w:sz w:val="22"/>
          <w:szCs w:val="22"/>
          <w14:ligatures w14:val="standardContextual"/>
        </w:rPr>
        <w:t xml:space="preserve">. This investment in systems and hardware will improve productivity and connectivity. There are some cost pressures arising within the year which resulted from this transformation program, which relate to additional licensing and costs associated with using modern technology. This includes the rollout of a new workforce management system and a new financial system. Following the new control system which went live in 2023-24, an additional capital investment of £0.95m which will form part of the control room phase 2 project. This will see the replacement of critical station end equipment, ensuring that the </w:t>
      </w:r>
      <w:r w:rsidRPr="00CE6087">
        <w:rPr>
          <w:rFonts w:eastAsia="Arial"/>
          <w:color w:val="000000"/>
          <w:kern w:val="2"/>
          <w:sz w:val="22"/>
          <w:szCs w:val="22"/>
          <w:lang w:eastAsia="en-GB"/>
          <w14:ligatures w14:val="standardContextual"/>
        </w:rPr>
        <w:t>999 mobilising infrastructure is modern and able to deliver the increasing data requirements and security protection against cyberattacks.</w:t>
      </w:r>
    </w:p>
    <w:p w14:paraId="25DF65AB" w14:textId="77777777" w:rsidR="00CE6087" w:rsidRPr="00CE6087" w:rsidRDefault="00CE6087" w:rsidP="00CE6087">
      <w:pPr>
        <w:spacing w:after="480" w:line="248" w:lineRule="auto"/>
        <w:ind w:left="577" w:right="2" w:hanging="10"/>
        <w:jc w:val="both"/>
        <w:rPr>
          <w:rFonts w:eastAsia="Arial"/>
          <w:color w:val="000000"/>
          <w:kern w:val="2"/>
          <w:sz w:val="22"/>
          <w:szCs w:val="22"/>
          <w:lang w:eastAsia="en-GB"/>
          <w14:ligatures w14:val="standardContextual"/>
        </w:rPr>
        <w:sectPr w:rsidR="00CE6087" w:rsidRPr="00CE6087" w:rsidSect="007C52E8">
          <w:pgSz w:w="11906" w:h="16838"/>
          <w:pgMar w:top="1139" w:right="1057" w:bottom="708" w:left="1277" w:header="720" w:footer="707" w:gutter="0"/>
          <w:cols w:space="720"/>
          <w:titlePg/>
        </w:sectPr>
      </w:pPr>
    </w:p>
    <w:p w14:paraId="064C257F" w14:textId="77777777" w:rsidR="00CE6087" w:rsidRPr="00CE6087" w:rsidRDefault="00CE6087" w:rsidP="00CE6087">
      <w:pPr>
        <w:keepNext/>
        <w:keepLines/>
        <w:tabs>
          <w:tab w:val="center" w:pos="2721"/>
        </w:tabs>
        <w:spacing w:after="168" w:line="259" w:lineRule="auto"/>
        <w:ind w:left="-15"/>
        <w:outlineLvl w:val="0"/>
        <w:rPr>
          <w:rFonts w:ascii="Rockwell" w:eastAsia="Arial" w:hAnsi="Rockwell"/>
          <w:b/>
          <w:color w:val="000000"/>
          <w:kern w:val="2"/>
          <w:sz w:val="28"/>
          <w:szCs w:val="22"/>
          <w:u w:color="000000"/>
          <w:lang w:eastAsia="en-GB"/>
          <w14:ligatures w14:val="standardContextual"/>
        </w:rPr>
      </w:pPr>
      <w:bookmarkStart w:id="1" w:name="_Toc161232877"/>
      <w:r w:rsidRPr="00CE6087">
        <w:rPr>
          <w:rFonts w:ascii="Rockwell" w:eastAsia="Arial" w:hAnsi="Rockwell"/>
          <w:b/>
          <w:color w:val="000000"/>
          <w:kern w:val="2"/>
          <w:sz w:val="28"/>
          <w:szCs w:val="22"/>
          <w:u w:color="000000"/>
          <w:lang w:eastAsia="en-GB"/>
          <w14:ligatures w14:val="standardContextual"/>
        </w:rPr>
        <w:lastRenderedPageBreak/>
        <w:t xml:space="preserve">2. </w:t>
      </w:r>
      <w:r w:rsidRPr="00CE6087">
        <w:rPr>
          <w:rFonts w:ascii="Rockwell" w:eastAsia="Arial" w:hAnsi="Rockwell"/>
          <w:b/>
          <w:color w:val="000000"/>
          <w:kern w:val="2"/>
          <w:sz w:val="28"/>
          <w:szCs w:val="22"/>
          <w:u w:color="000000"/>
          <w:lang w:eastAsia="en-GB"/>
          <w14:ligatures w14:val="standardContextual"/>
        </w:rPr>
        <w:tab/>
        <w:t>Medium Term Financial Strategy</w:t>
      </w:r>
      <w:bookmarkEnd w:id="1"/>
      <w:r w:rsidRPr="00CE6087">
        <w:rPr>
          <w:rFonts w:ascii="Rockwell" w:eastAsia="Arial" w:hAnsi="Rockwell"/>
          <w:b/>
          <w:color w:val="000000"/>
          <w:kern w:val="2"/>
          <w:sz w:val="28"/>
          <w:szCs w:val="22"/>
          <w:u w:color="000000"/>
          <w:lang w:eastAsia="en-GB"/>
          <w14:ligatures w14:val="standardContextual"/>
        </w:rPr>
        <w:t xml:space="preserve"> </w:t>
      </w:r>
    </w:p>
    <w:p w14:paraId="32471A7B" w14:textId="77777777" w:rsidR="00CE6087" w:rsidRPr="00CE6087" w:rsidRDefault="00CE6087" w:rsidP="00CE6087">
      <w:pPr>
        <w:spacing w:line="248" w:lineRule="auto"/>
        <w:ind w:left="-5" w:right="61" w:hanging="10"/>
        <w:jc w:val="both"/>
        <w:rPr>
          <w:rFonts w:eastAsia="Arial"/>
          <w:color w:val="000000"/>
          <w:kern w:val="2"/>
          <w:sz w:val="22"/>
          <w:szCs w:val="22"/>
          <w:lang w:eastAsia="en-GB"/>
          <w14:ligatures w14:val="standardContextual"/>
        </w:rPr>
      </w:pPr>
      <w:r w:rsidRPr="00CE6087">
        <w:rPr>
          <w:rFonts w:eastAsia="Arial"/>
          <w:color w:val="000000"/>
          <w:kern w:val="2"/>
          <w:sz w:val="22"/>
          <w:szCs w:val="22"/>
          <w:lang w:eastAsia="en-GB"/>
          <w14:ligatures w14:val="standardContextual"/>
        </w:rPr>
        <w:t xml:space="preserve">The latest MTFS is shown in the table below and is compared to the MTFS presented at the December 2023 Strategic Board. </w:t>
      </w:r>
    </w:p>
    <w:p w14:paraId="7739639A" w14:textId="6D3747E0" w:rsidR="00CE6087" w:rsidRDefault="0006124D" w:rsidP="004B69C1">
      <w:pPr>
        <w:spacing w:before="100" w:after="231" w:line="276" w:lineRule="auto"/>
        <w:ind w:right="2" w:hanging="10"/>
        <w:jc w:val="both"/>
        <w:rPr>
          <w:rFonts w:eastAsia="Arial"/>
          <w:b/>
          <w:bCs/>
          <w:color w:val="000000"/>
          <w:kern w:val="2"/>
          <w:sz w:val="22"/>
          <w:szCs w:val="22"/>
          <w:shd w:val="clear" w:color="auto" w:fill="FFFFFF"/>
          <w:lang w:eastAsia="en-GB"/>
          <w14:ligatures w14:val="standardContextual"/>
        </w:rPr>
      </w:pPr>
      <w:r w:rsidRPr="00CE6087">
        <w:rPr>
          <w:rFonts w:eastAsia="Arial"/>
          <w:noProof/>
          <w:color w:val="000000"/>
          <w:kern w:val="2"/>
          <w:sz w:val="22"/>
          <w:szCs w:val="22"/>
          <w:lang w:eastAsia="en-GB"/>
          <w14:ligatures w14:val="standardContextual"/>
        </w:rPr>
        <w:drawing>
          <wp:anchor distT="0" distB="0" distL="114300" distR="114300" simplePos="0" relativeHeight="251661317" behindDoc="0" locked="0" layoutInCell="1" allowOverlap="1" wp14:anchorId="6402D8A3" wp14:editId="7CCD59CD">
            <wp:simplePos x="0" y="0"/>
            <wp:positionH relativeFrom="margin">
              <wp:align>right</wp:align>
            </wp:positionH>
            <wp:positionV relativeFrom="paragraph">
              <wp:posOffset>394335</wp:posOffset>
            </wp:positionV>
            <wp:extent cx="6078220" cy="2499360"/>
            <wp:effectExtent l="0" t="0" r="0" b="0"/>
            <wp:wrapNone/>
            <wp:docPr id="6770922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078220" cy="2499360"/>
                    </a:xfrm>
                    <a:prstGeom prst="rect">
                      <a:avLst/>
                    </a:prstGeom>
                    <a:noFill/>
                    <a:ln>
                      <a:noFill/>
                    </a:ln>
                  </pic:spPr>
                </pic:pic>
              </a:graphicData>
            </a:graphic>
            <wp14:sizeRelH relativeFrom="page">
              <wp14:pctWidth>0</wp14:pctWidth>
            </wp14:sizeRelH>
            <wp14:sizeRelV relativeFrom="page">
              <wp14:pctHeight>0</wp14:pctHeight>
            </wp14:sizeRelV>
          </wp:anchor>
        </w:drawing>
      </w:r>
      <w:r w:rsidR="00CE6087" w:rsidRPr="00CE6087">
        <w:rPr>
          <w:rFonts w:eastAsia="Arial"/>
          <w:b/>
          <w:bCs/>
          <w:color w:val="000000"/>
          <w:kern w:val="2"/>
          <w:sz w:val="22"/>
          <w:szCs w:val="22"/>
          <w:lang w:eastAsia="en-GB"/>
          <w14:ligatures w14:val="standardContextual"/>
        </w:rPr>
        <w:t xml:space="preserve"> </w:t>
      </w:r>
      <w:r w:rsidR="00CE6087" w:rsidRPr="00CE6087">
        <w:rPr>
          <w:rFonts w:eastAsia="Arial"/>
          <w:b/>
          <w:bCs/>
          <w:color w:val="000000"/>
          <w:kern w:val="2"/>
          <w:sz w:val="22"/>
          <w:szCs w:val="22"/>
          <w:shd w:val="clear" w:color="auto" w:fill="FFFFFF"/>
          <w:lang w:eastAsia="en-GB"/>
          <w14:ligatures w14:val="standardContextual"/>
        </w:rPr>
        <w:t xml:space="preserve">Summary Medium Term Financial Strategy </w:t>
      </w:r>
      <w:proofErr w:type="gramStart"/>
      <w:r w:rsidR="00CE6087" w:rsidRPr="00CE6087">
        <w:rPr>
          <w:rFonts w:eastAsia="Arial"/>
          <w:b/>
          <w:bCs/>
          <w:color w:val="000000"/>
          <w:kern w:val="2"/>
          <w:sz w:val="22"/>
          <w:szCs w:val="22"/>
          <w:shd w:val="clear" w:color="auto" w:fill="FFFFFF"/>
          <w:lang w:eastAsia="en-GB"/>
          <w14:ligatures w14:val="standardContextual"/>
        </w:rPr>
        <w:t>at</w:t>
      </w:r>
      <w:proofErr w:type="gramEnd"/>
      <w:r w:rsidR="00CE6087" w:rsidRPr="00CE6087">
        <w:rPr>
          <w:rFonts w:eastAsia="Arial"/>
          <w:b/>
          <w:bCs/>
          <w:color w:val="000000"/>
          <w:kern w:val="2"/>
          <w:sz w:val="22"/>
          <w:szCs w:val="22"/>
          <w:shd w:val="clear" w:color="auto" w:fill="FFFFFF"/>
          <w:lang w:eastAsia="en-GB"/>
          <w14:ligatures w14:val="standardContextual"/>
        </w:rPr>
        <w:t xml:space="preserve"> December 2023 </w:t>
      </w:r>
    </w:p>
    <w:p w14:paraId="24E808E9" w14:textId="5813FA2C" w:rsidR="0006124D" w:rsidRDefault="0006124D" w:rsidP="004B69C1">
      <w:pPr>
        <w:spacing w:before="100" w:after="231" w:line="276" w:lineRule="auto"/>
        <w:ind w:right="2" w:hanging="10"/>
        <w:jc w:val="both"/>
        <w:rPr>
          <w:rFonts w:eastAsia="Arial"/>
          <w:b/>
          <w:bCs/>
          <w:color w:val="000000"/>
          <w:kern w:val="2"/>
          <w:sz w:val="22"/>
          <w:szCs w:val="22"/>
          <w:shd w:val="clear" w:color="auto" w:fill="FFFFFF"/>
          <w:lang w:eastAsia="en-GB"/>
          <w14:ligatures w14:val="standardContextual"/>
        </w:rPr>
      </w:pPr>
    </w:p>
    <w:p w14:paraId="4FDF02CA" w14:textId="22F3B120" w:rsidR="0006124D" w:rsidRDefault="0006124D" w:rsidP="004B69C1">
      <w:pPr>
        <w:spacing w:before="100" w:after="231" w:line="276" w:lineRule="auto"/>
        <w:ind w:right="2" w:hanging="10"/>
        <w:jc w:val="both"/>
        <w:rPr>
          <w:rFonts w:eastAsia="Arial"/>
          <w:b/>
          <w:bCs/>
          <w:color w:val="000000"/>
          <w:kern w:val="2"/>
          <w:sz w:val="22"/>
          <w:szCs w:val="22"/>
          <w:shd w:val="clear" w:color="auto" w:fill="FFFFFF"/>
          <w:lang w:eastAsia="en-GB"/>
          <w14:ligatures w14:val="standardContextual"/>
        </w:rPr>
      </w:pPr>
    </w:p>
    <w:p w14:paraId="3C8F877A" w14:textId="0B0DE58C" w:rsidR="0006124D" w:rsidRDefault="0006124D" w:rsidP="004B69C1">
      <w:pPr>
        <w:spacing w:before="100" w:after="231" w:line="276" w:lineRule="auto"/>
        <w:ind w:right="2" w:hanging="10"/>
        <w:jc w:val="both"/>
        <w:rPr>
          <w:rFonts w:eastAsia="Arial"/>
          <w:b/>
          <w:bCs/>
          <w:color w:val="000000"/>
          <w:kern w:val="2"/>
          <w:sz w:val="22"/>
          <w:szCs w:val="22"/>
          <w:shd w:val="clear" w:color="auto" w:fill="FFFFFF"/>
          <w:lang w:eastAsia="en-GB"/>
          <w14:ligatures w14:val="standardContextual"/>
        </w:rPr>
      </w:pPr>
    </w:p>
    <w:p w14:paraId="51D88369" w14:textId="67C90099" w:rsidR="0006124D" w:rsidRDefault="0006124D" w:rsidP="004B69C1">
      <w:pPr>
        <w:spacing w:before="100" w:after="231" w:line="276" w:lineRule="auto"/>
        <w:ind w:right="2" w:hanging="10"/>
        <w:jc w:val="both"/>
        <w:rPr>
          <w:rFonts w:eastAsia="Arial"/>
          <w:b/>
          <w:bCs/>
          <w:color w:val="000000"/>
          <w:kern w:val="2"/>
          <w:sz w:val="22"/>
          <w:szCs w:val="22"/>
          <w:shd w:val="clear" w:color="auto" w:fill="FFFFFF"/>
          <w:lang w:eastAsia="en-GB"/>
          <w14:ligatures w14:val="standardContextual"/>
        </w:rPr>
      </w:pPr>
    </w:p>
    <w:p w14:paraId="0AC79877" w14:textId="3ECF6291" w:rsidR="0006124D" w:rsidRDefault="0006124D" w:rsidP="004B69C1">
      <w:pPr>
        <w:spacing w:before="100" w:after="231" w:line="276" w:lineRule="auto"/>
        <w:ind w:right="2" w:hanging="10"/>
        <w:jc w:val="both"/>
        <w:rPr>
          <w:rFonts w:eastAsia="Arial"/>
          <w:b/>
          <w:bCs/>
          <w:color w:val="000000"/>
          <w:kern w:val="2"/>
          <w:sz w:val="22"/>
          <w:szCs w:val="22"/>
          <w:shd w:val="clear" w:color="auto" w:fill="FFFFFF"/>
          <w:lang w:eastAsia="en-GB"/>
          <w14:ligatures w14:val="standardContextual"/>
        </w:rPr>
      </w:pPr>
    </w:p>
    <w:p w14:paraId="376930E9" w14:textId="77777777" w:rsidR="0006124D" w:rsidRDefault="0006124D" w:rsidP="004B69C1">
      <w:pPr>
        <w:spacing w:before="100" w:after="231" w:line="276" w:lineRule="auto"/>
        <w:ind w:right="2" w:hanging="10"/>
        <w:jc w:val="both"/>
        <w:rPr>
          <w:rFonts w:eastAsia="Arial"/>
          <w:b/>
          <w:bCs/>
          <w:color w:val="000000"/>
          <w:kern w:val="2"/>
          <w:sz w:val="22"/>
          <w:szCs w:val="22"/>
          <w:shd w:val="clear" w:color="auto" w:fill="FFFFFF"/>
          <w:lang w:eastAsia="en-GB"/>
          <w14:ligatures w14:val="standardContextual"/>
        </w:rPr>
      </w:pPr>
    </w:p>
    <w:p w14:paraId="0A0EA7F3" w14:textId="77777777" w:rsidR="0006124D" w:rsidRDefault="0006124D" w:rsidP="004B69C1">
      <w:pPr>
        <w:spacing w:before="100" w:after="231" w:line="276" w:lineRule="auto"/>
        <w:ind w:right="2" w:hanging="10"/>
        <w:jc w:val="both"/>
        <w:rPr>
          <w:rFonts w:eastAsia="Arial"/>
          <w:b/>
          <w:bCs/>
          <w:color w:val="000000"/>
          <w:kern w:val="2"/>
          <w:sz w:val="22"/>
          <w:szCs w:val="22"/>
          <w:shd w:val="clear" w:color="auto" w:fill="FFFFFF"/>
          <w:lang w:eastAsia="en-GB"/>
          <w14:ligatures w14:val="standardContextual"/>
        </w:rPr>
      </w:pPr>
    </w:p>
    <w:p w14:paraId="17A25433" w14:textId="4897D93D" w:rsidR="0006124D" w:rsidRDefault="0006124D" w:rsidP="004B69C1">
      <w:pPr>
        <w:spacing w:before="100" w:after="231" w:line="276" w:lineRule="auto"/>
        <w:ind w:right="2" w:hanging="10"/>
        <w:jc w:val="both"/>
        <w:rPr>
          <w:rFonts w:eastAsia="Arial"/>
          <w:b/>
          <w:bCs/>
          <w:color w:val="000000"/>
          <w:kern w:val="2"/>
          <w:sz w:val="22"/>
          <w:szCs w:val="22"/>
          <w:shd w:val="clear" w:color="auto" w:fill="FFFFFF"/>
          <w:lang w:eastAsia="en-GB"/>
          <w14:ligatures w14:val="standardContextual"/>
        </w:rPr>
      </w:pPr>
    </w:p>
    <w:p w14:paraId="257A2E86" w14:textId="55BF62FB" w:rsidR="00CE6087" w:rsidRPr="00CE6087" w:rsidRDefault="0006124D" w:rsidP="0006124D">
      <w:pPr>
        <w:spacing w:before="240" w:after="231"/>
        <w:ind w:hanging="11"/>
        <w:jc w:val="both"/>
        <w:rPr>
          <w:rFonts w:eastAsia="Arial"/>
          <w:b/>
          <w:bCs/>
          <w:color w:val="000000"/>
          <w:kern w:val="2"/>
          <w:sz w:val="22"/>
          <w:szCs w:val="22"/>
          <w:lang w:eastAsia="en-GB"/>
          <w14:ligatures w14:val="standardContextual"/>
        </w:rPr>
      </w:pPr>
      <w:r w:rsidRPr="00CE6087">
        <w:rPr>
          <w:rFonts w:eastAsia="Arial"/>
          <w:noProof/>
          <w:color w:val="000000"/>
          <w:kern w:val="2"/>
          <w:sz w:val="22"/>
          <w:szCs w:val="22"/>
          <w:lang w:eastAsia="en-GB"/>
          <w14:ligatures w14:val="standardContextual"/>
        </w:rPr>
        <w:drawing>
          <wp:anchor distT="0" distB="0" distL="114300" distR="114300" simplePos="0" relativeHeight="251662341" behindDoc="0" locked="0" layoutInCell="1" allowOverlap="1" wp14:anchorId="484A4896" wp14:editId="4AB2797D">
            <wp:simplePos x="0" y="0"/>
            <wp:positionH relativeFrom="column">
              <wp:posOffset>27305</wp:posOffset>
            </wp:positionH>
            <wp:positionV relativeFrom="paragraph">
              <wp:posOffset>284480</wp:posOffset>
            </wp:positionV>
            <wp:extent cx="6078220" cy="2814955"/>
            <wp:effectExtent l="0" t="0" r="0" b="4445"/>
            <wp:wrapThrough wrapText="bothSides">
              <wp:wrapPolygon edited="0">
                <wp:start x="0" y="0"/>
                <wp:lineTo x="0" y="10963"/>
                <wp:lineTo x="677" y="11694"/>
                <wp:lineTo x="0" y="12717"/>
                <wp:lineTo x="0" y="13156"/>
                <wp:lineTo x="812" y="14033"/>
                <wp:lineTo x="0" y="14910"/>
                <wp:lineTo x="0" y="21488"/>
                <wp:lineTo x="21528" y="21488"/>
                <wp:lineTo x="21528" y="0"/>
                <wp:lineTo x="0" y="0"/>
              </wp:wrapPolygon>
            </wp:wrapThrough>
            <wp:docPr id="162383836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078220" cy="2814955"/>
                    </a:xfrm>
                    <a:prstGeom prst="rect">
                      <a:avLst/>
                    </a:prstGeom>
                    <a:noFill/>
                    <a:ln>
                      <a:noFill/>
                    </a:ln>
                  </pic:spPr>
                </pic:pic>
              </a:graphicData>
            </a:graphic>
          </wp:anchor>
        </w:drawing>
      </w:r>
      <w:r w:rsidR="00CE6087" w:rsidRPr="00CE6087">
        <w:rPr>
          <w:rFonts w:eastAsia="Arial"/>
          <w:b/>
          <w:bCs/>
          <w:color w:val="000000"/>
          <w:kern w:val="2"/>
          <w:sz w:val="22"/>
          <w:szCs w:val="22"/>
          <w:lang w:eastAsia="en-GB"/>
          <w14:ligatures w14:val="standardContextual"/>
        </w:rPr>
        <w:t xml:space="preserve">Latest Summary </w:t>
      </w:r>
      <w:r w:rsidR="00CE6087" w:rsidRPr="00CE6087">
        <w:rPr>
          <w:rFonts w:eastAsia="Arial"/>
          <w:b/>
          <w:bCs/>
          <w:color w:val="000000"/>
          <w:kern w:val="2"/>
          <w:sz w:val="22"/>
          <w:szCs w:val="22"/>
          <w:shd w:val="clear" w:color="auto" w:fill="FFFFFF"/>
          <w:lang w:eastAsia="en-GB"/>
          <w14:ligatures w14:val="standardContextual"/>
        </w:rPr>
        <w:t xml:space="preserve">Medium Term Financial Strategy </w:t>
      </w:r>
    </w:p>
    <w:p w14:paraId="4A8EE82A" w14:textId="77777777" w:rsidR="00CE6087" w:rsidRPr="00CE6087" w:rsidRDefault="00CE6087" w:rsidP="00586751">
      <w:pPr>
        <w:widowControl w:val="0"/>
        <w:autoSpaceDE w:val="0"/>
        <w:autoSpaceDN w:val="0"/>
        <w:spacing w:after="120" w:line="276" w:lineRule="auto"/>
        <w:ind w:hanging="10"/>
        <w:jc w:val="both"/>
        <w:rPr>
          <w:rFonts w:eastAsia="Calibri"/>
          <w:color w:val="000000"/>
          <w:kern w:val="2"/>
          <w:sz w:val="22"/>
          <w:szCs w:val="22"/>
          <w:lang w:eastAsia="en-GB" w:bidi="en-GB"/>
          <w14:ligatures w14:val="standardContextual"/>
        </w:rPr>
      </w:pPr>
      <w:r w:rsidRPr="00CE6087">
        <w:rPr>
          <w:rFonts w:eastAsia="Calibri"/>
          <w:color w:val="000000"/>
          <w:kern w:val="2"/>
          <w:sz w:val="22"/>
          <w:szCs w:val="22"/>
          <w:lang w:eastAsia="en-GB" w:bidi="en-GB"/>
          <w14:ligatures w14:val="standardContextual"/>
        </w:rPr>
        <w:t>The key movements in the MTFS for 2024-25 since the previous version presented at the December 23 Strategic Board are as follows:</w:t>
      </w:r>
    </w:p>
    <w:p w14:paraId="676D635B" w14:textId="77777777" w:rsidR="00CE6087" w:rsidRPr="00CE6087" w:rsidRDefault="00CE6087" w:rsidP="00945835">
      <w:pPr>
        <w:widowControl w:val="0"/>
        <w:numPr>
          <w:ilvl w:val="0"/>
          <w:numId w:val="3"/>
        </w:numPr>
        <w:autoSpaceDE w:val="0"/>
        <w:autoSpaceDN w:val="0"/>
        <w:spacing w:after="120" w:line="248" w:lineRule="auto"/>
        <w:ind w:left="1267" w:right="2" w:hanging="425"/>
        <w:jc w:val="both"/>
        <w:rPr>
          <w:rFonts w:eastAsia="Calibri"/>
          <w:color w:val="000000"/>
          <w:kern w:val="2"/>
          <w:sz w:val="22"/>
          <w:szCs w:val="22"/>
          <w:lang w:eastAsia="en-GB" w:bidi="en-GB"/>
          <w14:ligatures w14:val="standardContextual"/>
        </w:rPr>
      </w:pPr>
      <w:r w:rsidRPr="00CE6087">
        <w:rPr>
          <w:rFonts w:eastAsia="Calibri"/>
          <w:color w:val="000000"/>
          <w:kern w:val="2"/>
          <w:sz w:val="22"/>
          <w:szCs w:val="22"/>
          <w:lang w:eastAsia="en-GB" w:bidi="en-GB"/>
          <w14:ligatures w14:val="standardContextual"/>
        </w:rPr>
        <w:t>£0.7m increase in NNDR Baseline funding following the announcement of the provisional local government finance settlement on 18</w:t>
      </w:r>
      <w:r w:rsidRPr="00CE6087">
        <w:rPr>
          <w:rFonts w:eastAsia="Calibri"/>
          <w:color w:val="000000"/>
          <w:kern w:val="2"/>
          <w:sz w:val="22"/>
          <w:szCs w:val="22"/>
          <w:vertAlign w:val="superscript"/>
          <w:lang w:eastAsia="en-GB" w:bidi="en-GB"/>
          <w14:ligatures w14:val="standardContextual"/>
        </w:rPr>
        <w:t>th</w:t>
      </w:r>
      <w:r w:rsidRPr="00CE6087">
        <w:rPr>
          <w:rFonts w:eastAsia="Calibri"/>
          <w:color w:val="000000"/>
          <w:kern w:val="2"/>
          <w:sz w:val="22"/>
          <w:szCs w:val="22"/>
          <w:lang w:eastAsia="en-GB" w:bidi="en-GB"/>
          <w14:ligatures w14:val="standardContextual"/>
        </w:rPr>
        <w:t xml:space="preserve"> December 2023.</w:t>
      </w:r>
    </w:p>
    <w:p w14:paraId="6A897A90" w14:textId="77777777" w:rsidR="00CE6087" w:rsidRPr="00CE6087" w:rsidRDefault="00CE6087" w:rsidP="00945835">
      <w:pPr>
        <w:widowControl w:val="0"/>
        <w:numPr>
          <w:ilvl w:val="0"/>
          <w:numId w:val="3"/>
        </w:numPr>
        <w:autoSpaceDE w:val="0"/>
        <w:autoSpaceDN w:val="0"/>
        <w:spacing w:after="120" w:line="248" w:lineRule="auto"/>
        <w:ind w:left="1267" w:right="2" w:hanging="425"/>
        <w:jc w:val="both"/>
        <w:rPr>
          <w:rFonts w:eastAsia="Calibri"/>
          <w:color w:val="000000"/>
          <w:kern w:val="2"/>
          <w:sz w:val="22"/>
          <w:szCs w:val="22"/>
          <w:lang w:eastAsia="en-GB" w:bidi="en-GB"/>
          <w14:ligatures w14:val="standardContextual"/>
        </w:rPr>
      </w:pPr>
      <w:r w:rsidRPr="00CE6087">
        <w:rPr>
          <w:rFonts w:eastAsia="Calibri"/>
          <w:color w:val="000000"/>
          <w:kern w:val="2"/>
          <w:sz w:val="22"/>
          <w:szCs w:val="22"/>
          <w:lang w:eastAsia="en-GB" w:bidi="en-GB"/>
          <w14:ligatures w14:val="standardContextual"/>
        </w:rPr>
        <w:t>£0.7m due to a reduction in the pay assumption for 2024-25 for all staff to 3%.</w:t>
      </w:r>
    </w:p>
    <w:p w14:paraId="372FE4B8" w14:textId="77777777" w:rsidR="00CE6087" w:rsidRPr="00CE6087" w:rsidRDefault="00CE6087" w:rsidP="00945835">
      <w:pPr>
        <w:widowControl w:val="0"/>
        <w:numPr>
          <w:ilvl w:val="0"/>
          <w:numId w:val="3"/>
        </w:numPr>
        <w:autoSpaceDE w:val="0"/>
        <w:autoSpaceDN w:val="0"/>
        <w:spacing w:after="120" w:line="248" w:lineRule="auto"/>
        <w:ind w:left="1267" w:right="2" w:hanging="425"/>
        <w:jc w:val="both"/>
        <w:rPr>
          <w:rFonts w:eastAsia="Calibri"/>
          <w:color w:val="000000"/>
          <w:kern w:val="2"/>
          <w:sz w:val="22"/>
          <w:szCs w:val="22"/>
          <w:lang w:eastAsia="en-GB" w:bidi="en-GB"/>
          <w14:ligatures w14:val="standardContextual"/>
        </w:rPr>
      </w:pPr>
      <w:r w:rsidRPr="00CE6087">
        <w:rPr>
          <w:rFonts w:eastAsia="Calibri"/>
          <w:color w:val="000000"/>
          <w:kern w:val="2"/>
          <w:sz w:val="22"/>
          <w:szCs w:val="22"/>
          <w:lang w:eastAsia="en-GB" w:bidi="en-GB"/>
          <w14:ligatures w14:val="standardContextual"/>
        </w:rPr>
        <w:t>£0.2m reduction in the Minimum Revenue Provision, due to re-allocation the use of Capital Receipts Reserves to fund 2024-25 capital investments,</w:t>
      </w:r>
    </w:p>
    <w:p w14:paraId="43662ABB" w14:textId="77777777" w:rsidR="00CE6087" w:rsidRPr="00CE6087" w:rsidRDefault="00CE6087" w:rsidP="00945835">
      <w:pPr>
        <w:widowControl w:val="0"/>
        <w:numPr>
          <w:ilvl w:val="0"/>
          <w:numId w:val="3"/>
        </w:numPr>
        <w:autoSpaceDE w:val="0"/>
        <w:autoSpaceDN w:val="0"/>
        <w:spacing w:after="240" w:line="248" w:lineRule="auto"/>
        <w:ind w:left="1266" w:right="2" w:hanging="425"/>
        <w:jc w:val="both"/>
        <w:rPr>
          <w:rFonts w:eastAsia="Arial"/>
          <w:color w:val="000000"/>
          <w:kern w:val="2"/>
          <w:sz w:val="22"/>
          <w:szCs w:val="22"/>
          <w:lang w:eastAsia="en-GB"/>
          <w14:ligatures w14:val="standardContextual"/>
        </w:rPr>
      </w:pPr>
      <w:r w:rsidRPr="00CE6087">
        <w:rPr>
          <w:rFonts w:eastAsia="Calibri"/>
          <w:color w:val="000000"/>
          <w:kern w:val="2"/>
          <w:sz w:val="22"/>
          <w:szCs w:val="22"/>
          <w:lang w:eastAsia="en-GB" w:bidi="en-GB"/>
          <w14:ligatures w14:val="standardContextual"/>
        </w:rPr>
        <w:t xml:space="preserve">£0.2m removal of Revenue Staffing bids (4 FTE) that had previously been included. </w:t>
      </w:r>
    </w:p>
    <w:p w14:paraId="5E7A51D3" w14:textId="77777777" w:rsidR="006E2F27" w:rsidRDefault="006E2F27" w:rsidP="006E2F27">
      <w:pPr>
        <w:widowControl w:val="0"/>
        <w:autoSpaceDE w:val="0"/>
        <w:autoSpaceDN w:val="0"/>
        <w:spacing w:after="240"/>
        <w:ind w:hanging="10"/>
        <w:jc w:val="both"/>
        <w:rPr>
          <w:rFonts w:eastAsia="Calibri"/>
          <w:b/>
          <w:color w:val="000000"/>
          <w:kern w:val="2"/>
          <w:sz w:val="22"/>
          <w:szCs w:val="22"/>
          <w:lang w:eastAsia="en-GB" w:bidi="en-GB"/>
          <w14:ligatures w14:val="standardContextual"/>
        </w:rPr>
      </w:pPr>
    </w:p>
    <w:p w14:paraId="033DB2CA" w14:textId="77777777" w:rsidR="006E2F27" w:rsidRDefault="006E2F27" w:rsidP="006E2F27">
      <w:pPr>
        <w:widowControl w:val="0"/>
        <w:autoSpaceDE w:val="0"/>
        <w:autoSpaceDN w:val="0"/>
        <w:spacing w:after="240"/>
        <w:ind w:hanging="10"/>
        <w:jc w:val="both"/>
        <w:rPr>
          <w:rFonts w:eastAsia="Calibri"/>
          <w:b/>
          <w:color w:val="000000"/>
          <w:kern w:val="2"/>
          <w:sz w:val="22"/>
          <w:szCs w:val="22"/>
          <w:lang w:eastAsia="en-GB" w:bidi="en-GB"/>
          <w14:ligatures w14:val="standardContextual"/>
        </w:rPr>
      </w:pPr>
    </w:p>
    <w:p w14:paraId="35D85750" w14:textId="15A20244" w:rsidR="00CE6087" w:rsidRPr="00CE6087" w:rsidRDefault="00CE6087" w:rsidP="006E2F27">
      <w:pPr>
        <w:widowControl w:val="0"/>
        <w:autoSpaceDE w:val="0"/>
        <w:autoSpaceDN w:val="0"/>
        <w:spacing w:after="240"/>
        <w:ind w:hanging="10"/>
        <w:jc w:val="both"/>
        <w:rPr>
          <w:rFonts w:eastAsia="Calibri"/>
          <w:color w:val="000000"/>
          <w:kern w:val="2"/>
          <w:sz w:val="22"/>
          <w:szCs w:val="22"/>
          <w:lang w:eastAsia="en-GB" w:bidi="en-GB"/>
          <w14:ligatures w14:val="standardContextual"/>
        </w:rPr>
      </w:pPr>
      <w:r w:rsidRPr="00CE6087">
        <w:rPr>
          <w:rFonts w:eastAsia="Calibri"/>
          <w:b/>
          <w:color w:val="000000"/>
          <w:kern w:val="2"/>
          <w:sz w:val="22"/>
          <w:szCs w:val="22"/>
          <w:lang w:eastAsia="en-GB" w:bidi="en-GB"/>
          <w14:ligatures w14:val="standardContextual"/>
        </w:rPr>
        <w:lastRenderedPageBreak/>
        <w:t xml:space="preserve">Savings </w:t>
      </w:r>
      <w:r w:rsidRPr="00CE6087">
        <w:rPr>
          <w:rFonts w:eastAsia="Calibri"/>
          <w:color w:val="000000"/>
          <w:kern w:val="2"/>
          <w:sz w:val="22"/>
          <w:szCs w:val="22"/>
          <w:lang w:eastAsia="en-GB" w:bidi="en-GB"/>
          <w14:ligatures w14:val="standardContextual"/>
        </w:rPr>
        <w:t>- £0.8m of core revenue budget savings have been identified in 2024-25 which are shown in table below.</w:t>
      </w:r>
    </w:p>
    <w:p w14:paraId="479A6B9B" w14:textId="77777777" w:rsidR="00CE6087" w:rsidRPr="00CE6087" w:rsidRDefault="00CE6087" w:rsidP="006E2F27">
      <w:pPr>
        <w:widowControl w:val="0"/>
        <w:autoSpaceDE w:val="0"/>
        <w:autoSpaceDN w:val="0"/>
        <w:spacing w:after="480"/>
        <w:ind w:right="2" w:hanging="10"/>
        <w:jc w:val="both"/>
        <w:rPr>
          <w:rFonts w:eastAsia="Arial"/>
          <w:color w:val="000000"/>
          <w:kern w:val="2"/>
          <w:lang w:eastAsia="en-GB" w:bidi="en-GB"/>
          <w14:ligatures w14:val="standardContextual"/>
        </w:rPr>
      </w:pPr>
      <w:r w:rsidRPr="00CE6087">
        <w:rPr>
          <w:rFonts w:eastAsia="Arial"/>
          <w:noProof/>
          <w:color w:val="000000"/>
          <w:kern w:val="2"/>
          <w:sz w:val="22"/>
          <w:szCs w:val="22"/>
          <w:lang w:eastAsia="en-GB" w:bidi="en-GB"/>
          <w14:ligatures w14:val="standardContextual"/>
        </w:rPr>
        <w:drawing>
          <wp:inline distT="0" distB="0" distL="0" distR="0" wp14:anchorId="051B6EFD" wp14:editId="087D91E4">
            <wp:extent cx="5257800" cy="1924050"/>
            <wp:effectExtent l="0" t="0" r="0" b="0"/>
            <wp:docPr id="765046397"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57800" cy="1924050"/>
                    </a:xfrm>
                    <a:prstGeom prst="rect">
                      <a:avLst/>
                    </a:prstGeom>
                    <a:noFill/>
                    <a:ln>
                      <a:noFill/>
                    </a:ln>
                  </pic:spPr>
                </pic:pic>
              </a:graphicData>
            </a:graphic>
          </wp:inline>
        </w:drawing>
      </w:r>
    </w:p>
    <w:p w14:paraId="636DC76D" w14:textId="121265BC" w:rsidR="00CE6087" w:rsidRDefault="00CE6087" w:rsidP="006E2F27">
      <w:pPr>
        <w:jc w:val="both"/>
      </w:pPr>
      <w:r w:rsidRPr="00CE6087">
        <w:rPr>
          <w:sz w:val="22"/>
          <w:szCs w:val="22"/>
        </w:rPr>
        <w:t>The Service savings and efficiencies plan is tracked through its Productivity and Efficiency Board. Since 2020-21, the Service has driven budgetary savings of £5m and has generated £7m of capital receipts from the sale of surplus assets</w:t>
      </w:r>
      <w:r w:rsidRPr="00CE6087">
        <w:t>.</w:t>
      </w:r>
    </w:p>
    <w:p w14:paraId="2A22AD79" w14:textId="77777777" w:rsidR="004B69C1" w:rsidRPr="00CE6087" w:rsidRDefault="004B69C1" w:rsidP="006E2F27">
      <w:pPr>
        <w:jc w:val="both"/>
      </w:pPr>
    </w:p>
    <w:p w14:paraId="05889C15" w14:textId="77777777" w:rsidR="00CE6087" w:rsidRPr="00CE6087" w:rsidRDefault="00CE6087" w:rsidP="006E2F27">
      <w:pPr>
        <w:widowControl w:val="0"/>
        <w:autoSpaceDE w:val="0"/>
        <w:autoSpaceDN w:val="0"/>
        <w:spacing w:after="240"/>
        <w:jc w:val="both"/>
        <w:rPr>
          <w:rFonts w:eastAsia="Calibri"/>
          <w:color w:val="000000"/>
          <w:kern w:val="2"/>
          <w:sz w:val="22"/>
          <w:szCs w:val="22"/>
          <w:lang w:eastAsia="en-GB" w:bidi="en-GB"/>
          <w14:ligatures w14:val="standardContextual"/>
        </w:rPr>
      </w:pPr>
      <w:r w:rsidRPr="00CE6087">
        <w:rPr>
          <w:rFonts w:eastAsia="Calibri"/>
          <w:color w:val="000000"/>
          <w:kern w:val="2"/>
          <w:sz w:val="22"/>
          <w:szCs w:val="22"/>
          <w:lang w:eastAsia="en-GB" w:bidi="en-GB"/>
          <w14:ligatures w14:val="standardContextual"/>
        </w:rPr>
        <w:t>The table below shows the latest detail of the MTFS and the impact of the change since December 23.</w:t>
      </w:r>
    </w:p>
    <w:p w14:paraId="64D8924A" w14:textId="77777777" w:rsidR="00CE6087" w:rsidRPr="00CE6087" w:rsidRDefault="00CE6087" w:rsidP="004B69C1">
      <w:pPr>
        <w:widowControl w:val="0"/>
        <w:autoSpaceDE w:val="0"/>
        <w:autoSpaceDN w:val="0"/>
        <w:spacing w:after="240"/>
        <w:ind w:right="2" w:hanging="10"/>
        <w:jc w:val="both"/>
        <w:rPr>
          <w:rFonts w:eastAsia="Calibri"/>
          <w:b/>
          <w:bCs/>
          <w:color w:val="000000"/>
          <w:kern w:val="2"/>
          <w:lang w:eastAsia="en-GB" w:bidi="en-GB"/>
          <w14:ligatures w14:val="standardContextual"/>
        </w:rPr>
      </w:pPr>
      <w:proofErr w:type="gramStart"/>
      <w:r w:rsidRPr="00CE6087">
        <w:rPr>
          <w:rFonts w:eastAsia="Calibri"/>
          <w:b/>
          <w:bCs/>
          <w:color w:val="000000"/>
          <w:kern w:val="2"/>
          <w:sz w:val="22"/>
          <w:szCs w:val="22"/>
          <w:lang w:eastAsia="en-GB" w:bidi="en-GB"/>
          <w14:ligatures w14:val="standardContextual"/>
        </w:rPr>
        <w:t>Detailed  Medium</w:t>
      </w:r>
      <w:proofErr w:type="gramEnd"/>
      <w:r w:rsidRPr="00CE6087">
        <w:rPr>
          <w:rFonts w:eastAsia="Calibri"/>
          <w:b/>
          <w:bCs/>
          <w:color w:val="000000"/>
          <w:kern w:val="2"/>
          <w:sz w:val="22"/>
          <w:szCs w:val="22"/>
          <w:lang w:eastAsia="en-GB" w:bidi="en-GB"/>
          <w14:ligatures w14:val="standardContextual"/>
        </w:rPr>
        <w:t>-Term Financial Strategy and the changes since December 23.</w:t>
      </w:r>
    </w:p>
    <w:p w14:paraId="637117B8" w14:textId="77777777" w:rsidR="00CE6087" w:rsidRPr="00CE6087" w:rsidRDefault="00CE6087" w:rsidP="00CE6087">
      <w:pPr>
        <w:widowControl w:val="0"/>
        <w:autoSpaceDE w:val="0"/>
        <w:autoSpaceDN w:val="0"/>
        <w:spacing w:after="240"/>
        <w:ind w:left="993" w:right="2" w:hanging="10"/>
        <w:jc w:val="both"/>
        <w:rPr>
          <w:rFonts w:eastAsia="Calibri"/>
          <w:b/>
          <w:bCs/>
          <w:color w:val="000000"/>
          <w:kern w:val="2"/>
          <w:lang w:eastAsia="en-GB" w:bidi="en-GB"/>
          <w14:ligatures w14:val="standardContextual"/>
        </w:rPr>
      </w:pPr>
      <w:r w:rsidRPr="00CE6087">
        <w:rPr>
          <w:rFonts w:ascii="Calibri" w:eastAsia="Calibri" w:hAnsi="Calibri" w:cs="Calibri"/>
          <w:noProof/>
          <w:color w:val="000000"/>
          <w:kern w:val="2"/>
          <w:sz w:val="22"/>
          <w:szCs w:val="22"/>
          <w:lang w:eastAsia="en-GB" w:bidi="en-GB"/>
          <w14:ligatures w14:val="standardContextual"/>
        </w:rPr>
        <w:drawing>
          <wp:anchor distT="0" distB="0" distL="114300" distR="114300" simplePos="0" relativeHeight="251660293" behindDoc="0" locked="0" layoutInCell="1" allowOverlap="1" wp14:anchorId="54529139" wp14:editId="7E9A16CA">
            <wp:simplePos x="0" y="0"/>
            <wp:positionH relativeFrom="page">
              <wp:posOffset>889635</wp:posOffset>
            </wp:positionH>
            <wp:positionV relativeFrom="paragraph">
              <wp:posOffset>1905</wp:posOffset>
            </wp:positionV>
            <wp:extent cx="6390640" cy="4869180"/>
            <wp:effectExtent l="0" t="0" r="0" b="7620"/>
            <wp:wrapNone/>
            <wp:docPr id="1459446543"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390640" cy="4869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A7CAD5" w14:textId="77777777" w:rsidR="00CE6087" w:rsidRPr="00CE6087" w:rsidRDefault="00CE6087" w:rsidP="00CE6087">
      <w:pPr>
        <w:widowControl w:val="0"/>
        <w:autoSpaceDE w:val="0"/>
        <w:autoSpaceDN w:val="0"/>
        <w:spacing w:after="240"/>
        <w:ind w:left="993" w:right="2" w:hanging="10"/>
        <w:jc w:val="both"/>
        <w:rPr>
          <w:rFonts w:eastAsia="Calibri"/>
          <w:b/>
          <w:bCs/>
          <w:color w:val="000000"/>
          <w:kern w:val="2"/>
          <w:lang w:eastAsia="en-GB" w:bidi="en-GB"/>
          <w14:ligatures w14:val="standardContextual"/>
        </w:rPr>
      </w:pPr>
    </w:p>
    <w:p w14:paraId="341D10D1" w14:textId="77777777" w:rsidR="00CE6087" w:rsidRPr="00CE6087" w:rsidRDefault="00CE6087" w:rsidP="00CE6087">
      <w:pPr>
        <w:widowControl w:val="0"/>
        <w:autoSpaceDE w:val="0"/>
        <w:autoSpaceDN w:val="0"/>
        <w:spacing w:after="240"/>
        <w:ind w:left="993" w:right="2" w:hanging="10"/>
        <w:jc w:val="both"/>
        <w:rPr>
          <w:rFonts w:eastAsia="Calibri"/>
          <w:b/>
          <w:bCs/>
          <w:color w:val="000000"/>
          <w:kern w:val="2"/>
          <w:lang w:eastAsia="en-GB" w:bidi="en-GB"/>
          <w14:ligatures w14:val="standardContextual"/>
        </w:rPr>
      </w:pPr>
    </w:p>
    <w:p w14:paraId="5A1AE7AF" w14:textId="77777777" w:rsidR="00CE6087" w:rsidRPr="00CE6087" w:rsidRDefault="00CE6087" w:rsidP="00CE6087">
      <w:pPr>
        <w:widowControl w:val="0"/>
        <w:autoSpaceDE w:val="0"/>
        <w:autoSpaceDN w:val="0"/>
        <w:spacing w:after="240"/>
        <w:ind w:left="993" w:right="2" w:hanging="10"/>
        <w:jc w:val="both"/>
        <w:rPr>
          <w:rFonts w:eastAsia="Calibri"/>
          <w:b/>
          <w:bCs/>
          <w:color w:val="000000"/>
          <w:kern w:val="2"/>
          <w:lang w:eastAsia="en-GB" w:bidi="en-GB"/>
          <w14:ligatures w14:val="standardContextual"/>
        </w:rPr>
      </w:pPr>
    </w:p>
    <w:p w14:paraId="55370289" w14:textId="77777777" w:rsidR="00CE6087" w:rsidRPr="00CE6087" w:rsidRDefault="00CE6087" w:rsidP="00CE6087">
      <w:pPr>
        <w:widowControl w:val="0"/>
        <w:autoSpaceDE w:val="0"/>
        <w:autoSpaceDN w:val="0"/>
        <w:spacing w:after="240"/>
        <w:ind w:left="993" w:right="2" w:hanging="10"/>
        <w:jc w:val="both"/>
        <w:rPr>
          <w:rFonts w:eastAsia="Calibri"/>
          <w:b/>
          <w:bCs/>
          <w:color w:val="000000"/>
          <w:kern w:val="2"/>
          <w:lang w:eastAsia="en-GB" w:bidi="en-GB"/>
          <w14:ligatures w14:val="standardContextual"/>
        </w:rPr>
      </w:pPr>
    </w:p>
    <w:p w14:paraId="3A691311" w14:textId="77777777" w:rsidR="00CE6087" w:rsidRPr="00CE6087" w:rsidRDefault="00CE6087" w:rsidP="00CE6087">
      <w:pPr>
        <w:widowControl w:val="0"/>
        <w:autoSpaceDE w:val="0"/>
        <w:autoSpaceDN w:val="0"/>
        <w:spacing w:after="240"/>
        <w:ind w:left="993" w:right="2" w:hanging="10"/>
        <w:jc w:val="both"/>
        <w:rPr>
          <w:rFonts w:eastAsia="Calibri"/>
          <w:b/>
          <w:bCs/>
          <w:color w:val="000000"/>
          <w:kern w:val="2"/>
          <w:lang w:eastAsia="en-GB" w:bidi="en-GB"/>
          <w14:ligatures w14:val="standardContextual"/>
        </w:rPr>
      </w:pPr>
    </w:p>
    <w:p w14:paraId="6C0D5016" w14:textId="77777777" w:rsidR="00CE6087" w:rsidRPr="00CE6087" w:rsidRDefault="00CE6087" w:rsidP="00CE6087">
      <w:pPr>
        <w:widowControl w:val="0"/>
        <w:autoSpaceDE w:val="0"/>
        <w:autoSpaceDN w:val="0"/>
        <w:spacing w:after="240"/>
        <w:ind w:left="993" w:right="2" w:hanging="10"/>
        <w:jc w:val="both"/>
        <w:rPr>
          <w:rFonts w:eastAsia="Calibri"/>
          <w:b/>
          <w:bCs/>
          <w:color w:val="000000"/>
          <w:kern w:val="2"/>
          <w:lang w:eastAsia="en-GB" w:bidi="en-GB"/>
          <w14:ligatures w14:val="standardContextual"/>
        </w:rPr>
      </w:pPr>
    </w:p>
    <w:p w14:paraId="55C63ED2" w14:textId="77777777" w:rsidR="00CE6087" w:rsidRPr="00CE6087" w:rsidRDefault="00CE6087" w:rsidP="00CE6087">
      <w:pPr>
        <w:widowControl w:val="0"/>
        <w:autoSpaceDE w:val="0"/>
        <w:autoSpaceDN w:val="0"/>
        <w:spacing w:after="240"/>
        <w:ind w:left="993" w:right="2" w:hanging="10"/>
        <w:jc w:val="both"/>
        <w:rPr>
          <w:rFonts w:eastAsia="Calibri"/>
          <w:b/>
          <w:bCs/>
          <w:color w:val="000000"/>
          <w:kern w:val="2"/>
          <w:lang w:eastAsia="en-GB" w:bidi="en-GB"/>
          <w14:ligatures w14:val="standardContextual"/>
        </w:rPr>
      </w:pPr>
    </w:p>
    <w:p w14:paraId="3164EE9C" w14:textId="77777777" w:rsidR="00CE6087" w:rsidRPr="00CE6087" w:rsidRDefault="00CE6087" w:rsidP="00CE6087">
      <w:pPr>
        <w:widowControl w:val="0"/>
        <w:autoSpaceDE w:val="0"/>
        <w:autoSpaceDN w:val="0"/>
        <w:spacing w:after="240"/>
        <w:ind w:left="993" w:right="2" w:hanging="10"/>
        <w:jc w:val="both"/>
        <w:rPr>
          <w:rFonts w:eastAsia="Calibri"/>
          <w:b/>
          <w:bCs/>
          <w:color w:val="000000"/>
          <w:kern w:val="2"/>
          <w:lang w:eastAsia="en-GB" w:bidi="en-GB"/>
          <w14:ligatures w14:val="standardContextual"/>
        </w:rPr>
      </w:pPr>
    </w:p>
    <w:p w14:paraId="082294DE" w14:textId="77777777" w:rsidR="00CE6087" w:rsidRPr="00CE6087" w:rsidRDefault="00CE6087" w:rsidP="00CE6087">
      <w:pPr>
        <w:widowControl w:val="0"/>
        <w:autoSpaceDE w:val="0"/>
        <w:autoSpaceDN w:val="0"/>
        <w:spacing w:after="240"/>
        <w:ind w:left="993" w:right="2" w:hanging="10"/>
        <w:jc w:val="both"/>
        <w:rPr>
          <w:rFonts w:eastAsia="Calibri"/>
          <w:b/>
          <w:bCs/>
          <w:color w:val="000000"/>
          <w:kern w:val="2"/>
          <w:lang w:eastAsia="en-GB" w:bidi="en-GB"/>
          <w14:ligatures w14:val="standardContextual"/>
        </w:rPr>
      </w:pPr>
    </w:p>
    <w:p w14:paraId="31B5B2FC" w14:textId="77777777" w:rsidR="00CE6087" w:rsidRPr="00CE6087" w:rsidRDefault="00CE6087" w:rsidP="00CE6087">
      <w:pPr>
        <w:widowControl w:val="0"/>
        <w:autoSpaceDE w:val="0"/>
        <w:autoSpaceDN w:val="0"/>
        <w:spacing w:after="240"/>
        <w:ind w:left="993" w:right="2" w:hanging="10"/>
        <w:jc w:val="both"/>
        <w:rPr>
          <w:rFonts w:eastAsia="Calibri"/>
          <w:b/>
          <w:bCs/>
          <w:color w:val="000000"/>
          <w:kern w:val="2"/>
          <w:lang w:eastAsia="en-GB" w:bidi="en-GB"/>
          <w14:ligatures w14:val="standardContextual"/>
        </w:rPr>
      </w:pPr>
    </w:p>
    <w:p w14:paraId="22A03914" w14:textId="77777777" w:rsidR="00CE6087" w:rsidRPr="00CE6087" w:rsidRDefault="00CE6087" w:rsidP="00CE6087">
      <w:pPr>
        <w:widowControl w:val="0"/>
        <w:autoSpaceDE w:val="0"/>
        <w:autoSpaceDN w:val="0"/>
        <w:spacing w:after="240"/>
        <w:ind w:left="993" w:right="2" w:hanging="10"/>
        <w:jc w:val="both"/>
        <w:rPr>
          <w:rFonts w:eastAsia="Calibri"/>
          <w:b/>
          <w:bCs/>
          <w:color w:val="000000"/>
          <w:kern w:val="2"/>
          <w:lang w:eastAsia="en-GB" w:bidi="en-GB"/>
          <w14:ligatures w14:val="standardContextual"/>
        </w:rPr>
      </w:pPr>
    </w:p>
    <w:p w14:paraId="77BA6B56" w14:textId="77777777" w:rsidR="00CE6087" w:rsidRPr="00CE6087" w:rsidRDefault="00CE6087" w:rsidP="00CE6087">
      <w:pPr>
        <w:widowControl w:val="0"/>
        <w:autoSpaceDE w:val="0"/>
        <w:autoSpaceDN w:val="0"/>
        <w:spacing w:after="240"/>
        <w:ind w:left="993" w:right="2" w:hanging="10"/>
        <w:jc w:val="both"/>
        <w:rPr>
          <w:rFonts w:eastAsia="Calibri"/>
          <w:b/>
          <w:bCs/>
          <w:color w:val="000000"/>
          <w:kern w:val="2"/>
          <w:lang w:eastAsia="en-GB" w:bidi="en-GB"/>
          <w14:ligatures w14:val="standardContextual"/>
        </w:rPr>
      </w:pPr>
    </w:p>
    <w:p w14:paraId="45B4AF7D" w14:textId="77777777" w:rsidR="00CE6087" w:rsidRPr="00CE6087" w:rsidRDefault="00CE6087" w:rsidP="00CE6087">
      <w:pPr>
        <w:keepNext/>
        <w:keepLines/>
        <w:tabs>
          <w:tab w:val="center" w:pos="3096"/>
        </w:tabs>
        <w:spacing w:after="168" w:line="259" w:lineRule="auto"/>
        <w:ind w:left="-15"/>
        <w:outlineLvl w:val="0"/>
        <w:rPr>
          <w:rFonts w:eastAsia="Arial"/>
          <w:b/>
          <w:color w:val="000000"/>
          <w:kern w:val="2"/>
          <w:sz w:val="28"/>
          <w:szCs w:val="22"/>
          <w:u w:val="single" w:color="000000"/>
          <w:lang w:eastAsia="en-GB"/>
          <w14:ligatures w14:val="standardContextual"/>
        </w:rPr>
      </w:pPr>
      <w:bookmarkStart w:id="2" w:name="_Toc161232878"/>
      <w:r w:rsidRPr="00CE6087">
        <w:rPr>
          <w:rFonts w:eastAsia="Arial"/>
          <w:b/>
          <w:color w:val="000000"/>
          <w:kern w:val="2"/>
          <w:sz w:val="28"/>
          <w:szCs w:val="22"/>
          <w:u w:color="000000"/>
          <w:lang w:eastAsia="en-GB"/>
          <w14:ligatures w14:val="standardContextual"/>
        </w:rPr>
        <w:t xml:space="preserve">3. </w:t>
      </w:r>
      <w:r w:rsidRPr="00CE6087">
        <w:rPr>
          <w:rFonts w:eastAsia="Arial"/>
          <w:b/>
          <w:color w:val="000000"/>
          <w:kern w:val="2"/>
          <w:sz w:val="28"/>
          <w:szCs w:val="22"/>
          <w:u w:color="000000"/>
          <w:lang w:eastAsia="en-GB"/>
          <w14:ligatures w14:val="standardContextual"/>
        </w:rPr>
        <w:tab/>
      </w:r>
      <w:r w:rsidRPr="00CE6087">
        <w:rPr>
          <w:rFonts w:eastAsia="Arial"/>
          <w:b/>
          <w:color w:val="000000"/>
          <w:kern w:val="2"/>
          <w:sz w:val="28"/>
          <w:szCs w:val="22"/>
          <w:u w:val="single" w:color="000000"/>
          <w:lang w:eastAsia="en-GB"/>
          <w14:ligatures w14:val="standardContextual"/>
        </w:rPr>
        <w:t>Assumptions and Sensitivity Analysis</w:t>
      </w:r>
      <w:bookmarkEnd w:id="2"/>
      <w:r w:rsidRPr="00CE6087">
        <w:rPr>
          <w:rFonts w:eastAsia="Arial"/>
          <w:b/>
          <w:color w:val="000000"/>
          <w:kern w:val="2"/>
          <w:sz w:val="28"/>
          <w:szCs w:val="22"/>
          <w:u w:color="000000"/>
          <w:lang w:eastAsia="en-GB"/>
          <w14:ligatures w14:val="standardContextual"/>
        </w:rPr>
        <w:t xml:space="preserve"> </w:t>
      </w:r>
    </w:p>
    <w:p w14:paraId="3FBD21F5" w14:textId="77777777" w:rsidR="00CE6087" w:rsidRPr="00CE6087" w:rsidRDefault="00CE6087" w:rsidP="00CE6087">
      <w:pPr>
        <w:spacing w:after="231" w:line="248" w:lineRule="auto"/>
        <w:ind w:left="-5" w:right="61" w:hanging="10"/>
        <w:jc w:val="both"/>
        <w:rPr>
          <w:rFonts w:eastAsia="Arial"/>
          <w:color w:val="000000"/>
          <w:kern w:val="2"/>
          <w:sz w:val="22"/>
          <w:szCs w:val="22"/>
          <w:lang w:eastAsia="en-GB"/>
          <w14:ligatures w14:val="standardContextual"/>
        </w:rPr>
      </w:pPr>
      <w:r w:rsidRPr="00CE6087">
        <w:rPr>
          <w:rFonts w:eastAsia="Arial"/>
          <w:color w:val="000000"/>
          <w:kern w:val="2"/>
          <w:sz w:val="22"/>
          <w:szCs w:val="22"/>
          <w:lang w:eastAsia="en-GB"/>
          <w14:ligatures w14:val="standardContextual"/>
        </w:rPr>
        <w:t xml:space="preserve">The Key Assumptions that are included within the MTFS are outlined below: </w:t>
      </w:r>
    </w:p>
    <w:p w14:paraId="55CC7BC9" w14:textId="77777777" w:rsidR="00CE6087" w:rsidRPr="00CE6087" w:rsidRDefault="00CE6087" w:rsidP="00CE6087">
      <w:pPr>
        <w:keepNext/>
        <w:keepLines/>
        <w:spacing w:after="219" w:line="259" w:lineRule="auto"/>
        <w:ind w:left="-5" w:hanging="10"/>
        <w:outlineLvl w:val="2"/>
        <w:rPr>
          <w:rFonts w:eastAsia="Arial"/>
          <w:b/>
          <w:color w:val="000000"/>
          <w:kern w:val="2"/>
          <w:sz w:val="22"/>
          <w:szCs w:val="22"/>
          <w:u w:val="single" w:color="000000"/>
          <w:lang w:eastAsia="en-GB"/>
          <w14:ligatures w14:val="standardContextual"/>
        </w:rPr>
      </w:pPr>
      <w:r w:rsidRPr="00CE6087">
        <w:rPr>
          <w:rFonts w:eastAsia="Arial"/>
          <w:b/>
          <w:color w:val="000000"/>
          <w:kern w:val="2"/>
          <w:sz w:val="22"/>
          <w:szCs w:val="22"/>
          <w:u w:val="single" w:color="000000"/>
          <w:lang w:eastAsia="en-GB"/>
          <w14:ligatures w14:val="standardContextual"/>
        </w:rPr>
        <w:lastRenderedPageBreak/>
        <w:t>Funding</w:t>
      </w:r>
      <w:r w:rsidRPr="00CE6087">
        <w:rPr>
          <w:rFonts w:eastAsia="Arial"/>
          <w:b/>
          <w:color w:val="000000"/>
          <w:kern w:val="2"/>
          <w:sz w:val="22"/>
          <w:szCs w:val="22"/>
          <w:u w:color="000000"/>
          <w:lang w:eastAsia="en-GB"/>
          <w14:ligatures w14:val="standardContextual"/>
        </w:rPr>
        <w:t xml:space="preserve"> </w:t>
      </w:r>
    </w:p>
    <w:p w14:paraId="20B5A84F" w14:textId="77777777" w:rsidR="00CE6087" w:rsidRPr="00CE6087" w:rsidRDefault="00CE6087" w:rsidP="00CE6087">
      <w:pPr>
        <w:spacing w:after="231" w:line="248" w:lineRule="auto"/>
        <w:ind w:left="-5" w:right="61" w:hanging="10"/>
        <w:jc w:val="both"/>
        <w:rPr>
          <w:rFonts w:eastAsia="Arial"/>
          <w:color w:val="000000"/>
          <w:kern w:val="2"/>
          <w:sz w:val="22"/>
          <w:szCs w:val="22"/>
          <w:lang w:eastAsia="en-GB"/>
          <w14:ligatures w14:val="standardContextual"/>
        </w:rPr>
      </w:pPr>
      <w:r w:rsidRPr="00CE6087">
        <w:rPr>
          <w:rFonts w:eastAsia="Arial"/>
          <w:b/>
          <w:color w:val="000000"/>
          <w:kern w:val="2"/>
          <w:sz w:val="22"/>
          <w:szCs w:val="22"/>
          <w:lang w:eastAsia="en-GB"/>
          <w14:ligatures w14:val="standardContextual"/>
        </w:rPr>
        <w:t xml:space="preserve">Council Tax – </w:t>
      </w:r>
      <w:r w:rsidRPr="00CE6087">
        <w:rPr>
          <w:rFonts w:eastAsia="Arial"/>
          <w:color w:val="000000"/>
          <w:kern w:val="2"/>
          <w:sz w:val="22"/>
          <w:szCs w:val="22"/>
          <w:lang w:eastAsia="en-GB"/>
          <w14:ligatures w14:val="standardContextual"/>
        </w:rPr>
        <w:t xml:space="preserve">The precept has been increased by £2.34 (2.91%) in 2024/25. The council tax precept is increased by 3% in 2025/26 and then 2% thereafter. </w:t>
      </w:r>
    </w:p>
    <w:p w14:paraId="7406B3D1" w14:textId="77777777" w:rsidR="00CE6087" w:rsidRPr="00CE6087" w:rsidRDefault="00CE6087" w:rsidP="00CE6087">
      <w:pPr>
        <w:spacing w:after="231" w:line="248" w:lineRule="auto"/>
        <w:ind w:left="-5" w:right="61" w:hanging="10"/>
        <w:jc w:val="both"/>
        <w:rPr>
          <w:rFonts w:eastAsia="Arial"/>
          <w:color w:val="000000"/>
          <w:kern w:val="2"/>
          <w:sz w:val="22"/>
          <w:szCs w:val="22"/>
          <w:lang w:eastAsia="en-GB"/>
          <w14:ligatures w14:val="standardContextual"/>
        </w:rPr>
      </w:pPr>
      <w:r w:rsidRPr="00CE6087">
        <w:rPr>
          <w:rFonts w:eastAsia="Arial"/>
          <w:color w:val="000000"/>
          <w:kern w:val="2"/>
          <w:sz w:val="22"/>
          <w:szCs w:val="22"/>
          <w:lang w:eastAsia="en-GB"/>
          <w14:ligatures w14:val="standardContextual"/>
        </w:rPr>
        <w:t xml:space="preserve">Council tax income would normally grow year on year </w:t>
      </w:r>
      <w:proofErr w:type="gramStart"/>
      <w:r w:rsidRPr="00CE6087">
        <w:rPr>
          <w:rFonts w:eastAsia="Arial"/>
          <w:color w:val="000000"/>
          <w:kern w:val="2"/>
          <w:sz w:val="22"/>
          <w:szCs w:val="22"/>
          <w:lang w:eastAsia="en-GB"/>
          <w14:ligatures w14:val="standardContextual"/>
        </w:rPr>
        <w:t>as a result of</w:t>
      </w:r>
      <w:proofErr w:type="gramEnd"/>
      <w:r w:rsidRPr="00CE6087">
        <w:rPr>
          <w:rFonts w:eastAsia="Arial"/>
          <w:color w:val="000000"/>
          <w:kern w:val="2"/>
          <w:sz w:val="22"/>
          <w:szCs w:val="22"/>
          <w:lang w:eastAsia="en-GB"/>
          <w14:ligatures w14:val="standardContextual"/>
        </w:rPr>
        <w:t xml:space="preserve"> an increase in the tax base. The MTFS assumption is that the council tax base will grow by 1.0% per annum, which is based on the 2024/25 estimate provided by the local districts. </w:t>
      </w:r>
    </w:p>
    <w:p w14:paraId="402D3FF4" w14:textId="77777777" w:rsidR="00CE6087" w:rsidRPr="00CE6087" w:rsidRDefault="00CE6087" w:rsidP="00CE6087">
      <w:pPr>
        <w:spacing w:after="231" w:line="248" w:lineRule="auto"/>
        <w:ind w:left="-5" w:right="61" w:hanging="10"/>
        <w:jc w:val="both"/>
        <w:rPr>
          <w:rFonts w:eastAsia="Arial"/>
          <w:color w:val="000000"/>
          <w:kern w:val="2"/>
          <w:sz w:val="22"/>
          <w:szCs w:val="22"/>
          <w:lang w:eastAsia="en-GB"/>
          <w14:ligatures w14:val="standardContextual"/>
        </w:rPr>
      </w:pPr>
      <w:r w:rsidRPr="00CE6087">
        <w:rPr>
          <w:rFonts w:eastAsia="Arial"/>
          <w:b/>
          <w:color w:val="000000"/>
          <w:kern w:val="2"/>
          <w:sz w:val="22"/>
          <w:szCs w:val="22"/>
          <w:lang w:eastAsia="en-GB"/>
          <w14:ligatures w14:val="standardContextual"/>
        </w:rPr>
        <w:t xml:space="preserve">Local Government Finance Settlement </w:t>
      </w:r>
      <w:r w:rsidRPr="00CE6087">
        <w:rPr>
          <w:rFonts w:eastAsia="Arial"/>
          <w:color w:val="000000"/>
          <w:kern w:val="2"/>
          <w:sz w:val="22"/>
          <w:szCs w:val="22"/>
          <w:lang w:eastAsia="en-GB"/>
          <w14:ligatures w14:val="standardContextual"/>
        </w:rPr>
        <w:t xml:space="preserve">– A 2% annual inflationary increase has been applied to the Revenue Support Grant from 2025/26 and thereafter.  The Pension Grant (£3.5m) was previously included as a S31 Grant and as part of the 2024/25 local government finance settlement this was rolled into baseline funding under the Revenue Support grant. No inflationary increase was applied to the Pension Grant in 2024/25, however by being included in the Revenue Support Grant this will be subject to any such inflationary increases in future years. The 2% annual inflationary increase has there been applied to this from 2025/26 and each year thereafter.  </w:t>
      </w:r>
    </w:p>
    <w:p w14:paraId="22FB4431" w14:textId="77777777" w:rsidR="00CE6087" w:rsidRPr="00CE6087" w:rsidRDefault="00CE6087" w:rsidP="00CE6087">
      <w:pPr>
        <w:spacing w:after="231" w:line="248" w:lineRule="auto"/>
        <w:ind w:right="61"/>
        <w:jc w:val="both"/>
        <w:rPr>
          <w:rFonts w:eastAsia="Arial"/>
          <w:color w:val="000000"/>
          <w:kern w:val="2"/>
          <w:sz w:val="22"/>
          <w:szCs w:val="22"/>
          <w:lang w:eastAsia="en-GB"/>
          <w14:ligatures w14:val="standardContextual"/>
        </w:rPr>
      </w:pPr>
      <w:r w:rsidRPr="00CE6087">
        <w:rPr>
          <w:rFonts w:eastAsia="Arial"/>
          <w:b/>
          <w:color w:val="000000"/>
          <w:kern w:val="2"/>
          <w:sz w:val="22"/>
          <w:szCs w:val="22"/>
          <w:lang w:eastAsia="en-GB"/>
          <w14:ligatures w14:val="standardContextual"/>
        </w:rPr>
        <w:t xml:space="preserve">Specific Government Grants – The total </w:t>
      </w:r>
      <w:r w:rsidRPr="00CE6087">
        <w:rPr>
          <w:rFonts w:eastAsia="Arial"/>
          <w:bCs/>
          <w:color w:val="000000"/>
          <w:kern w:val="2"/>
          <w:sz w:val="22"/>
          <w:szCs w:val="22"/>
          <w:lang w:eastAsia="en-GB"/>
          <w14:ligatures w14:val="standardContextual"/>
        </w:rPr>
        <w:t xml:space="preserve">Specific government grants in 2024/25 is £6.1m, which is primarily made up of </w:t>
      </w:r>
      <w:r w:rsidRPr="00CE6087">
        <w:rPr>
          <w:rFonts w:eastAsia="Arial"/>
          <w:color w:val="000000"/>
          <w:kern w:val="2"/>
          <w:sz w:val="22"/>
          <w:szCs w:val="22"/>
          <w:lang w:eastAsia="en-GB"/>
          <w14:ligatures w14:val="standardContextual"/>
        </w:rPr>
        <w:t xml:space="preserve">Business Rates Relief Grant and Compensation from the multiplier freeze (£4m), Urban Search and Rescue Grant (£0.8m), Funding Guarantee (£0.6m) and </w:t>
      </w:r>
      <w:proofErr w:type="spellStart"/>
      <w:r w:rsidRPr="00CE6087">
        <w:rPr>
          <w:rFonts w:eastAsia="Arial"/>
          <w:color w:val="000000"/>
          <w:kern w:val="2"/>
          <w:sz w:val="22"/>
          <w:szCs w:val="22"/>
          <w:lang w:eastAsia="en-GB"/>
          <w14:ligatures w14:val="standardContextual"/>
        </w:rPr>
        <w:t>Firelink</w:t>
      </w:r>
      <w:proofErr w:type="spellEnd"/>
      <w:r w:rsidRPr="00CE6087">
        <w:rPr>
          <w:rFonts w:eastAsia="Arial"/>
          <w:color w:val="000000"/>
          <w:kern w:val="2"/>
          <w:sz w:val="22"/>
          <w:szCs w:val="22"/>
          <w:lang w:eastAsia="en-GB"/>
          <w14:ligatures w14:val="standardContextual"/>
        </w:rPr>
        <w:t xml:space="preserve"> (£0.3m), Protection Uplift Grant (£0.2m) and the Services Grant (£0.1m).</w:t>
      </w:r>
    </w:p>
    <w:p w14:paraId="1C73C965" w14:textId="77777777" w:rsidR="00CE6087" w:rsidRPr="00CE6087" w:rsidRDefault="00CE6087" w:rsidP="00CE6087">
      <w:pPr>
        <w:spacing w:after="231" w:line="248" w:lineRule="auto"/>
        <w:ind w:left="-5" w:right="61" w:hanging="10"/>
        <w:jc w:val="both"/>
        <w:rPr>
          <w:rFonts w:eastAsia="Arial"/>
          <w:color w:val="000000"/>
          <w:kern w:val="2"/>
          <w:sz w:val="22"/>
          <w:szCs w:val="22"/>
          <w:lang w:eastAsia="en-GB"/>
          <w14:ligatures w14:val="standardContextual"/>
        </w:rPr>
      </w:pPr>
      <w:r w:rsidRPr="00CE6087">
        <w:rPr>
          <w:rFonts w:eastAsia="Arial"/>
          <w:color w:val="000000"/>
          <w:kern w:val="2"/>
          <w:sz w:val="22"/>
          <w:szCs w:val="22"/>
          <w:lang w:eastAsia="en-GB"/>
          <w14:ligatures w14:val="standardContextual"/>
        </w:rPr>
        <w:t>The current MTFS is prepared on the basis that both the Funding Guarantee and the Services which total £0.7m, are one off 2024/25, and these will no continue beyond this timeline.</w:t>
      </w:r>
    </w:p>
    <w:p w14:paraId="2101E702" w14:textId="77777777" w:rsidR="00CE6087" w:rsidRPr="00CE6087" w:rsidRDefault="00CE6087" w:rsidP="00CE6087">
      <w:pPr>
        <w:spacing w:after="120"/>
        <w:ind w:left="10" w:right="2" w:hanging="10"/>
        <w:jc w:val="both"/>
        <w:rPr>
          <w:rFonts w:eastAsia="Arial"/>
          <w:color w:val="000000"/>
          <w:kern w:val="2"/>
          <w:sz w:val="22"/>
          <w:szCs w:val="22"/>
          <w:lang w:eastAsia="en-GB"/>
          <w14:ligatures w14:val="standardContextual"/>
        </w:rPr>
      </w:pPr>
      <w:r w:rsidRPr="00CE6087">
        <w:rPr>
          <w:rFonts w:eastAsia="Arial"/>
          <w:color w:val="000000"/>
          <w:kern w:val="2"/>
          <w:sz w:val="22"/>
          <w:szCs w:val="22"/>
          <w:lang w:eastAsia="en-GB"/>
          <w14:ligatures w14:val="standardContextual"/>
        </w:rPr>
        <w:t xml:space="preserve">The </w:t>
      </w:r>
      <w:proofErr w:type="spellStart"/>
      <w:r w:rsidRPr="00CE6087">
        <w:rPr>
          <w:rFonts w:eastAsia="Arial"/>
          <w:color w:val="000000"/>
          <w:kern w:val="2"/>
          <w:sz w:val="22"/>
          <w:szCs w:val="22"/>
          <w:lang w:eastAsia="en-GB"/>
          <w14:ligatures w14:val="standardContextual"/>
        </w:rPr>
        <w:t>Firelink</w:t>
      </w:r>
      <w:proofErr w:type="spellEnd"/>
      <w:r w:rsidRPr="00CE6087">
        <w:rPr>
          <w:rFonts w:eastAsia="Arial"/>
          <w:color w:val="000000"/>
          <w:kern w:val="2"/>
          <w:sz w:val="22"/>
          <w:szCs w:val="22"/>
          <w:lang w:eastAsia="en-GB"/>
          <w14:ligatures w14:val="standardContextual"/>
        </w:rPr>
        <w:t xml:space="preserve"> grant is also phased out of the MTFS by 2026/27, which is </w:t>
      </w:r>
      <w:proofErr w:type="spellStart"/>
      <w:r w:rsidRPr="00CE6087">
        <w:rPr>
          <w:rFonts w:eastAsia="Arial"/>
          <w:color w:val="000000"/>
          <w:kern w:val="2"/>
          <w:sz w:val="22"/>
          <w:szCs w:val="22"/>
          <w:lang w:eastAsia="en-GB"/>
          <w14:ligatures w14:val="standardContextual"/>
        </w:rPr>
        <w:t>inline</w:t>
      </w:r>
      <w:proofErr w:type="spellEnd"/>
      <w:r w:rsidRPr="00CE6087">
        <w:rPr>
          <w:rFonts w:eastAsia="Arial"/>
          <w:color w:val="000000"/>
          <w:kern w:val="2"/>
          <w:sz w:val="22"/>
          <w:szCs w:val="22"/>
          <w:lang w:eastAsia="en-GB"/>
          <w14:ligatures w14:val="standardContextual"/>
        </w:rPr>
        <w:t xml:space="preserve"> with the notification given by Home Office in 2022-23.</w:t>
      </w:r>
    </w:p>
    <w:p w14:paraId="6107FDDC" w14:textId="77777777" w:rsidR="00CE6087" w:rsidRPr="00CE6087" w:rsidRDefault="00CE6087" w:rsidP="00CE6087">
      <w:pPr>
        <w:spacing w:after="231" w:line="248" w:lineRule="auto"/>
        <w:ind w:left="10" w:right="61"/>
        <w:jc w:val="both"/>
        <w:rPr>
          <w:rFonts w:eastAsia="Arial"/>
          <w:color w:val="000000"/>
          <w:kern w:val="2"/>
          <w:sz w:val="22"/>
          <w:szCs w:val="22"/>
          <w:lang w:eastAsia="en-GB"/>
          <w14:ligatures w14:val="standardContextual"/>
        </w:rPr>
      </w:pPr>
      <w:r w:rsidRPr="00CE6087">
        <w:rPr>
          <w:rFonts w:eastAsia="Arial"/>
          <w:color w:val="000000"/>
          <w:kern w:val="2"/>
          <w:sz w:val="22"/>
          <w:szCs w:val="22"/>
          <w:lang w:eastAsia="en-GB"/>
          <w14:ligatures w14:val="standardContextual"/>
        </w:rPr>
        <w:t>All other grants are included in the MTFS have been included on a flat cash basis. If the specific grants for Urban Search and Rescue and Protection Uplift totalling £1m were to be cease, then the Authority will need to review its capability / resources in these areas to which this grant funding was specifically assigned to ensure that there was no financial impact on the service.</w:t>
      </w:r>
    </w:p>
    <w:p w14:paraId="0AA2BB5D" w14:textId="77777777" w:rsidR="00CE6087" w:rsidRPr="00CE6087" w:rsidRDefault="00CE6087" w:rsidP="00CE6087">
      <w:pPr>
        <w:keepNext/>
        <w:keepLines/>
        <w:spacing w:after="219" w:line="259" w:lineRule="auto"/>
        <w:ind w:left="-5" w:hanging="10"/>
        <w:outlineLvl w:val="2"/>
        <w:rPr>
          <w:rFonts w:eastAsia="Arial"/>
          <w:b/>
          <w:color w:val="000000"/>
          <w:kern w:val="2"/>
          <w:sz w:val="22"/>
          <w:szCs w:val="22"/>
          <w:u w:val="single" w:color="000000"/>
          <w:lang w:eastAsia="en-GB"/>
          <w14:ligatures w14:val="standardContextual"/>
        </w:rPr>
      </w:pPr>
      <w:r w:rsidRPr="00CE6087">
        <w:rPr>
          <w:rFonts w:eastAsia="Arial"/>
          <w:b/>
          <w:color w:val="000000"/>
          <w:kern w:val="2"/>
          <w:sz w:val="22"/>
          <w:szCs w:val="22"/>
          <w:u w:val="single" w:color="000000"/>
          <w:lang w:eastAsia="en-GB"/>
          <w14:ligatures w14:val="standardContextual"/>
        </w:rPr>
        <w:t>Expenditure</w:t>
      </w:r>
      <w:r w:rsidRPr="00CE6087">
        <w:rPr>
          <w:rFonts w:eastAsia="Arial"/>
          <w:b/>
          <w:color w:val="000000"/>
          <w:kern w:val="2"/>
          <w:sz w:val="22"/>
          <w:szCs w:val="22"/>
          <w:u w:color="000000"/>
          <w:lang w:eastAsia="en-GB"/>
          <w14:ligatures w14:val="standardContextual"/>
        </w:rPr>
        <w:t xml:space="preserve"> </w:t>
      </w:r>
    </w:p>
    <w:p w14:paraId="1FFA9B7B" w14:textId="77777777" w:rsidR="00CE6087" w:rsidRPr="00CE6087" w:rsidRDefault="00CE6087" w:rsidP="00CE6087">
      <w:pPr>
        <w:spacing w:after="231" w:line="248" w:lineRule="auto"/>
        <w:ind w:left="-5" w:right="61" w:hanging="10"/>
        <w:jc w:val="both"/>
        <w:rPr>
          <w:rFonts w:eastAsia="Arial"/>
          <w:color w:val="000000"/>
          <w:kern w:val="2"/>
          <w:sz w:val="22"/>
          <w:szCs w:val="22"/>
          <w:lang w:eastAsia="en-GB"/>
          <w14:ligatures w14:val="standardContextual"/>
        </w:rPr>
      </w:pPr>
      <w:r w:rsidRPr="00CE6087">
        <w:rPr>
          <w:rFonts w:eastAsia="Arial"/>
          <w:b/>
          <w:color w:val="000000"/>
          <w:kern w:val="2"/>
          <w:sz w:val="22"/>
          <w:szCs w:val="22"/>
          <w:lang w:eastAsia="en-GB"/>
          <w14:ligatures w14:val="standardContextual"/>
        </w:rPr>
        <w:t>Employment Costs</w:t>
      </w:r>
      <w:r w:rsidRPr="00CE6087">
        <w:rPr>
          <w:rFonts w:eastAsia="Arial"/>
          <w:color w:val="000000"/>
          <w:kern w:val="2"/>
          <w:sz w:val="22"/>
          <w:szCs w:val="22"/>
          <w:lang w:eastAsia="en-GB"/>
          <w14:ligatures w14:val="standardContextual"/>
        </w:rPr>
        <w:t xml:space="preserve"> equate to approximately 75% of the Service’s core budget, with the numbers of firefighters employed being the most significant element. A 3% pay assumption for all staff is included within 2024/25. A 2% pay assumption is included within the MTFS, which is based on the current government inflationary target. </w:t>
      </w:r>
    </w:p>
    <w:p w14:paraId="6C2B761A" w14:textId="77777777" w:rsidR="00CE6087" w:rsidRPr="00CE6087" w:rsidRDefault="00CE6087" w:rsidP="00CE6087">
      <w:pPr>
        <w:spacing w:after="231" w:line="248" w:lineRule="auto"/>
        <w:ind w:left="-5" w:right="61" w:hanging="10"/>
        <w:jc w:val="both"/>
        <w:rPr>
          <w:rFonts w:eastAsia="Arial"/>
          <w:color w:val="000000"/>
          <w:kern w:val="2"/>
          <w:sz w:val="22"/>
          <w:szCs w:val="22"/>
          <w:lang w:eastAsia="en-GB"/>
          <w14:ligatures w14:val="standardContextual"/>
        </w:rPr>
      </w:pPr>
      <w:r w:rsidRPr="00CE6087">
        <w:rPr>
          <w:rFonts w:eastAsia="Arial"/>
          <w:b/>
          <w:color w:val="000000"/>
          <w:kern w:val="2"/>
          <w:sz w:val="22"/>
          <w:szCs w:val="22"/>
          <w:lang w:eastAsia="en-GB"/>
          <w14:ligatures w14:val="standardContextual"/>
        </w:rPr>
        <w:t>Non-Pay Costs</w:t>
      </w:r>
      <w:r w:rsidRPr="00CE6087">
        <w:rPr>
          <w:rFonts w:eastAsia="Arial"/>
          <w:color w:val="000000"/>
          <w:kern w:val="2"/>
          <w:sz w:val="22"/>
          <w:szCs w:val="22"/>
          <w:lang w:eastAsia="en-GB"/>
          <w14:ligatures w14:val="standardContextual"/>
        </w:rPr>
        <w:t xml:space="preserve"> are assumed to increase by 2% per annum.</w:t>
      </w:r>
    </w:p>
    <w:p w14:paraId="5A5EBB08" w14:textId="77777777" w:rsidR="00CE6087" w:rsidRPr="00CE6087" w:rsidRDefault="00CE6087" w:rsidP="00CE6087">
      <w:pPr>
        <w:keepNext/>
        <w:keepLines/>
        <w:spacing w:after="219" w:line="259" w:lineRule="auto"/>
        <w:ind w:left="-5" w:hanging="10"/>
        <w:outlineLvl w:val="2"/>
        <w:rPr>
          <w:rFonts w:eastAsia="Arial"/>
          <w:b/>
          <w:color w:val="000000"/>
          <w:kern w:val="2"/>
          <w:sz w:val="22"/>
          <w:szCs w:val="22"/>
          <w:u w:val="single" w:color="000000"/>
          <w:lang w:eastAsia="en-GB"/>
          <w14:ligatures w14:val="standardContextual"/>
        </w:rPr>
      </w:pPr>
      <w:r w:rsidRPr="00CE6087">
        <w:rPr>
          <w:rFonts w:eastAsia="Arial"/>
          <w:b/>
          <w:color w:val="000000"/>
          <w:kern w:val="2"/>
          <w:sz w:val="22"/>
          <w:szCs w:val="22"/>
          <w:u w:val="single" w:color="000000"/>
          <w:lang w:eastAsia="en-GB"/>
          <w14:ligatures w14:val="standardContextual"/>
        </w:rPr>
        <w:t>Capital</w:t>
      </w:r>
      <w:r w:rsidRPr="00CE6087">
        <w:rPr>
          <w:rFonts w:eastAsia="Arial"/>
          <w:b/>
          <w:color w:val="000000"/>
          <w:kern w:val="2"/>
          <w:sz w:val="22"/>
          <w:szCs w:val="22"/>
          <w:u w:color="000000"/>
          <w:lang w:eastAsia="en-GB"/>
          <w14:ligatures w14:val="standardContextual"/>
        </w:rPr>
        <w:t xml:space="preserve">  </w:t>
      </w:r>
    </w:p>
    <w:p w14:paraId="7F39F7D8" w14:textId="77777777" w:rsidR="00CE6087" w:rsidRPr="00CE6087" w:rsidRDefault="00CE6087" w:rsidP="00CE6087">
      <w:pPr>
        <w:spacing w:after="231" w:line="248" w:lineRule="auto"/>
        <w:ind w:left="-5" w:right="61" w:hanging="10"/>
        <w:jc w:val="both"/>
        <w:rPr>
          <w:rFonts w:eastAsia="Arial"/>
          <w:color w:val="000000"/>
          <w:kern w:val="2"/>
          <w:sz w:val="22"/>
          <w:szCs w:val="22"/>
          <w:lang w:eastAsia="en-GB"/>
          <w14:ligatures w14:val="standardContextual"/>
        </w:rPr>
      </w:pPr>
      <w:r w:rsidRPr="00CE6087">
        <w:rPr>
          <w:rFonts w:eastAsia="Arial"/>
          <w:color w:val="000000"/>
          <w:kern w:val="2"/>
          <w:sz w:val="22"/>
          <w:szCs w:val="22"/>
          <w:lang w:eastAsia="en-GB"/>
          <w14:ligatures w14:val="standardContextual"/>
        </w:rPr>
        <w:t xml:space="preserve">The revenue impact of the capital programme is charged to the Core revenue budget through the minimum revenue provision.  The Minimum Revenue Provision (MRP) is currently set at £4.2m for 2024/25. </w:t>
      </w:r>
    </w:p>
    <w:p w14:paraId="6DE626C8" w14:textId="77777777" w:rsidR="00CE6087" w:rsidRPr="00CE6087" w:rsidRDefault="00CE6087" w:rsidP="00CE6087">
      <w:pPr>
        <w:spacing w:after="231" w:line="248" w:lineRule="auto"/>
        <w:ind w:left="-5" w:right="61" w:hanging="10"/>
        <w:jc w:val="both"/>
        <w:rPr>
          <w:rFonts w:eastAsia="Arial"/>
          <w:color w:val="000000"/>
          <w:kern w:val="2"/>
          <w:sz w:val="22"/>
          <w:szCs w:val="22"/>
          <w:lang w:eastAsia="en-GB"/>
          <w14:ligatures w14:val="standardContextual"/>
        </w:rPr>
      </w:pPr>
      <w:r w:rsidRPr="00CE6087">
        <w:rPr>
          <w:rFonts w:eastAsia="Arial"/>
          <w:color w:val="000000"/>
          <w:kern w:val="2"/>
          <w:sz w:val="22"/>
          <w:szCs w:val="22"/>
          <w:lang w:eastAsia="en-GB"/>
          <w14:ligatures w14:val="standardContextual"/>
        </w:rPr>
        <w:t xml:space="preserve">The current MTFS has a £1.6m pressure on the MRP Charge between 2025/26 to 2028/29, which is based on the latest Capital Strategy. There is a further £1.1m included which relates to finance charges, due to additional borrowing that is required to fund the capital programme. </w:t>
      </w:r>
    </w:p>
    <w:p w14:paraId="316AB6AD" w14:textId="77777777" w:rsidR="00CE6087" w:rsidRPr="00CE6087" w:rsidRDefault="00CE6087" w:rsidP="00CE6087">
      <w:pPr>
        <w:spacing w:after="231" w:line="248" w:lineRule="auto"/>
        <w:ind w:left="-5" w:right="61" w:hanging="10"/>
        <w:jc w:val="both"/>
        <w:rPr>
          <w:rFonts w:eastAsia="Arial"/>
          <w:color w:val="000000"/>
          <w:kern w:val="2"/>
          <w:sz w:val="22"/>
          <w:szCs w:val="22"/>
          <w:lang w:eastAsia="en-GB"/>
          <w14:ligatures w14:val="standardContextual"/>
        </w:rPr>
      </w:pPr>
      <w:r w:rsidRPr="00CE6087">
        <w:rPr>
          <w:rFonts w:eastAsia="Arial"/>
          <w:color w:val="000000"/>
          <w:kern w:val="2"/>
          <w:sz w:val="22"/>
          <w:szCs w:val="22"/>
          <w:lang w:eastAsia="en-GB"/>
          <w14:ligatures w14:val="standardContextual"/>
        </w:rPr>
        <w:t>The Capital programme and projection is closely monitored and the MRP is modelled and projected regularly throughout the year to take account of changes or updates to the Capital Programme.</w:t>
      </w:r>
    </w:p>
    <w:p w14:paraId="65EED39A" w14:textId="77777777" w:rsidR="00CE6087" w:rsidRPr="00CE6087" w:rsidRDefault="00CE6087" w:rsidP="00CE6087">
      <w:pPr>
        <w:keepNext/>
        <w:keepLines/>
        <w:spacing w:after="219" w:line="259" w:lineRule="auto"/>
        <w:ind w:left="-5" w:hanging="10"/>
        <w:outlineLvl w:val="2"/>
        <w:rPr>
          <w:rFonts w:eastAsia="Arial"/>
          <w:b/>
          <w:color w:val="000000"/>
          <w:kern w:val="2"/>
          <w:sz w:val="22"/>
          <w:szCs w:val="22"/>
          <w:u w:val="single" w:color="000000"/>
          <w:lang w:eastAsia="en-GB"/>
          <w14:ligatures w14:val="standardContextual"/>
        </w:rPr>
      </w:pPr>
      <w:r w:rsidRPr="00CE6087">
        <w:rPr>
          <w:rFonts w:eastAsia="Arial"/>
          <w:b/>
          <w:color w:val="000000"/>
          <w:kern w:val="2"/>
          <w:sz w:val="22"/>
          <w:szCs w:val="22"/>
          <w:u w:val="single" w:color="000000"/>
          <w:lang w:eastAsia="en-GB"/>
          <w14:ligatures w14:val="standardContextual"/>
        </w:rPr>
        <w:lastRenderedPageBreak/>
        <w:t>Key Sensitivities</w:t>
      </w:r>
    </w:p>
    <w:p w14:paraId="1638A319" w14:textId="77777777" w:rsidR="00CE6087" w:rsidRPr="00CE6087" w:rsidRDefault="00CE6087" w:rsidP="00CE6087">
      <w:pPr>
        <w:spacing w:after="10" w:line="248" w:lineRule="auto"/>
        <w:ind w:left="-5" w:right="61" w:hanging="10"/>
        <w:jc w:val="both"/>
        <w:rPr>
          <w:rFonts w:eastAsia="Arial"/>
          <w:color w:val="000000"/>
          <w:kern w:val="2"/>
          <w:sz w:val="22"/>
          <w:szCs w:val="22"/>
          <w:lang w:eastAsia="en-GB"/>
          <w14:ligatures w14:val="standardContextual"/>
        </w:rPr>
      </w:pPr>
      <w:r w:rsidRPr="00CE6087">
        <w:rPr>
          <w:rFonts w:eastAsia="Arial"/>
          <w:color w:val="000000"/>
          <w:kern w:val="2"/>
          <w:sz w:val="22"/>
          <w:szCs w:val="22"/>
          <w:lang w:eastAsia="en-GB"/>
          <w14:ligatures w14:val="standardContextual"/>
        </w:rPr>
        <w:t xml:space="preserve">The Table below details some of the key sensitivities within the MTFS: </w:t>
      </w:r>
    </w:p>
    <w:tbl>
      <w:tblPr>
        <w:tblStyle w:val="TableGrid0"/>
        <w:tblW w:w="6441" w:type="dxa"/>
        <w:tblInd w:w="6" w:type="dxa"/>
        <w:tblCellMar>
          <w:top w:w="10" w:type="dxa"/>
          <w:left w:w="107" w:type="dxa"/>
          <w:right w:w="115" w:type="dxa"/>
        </w:tblCellMar>
        <w:tblLook w:val="04A0" w:firstRow="1" w:lastRow="0" w:firstColumn="1" w:lastColumn="0" w:noHBand="0" w:noVBand="1"/>
      </w:tblPr>
      <w:tblGrid>
        <w:gridCol w:w="3399"/>
        <w:gridCol w:w="3042"/>
      </w:tblGrid>
      <w:tr w:rsidR="00CE6087" w:rsidRPr="00CE6087" w14:paraId="7D200240" w14:textId="77777777" w:rsidTr="00747C83">
        <w:trPr>
          <w:trHeight w:val="502"/>
        </w:trPr>
        <w:tc>
          <w:tcPr>
            <w:tcW w:w="3399" w:type="dxa"/>
            <w:tcBorders>
              <w:top w:val="single" w:sz="4" w:space="0" w:color="4472C4"/>
              <w:left w:val="single" w:sz="4" w:space="0" w:color="4472C4"/>
              <w:bottom w:val="single" w:sz="4" w:space="0" w:color="4472C4"/>
              <w:right w:val="nil"/>
            </w:tcBorders>
            <w:shd w:val="clear" w:color="auto" w:fill="4472C4"/>
          </w:tcPr>
          <w:p w14:paraId="15D5BBFE" w14:textId="77777777" w:rsidR="00CE6087" w:rsidRPr="00CE6087" w:rsidRDefault="00CE6087" w:rsidP="00CE6087">
            <w:pPr>
              <w:spacing w:line="259" w:lineRule="auto"/>
              <w:rPr>
                <w:rFonts w:eastAsia="Arial"/>
                <w:color w:val="000000"/>
                <w:sz w:val="22"/>
                <w:szCs w:val="22"/>
                <w:lang w:eastAsia="en-GB"/>
              </w:rPr>
            </w:pPr>
            <w:r w:rsidRPr="00CE6087">
              <w:rPr>
                <w:rFonts w:eastAsia="Arial"/>
                <w:b/>
                <w:color w:val="FFFFFF"/>
                <w:sz w:val="22"/>
                <w:szCs w:val="22"/>
                <w:lang w:eastAsia="en-GB"/>
              </w:rPr>
              <w:t xml:space="preserve">Funding Category </w:t>
            </w:r>
          </w:p>
        </w:tc>
        <w:tc>
          <w:tcPr>
            <w:tcW w:w="3042" w:type="dxa"/>
            <w:tcBorders>
              <w:top w:val="single" w:sz="4" w:space="0" w:color="4472C4"/>
              <w:left w:val="nil"/>
              <w:bottom w:val="single" w:sz="4" w:space="0" w:color="4472C4"/>
              <w:right w:val="single" w:sz="4" w:space="0" w:color="4472C4"/>
            </w:tcBorders>
            <w:shd w:val="clear" w:color="auto" w:fill="4472C4"/>
          </w:tcPr>
          <w:p w14:paraId="4399C4CF" w14:textId="77777777" w:rsidR="00CE6087" w:rsidRPr="00CE6087" w:rsidRDefault="00CE6087" w:rsidP="00CE6087">
            <w:pPr>
              <w:spacing w:line="259" w:lineRule="auto"/>
              <w:rPr>
                <w:rFonts w:eastAsia="Arial"/>
                <w:color w:val="000000"/>
                <w:sz w:val="22"/>
                <w:szCs w:val="22"/>
                <w:lang w:eastAsia="en-GB"/>
              </w:rPr>
            </w:pPr>
            <w:r w:rsidRPr="00CE6087">
              <w:rPr>
                <w:rFonts w:eastAsia="Arial"/>
                <w:b/>
                <w:color w:val="FFFFFF"/>
                <w:sz w:val="22"/>
                <w:szCs w:val="22"/>
                <w:lang w:eastAsia="en-GB"/>
              </w:rPr>
              <w:t xml:space="preserve">Impact of a 1% Change </w:t>
            </w:r>
          </w:p>
        </w:tc>
      </w:tr>
      <w:tr w:rsidR="00CE6087" w:rsidRPr="00CE6087" w14:paraId="1D2AFD1F" w14:textId="77777777" w:rsidTr="00747C83">
        <w:trPr>
          <w:trHeight w:val="503"/>
        </w:trPr>
        <w:tc>
          <w:tcPr>
            <w:tcW w:w="3399" w:type="dxa"/>
            <w:tcBorders>
              <w:top w:val="single" w:sz="4" w:space="0" w:color="4472C4"/>
              <w:left w:val="single" w:sz="4" w:space="0" w:color="8EAADB"/>
              <w:bottom w:val="single" w:sz="4" w:space="0" w:color="8EAADB"/>
              <w:right w:val="single" w:sz="4" w:space="0" w:color="8EAADB"/>
            </w:tcBorders>
            <w:shd w:val="clear" w:color="auto" w:fill="D9E2F3"/>
          </w:tcPr>
          <w:p w14:paraId="50035546" w14:textId="77777777" w:rsidR="00CE6087" w:rsidRPr="00CE6087" w:rsidRDefault="00CE6087" w:rsidP="00CE6087">
            <w:pPr>
              <w:spacing w:line="259" w:lineRule="auto"/>
              <w:rPr>
                <w:rFonts w:eastAsia="Arial"/>
                <w:color w:val="000000"/>
                <w:sz w:val="22"/>
                <w:szCs w:val="22"/>
                <w:lang w:eastAsia="en-GB"/>
              </w:rPr>
            </w:pPr>
            <w:r w:rsidRPr="00CE6087">
              <w:rPr>
                <w:rFonts w:eastAsia="Arial"/>
                <w:color w:val="000000"/>
                <w:sz w:val="22"/>
                <w:szCs w:val="22"/>
                <w:lang w:eastAsia="en-GB"/>
              </w:rPr>
              <w:t xml:space="preserve">Council Tax Precept </w:t>
            </w:r>
          </w:p>
        </w:tc>
        <w:tc>
          <w:tcPr>
            <w:tcW w:w="3042" w:type="dxa"/>
            <w:tcBorders>
              <w:top w:val="single" w:sz="4" w:space="0" w:color="4472C4"/>
              <w:left w:val="single" w:sz="4" w:space="0" w:color="8EAADB"/>
              <w:bottom w:val="single" w:sz="4" w:space="0" w:color="8EAADB"/>
              <w:right w:val="single" w:sz="4" w:space="0" w:color="8EAADB"/>
            </w:tcBorders>
            <w:shd w:val="clear" w:color="auto" w:fill="D9E2F3"/>
          </w:tcPr>
          <w:p w14:paraId="2AEB3A5E" w14:textId="77777777" w:rsidR="00CE6087" w:rsidRPr="00CE6087" w:rsidRDefault="00CE6087" w:rsidP="00CE6087">
            <w:pPr>
              <w:spacing w:line="259" w:lineRule="auto"/>
              <w:rPr>
                <w:rFonts w:eastAsia="Arial"/>
                <w:color w:val="000000"/>
                <w:sz w:val="22"/>
                <w:szCs w:val="22"/>
                <w:lang w:eastAsia="en-GB"/>
              </w:rPr>
            </w:pPr>
            <w:r w:rsidRPr="00CE6087">
              <w:rPr>
                <w:rFonts w:eastAsia="Arial"/>
                <w:color w:val="000000"/>
                <w:sz w:val="22"/>
                <w:szCs w:val="22"/>
                <w:lang w:eastAsia="en-GB"/>
              </w:rPr>
              <w:t xml:space="preserve">£0.55m </w:t>
            </w:r>
          </w:p>
        </w:tc>
      </w:tr>
      <w:tr w:rsidR="00CE6087" w:rsidRPr="00CE6087" w14:paraId="2AB8905D" w14:textId="77777777" w:rsidTr="00747C83">
        <w:trPr>
          <w:trHeight w:val="504"/>
        </w:trPr>
        <w:tc>
          <w:tcPr>
            <w:tcW w:w="3399" w:type="dxa"/>
            <w:tcBorders>
              <w:top w:val="single" w:sz="4" w:space="0" w:color="8EAADB"/>
              <w:left w:val="single" w:sz="4" w:space="0" w:color="8EAADB"/>
              <w:bottom w:val="single" w:sz="4" w:space="0" w:color="8EAADB"/>
              <w:right w:val="single" w:sz="4" w:space="0" w:color="8EAADB"/>
            </w:tcBorders>
          </w:tcPr>
          <w:p w14:paraId="153D40FE" w14:textId="77777777" w:rsidR="00CE6087" w:rsidRPr="00CE6087" w:rsidRDefault="00CE6087" w:rsidP="00CE6087">
            <w:pPr>
              <w:spacing w:line="259" w:lineRule="auto"/>
              <w:rPr>
                <w:rFonts w:eastAsia="Arial"/>
                <w:color w:val="000000"/>
                <w:sz w:val="22"/>
                <w:szCs w:val="22"/>
                <w:lang w:eastAsia="en-GB"/>
              </w:rPr>
            </w:pPr>
            <w:r w:rsidRPr="00CE6087">
              <w:rPr>
                <w:rFonts w:eastAsia="Arial"/>
                <w:color w:val="000000"/>
                <w:sz w:val="22"/>
                <w:szCs w:val="22"/>
                <w:lang w:eastAsia="en-GB"/>
              </w:rPr>
              <w:t xml:space="preserve">Council Tax Base </w:t>
            </w:r>
          </w:p>
        </w:tc>
        <w:tc>
          <w:tcPr>
            <w:tcW w:w="3042" w:type="dxa"/>
            <w:tcBorders>
              <w:top w:val="single" w:sz="4" w:space="0" w:color="8EAADB"/>
              <w:left w:val="single" w:sz="4" w:space="0" w:color="8EAADB"/>
              <w:bottom w:val="single" w:sz="4" w:space="0" w:color="8EAADB"/>
              <w:right w:val="single" w:sz="4" w:space="0" w:color="8EAADB"/>
            </w:tcBorders>
          </w:tcPr>
          <w:p w14:paraId="69F3029F" w14:textId="77777777" w:rsidR="00CE6087" w:rsidRPr="00CE6087" w:rsidRDefault="00CE6087" w:rsidP="00CE6087">
            <w:pPr>
              <w:spacing w:line="259" w:lineRule="auto"/>
              <w:rPr>
                <w:rFonts w:eastAsia="Arial"/>
                <w:color w:val="000000"/>
                <w:sz w:val="22"/>
                <w:szCs w:val="22"/>
                <w:lang w:eastAsia="en-GB"/>
              </w:rPr>
            </w:pPr>
            <w:r w:rsidRPr="00CE6087">
              <w:rPr>
                <w:rFonts w:eastAsia="Arial"/>
                <w:color w:val="000000"/>
                <w:sz w:val="22"/>
                <w:szCs w:val="22"/>
                <w:lang w:eastAsia="en-GB"/>
              </w:rPr>
              <w:t xml:space="preserve">£0.5m </w:t>
            </w:r>
          </w:p>
        </w:tc>
      </w:tr>
      <w:tr w:rsidR="00CE6087" w:rsidRPr="00CE6087" w14:paraId="5ACFFFE9" w14:textId="77777777" w:rsidTr="00747C83">
        <w:trPr>
          <w:trHeight w:val="502"/>
        </w:trPr>
        <w:tc>
          <w:tcPr>
            <w:tcW w:w="3399" w:type="dxa"/>
            <w:tcBorders>
              <w:top w:val="single" w:sz="4" w:space="0" w:color="8EAADB"/>
              <w:left w:val="single" w:sz="4" w:space="0" w:color="8EAADB"/>
              <w:bottom w:val="single" w:sz="4" w:space="0" w:color="8EAADB"/>
              <w:right w:val="single" w:sz="4" w:space="0" w:color="8EAADB"/>
            </w:tcBorders>
            <w:shd w:val="clear" w:color="auto" w:fill="D9E2F3"/>
          </w:tcPr>
          <w:p w14:paraId="05870A45" w14:textId="77777777" w:rsidR="00CE6087" w:rsidRPr="00CE6087" w:rsidRDefault="00CE6087" w:rsidP="00CE6087">
            <w:pPr>
              <w:spacing w:line="259" w:lineRule="auto"/>
              <w:rPr>
                <w:rFonts w:eastAsia="Arial"/>
                <w:color w:val="000000"/>
                <w:sz w:val="22"/>
                <w:szCs w:val="22"/>
                <w:lang w:eastAsia="en-GB"/>
              </w:rPr>
            </w:pPr>
            <w:r w:rsidRPr="00CE6087">
              <w:rPr>
                <w:rFonts w:eastAsia="Arial"/>
                <w:color w:val="000000"/>
                <w:sz w:val="22"/>
                <w:szCs w:val="22"/>
                <w:lang w:eastAsia="en-GB"/>
              </w:rPr>
              <w:t xml:space="preserve">Revenue Support Grant </w:t>
            </w:r>
          </w:p>
        </w:tc>
        <w:tc>
          <w:tcPr>
            <w:tcW w:w="3042" w:type="dxa"/>
            <w:tcBorders>
              <w:top w:val="single" w:sz="4" w:space="0" w:color="8EAADB"/>
              <w:left w:val="single" w:sz="4" w:space="0" w:color="8EAADB"/>
              <w:bottom w:val="single" w:sz="4" w:space="0" w:color="8EAADB"/>
              <w:right w:val="single" w:sz="4" w:space="0" w:color="8EAADB"/>
            </w:tcBorders>
            <w:shd w:val="clear" w:color="auto" w:fill="D9E2F3"/>
          </w:tcPr>
          <w:p w14:paraId="28A19B4F" w14:textId="77777777" w:rsidR="00CE6087" w:rsidRPr="00CE6087" w:rsidRDefault="00CE6087" w:rsidP="00CE6087">
            <w:pPr>
              <w:spacing w:line="259" w:lineRule="auto"/>
              <w:rPr>
                <w:rFonts w:eastAsia="Arial"/>
                <w:color w:val="000000"/>
                <w:sz w:val="22"/>
                <w:szCs w:val="22"/>
                <w:lang w:eastAsia="en-GB"/>
              </w:rPr>
            </w:pPr>
            <w:r w:rsidRPr="00CE6087">
              <w:rPr>
                <w:rFonts w:eastAsia="Arial"/>
                <w:color w:val="000000"/>
                <w:sz w:val="22"/>
                <w:szCs w:val="22"/>
                <w:lang w:eastAsia="en-GB"/>
              </w:rPr>
              <w:t xml:space="preserve">£0.13m </w:t>
            </w:r>
          </w:p>
        </w:tc>
      </w:tr>
      <w:tr w:rsidR="00CE6087" w:rsidRPr="00CE6087" w14:paraId="431C9A76" w14:textId="77777777" w:rsidTr="00747C83">
        <w:trPr>
          <w:trHeight w:val="503"/>
        </w:trPr>
        <w:tc>
          <w:tcPr>
            <w:tcW w:w="3399" w:type="dxa"/>
            <w:tcBorders>
              <w:top w:val="single" w:sz="4" w:space="0" w:color="8EAADB"/>
              <w:left w:val="single" w:sz="4" w:space="0" w:color="8EAADB"/>
              <w:bottom w:val="single" w:sz="4" w:space="0" w:color="8EAADB"/>
              <w:right w:val="single" w:sz="4" w:space="0" w:color="8EAADB"/>
            </w:tcBorders>
          </w:tcPr>
          <w:p w14:paraId="78998228" w14:textId="77777777" w:rsidR="00CE6087" w:rsidRPr="00CE6087" w:rsidRDefault="00CE6087" w:rsidP="00CE6087">
            <w:pPr>
              <w:spacing w:line="259" w:lineRule="auto"/>
              <w:rPr>
                <w:rFonts w:eastAsia="Arial"/>
                <w:color w:val="000000"/>
                <w:sz w:val="22"/>
                <w:szCs w:val="22"/>
                <w:lang w:eastAsia="en-GB"/>
              </w:rPr>
            </w:pPr>
            <w:r w:rsidRPr="00CE6087">
              <w:rPr>
                <w:rFonts w:eastAsia="Arial"/>
                <w:color w:val="000000"/>
                <w:sz w:val="22"/>
                <w:szCs w:val="22"/>
                <w:lang w:eastAsia="en-GB"/>
              </w:rPr>
              <w:t xml:space="preserve">National Non-Domestic Rates </w:t>
            </w:r>
          </w:p>
        </w:tc>
        <w:tc>
          <w:tcPr>
            <w:tcW w:w="3042" w:type="dxa"/>
            <w:tcBorders>
              <w:top w:val="single" w:sz="4" w:space="0" w:color="8EAADB"/>
              <w:left w:val="single" w:sz="4" w:space="0" w:color="8EAADB"/>
              <w:bottom w:val="single" w:sz="4" w:space="0" w:color="8EAADB"/>
              <w:right w:val="single" w:sz="4" w:space="0" w:color="8EAADB"/>
            </w:tcBorders>
          </w:tcPr>
          <w:p w14:paraId="342323AE" w14:textId="77777777" w:rsidR="00CE6087" w:rsidRPr="00CE6087" w:rsidRDefault="00CE6087" w:rsidP="00CE6087">
            <w:pPr>
              <w:spacing w:line="259" w:lineRule="auto"/>
              <w:rPr>
                <w:rFonts w:eastAsia="Arial"/>
                <w:color w:val="000000"/>
                <w:sz w:val="22"/>
                <w:szCs w:val="22"/>
                <w:lang w:eastAsia="en-GB"/>
              </w:rPr>
            </w:pPr>
            <w:r w:rsidRPr="00CE6087">
              <w:rPr>
                <w:rFonts w:eastAsia="Arial"/>
                <w:color w:val="000000"/>
                <w:sz w:val="22"/>
                <w:szCs w:val="22"/>
                <w:lang w:eastAsia="en-GB"/>
              </w:rPr>
              <w:t xml:space="preserve">£0.17m </w:t>
            </w:r>
          </w:p>
        </w:tc>
      </w:tr>
    </w:tbl>
    <w:p w14:paraId="3B5E68F3" w14:textId="77777777" w:rsidR="00CE6087" w:rsidRPr="00CE6087" w:rsidRDefault="00CE6087" w:rsidP="00CE6087">
      <w:pPr>
        <w:spacing w:line="259" w:lineRule="auto"/>
        <w:rPr>
          <w:rFonts w:eastAsia="Arial"/>
          <w:color w:val="000000"/>
          <w:kern w:val="2"/>
          <w:sz w:val="22"/>
          <w:szCs w:val="22"/>
          <w:lang w:eastAsia="en-GB"/>
          <w14:ligatures w14:val="standardContextual"/>
        </w:rPr>
      </w:pPr>
      <w:r w:rsidRPr="00CE6087">
        <w:rPr>
          <w:rFonts w:eastAsia="Arial"/>
          <w:color w:val="000000"/>
          <w:kern w:val="2"/>
          <w:sz w:val="22"/>
          <w:szCs w:val="22"/>
          <w:lang w:eastAsia="en-GB"/>
          <w14:ligatures w14:val="standardContextual"/>
        </w:rPr>
        <w:t xml:space="preserve"> </w:t>
      </w:r>
    </w:p>
    <w:tbl>
      <w:tblPr>
        <w:tblStyle w:val="TableGrid0"/>
        <w:tblW w:w="6443" w:type="dxa"/>
        <w:tblInd w:w="5" w:type="dxa"/>
        <w:tblCellMar>
          <w:top w:w="10" w:type="dxa"/>
          <w:left w:w="107" w:type="dxa"/>
          <w:right w:w="115" w:type="dxa"/>
        </w:tblCellMar>
        <w:tblLook w:val="04A0" w:firstRow="1" w:lastRow="0" w:firstColumn="1" w:lastColumn="0" w:noHBand="0" w:noVBand="1"/>
      </w:tblPr>
      <w:tblGrid>
        <w:gridCol w:w="3401"/>
        <w:gridCol w:w="3042"/>
      </w:tblGrid>
      <w:tr w:rsidR="00CE6087" w:rsidRPr="00CE6087" w14:paraId="606BC914" w14:textId="77777777" w:rsidTr="00747C83">
        <w:trPr>
          <w:trHeight w:val="502"/>
        </w:trPr>
        <w:tc>
          <w:tcPr>
            <w:tcW w:w="3400" w:type="dxa"/>
            <w:tcBorders>
              <w:top w:val="single" w:sz="4" w:space="0" w:color="4472C4"/>
              <w:left w:val="nil"/>
              <w:bottom w:val="single" w:sz="4" w:space="0" w:color="4472C4"/>
              <w:right w:val="nil"/>
            </w:tcBorders>
            <w:shd w:val="clear" w:color="auto" w:fill="4472C4"/>
          </w:tcPr>
          <w:p w14:paraId="2FED0214" w14:textId="77777777" w:rsidR="00CE6087" w:rsidRPr="00CE6087" w:rsidRDefault="00CE6087" w:rsidP="00CE6087">
            <w:pPr>
              <w:spacing w:line="259" w:lineRule="auto"/>
              <w:ind w:left="1"/>
              <w:rPr>
                <w:rFonts w:eastAsia="Arial"/>
                <w:color w:val="000000"/>
                <w:sz w:val="22"/>
                <w:szCs w:val="22"/>
                <w:lang w:eastAsia="en-GB"/>
              </w:rPr>
            </w:pPr>
            <w:r w:rsidRPr="00CE6087">
              <w:rPr>
                <w:rFonts w:eastAsia="Arial"/>
                <w:b/>
                <w:color w:val="FFFFFF"/>
                <w:sz w:val="22"/>
                <w:szCs w:val="22"/>
                <w:lang w:eastAsia="en-GB"/>
              </w:rPr>
              <w:t xml:space="preserve">Expenditure Category </w:t>
            </w:r>
          </w:p>
        </w:tc>
        <w:tc>
          <w:tcPr>
            <w:tcW w:w="3042" w:type="dxa"/>
            <w:tcBorders>
              <w:top w:val="single" w:sz="4" w:space="0" w:color="4472C4"/>
              <w:left w:val="nil"/>
              <w:bottom w:val="single" w:sz="4" w:space="0" w:color="4472C4"/>
              <w:right w:val="single" w:sz="4" w:space="0" w:color="4472C4"/>
            </w:tcBorders>
            <w:shd w:val="clear" w:color="auto" w:fill="4472C4"/>
          </w:tcPr>
          <w:p w14:paraId="32757DE7" w14:textId="77777777" w:rsidR="00CE6087" w:rsidRPr="00CE6087" w:rsidRDefault="00CE6087" w:rsidP="00CE6087">
            <w:pPr>
              <w:spacing w:line="259" w:lineRule="auto"/>
              <w:rPr>
                <w:rFonts w:eastAsia="Arial"/>
                <w:color w:val="000000"/>
                <w:sz w:val="22"/>
                <w:szCs w:val="22"/>
                <w:lang w:eastAsia="en-GB"/>
              </w:rPr>
            </w:pPr>
            <w:r w:rsidRPr="00CE6087">
              <w:rPr>
                <w:rFonts w:eastAsia="Arial"/>
                <w:b/>
                <w:color w:val="FFFFFF"/>
                <w:sz w:val="22"/>
                <w:szCs w:val="22"/>
                <w:lang w:eastAsia="en-GB"/>
              </w:rPr>
              <w:t xml:space="preserve">Impact of a 1% Change </w:t>
            </w:r>
          </w:p>
        </w:tc>
      </w:tr>
      <w:tr w:rsidR="00CE6087" w:rsidRPr="00CE6087" w14:paraId="45932F51" w14:textId="77777777" w:rsidTr="00747C83">
        <w:trPr>
          <w:trHeight w:val="502"/>
        </w:trPr>
        <w:tc>
          <w:tcPr>
            <w:tcW w:w="3400" w:type="dxa"/>
            <w:tcBorders>
              <w:top w:val="single" w:sz="4" w:space="0" w:color="4472C4"/>
              <w:left w:val="single" w:sz="4" w:space="0" w:color="8EAADB"/>
              <w:bottom w:val="single" w:sz="4" w:space="0" w:color="8EAADB"/>
              <w:right w:val="single" w:sz="4" w:space="0" w:color="8EAADB"/>
            </w:tcBorders>
            <w:shd w:val="clear" w:color="auto" w:fill="D9E2F3"/>
          </w:tcPr>
          <w:p w14:paraId="220DED04" w14:textId="77777777" w:rsidR="00CE6087" w:rsidRPr="00CE6087" w:rsidRDefault="00CE6087" w:rsidP="00CE6087">
            <w:pPr>
              <w:spacing w:line="259" w:lineRule="auto"/>
              <w:ind w:left="1"/>
              <w:rPr>
                <w:rFonts w:eastAsia="Arial"/>
                <w:color w:val="000000"/>
                <w:sz w:val="22"/>
                <w:szCs w:val="22"/>
                <w:lang w:eastAsia="en-GB"/>
              </w:rPr>
            </w:pPr>
            <w:r w:rsidRPr="00CE6087">
              <w:rPr>
                <w:rFonts w:eastAsia="Arial"/>
                <w:color w:val="000000"/>
                <w:sz w:val="22"/>
                <w:szCs w:val="22"/>
                <w:lang w:eastAsia="en-GB"/>
              </w:rPr>
              <w:t xml:space="preserve">Grey Book Pay Award </w:t>
            </w:r>
          </w:p>
        </w:tc>
        <w:tc>
          <w:tcPr>
            <w:tcW w:w="3042" w:type="dxa"/>
            <w:tcBorders>
              <w:top w:val="single" w:sz="4" w:space="0" w:color="4472C4"/>
              <w:left w:val="single" w:sz="4" w:space="0" w:color="8EAADB"/>
              <w:bottom w:val="single" w:sz="4" w:space="0" w:color="8EAADB"/>
              <w:right w:val="single" w:sz="4" w:space="0" w:color="8EAADB"/>
            </w:tcBorders>
            <w:shd w:val="clear" w:color="auto" w:fill="D9E2F3"/>
          </w:tcPr>
          <w:p w14:paraId="0B4A89C0" w14:textId="77777777" w:rsidR="00CE6087" w:rsidRPr="00CE6087" w:rsidRDefault="00CE6087" w:rsidP="00CE6087">
            <w:pPr>
              <w:spacing w:line="259" w:lineRule="auto"/>
              <w:rPr>
                <w:rFonts w:eastAsia="Arial"/>
                <w:color w:val="000000"/>
                <w:sz w:val="22"/>
                <w:szCs w:val="22"/>
                <w:lang w:eastAsia="en-GB"/>
              </w:rPr>
            </w:pPr>
            <w:r w:rsidRPr="00CE6087">
              <w:rPr>
                <w:rFonts w:eastAsia="Arial"/>
                <w:color w:val="000000"/>
                <w:sz w:val="22"/>
                <w:szCs w:val="22"/>
                <w:lang w:eastAsia="en-GB"/>
              </w:rPr>
              <w:t xml:space="preserve">£0.5m </w:t>
            </w:r>
          </w:p>
        </w:tc>
      </w:tr>
      <w:tr w:rsidR="00CE6087" w:rsidRPr="00CE6087" w14:paraId="2C266A62" w14:textId="77777777" w:rsidTr="00747C83">
        <w:trPr>
          <w:trHeight w:val="506"/>
        </w:trPr>
        <w:tc>
          <w:tcPr>
            <w:tcW w:w="3400" w:type="dxa"/>
            <w:tcBorders>
              <w:top w:val="single" w:sz="4" w:space="0" w:color="8EAADB"/>
              <w:left w:val="single" w:sz="4" w:space="0" w:color="8EAADB"/>
              <w:bottom w:val="single" w:sz="4" w:space="0" w:color="8EAADB"/>
              <w:right w:val="single" w:sz="4" w:space="0" w:color="8EAADB"/>
            </w:tcBorders>
          </w:tcPr>
          <w:p w14:paraId="3A8B027B" w14:textId="77777777" w:rsidR="00CE6087" w:rsidRPr="00CE6087" w:rsidRDefault="00CE6087" w:rsidP="00CE6087">
            <w:pPr>
              <w:spacing w:line="259" w:lineRule="auto"/>
              <w:ind w:left="1"/>
              <w:rPr>
                <w:rFonts w:eastAsia="Arial"/>
                <w:color w:val="000000"/>
                <w:sz w:val="22"/>
                <w:szCs w:val="22"/>
                <w:lang w:eastAsia="en-GB"/>
              </w:rPr>
            </w:pPr>
            <w:r w:rsidRPr="00CE6087">
              <w:rPr>
                <w:rFonts w:eastAsia="Arial"/>
                <w:color w:val="000000"/>
                <w:sz w:val="22"/>
                <w:szCs w:val="22"/>
                <w:lang w:eastAsia="en-GB"/>
              </w:rPr>
              <w:t xml:space="preserve">Green Book Pay Award </w:t>
            </w:r>
          </w:p>
        </w:tc>
        <w:tc>
          <w:tcPr>
            <w:tcW w:w="3042" w:type="dxa"/>
            <w:tcBorders>
              <w:top w:val="single" w:sz="4" w:space="0" w:color="8EAADB"/>
              <w:left w:val="single" w:sz="4" w:space="0" w:color="8EAADB"/>
              <w:bottom w:val="single" w:sz="4" w:space="0" w:color="8EAADB"/>
              <w:right w:val="single" w:sz="4" w:space="0" w:color="8EAADB"/>
            </w:tcBorders>
          </w:tcPr>
          <w:p w14:paraId="01EAEA2D" w14:textId="77777777" w:rsidR="00CE6087" w:rsidRPr="00CE6087" w:rsidRDefault="00CE6087" w:rsidP="00CE6087">
            <w:pPr>
              <w:spacing w:line="259" w:lineRule="auto"/>
              <w:rPr>
                <w:rFonts w:eastAsia="Arial"/>
                <w:color w:val="000000"/>
                <w:sz w:val="22"/>
                <w:szCs w:val="22"/>
                <w:lang w:eastAsia="en-GB"/>
              </w:rPr>
            </w:pPr>
            <w:r w:rsidRPr="00CE6087">
              <w:rPr>
                <w:rFonts w:eastAsia="Arial"/>
                <w:color w:val="000000"/>
                <w:sz w:val="22"/>
                <w:szCs w:val="22"/>
                <w:lang w:eastAsia="en-GB"/>
              </w:rPr>
              <w:t xml:space="preserve">£0.2m </w:t>
            </w:r>
          </w:p>
        </w:tc>
      </w:tr>
      <w:tr w:rsidR="00CE6087" w:rsidRPr="00CE6087" w14:paraId="7C365577" w14:textId="77777777" w:rsidTr="00747C83">
        <w:trPr>
          <w:trHeight w:val="499"/>
        </w:trPr>
        <w:tc>
          <w:tcPr>
            <w:tcW w:w="3400" w:type="dxa"/>
            <w:tcBorders>
              <w:top w:val="single" w:sz="4" w:space="0" w:color="8EAADB"/>
              <w:left w:val="single" w:sz="4" w:space="0" w:color="8EAADB"/>
              <w:bottom w:val="single" w:sz="4" w:space="0" w:color="8EAADB"/>
              <w:right w:val="single" w:sz="4" w:space="0" w:color="8EAADB"/>
            </w:tcBorders>
            <w:shd w:val="clear" w:color="auto" w:fill="D9E2F3"/>
          </w:tcPr>
          <w:p w14:paraId="58CC079F" w14:textId="77777777" w:rsidR="00CE6087" w:rsidRPr="00CE6087" w:rsidRDefault="00CE6087" w:rsidP="00CE6087">
            <w:pPr>
              <w:spacing w:line="259" w:lineRule="auto"/>
              <w:ind w:left="1"/>
              <w:rPr>
                <w:rFonts w:eastAsia="Arial"/>
                <w:color w:val="000000"/>
                <w:sz w:val="22"/>
                <w:szCs w:val="22"/>
                <w:lang w:eastAsia="en-GB"/>
              </w:rPr>
            </w:pPr>
            <w:r w:rsidRPr="00CE6087">
              <w:rPr>
                <w:rFonts w:eastAsia="Arial"/>
                <w:color w:val="000000"/>
                <w:sz w:val="22"/>
                <w:szCs w:val="22"/>
                <w:lang w:eastAsia="en-GB"/>
              </w:rPr>
              <w:t xml:space="preserve">Total Pay Award </w:t>
            </w:r>
          </w:p>
        </w:tc>
        <w:tc>
          <w:tcPr>
            <w:tcW w:w="3042" w:type="dxa"/>
            <w:tcBorders>
              <w:top w:val="single" w:sz="4" w:space="0" w:color="8EAADB"/>
              <w:left w:val="single" w:sz="4" w:space="0" w:color="8EAADB"/>
              <w:bottom w:val="single" w:sz="4" w:space="0" w:color="8EAADB"/>
              <w:right w:val="single" w:sz="4" w:space="0" w:color="8EAADB"/>
            </w:tcBorders>
            <w:shd w:val="clear" w:color="auto" w:fill="D9E2F3"/>
          </w:tcPr>
          <w:p w14:paraId="264D3D53" w14:textId="77777777" w:rsidR="00CE6087" w:rsidRPr="00CE6087" w:rsidRDefault="00CE6087" w:rsidP="00CE6087">
            <w:pPr>
              <w:spacing w:line="259" w:lineRule="auto"/>
              <w:rPr>
                <w:rFonts w:eastAsia="Arial"/>
                <w:color w:val="000000"/>
                <w:sz w:val="22"/>
                <w:szCs w:val="22"/>
                <w:lang w:eastAsia="en-GB"/>
              </w:rPr>
            </w:pPr>
            <w:r w:rsidRPr="00CE6087">
              <w:rPr>
                <w:rFonts w:eastAsia="Arial"/>
                <w:color w:val="000000"/>
                <w:sz w:val="22"/>
                <w:szCs w:val="22"/>
                <w:lang w:eastAsia="en-GB"/>
              </w:rPr>
              <w:t xml:space="preserve">£0.7m </w:t>
            </w:r>
          </w:p>
        </w:tc>
      </w:tr>
      <w:tr w:rsidR="00CE6087" w:rsidRPr="00CE6087" w14:paraId="68FA7AAB" w14:textId="77777777" w:rsidTr="00747C83">
        <w:trPr>
          <w:trHeight w:val="505"/>
        </w:trPr>
        <w:tc>
          <w:tcPr>
            <w:tcW w:w="3400" w:type="dxa"/>
            <w:tcBorders>
              <w:top w:val="single" w:sz="4" w:space="0" w:color="8EAADB"/>
              <w:left w:val="single" w:sz="4" w:space="0" w:color="8EAADB"/>
              <w:bottom w:val="single" w:sz="4" w:space="0" w:color="8EAADB"/>
              <w:right w:val="single" w:sz="4" w:space="0" w:color="8EAADB"/>
            </w:tcBorders>
          </w:tcPr>
          <w:p w14:paraId="4B79BEE6" w14:textId="77777777" w:rsidR="00CE6087" w:rsidRPr="00CE6087" w:rsidRDefault="00CE6087" w:rsidP="00CE6087">
            <w:pPr>
              <w:spacing w:line="259" w:lineRule="auto"/>
              <w:ind w:left="1"/>
              <w:rPr>
                <w:rFonts w:eastAsia="Arial"/>
                <w:color w:val="000000"/>
                <w:sz w:val="22"/>
                <w:szCs w:val="22"/>
                <w:lang w:eastAsia="en-GB"/>
              </w:rPr>
            </w:pPr>
            <w:r w:rsidRPr="00CE6087">
              <w:rPr>
                <w:rFonts w:eastAsia="Arial"/>
                <w:color w:val="000000"/>
                <w:sz w:val="22"/>
                <w:szCs w:val="22"/>
                <w:lang w:eastAsia="en-GB"/>
              </w:rPr>
              <w:t xml:space="preserve">Non-Pay Costs </w:t>
            </w:r>
          </w:p>
        </w:tc>
        <w:tc>
          <w:tcPr>
            <w:tcW w:w="3042" w:type="dxa"/>
            <w:tcBorders>
              <w:top w:val="single" w:sz="4" w:space="0" w:color="8EAADB"/>
              <w:left w:val="single" w:sz="4" w:space="0" w:color="8EAADB"/>
              <w:bottom w:val="single" w:sz="4" w:space="0" w:color="8EAADB"/>
              <w:right w:val="single" w:sz="4" w:space="0" w:color="8EAADB"/>
            </w:tcBorders>
          </w:tcPr>
          <w:p w14:paraId="189D6363" w14:textId="77777777" w:rsidR="00CE6087" w:rsidRPr="00CE6087" w:rsidRDefault="00CE6087" w:rsidP="00CE6087">
            <w:pPr>
              <w:spacing w:line="259" w:lineRule="auto"/>
              <w:rPr>
                <w:rFonts w:eastAsia="Arial"/>
                <w:color w:val="000000"/>
                <w:sz w:val="22"/>
                <w:szCs w:val="22"/>
                <w:lang w:eastAsia="en-GB"/>
              </w:rPr>
            </w:pPr>
            <w:r w:rsidRPr="00CE6087">
              <w:rPr>
                <w:rFonts w:eastAsia="Arial"/>
                <w:color w:val="000000"/>
                <w:sz w:val="22"/>
                <w:szCs w:val="22"/>
                <w:lang w:eastAsia="en-GB"/>
              </w:rPr>
              <w:t xml:space="preserve">£0.25m </w:t>
            </w:r>
          </w:p>
        </w:tc>
      </w:tr>
    </w:tbl>
    <w:p w14:paraId="6C40EAAE" w14:textId="77777777" w:rsidR="00CE6087" w:rsidRPr="00CE6087" w:rsidRDefault="00CE6087" w:rsidP="00CE6087">
      <w:pPr>
        <w:spacing w:after="218" w:line="259" w:lineRule="auto"/>
        <w:rPr>
          <w:rFonts w:eastAsia="Arial"/>
          <w:color w:val="000000"/>
          <w:kern w:val="2"/>
          <w:sz w:val="22"/>
          <w:szCs w:val="22"/>
          <w:lang w:eastAsia="en-GB"/>
          <w14:ligatures w14:val="standardContextual"/>
        </w:rPr>
      </w:pPr>
      <w:r w:rsidRPr="00CE6087">
        <w:rPr>
          <w:rFonts w:eastAsia="Arial"/>
          <w:color w:val="000000"/>
          <w:kern w:val="2"/>
          <w:sz w:val="22"/>
          <w:szCs w:val="22"/>
          <w:lang w:eastAsia="en-GB"/>
          <w14:ligatures w14:val="standardContextual"/>
        </w:rPr>
        <w:t xml:space="preserve"> </w:t>
      </w:r>
    </w:p>
    <w:p w14:paraId="1177F905" w14:textId="77777777" w:rsidR="00CE6087" w:rsidRPr="00CE6087" w:rsidRDefault="00CE6087" w:rsidP="00CE6087">
      <w:pPr>
        <w:spacing w:after="231" w:line="248" w:lineRule="auto"/>
        <w:ind w:left="-5" w:right="61" w:hanging="10"/>
        <w:jc w:val="both"/>
        <w:rPr>
          <w:rFonts w:eastAsia="Arial"/>
          <w:color w:val="000000"/>
          <w:kern w:val="2"/>
          <w:sz w:val="22"/>
          <w:szCs w:val="22"/>
          <w:lang w:eastAsia="en-GB"/>
          <w14:ligatures w14:val="standardContextual"/>
        </w:rPr>
        <w:sectPr w:rsidR="00CE6087" w:rsidRPr="00CE6087" w:rsidSect="007C52E8">
          <w:pgSz w:w="11906" w:h="16838"/>
          <w:pgMar w:top="1139" w:right="1057" w:bottom="708" w:left="1277" w:header="720" w:footer="707" w:gutter="0"/>
          <w:cols w:space="720"/>
          <w:titlePg/>
        </w:sectPr>
      </w:pPr>
    </w:p>
    <w:p w14:paraId="4298E632" w14:textId="77777777" w:rsidR="00CE6087" w:rsidRPr="00CE6087" w:rsidRDefault="00CE6087" w:rsidP="00CE6087">
      <w:pPr>
        <w:keepNext/>
        <w:keepLines/>
        <w:spacing w:after="168" w:line="259" w:lineRule="auto"/>
        <w:ind w:left="10" w:hanging="10"/>
        <w:outlineLvl w:val="0"/>
        <w:rPr>
          <w:rFonts w:ascii="Rockwell" w:eastAsia="Arial" w:hAnsi="Rockwell"/>
          <w:b/>
          <w:color w:val="000000"/>
          <w:kern w:val="2"/>
          <w:sz w:val="28"/>
          <w:szCs w:val="22"/>
          <w:u w:color="000000"/>
          <w:lang w:eastAsia="en-GB"/>
          <w14:ligatures w14:val="standardContextual"/>
        </w:rPr>
      </w:pPr>
      <w:bookmarkStart w:id="3" w:name="_Toc161232879"/>
      <w:r w:rsidRPr="00CE6087">
        <w:rPr>
          <w:rFonts w:ascii="Rockwell" w:eastAsia="Arial" w:hAnsi="Rockwell"/>
          <w:b/>
          <w:color w:val="000000"/>
          <w:kern w:val="2"/>
          <w:sz w:val="28"/>
          <w:szCs w:val="22"/>
          <w:u w:color="000000"/>
          <w:lang w:eastAsia="en-GB"/>
          <w14:ligatures w14:val="standardContextual"/>
        </w:rPr>
        <w:lastRenderedPageBreak/>
        <w:t xml:space="preserve">4. </w:t>
      </w:r>
      <w:r w:rsidRPr="00CE6087">
        <w:rPr>
          <w:rFonts w:ascii="Rockwell" w:eastAsia="Arial" w:hAnsi="Rockwell"/>
          <w:b/>
          <w:color w:val="000000"/>
          <w:kern w:val="2"/>
          <w:sz w:val="28"/>
          <w:szCs w:val="22"/>
          <w:u w:color="000000"/>
          <w:lang w:eastAsia="en-GB"/>
          <w14:ligatures w14:val="standardContextual"/>
        </w:rPr>
        <w:tab/>
        <w:t>Risks</w:t>
      </w:r>
      <w:bookmarkEnd w:id="3"/>
      <w:r w:rsidRPr="00CE6087">
        <w:rPr>
          <w:rFonts w:ascii="Rockwell" w:eastAsia="Arial" w:hAnsi="Rockwell"/>
          <w:b/>
          <w:color w:val="000000"/>
          <w:kern w:val="2"/>
          <w:sz w:val="28"/>
          <w:szCs w:val="22"/>
          <w:u w:color="000000"/>
          <w:lang w:eastAsia="en-GB"/>
          <w14:ligatures w14:val="standardContextual"/>
        </w:rPr>
        <w:t xml:space="preserve"> </w:t>
      </w:r>
    </w:p>
    <w:p w14:paraId="7EC3DA89" w14:textId="77777777" w:rsidR="00CE6087" w:rsidRPr="00CE6087" w:rsidRDefault="00CE6087" w:rsidP="00CE6087">
      <w:pPr>
        <w:spacing w:after="130" w:line="248" w:lineRule="auto"/>
        <w:ind w:left="-5" w:right="61" w:hanging="10"/>
        <w:jc w:val="both"/>
        <w:rPr>
          <w:rFonts w:eastAsia="Arial"/>
          <w:color w:val="000000"/>
          <w:kern w:val="2"/>
          <w:sz w:val="22"/>
          <w:szCs w:val="22"/>
          <w:lang w:eastAsia="en-GB"/>
          <w14:ligatures w14:val="standardContextual"/>
        </w:rPr>
      </w:pPr>
      <w:r w:rsidRPr="00CE6087">
        <w:rPr>
          <w:rFonts w:eastAsia="Arial"/>
          <w:color w:val="000000"/>
          <w:kern w:val="2"/>
          <w:sz w:val="22"/>
          <w:szCs w:val="22"/>
          <w:lang w:eastAsia="en-GB"/>
          <w14:ligatures w14:val="standardContextual"/>
        </w:rPr>
        <w:t xml:space="preserve">The main risk areas associated with the MTFS are: </w:t>
      </w:r>
    </w:p>
    <w:p w14:paraId="3AA3B9D3" w14:textId="77777777" w:rsidR="00CE6087" w:rsidRPr="00CE6087" w:rsidRDefault="00CE6087" w:rsidP="00945835">
      <w:pPr>
        <w:widowControl w:val="0"/>
        <w:numPr>
          <w:ilvl w:val="0"/>
          <w:numId w:val="5"/>
        </w:numPr>
        <w:autoSpaceDE w:val="0"/>
        <w:autoSpaceDN w:val="0"/>
        <w:spacing w:after="231" w:line="248" w:lineRule="auto"/>
        <w:ind w:right="61"/>
        <w:jc w:val="both"/>
        <w:rPr>
          <w:rFonts w:eastAsia="Calibri"/>
          <w:sz w:val="22"/>
          <w:szCs w:val="22"/>
          <w:lang w:eastAsia="en-GB" w:bidi="en-GB"/>
        </w:rPr>
      </w:pPr>
      <w:r w:rsidRPr="00CE6087">
        <w:rPr>
          <w:rFonts w:eastAsia="Calibri"/>
          <w:b/>
          <w:sz w:val="22"/>
          <w:szCs w:val="22"/>
          <w:lang w:eastAsia="en-GB" w:bidi="en-GB"/>
        </w:rPr>
        <w:t>National Pay Settlements</w:t>
      </w:r>
      <w:r w:rsidRPr="00CE6087">
        <w:rPr>
          <w:rFonts w:eastAsia="Calibri"/>
          <w:sz w:val="22"/>
          <w:szCs w:val="22"/>
          <w:lang w:eastAsia="en-GB" w:bidi="en-GB"/>
        </w:rPr>
        <w:t xml:space="preserve"> – Pay cost for 2024-25 are budgeted based on a 3% pay award. Negotiations on the pay settlement will take place at the NJC and will take place after the approval of the 2024-25 budget. Any agreements made </w:t>
      </w:r>
      <w:proofErr w:type="gramStart"/>
      <w:r w:rsidRPr="00CE6087">
        <w:rPr>
          <w:rFonts w:eastAsia="Calibri"/>
          <w:sz w:val="22"/>
          <w:szCs w:val="22"/>
          <w:lang w:eastAsia="en-GB" w:bidi="en-GB"/>
        </w:rPr>
        <w:t>in excess of</w:t>
      </w:r>
      <w:proofErr w:type="gramEnd"/>
      <w:r w:rsidRPr="00CE6087">
        <w:rPr>
          <w:rFonts w:eastAsia="Calibri"/>
          <w:sz w:val="22"/>
          <w:szCs w:val="22"/>
          <w:lang w:eastAsia="en-GB" w:bidi="en-GB"/>
        </w:rPr>
        <w:t xml:space="preserve"> this amount would create unfunded year on year pressures.</w:t>
      </w:r>
    </w:p>
    <w:p w14:paraId="01EB7279" w14:textId="77777777" w:rsidR="00CE6087" w:rsidRPr="00CE6087" w:rsidRDefault="00CE6087" w:rsidP="00945835">
      <w:pPr>
        <w:widowControl w:val="0"/>
        <w:numPr>
          <w:ilvl w:val="0"/>
          <w:numId w:val="5"/>
        </w:numPr>
        <w:autoSpaceDE w:val="0"/>
        <w:autoSpaceDN w:val="0"/>
        <w:spacing w:after="231" w:line="259" w:lineRule="auto"/>
        <w:ind w:right="2"/>
        <w:jc w:val="both"/>
        <w:rPr>
          <w:rFonts w:eastAsia="Calibri"/>
          <w:sz w:val="22"/>
          <w:szCs w:val="22"/>
          <w:lang w:eastAsia="en-GB" w:bidi="en-GB"/>
        </w:rPr>
      </w:pPr>
      <w:r w:rsidRPr="00CE6087">
        <w:rPr>
          <w:rFonts w:eastAsia="Calibri"/>
          <w:b/>
          <w:sz w:val="22"/>
          <w:szCs w:val="22"/>
          <w:lang w:eastAsia="en-GB" w:bidi="en-GB"/>
        </w:rPr>
        <w:t>Inflation</w:t>
      </w:r>
      <w:r w:rsidRPr="00CE6087">
        <w:rPr>
          <w:rFonts w:eastAsia="Calibri"/>
          <w:sz w:val="22"/>
          <w:szCs w:val="22"/>
          <w:lang w:eastAsia="en-GB" w:bidi="en-GB"/>
        </w:rPr>
        <w:t xml:space="preserve"> – In addition to our Pay Costs, there are inflationary impacts and potential supply chain issues that are impacting upon Non-Pay Costs. Although the service is continuing to monitor its Non-Pay Costs closely, there are risks that ongoing pressures within the supply chain could impact future pricing. </w:t>
      </w:r>
    </w:p>
    <w:p w14:paraId="697CF373" w14:textId="77777777" w:rsidR="00CE6087" w:rsidRPr="00CE6087" w:rsidRDefault="00CE6087" w:rsidP="00945835">
      <w:pPr>
        <w:widowControl w:val="0"/>
        <w:numPr>
          <w:ilvl w:val="0"/>
          <w:numId w:val="5"/>
        </w:numPr>
        <w:autoSpaceDE w:val="0"/>
        <w:autoSpaceDN w:val="0"/>
        <w:spacing w:after="120" w:line="259" w:lineRule="auto"/>
        <w:ind w:left="714" w:right="2" w:hanging="357"/>
        <w:jc w:val="both"/>
        <w:rPr>
          <w:rFonts w:eastAsia="Calibri"/>
          <w:sz w:val="22"/>
          <w:szCs w:val="22"/>
          <w:lang w:eastAsia="en-GB" w:bidi="en-GB"/>
        </w:rPr>
      </w:pPr>
      <w:r w:rsidRPr="00CE6087">
        <w:rPr>
          <w:rFonts w:eastAsia="Calibri"/>
          <w:b/>
          <w:bCs/>
          <w:sz w:val="22"/>
          <w:szCs w:val="22"/>
          <w:lang w:eastAsia="en-GB" w:bidi="en-GB"/>
        </w:rPr>
        <w:t>Firefighters Pension Schemes</w:t>
      </w:r>
      <w:r w:rsidRPr="00CE6087">
        <w:rPr>
          <w:rFonts w:eastAsia="Calibri"/>
          <w:sz w:val="22"/>
          <w:szCs w:val="22"/>
          <w:lang w:eastAsia="en-GB" w:bidi="en-GB"/>
        </w:rPr>
        <w:t xml:space="preserve"> - National changes in employer contribution rates for firefighters’ pension schemes came into effect from April 2019, following a revaluation of firefighters’ pension schemes. The national average increase was material at 12.6% of pensionable pay, which equated to an additional cost burden to the Service of £3.8m.  The government has provided annual S31 grant of £3.5m to cover most of the additional cost pressure and from 2024-25 this has been rolled into baseline funding through the Revenue Support Grant).</w:t>
      </w:r>
    </w:p>
    <w:p w14:paraId="79946514" w14:textId="77777777" w:rsidR="00CE6087" w:rsidRPr="00CE6087" w:rsidRDefault="00CE6087" w:rsidP="00CE6087">
      <w:pPr>
        <w:widowControl w:val="0"/>
        <w:autoSpaceDE w:val="0"/>
        <w:autoSpaceDN w:val="0"/>
        <w:spacing w:after="120"/>
        <w:ind w:left="720"/>
        <w:rPr>
          <w:rFonts w:eastAsia="Calibri"/>
          <w:sz w:val="22"/>
          <w:szCs w:val="22"/>
          <w:lang w:eastAsia="en-GB" w:bidi="en-GB"/>
        </w:rPr>
      </w:pPr>
      <w:r w:rsidRPr="00CE6087">
        <w:rPr>
          <w:rFonts w:eastAsia="Calibri"/>
          <w:sz w:val="22"/>
          <w:szCs w:val="22"/>
          <w:lang w:eastAsia="en-GB" w:bidi="en-GB"/>
        </w:rPr>
        <w:t>There remains uncertainty around the financial impacts resulting around the remedies on the firefighter’s pension scheme (McCloud/Sergeant, which includes an increase in Employer Contributions.</w:t>
      </w:r>
    </w:p>
    <w:p w14:paraId="4CF6BC75" w14:textId="77777777" w:rsidR="00CE6087" w:rsidRPr="00CE6087" w:rsidRDefault="00CE6087" w:rsidP="00CE6087">
      <w:pPr>
        <w:widowControl w:val="0"/>
        <w:autoSpaceDE w:val="0"/>
        <w:autoSpaceDN w:val="0"/>
        <w:spacing w:after="120"/>
        <w:ind w:left="720"/>
        <w:rPr>
          <w:rFonts w:eastAsia="Calibri"/>
          <w:sz w:val="22"/>
          <w:szCs w:val="22"/>
          <w:lang w:eastAsia="en-GB" w:bidi="en-GB"/>
        </w:rPr>
      </w:pPr>
      <w:r w:rsidRPr="00CE6087">
        <w:rPr>
          <w:rFonts w:eastAsia="Calibri"/>
          <w:sz w:val="22"/>
          <w:szCs w:val="22"/>
          <w:lang w:eastAsia="en-GB" w:bidi="en-GB"/>
        </w:rPr>
        <w:t>There is currently no information on what the cost of the remedy will be, and how this will be funded. The employer’s contribution rates are expected to increase to take account of the cost of remedy. The next adjustment is expected 1 April 2024, in line with the latest actuarial valuation. No details have yet been provided on what the increase in employers contributions will be, but it is expected that the increase will be fully funded through an additional grant.</w:t>
      </w:r>
    </w:p>
    <w:p w14:paraId="30A8A8A6" w14:textId="77777777" w:rsidR="00CE6087" w:rsidRPr="00CE6087" w:rsidRDefault="00CE6087" w:rsidP="00945835">
      <w:pPr>
        <w:widowControl w:val="0"/>
        <w:numPr>
          <w:ilvl w:val="0"/>
          <w:numId w:val="5"/>
        </w:numPr>
        <w:autoSpaceDE w:val="0"/>
        <w:autoSpaceDN w:val="0"/>
        <w:spacing w:after="231" w:line="248" w:lineRule="auto"/>
        <w:ind w:right="61"/>
        <w:jc w:val="both"/>
        <w:rPr>
          <w:rFonts w:eastAsia="Calibri"/>
          <w:bCs/>
          <w:sz w:val="22"/>
          <w:szCs w:val="22"/>
          <w:lang w:eastAsia="en-GB" w:bidi="en-GB"/>
        </w:rPr>
      </w:pPr>
      <w:r w:rsidRPr="00CE6087">
        <w:rPr>
          <w:rFonts w:eastAsia="Calibri"/>
          <w:b/>
          <w:sz w:val="22"/>
          <w:szCs w:val="22"/>
          <w:lang w:eastAsia="en-GB" w:bidi="en-GB"/>
        </w:rPr>
        <w:t>Local Government Finance Settlement</w:t>
      </w:r>
      <w:r w:rsidRPr="00CE6087">
        <w:rPr>
          <w:rFonts w:eastAsia="Calibri"/>
          <w:bCs/>
          <w:sz w:val="22"/>
          <w:szCs w:val="22"/>
          <w:lang w:eastAsia="en-GB" w:bidi="en-GB"/>
        </w:rPr>
        <w:t xml:space="preserve"> – The latest provisional finance settlement covers 2024-25. The short-term nature of this settlement means that there is uncertainty and risk in the medium term over funding levels. </w:t>
      </w:r>
    </w:p>
    <w:p w14:paraId="21BCF848" w14:textId="77777777" w:rsidR="00CE6087" w:rsidRPr="00CE6087" w:rsidRDefault="00CE6087" w:rsidP="00945835">
      <w:pPr>
        <w:widowControl w:val="0"/>
        <w:numPr>
          <w:ilvl w:val="0"/>
          <w:numId w:val="5"/>
        </w:numPr>
        <w:autoSpaceDE w:val="0"/>
        <w:autoSpaceDN w:val="0"/>
        <w:spacing w:after="231" w:line="248" w:lineRule="auto"/>
        <w:ind w:right="61"/>
        <w:jc w:val="both"/>
        <w:rPr>
          <w:rFonts w:eastAsia="Calibri"/>
          <w:sz w:val="22"/>
          <w:szCs w:val="22"/>
          <w:lang w:eastAsia="en-GB" w:bidi="en-GB"/>
        </w:rPr>
      </w:pPr>
      <w:r w:rsidRPr="00CE6087">
        <w:rPr>
          <w:rFonts w:eastAsia="Calibri"/>
          <w:b/>
          <w:sz w:val="22"/>
          <w:szCs w:val="22"/>
          <w:lang w:eastAsia="en-GB" w:bidi="en-GB"/>
        </w:rPr>
        <w:t>Council Tax and National Non-Domestic Rate Collections</w:t>
      </w:r>
      <w:r w:rsidRPr="00CE6087">
        <w:rPr>
          <w:rFonts w:eastAsia="Calibri"/>
          <w:sz w:val="22"/>
          <w:szCs w:val="22"/>
          <w:lang w:eastAsia="en-GB" w:bidi="en-GB"/>
        </w:rPr>
        <w:t xml:space="preserve"> - Given the current economic pressures, there is a high risk that Business and Council tax collections will be impacted. This follows on from the Covid 19 pandemic which impacted the Collection Accounts. Furthermore, if the housing construction beings to slowdown </w:t>
      </w:r>
      <w:proofErr w:type="gramStart"/>
      <w:r w:rsidRPr="00CE6087">
        <w:rPr>
          <w:rFonts w:eastAsia="Calibri"/>
          <w:sz w:val="22"/>
          <w:szCs w:val="22"/>
          <w:lang w:eastAsia="en-GB" w:bidi="en-GB"/>
        </w:rPr>
        <w:t>as a result of</w:t>
      </w:r>
      <w:proofErr w:type="gramEnd"/>
      <w:r w:rsidRPr="00CE6087">
        <w:rPr>
          <w:rFonts w:eastAsia="Calibri"/>
          <w:sz w:val="22"/>
          <w:szCs w:val="22"/>
          <w:lang w:eastAsia="en-GB" w:bidi="en-GB"/>
        </w:rPr>
        <w:t xml:space="preserve"> the current economic situation, this would impact future council tax base increases.  Regular communication and meetings are held with the </w:t>
      </w:r>
      <w:proofErr w:type="gramStart"/>
      <w:r w:rsidRPr="00CE6087">
        <w:rPr>
          <w:rFonts w:eastAsia="Calibri"/>
          <w:sz w:val="22"/>
          <w:szCs w:val="22"/>
          <w:lang w:eastAsia="en-GB" w:bidi="en-GB"/>
        </w:rPr>
        <w:t>Districts</w:t>
      </w:r>
      <w:proofErr w:type="gramEnd"/>
      <w:r w:rsidRPr="00CE6087">
        <w:rPr>
          <w:rFonts w:eastAsia="Calibri"/>
          <w:sz w:val="22"/>
          <w:szCs w:val="22"/>
          <w:lang w:eastAsia="en-GB" w:bidi="en-GB"/>
        </w:rPr>
        <w:t>, so should any key collections issues arise then the Authority is informed early of such events.</w:t>
      </w:r>
    </w:p>
    <w:p w14:paraId="23828341" w14:textId="627E80E0" w:rsidR="00CE6087" w:rsidRPr="00CE6087" w:rsidRDefault="00CE6087" w:rsidP="00945835">
      <w:pPr>
        <w:widowControl w:val="0"/>
        <w:numPr>
          <w:ilvl w:val="0"/>
          <w:numId w:val="5"/>
        </w:numPr>
        <w:autoSpaceDE w:val="0"/>
        <w:autoSpaceDN w:val="0"/>
        <w:spacing w:after="231" w:line="248" w:lineRule="auto"/>
        <w:ind w:right="61"/>
        <w:jc w:val="both"/>
        <w:rPr>
          <w:rFonts w:eastAsia="Calibri"/>
          <w:sz w:val="22"/>
          <w:szCs w:val="22"/>
          <w:lang w:eastAsia="en-GB" w:bidi="en-GB"/>
        </w:rPr>
      </w:pPr>
      <w:r w:rsidRPr="00CE6087">
        <w:rPr>
          <w:rFonts w:eastAsia="Calibri"/>
          <w:b/>
          <w:sz w:val="22"/>
          <w:szCs w:val="22"/>
          <w:lang w:eastAsia="en-GB" w:bidi="en-GB"/>
        </w:rPr>
        <w:t>Section 31 Grants</w:t>
      </w:r>
      <w:r w:rsidRPr="00CE6087">
        <w:rPr>
          <w:rFonts w:eastAsia="Calibri"/>
          <w:sz w:val="22"/>
          <w:szCs w:val="22"/>
          <w:lang w:eastAsia="en-GB" w:bidi="en-GB"/>
        </w:rPr>
        <w:t xml:space="preserve"> – The Funding Guarantee and Services Grant totalling £0.7m which were announced in the latest finance settlement, have been treated as one off income for 2024/25 and have been removed from future years within the MTFS. In addition, the </w:t>
      </w:r>
      <w:proofErr w:type="spellStart"/>
      <w:r w:rsidRPr="00CE6087">
        <w:rPr>
          <w:rFonts w:eastAsia="Calibri"/>
          <w:sz w:val="22"/>
          <w:szCs w:val="22"/>
          <w:lang w:eastAsia="en-GB" w:bidi="en-GB"/>
        </w:rPr>
        <w:t>Firelink</w:t>
      </w:r>
      <w:proofErr w:type="spellEnd"/>
      <w:r w:rsidRPr="00CE6087">
        <w:rPr>
          <w:rFonts w:eastAsia="Calibri"/>
          <w:sz w:val="22"/>
          <w:szCs w:val="22"/>
          <w:lang w:eastAsia="en-GB" w:bidi="en-GB"/>
        </w:rPr>
        <w:t xml:space="preserve"> Grant has been phased out </w:t>
      </w:r>
      <w:proofErr w:type="spellStart"/>
      <w:r w:rsidRPr="00CE6087">
        <w:rPr>
          <w:rFonts w:eastAsia="Calibri"/>
          <w:sz w:val="22"/>
          <w:szCs w:val="22"/>
          <w:lang w:eastAsia="en-GB" w:bidi="en-GB"/>
        </w:rPr>
        <w:t>inline</w:t>
      </w:r>
      <w:proofErr w:type="spellEnd"/>
      <w:r w:rsidRPr="00CE6087">
        <w:rPr>
          <w:rFonts w:eastAsia="Calibri"/>
          <w:sz w:val="22"/>
          <w:szCs w:val="22"/>
          <w:lang w:eastAsia="en-GB" w:bidi="en-GB"/>
        </w:rPr>
        <w:t xml:space="preserve"> with the 2022/23 Home Office communication.</w:t>
      </w:r>
    </w:p>
    <w:p w14:paraId="511FA1EB" w14:textId="455DAC83" w:rsidR="00CE6087" w:rsidRDefault="00CE6087" w:rsidP="004B69C1">
      <w:pPr>
        <w:spacing w:after="231" w:line="248" w:lineRule="auto"/>
        <w:ind w:left="709" w:right="61"/>
        <w:jc w:val="both"/>
        <w:rPr>
          <w:rFonts w:eastAsia="Arial"/>
          <w:color w:val="000000"/>
          <w:kern w:val="2"/>
          <w:sz w:val="22"/>
          <w:szCs w:val="22"/>
          <w:lang w:eastAsia="en-GB"/>
          <w14:ligatures w14:val="standardContextual"/>
        </w:rPr>
      </w:pPr>
      <w:r w:rsidRPr="00CE6087">
        <w:rPr>
          <w:rFonts w:eastAsia="Arial"/>
          <w:color w:val="000000"/>
          <w:kern w:val="2"/>
          <w:sz w:val="22"/>
          <w:szCs w:val="22"/>
          <w:lang w:eastAsia="en-GB"/>
          <w14:ligatures w14:val="standardContextual"/>
        </w:rPr>
        <w:t xml:space="preserve">All other grants are included in the MTFS have been included on a flat cash basis. If the specific grants for Urban Search and Rescue and Protection Uplift totalling £1m were to be cease, then the Authority will need to review its capability / resources in these areas to which this grant funding was specifically assigned </w:t>
      </w:r>
      <w:proofErr w:type="gramStart"/>
      <w:r w:rsidRPr="00CE6087">
        <w:rPr>
          <w:rFonts w:eastAsia="Arial"/>
          <w:color w:val="000000"/>
          <w:kern w:val="2"/>
          <w:sz w:val="22"/>
          <w:szCs w:val="22"/>
          <w:lang w:eastAsia="en-GB"/>
          <w14:ligatures w14:val="standardContextual"/>
        </w:rPr>
        <w:t>to,  to</w:t>
      </w:r>
      <w:proofErr w:type="gramEnd"/>
      <w:r w:rsidRPr="00CE6087">
        <w:rPr>
          <w:rFonts w:eastAsia="Arial"/>
          <w:color w:val="000000"/>
          <w:kern w:val="2"/>
          <w:sz w:val="22"/>
          <w:szCs w:val="22"/>
          <w:lang w:eastAsia="en-GB"/>
          <w14:ligatures w14:val="standardContextual"/>
        </w:rPr>
        <w:t xml:space="preserve"> ensure that there was no financial impact on the service.</w:t>
      </w:r>
    </w:p>
    <w:p w14:paraId="7DA605C7" w14:textId="77777777" w:rsidR="004B69C1" w:rsidRPr="00CE6087" w:rsidRDefault="004B69C1" w:rsidP="004B69C1">
      <w:pPr>
        <w:spacing w:after="231" w:line="248" w:lineRule="auto"/>
        <w:ind w:left="709" w:right="61"/>
        <w:jc w:val="both"/>
        <w:rPr>
          <w:rFonts w:eastAsia="Arial"/>
          <w:color w:val="000000"/>
          <w:kern w:val="2"/>
          <w:sz w:val="22"/>
          <w:szCs w:val="22"/>
          <w:lang w:eastAsia="en-GB"/>
          <w14:ligatures w14:val="standardContextual"/>
        </w:rPr>
      </w:pPr>
    </w:p>
    <w:p w14:paraId="45939734" w14:textId="77777777" w:rsidR="00CE6087" w:rsidRPr="00CE6087" w:rsidRDefault="00CE6087" w:rsidP="00945835">
      <w:pPr>
        <w:widowControl w:val="0"/>
        <w:numPr>
          <w:ilvl w:val="0"/>
          <w:numId w:val="6"/>
        </w:numPr>
        <w:autoSpaceDE w:val="0"/>
        <w:autoSpaceDN w:val="0"/>
        <w:spacing w:after="231" w:line="248" w:lineRule="auto"/>
        <w:ind w:right="61"/>
        <w:jc w:val="both"/>
        <w:rPr>
          <w:rFonts w:eastAsia="Calibri"/>
          <w:sz w:val="22"/>
          <w:szCs w:val="22"/>
          <w:lang w:eastAsia="en-GB" w:bidi="en-GB"/>
        </w:rPr>
      </w:pPr>
      <w:r w:rsidRPr="00CE6087">
        <w:rPr>
          <w:rFonts w:eastAsia="Calibri"/>
          <w:b/>
          <w:sz w:val="22"/>
          <w:szCs w:val="22"/>
          <w:lang w:eastAsia="en-GB" w:bidi="en-GB"/>
        </w:rPr>
        <w:lastRenderedPageBreak/>
        <w:t>Capital Program</w:t>
      </w:r>
      <w:r w:rsidRPr="00CE6087">
        <w:rPr>
          <w:rFonts w:eastAsia="Calibri"/>
          <w:sz w:val="22"/>
          <w:szCs w:val="22"/>
          <w:lang w:eastAsia="en-GB" w:bidi="en-GB"/>
        </w:rPr>
        <w:t xml:space="preserve"> – The current economic situation will impact the Capital Program</w:t>
      </w:r>
      <w:proofErr w:type="gramStart"/>
      <w:r w:rsidRPr="00CE6087">
        <w:rPr>
          <w:rFonts w:eastAsia="Calibri"/>
          <w:sz w:val="22"/>
          <w:szCs w:val="22"/>
          <w:lang w:eastAsia="en-GB" w:bidi="en-GB"/>
        </w:rPr>
        <w:t>, and in particular</w:t>
      </w:r>
      <w:proofErr w:type="gramEnd"/>
      <w:r w:rsidRPr="00CE6087">
        <w:rPr>
          <w:rFonts w:eastAsia="Calibri"/>
          <w:sz w:val="22"/>
          <w:szCs w:val="22"/>
          <w:lang w:eastAsia="en-GB" w:bidi="en-GB"/>
        </w:rPr>
        <w:t xml:space="preserve"> the cost of the capital projects. It will be important to keep the Capital Program under close review to ensure its affordability. </w:t>
      </w:r>
      <w:proofErr w:type="gramStart"/>
      <w:r w:rsidRPr="00CE6087">
        <w:rPr>
          <w:rFonts w:eastAsia="Calibri"/>
          <w:sz w:val="22"/>
          <w:szCs w:val="22"/>
          <w:lang w:eastAsia="en-GB" w:bidi="en-GB"/>
        </w:rPr>
        <w:t>In the event that</w:t>
      </w:r>
      <w:proofErr w:type="gramEnd"/>
      <w:r w:rsidRPr="00CE6087">
        <w:rPr>
          <w:rFonts w:eastAsia="Calibri"/>
          <w:sz w:val="22"/>
          <w:szCs w:val="22"/>
          <w:lang w:eastAsia="en-GB" w:bidi="en-GB"/>
        </w:rPr>
        <w:t xml:space="preserve"> further borrowing is required, changes in the interest rates could create also impact affordability. </w:t>
      </w:r>
    </w:p>
    <w:p w14:paraId="3FF8B627" w14:textId="77777777" w:rsidR="00CE6087" w:rsidRPr="00CE6087" w:rsidRDefault="00CE6087" w:rsidP="00945835">
      <w:pPr>
        <w:widowControl w:val="0"/>
        <w:numPr>
          <w:ilvl w:val="0"/>
          <w:numId w:val="6"/>
        </w:numPr>
        <w:autoSpaceDE w:val="0"/>
        <w:autoSpaceDN w:val="0"/>
        <w:spacing w:after="231" w:line="259" w:lineRule="auto"/>
        <w:ind w:right="2"/>
        <w:jc w:val="both"/>
        <w:rPr>
          <w:rFonts w:eastAsia="Calibri"/>
          <w:b/>
          <w:sz w:val="22"/>
          <w:szCs w:val="22"/>
          <w:lang w:eastAsia="en-GB" w:bidi="en-GB"/>
        </w:rPr>
      </w:pPr>
      <w:r w:rsidRPr="00CE6087">
        <w:rPr>
          <w:rFonts w:eastAsia="Calibri"/>
          <w:b/>
          <w:sz w:val="22"/>
          <w:szCs w:val="22"/>
          <w:lang w:eastAsia="en-GB" w:bidi="en-GB"/>
        </w:rPr>
        <w:t>Exceptional Cost Incurred</w:t>
      </w:r>
    </w:p>
    <w:p w14:paraId="4370CAFD" w14:textId="77777777" w:rsidR="00CE6087" w:rsidRPr="00CE6087" w:rsidRDefault="00CE6087" w:rsidP="00CE6087">
      <w:pPr>
        <w:widowControl w:val="0"/>
        <w:autoSpaceDE w:val="0"/>
        <w:autoSpaceDN w:val="0"/>
        <w:spacing w:line="259" w:lineRule="auto"/>
        <w:ind w:left="720"/>
        <w:rPr>
          <w:rFonts w:eastAsia="Calibri"/>
          <w:sz w:val="22"/>
          <w:szCs w:val="22"/>
          <w:lang w:eastAsia="en-GB" w:bidi="en-GB"/>
        </w:rPr>
      </w:pPr>
      <w:r w:rsidRPr="00CE6087">
        <w:rPr>
          <w:rFonts w:eastAsia="Calibri"/>
          <w:sz w:val="22"/>
          <w:szCs w:val="22"/>
          <w:lang w:eastAsia="en-GB" w:bidi="en-GB"/>
        </w:rPr>
        <w:t xml:space="preserve">The Authority maintains an adequate level of general reserves to meet an exceptional </w:t>
      </w:r>
      <w:proofErr w:type="gramStart"/>
      <w:r w:rsidRPr="00CE6087">
        <w:rPr>
          <w:rFonts w:eastAsia="Calibri"/>
          <w:sz w:val="22"/>
          <w:szCs w:val="22"/>
          <w:lang w:eastAsia="en-GB" w:bidi="en-GB"/>
        </w:rPr>
        <w:t>one off</w:t>
      </w:r>
      <w:proofErr w:type="gramEnd"/>
      <w:r w:rsidRPr="00CE6087">
        <w:rPr>
          <w:rFonts w:eastAsia="Calibri"/>
          <w:sz w:val="22"/>
          <w:szCs w:val="22"/>
          <w:lang w:eastAsia="en-GB" w:bidi="en-GB"/>
        </w:rPr>
        <w:t xml:space="preserve"> cost. The Authority also has some Earmarked Reserves available that relate to Contingencies, which is outlined in the Reserve Strategy.</w:t>
      </w:r>
    </w:p>
    <w:p w14:paraId="59281710" w14:textId="77777777" w:rsidR="00CE6087" w:rsidRPr="00CE6087" w:rsidRDefault="00CE6087" w:rsidP="00CE6087">
      <w:pPr>
        <w:widowControl w:val="0"/>
        <w:autoSpaceDE w:val="0"/>
        <w:autoSpaceDN w:val="0"/>
        <w:spacing w:after="360" w:line="259" w:lineRule="auto"/>
        <w:ind w:left="720"/>
        <w:rPr>
          <w:rFonts w:eastAsia="Calibri"/>
          <w:sz w:val="22"/>
          <w:szCs w:val="22"/>
          <w:lang w:eastAsia="en-GB" w:bidi="en-GB"/>
        </w:rPr>
      </w:pPr>
      <w:proofErr w:type="gramStart"/>
      <w:r w:rsidRPr="00CE6087">
        <w:rPr>
          <w:rFonts w:eastAsia="Calibri"/>
          <w:sz w:val="22"/>
          <w:szCs w:val="22"/>
          <w:lang w:eastAsia="en-GB" w:bidi="en-GB"/>
        </w:rPr>
        <w:t>In the event that</w:t>
      </w:r>
      <w:proofErr w:type="gramEnd"/>
      <w:r w:rsidRPr="00CE6087">
        <w:rPr>
          <w:rFonts w:eastAsia="Calibri"/>
          <w:sz w:val="22"/>
          <w:szCs w:val="22"/>
          <w:lang w:eastAsia="en-GB" w:bidi="en-GB"/>
        </w:rPr>
        <w:t xml:space="preserve"> there are any unexpected exceptional costs arise, then such Reserves may be needed to provide short term funding. This would also allow some time for the Productivity and Efficiency Board to determine and implement a savings plan fund should any exceptional cost pressure be more than just a one off.  </w:t>
      </w:r>
    </w:p>
    <w:p w14:paraId="7209A1C4" w14:textId="77777777" w:rsidR="00CE6087" w:rsidRPr="00CE6087" w:rsidRDefault="00CE6087" w:rsidP="00CE6087">
      <w:pPr>
        <w:keepNext/>
        <w:keepLines/>
        <w:spacing w:after="168" w:line="259" w:lineRule="auto"/>
        <w:ind w:left="10" w:hanging="10"/>
        <w:outlineLvl w:val="0"/>
        <w:rPr>
          <w:rFonts w:ascii="Rockwell" w:eastAsia="Arial" w:hAnsi="Rockwell"/>
          <w:b/>
          <w:color w:val="000000"/>
          <w:kern w:val="2"/>
          <w:sz w:val="28"/>
          <w:szCs w:val="22"/>
          <w:u w:color="000000"/>
          <w:lang w:eastAsia="en-GB"/>
          <w14:ligatures w14:val="standardContextual"/>
        </w:rPr>
      </w:pPr>
      <w:bookmarkStart w:id="4" w:name="_Toc161232880"/>
      <w:r w:rsidRPr="00CE6087">
        <w:rPr>
          <w:rFonts w:ascii="Rockwell" w:eastAsia="Arial" w:hAnsi="Rockwell"/>
          <w:b/>
          <w:color w:val="000000"/>
          <w:kern w:val="2"/>
          <w:sz w:val="28"/>
          <w:szCs w:val="22"/>
          <w:u w:color="000000"/>
          <w:lang w:eastAsia="en-GB"/>
          <w14:ligatures w14:val="standardContextual"/>
        </w:rPr>
        <w:t xml:space="preserve">5. </w:t>
      </w:r>
      <w:r w:rsidRPr="00CE6087">
        <w:rPr>
          <w:rFonts w:ascii="Rockwell" w:eastAsia="Arial" w:hAnsi="Rockwell"/>
          <w:b/>
          <w:color w:val="000000"/>
          <w:kern w:val="2"/>
          <w:sz w:val="28"/>
          <w:szCs w:val="22"/>
          <w:u w:color="000000"/>
          <w:lang w:eastAsia="en-GB"/>
          <w14:ligatures w14:val="standardContextual"/>
        </w:rPr>
        <w:tab/>
        <w:t>Governance</w:t>
      </w:r>
      <w:bookmarkEnd w:id="4"/>
      <w:r w:rsidRPr="00CE6087">
        <w:rPr>
          <w:rFonts w:ascii="Rockwell" w:eastAsia="Arial" w:hAnsi="Rockwell"/>
          <w:b/>
          <w:color w:val="000000"/>
          <w:kern w:val="2"/>
          <w:sz w:val="28"/>
          <w:szCs w:val="22"/>
          <w:u w:color="000000"/>
          <w:lang w:eastAsia="en-GB"/>
          <w14:ligatures w14:val="standardContextual"/>
        </w:rPr>
        <w:t xml:space="preserve"> </w:t>
      </w:r>
    </w:p>
    <w:p w14:paraId="768FDE0D" w14:textId="77777777" w:rsidR="00CE6087" w:rsidRPr="00CE6087" w:rsidRDefault="00CE6087" w:rsidP="00CE6087">
      <w:pPr>
        <w:spacing w:line="248" w:lineRule="auto"/>
        <w:ind w:left="-5" w:right="61" w:hanging="10"/>
        <w:jc w:val="both"/>
        <w:rPr>
          <w:rFonts w:eastAsia="Arial"/>
          <w:color w:val="000000"/>
          <w:kern w:val="2"/>
          <w:sz w:val="22"/>
          <w:szCs w:val="22"/>
          <w:lang w:eastAsia="en-GB"/>
          <w14:ligatures w14:val="standardContextual"/>
        </w:rPr>
      </w:pPr>
      <w:r w:rsidRPr="00CE6087">
        <w:rPr>
          <w:rFonts w:eastAsia="Arial"/>
          <w:color w:val="000000"/>
          <w:kern w:val="2"/>
          <w:sz w:val="22"/>
          <w:szCs w:val="22"/>
          <w:lang w:eastAsia="en-GB"/>
          <w14:ligatures w14:val="standardContextual"/>
        </w:rPr>
        <w:t xml:space="preserve">The MTFS is regularly projected through the year and reported through the quarterly Strategic Boards. This means that the MTFS is updated to take account any new / emerging financial items and ensures that the Service has a good oversight and understanding of its financial position. </w:t>
      </w:r>
    </w:p>
    <w:p w14:paraId="084690B0" w14:textId="77777777" w:rsidR="00CE6087" w:rsidRPr="00CE6087" w:rsidRDefault="00CE6087" w:rsidP="00CE6087">
      <w:pPr>
        <w:spacing w:line="248" w:lineRule="auto"/>
        <w:ind w:left="-5" w:right="61" w:hanging="10"/>
        <w:jc w:val="both"/>
        <w:rPr>
          <w:rFonts w:eastAsia="Arial"/>
          <w:color w:val="000000"/>
          <w:kern w:val="2"/>
          <w:sz w:val="22"/>
          <w:szCs w:val="22"/>
          <w:lang w:eastAsia="en-GB"/>
          <w14:ligatures w14:val="standardContextual"/>
        </w:rPr>
      </w:pPr>
    </w:p>
    <w:p w14:paraId="16295C13" w14:textId="77777777" w:rsidR="00CE6087" w:rsidRPr="00CE6087" w:rsidRDefault="00CE6087" w:rsidP="00CE6087">
      <w:pPr>
        <w:spacing w:after="360" w:line="247" w:lineRule="auto"/>
        <w:ind w:left="-6" w:right="62" w:hanging="11"/>
        <w:jc w:val="both"/>
        <w:rPr>
          <w:rFonts w:eastAsia="Arial"/>
          <w:color w:val="000000"/>
          <w:kern w:val="2"/>
          <w:sz w:val="22"/>
          <w:szCs w:val="22"/>
          <w:lang w:eastAsia="en-GB"/>
          <w14:ligatures w14:val="standardContextual"/>
        </w:rPr>
      </w:pPr>
      <w:r w:rsidRPr="00CE6087">
        <w:rPr>
          <w:rFonts w:eastAsia="Arial"/>
          <w:color w:val="000000"/>
          <w:kern w:val="2"/>
          <w:sz w:val="22"/>
          <w:szCs w:val="22"/>
          <w:lang w:eastAsia="en-GB"/>
          <w14:ligatures w14:val="standardContextual"/>
        </w:rPr>
        <w:t>This also means that any funding or cost pressures can be promptly identified, and appropriate savings and efficiency plans can be developed through the Productivity and Efficiency Group Board.</w:t>
      </w:r>
    </w:p>
    <w:p w14:paraId="4BBDF7DA" w14:textId="77777777" w:rsidR="00CE6087" w:rsidRPr="00CE6087" w:rsidRDefault="00CE6087" w:rsidP="00CE6087">
      <w:pPr>
        <w:keepNext/>
        <w:keepLines/>
        <w:spacing w:after="168" w:line="259" w:lineRule="auto"/>
        <w:ind w:left="10" w:hanging="10"/>
        <w:outlineLvl w:val="0"/>
        <w:rPr>
          <w:rFonts w:ascii="Rockwell" w:eastAsia="Arial" w:hAnsi="Rockwell"/>
          <w:b/>
          <w:color w:val="000000"/>
          <w:kern w:val="2"/>
          <w:sz w:val="28"/>
          <w:szCs w:val="22"/>
          <w:u w:color="000000"/>
          <w:lang w:eastAsia="en-GB"/>
          <w14:ligatures w14:val="standardContextual"/>
        </w:rPr>
      </w:pPr>
      <w:bookmarkStart w:id="5" w:name="_Toc161232881"/>
      <w:r w:rsidRPr="00CE6087">
        <w:rPr>
          <w:rFonts w:ascii="Rockwell" w:eastAsia="Arial" w:hAnsi="Rockwell"/>
          <w:b/>
          <w:color w:val="000000"/>
          <w:kern w:val="2"/>
          <w:sz w:val="28"/>
          <w:szCs w:val="22"/>
          <w:u w:color="000000"/>
          <w:lang w:eastAsia="en-GB"/>
          <w14:ligatures w14:val="standardContextual"/>
        </w:rPr>
        <w:t xml:space="preserve">6. </w:t>
      </w:r>
      <w:r w:rsidRPr="00CE6087">
        <w:rPr>
          <w:rFonts w:ascii="Rockwell" w:eastAsia="Arial" w:hAnsi="Rockwell"/>
          <w:b/>
          <w:color w:val="000000"/>
          <w:kern w:val="2"/>
          <w:sz w:val="28"/>
          <w:szCs w:val="22"/>
          <w:u w:color="000000"/>
          <w:lang w:eastAsia="en-GB"/>
          <w14:ligatures w14:val="standardContextual"/>
        </w:rPr>
        <w:tab/>
        <w:t>Related Strategies</w:t>
      </w:r>
      <w:bookmarkEnd w:id="5"/>
      <w:r w:rsidRPr="00CE6087">
        <w:rPr>
          <w:rFonts w:ascii="Rockwell" w:eastAsia="Arial" w:hAnsi="Rockwell"/>
          <w:b/>
          <w:color w:val="000000"/>
          <w:kern w:val="2"/>
          <w:sz w:val="28"/>
          <w:szCs w:val="22"/>
          <w:u w:color="000000"/>
          <w:lang w:eastAsia="en-GB"/>
          <w14:ligatures w14:val="standardContextual"/>
        </w:rPr>
        <w:t xml:space="preserve"> </w:t>
      </w:r>
    </w:p>
    <w:p w14:paraId="51DA53D1" w14:textId="77777777" w:rsidR="00CE6087" w:rsidRPr="00CE6087" w:rsidRDefault="00CE6087" w:rsidP="00CE6087">
      <w:pPr>
        <w:spacing w:after="10" w:line="248" w:lineRule="auto"/>
        <w:ind w:left="-5" w:right="61" w:hanging="10"/>
        <w:jc w:val="both"/>
        <w:rPr>
          <w:rFonts w:eastAsia="Arial"/>
          <w:color w:val="000000"/>
          <w:kern w:val="2"/>
          <w:sz w:val="22"/>
          <w:szCs w:val="22"/>
          <w:lang w:eastAsia="en-GB"/>
          <w14:ligatures w14:val="standardContextual"/>
        </w:rPr>
      </w:pPr>
      <w:r w:rsidRPr="00CE6087">
        <w:rPr>
          <w:rFonts w:eastAsia="Arial"/>
          <w:color w:val="000000"/>
          <w:kern w:val="2"/>
          <w:sz w:val="22"/>
          <w:szCs w:val="22"/>
          <w:lang w:eastAsia="en-GB"/>
          <w14:ligatures w14:val="standardContextual"/>
        </w:rPr>
        <w:t xml:space="preserve">The </w:t>
      </w:r>
      <w:proofErr w:type="gramStart"/>
      <w:r w:rsidRPr="00CE6087">
        <w:rPr>
          <w:rFonts w:eastAsia="Arial"/>
          <w:color w:val="000000"/>
          <w:kern w:val="2"/>
          <w:sz w:val="22"/>
          <w:szCs w:val="22"/>
          <w:lang w:eastAsia="en-GB"/>
          <w14:ligatures w14:val="standardContextual"/>
        </w:rPr>
        <w:t>Medium term</w:t>
      </w:r>
      <w:proofErr w:type="gramEnd"/>
      <w:r w:rsidRPr="00CE6087">
        <w:rPr>
          <w:rFonts w:eastAsia="Arial"/>
          <w:color w:val="000000"/>
          <w:kern w:val="2"/>
          <w:sz w:val="22"/>
          <w:szCs w:val="22"/>
          <w:lang w:eastAsia="en-GB"/>
          <w14:ligatures w14:val="standardContextual"/>
        </w:rPr>
        <w:t xml:space="preserve"> Financial Strategy sits alongside the following Service Strategies: </w:t>
      </w:r>
    </w:p>
    <w:p w14:paraId="3FCE48CD" w14:textId="77777777" w:rsidR="00CE6087" w:rsidRPr="00CE6087" w:rsidRDefault="00CE6087" w:rsidP="00945835">
      <w:pPr>
        <w:numPr>
          <w:ilvl w:val="0"/>
          <w:numId w:val="2"/>
        </w:numPr>
        <w:spacing w:after="10" w:line="248" w:lineRule="auto"/>
        <w:ind w:right="61"/>
        <w:jc w:val="both"/>
        <w:rPr>
          <w:rFonts w:eastAsia="Arial"/>
          <w:color w:val="000000"/>
          <w:kern w:val="2"/>
          <w:sz w:val="22"/>
          <w:szCs w:val="22"/>
          <w:lang w:eastAsia="en-GB"/>
          <w14:ligatures w14:val="standardContextual"/>
        </w:rPr>
      </w:pPr>
      <w:r w:rsidRPr="00CE6087">
        <w:rPr>
          <w:rFonts w:eastAsia="Arial"/>
          <w:color w:val="000000"/>
          <w:kern w:val="2"/>
          <w:sz w:val="22"/>
          <w:szCs w:val="22"/>
          <w:lang w:eastAsia="en-GB"/>
          <w14:ligatures w14:val="standardContextual"/>
        </w:rPr>
        <w:t xml:space="preserve">Capital Strategy and MRP Policy </w:t>
      </w:r>
    </w:p>
    <w:p w14:paraId="67CBAC13" w14:textId="77777777" w:rsidR="00CE6087" w:rsidRPr="00CE6087" w:rsidRDefault="00CE6087" w:rsidP="00945835">
      <w:pPr>
        <w:numPr>
          <w:ilvl w:val="0"/>
          <w:numId w:val="2"/>
        </w:numPr>
        <w:spacing w:after="10" w:line="248" w:lineRule="auto"/>
        <w:ind w:right="61"/>
        <w:jc w:val="both"/>
        <w:rPr>
          <w:rFonts w:eastAsia="Arial"/>
          <w:color w:val="000000"/>
          <w:kern w:val="2"/>
          <w:sz w:val="22"/>
          <w:szCs w:val="22"/>
          <w:lang w:eastAsia="en-GB"/>
          <w14:ligatures w14:val="standardContextual"/>
        </w:rPr>
      </w:pPr>
      <w:r w:rsidRPr="00CE6087">
        <w:rPr>
          <w:rFonts w:eastAsia="Arial"/>
          <w:color w:val="000000"/>
          <w:kern w:val="2"/>
          <w:sz w:val="22"/>
          <w:szCs w:val="22"/>
          <w:lang w:eastAsia="en-GB"/>
          <w14:ligatures w14:val="standardContextual"/>
        </w:rPr>
        <w:t xml:space="preserve">Reserves Strategy </w:t>
      </w:r>
    </w:p>
    <w:p w14:paraId="74940790" w14:textId="324831EE" w:rsidR="006811AA" w:rsidRPr="00CE6087" w:rsidRDefault="00CE6087" w:rsidP="00945835">
      <w:pPr>
        <w:numPr>
          <w:ilvl w:val="0"/>
          <w:numId w:val="2"/>
        </w:numPr>
        <w:spacing w:after="10" w:line="248" w:lineRule="auto"/>
        <w:ind w:right="61"/>
        <w:jc w:val="both"/>
        <w:rPr>
          <w:rStyle w:val="normal2"/>
          <w:rFonts w:ascii="Arial" w:eastAsia="Arial" w:hAnsi="Arial" w:cs="Arial"/>
          <w:color w:val="000000"/>
          <w:kern w:val="2"/>
          <w:sz w:val="22"/>
          <w:szCs w:val="22"/>
          <w:lang w:eastAsia="en-GB"/>
          <w14:ligatures w14:val="standardContextual"/>
        </w:rPr>
      </w:pPr>
      <w:r w:rsidRPr="00CE6087">
        <w:rPr>
          <w:rFonts w:eastAsia="Arial"/>
          <w:color w:val="000000"/>
          <w:kern w:val="2"/>
          <w:sz w:val="22"/>
          <w:szCs w:val="22"/>
          <w:lang w:eastAsia="en-GB"/>
          <w14:ligatures w14:val="standardContextual"/>
        </w:rPr>
        <w:t xml:space="preserve">Treasury Management Strategy </w:t>
      </w:r>
      <w:r w:rsidR="00DF0C6D" w:rsidRPr="00AE6BE1">
        <w:t xml:space="preserve"> </w:t>
      </w:r>
    </w:p>
    <w:tbl>
      <w:tblPr>
        <w:tblpPr w:leftFromText="187" w:rightFromText="187" w:vertAnchor="page" w:horzAnchor="margin" w:tblpY="13141"/>
        <w:tblOverlap w:val="never"/>
        <w:tblW w:w="8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998"/>
        <w:gridCol w:w="6956"/>
      </w:tblGrid>
      <w:tr w:rsidR="008351DE" w:rsidRPr="00AE6BE1" w14:paraId="1EAEAF16" w14:textId="77777777" w:rsidTr="008351DE">
        <w:tc>
          <w:tcPr>
            <w:tcW w:w="8954" w:type="dxa"/>
            <w:gridSpan w:val="2"/>
          </w:tcPr>
          <w:p w14:paraId="6DF3025E" w14:textId="77777777" w:rsidR="008351DE" w:rsidRPr="00AE6BE1" w:rsidRDefault="008351DE" w:rsidP="009F31F3">
            <w:pPr>
              <w:tabs>
                <w:tab w:val="left" w:pos="113"/>
              </w:tabs>
              <w:autoSpaceDE w:val="0"/>
              <w:autoSpaceDN w:val="0"/>
              <w:adjustRightInd w:val="0"/>
              <w:rPr>
                <w:rFonts w:ascii="Calibri" w:hAnsi="Calibri"/>
                <w:bCs/>
                <w:color w:val="000000"/>
              </w:rPr>
            </w:pPr>
            <w:r w:rsidRPr="00AE6BE1">
              <w:rPr>
                <w:rFonts w:ascii="Calibri" w:hAnsi="Calibri"/>
                <w:bCs/>
                <w:color w:val="000000"/>
              </w:rPr>
              <w:t>L</w:t>
            </w:r>
            <w:r w:rsidR="009F31F3" w:rsidRPr="00AE6BE1">
              <w:rPr>
                <w:rFonts w:ascii="Calibri" w:hAnsi="Calibri"/>
                <w:bCs/>
                <w:color w:val="000000"/>
              </w:rPr>
              <w:t>O</w:t>
            </w:r>
            <w:r w:rsidRPr="00AE6BE1">
              <w:rPr>
                <w:rFonts w:ascii="Calibri" w:hAnsi="Calibri"/>
                <w:bCs/>
                <w:color w:val="000000"/>
              </w:rPr>
              <w:t>CAL GOVERNMENT (ACCESS TO INFORMATION) ACT 1985</w:t>
            </w:r>
          </w:p>
        </w:tc>
      </w:tr>
      <w:tr w:rsidR="008351DE" w:rsidRPr="00AE6BE1" w14:paraId="6FF1CDF4" w14:textId="77777777" w:rsidTr="008351DE">
        <w:tc>
          <w:tcPr>
            <w:tcW w:w="8954" w:type="dxa"/>
            <w:gridSpan w:val="2"/>
          </w:tcPr>
          <w:p w14:paraId="2E7F97DD" w14:textId="77777777" w:rsidR="008351DE" w:rsidRPr="00AE6BE1" w:rsidRDefault="008351DE" w:rsidP="00EA3736">
            <w:pPr>
              <w:tabs>
                <w:tab w:val="left" w:pos="113"/>
              </w:tabs>
              <w:autoSpaceDE w:val="0"/>
              <w:autoSpaceDN w:val="0"/>
              <w:adjustRightInd w:val="0"/>
              <w:rPr>
                <w:rFonts w:ascii="Calibri" w:hAnsi="Calibri"/>
                <w:bCs/>
                <w:color w:val="000000"/>
              </w:rPr>
            </w:pPr>
            <w:r w:rsidRPr="00AE6BE1">
              <w:rPr>
                <w:rFonts w:ascii="Calibri" w:hAnsi="Calibri"/>
                <w:bCs/>
                <w:color w:val="000000"/>
              </w:rPr>
              <w:t xml:space="preserve">List of background documents – </w:t>
            </w:r>
            <w:r w:rsidR="00EA3736" w:rsidRPr="00AE6BE1">
              <w:rPr>
                <w:rFonts w:ascii="Calibri" w:hAnsi="Calibri"/>
                <w:bCs/>
                <w:color w:val="000000"/>
              </w:rPr>
              <w:t>none.</w:t>
            </w:r>
          </w:p>
        </w:tc>
      </w:tr>
      <w:tr w:rsidR="008351DE" w:rsidRPr="00AE6BE1" w14:paraId="36C4314A" w14:textId="77777777" w:rsidTr="008351DE">
        <w:trPr>
          <w:trHeight w:val="218"/>
        </w:trPr>
        <w:tc>
          <w:tcPr>
            <w:tcW w:w="1998" w:type="dxa"/>
          </w:tcPr>
          <w:p w14:paraId="12A89D1C" w14:textId="77777777" w:rsidR="008351DE" w:rsidRPr="00AE6BE1" w:rsidRDefault="008351DE" w:rsidP="008351DE">
            <w:pPr>
              <w:tabs>
                <w:tab w:val="left" w:pos="113"/>
              </w:tabs>
              <w:autoSpaceDE w:val="0"/>
              <w:autoSpaceDN w:val="0"/>
              <w:adjustRightInd w:val="0"/>
              <w:rPr>
                <w:rFonts w:ascii="Calibri" w:hAnsi="Calibri"/>
                <w:bCs/>
                <w:color w:val="000000"/>
              </w:rPr>
            </w:pPr>
            <w:r w:rsidRPr="00AE6BE1">
              <w:rPr>
                <w:rFonts w:ascii="Calibri" w:hAnsi="Calibri"/>
                <w:bCs/>
                <w:color w:val="000000"/>
              </w:rPr>
              <w:t>Proper Officer:</w:t>
            </w:r>
          </w:p>
        </w:tc>
        <w:tc>
          <w:tcPr>
            <w:tcW w:w="6956" w:type="dxa"/>
          </w:tcPr>
          <w:p w14:paraId="699FE940" w14:textId="77777777" w:rsidR="008351DE" w:rsidRPr="00AE6BE1" w:rsidRDefault="00D063BB" w:rsidP="00D063BB">
            <w:pPr>
              <w:tabs>
                <w:tab w:val="left" w:pos="113"/>
              </w:tabs>
              <w:autoSpaceDE w:val="0"/>
              <w:autoSpaceDN w:val="0"/>
              <w:adjustRightInd w:val="0"/>
              <w:rPr>
                <w:rFonts w:ascii="Calibri" w:hAnsi="Calibri"/>
                <w:bCs/>
                <w:color w:val="000000"/>
              </w:rPr>
            </w:pPr>
            <w:r w:rsidRPr="00AE6BE1">
              <w:rPr>
                <w:rFonts w:ascii="Calibri" w:hAnsi="Calibri"/>
                <w:bCs/>
                <w:color w:val="000000"/>
              </w:rPr>
              <w:t>Chief Financ</w:t>
            </w:r>
            <w:r w:rsidR="00663D4A" w:rsidRPr="00AE6BE1">
              <w:rPr>
                <w:rFonts w:ascii="Calibri" w:hAnsi="Calibri"/>
                <w:bCs/>
                <w:color w:val="000000"/>
              </w:rPr>
              <w:t>ial</w:t>
            </w:r>
            <w:r w:rsidRPr="00AE6BE1">
              <w:rPr>
                <w:rFonts w:ascii="Calibri" w:hAnsi="Calibri"/>
                <w:bCs/>
                <w:color w:val="000000"/>
              </w:rPr>
              <w:t xml:space="preserve"> Officer</w:t>
            </w:r>
            <w:r w:rsidR="00663D4A" w:rsidRPr="00AE6BE1">
              <w:rPr>
                <w:rFonts w:ascii="Calibri" w:hAnsi="Calibri"/>
                <w:bCs/>
                <w:color w:val="000000"/>
              </w:rPr>
              <w:t xml:space="preserve"> (S151)</w:t>
            </w:r>
          </w:p>
        </w:tc>
      </w:tr>
      <w:tr w:rsidR="008351DE" w:rsidRPr="00A47E2B" w14:paraId="14C02B57" w14:textId="77777777" w:rsidTr="008351DE">
        <w:trPr>
          <w:trHeight w:val="217"/>
        </w:trPr>
        <w:tc>
          <w:tcPr>
            <w:tcW w:w="1998" w:type="dxa"/>
            <w:tcBorders>
              <w:bottom w:val="single" w:sz="4" w:space="0" w:color="auto"/>
            </w:tcBorders>
          </w:tcPr>
          <w:p w14:paraId="1FA3B316" w14:textId="77777777" w:rsidR="008351DE" w:rsidRPr="00AE6BE1" w:rsidRDefault="008351DE" w:rsidP="008351DE">
            <w:pPr>
              <w:tabs>
                <w:tab w:val="left" w:pos="113"/>
              </w:tabs>
              <w:autoSpaceDE w:val="0"/>
              <w:autoSpaceDN w:val="0"/>
              <w:adjustRightInd w:val="0"/>
              <w:rPr>
                <w:rFonts w:ascii="Calibri" w:hAnsi="Calibri"/>
                <w:bCs/>
                <w:color w:val="000000"/>
              </w:rPr>
            </w:pPr>
            <w:r w:rsidRPr="00AE6BE1">
              <w:rPr>
                <w:rFonts w:ascii="Calibri" w:hAnsi="Calibri"/>
                <w:bCs/>
                <w:color w:val="000000"/>
              </w:rPr>
              <w:t>Contact Officer:</w:t>
            </w:r>
          </w:p>
        </w:tc>
        <w:tc>
          <w:tcPr>
            <w:tcW w:w="6956" w:type="dxa"/>
            <w:tcBorders>
              <w:bottom w:val="single" w:sz="4" w:space="0" w:color="auto"/>
            </w:tcBorders>
          </w:tcPr>
          <w:p w14:paraId="661A063E" w14:textId="77777777" w:rsidR="008351DE" w:rsidRPr="00AE6BE1" w:rsidRDefault="00663D4A" w:rsidP="008351DE">
            <w:pPr>
              <w:tabs>
                <w:tab w:val="left" w:pos="113"/>
              </w:tabs>
              <w:autoSpaceDE w:val="0"/>
              <w:autoSpaceDN w:val="0"/>
              <w:adjustRightInd w:val="0"/>
              <w:rPr>
                <w:rFonts w:ascii="Calibri" w:hAnsi="Calibri"/>
                <w:bCs/>
                <w:color w:val="000000"/>
              </w:rPr>
            </w:pPr>
            <w:r w:rsidRPr="00AE6BE1">
              <w:rPr>
                <w:rFonts w:ascii="Calibri" w:hAnsi="Calibri"/>
                <w:bCs/>
                <w:color w:val="000000"/>
              </w:rPr>
              <w:t>Neil Cross</w:t>
            </w:r>
          </w:p>
          <w:p w14:paraId="0F6E5BA8" w14:textId="77777777" w:rsidR="008351DE" w:rsidRPr="00AE6BE1" w:rsidRDefault="008351DE" w:rsidP="008351DE">
            <w:pPr>
              <w:tabs>
                <w:tab w:val="left" w:pos="113"/>
              </w:tabs>
              <w:autoSpaceDE w:val="0"/>
              <w:autoSpaceDN w:val="0"/>
              <w:adjustRightInd w:val="0"/>
              <w:rPr>
                <w:rFonts w:ascii="Calibri" w:hAnsi="Calibri"/>
                <w:bCs/>
                <w:color w:val="000000"/>
              </w:rPr>
            </w:pPr>
            <w:r w:rsidRPr="00AE6BE1">
              <w:rPr>
                <w:rFonts w:ascii="Calibri" w:hAnsi="Calibri"/>
                <w:bCs/>
                <w:color w:val="000000"/>
              </w:rPr>
              <w:t>Essex County Fire &amp; Rescue Service, Kelvedon Park, London Road, Rivenhall, Witham CM8 3HB</w:t>
            </w:r>
          </w:p>
          <w:p w14:paraId="17BEFB6C" w14:textId="77777777" w:rsidR="008351DE" w:rsidRPr="00A47E2B" w:rsidRDefault="00D063BB" w:rsidP="008351DE">
            <w:pPr>
              <w:tabs>
                <w:tab w:val="left" w:pos="113"/>
              </w:tabs>
              <w:autoSpaceDE w:val="0"/>
              <w:autoSpaceDN w:val="0"/>
              <w:adjustRightInd w:val="0"/>
              <w:rPr>
                <w:rFonts w:ascii="Calibri" w:hAnsi="Calibri"/>
                <w:bCs/>
                <w:color w:val="000000"/>
              </w:rPr>
            </w:pPr>
            <w:r w:rsidRPr="00AE6BE1">
              <w:rPr>
                <w:rFonts w:ascii="Calibri" w:hAnsi="Calibri"/>
                <w:bCs/>
                <w:color w:val="000000"/>
              </w:rPr>
              <w:t>Tel: 01376 576100</w:t>
            </w:r>
          </w:p>
        </w:tc>
      </w:tr>
    </w:tbl>
    <w:p w14:paraId="2B4B5890" w14:textId="25016829" w:rsidR="00FC584B" w:rsidRPr="00A47E2B" w:rsidRDefault="00FC584B" w:rsidP="00CE6087">
      <w:pPr>
        <w:keepNext/>
        <w:tabs>
          <w:tab w:val="left" w:pos="113"/>
        </w:tabs>
        <w:autoSpaceDE w:val="0"/>
        <w:autoSpaceDN w:val="0"/>
        <w:adjustRightInd w:val="0"/>
        <w:spacing w:after="240"/>
        <w:rPr>
          <w:rStyle w:val="normal2"/>
          <w:rFonts w:ascii="Calibri" w:hAnsi="Calibri"/>
          <w:bCs/>
        </w:rPr>
      </w:pPr>
    </w:p>
    <w:sectPr w:rsidR="00FC584B" w:rsidRPr="00A47E2B" w:rsidSect="007C52E8">
      <w:pgSz w:w="11906" w:h="16838" w:code="9"/>
      <w:pgMar w:top="1134" w:right="1134" w:bottom="142"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55749" w14:textId="77777777" w:rsidR="007C52E8" w:rsidRDefault="007C52E8">
      <w:r>
        <w:separator/>
      </w:r>
    </w:p>
  </w:endnote>
  <w:endnote w:type="continuationSeparator" w:id="0">
    <w:p w14:paraId="734BEBD1" w14:textId="77777777" w:rsidR="007C52E8" w:rsidRDefault="007C52E8">
      <w:r>
        <w:continuationSeparator/>
      </w:r>
    </w:p>
  </w:endnote>
  <w:endnote w:type="continuationNotice" w:id="1">
    <w:p w14:paraId="7424CB52" w14:textId="77777777" w:rsidR="007C52E8" w:rsidRDefault="007C52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20560" w14:textId="49AD0DDC" w:rsidR="00B15BAD" w:rsidRDefault="00B15BAD">
    <w:pPr>
      <w:pStyle w:val="Footer"/>
    </w:pPr>
    <w:r>
      <w:rPr>
        <w:noProof/>
      </w:rPr>
      <mc:AlternateContent>
        <mc:Choice Requires="wps">
          <w:drawing>
            <wp:anchor distT="0" distB="0" distL="0" distR="0" simplePos="0" relativeHeight="251658241" behindDoc="0" locked="0" layoutInCell="1" allowOverlap="1" wp14:anchorId="0EF99973" wp14:editId="2BCC7306">
              <wp:simplePos x="635" y="635"/>
              <wp:positionH relativeFrom="column">
                <wp:align>center</wp:align>
              </wp:positionH>
              <wp:positionV relativeFrom="paragraph">
                <wp:posOffset>635</wp:posOffset>
              </wp:positionV>
              <wp:extent cx="443865" cy="443865"/>
              <wp:effectExtent l="0" t="0" r="9525" b="16510"/>
              <wp:wrapSquare wrapText="bothSides"/>
              <wp:docPr id="6" name="Text Box 6" descr="OFFICIAL-SENSITIV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E9BB127" w14:textId="55E7F138" w:rsidR="00B15BAD" w:rsidRPr="00B15BAD" w:rsidRDefault="00B15BAD">
                          <w:pPr>
                            <w:rPr>
                              <w:rFonts w:ascii="Calibri" w:eastAsia="Calibri" w:hAnsi="Calibri" w:cs="Calibri"/>
                              <w:color w:val="000000"/>
                              <w:sz w:val="20"/>
                              <w:szCs w:val="20"/>
                            </w:rPr>
                          </w:pPr>
                          <w:r w:rsidRPr="00B15BAD">
                            <w:rPr>
                              <w:rFonts w:ascii="Calibri" w:eastAsia="Calibri" w:hAnsi="Calibri" w:cs="Calibri"/>
                              <w:color w:val="000000"/>
                              <w:sz w:val="20"/>
                              <w:szCs w:val="20"/>
                            </w:rPr>
                            <w:t>OFFICIAL-SENSITIVE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EF99973" id="_x0000_t202" coordsize="21600,21600" o:spt="202" path="m,l,21600r21600,l21600,xe">
              <v:stroke joinstyle="miter"/>
              <v:path gradientshapeok="t" o:connecttype="rect"/>
            </v:shapetype>
            <v:shape id="Text Box 6" o:spid="_x0000_s1030" type="#_x0000_t202" alt="OFFICIAL-SENSITIVE" style="position:absolute;margin-left:0;margin-top:.05pt;width:34.95pt;height:34.95pt;z-index:251658241;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1E9BB127" w14:textId="55E7F138" w:rsidR="00B15BAD" w:rsidRPr="00B15BAD" w:rsidRDefault="00B15BAD">
                    <w:pPr>
                      <w:rPr>
                        <w:rFonts w:ascii="Calibri" w:eastAsia="Calibri" w:hAnsi="Calibri" w:cs="Calibri"/>
                        <w:color w:val="000000"/>
                        <w:sz w:val="20"/>
                        <w:szCs w:val="20"/>
                      </w:rPr>
                    </w:pPr>
                    <w:r w:rsidRPr="00B15BAD">
                      <w:rPr>
                        <w:rFonts w:ascii="Calibri" w:eastAsia="Calibri" w:hAnsi="Calibri" w:cs="Calibri"/>
                        <w:color w:val="000000"/>
                        <w:sz w:val="20"/>
                        <w:szCs w:val="20"/>
                      </w:rPr>
                      <w:t>OFFICIAL-SENSITIVE</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73660" w14:textId="26D22710" w:rsidR="00EF2051" w:rsidRDefault="00000000">
    <w:pPr>
      <w:pStyle w:val="Footer"/>
      <w:jc w:val="right"/>
    </w:pPr>
    <w:sdt>
      <w:sdtPr>
        <w:id w:val="-2057925486"/>
        <w:docPartObj>
          <w:docPartGallery w:val="Page Numbers (Bottom of Page)"/>
          <w:docPartUnique/>
        </w:docPartObj>
      </w:sdtPr>
      <w:sdtEndPr>
        <w:rPr>
          <w:noProof/>
        </w:rPr>
      </w:sdtEndPr>
      <w:sdtContent>
        <w:sdt>
          <w:sdtPr>
            <w:id w:val="-2082286279"/>
            <w:docPartObj>
              <w:docPartGallery w:val="Page Numbers (Bottom of Page)"/>
              <w:docPartUnique/>
            </w:docPartObj>
          </w:sdtPr>
          <w:sdtEndPr>
            <w:rPr>
              <w:noProof/>
            </w:rPr>
          </w:sdtEndPr>
          <w:sdtContent>
            <w:r w:rsidR="00082562">
              <w:fldChar w:fldCharType="begin"/>
            </w:r>
            <w:r w:rsidR="00082562">
              <w:instrText xml:space="preserve"> PAGE   \* MERGEFORMAT </w:instrText>
            </w:r>
            <w:r w:rsidR="00082562">
              <w:fldChar w:fldCharType="separate"/>
            </w:r>
            <w:r w:rsidR="00082562">
              <w:t>1</w:t>
            </w:r>
            <w:r w:rsidR="00082562">
              <w:rPr>
                <w:noProof/>
              </w:rPr>
              <w:fldChar w:fldCharType="end"/>
            </w:r>
            <w:r w:rsidR="00082562">
              <w:rPr>
                <w:noProof/>
              </w:rPr>
              <w:t xml:space="preserve"> of </w:t>
            </w:r>
            <w:r w:rsidR="00DE4371">
              <w:rPr>
                <w:noProof/>
              </w:rPr>
              <w:t>1</w:t>
            </w:r>
            <w:r w:rsidR="00DB2C69">
              <w:rPr>
                <w:noProof/>
              </w:rPr>
              <w:t>1</w:t>
            </w:r>
          </w:sdtContent>
        </w:sdt>
      </w:sdtContent>
    </w:sdt>
  </w:p>
  <w:p w14:paraId="1B4D5879" w14:textId="79FD14C9" w:rsidR="00F85B3C" w:rsidRPr="00AA60E6" w:rsidRDefault="00F85B3C" w:rsidP="00AA60E6">
    <w:pPr>
      <w:pStyle w:val="Footer"/>
      <w:jc w:val="center"/>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9AC0E" w14:textId="6D3B2A81" w:rsidR="00EF2051" w:rsidRDefault="00000000">
    <w:pPr>
      <w:pStyle w:val="Footer"/>
      <w:jc w:val="right"/>
    </w:pPr>
    <w:sdt>
      <w:sdtPr>
        <w:id w:val="1502626863"/>
        <w:docPartObj>
          <w:docPartGallery w:val="Page Numbers (Bottom of Page)"/>
          <w:docPartUnique/>
        </w:docPartObj>
      </w:sdtPr>
      <w:sdtEndPr>
        <w:rPr>
          <w:noProof/>
        </w:rPr>
      </w:sdtEndPr>
      <w:sdtContent>
        <w:r w:rsidR="00EF2051">
          <w:fldChar w:fldCharType="begin"/>
        </w:r>
        <w:r w:rsidR="00EF2051">
          <w:instrText xml:space="preserve"> PAGE   \* MERGEFORMAT </w:instrText>
        </w:r>
        <w:r w:rsidR="00EF2051">
          <w:fldChar w:fldCharType="separate"/>
        </w:r>
        <w:r w:rsidR="00EF2051">
          <w:rPr>
            <w:noProof/>
          </w:rPr>
          <w:t>2</w:t>
        </w:r>
        <w:r w:rsidR="00EF2051">
          <w:rPr>
            <w:noProof/>
          </w:rPr>
          <w:fldChar w:fldCharType="end"/>
        </w:r>
        <w:r w:rsidR="00EF2051">
          <w:rPr>
            <w:noProof/>
          </w:rPr>
          <w:t xml:space="preserve"> of </w:t>
        </w:r>
        <w:r w:rsidR="00DE4371">
          <w:rPr>
            <w:noProof/>
          </w:rPr>
          <w:t>1</w:t>
        </w:r>
        <w:r w:rsidR="00DB2C69">
          <w:rPr>
            <w:noProof/>
          </w:rPr>
          <w:t>1</w:t>
        </w:r>
      </w:sdtContent>
    </w:sdt>
  </w:p>
  <w:p w14:paraId="6FAD84FD" w14:textId="77777777" w:rsidR="00F85B3C" w:rsidRDefault="00F85B3C" w:rsidP="00D13372">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9307A" w14:textId="77777777" w:rsidR="00CE6087" w:rsidRDefault="00CE6087">
    <w:pPr>
      <w:spacing w:line="259" w:lineRule="auto"/>
      <w:ind w:right="15"/>
      <w:jc w:val="center"/>
    </w:pPr>
    <w:r>
      <w:t xml:space="preserve"> </w:t>
    </w:r>
  </w:p>
  <w:p w14:paraId="7675A424" w14:textId="77777777" w:rsidR="00CE6087" w:rsidRDefault="00CE6087">
    <w:pPr>
      <w:spacing w:line="259" w:lineRule="auto"/>
      <w:ind w:right="71"/>
      <w:jc w:val="center"/>
    </w:pPr>
    <w:r>
      <w:t xml:space="preserve">Page </w:t>
    </w:r>
    <w:r>
      <w:fldChar w:fldCharType="begin"/>
    </w:r>
    <w:r>
      <w:instrText xml:space="preserve"> PAGE   \* MERGEFORMAT </w:instrText>
    </w:r>
    <w:r>
      <w:fldChar w:fldCharType="separate"/>
    </w:r>
    <w:r>
      <w:t>6</w:t>
    </w:r>
    <w:r>
      <w:fldChar w:fldCharType="end"/>
    </w:r>
    <w:r>
      <w:t xml:space="preserve"> of </w:t>
    </w:r>
    <w:r>
      <w:fldChar w:fldCharType="begin"/>
    </w:r>
    <w:r>
      <w:instrText xml:space="preserve"> NUMPAGES   \* MERGEFORMAT </w:instrText>
    </w:r>
    <w:r>
      <w:fldChar w:fldCharType="separate"/>
    </w:r>
    <w:r>
      <w:t>9</w:t>
    </w:r>
    <w:r>
      <w:fldChar w:fldCharType="end"/>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9B9C5" w14:textId="77777777" w:rsidR="00CE6087" w:rsidRDefault="00CE6087">
    <w:pPr>
      <w:spacing w:line="259" w:lineRule="auto"/>
      <w:ind w:right="15"/>
      <w:jc w:val="center"/>
    </w:pPr>
    <w:r>
      <w:t xml:space="preserve"> </w:t>
    </w:r>
  </w:p>
  <w:p w14:paraId="6A4898D3" w14:textId="77777777" w:rsidR="00CE6087" w:rsidRDefault="00CE6087">
    <w:pPr>
      <w:spacing w:line="259" w:lineRule="auto"/>
      <w:ind w:right="71"/>
      <w:jc w:val="center"/>
    </w:pPr>
    <w:r>
      <w:t xml:space="preserve">Page </w:t>
    </w:r>
    <w:r>
      <w:fldChar w:fldCharType="begin"/>
    </w:r>
    <w:r>
      <w:instrText xml:space="preserve"> PAGE   \* MERGEFORMAT </w:instrText>
    </w:r>
    <w:r>
      <w:fldChar w:fldCharType="separate"/>
    </w:r>
    <w:r>
      <w:t>6</w:t>
    </w:r>
    <w:r>
      <w:fldChar w:fldCharType="end"/>
    </w:r>
    <w:r>
      <w:t xml:space="preserve"> of </w:t>
    </w:r>
    <w:r>
      <w:fldChar w:fldCharType="begin"/>
    </w:r>
    <w:r>
      <w:instrText xml:space="preserve"> NUMPAGES   \* MERGEFORMAT </w:instrText>
    </w:r>
    <w:r>
      <w:fldChar w:fldCharType="separate"/>
    </w:r>
    <w:r>
      <w:t>9</w:t>
    </w:r>
    <w:r>
      <w:fldChar w:fldCharType="end"/>
    </w: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44215" w14:textId="77777777" w:rsidR="00CE6087" w:rsidRDefault="00CE6087">
    <w:pPr>
      <w:spacing w:line="259" w:lineRule="auto"/>
      <w:ind w:left="86"/>
      <w:jc w:val="center"/>
    </w:pPr>
    <w:r>
      <w:rPr>
        <w:sz w:val="22"/>
      </w:rPr>
      <w:fldChar w:fldCharType="begin"/>
    </w:r>
    <w:r>
      <w:instrText xml:space="preserve"> PAGE   \* MERGEFORMAT </w:instrText>
    </w:r>
    <w:r>
      <w:rPr>
        <w:sz w:val="22"/>
      </w:rPr>
      <w:fldChar w:fldCharType="separate"/>
    </w:r>
    <w: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58B34" w14:textId="77777777" w:rsidR="007C52E8" w:rsidRDefault="007C52E8">
      <w:r>
        <w:separator/>
      </w:r>
    </w:p>
  </w:footnote>
  <w:footnote w:type="continuationSeparator" w:id="0">
    <w:p w14:paraId="7A9B94EC" w14:textId="77777777" w:rsidR="007C52E8" w:rsidRDefault="007C52E8">
      <w:r>
        <w:continuationSeparator/>
      </w:r>
    </w:p>
  </w:footnote>
  <w:footnote w:type="continuationNotice" w:id="1">
    <w:p w14:paraId="366EC0C3" w14:textId="77777777" w:rsidR="007C52E8" w:rsidRDefault="007C52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D1052" w14:textId="3C48EEE5" w:rsidR="00B15BAD" w:rsidRDefault="00B15BAD">
    <w:pPr>
      <w:pStyle w:val="Header"/>
    </w:pPr>
    <w:r>
      <w:rPr>
        <w:noProof/>
      </w:rPr>
      <mc:AlternateContent>
        <mc:Choice Requires="wps">
          <w:drawing>
            <wp:anchor distT="0" distB="0" distL="0" distR="0" simplePos="0" relativeHeight="251658240" behindDoc="0" locked="0" layoutInCell="1" allowOverlap="1" wp14:anchorId="550195DD" wp14:editId="5AD2A704">
              <wp:simplePos x="635" y="635"/>
              <wp:positionH relativeFrom="column">
                <wp:align>center</wp:align>
              </wp:positionH>
              <wp:positionV relativeFrom="paragraph">
                <wp:posOffset>635</wp:posOffset>
              </wp:positionV>
              <wp:extent cx="443865" cy="443865"/>
              <wp:effectExtent l="0" t="0" r="9525" b="16510"/>
              <wp:wrapSquare wrapText="bothSides"/>
              <wp:docPr id="3" name="Text Box 3" descr="OFFICIAL-SENSITIV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330F28B" w14:textId="37D5A440" w:rsidR="00B15BAD" w:rsidRPr="00B15BAD" w:rsidRDefault="00B15BAD">
                          <w:pPr>
                            <w:rPr>
                              <w:rFonts w:ascii="Calibri" w:eastAsia="Calibri" w:hAnsi="Calibri" w:cs="Calibri"/>
                              <w:color w:val="000000"/>
                              <w:sz w:val="20"/>
                              <w:szCs w:val="20"/>
                            </w:rPr>
                          </w:pPr>
                          <w:r w:rsidRPr="00B15BAD">
                            <w:rPr>
                              <w:rFonts w:ascii="Calibri" w:eastAsia="Calibri" w:hAnsi="Calibri" w:cs="Calibri"/>
                              <w:color w:val="000000"/>
                              <w:sz w:val="20"/>
                              <w:szCs w:val="20"/>
                            </w:rPr>
                            <w:t>OFFICIAL-SENSITIVE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50195DD" id="_x0000_t202" coordsize="21600,21600" o:spt="202" path="m,l,21600r21600,l21600,xe">
              <v:stroke joinstyle="miter"/>
              <v:path gradientshapeok="t" o:connecttype="rect"/>
            </v:shapetype>
            <v:shape id="Text Box 3" o:spid="_x0000_s1029" type="#_x0000_t202" alt="OFFICIAL-SENSITIVE"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7330F28B" w14:textId="37D5A440" w:rsidR="00B15BAD" w:rsidRPr="00B15BAD" w:rsidRDefault="00B15BAD">
                    <w:pPr>
                      <w:rPr>
                        <w:rFonts w:ascii="Calibri" w:eastAsia="Calibri" w:hAnsi="Calibri" w:cs="Calibri"/>
                        <w:color w:val="000000"/>
                        <w:sz w:val="20"/>
                        <w:szCs w:val="20"/>
                      </w:rPr>
                    </w:pPr>
                    <w:r w:rsidRPr="00B15BAD">
                      <w:rPr>
                        <w:rFonts w:ascii="Calibri" w:eastAsia="Calibri" w:hAnsi="Calibri" w:cs="Calibri"/>
                        <w:color w:val="000000"/>
                        <w:sz w:val="20"/>
                        <w:szCs w:val="20"/>
                      </w:rPr>
                      <w:t>OFFICIAL-SENSITIVE</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13403" w14:textId="16160A67" w:rsidR="00F85B3C" w:rsidRDefault="00F85B3C" w:rsidP="00AA60E6">
    <w:pPr>
      <w:pStyle w:val="Header"/>
      <w:jc w:val="right"/>
      <w:rPr>
        <w:sz w:val="22"/>
        <w:szCs w:val="22"/>
      </w:rPr>
    </w:pPr>
  </w:p>
  <w:p w14:paraId="72852829" w14:textId="77777777" w:rsidR="00F85B3C" w:rsidRPr="00AA60E6" w:rsidRDefault="00F85B3C" w:rsidP="00AA60E6">
    <w:pPr>
      <w:pStyle w:val="Header"/>
      <w:jc w:val="right"/>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A45800"/>
    <w:multiLevelType w:val="hybridMultilevel"/>
    <w:tmpl w:val="8AEAD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8015F9"/>
    <w:multiLevelType w:val="hybridMultilevel"/>
    <w:tmpl w:val="29AE7C58"/>
    <w:lvl w:ilvl="0" w:tplc="A730581C">
      <w:start w:val="1"/>
      <w:numFmt w:val="bullet"/>
      <w:pStyle w:val="Bulleted"/>
      <w:lvlText w:val=""/>
      <w:lvlJc w:val="left"/>
      <w:pPr>
        <w:tabs>
          <w:tab w:val="num" w:pos="1077"/>
        </w:tabs>
        <w:ind w:left="1077" w:hanging="397"/>
      </w:pPr>
      <w:rPr>
        <w:rFonts w:ascii="Symbol" w:hAnsi="Symbol" w:hint="default"/>
        <w:color w:val="auto"/>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1875D1"/>
    <w:multiLevelType w:val="hybridMultilevel"/>
    <w:tmpl w:val="A8D699C0"/>
    <w:lvl w:ilvl="0" w:tplc="08090001">
      <w:start w:val="1"/>
      <w:numFmt w:val="bullet"/>
      <w:lvlText w:val=""/>
      <w:lvlJc w:val="left"/>
      <w:pPr>
        <w:ind w:left="1211" w:hanging="360"/>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 w15:restartNumberingAfterBreak="0">
    <w:nsid w:val="4C3C514D"/>
    <w:multiLevelType w:val="hybridMultilevel"/>
    <w:tmpl w:val="65B8CF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0A62433"/>
    <w:multiLevelType w:val="hybridMultilevel"/>
    <w:tmpl w:val="FB989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E81A9C"/>
    <w:multiLevelType w:val="hybridMultilevel"/>
    <w:tmpl w:val="0494F7F8"/>
    <w:lvl w:ilvl="0" w:tplc="69DA47C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2A61F58">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1BC6AE6">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DCC4AF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24E109C">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C3E8F0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4028E5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15ABBB0">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9806296">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909463420">
    <w:abstractNumId w:val="1"/>
  </w:num>
  <w:num w:numId="2" w16cid:durableId="749618086">
    <w:abstractNumId w:val="5"/>
  </w:num>
  <w:num w:numId="3" w16cid:durableId="1136950340">
    <w:abstractNumId w:val="2"/>
  </w:num>
  <w:num w:numId="4" w16cid:durableId="858352238">
    <w:abstractNumId w:val="3"/>
  </w:num>
  <w:num w:numId="5" w16cid:durableId="423302372">
    <w:abstractNumId w:val="0"/>
  </w:num>
  <w:num w:numId="6" w16cid:durableId="27671764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C22"/>
    <w:rsid w:val="000001E6"/>
    <w:rsid w:val="000007B4"/>
    <w:rsid w:val="00000F31"/>
    <w:rsid w:val="00001B3C"/>
    <w:rsid w:val="00001EF3"/>
    <w:rsid w:val="000035D1"/>
    <w:rsid w:val="0000484C"/>
    <w:rsid w:val="00004A80"/>
    <w:rsid w:val="00005893"/>
    <w:rsid w:val="00006A7C"/>
    <w:rsid w:val="00006B4F"/>
    <w:rsid w:val="00006C81"/>
    <w:rsid w:val="000077B8"/>
    <w:rsid w:val="00007F2F"/>
    <w:rsid w:val="00011553"/>
    <w:rsid w:val="000127D8"/>
    <w:rsid w:val="000127F2"/>
    <w:rsid w:val="000129FE"/>
    <w:rsid w:val="00012FC3"/>
    <w:rsid w:val="00012FF0"/>
    <w:rsid w:val="00014B58"/>
    <w:rsid w:val="00015A8F"/>
    <w:rsid w:val="0001605A"/>
    <w:rsid w:val="00016E9E"/>
    <w:rsid w:val="00017036"/>
    <w:rsid w:val="000172A6"/>
    <w:rsid w:val="00017513"/>
    <w:rsid w:val="000175EE"/>
    <w:rsid w:val="00017E73"/>
    <w:rsid w:val="000204C0"/>
    <w:rsid w:val="000216AF"/>
    <w:rsid w:val="00021C6E"/>
    <w:rsid w:val="0002209D"/>
    <w:rsid w:val="00022849"/>
    <w:rsid w:val="00022CF8"/>
    <w:rsid w:val="000232BD"/>
    <w:rsid w:val="00023A84"/>
    <w:rsid w:val="00024490"/>
    <w:rsid w:val="00024588"/>
    <w:rsid w:val="00024D0E"/>
    <w:rsid w:val="00025895"/>
    <w:rsid w:val="00025C65"/>
    <w:rsid w:val="0002611E"/>
    <w:rsid w:val="00026CE5"/>
    <w:rsid w:val="00027DDC"/>
    <w:rsid w:val="000301F7"/>
    <w:rsid w:val="0003039A"/>
    <w:rsid w:val="00030D92"/>
    <w:rsid w:val="00031DE4"/>
    <w:rsid w:val="00031E35"/>
    <w:rsid w:val="0003296A"/>
    <w:rsid w:val="00032BE5"/>
    <w:rsid w:val="00032EE9"/>
    <w:rsid w:val="000340B9"/>
    <w:rsid w:val="00035151"/>
    <w:rsid w:val="000351C5"/>
    <w:rsid w:val="00035A87"/>
    <w:rsid w:val="00035B01"/>
    <w:rsid w:val="00036A9D"/>
    <w:rsid w:val="00037190"/>
    <w:rsid w:val="00037C5B"/>
    <w:rsid w:val="0004073B"/>
    <w:rsid w:val="00040C00"/>
    <w:rsid w:val="000414FC"/>
    <w:rsid w:val="000424F1"/>
    <w:rsid w:val="00042A02"/>
    <w:rsid w:val="00044939"/>
    <w:rsid w:val="00047123"/>
    <w:rsid w:val="000503F8"/>
    <w:rsid w:val="00050846"/>
    <w:rsid w:val="00050A61"/>
    <w:rsid w:val="00050FB5"/>
    <w:rsid w:val="00051866"/>
    <w:rsid w:val="00054995"/>
    <w:rsid w:val="000550DB"/>
    <w:rsid w:val="000551D2"/>
    <w:rsid w:val="000562DA"/>
    <w:rsid w:val="00057E76"/>
    <w:rsid w:val="000609B3"/>
    <w:rsid w:val="0006124D"/>
    <w:rsid w:val="00061F0C"/>
    <w:rsid w:val="00061FAE"/>
    <w:rsid w:val="00062A04"/>
    <w:rsid w:val="000632A5"/>
    <w:rsid w:val="00063A06"/>
    <w:rsid w:val="00063D17"/>
    <w:rsid w:val="000640F3"/>
    <w:rsid w:val="0006490C"/>
    <w:rsid w:val="000649BD"/>
    <w:rsid w:val="00064DAD"/>
    <w:rsid w:val="000651F2"/>
    <w:rsid w:val="000655B3"/>
    <w:rsid w:val="00066F23"/>
    <w:rsid w:val="00067B17"/>
    <w:rsid w:val="000708BF"/>
    <w:rsid w:val="000719AD"/>
    <w:rsid w:val="00071C68"/>
    <w:rsid w:val="000735CA"/>
    <w:rsid w:val="00074824"/>
    <w:rsid w:val="00074C33"/>
    <w:rsid w:val="00074FCB"/>
    <w:rsid w:val="0007685A"/>
    <w:rsid w:val="0007715F"/>
    <w:rsid w:val="0007728B"/>
    <w:rsid w:val="0007733D"/>
    <w:rsid w:val="00077D61"/>
    <w:rsid w:val="00080856"/>
    <w:rsid w:val="000816CB"/>
    <w:rsid w:val="00081A13"/>
    <w:rsid w:val="00081BA2"/>
    <w:rsid w:val="000822AC"/>
    <w:rsid w:val="00082562"/>
    <w:rsid w:val="00082A0E"/>
    <w:rsid w:val="0008484A"/>
    <w:rsid w:val="00085616"/>
    <w:rsid w:val="00085F5A"/>
    <w:rsid w:val="000860C5"/>
    <w:rsid w:val="00086F1C"/>
    <w:rsid w:val="000905C6"/>
    <w:rsid w:val="000906D9"/>
    <w:rsid w:val="00090DA3"/>
    <w:rsid w:val="00090F61"/>
    <w:rsid w:val="00091644"/>
    <w:rsid w:val="00091D64"/>
    <w:rsid w:val="00092187"/>
    <w:rsid w:val="00092822"/>
    <w:rsid w:val="00092D75"/>
    <w:rsid w:val="00092DEB"/>
    <w:rsid w:val="00092FFC"/>
    <w:rsid w:val="000931BD"/>
    <w:rsid w:val="00093B74"/>
    <w:rsid w:val="00094530"/>
    <w:rsid w:val="00094F71"/>
    <w:rsid w:val="000952E3"/>
    <w:rsid w:val="000961DD"/>
    <w:rsid w:val="00096D9B"/>
    <w:rsid w:val="00096EC1"/>
    <w:rsid w:val="00097190"/>
    <w:rsid w:val="000975FF"/>
    <w:rsid w:val="00097F2E"/>
    <w:rsid w:val="000A1B5F"/>
    <w:rsid w:val="000A37AE"/>
    <w:rsid w:val="000A43FA"/>
    <w:rsid w:val="000A58C0"/>
    <w:rsid w:val="000A5D6C"/>
    <w:rsid w:val="000A613E"/>
    <w:rsid w:val="000A68F1"/>
    <w:rsid w:val="000A77CF"/>
    <w:rsid w:val="000A78C6"/>
    <w:rsid w:val="000A7A2A"/>
    <w:rsid w:val="000A7C91"/>
    <w:rsid w:val="000B04B6"/>
    <w:rsid w:val="000B0642"/>
    <w:rsid w:val="000B0784"/>
    <w:rsid w:val="000B0E10"/>
    <w:rsid w:val="000B0FF6"/>
    <w:rsid w:val="000B2B3F"/>
    <w:rsid w:val="000B3154"/>
    <w:rsid w:val="000B3582"/>
    <w:rsid w:val="000B3EA8"/>
    <w:rsid w:val="000B42D8"/>
    <w:rsid w:val="000B4668"/>
    <w:rsid w:val="000B48BC"/>
    <w:rsid w:val="000B4DB5"/>
    <w:rsid w:val="000B52BB"/>
    <w:rsid w:val="000B7218"/>
    <w:rsid w:val="000B7DB2"/>
    <w:rsid w:val="000B7ECF"/>
    <w:rsid w:val="000C21A3"/>
    <w:rsid w:val="000C2F66"/>
    <w:rsid w:val="000C35D3"/>
    <w:rsid w:val="000C3DB4"/>
    <w:rsid w:val="000C3E78"/>
    <w:rsid w:val="000C4119"/>
    <w:rsid w:val="000C427F"/>
    <w:rsid w:val="000C5169"/>
    <w:rsid w:val="000C530B"/>
    <w:rsid w:val="000C6226"/>
    <w:rsid w:val="000C6736"/>
    <w:rsid w:val="000C711F"/>
    <w:rsid w:val="000C72ED"/>
    <w:rsid w:val="000D0335"/>
    <w:rsid w:val="000D12AB"/>
    <w:rsid w:val="000D2229"/>
    <w:rsid w:val="000D2281"/>
    <w:rsid w:val="000D28AC"/>
    <w:rsid w:val="000D2B69"/>
    <w:rsid w:val="000D2BAC"/>
    <w:rsid w:val="000D34CF"/>
    <w:rsid w:val="000D49F1"/>
    <w:rsid w:val="000D56A9"/>
    <w:rsid w:val="000D6200"/>
    <w:rsid w:val="000D664C"/>
    <w:rsid w:val="000D765C"/>
    <w:rsid w:val="000E01B6"/>
    <w:rsid w:val="000E4CAB"/>
    <w:rsid w:val="000E6924"/>
    <w:rsid w:val="000E7F5F"/>
    <w:rsid w:val="000F049E"/>
    <w:rsid w:val="000F079C"/>
    <w:rsid w:val="000F14B5"/>
    <w:rsid w:val="000F1BFE"/>
    <w:rsid w:val="000F24CB"/>
    <w:rsid w:val="000F30DD"/>
    <w:rsid w:val="000F38B9"/>
    <w:rsid w:val="000F41F3"/>
    <w:rsid w:val="000F447C"/>
    <w:rsid w:val="000F47E4"/>
    <w:rsid w:val="000F54D5"/>
    <w:rsid w:val="000F5743"/>
    <w:rsid w:val="000F65A2"/>
    <w:rsid w:val="000F7ACC"/>
    <w:rsid w:val="000F7D64"/>
    <w:rsid w:val="00100490"/>
    <w:rsid w:val="00100492"/>
    <w:rsid w:val="00100810"/>
    <w:rsid w:val="00101758"/>
    <w:rsid w:val="00103083"/>
    <w:rsid w:val="00103D34"/>
    <w:rsid w:val="00103FA4"/>
    <w:rsid w:val="001041C9"/>
    <w:rsid w:val="001042DA"/>
    <w:rsid w:val="00105054"/>
    <w:rsid w:val="001054A9"/>
    <w:rsid w:val="001054E4"/>
    <w:rsid w:val="001066FF"/>
    <w:rsid w:val="00106736"/>
    <w:rsid w:val="0010759D"/>
    <w:rsid w:val="00107BF6"/>
    <w:rsid w:val="00107D40"/>
    <w:rsid w:val="00110223"/>
    <w:rsid w:val="00110478"/>
    <w:rsid w:val="0011087D"/>
    <w:rsid w:val="00111FD3"/>
    <w:rsid w:val="001122D6"/>
    <w:rsid w:val="00112343"/>
    <w:rsid w:val="001123A9"/>
    <w:rsid w:val="001126F0"/>
    <w:rsid w:val="0011396F"/>
    <w:rsid w:val="0011420E"/>
    <w:rsid w:val="0011463C"/>
    <w:rsid w:val="00115CBB"/>
    <w:rsid w:val="00115D0F"/>
    <w:rsid w:val="001160E8"/>
    <w:rsid w:val="001167F8"/>
    <w:rsid w:val="00116860"/>
    <w:rsid w:val="00116F06"/>
    <w:rsid w:val="0011751B"/>
    <w:rsid w:val="00117DC8"/>
    <w:rsid w:val="00117E8A"/>
    <w:rsid w:val="001204E4"/>
    <w:rsid w:val="00120C59"/>
    <w:rsid w:val="00120C6E"/>
    <w:rsid w:val="00121537"/>
    <w:rsid w:val="00121710"/>
    <w:rsid w:val="00121C63"/>
    <w:rsid w:val="00122D37"/>
    <w:rsid w:val="0012353E"/>
    <w:rsid w:val="00124DF5"/>
    <w:rsid w:val="00126B19"/>
    <w:rsid w:val="0012725A"/>
    <w:rsid w:val="001277C9"/>
    <w:rsid w:val="00127AA5"/>
    <w:rsid w:val="00127C0A"/>
    <w:rsid w:val="00127D18"/>
    <w:rsid w:val="00127ED9"/>
    <w:rsid w:val="00127F9D"/>
    <w:rsid w:val="00127FFA"/>
    <w:rsid w:val="001300B1"/>
    <w:rsid w:val="00131182"/>
    <w:rsid w:val="00131632"/>
    <w:rsid w:val="001323A9"/>
    <w:rsid w:val="00132D9E"/>
    <w:rsid w:val="00132FCA"/>
    <w:rsid w:val="001332BE"/>
    <w:rsid w:val="00133449"/>
    <w:rsid w:val="00133CC7"/>
    <w:rsid w:val="00134004"/>
    <w:rsid w:val="00135262"/>
    <w:rsid w:val="001359B3"/>
    <w:rsid w:val="00136873"/>
    <w:rsid w:val="00136ED5"/>
    <w:rsid w:val="001377C8"/>
    <w:rsid w:val="001409EC"/>
    <w:rsid w:val="00140F64"/>
    <w:rsid w:val="00141BAD"/>
    <w:rsid w:val="00141D9F"/>
    <w:rsid w:val="001422E0"/>
    <w:rsid w:val="001430F8"/>
    <w:rsid w:val="00145602"/>
    <w:rsid w:val="00145D29"/>
    <w:rsid w:val="00145D73"/>
    <w:rsid w:val="00146633"/>
    <w:rsid w:val="00146B4B"/>
    <w:rsid w:val="0014714B"/>
    <w:rsid w:val="00147725"/>
    <w:rsid w:val="00151327"/>
    <w:rsid w:val="00151607"/>
    <w:rsid w:val="0015287A"/>
    <w:rsid w:val="00152931"/>
    <w:rsid w:val="00153361"/>
    <w:rsid w:val="0015398D"/>
    <w:rsid w:val="0015497F"/>
    <w:rsid w:val="00154F7E"/>
    <w:rsid w:val="001552EF"/>
    <w:rsid w:val="00156007"/>
    <w:rsid w:val="00160172"/>
    <w:rsid w:val="00160722"/>
    <w:rsid w:val="00160A48"/>
    <w:rsid w:val="00160C32"/>
    <w:rsid w:val="001613EC"/>
    <w:rsid w:val="001619B4"/>
    <w:rsid w:val="00161AE3"/>
    <w:rsid w:val="00162E1F"/>
    <w:rsid w:val="00164527"/>
    <w:rsid w:val="001666C0"/>
    <w:rsid w:val="00166CB0"/>
    <w:rsid w:val="0016715E"/>
    <w:rsid w:val="00167E77"/>
    <w:rsid w:val="00167E80"/>
    <w:rsid w:val="0017052B"/>
    <w:rsid w:val="00170B86"/>
    <w:rsid w:val="00171207"/>
    <w:rsid w:val="00171873"/>
    <w:rsid w:val="00171B3F"/>
    <w:rsid w:val="00171E9D"/>
    <w:rsid w:val="001721F2"/>
    <w:rsid w:val="0017231F"/>
    <w:rsid w:val="00172383"/>
    <w:rsid w:val="00175029"/>
    <w:rsid w:val="0017517B"/>
    <w:rsid w:val="00176705"/>
    <w:rsid w:val="0017707B"/>
    <w:rsid w:val="00177819"/>
    <w:rsid w:val="00180328"/>
    <w:rsid w:val="00181604"/>
    <w:rsid w:val="00181851"/>
    <w:rsid w:val="0018191C"/>
    <w:rsid w:val="0018191F"/>
    <w:rsid w:val="00182957"/>
    <w:rsid w:val="0018427B"/>
    <w:rsid w:val="001846AE"/>
    <w:rsid w:val="0018517C"/>
    <w:rsid w:val="00186320"/>
    <w:rsid w:val="00186B3F"/>
    <w:rsid w:val="001874CF"/>
    <w:rsid w:val="00187579"/>
    <w:rsid w:val="00187C47"/>
    <w:rsid w:val="00187FB1"/>
    <w:rsid w:val="00190BF5"/>
    <w:rsid w:val="00191D89"/>
    <w:rsid w:val="0019293A"/>
    <w:rsid w:val="0019306B"/>
    <w:rsid w:val="0019481F"/>
    <w:rsid w:val="0019574C"/>
    <w:rsid w:val="00196892"/>
    <w:rsid w:val="00196CAA"/>
    <w:rsid w:val="001A013D"/>
    <w:rsid w:val="001A05AD"/>
    <w:rsid w:val="001A06E9"/>
    <w:rsid w:val="001A0754"/>
    <w:rsid w:val="001A07A4"/>
    <w:rsid w:val="001A0CB3"/>
    <w:rsid w:val="001A2B1D"/>
    <w:rsid w:val="001A4AC0"/>
    <w:rsid w:val="001A4D55"/>
    <w:rsid w:val="001A5103"/>
    <w:rsid w:val="001A6A38"/>
    <w:rsid w:val="001A7735"/>
    <w:rsid w:val="001A7C3E"/>
    <w:rsid w:val="001A7FE4"/>
    <w:rsid w:val="001B11B8"/>
    <w:rsid w:val="001B1632"/>
    <w:rsid w:val="001B24C6"/>
    <w:rsid w:val="001B2635"/>
    <w:rsid w:val="001B28BD"/>
    <w:rsid w:val="001B2E8F"/>
    <w:rsid w:val="001B32CB"/>
    <w:rsid w:val="001B4462"/>
    <w:rsid w:val="001B4A01"/>
    <w:rsid w:val="001B4C05"/>
    <w:rsid w:val="001B4F93"/>
    <w:rsid w:val="001B57EE"/>
    <w:rsid w:val="001B7629"/>
    <w:rsid w:val="001B7C5B"/>
    <w:rsid w:val="001C0EA8"/>
    <w:rsid w:val="001C25B6"/>
    <w:rsid w:val="001C2A15"/>
    <w:rsid w:val="001C3213"/>
    <w:rsid w:val="001C38A3"/>
    <w:rsid w:val="001C474C"/>
    <w:rsid w:val="001C5063"/>
    <w:rsid w:val="001C52EF"/>
    <w:rsid w:val="001C5581"/>
    <w:rsid w:val="001C5FD5"/>
    <w:rsid w:val="001C603E"/>
    <w:rsid w:val="001C6116"/>
    <w:rsid w:val="001C6A87"/>
    <w:rsid w:val="001C713F"/>
    <w:rsid w:val="001C71BF"/>
    <w:rsid w:val="001C765E"/>
    <w:rsid w:val="001C7699"/>
    <w:rsid w:val="001D0EF3"/>
    <w:rsid w:val="001D1341"/>
    <w:rsid w:val="001D21F4"/>
    <w:rsid w:val="001D391E"/>
    <w:rsid w:val="001D3CCE"/>
    <w:rsid w:val="001D3D23"/>
    <w:rsid w:val="001D3D95"/>
    <w:rsid w:val="001D555B"/>
    <w:rsid w:val="001D58E7"/>
    <w:rsid w:val="001D6166"/>
    <w:rsid w:val="001D63B7"/>
    <w:rsid w:val="001D66D7"/>
    <w:rsid w:val="001E0E83"/>
    <w:rsid w:val="001E0EA4"/>
    <w:rsid w:val="001E14FC"/>
    <w:rsid w:val="001E1D30"/>
    <w:rsid w:val="001E1F44"/>
    <w:rsid w:val="001E3211"/>
    <w:rsid w:val="001E3BA3"/>
    <w:rsid w:val="001E608C"/>
    <w:rsid w:val="001E6652"/>
    <w:rsid w:val="001E67D0"/>
    <w:rsid w:val="001E6FA7"/>
    <w:rsid w:val="001E71C9"/>
    <w:rsid w:val="001E75B6"/>
    <w:rsid w:val="001E76E0"/>
    <w:rsid w:val="001E7C2B"/>
    <w:rsid w:val="001F133E"/>
    <w:rsid w:val="001F1937"/>
    <w:rsid w:val="001F2550"/>
    <w:rsid w:val="001F38C8"/>
    <w:rsid w:val="001F44D5"/>
    <w:rsid w:val="001F4842"/>
    <w:rsid w:val="001F48B9"/>
    <w:rsid w:val="001F4941"/>
    <w:rsid w:val="001F4CEA"/>
    <w:rsid w:val="001F61D1"/>
    <w:rsid w:val="001F61FA"/>
    <w:rsid w:val="001F6ACB"/>
    <w:rsid w:val="001F714F"/>
    <w:rsid w:val="001F7EE7"/>
    <w:rsid w:val="0020041F"/>
    <w:rsid w:val="00200911"/>
    <w:rsid w:val="00200C8D"/>
    <w:rsid w:val="0020144A"/>
    <w:rsid w:val="002018AB"/>
    <w:rsid w:val="002018BA"/>
    <w:rsid w:val="00203EB0"/>
    <w:rsid w:val="00204A3D"/>
    <w:rsid w:val="002051BD"/>
    <w:rsid w:val="0020595C"/>
    <w:rsid w:val="00205FB6"/>
    <w:rsid w:val="0020607D"/>
    <w:rsid w:val="00206247"/>
    <w:rsid w:val="00210822"/>
    <w:rsid w:val="00210E71"/>
    <w:rsid w:val="002110C8"/>
    <w:rsid w:val="00211179"/>
    <w:rsid w:val="00211330"/>
    <w:rsid w:val="00211A66"/>
    <w:rsid w:val="0021368E"/>
    <w:rsid w:val="0021521F"/>
    <w:rsid w:val="002156C7"/>
    <w:rsid w:val="00215D60"/>
    <w:rsid w:val="00216527"/>
    <w:rsid w:val="002175AC"/>
    <w:rsid w:val="00217BA2"/>
    <w:rsid w:val="00217E03"/>
    <w:rsid w:val="002203A9"/>
    <w:rsid w:val="0022053D"/>
    <w:rsid w:val="002207C3"/>
    <w:rsid w:val="00220E7E"/>
    <w:rsid w:val="002211F7"/>
    <w:rsid w:val="00221580"/>
    <w:rsid w:val="00221C1C"/>
    <w:rsid w:val="00221F30"/>
    <w:rsid w:val="00222F92"/>
    <w:rsid w:val="0022329A"/>
    <w:rsid w:val="002238F8"/>
    <w:rsid w:val="00223C26"/>
    <w:rsid w:val="00223D52"/>
    <w:rsid w:val="00224260"/>
    <w:rsid w:val="0022498A"/>
    <w:rsid w:val="002249D3"/>
    <w:rsid w:val="00224A46"/>
    <w:rsid w:val="00224A56"/>
    <w:rsid w:val="00224F69"/>
    <w:rsid w:val="00225429"/>
    <w:rsid w:val="002255B8"/>
    <w:rsid w:val="00226164"/>
    <w:rsid w:val="002265B5"/>
    <w:rsid w:val="00226E73"/>
    <w:rsid w:val="002273BB"/>
    <w:rsid w:val="0022799E"/>
    <w:rsid w:val="00227A04"/>
    <w:rsid w:val="00227CE7"/>
    <w:rsid w:val="00230279"/>
    <w:rsid w:val="002309C4"/>
    <w:rsid w:val="00230EFC"/>
    <w:rsid w:val="00231574"/>
    <w:rsid w:val="002320AB"/>
    <w:rsid w:val="00232D46"/>
    <w:rsid w:val="002332EC"/>
    <w:rsid w:val="00233DE2"/>
    <w:rsid w:val="00234001"/>
    <w:rsid w:val="00234784"/>
    <w:rsid w:val="00234EEB"/>
    <w:rsid w:val="002354A2"/>
    <w:rsid w:val="00237E27"/>
    <w:rsid w:val="002401AC"/>
    <w:rsid w:val="00241168"/>
    <w:rsid w:val="002414C2"/>
    <w:rsid w:val="0024178C"/>
    <w:rsid w:val="00241F9B"/>
    <w:rsid w:val="0024240D"/>
    <w:rsid w:val="00242845"/>
    <w:rsid w:val="00242BDE"/>
    <w:rsid w:val="00243CF7"/>
    <w:rsid w:val="00244DD9"/>
    <w:rsid w:val="00244E14"/>
    <w:rsid w:val="00246581"/>
    <w:rsid w:val="002467FB"/>
    <w:rsid w:val="00246DA4"/>
    <w:rsid w:val="00246DBB"/>
    <w:rsid w:val="00246DE0"/>
    <w:rsid w:val="00247326"/>
    <w:rsid w:val="00247A49"/>
    <w:rsid w:val="002507E2"/>
    <w:rsid w:val="002515E4"/>
    <w:rsid w:val="00251B83"/>
    <w:rsid w:val="00251EC5"/>
    <w:rsid w:val="00252076"/>
    <w:rsid w:val="00252AA9"/>
    <w:rsid w:val="0025315B"/>
    <w:rsid w:val="0025370F"/>
    <w:rsid w:val="00254127"/>
    <w:rsid w:val="0025419C"/>
    <w:rsid w:val="00254554"/>
    <w:rsid w:val="002557BB"/>
    <w:rsid w:val="00256130"/>
    <w:rsid w:val="00256991"/>
    <w:rsid w:val="00257177"/>
    <w:rsid w:val="002573BE"/>
    <w:rsid w:val="002577AD"/>
    <w:rsid w:val="0026017D"/>
    <w:rsid w:val="002604C2"/>
    <w:rsid w:val="0026099E"/>
    <w:rsid w:val="00260C5B"/>
    <w:rsid w:val="00260E81"/>
    <w:rsid w:val="00261662"/>
    <w:rsid w:val="0026214B"/>
    <w:rsid w:val="0026264D"/>
    <w:rsid w:val="00262F92"/>
    <w:rsid w:val="00263B8A"/>
    <w:rsid w:val="00263D8D"/>
    <w:rsid w:val="00264ADA"/>
    <w:rsid w:val="00264DF5"/>
    <w:rsid w:val="00265301"/>
    <w:rsid w:val="002661B8"/>
    <w:rsid w:val="00266A44"/>
    <w:rsid w:val="00266E64"/>
    <w:rsid w:val="00266FBA"/>
    <w:rsid w:val="00267CCC"/>
    <w:rsid w:val="00270F11"/>
    <w:rsid w:val="00271355"/>
    <w:rsid w:val="00271548"/>
    <w:rsid w:val="0027171A"/>
    <w:rsid w:val="00272039"/>
    <w:rsid w:val="0027399D"/>
    <w:rsid w:val="002745CB"/>
    <w:rsid w:val="002746DA"/>
    <w:rsid w:val="00274BB1"/>
    <w:rsid w:val="00274BF2"/>
    <w:rsid w:val="002758CA"/>
    <w:rsid w:val="00275A85"/>
    <w:rsid w:val="00276428"/>
    <w:rsid w:val="002764BA"/>
    <w:rsid w:val="002766D2"/>
    <w:rsid w:val="00276B9C"/>
    <w:rsid w:val="002803AC"/>
    <w:rsid w:val="0028061A"/>
    <w:rsid w:val="00280A2B"/>
    <w:rsid w:val="00280D92"/>
    <w:rsid w:val="00280DCB"/>
    <w:rsid w:val="00281A3E"/>
    <w:rsid w:val="00281CEE"/>
    <w:rsid w:val="00281EF4"/>
    <w:rsid w:val="0028236E"/>
    <w:rsid w:val="00283429"/>
    <w:rsid w:val="00283D27"/>
    <w:rsid w:val="00283D6E"/>
    <w:rsid w:val="002844D3"/>
    <w:rsid w:val="00284E11"/>
    <w:rsid w:val="00284E48"/>
    <w:rsid w:val="00285069"/>
    <w:rsid w:val="00285409"/>
    <w:rsid w:val="00285B53"/>
    <w:rsid w:val="00286302"/>
    <w:rsid w:val="00286926"/>
    <w:rsid w:val="0028722A"/>
    <w:rsid w:val="00287AF0"/>
    <w:rsid w:val="00287CAC"/>
    <w:rsid w:val="00287F84"/>
    <w:rsid w:val="00290508"/>
    <w:rsid w:val="00290856"/>
    <w:rsid w:val="0029107F"/>
    <w:rsid w:val="002911D7"/>
    <w:rsid w:val="002915CF"/>
    <w:rsid w:val="002919BB"/>
    <w:rsid w:val="00292397"/>
    <w:rsid w:val="00292719"/>
    <w:rsid w:val="00293174"/>
    <w:rsid w:val="00293E36"/>
    <w:rsid w:val="00295169"/>
    <w:rsid w:val="0029613B"/>
    <w:rsid w:val="002A0452"/>
    <w:rsid w:val="002A0622"/>
    <w:rsid w:val="002A10AF"/>
    <w:rsid w:val="002A1696"/>
    <w:rsid w:val="002A3465"/>
    <w:rsid w:val="002A4CFC"/>
    <w:rsid w:val="002A567E"/>
    <w:rsid w:val="002A5BC9"/>
    <w:rsid w:val="002A6854"/>
    <w:rsid w:val="002A7357"/>
    <w:rsid w:val="002A78AE"/>
    <w:rsid w:val="002A7B7D"/>
    <w:rsid w:val="002B0E9D"/>
    <w:rsid w:val="002B14D7"/>
    <w:rsid w:val="002B14DD"/>
    <w:rsid w:val="002B2C36"/>
    <w:rsid w:val="002B3411"/>
    <w:rsid w:val="002B4988"/>
    <w:rsid w:val="002B61FB"/>
    <w:rsid w:val="002B631D"/>
    <w:rsid w:val="002B67B3"/>
    <w:rsid w:val="002B7DE4"/>
    <w:rsid w:val="002B7F25"/>
    <w:rsid w:val="002C037B"/>
    <w:rsid w:val="002C0C0A"/>
    <w:rsid w:val="002C0FAA"/>
    <w:rsid w:val="002C1247"/>
    <w:rsid w:val="002C30F2"/>
    <w:rsid w:val="002C3628"/>
    <w:rsid w:val="002C37E4"/>
    <w:rsid w:val="002C3DAB"/>
    <w:rsid w:val="002C3EC2"/>
    <w:rsid w:val="002C4FDD"/>
    <w:rsid w:val="002C5DFB"/>
    <w:rsid w:val="002C6728"/>
    <w:rsid w:val="002C78FA"/>
    <w:rsid w:val="002C7BB1"/>
    <w:rsid w:val="002D0BFD"/>
    <w:rsid w:val="002D0C65"/>
    <w:rsid w:val="002D0CA3"/>
    <w:rsid w:val="002D11B8"/>
    <w:rsid w:val="002D1648"/>
    <w:rsid w:val="002D2162"/>
    <w:rsid w:val="002D246F"/>
    <w:rsid w:val="002D24A7"/>
    <w:rsid w:val="002D2AAD"/>
    <w:rsid w:val="002D4ACF"/>
    <w:rsid w:val="002D560C"/>
    <w:rsid w:val="002D678D"/>
    <w:rsid w:val="002D6A56"/>
    <w:rsid w:val="002D700B"/>
    <w:rsid w:val="002E045F"/>
    <w:rsid w:val="002E08E8"/>
    <w:rsid w:val="002E10B1"/>
    <w:rsid w:val="002E22AD"/>
    <w:rsid w:val="002E24CD"/>
    <w:rsid w:val="002E2693"/>
    <w:rsid w:val="002E30BF"/>
    <w:rsid w:val="002E3110"/>
    <w:rsid w:val="002E36F8"/>
    <w:rsid w:val="002E4289"/>
    <w:rsid w:val="002E44E3"/>
    <w:rsid w:val="002E49EB"/>
    <w:rsid w:val="002E4C9F"/>
    <w:rsid w:val="002E4FF7"/>
    <w:rsid w:val="002E5629"/>
    <w:rsid w:val="002E5EB2"/>
    <w:rsid w:val="002E6D94"/>
    <w:rsid w:val="002E7974"/>
    <w:rsid w:val="002E7B4A"/>
    <w:rsid w:val="002F0392"/>
    <w:rsid w:val="002F0617"/>
    <w:rsid w:val="002F0AF4"/>
    <w:rsid w:val="002F120B"/>
    <w:rsid w:val="002F1805"/>
    <w:rsid w:val="002F19E9"/>
    <w:rsid w:val="002F24E3"/>
    <w:rsid w:val="002F2B85"/>
    <w:rsid w:val="002F55D0"/>
    <w:rsid w:val="002F634D"/>
    <w:rsid w:val="002F6550"/>
    <w:rsid w:val="003022F1"/>
    <w:rsid w:val="0030271C"/>
    <w:rsid w:val="00303742"/>
    <w:rsid w:val="00303C4F"/>
    <w:rsid w:val="00304F86"/>
    <w:rsid w:val="00305FA1"/>
    <w:rsid w:val="0030771A"/>
    <w:rsid w:val="00307E2F"/>
    <w:rsid w:val="00310994"/>
    <w:rsid w:val="00310FB4"/>
    <w:rsid w:val="00311DE8"/>
    <w:rsid w:val="0031264D"/>
    <w:rsid w:val="00313226"/>
    <w:rsid w:val="00313858"/>
    <w:rsid w:val="00313AC9"/>
    <w:rsid w:val="00315108"/>
    <w:rsid w:val="00315810"/>
    <w:rsid w:val="0031608D"/>
    <w:rsid w:val="00316766"/>
    <w:rsid w:val="00317734"/>
    <w:rsid w:val="003202BD"/>
    <w:rsid w:val="003203BF"/>
    <w:rsid w:val="00320AFF"/>
    <w:rsid w:val="003213BF"/>
    <w:rsid w:val="00321BED"/>
    <w:rsid w:val="00322997"/>
    <w:rsid w:val="00322E3E"/>
    <w:rsid w:val="003242F3"/>
    <w:rsid w:val="003243ED"/>
    <w:rsid w:val="00324549"/>
    <w:rsid w:val="003247D0"/>
    <w:rsid w:val="003257F9"/>
    <w:rsid w:val="00325B97"/>
    <w:rsid w:val="00326EE8"/>
    <w:rsid w:val="00327063"/>
    <w:rsid w:val="0032754E"/>
    <w:rsid w:val="003309E7"/>
    <w:rsid w:val="00330F33"/>
    <w:rsid w:val="00331919"/>
    <w:rsid w:val="00334F89"/>
    <w:rsid w:val="003362E3"/>
    <w:rsid w:val="00336613"/>
    <w:rsid w:val="00336EE1"/>
    <w:rsid w:val="003372DC"/>
    <w:rsid w:val="003373B5"/>
    <w:rsid w:val="0033767C"/>
    <w:rsid w:val="00337BFE"/>
    <w:rsid w:val="00337C3B"/>
    <w:rsid w:val="00337D9C"/>
    <w:rsid w:val="00337E0A"/>
    <w:rsid w:val="00341B11"/>
    <w:rsid w:val="00342089"/>
    <w:rsid w:val="003448E4"/>
    <w:rsid w:val="00345B4F"/>
    <w:rsid w:val="003469EF"/>
    <w:rsid w:val="00347228"/>
    <w:rsid w:val="003476B2"/>
    <w:rsid w:val="00347FCD"/>
    <w:rsid w:val="00350124"/>
    <w:rsid w:val="00350E86"/>
    <w:rsid w:val="003517F9"/>
    <w:rsid w:val="0035183B"/>
    <w:rsid w:val="0035185C"/>
    <w:rsid w:val="00351CEC"/>
    <w:rsid w:val="0035223F"/>
    <w:rsid w:val="003528A1"/>
    <w:rsid w:val="00353461"/>
    <w:rsid w:val="00354228"/>
    <w:rsid w:val="00354DCE"/>
    <w:rsid w:val="003567CA"/>
    <w:rsid w:val="00356C2D"/>
    <w:rsid w:val="003570AC"/>
    <w:rsid w:val="00357F49"/>
    <w:rsid w:val="003602BF"/>
    <w:rsid w:val="003606A2"/>
    <w:rsid w:val="00360A3A"/>
    <w:rsid w:val="0036149C"/>
    <w:rsid w:val="00362AC4"/>
    <w:rsid w:val="00362C87"/>
    <w:rsid w:val="0036300C"/>
    <w:rsid w:val="00364850"/>
    <w:rsid w:val="003650E4"/>
    <w:rsid w:val="00365FBE"/>
    <w:rsid w:val="003660C3"/>
    <w:rsid w:val="00366169"/>
    <w:rsid w:val="0036690C"/>
    <w:rsid w:val="00367B21"/>
    <w:rsid w:val="003703D3"/>
    <w:rsid w:val="00371DD3"/>
    <w:rsid w:val="003724D0"/>
    <w:rsid w:val="003727BC"/>
    <w:rsid w:val="003730EC"/>
    <w:rsid w:val="003749FA"/>
    <w:rsid w:val="00374B46"/>
    <w:rsid w:val="0037510B"/>
    <w:rsid w:val="0037618E"/>
    <w:rsid w:val="00377909"/>
    <w:rsid w:val="00377C53"/>
    <w:rsid w:val="00380585"/>
    <w:rsid w:val="003806E5"/>
    <w:rsid w:val="00380A82"/>
    <w:rsid w:val="00380FE4"/>
    <w:rsid w:val="00381566"/>
    <w:rsid w:val="00382983"/>
    <w:rsid w:val="00382B0F"/>
    <w:rsid w:val="00384247"/>
    <w:rsid w:val="00387368"/>
    <w:rsid w:val="00387C8E"/>
    <w:rsid w:val="00390121"/>
    <w:rsid w:val="0039105D"/>
    <w:rsid w:val="00391472"/>
    <w:rsid w:val="00391893"/>
    <w:rsid w:val="003920D3"/>
    <w:rsid w:val="00392683"/>
    <w:rsid w:val="0039269C"/>
    <w:rsid w:val="00392E6F"/>
    <w:rsid w:val="003935BC"/>
    <w:rsid w:val="003935F3"/>
    <w:rsid w:val="00393928"/>
    <w:rsid w:val="003941BD"/>
    <w:rsid w:val="003947DD"/>
    <w:rsid w:val="003950D8"/>
    <w:rsid w:val="0039577E"/>
    <w:rsid w:val="00395786"/>
    <w:rsid w:val="00396119"/>
    <w:rsid w:val="003967DA"/>
    <w:rsid w:val="00397073"/>
    <w:rsid w:val="003974D8"/>
    <w:rsid w:val="00397CA2"/>
    <w:rsid w:val="003A00B9"/>
    <w:rsid w:val="003A04BF"/>
    <w:rsid w:val="003A04D5"/>
    <w:rsid w:val="003A16F1"/>
    <w:rsid w:val="003A1BF7"/>
    <w:rsid w:val="003A2929"/>
    <w:rsid w:val="003A2B71"/>
    <w:rsid w:val="003A3B2E"/>
    <w:rsid w:val="003A53E0"/>
    <w:rsid w:val="003A5A2F"/>
    <w:rsid w:val="003A6118"/>
    <w:rsid w:val="003A6392"/>
    <w:rsid w:val="003A689D"/>
    <w:rsid w:val="003A6C45"/>
    <w:rsid w:val="003A6D01"/>
    <w:rsid w:val="003A7548"/>
    <w:rsid w:val="003A7A3F"/>
    <w:rsid w:val="003A7E58"/>
    <w:rsid w:val="003A7F21"/>
    <w:rsid w:val="003B07AB"/>
    <w:rsid w:val="003B0B0C"/>
    <w:rsid w:val="003B0C95"/>
    <w:rsid w:val="003B0ED4"/>
    <w:rsid w:val="003B12E2"/>
    <w:rsid w:val="003B30AF"/>
    <w:rsid w:val="003B3A00"/>
    <w:rsid w:val="003B3DC0"/>
    <w:rsid w:val="003B415C"/>
    <w:rsid w:val="003B4C60"/>
    <w:rsid w:val="003B5119"/>
    <w:rsid w:val="003B5A72"/>
    <w:rsid w:val="003B658A"/>
    <w:rsid w:val="003B6B2E"/>
    <w:rsid w:val="003B7070"/>
    <w:rsid w:val="003B7201"/>
    <w:rsid w:val="003B73DA"/>
    <w:rsid w:val="003C03B5"/>
    <w:rsid w:val="003C06ED"/>
    <w:rsid w:val="003C07C3"/>
    <w:rsid w:val="003C1A2C"/>
    <w:rsid w:val="003C3084"/>
    <w:rsid w:val="003C33C4"/>
    <w:rsid w:val="003C38AA"/>
    <w:rsid w:val="003C603E"/>
    <w:rsid w:val="003C62FF"/>
    <w:rsid w:val="003C6904"/>
    <w:rsid w:val="003C6D6B"/>
    <w:rsid w:val="003D05C0"/>
    <w:rsid w:val="003D0970"/>
    <w:rsid w:val="003D0EAF"/>
    <w:rsid w:val="003D1796"/>
    <w:rsid w:val="003D22D1"/>
    <w:rsid w:val="003D2676"/>
    <w:rsid w:val="003D2754"/>
    <w:rsid w:val="003D2B6F"/>
    <w:rsid w:val="003D2BF1"/>
    <w:rsid w:val="003D3327"/>
    <w:rsid w:val="003D3504"/>
    <w:rsid w:val="003D4FD7"/>
    <w:rsid w:val="003D5873"/>
    <w:rsid w:val="003D68B1"/>
    <w:rsid w:val="003E0237"/>
    <w:rsid w:val="003E0526"/>
    <w:rsid w:val="003E0E9E"/>
    <w:rsid w:val="003E1EBA"/>
    <w:rsid w:val="003E23C5"/>
    <w:rsid w:val="003E2B63"/>
    <w:rsid w:val="003E3748"/>
    <w:rsid w:val="003E4670"/>
    <w:rsid w:val="003E4DCE"/>
    <w:rsid w:val="003E621F"/>
    <w:rsid w:val="003E6399"/>
    <w:rsid w:val="003E68E2"/>
    <w:rsid w:val="003E6955"/>
    <w:rsid w:val="003E707F"/>
    <w:rsid w:val="003E773C"/>
    <w:rsid w:val="003E7E2F"/>
    <w:rsid w:val="003F0387"/>
    <w:rsid w:val="003F1243"/>
    <w:rsid w:val="003F15B7"/>
    <w:rsid w:val="003F3081"/>
    <w:rsid w:val="003F3624"/>
    <w:rsid w:val="003F3EDA"/>
    <w:rsid w:val="003F40D7"/>
    <w:rsid w:val="003F4A6B"/>
    <w:rsid w:val="003F4C81"/>
    <w:rsid w:val="003F54CB"/>
    <w:rsid w:val="003F60A0"/>
    <w:rsid w:val="003F6782"/>
    <w:rsid w:val="003F684E"/>
    <w:rsid w:val="003F6C0F"/>
    <w:rsid w:val="003F7BB0"/>
    <w:rsid w:val="004003A2"/>
    <w:rsid w:val="00400510"/>
    <w:rsid w:val="004014A9"/>
    <w:rsid w:val="00403B35"/>
    <w:rsid w:val="00404002"/>
    <w:rsid w:val="00404B19"/>
    <w:rsid w:val="00404B21"/>
    <w:rsid w:val="00405469"/>
    <w:rsid w:val="004067C8"/>
    <w:rsid w:val="00406B88"/>
    <w:rsid w:val="00406CE1"/>
    <w:rsid w:val="00407528"/>
    <w:rsid w:val="00407BBF"/>
    <w:rsid w:val="00407BD6"/>
    <w:rsid w:val="00410923"/>
    <w:rsid w:val="0041116E"/>
    <w:rsid w:val="004111C8"/>
    <w:rsid w:val="0041154E"/>
    <w:rsid w:val="00411F90"/>
    <w:rsid w:val="00412F6D"/>
    <w:rsid w:val="004137D9"/>
    <w:rsid w:val="00413B48"/>
    <w:rsid w:val="00414042"/>
    <w:rsid w:val="00414FE6"/>
    <w:rsid w:val="00415DE6"/>
    <w:rsid w:val="0041653D"/>
    <w:rsid w:val="00416883"/>
    <w:rsid w:val="00420BDF"/>
    <w:rsid w:val="00420F52"/>
    <w:rsid w:val="00421629"/>
    <w:rsid w:val="00421C26"/>
    <w:rsid w:val="00421E10"/>
    <w:rsid w:val="00421EE5"/>
    <w:rsid w:val="00422B49"/>
    <w:rsid w:val="00422E5F"/>
    <w:rsid w:val="00422E6E"/>
    <w:rsid w:val="004238A6"/>
    <w:rsid w:val="004239D4"/>
    <w:rsid w:val="00424BB2"/>
    <w:rsid w:val="00425B53"/>
    <w:rsid w:val="00425C7D"/>
    <w:rsid w:val="00425F4C"/>
    <w:rsid w:val="004261E7"/>
    <w:rsid w:val="00426266"/>
    <w:rsid w:val="00426605"/>
    <w:rsid w:val="0042667E"/>
    <w:rsid w:val="00426F47"/>
    <w:rsid w:val="00427379"/>
    <w:rsid w:val="0043045B"/>
    <w:rsid w:val="00430830"/>
    <w:rsid w:val="004319B9"/>
    <w:rsid w:val="00431D30"/>
    <w:rsid w:val="00432D1D"/>
    <w:rsid w:val="00433283"/>
    <w:rsid w:val="00433768"/>
    <w:rsid w:val="00433AFA"/>
    <w:rsid w:val="00433D68"/>
    <w:rsid w:val="004340FE"/>
    <w:rsid w:val="00434D51"/>
    <w:rsid w:val="00435AAE"/>
    <w:rsid w:val="00436375"/>
    <w:rsid w:val="0043649A"/>
    <w:rsid w:val="0043708D"/>
    <w:rsid w:val="004373F3"/>
    <w:rsid w:val="00437977"/>
    <w:rsid w:val="00437BF2"/>
    <w:rsid w:val="00437E7D"/>
    <w:rsid w:val="004401FD"/>
    <w:rsid w:val="00440271"/>
    <w:rsid w:val="00440CFC"/>
    <w:rsid w:val="0044109C"/>
    <w:rsid w:val="00441B7A"/>
    <w:rsid w:val="00442176"/>
    <w:rsid w:val="00442368"/>
    <w:rsid w:val="0044279D"/>
    <w:rsid w:val="0044310F"/>
    <w:rsid w:val="004438D2"/>
    <w:rsid w:val="00444ED2"/>
    <w:rsid w:val="00445032"/>
    <w:rsid w:val="00445278"/>
    <w:rsid w:val="0044567B"/>
    <w:rsid w:val="00445FC3"/>
    <w:rsid w:val="004462B2"/>
    <w:rsid w:val="00446904"/>
    <w:rsid w:val="00446BE6"/>
    <w:rsid w:val="00446DDC"/>
    <w:rsid w:val="004472C6"/>
    <w:rsid w:val="0044753E"/>
    <w:rsid w:val="00447ECF"/>
    <w:rsid w:val="004521A1"/>
    <w:rsid w:val="004535DA"/>
    <w:rsid w:val="004544BC"/>
    <w:rsid w:val="00454A75"/>
    <w:rsid w:val="0045506D"/>
    <w:rsid w:val="004550A3"/>
    <w:rsid w:val="0045632A"/>
    <w:rsid w:val="00456D04"/>
    <w:rsid w:val="004576F0"/>
    <w:rsid w:val="00457FF3"/>
    <w:rsid w:val="00460210"/>
    <w:rsid w:val="00461383"/>
    <w:rsid w:val="00463B5C"/>
    <w:rsid w:val="00463C77"/>
    <w:rsid w:val="00463C85"/>
    <w:rsid w:val="00464B78"/>
    <w:rsid w:val="00464C3C"/>
    <w:rsid w:val="00465927"/>
    <w:rsid w:val="00465BBB"/>
    <w:rsid w:val="00465E8B"/>
    <w:rsid w:val="00466B4D"/>
    <w:rsid w:val="00466D89"/>
    <w:rsid w:val="00467072"/>
    <w:rsid w:val="004670A8"/>
    <w:rsid w:val="0046756B"/>
    <w:rsid w:val="004675DA"/>
    <w:rsid w:val="00467634"/>
    <w:rsid w:val="004677AE"/>
    <w:rsid w:val="004679FA"/>
    <w:rsid w:val="00467A80"/>
    <w:rsid w:val="00467CDC"/>
    <w:rsid w:val="00471E19"/>
    <w:rsid w:val="00472267"/>
    <w:rsid w:val="00472C2E"/>
    <w:rsid w:val="00472F8B"/>
    <w:rsid w:val="0047331C"/>
    <w:rsid w:val="00473409"/>
    <w:rsid w:val="00473927"/>
    <w:rsid w:val="0047497A"/>
    <w:rsid w:val="00474F6A"/>
    <w:rsid w:val="00475AC3"/>
    <w:rsid w:val="00475CA4"/>
    <w:rsid w:val="00476300"/>
    <w:rsid w:val="00477114"/>
    <w:rsid w:val="00477198"/>
    <w:rsid w:val="00480728"/>
    <w:rsid w:val="00480C49"/>
    <w:rsid w:val="004819E5"/>
    <w:rsid w:val="0048282B"/>
    <w:rsid w:val="004830B5"/>
    <w:rsid w:val="004831C5"/>
    <w:rsid w:val="00484012"/>
    <w:rsid w:val="00485B59"/>
    <w:rsid w:val="00485D14"/>
    <w:rsid w:val="004861B2"/>
    <w:rsid w:val="0048662A"/>
    <w:rsid w:val="00486D35"/>
    <w:rsid w:val="00486EEC"/>
    <w:rsid w:val="00487199"/>
    <w:rsid w:val="004914B7"/>
    <w:rsid w:val="0049194B"/>
    <w:rsid w:val="00491C6B"/>
    <w:rsid w:val="00492F49"/>
    <w:rsid w:val="004936BD"/>
    <w:rsid w:val="004944C6"/>
    <w:rsid w:val="004951D2"/>
    <w:rsid w:val="00495F79"/>
    <w:rsid w:val="00496384"/>
    <w:rsid w:val="00496BF8"/>
    <w:rsid w:val="00496C27"/>
    <w:rsid w:val="00497525"/>
    <w:rsid w:val="004A0006"/>
    <w:rsid w:val="004A0F5A"/>
    <w:rsid w:val="004A11EB"/>
    <w:rsid w:val="004A2D27"/>
    <w:rsid w:val="004A2F9E"/>
    <w:rsid w:val="004A3032"/>
    <w:rsid w:val="004A31F7"/>
    <w:rsid w:val="004A323C"/>
    <w:rsid w:val="004A54B0"/>
    <w:rsid w:val="004A5C53"/>
    <w:rsid w:val="004A6298"/>
    <w:rsid w:val="004A62B2"/>
    <w:rsid w:val="004A675E"/>
    <w:rsid w:val="004B0BA0"/>
    <w:rsid w:val="004B0C8C"/>
    <w:rsid w:val="004B1D80"/>
    <w:rsid w:val="004B2041"/>
    <w:rsid w:val="004B28AE"/>
    <w:rsid w:val="004B315C"/>
    <w:rsid w:val="004B3393"/>
    <w:rsid w:val="004B357C"/>
    <w:rsid w:val="004B3587"/>
    <w:rsid w:val="004B4016"/>
    <w:rsid w:val="004B410F"/>
    <w:rsid w:val="004B4F48"/>
    <w:rsid w:val="004B5554"/>
    <w:rsid w:val="004B64D2"/>
    <w:rsid w:val="004B6551"/>
    <w:rsid w:val="004B69C1"/>
    <w:rsid w:val="004B6BFF"/>
    <w:rsid w:val="004C03DC"/>
    <w:rsid w:val="004C05DD"/>
    <w:rsid w:val="004C06DD"/>
    <w:rsid w:val="004C0840"/>
    <w:rsid w:val="004C0ACD"/>
    <w:rsid w:val="004C0BB5"/>
    <w:rsid w:val="004C1069"/>
    <w:rsid w:val="004C142C"/>
    <w:rsid w:val="004C1952"/>
    <w:rsid w:val="004C263C"/>
    <w:rsid w:val="004C28D0"/>
    <w:rsid w:val="004C35FD"/>
    <w:rsid w:val="004C3CA7"/>
    <w:rsid w:val="004C3F42"/>
    <w:rsid w:val="004C46A8"/>
    <w:rsid w:val="004C4D69"/>
    <w:rsid w:val="004C543A"/>
    <w:rsid w:val="004C60E0"/>
    <w:rsid w:val="004C6240"/>
    <w:rsid w:val="004C67EA"/>
    <w:rsid w:val="004C7546"/>
    <w:rsid w:val="004D0589"/>
    <w:rsid w:val="004D0AFC"/>
    <w:rsid w:val="004D1153"/>
    <w:rsid w:val="004D26F4"/>
    <w:rsid w:val="004D2B1A"/>
    <w:rsid w:val="004D3FBF"/>
    <w:rsid w:val="004D43FF"/>
    <w:rsid w:val="004D5048"/>
    <w:rsid w:val="004D5156"/>
    <w:rsid w:val="004D549F"/>
    <w:rsid w:val="004D5BC5"/>
    <w:rsid w:val="004D6709"/>
    <w:rsid w:val="004D69B7"/>
    <w:rsid w:val="004D6BCF"/>
    <w:rsid w:val="004D6C4D"/>
    <w:rsid w:val="004D70D3"/>
    <w:rsid w:val="004D740F"/>
    <w:rsid w:val="004D742A"/>
    <w:rsid w:val="004D7F3F"/>
    <w:rsid w:val="004E1391"/>
    <w:rsid w:val="004E15C2"/>
    <w:rsid w:val="004E2135"/>
    <w:rsid w:val="004E26BD"/>
    <w:rsid w:val="004E2D81"/>
    <w:rsid w:val="004E3764"/>
    <w:rsid w:val="004E3DAC"/>
    <w:rsid w:val="004E49EA"/>
    <w:rsid w:val="004E5CAD"/>
    <w:rsid w:val="004E60A8"/>
    <w:rsid w:val="004E645A"/>
    <w:rsid w:val="004E7218"/>
    <w:rsid w:val="004E745A"/>
    <w:rsid w:val="004E7C6D"/>
    <w:rsid w:val="004F012F"/>
    <w:rsid w:val="004F02E8"/>
    <w:rsid w:val="004F0997"/>
    <w:rsid w:val="004F0F8C"/>
    <w:rsid w:val="004F155F"/>
    <w:rsid w:val="004F19B9"/>
    <w:rsid w:val="004F23CA"/>
    <w:rsid w:val="004F2C41"/>
    <w:rsid w:val="004F338D"/>
    <w:rsid w:val="004F3A47"/>
    <w:rsid w:val="004F3F6A"/>
    <w:rsid w:val="004F4326"/>
    <w:rsid w:val="004F4605"/>
    <w:rsid w:val="004F550C"/>
    <w:rsid w:val="004F7179"/>
    <w:rsid w:val="004F7D26"/>
    <w:rsid w:val="004F7D4F"/>
    <w:rsid w:val="004F7ED7"/>
    <w:rsid w:val="00500754"/>
    <w:rsid w:val="00502356"/>
    <w:rsid w:val="0050277E"/>
    <w:rsid w:val="00502ADB"/>
    <w:rsid w:val="00502C02"/>
    <w:rsid w:val="00503D85"/>
    <w:rsid w:val="00504292"/>
    <w:rsid w:val="00505420"/>
    <w:rsid w:val="005054C7"/>
    <w:rsid w:val="005063F1"/>
    <w:rsid w:val="0050677A"/>
    <w:rsid w:val="00507D91"/>
    <w:rsid w:val="005103A0"/>
    <w:rsid w:val="00510C59"/>
    <w:rsid w:val="00511043"/>
    <w:rsid w:val="005123B1"/>
    <w:rsid w:val="005131D1"/>
    <w:rsid w:val="005139FD"/>
    <w:rsid w:val="00514997"/>
    <w:rsid w:val="0051689E"/>
    <w:rsid w:val="005172F0"/>
    <w:rsid w:val="00517A0F"/>
    <w:rsid w:val="005206F5"/>
    <w:rsid w:val="00520A8B"/>
    <w:rsid w:val="0052150A"/>
    <w:rsid w:val="00521BBE"/>
    <w:rsid w:val="00522EF3"/>
    <w:rsid w:val="00523070"/>
    <w:rsid w:val="0052397C"/>
    <w:rsid w:val="00524BBE"/>
    <w:rsid w:val="00524D31"/>
    <w:rsid w:val="0052597D"/>
    <w:rsid w:val="00526616"/>
    <w:rsid w:val="00526681"/>
    <w:rsid w:val="00527690"/>
    <w:rsid w:val="005309E8"/>
    <w:rsid w:val="00531668"/>
    <w:rsid w:val="005326DA"/>
    <w:rsid w:val="00533129"/>
    <w:rsid w:val="00534B30"/>
    <w:rsid w:val="00534B86"/>
    <w:rsid w:val="005357B0"/>
    <w:rsid w:val="00535F5C"/>
    <w:rsid w:val="005361BF"/>
    <w:rsid w:val="005363BA"/>
    <w:rsid w:val="00537B61"/>
    <w:rsid w:val="00543651"/>
    <w:rsid w:val="005436ED"/>
    <w:rsid w:val="00543DC6"/>
    <w:rsid w:val="00544205"/>
    <w:rsid w:val="005449F7"/>
    <w:rsid w:val="0054613A"/>
    <w:rsid w:val="005461F6"/>
    <w:rsid w:val="00546E80"/>
    <w:rsid w:val="00550384"/>
    <w:rsid w:val="005509FE"/>
    <w:rsid w:val="0055185B"/>
    <w:rsid w:val="005525B4"/>
    <w:rsid w:val="00552724"/>
    <w:rsid w:val="0055273B"/>
    <w:rsid w:val="00552EF2"/>
    <w:rsid w:val="00552FA1"/>
    <w:rsid w:val="00552FA4"/>
    <w:rsid w:val="00553928"/>
    <w:rsid w:val="00554F59"/>
    <w:rsid w:val="00554F8D"/>
    <w:rsid w:val="00555B6A"/>
    <w:rsid w:val="00555BA5"/>
    <w:rsid w:val="005562C5"/>
    <w:rsid w:val="005568A8"/>
    <w:rsid w:val="00556B2D"/>
    <w:rsid w:val="00556D98"/>
    <w:rsid w:val="00556E26"/>
    <w:rsid w:val="005615C8"/>
    <w:rsid w:val="00561695"/>
    <w:rsid w:val="00562129"/>
    <w:rsid w:val="005647DD"/>
    <w:rsid w:val="00564DF5"/>
    <w:rsid w:val="00564FCE"/>
    <w:rsid w:val="00565ACA"/>
    <w:rsid w:val="00565B30"/>
    <w:rsid w:val="00565C29"/>
    <w:rsid w:val="00566F94"/>
    <w:rsid w:val="00567022"/>
    <w:rsid w:val="0056780A"/>
    <w:rsid w:val="00567AB8"/>
    <w:rsid w:val="0057017A"/>
    <w:rsid w:val="005702DA"/>
    <w:rsid w:val="00570A03"/>
    <w:rsid w:val="00570BE8"/>
    <w:rsid w:val="00570C22"/>
    <w:rsid w:val="00571242"/>
    <w:rsid w:val="00571321"/>
    <w:rsid w:val="00571D54"/>
    <w:rsid w:val="00571DA6"/>
    <w:rsid w:val="005726B4"/>
    <w:rsid w:val="00572BD4"/>
    <w:rsid w:val="00572EA4"/>
    <w:rsid w:val="0057344E"/>
    <w:rsid w:val="0057383B"/>
    <w:rsid w:val="005745A3"/>
    <w:rsid w:val="005753C6"/>
    <w:rsid w:val="005754AF"/>
    <w:rsid w:val="005761F4"/>
    <w:rsid w:val="00576820"/>
    <w:rsid w:val="005773CC"/>
    <w:rsid w:val="0057749B"/>
    <w:rsid w:val="00577918"/>
    <w:rsid w:val="00577E0B"/>
    <w:rsid w:val="00580692"/>
    <w:rsid w:val="00582203"/>
    <w:rsid w:val="0058237F"/>
    <w:rsid w:val="0058240B"/>
    <w:rsid w:val="00582538"/>
    <w:rsid w:val="005825D2"/>
    <w:rsid w:val="0058284E"/>
    <w:rsid w:val="0058399E"/>
    <w:rsid w:val="005849EB"/>
    <w:rsid w:val="00586041"/>
    <w:rsid w:val="00586751"/>
    <w:rsid w:val="005871BF"/>
    <w:rsid w:val="00587957"/>
    <w:rsid w:val="00590431"/>
    <w:rsid w:val="00590B11"/>
    <w:rsid w:val="00591154"/>
    <w:rsid w:val="00591204"/>
    <w:rsid w:val="00591805"/>
    <w:rsid w:val="00591CBC"/>
    <w:rsid w:val="005925AF"/>
    <w:rsid w:val="00592A99"/>
    <w:rsid w:val="00593B2A"/>
    <w:rsid w:val="00594F72"/>
    <w:rsid w:val="005952C6"/>
    <w:rsid w:val="00595416"/>
    <w:rsid w:val="00595954"/>
    <w:rsid w:val="00597623"/>
    <w:rsid w:val="00597D74"/>
    <w:rsid w:val="005A0117"/>
    <w:rsid w:val="005A15CD"/>
    <w:rsid w:val="005A186C"/>
    <w:rsid w:val="005A1AFF"/>
    <w:rsid w:val="005A2872"/>
    <w:rsid w:val="005A2C49"/>
    <w:rsid w:val="005A3A87"/>
    <w:rsid w:val="005A433F"/>
    <w:rsid w:val="005A4EA0"/>
    <w:rsid w:val="005A53DB"/>
    <w:rsid w:val="005A5DBB"/>
    <w:rsid w:val="005A66B3"/>
    <w:rsid w:val="005A6B7A"/>
    <w:rsid w:val="005A6FFA"/>
    <w:rsid w:val="005A7917"/>
    <w:rsid w:val="005A7A3C"/>
    <w:rsid w:val="005A7EA2"/>
    <w:rsid w:val="005B0195"/>
    <w:rsid w:val="005B0353"/>
    <w:rsid w:val="005B0A84"/>
    <w:rsid w:val="005B3085"/>
    <w:rsid w:val="005B35F4"/>
    <w:rsid w:val="005B3ADA"/>
    <w:rsid w:val="005B3C72"/>
    <w:rsid w:val="005B55EA"/>
    <w:rsid w:val="005B58CC"/>
    <w:rsid w:val="005B5BDB"/>
    <w:rsid w:val="005B6366"/>
    <w:rsid w:val="005B7713"/>
    <w:rsid w:val="005C15FF"/>
    <w:rsid w:val="005C1EC5"/>
    <w:rsid w:val="005C23A4"/>
    <w:rsid w:val="005C3712"/>
    <w:rsid w:val="005C488E"/>
    <w:rsid w:val="005C59E7"/>
    <w:rsid w:val="005C6ACF"/>
    <w:rsid w:val="005C6BA6"/>
    <w:rsid w:val="005D0A4D"/>
    <w:rsid w:val="005D0C3D"/>
    <w:rsid w:val="005D1386"/>
    <w:rsid w:val="005D1589"/>
    <w:rsid w:val="005D1595"/>
    <w:rsid w:val="005D26C8"/>
    <w:rsid w:val="005D311B"/>
    <w:rsid w:val="005D3AC7"/>
    <w:rsid w:val="005D41E9"/>
    <w:rsid w:val="005D433C"/>
    <w:rsid w:val="005D6A1B"/>
    <w:rsid w:val="005D6F0C"/>
    <w:rsid w:val="005D70A8"/>
    <w:rsid w:val="005D74B8"/>
    <w:rsid w:val="005E0A36"/>
    <w:rsid w:val="005E0DB3"/>
    <w:rsid w:val="005E11F9"/>
    <w:rsid w:val="005E1ABF"/>
    <w:rsid w:val="005E24F2"/>
    <w:rsid w:val="005E289E"/>
    <w:rsid w:val="005E317F"/>
    <w:rsid w:val="005E360D"/>
    <w:rsid w:val="005E4038"/>
    <w:rsid w:val="005E41B0"/>
    <w:rsid w:val="005E539D"/>
    <w:rsid w:val="005E5B4A"/>
    <w:rsid w:val="005E697A"/>
    <w:rsid w:val="005E7B57"/>
    <w:rsid w:val="005F01CF"/>
    <w:rsid w:val="005F06DF"/>
    <w:rsid w:val="005F0721"/>
    <w:rsid w:val="005F0F6E"/>
    <w:rsid w:val="005F1929"/>
    <w:rsid w:val="005F3BB6"/>
    <w:rsid w:val="005F4245"/>
    <w:rsid w:val="005F50B7"/>
    <w:rsid w:val="005F5328"/>
    <w:rsid w:val="005F588E"/>
    <w:rsid w:val="005F5B76"/>
    <w:rsid w:val="005F64B4"/>
    <w:rsid w:val="005F6851"/>
    <w:rsid w:val="005F6AEB"/>
    <w:rsid w:val="005F6D3C"/>
    <w:rsid w:val="005F7DDE"/>
    <w:rsid w:val="0060091C"/>
    <w:rsid w:val="00600FC8"/>
    <w:rsid w:val="006013F6"/>
    <w:rsid w:val="00602997"/>
    <w:rsid w:val="00602FFF"/>
    <w:rsid w:val="00603FD0"/>
    <w:rsid w:val="00604495"/>
    <w:rsid w:val="00604664"/>
    <w:rsid w:val="0060473C"/>
    <w:rsid w:val="00604C6F"/>
    <w:rsid w:val="0060581B"/>
    <w:rsid w:val="006069BF"/>
    <w:rsid w:val="006071D7"/>
    <w:rsid w:val="0060767F"/>
    <w:rsid w:val="006078E1"/>
    <w:rsid w:val="00607D64"/>
    <w:rsid w:val="00610B29"/>
    <w:rsid w:val="0061162A"/>
    <w:rsid w:val="006116E7"/>
    <w:rsid w:val="00612012"/>
    <w:rsid w:val="00613206"/>
    <w:rsid w:val="006138CD"/>
    <w:rsid w:val="0061459E"/>
    <w:rsid w:val="006146B2"/>
    <w:rsid w:val="00614916"/>
    <w:rsid w:val="0061598E"/>
    <w:rsid w:val="00616391"/>
    <w:rsid w:val="006167A7"/>
    <w:rsid w:val="00616E29"/>
    <w:rsid w:val="00617434"/>
    <w:rsid w:val="006214EC"/>
    <w:rsid w:val="0062231E"/>
    <w:rsid w:val="00622D55"/>
    <w:rsid w:val="006236EB"/>
    <w:rsid w:val="00626166"/>
    <w:rsid w:val="006265EC"/>
    <w:rsid w:val="006275AD"/>
    <w:rsid w:val="0062784C"/>
    <w:rsid w:val="00630CF7"/>
    <w:rsid w:val="00632B60"/>
    <w:rsid w:val="00633C11"/>
    <w:rsid w:val="006348BC"/>
    <w:rsid w:val="0063512F"/>
    <w:rsid w:val="00635565"/>
    <w:rsid w:val="00635E10"/>
    <w:rsid w:val="00636ADA"/>
    <w:rsid w:val="00637039"/>
    <w:rsid w:val="00640695"/>
    <w:rsid w:val="0064112D"/>
    <w:rsid w:val="00641795"/>
    <w:rsid w:val="00641996"/>
    <w:rsid w:val="006422FE"/>
    <w:rsid w:val="006424C0"/>
    <w:rsid w:val="00642EC1"/>
    <w:rsid w:val="00643EFD"/>
    <w:rsid w:val="006441AB"/>
    <w:rsid w:val="0064446C"/>
    <w:rsid w:val="006447C3"/>
    <w:rsid w:val="006447E3"/>
    <w:rsid w:val="00644911"/>
    <w:rsid w:val="006455AE"/>
    <w:rsid w:val="00646A4B"/>
    <w:rsid w:val="006470F5"/>
    <w:rsid w:val="00647A05"/>
    <w:rsid w:val="00647E1F"/>
    <w:rsid w:val="0065014B"/>
    <w:rsid w:val="00650182"/>
    <w:rsid w:val="00651C98"/>
    <w:rsid w:val="00651F0E"/>
    <w:rsid w:val="00652929"/>
    <w:rsid w:val="00653C07"/>
    <w:rsid w:val="00653E4C"/>
    <w:rsid w:val="00654841"/>
    <w:rsid w:val="00654E2D"/>
    <w:rsid w:val="00655636"/>
    <w:rsid w:val="00655B3C"/>
    <w:rsid w:val="00655EF3"/>
    <w:rsid w:val="006560CD"/>
    <w:rsid w:val="00656368"/>
    <w:rsid w:val="006564B2"/>
    <w:rsid w:val="0066026A"/>
    <w:rsid w:val="0066043A"/>
    <w:rsid w:val="00660826"/>
    <w:rsid w:val="00660BD5"/>
    <w:rsid w:val="00662AF2"/>
    <w:rsid w:val="00663594"/>
    <w:rsid w:val="00663D4A"/>
    <w:rsid w:val="006652F9"/>
    <w:rsid w:val="0066539E"/>
    <w:rsid w:val="00665DA7"/>
    <w:rsid w:val="00665ED6"/>
    <w:rsid w:val="0066631D"/>
    <w:rsid w:val="00666D7B"/>
    <w:rsid w:val="0066769F"/>
    <w:rsid w:val="0067032E"/>
    <w:rsid w:val="00670BC3"/>
    <w:rsid w:val="006712A1"/>
    <w:rsid w:val="006729AD"/>
    <w:rsid w:val="00673C16"/>
    <w:rsid w:val="00674926"/>
    <w:rsid w:val="00675396"/>
    <w:rsid w:val="006759F4"/>
    <w:rsid w:val="00675C98"/>
    <w:rsid w:val="00675E9D"/>
    <w:rsid w:val="00675EDD"/>
    <w:rsid w:val="0067624F"/>
    <w:rsid w:val="00676C09"/>
    <w:rsid w:val="00676C52"/>
    <w:rsid w:val="0067750B"/>
    <w:rsid w:val="0068042F"/>
    <w:rsid w:val="00680B9A"/>
    <w:rsid w:val="0068115C"/>
    <w:rsid w:val="006811AA"/>
    <w:rsid w:val="006839B0"/>
    <w:rsid w:val="00683BFD"/>
    <w:rsid w:val="0068405E"/>
    <w:rsid w:val="006845B4"/>
    <w:rsid w:val="00684870"/>
    <w:rsid w:val="00684D13"/>
    <w:rsid w:val="0068506D"/>
    <w:rsid w:val="00685071"/>
    <w:rsid w:val="00686877"/>
    <w:rsid w:val="00686D73"/>
    <w:rsid w:val="00686DAE"/>
    <w:rsid w:val="00690324"/>
    <w:rsid w:val="006909E7"/>
    <w:rsid w:val="006914DC"/>
    <w:rsid w:val="00691A70"/>
    <w:rsid w:val="00692E79"/>
    <w:rsid w:val="0069308F"/>
    <w:rsid w:val="00693ABE"/>
    <w:rsid w:val="00693C95"/>
    <w:rsid w:val="00693D23"/>
    <w:rsid w:val="0069418C"/>
    <w:rsid w:val="00694400"/>
    <w:rsid w:val="00694EF5"/>
    <w:rsid w:val="006959D1"/>
    <w:rsid w:val="00695D65"/>
    <w:rsid w:val="00696A15"/>
    <w:rsid w:val="00697E64"/>
    <w:rsid w:val="006A048B"/>
    <w:rsid w:val="006A05EA"/>
    <w:rsid w:val="006A063A"/>
    <w:rsid w:val="006A0DC2"/>
    <w:rsid w:val="006A10FC"/>
    <w:rsid w:val="006A147F"/>
    <w:rsid w:val="006A2B71"/>
    <w:rsid w:val="006A349C"/>
    <w:rsid w:val="006A3CA5"/>
    <w:rsid w:val="006A3E36"/>
    <w:rsid w:val="006A4DED"/>
    <w:rsid w:val="006A5076"/>
    <w:rsid w:val="006A54CE"/>
    <w:rsid w:val="006A7058"/>
    <w:rsid w:val="006A7884"/>
    <w:rsid w:val="006A7F0D"/>
    <w:rsid w:val="006B0005"/>
    <w:rsid w:val="006B0A82"/>
    <w:rsid w:val="006B0B91"/>
    <w:rsid w:val="006B0C26"/>
    <w:rsid w:val="006B0EB3"/>
    <w:rsid w:val="006B1890"/>
    <w:rsid w:val="006B2378"/>
    <w:rsid w:val="006B27CC"/>
    <w:rsid w:val="006B29AC"/>
    <w:rsid w:val="006B2D2F"/>
    <w:rsid w:val="006B2DC7"/>
    <w:rsid w:val="006B2F88"/>
    <w:rsid w:val="006B303D"/>
    <w:rsid w:val="006B328C"/>
    <w:rsid w:val="006B333D"/>
    <w:rsid w:val="006B3663"/>
    <w:rsid w:val="006B3F9B"/>
    <w:rsid w:val="006B4381"/>
    <w:rsid w:val="006B4E92"/>
    <w:rsid w:val="006B6514"/>
    <w:rsid w:val="006B66F6"/>
    <w:rsid w:val="006B682F"/>
    <w:rsid w:val="006B6DAD"/>
    <w:rsid w:val="006C0AF4"/>
    <w:rsid w:val="006C2595"/>
    <w:rsid w:val="006C2B32"/>
    <w:rsid w:val="006C30F6"/>
    <w:rsid w:val="006C312B"/>
    <w:rsid w:val="006C32F8"/>
    <w:rsid w:val="006C3A34"/>
    <w:rsid w:val="006C3FAD"/>
    <w:rsid w:val="006C42D1"/>
    <w:rsid w:val="006C4A58"/>
    <w:rsid w:val="006C4D93"/>
    <w:rsid w:val="006C6033"/>
    <w:rsid w:val="006C797E"/>
    <w:rsid w:val="006C7AF5"/>
    <w:rsid w:val="006C7C78"/>
    <w:rsid w:val="006C7D76"/>
    <w:rsid w:val="006D1066"/>
    <w:rsid w:val="006D1763"/>
    <w:rsid w:val="006D1EC8"/>
    <w:rsid w:val="006D2023"/>
    <w:rsid w:val="006D2AAA"/>
    <w:rsid w:val="006D351B"/>
    <w:rsid w:val="006D430F"/>
    <w:rsid w:val="006D50F9"/>
    <w:rsid w:val="006D6920"/>
    <w:rsid w:val="006D6A36"/>
    <w:rsid w:val="006D6C74"/>
    <w:rsid w:val="006E0700"/>
    <w:rsid w:val="006E096D"/>
    <w:rsid w:val="006E0BE4"/>
    <w:rsid w:val="006E16C8"/>
    <w:rsid w:val="006E2BC2"/>
    <w:rsid w:val="006E2F27"/>
    <w:rsid w:val="006E3483"/>
    <w:rsid w:val="006E373F"/>
    <w:rsid w:val="006E3910"/>
    <w:rsid w:val="006E3CFA"/>
    <w:rsid w:val="006E5213"/>
    <w:rsid w:val="006E67D8"/>
    <w:rsid w:val="006E6970"/>
    <w:rsid w:val="006E69AD"/>
    <w:rsid w:val="006E6C13"/>
    <w:rsid w:val="006F02AA"/>
    <w:rsid w:val="006F085D"/>
    <w:rsid w:val="006F0860"/>
    <w:rsid w:val="006F0A6D"/>
    <w:rsid w:val="006F0BC2"/>
    <w:rsid w:val="006F0DB9"/>
    <w:rsid w:val="006F1131"/>
    <w:rsid w:val="006F13B1"/>
    <w:rsid w:val="006F2CEC"/>
    <w:rsid w:val="006F30A6"/>
    <w:rsid w:val="006F338E"/>
    <w:rsid w:val="006F4997"/>
    <w:rsid w:val="006F4C3E"/>
    <w:rsid w:val="006F500D"/>
    <w:rsid w:val="006F5409"/>
    <w:rsid w:val="006F5426"/>
    <w:rsid w:val="006F5675"/>
    <w:rsid w:val="006F5BE0"/>
    <w:rsid w:val="006F5EDC"/>
    <w:rsid w:val="006F6AEE"/>
    <w:rsid w:val="006F720E"/>
    <w:rsid w:val="006F74CB"/>
    <w:rsid w:val="007000D1"/>
    <w:rsid w:val="007002F5"/>
    <w:rsid w:val="00700638"/>
    <w:rsid w:val="00700EF6"/>
    <w:rsid w:val="0070298A"/>
    <w:rsid w:val="00702E2C"/>
    <w:rsid w:val="007035DA"/>
    <w:rsid w:val="007037F8"/>
    <w:rsid w:val="00703E45"/>
    <w:rsid w:val="0070471E"/>
    <w:rsid w:val="00705955"/>
    <w:rsid w:val="00705BE5"/>
    <w:rsid w:val="00705C52"/>
    <w:rsid w:val="00705D84"/>
    <w:rsid w:val="007071D4"/>
    <w:rsid w:val="00707265"/>
    <w:rsid w:val="007103E9"/>
    <w:rsid w:val="00710504"/>
    <w:rsid w:val="00711923"/>
    <w:rsid w:val="00711FA9"/>
    <w:rsid w:val="00712517"/>
    <w:rsid w:val="007129E1"/>
    <w:rsid w:val="00712BE5"/>
    <w:rsid w:val="0071559B"/>
    <w:rsid w:val="007164EB"/>
    <w:rsid w:val="00717E5D"/>
    <w:rsid w:val="0072041D"/>
    <w:rsid w:val="0072089A"/>
    <w:rsid w:val="007209AB"/>
    <w:rsid w:val="00720A8A"/>
    <w:rsid w:val="00720D86"/>
    <w:rsid w:val="00721519"/>
    <w:rsid w:val="00722830"/>
    <w:rsid w:val="00722BA5"/>
    <w:rsid w:val="00722CC1"/>
    <w:rsid w:val="00723498"/>
    <w:rsid w:val="00725978"/>
    <w:rsid w:val="00725D49"/>
    <w:rsid w:val="00725F20"/>
    <w:rsid w:val="00726640"/>
    <w:rsid w:val="00730462"/>
    <w:rsid w:val="00730BA7"/>
    <w:rsid w:val="00730CA1"/>
    <w:rsid w:val="00730DEF"/>
    <w:rsid w:val="00732032"/>
    <w:rsid w:val="007321AE"/>
    <w:rsid w:val="00733585"/>
    <w:rsid w:val="007336BA"/>
    <w:rsid w:val="00734468"/>
    <w:rsid w:val="00734943"/>
    <w:rsid w:val="00734B3F"/>
    <w:rsid w:val="00734C70"/>
    <w:rsid w:val="00734D65"/>
    <w:rsid w:val="00734DE7"/>
    <w:rsid w:val="00734FDD"/>
    <w:rsid w:val="00735300"/>
    <w:rsid w:val="007358B5"/>
    <w:rsid w:val="00735A3D"/>
    <w:rsid w:val="007367D7"/>
    <w:rsid w:val="00737A86"/>
    <w:rsid w:val="0074174A"/>
    <w:rsid w:val="00741C13"/>
    <w:rsid w:val="00742099"/>
    <w:rsid w:val="007420A0"/>
    <w:rsid w:val="00743170"/>
    <w:rsid w:val="007440E4"/>
    <w:rsid w:val="00744B34"/>
    <w:rsid w:val="00745276"/>
    <w:rsid w:val="007452B2"/>
    <w:rsid w:val="007457CA"/>
    <w:rsid w:val="00745AB8"/>
    <w:rsid w:val="0074617F"/>
    <w:rsid w:val="00747F33"/>
    <w:rsid w:val="00750C6A"/>
    <w:rsid w:val="00750E84"/>
    <w:rsid w:val="00751B64"/>
    <w:rsid w:val="007530AA"/>
    <w:rsid w:val="00753119"/>
    <w:rsid w:val="00753280"/>
    <w:rsid w:val="00754AAF"/>
    <w:rsid w:val="0075540C"/>
    <w:rsid w:val="00755EC0"/>
    <w:rsid w:val="00755F67"/>
    <w:rsid w:val="00757835"/>
    <w:rsid w:val="00757DB2"/>
    <w:rsid w:val="00757F11"/>
    <w:rsid w:val="007604D4"/>
    <w:rsid w:val="0076087E"/>
    <w:rsid w:val="00760C45"/>
    <w:rsid w:val="00760CBC"/>
    <w:rsid w:val="00760E86"/>
    <w:rsid w:val="00761694"/>
    <w:rsid w:val="00761874"/>
    <w:rsid w:val="00761AB2"/>
    <w:rsid w:val="0076279C"/>
    <w:rsid w:val="007632AE"/>
    <w:rsid w:val="00767934"/>
    <w:rsid w:val="00767CDF"/>
    <w:rsid w:val="00767D50"/>
    <w:rsid w:val="00770C3D"/>
    <w:rsid w:val="007716EB"/>
    <w:rsid w:val="00772CDC"/>
    <w:rsid w:val="007730DF"/>
    <w:rsid w:val="007732C4"/>
    <w:rsid w:val="007733B8"/>
    <w:rsid w:val="00774844"/>
    <w:rsid w:val="007750D6"/>
    <w:rsid w:val="00775FAE"/>
    <w:rsid w:val="007765E2"/>
    <w:rsid w:val="0077734A"/>
    <w:rsid w:val="00780752"/>
    <w:rsid w:val="00780779"/>
    <w:rsid w:val="00780D23"/>
    <w:rsid w:val="00780E62"/>
    <w:rsid w:val="00781637"/>
    <w:rsid w:val="00781C17"/>
    <w:rsid w:val="007823A5"/>
    <w:rsid w:val="007829D3"/>
    <w:rsid w:val="00782C29"/>
    <w:rsid w:val="00782F6D"/>
    <w:rsid w:val="00783655"/>
    <w:rsid w:val="007849C6"/>
    <w:rsid w:val="00784AA4"/>
    <w:rsid w:val="00785161"/>
    <w:rsid w:val="007852E5"/>
    <w:rsid w:val="00785949"/>
    <w:rsid w:val="00785BF4"/>
    <w:rsid w:val="00786183"/>
    <w:rsid w:val="0078630D"/>
    <w:rsid w:val="00786414"/>
    <w:rsid w:val="00786E9E"/>
    <w:rsid w:val="00787168"/>
    <w:rsid w:val="0078761F"/>
    <w:rsid w:val="007901AB"/>
    <w:rsid w:val="007905E9"/>
    <w:rsid w:val="007911BF"/>
    <w:rsid w:val="00791B80"/>
    <w:rsid w:val="00791D2D"/>
    <w:rsid w:val="00791FB8"/>
    <w:rsid w:val="007923A6"/>
    <w:rsid w:val="007939E0"/>
    <w:rsid w:val="0079524F"/>
    <w:rsid w:val="007955FB"/>
    <w:rsid w:val="00795673"/>
    <w:rsid w:val="0079680D"/>
    <w:rsid w:val="007972A4"/>
    <w:rsid w:val="007977B8"/>
    <w:rsid w:val="007979CD"/>
    <w:rsid w:val="00797D5F"/>
    <w:rsid w:val="007A0064"/>
    <w:rsid w:val="007A0351"/>
    <w:rsid w:val="007A07C7"/>
    <w:rsid w:val="007A09DF"/>
    <w:rsid w:val="007A0A1D"/>
    <w:rsid w:val="007A1D30"/>
    <w:rsid w:val="007A20ED"/>
    <w:rsid w:val="007A2E57"/>
    <w:rsid w:val="007A41CD"/>
    <w:rsid w:val="007A49E0"/>
    <w:rsid w:val="007A5ECC"/>
    <w:rsid w:val="007A602E"/>
    <w:rsid w:val="007A6C0B"/>
    <w:rsid w:val="007A709C"/>
    <w:rsid w:val="007B0924"/>
    <w:rsid w:val="007B0EB2"/>
    <w:rsid w:val="007B1C55"/>
    <w:rsid w:val="007B29A7"/>
    <w:rsid w:val="007B2D29"/>
    <w:rsid w:val="007B34F2"/>
    <w:rsid w:val="007B3DF2"/>
    <w:rsid w:val="007B401A"/>
    <w:rsid w:val="007B4829"/>
    <w:rsid w:val="007B4C8B"/>
    <w:rsid w:val="007B510D"/>
    <w:rsid w:val="007B5CD4"/>
    <w:rsid w:val="007B6CBB"/>
    <w:rsid w:val="007B7A23"/>
    <w:rsid w:val="007B7B39"/>
    <w:rsid w:val="007C11FF"/>
    <w:rsid w:val="007C17D7"/>
    <w:rsid w:val="007C188D"/>
    <w:rsid w:val="007C262E"/>
    <w:rsid w:val="007C2D56"/>
    <w:rsid w:val="007C37CA"/>
    <w:rsid w:val="007C3AE4"/>
    <w:rsid w:val="007C52E8"/>
    <w:rsid w:val="007C5650"/>
    <w:rsid w:val="007C595B"/>
    <w:rsid w:val="007C5DF4"/>
    <w:rsid w:val="007C5F75"/>
    <w:rsid w:val="007C6161"/>
    <w:rsid w:val="007C6521"/>
    <w:rsid w:val="007C6BCD"/>
    <w:rsid w:val="007D00AF"/>
    <w:rsid w:val="007D0D07"/>
    <w:rsid w:val="007D153A"/>
    <w:rsid w:val="007D1623"/>
    <w:rsid w:val="007D5451"/>
    <w:rsid w:val="007D545C"/>
    <w:rsid w:val="007D7907"/>
    <w:rsid w:val="007E047B"/>
    <w:rsid w:val="007E0BC5"/>
    <w:rsid w:val="007E12F2"/>
    <w:rsid w:val="007E137D"/>
    <w:rsid w:val="007E3547"/>
    <w:rsid w:val="007E3809"/>
    <w:rsid w:val="007E3B90"/>
    <w:rsid w:val="007E4779"/>
    <w:rsid w:val="007E55EE"/>
    <w:rsid w:val="007E6088"/>
    <w:rsid w:val="007E67A3"/>
    <w:rsid w:val="007E6E14"/>
    <w:rsid w:val="007F08C1"/>
    <w:rsid w:val="007F107F"/>
    <w:rsid w:val="007F21E6"/>
    <w:rsid w:val="007F22B1"/>
    <w:rsid w:val="007F283D"/>
    <w:rsid w:val="007F2A2B"/>
    <w:rsid w:val="007F2C6B"/>
    <w:rsid w:val="007F320A"/>
    <w:rsid w:val="007F3644"/>
    <w:rsid w:val="007F391B"/>
    <w:rsid w:val="007F4ABA"/>
    <w:rsid w:val="007F646D"/>
    <w:rsid w:val="007F6538"/>
    <w:rsid w:val="007F6648"/>
    <w:rsid w:val="007F6B3A"/>
    <w:rsid w:val="00800CCA"/>
    <w:rsid w:val="0080243D"/>
    <w:rsid w:val="00802C20"/>
    <w:rsid w:val="00802EC1"/>
    <w:rsid w:val="00803594"/>
    <w:rsid w:val="00803C2F"/>
    <w:rsid w:val="008045AE"/>
    <w:rsid w:val="00804AF8"/>
    <w:rsid w:val="00805EAE"/>
    <w:rsid w:val="00806198"/>
    <w:rsid w:val="00806A15"/>
    <w:rsid w:val="008076DB"/>
    <w:rsid w:val="0080791A"/>
    <w:rsid w:val="00807BE2"/>
    <w:rsid w:val="00807CA6"/>
    <w:rsid w:val="008107FB"/>
    <w:rsid w:val="00810876"/>
    <w:rsid w:val="008108C0"/>
    <w:rsid w:val="00810E1C"/>
    <w:rsid w:val="008114EA"/>
    <w:rsid w:val="008115E5"/>
    <w:rsid w:val="008124C0"/>
    <w:rsid w:val="00815866"/>
    <w:rsid w:val="00815C39"/>
    <w:rsid w:val="00815FD5"/>
    <w:rsid w:val="008172C0"/>
    <w:rsid w:val="00817C9F"/>
    <w:rsid w:val="00817E10"/>
    <w:rsid w:val="008206F6"/>
    <w:rsid w:val="00820C27"/>
    <w:rsid w:val="00821E36"/>
    <w:rsid w:val="008221EF"/>
    <w:rsid w:val="00822BE4"/>
    <w:rsid w:val="00822FE6"/>
    <w:rsid w:val="0082306B"/>
    <w:rsid w:val="0082524E"/>
    <w:rsid w:val="00825954"/>
    <w:rsid w:val="00826291"/>
    <w:rsid w:val="008262B3"/>
    <w:rsid w:val="00826A8B"/>
    <w:rsid w:val="00827318"/>
    <w:rsid w:val="008300EE"/>
    <w:rsid w:val="00830CA9"/>
    <w:rsid w:val="00831847"/>
    <w:rsid w:val="0083198A"/>
    <w:rsid w:val="00831FEB"/>
    <w:rsid w:val="00832903"/>
    <w:rsid w:val="0083319B"/>
    <w:rsid w:val="00833819"/>
    <w:rsid w:val="00834CC3"/>
    <w:rsid w:val="00834FAF"/>
    <w:rsid w:val="008351DE"/>
    <w:rsid w:val="00835DE0"/>
    <w:rsid w:val="00835F67"/>
    <w:rsid w:val="00836358"/>
    <w:rsid w:val="00836F31"/>
    <w:rsid w:val="00837329"/>
    <w:rsid w:val="0083793C"/>
    <w:rsid w:val="00837C70"/>
    <w:rsid w:val="00837E49"/>
    <w:rsid w:val="00841407"/>
    <w:rsid w:val="00841BFA"/>
    <w:rsid w:val="00842260"/>
    <w:rsid w:val="00842CD0"/>
    <w:rsid w:val="0084430B"/>
    <w:rsid w:val="008449B3"/>
    <w:rsid w:val="008453B8"/>
    <w:rsid w:val="008455EF"/>
    <w:rsid w:val="0084586B"/>
    <w:rsid w:val="008458BE"/>
    <w:rsid w:val="00845FD2"/>
    <w:rsid w:val="008479C1"/>
    <w:rsid w:val="00847B4E"/>
    <w:rsid w:val="00847D0C"/>
    <w:rsid w:val="00850A0B"/>
    <w:rsid w:val="00850DF0"/>
    <w:rsid w:val="0085123F"/>
    <w:rsid w:val="008519FE"/>
    <w:rsid w:val="00851BCD"/>
    <w:rsid w:val="008525DB"/>
    <w:rsid w:val="008533EC"/>
    <w:rsid w:val="008545D0"/>
    <w:rsid w:val="008553DC"/>
    <w:rsid w:val="00855A08"/>
    <w:rsid w:val="008563E8"/>
    <w:rsid w:val="00857107"/>
    <w:rsid w:val="008605B2"/>
    <w:rsid w:val="00860607"/>
    <w:rsid w:val="00860665"/>
    <w:rsid w:val="00860D2B"/>
    <w:rsid w:val="00861B70"/>
    <w:rsid w:val="00861CA9"/>
    <w:rsid w:val="008623B8"/>
    <w:rsid w:val="00862A58"/>
    <w:rsid w:val="00862D2D"/>
    <w:rsid w:val="00863127"/>
    <w:rsid w:val="00863323"/>
    <w:rsid w:val="008641CF"/>
    <w:rsid w:val="0086481F"/>
    <w:rsid w:val="00864C4D"/>
    <w:rsid w:val="00865829"/>
    <w:rsid w:val="00865992"/>
    <w:rsid w:val="00866131"/>
    <w:rsid w:val="008663A5"/>
    <w:rsid w:val="00866711"/>
    <w:rsid w:val="00866C48"/>
    <w:rsid w:val="008675C2"/>
    <w:rsid w:val="008716DD"/>
    <w:rsid w:val="00871740"/>
    <w:rsid w:val="00871BB0"/>
    <w:rsid w:val="00871C9B"/>
    <w:rsid w:val="00871E11"/>
    <w:rsid w:val="00872286"/>
    <w:rsid w:val="00873B52"/>
    <w:rsid w:val="00873B81"/>
    <w:rsid w:val="00873C8B"/>
    <w:rsid w:val="0087404F"/>
    <w:rsid w:val="008740D6"/>
    <w:rsid w:val="00874C99"/>
    <w:rsid w:val="00875F21"/>
    <w:rsid w:val="0087716D"/>
    <w:rsid w:val="008774A2"/>
    <w:rsid w:val="00877F83"/>
    <w:rsid w:val="008804AF"/>
    <w:rsid w:val="00880F19"/>
    <w:rsid w:val="008818FD"/>
    <w:rsid w:val="008820A0"/>
    <w:rsid w:val="008837D2"/>
    <w:rsid w:val="008837FF"/>
    <w:rsid w:val="00883A8D"/>
    <w:rsid w:val="008846EC"/>
    <w:rsid w:val="0088500B"/>
    <w:rsid w:val="008858C0"/>
    <w:rsid w:val="00885E7A"/>
    <w:rsid w:val="00885FB0"/>
    <w:rsid w:val="00887076"/>
    <w:rsid w:val="008872DB"/>
    <w:rsid w:val="00887997"/>
    <w:rsid w:val="008901A9"/>
    <w:rsid w:val="00890F99"/>
    <w:rsid w:val="00891097"/>
    <w:rsid w:val="0089129D"/>
    <w:rsid w:val="008919ED"/>
    <w:rsid w:val="00891CC4"/>
    <w:rsid w:val="0089216C"/>
    <w:rsid w:val="00892215"/>
    <w:rsid w:val="0089221E"/>
    <w:rsid w:val="00893343"/>
    <w:rsid w:val="00893CF1"/>
    <w:rsid w:val="00894FC2"/>
    <w:rsid w:val="00895413"/>
    <w:rsid w:val="00895426"/>
    <w:rsid w:val="00895738"/>
    <w:rsid w:val="00896240"/>
    <w:rsid w:val="0089710C"/>
    <w:rsid w:val="008A019A"/>
    <w:rsid w:val="008A046A"/>
    <w:rsid w:val="008A0DC1"/>
    <w:rsid w:val="008A183E"/>
    <w:rsid w:val="008A1DB9"/>
    <w:rsid w:val="008A1FAB"/>
    <w:rsid w:val="008A272A"/>
    <w:rsid w:val="008A37D4"/>
    <w:rsid w:val="008A3E79"/>
    <w:rsid w:val="008A407D"/>
    <w:rsid w:val="008A6750"/>
    <w:rsid w:val="008A79C6"/>
    <w:rsid w:val="008A7E82"/>
    <w:rsid w:val="008B0C5C"/>
    <w:rsid w:val="008B256D"/>
    <w:rsid w:val="008B2F5B"/>
    <w:rsid w:val="008B310E"/>
    <w:rsid w:val="008B3804"/>
    <w:rsid w:val="008B3A78"/>
    <w:rsid w:val="008B4318"/>
    <w:rsid w:val="008B45AB"/>
    <w:rsid w:val="008B61BE"/>
    <w:rsid w:val="008B626D"/>
    <w:rsid w:val="008B63A6"/>
    <w:rsid w:val="008B6635"/>
    <w:rsid w:val="008B675C"/>
    <w:rsid w:val="008B7B36"/>
    <w:rsid w:val="008C133A"/>
    <w:rsid w:val="008C15AE"/>
    <w:rsid w:val="008C18EF"/>
    <w:rsid w:val="008C1E3A"/>
    <w:rsid w:val="008C2128"/>
    <w:rsid w:val="008C243A"/>
    <w:rsid w:val="008C24EB"/>
    <w:rsid w:val="008C29AB"/>
    <w:rsid w:val="008C2ACF"/>
    <w:rsid w:val="008C2C96"/>
    <w:rsid w:val="008C55C3"/>
    <w:rsid w:val="008C593A"/>
    <w:rsid w:val="008C5AF9"/>
    <w:rsid w:val="008C68E5"/>
    <w:rsid w:val="008C7346"/>
    <w:rsid w:val="008C7D04"/>
    <w:rsid w:val="008D0984"/>
    <w:rsid w:val="008D1D73"/>
    <w:rsid w:val="008D2B34"/>
    <w:rsid w:val="008D3578"/>
    <w:rsid w:val="008D3894"/>
    <w:rsid w:val="008D459A"/>
    <w:rsid w:val="008D4941"/>
    <w:rsid w:val="008D4FB1"/>
    <w:rsid w:val="008D714D"/>
    <w:rsid w:val="008D7391"/>
    <w:rsid w:val="008D77EB"/>
    <w:rsid w:val="008E0038"/>
    <w:rsid w:val="008E0747"/>
    <w:rsid w:val="008E0C98"/>
    <w:rsid w:val="008E14EA"/>
    <w:rsid w:val="008E1D73"/>
    <w:rsid w:val="008E28C9"/>
    <w:rsid w:val="008E2984"/>
    <w:rsid w:val="008E3A4D"/>
    <w:rsid w:val="008E40D7"/>
    <w:rsid w:val="008E41E2"/>
    <w:rsid w:val="008E4DEB"/>
    <w:rsid w:val="008E56B7"/>
    <w:rsid w:val="008E5917"/>
    <w:rsid w:val="008E6FDE"/>
    <w:rsid w:val="008E726B"/>
    <w:rsid w:val="008F024D"/>
    <w:rsid w:val="008F0B3B"/>
    <w:rsid w:val="008F0C9C"/>
    <w:rsid w:val="008F106B"/>
    <w:rsid w:val="008F1B8A"/>
    <w:rsid w:val="008F26E5"/>
    <w:rsid w:val="008F2FA9"/>
    <w:rsid w:val="008F3164"/>
    <w:rsid w:val="008F3607"/>
    <w:rsid w:val="008F4F1B"/>
    <w:rsid w:val="008F6000"/>
    <w:rsid w:val="00901202"/>
    <w:rsid w:val="00901672"/>
    <w:rsid w:val="00901BA9"/>
    <w:rsid w:val="009028C6"/>
    <w:rsid w:val="00902A7D"/>
    <w:rsid w:val="009033DD"/>
    <w:rsid w:val="009037D8"/>
    <w:rsid w:val="00904A0A"/>
    <w:rsid w:val="00904A25"/>
    <w:rsid w:val="00905391"/>
    <w:rsid w:val="00905560"/>
    <w:rsid w:val="009066FF"/>
    <w:rsid w:val="00906D92"/>
    <w:rsid w:val="00907549"/>
    <w:rsid w:val="00907580"/>
    <w:rsid w:val="00907B1E"/>
    <w:rsid w:val="00910B15"/>
    <w:rsid w:val="00911209"/>
    <w:rsid w:val="0091143E"/>
    <w:rsid w:val="00911D99"/>
    <w:rsid w:val="009124ED"/>
    <w:rsid w:val="00912B69"/>
    <w:rsid w:val="00915416"/>
    <w:rsid w:val="0091584A"/>
    <w:rsid w:val="0091645A"/>
    <w:rsid w:val="009164AC"/>
    <w:rsid w:val="00916E87"/>
    <w:rsid w:val="00917678"/>
    <w:rsid w:val="009218A9"/>
    <w:rsid w:val="00921C55"/>
    <w:rsid w:val="00921D85"/>
    <w:rsid w:val="00923C0A"/>
    <w:rsid w:val="00923EFB"/>
    <w:rsid w:val="00924146"/>
    <w:rsid w:val="0092446C"/>
    <w:rsid w:val="00925043"/>
    <w:rsid w:val="009263A8"/>
    <w:rsid w:val="00926BDD"/>
    <w:rsid w:val="00927693"/>
    <w:rsid w:val="00927A9D"/>
    <w:rsid w:val="00927FD4"/>
    <w:rsid w:val="00930792"/>
    <w:rsid w:val="00931CFF"/>
    <w:rsid w:val="009326FD"/>
    <w:rsid w:val="00932949"/>
    <w:rsid w:val="00933B11"/>
    <w:rsid w:val="00933D7D"/>
    <w:rsid w:val="00933D8D"/>
    <w:rsid w:val="0093464D"/>
    <w:rsid w:val="0093515C"/>
    <w:rsid w:val="00936CB8"/>
    <w:rsid w:val="009377C4"/>
    <w:rsid w:val="00937DF7"/>
    <w:rsid w:val="00937EAA"/>
    <w:rsid w:val="0094057A"/>
    <w:rsid w:val="00940BC0"/>
    <w:rsid w:val="0094137E"/>
    <w:rsid w:val="00941F0F"/>
    <w:rsid w:val="0094425A"/>
    <w:rsid w:val="009447E3"/>
    <w:rsid w:val="00945677"/>
    <w:rsid w:val="009456B3"/>
    <w:rsid w:val="00945835"/>
    <w:rsid w:val="00945B4A"/>
    <w:rsid w:val="009465C7"/>
    <w:rsid w:val="009467F1"/>
    <w:rsid w:val="00946F2A"/>
    <w:rsid w:val="00946F65"/>
    <w:rsid w:val="00947245"/>
    <w:rsid w:val="0094797F"/>
    <w:rsid w:val="00947F59"/>
    <w:rsid w:val="00950021"/>
    <w:rsid w:val="00950F46"/>
    <w:rsid w:val="00951565"/>
    <w:rsid w:val="00951D63"/>
    <w:rsid w:val="009526C5"/>
    <w:rsid w:val="00952CD8"/>
    <w:rsid w:val="00952CE8"/>
    <w:rsid w:val="00953214"/>
    <w:rsid w:val="0095376F"/>
    <w:rsid w:val="00953F4C"/>
    <w:rsid w:val="0095476B"/>
    <w:rsid w:val="0095507F"/>
    <w:rsid w:val="00955442"/>
    <w:rsid w:val="00955A8F"/>
    <w:rsid w:val="00955B20"/>
    <w:rsid w:val="00956F60"/>
    <w:rsid w:val="0095724F"/>
    <w:rsid w:val="0095727A"/>
    <w:rsid w:val="0095741D"/>
    <w:rsid w:val="009579E8"/>
    <w:rsid w:val="00957AAC"/>
    <w:rsid w:val="00960096"/>
    <w:rsid w:val="00961917"/>
    <w:rsid w:val="00961F27"/>
    <w:rsid w:val="00961FF4"/>
    <w:rsid w:val="00962394"/>
    <w:rsid w:val="009626BB"/>
    <w:rsid w:val="0096286A"/>
    <w:rsid w:val="00962D2B"/>
    <w:rsid w:val="00963C0A"/>
    <w:rsid w:val="009641B2"/>
    <w:rsid w:val="00965569"/>
    <w:rsid w:val="009709D7"/>
    <w:rsid w:val="009711D8"/>
    <w:rsid w:val="00971724"/>
    <w:rsid w:val="00971815"/>
    <w:rsid w:val="0097193D"/>
    <w:rsid w:val="009719C0"/>
    <w:rsid w:val="00972A3E"/>
    <w:rsid w:val="00973318"/>
    <w:rsid w:val="009738D5"/>
    <w:rsid w:val="00974110"/>
    <w:rsid w:val="00974459"/>
    <w:rsid w:val="009746B6"/>
    <w:rsid w:val="00974DF7"/>
    <w:rsid w:val="00975A8C"/>
    <w:rsid w:val="00975BEB"/>
    <w:rsid w:val="00976BC6"/>
    <w:rsid w:val="00977E78"/>
    <w:rsid w:val="009801E7"/>
    <w:rsid w:val="009805C6"/>
    <w:rsid w:val="00981293"/>
    <w:rsid w:val="009815D0"/>
    <w:rsid w:val="00981A18"/>
    <w:rsid w:val="009829E6"/>
    <w:rsid w:val="00982F32"/>
    <w:rsid w:val="0098451E"/>
    <w:rsid w:val="00984A93"/>
    <w:rsid w:val="0098503B"/>
    <w:rsid w:val="00985413"/>
    <w:rsid w:val="00985838"/>
    <w:rsid w:val="0099000A"/>
    <w:rsid w:val="00990091"/>
    <w:rsid w:val="00990A19"/>
    <w:rsid w:val="00990F79"/>
    <w:rsid w:val="00991861"/>
    <w:rsid w:val="009919E4"/>
    <w:rsid w:val="00991C96"/>
    <w:rsid w:val="00993470"/>
    <w:rsid w:val="00993808"/>
    <w:rsid w:val="009945D8"/>
    <w:rsid w:val="00995BDD"/>
    <w:rsid w:val="00996440"/>
    <w:rsid w:val="009975E4"/>
    <w:rsid w:val="0099777D"/>
    <w:rsid w:val="00997BA9"/>
    <w:rsid w:val="009A2250"/>
    <w:rsid w:val="009A2730"/>
    <w:rsid w:val="009A2E95"/>
    <w:rsid w:val="009A34F8"/>
    <w:rsid w:val="009A3E34"/>
    <w:rsid w:val="009A3F31"/>
    <w:rsid w:val="009A514E"/>
    <w:rsid w:val="009A5716"/>
    <w:rsid w:val="009A6427"/>
    <w:rsid w:val="009A73B1"/>
    <w:rsid w:val="009A7870"/>
    <w:rsid w:val="009A7AF7"/>
    <w:rsid w:val="009A7AFF"/>
    <w:rsid w:val="009B1171"/>
    <w:rsid w:val="009B12E2"/>
    <w:rsid w:val="009B15FC"/>
    <w:rsid w:val="009B2302"/>
    <w:rsid w:val="009B3167"/>
    <w:rsid w:val="009B34BA"/>
    <w:rsid w:val="009B3AF7"/>
    <w:rsid w:val="009B3F33"/>
    <w:rsid w:val="009B46CF"/>
    <w:rsid w:val="009B488D"/>
    <w:rsid w:val="009B48A9"/>
    <w:rsid w:val="009B4DD9"/>
    <w:rsid w:val="009B4E07"/>
    <w:rsid w:val="009B5F00"/>
    <w:rsid w:val="009B60B7"/>
    <w:rsid w:val="009B63CC"/>
    <w:rsid w:val="009B6A46"/>
    <w:rsid w:val="009C2780"/>
    <w:rsid w:val="009C2C6F"/>
    <w:rsid w:val="009C3017"/>
    <w:rsid w:val="009C31B4"/>
    <w:rsid w:val="009C41EF"/>
    <w:rsid w:val="009C70B2"/>
    <w:rsid w:val="009D17B6"/>
    <w:rsid w:val="009D1903"/>
    <w:rsid w:val="009D1BF6"/>
    <w:rsid w:val="009D23FE"/>
    <w:rsid w:val="009D2E7A"/>
    <w:rsid w:val="009D4561"/>
    <w:rsid w:val="009D5166"/>
    <w:rsid w:val="009D5903"/>
    <w:rsid w:val="009D5E08"/>
    <w:rsid w:val="009D5E8C"/>
    <w:rsid w:val="009D5ECE"/>
    <w:rsid w:val="009D5FA9"/>
    <w:rsid w:val="009D64A1"/>
    <w:rsid w:val="009D6F73"/>
    <w:rsid w:val="009D7931"/>
    <w:rsid w:val="009D7B15"/>
    <w:rsid w:val="009E03FE"/>
    <w:rsid w:val="009E0539"/>
    <w:rsid w:val="009E0FCA"/>
    <w:rsid w:val="009E1213"/>
    <w:rsid w:val="009E1473"/>
    <w:rsid w:val="009E153C"/>
    <w:rsid w:val="009E2690"/>
    <w:rsid w:val="009E2988"/>
    <w:rsid w:val="009E4212"/>
    <w:rsid w:val="009E7261"/>
    <w:rsid w:val="009E74BD"/>
    <w:rsid w:val="009F00C4"/>
    <w:rsid w:val="009F0C9E"/>
    <w:rsid w:val="009F157D"/>
    <w:rsid w:val="009F15E8"/>
    <w:rsid w:val="009F2E78"/>
    <w:rsid w:val="009F31EE"/>
    <w:rsid w:val="009F31F3"/>
    <w:rsid w:val="009F33CE"/>
    <w:rsid w:val="009F3A08"/>
    <w:rsid w:val="009F3E43"/>
    <w:rsid w:val="009F4360"/>
    <w:rsid w:val="009F4387"/>
    <w:rsid w:val="009F5C1A"/>
    <w:rsid w:val="009F645B"/>
    <w:rsid w:val="009F6BD6"/>
    <w:rsid w:val="009F742C"/>
    <w:rsid w:val="00A0023F"/>
    <w:rsid w:val="00A0056C"/>
    <w:rsid w:val="00A01D71"/>
    <w:rsid w:val="00A03CB9"/>
    <w:rsid w:val="00A03DF4"/>
    <w:rsid w:val="00A03E26"/>
    <w:rsid w:val="00A040EF"/>
    <w:rsid w:val="00A04309"/>
    <w:rsid w:val="00A0447F"/>
    <w:rsid w:val="00A04680"/>
    <w:rsid w:val="00A04F81"/>
    <w:rsid w:val="00A063C6"/>
    <w:rsid w:val="00A06FC7"/>
    <w:rsid w:val="00A10340"/>
    <w:rsid w:val="00A11222"/>
    <w:rsid w:val="00A118EC"/>
    <w:rsid w:val="00A11DA8"/>
    <w:rsid w:val="00A1212A"/>
    <w:rsid w:val="00A12468"/>
    <w:rsid w:val="00A12928"/>
    <w:rsid w:val="00A135F9"/>
    <w:rsid w:val="00A1390A"/>
    <w:rsid w:val="00A155D9"/>
    <w:rsid w:val="00A15D23"/>
    <w:rsid w:val="00A1720F"/>
    <w:rsid w:val="00A173CD"/>
    <w:rsid w:val="00A179C2"/>
    <w:rsid w:val="00A20966"/>
    <w:rsid w:val="00A216A1"/>
    <w:rsid w:val="00A21772"/>
    <w:rsid w:val="00A21897"/>
    <w:rsid w:val="00A22118"/>
    <w:rsid w:val="00A22783"/>
    <w:rsid w:val="00A24745"/>
    <w:rsid w:val="00A260FD"/>
    <w:rsid w:val="00A2626A"/>
    <w:rsid w:val="00A26C85"/>
    <w:rsid w:val="00A278A2"/>
    <w:rsid w:val="00A27D6C"/>
    <w:rsid w:val="00A30508"/>
    <w:rsid w:val="00A30B57"/>
    <w:rsid w:val="00A30C2B"/>
    <w:rsid w:val="00A30EF6"/>
    <w:rsid w:val="00A316AC"/>
    <w:rsid w:val="00A31B36"/>
    <w:rsid w:val="00A32673"/>
    <w:rsid w:val="00A32CA2"/>
    <w:rsid w:val="00A32D73"/>
    <w:rsid w:val="00A333AB"/>
    <w:rsid w:val="00A338DE"/>
    <w:rsid w:val="00A34A2F"/>
    <w:rsid w:val="00A3536C"/>
    <w:rsid w:val="00A37435"/>
    <w:rsid w:val="00A378FA"/>
    <w:rsid w:val="00A40FA4"/>
    <w:rsid w:val="00A410B3"/>
    <w:rsid w:val="00A41586"/>
    <w:rsid w:val="00A42230"/>
    <w:rsid w:val="00A4224E"/>
    <w:rsid w:val="00A44647"/>
    <w:rsid w:val="00A44BE6"/>
    <w:rsid w:val="00A453AA"/>
    <w:rsid w:val="00A45AF5"/>
    <w:rsid w:val="00A47891"/>
    <w:rsid w:val="00A478F8"/>
    <w:rsid w:val="00A47CFE"/>
    <w:rsid w:val="00A47E2B"/>
    <w:rsid w:val="00A501E8"/>
    <w:rsid w:val="00A509D0"/>
    <w:rsid w:val="00A50A19"/>
    <w:rsid w:val="00A50B43"/>
    <w:rsid w:val="00A519B7"/>
    <w:rsid w:val="00A54316"/>
    <w:rsid w:val="00A5483B"/>
    <w:rsid w:val="00A54AB2"/>
    <w:rsid w:val="00A54BAE"/>
    <w:rsid w:val="00A55147"/>
    <w:rsid w:val="00A55EDE"/>
    <w:rsid w:val="00A57610"/>
    <w:rsid w:val="00A5794D"/>
    <w:rsid w:val="00A60CDC"/>
    <w:rsid w:val="00A61405"/>
    <w:rsid w:val="00A61F0F"/>
    <w:rsid w:val="00A62226"/>
    <w:rsid w:val="00A62B55"/>
    <w:rsid w:val="00A63EE1"/>
    <w:rsid w:val="00A642B5"/>
    <w:rsid w:val="00A65285"/>
    <w:rsid w:val="00A65ED8"/>
    <w:rsid w:val="00A7187A"/>
    <w:rsid w:val="00A7207D"/>
    <w:rsid w:val="00A7226E"/>
    <w:rsid w:val="00A730CE"/>
    <w:rsid w:val="00A73C77"/>
    <w:rsid w:val="00A75354"/>
    <w:rsid w:val="00A75C19"/>
    <w:rsid w:val="00A7627D"/>
    <w:rsid w:val="00A77B55"/>
    <w:rsid w:val="00A80706"/>
    <w:rsid w:val="00A80F16"/>
    <w:rsid w:val="00A82004"/>
    <w:rsid w:val="00A82F4E"/>
    <w:rsid w:val="00A82F7D"/>
    <w:rsid w:val="00A83668"/>
    <w:rsid w:val="00A8394D"/>
    <w:rsid w:val="00A8465A"/>
    <w:rsid w:val="00A8506A"/>
    <w:rsid w:val="00A853E9"/>
    <w:rsid w:val="00A8564B"/>
    <w:rsid w:val="00A86E41"/>
    <w:rsid w:val="00A87002"/>
    <w:rsid w:val="00A87105"/>
    <w:rsid w:val="00A8717A"/>
    <w:rsid w:val="00A906FD"/>
    <w:rsid w:val="00A9122B"/>
    <w:rsid w:val="00A91658"/>
    <w:rsid w:val="00A918BF"/>
    <w:rsid w:val="00A91DAA"/>
    <w:rsid w:val="00A91E9C"/>
    <w:rsid w:val="00A9269E"/>
    <w:rsid w:val="00A9290E"/>
    <w:rsid w:val="00A93131"/>
    <w:rsid w:val="00A938F7"/>
    <w:rsid w:val="00A93979"/>
    <w:rsid w:val="00A94585"/>
    <w:rsid w:val="00A9499B"/>
    <w:rsid w:val="00A9519A"/>
    <w:rsid w:val="00A9573E"/>
    <w:rsid w:val="00A95DBC"/>
    <w:rsid w:val="00A95EC2"/>
    <w:rsid w:val="00A97CC7"/>
    <w:rsid w:val="00AA0A63"/>
    <w:rsid w:val="00AA1279"/>
    <w:rsid w:val="00AA14A4"/>
    <w:rsid w:val="00AA221E"/>
    <w:rsid w:val="00AA316C"/>
    <w:rsid w:val="00AA3680"/>
    <w:rsid w:val="00AA3884"/>
    <w:rsid w:val="00AA4193"/>
    <w:rsid w:val="00AA4FD7"/>
    <w:rsid w:val="00AA55F8"/>
    <w:rsid w:val="00AA56D7"/>
    <w:rsid w:val="00AA60E6"/>
    <w:rsid w:val="00AA6201"/>
    <w:rsid w:val="00AA7578"/>
    <w:rsid w:val="00AB04EA"/>
    <w:rsid w:val="00AB0920"/>
    <w:rsid w:val="00AB0E95"/>
    <w:rsid w:val="00AB1238"/>
    <w:rsid w:val="00AB1894"/>
    <w:rsid w:val="00AB1B74"/>
    <w:rsid w:val="00AB26DE"/>
    <w:rsid w:val="00AB294D"/>
    <w:rsid w:val="00AB2C93"/>
    <w:rsid w:val="00AB3660"/>
    <w:rsid w:val="00AB3BEB"/>
    <w:rsid w:val="00AB4895"/>
    <w:rsid w:val="00AB51AD"/>
    <w:rsid w:val="00AB57C8"/>
    <w:rsid w:val="00AB5A86"/>
    <w:rsid w:val="00AB5CD3"/>
    <w:rsid w:val="00AB5D0D"/>
    <w:rsid w:val="00AB6645"/>
    <w:rsid w:val="00AB6B22"/>
    <w:rsid w:val="00AB7DAF"/>
    <w:rsid w:val="00AC0ED5"/>
    <w:rsid w:val="00AC166C"/>
    <w:rsid w:val="00AC1AAE"/>
    <w:rsid w:val="00AC40A6"/>
    <w:rsid w:val="00AC44D4"/>
    <w:rsid w:val="00AC520F"/>
    <w:rsid w:val="00AC53F9"/>
    <w:rsid w:val="00AC5446"/>
    <w:rsid w:val="00AC5A6D"/>
    <w:rsid w:val="00AC5C28"/>
    <w:rsid w:val="00AC5EE8"/>
    <w:rsid w:val="00AC6169"/>
    <w:rsid w:val="00AC6F3D"/>
    <w:rsid w:val="00AC7306"/>
    <w:rsid w:val="00AC7428"/>
    <w:rsid w:val="00AC7620"/>
    <w:rsid w:val="00AD0635"/>
    <w:rsid w:val="00AD109C"/>
    <w:rsid w:val="00AD16F8"/>
    <w:rsid w:val="00AD17AC"/>
    <w:rsid w:val="00AD2475"/>
    <w:rsid w:val="00AD29CB"/>
    <w:rsid w:val="00AD312F"/>
    <w:rsid w:val="00AD5398"/>
    <w:rsid w:val="00AD5BD0"/>
    <w:rsid w:val="00AE1216"/>
    <w:rsid w:val="00AE1616"/>
    <w:rsid w:val="00AE19A4"/>
    <w:rsid w:val="00AE19C3"/>
    <w:rsid w:val="00AE22D6"/>
    <w:rsid w:val="00AE2728"/>
    <w:rsid w:val="00AE3389"/>
    <w:rsid w:val="00AE494A"/>
    <w:rsid w:val="00AE4B91"/>
    <w:rsid w:val="00AE4CDB"/>
    <w:rsid w:val="00AE5807"/>
    <w:rsid w:val="00AE5855"/>
    <w:rsid w:val="00AE58F2"/>
    <w:rsid w:val="00AE59C4"/>
    <w:rsid w:val="00AE5EF8"/>
    <w:rsid w:val="00AE6254"/>
    <w:rsid w:val="00AE6BE1"/>
    <w:rsid w:val="00AE7E40"/>
    <w:rsid w:val="00AF07E6"/>
    <w:rsid w:val="00AF193A"/>
    <w:rsid w:val="00AF1C1B"/>
    <w:rsid w:val="00AF1F1D"/>
    <w:rsid w:val="00AF1FE8"/>
    <w:rsid w:val="00AF3A92"/>
    <w:rsid w:val="00AF45BC"/>
    <w:rsid w:val="00AF481D"/>
    <w:rsid w:val="00AF5357"/>
    <w:rsid w:val="00AF59ED"/>
    <w:rsid w:val="00AF6800"/>
    <w:rsid w:val="00AF7107"/>
    <w:rsid w:val="00AF7A5D"/>
    <w:rsid w:val="00AF7CDA"/>
    <w:rsid w:val="00B00998"/>
    <w:rsid w:val="00B014AA"/>
    <w:rsid w:val="00B01D9A"/>
    <w:rsid w:val="00B01DD2"/>
    <w:rsid w:val="00B01EEE"/>
    <w:rsid w:val="00B0275F"/>
    <w:rsid w:val="00B029C1"/>
    <w:rsid w:val="00B0340C"/>
    <w:rsid w:val="00B03BD2"/>
    <w:rsid w:val="00B0528C"/>
    <w:rsid w:val="00B067E2"/>
    <w:rsid w:val="00B10534"/>
    <w:rsid w:val="00B1056E"/>
    <w:rsid w:val="00B10B6A"/>
    <w:rsid w:val="00B11349"/>
    <w:rsid w:val="00B1135A"/>
    <w:rsid w:val="00B11FA4"/>
    <w:rsid w:val="00B125AD"/>
    <w:rsid w:val="00B12A65"/>
    <w:rsid w:val="00B12B28"/>
    <w:rsid w:val="00B14769"/>
    <w:rsid w:val="00B14CC2"/>
    <w:rsid w:val="00B15A85"/>
    <w:rsid w:val="00B15BAD"/>
    <w:rsid w:val="00B16F44"/>
    <w:rsid w:val="00B17C9D"/>
    <w:rsid w:val="00B20EEE"/>
    <w:rsid w:val="00B20FDE"/>
    <w:rsid w:val="00B21980"/>
    <w:rsid w:val="00B21A4B"/>
    <w:rsid w:val="00B21D92"/>
    <w:rsid w:val="00B21F23"/>
    <w:rsid w:val="00B2217F"/>
    <w:rsid w:val="00B22434"/>
    <w:rsid w:val="00B2319B"/>
    <w:rsid w:val="00B232FA"/>
    <w:rsid w:val="00B239AB"/>
    <w:rsid w:val="00B23D4C"/>
    <w:rsid w:val="00B24344"/>
    <w:rsid w:val="00B24517"/>
    <w:rsid w:val="00B24804"/>
    <w:rsid w:val="00B2481F"/>
    <w:rsid w:val="00B24C81"/>
    <w:rsid w:val="00B25311"/>
    <w:rsid w:val="00B256D1"/>
    <w:rsid w:val="00B25924"/>
    <w:rsid w:val="00B25ABC"/>
    <w:rsid w:val="00B25C92"/>
    <w:rsid w:val="00B2618B"/>
    <w:rsid w:val="00B266FF"/>
    <w:rsid w:val="00B2733D"/>
    <w:rsid w:val="00B306D9"/>
    <w:rsid w:val="00B3145C"/>
    <w:rsid w:val="00B314BA"/>
    <w:rsid w:val="00B32404"/>
    <w:rsid w:val="00B32D30"/>
    <w:rsid w:val="00B339BE"/>
    <w:rsid w:val="00B339D9"/>
    <w:rsid w:val="00B3489B"/>
    <w:rsid w:val="00B35FE0"/>
    <w:rsid w:val="00B369AB"/>
    <w:rsid w:val="00B37062"/>
    <w:rsid w:val="00B4042C"/>
    <w:rsid w:val="00B41B1F"/>
    <w:rsid w:val="00B42A84"/>
    <w:rsid w:val="00B43820"/>
    <w:rsid w:val="00B441B0"/>
    <w:rsid w:val="00B4439A"/>
    <w:rsid w:val="00B44F10"/>
    <w:rsid w:val="00B454F3"/>
    <w:rsid w:val="00B458BF"/>
    <w:rsid w:val="00B45FEF"/>
    <w:rsid w:val="00B46997"/>
    <w:rsid w:val="00B46F3A"/>
    <w:rsid w:val="00B476B5"/>
    <w:rsid w:val="00B47A03"/>
    <w:rsid w:val="00B50571"/>
    <w:rsid w:val="00B51909"/>
    <w:rsid w:val="00B51938"/>
    <w:rsid w:val="00B5282A"/>
    <w:rsid w:val="00B530A6"/>
    <w:rsid w:val="00B5456C"/>
    <w:rsid w:val="00B5527E"/>
    <w:rsid w:val="00B55358"/>
    <w:rsid w:val="00B560CA"/>
    <w:rsid w:val="00B565EC"/>
    <w:rsid w:val="00B56649"/>
    <w:rsid w:val="00B566A4"/>
    <w:rsid w:val="00B56A9E"/>
    <w:rsid w:val="00B607A6"/>
    <w:rsid w:val="00B60A73"/>
    <w:rsid w:val="00B60ED4"/>
    <w:rsid w:val="00B61776"/>
    <w:rsid w:val="00B61783"/>
    <w:rsid w:val="00B61A4C"/>
    <w:rsid w:val="00B621C2"/>
    <w:rsid w:val="00B63223"/>
    <w:rsid w:val="00B6330A"/>
    <w:rsid w:val="00B6453C"/>
    <w:rsid w:val="00B6466E"/>
    <w:rsid w:val="00B64702"/>
    <w:rsid w:val="00B648ED"/>
    <w:rsid w:val="00B654B5"/>
    <w:rsid w:val="00B658D6"/>
    <w:rsid w:val="00B66470"/>
    <w:rsid w:val="00B67149"/>
    <w:rsid w:val="00B70C6A"/>
    <w:rsid w:val="00B712AF"/>
    <w:rsid w:val="00B71E10"/>
    <w:rsid w:val="00B7248E"/>
    <w:rsid w:val="00B72BAD"/>
    <w:rsid w:val="00B73776"/>
    <w:rsid w:val="00B7380E"/>
    <w:rsid w:val="00B73972"/>
    <w:rsid w:val="00B754BA"/>
    <w:rsid w:val="00B75A53"/>
    <w:rsid w:val="00B762EC"/>
    <w:rsid w:val="00B76493"/>
    <w:rsid w:val="00B775A2"/>
    <w:rsid w:val="00B77A5B"/>
    <w:rsid w:val="00B77C81"/>
    <w:rsid w:val="00B77F82"/>
    <w:rsid w:val="00B804DB"/>
    <w:rsid w:val="00B809D5"/>
    <w:rsid w:val="00B81883"/>
    <w:rsid w:val="00B81A3C"/>
    <w:rsid w:val="00B81AD5"/>
    <w:rsid w:val="00B821B7"/>
    <w:rsid w:val="00B83AE3"/>
    <w:rsid w:val="00B83BD4"/>
    <w:rsid w:val="00B84E31"/>
    <w:rsid w:val="00B85264"/>
    <w:rsid w:val="00B8541D"/>
    <w:rsid w:val="00B8546A"/>
    <w:rsid w:val="00B86135"/>
    <w:rsid w:val="00B861CD"/>
    <w:rsid w:val="00B86596"/>
    <w:rsid w:val="00B8686C"/>
    <w:rsid w:val="00B87E93"/>
    <w:rsid w:val="00B87FFE"/>
    <w:rsid w:val="00B90FC5"/>
    <w:rsid w:val="00B91291"/>
    <w:rsid w:val="00B913A3"/>
    <w:rsid w:val="00B92921"/>
    <w:rsid w:val="00B929F4"/>
    <w:rsid w:val="00B93189"/>
    <w:rsid w:val="00B93569"/>
    <w:rsid w:val="00B95499"/>
    <w:rsid w:val="00B95C18"/>
    <w:rsid w:val="00BA0836"/>
    <w:rsid w:val="00BA0B22"/>
    <w:rsid w:val="00BA3D29"/>
    <w:rsid w:val="00BA45AB"/>
    <w:rsid w:val="00BA490D"/>
    <w:rsid w:val="00BA4E7E"/>
    <w:rsid w:val="00BA54E8"/>
    <w:rsid w:val="00BA58CA"/>
    <w:rsid w:val="00BA5C46"/>
    <w:rsid w:val="00BA60F8"/>
    <w:rsid w:val="00BA6811"/>
    <w:rsid w:val="00BA780A"/>
    <w:rsid w:val="00BB0C5A"/>
    <w:rsid w:val="00BB108D"/>
    <w:rsid w:val="00BB17A7"/>
    <w:rsid w:val="00BB1939"/>
    <w:rsid w:val="00BB205E"/>
    <w:rsid w:val="00BB21D0"/>
    <w:rsid w:val="00BB274D"/>
    <w:rsid w:val="00BB3C84"/>
    <w:rsid w:val="00BB3FA7"/>
    <w:rsid w:val="00BB49D2"/>
    <w:rsid w:val="00BB50C4"/>
    <w:rsid w:val="00BB5CCC"/>
    <w:rsid w:val="00BB64D3"/>
    <w:rsid w:val="00BB7690"/>
    <w:rsid w:val="00BB7954"/>
    <w:rsid w:val="00BC009D"/>
    <w:rsid w:val="00BC04F2"/>
    <w:rsid w:val="00BC1211"/>
    <w:rsid w:val="00BC1902"/>
    <w:rsid w:val="00BC1B9A"/>
    <w:rsid w:val="00BC3242"/>
    <w:rsid w:val="00BC426C"/>
    <w:rsid w:val="00BC46CD"/>
    <w:rsid w:val="00BC4FE7"/>
    <w:rsid w:val="00BC581D"/>
    <w:rsid w:val="00BC5B27"/>
    <w:rsid w:val="00BC63C8"/>
    <w:rsid w:val="00BC6659"/>
    <w:rsid w:val="00BC686C"/>
    <w:rsid w:val="00BC69EA"/>
    <w:rsid w:val="00BC727F"/>
    <w:rsid w:val="00BD090B"/>
    <w:rsid w:val="00BD0BB0"/>
    <w:rsid w:val="00BD0BE5"/>
    <w:rsid w:val="00BD119A"/>
    <w:rsid w:val="00BD131B"/>
    <w:rsid w:val="00BD2672"/>
    <w:rsid w:val="00BD2F89"/>
    <w:rsid w:val="00BD3970"/>
    <w:rsid w:val="00BD4370"/>
    <w:rsid w:val="00BD4581"/>
    <w:rsid w:val="00BD521C"/>
    <w:rsid w:val="00BD5C3D"/>
    <w:rsid w:val="00BD5DF1"/>
    <w:rsid w:val="00BD6A52"/>
    <w:rsid w:val="00BD718F"/>
    <w:rsid w:val="00BE007E"/>
    <w:rsid w:val="00BE02C9"/>
    <w:rsid w:val="00BE0C59"/>
    <w:rsid w:val="00BE0F2D"/>
    <w:rsid w:val="00BE184A"/>
    <w:rsid w:val="00BE1F98"/>
    <w:rsid w:val="00BE26E0"/>
    <w:rsid w:val="00BE27BE"/>
    <w:rsid w:val="00BE3115"/>
    <w:rsid w:val="00BE32AF"/>
    <w:rsid w:val="00BE3DE4"/>
    <w:rsid w:val="00BE4DAE"/>
    <w:rsid w:val="00BE5665"/>
    <w:rsid w:val="00BE5CC5"/>
    <w:rsid w:val="00BE5FD3"/>
    <w:rsid w:val="00BE638A"/>
    <w:rsid w:val="00BE7588"/>
    <w:rsid w:val="00BE776D"/>
    <w:rsid w:val="00BE7B55"/>
    <w:rsid w:val="00BF00CA"/>
    <w:rsid w:val="00BF07BA"/>
    <w:rsid w:val="00BF0BB2"/>
    <w:rsid w:val="00BF13C4"/>
    <w:rsid w:val="00BF142D"/>
    <w:rsid w:val="00BF18F5"/>
    <w:rsid w:val="00BF1B22"/>
    <w:rsid w:val="00BF1D4E"/>
    <w:rsid w:val="00BF1E5F"/>
    <w:rsid w:val="00BF2749"/>
    <w:rsid w:val="00BF2B10"/>
    <w:rsid w:val="00BF2CB5"/>
    <w:rsid w:val="00BF36DB"/>
    <w:rsid w:val="00BF3C42"/>
    <w:rsid w:val="00BF4361"/>
    <w:rsid w:val="00BF513B"/>
    <w:rsid w:val="00BF5A51"/>
    <w:rsid w:val="00BF5DB5"/>
    <w:rsid w:val="00BF6464"/>
    <w:rsid w:val="00BF64C2"/>
    <w:rsid w:val="00BF654C"/>
    <w:rsid w:val="00BF70E9"/>
    <w:rsid w:val="00BF7303"/>
    <w:rsid w:val="00BF7DAE"/>
    <w:rsid w:val="00C001E0"/>
    <w:rsid w:val="00C003D6"/>
    <w:rsid w:val="00C007FD"/>
    <w:rsid w:val="00C008F2"/>
    <w:rsid w:val="00C00947"/>
    <w:rsid w:val="00C01628"/>
    <w:rsid w:val="00C0205A"/>
    <w:rsid w:val="00C02F61"/>
    <w:rsid w:val="00C031D2"/>
    <w:rsid w:val="00C038BB"/>
    <w:rsid w:val="00C04CCF"/>
    <w:rsid w:val="00C05159"/>
    <w:rsid w:val="00C05500"/>
    <w:rsid w:val="00C0561B"/>
    <w:rsid w:val="00C05EC9"/>
    <w:rsid w:val="00C063B4"/>
    <w:rsid w:val="00C07636"/>
    <w:rsid w:val="00C07706"/>
    <w:rsid w:val="00C10661"/>
    <w:rsid w:val="00C10F2C"/>
    <w:rsid w:val="00C13C66"/>
    <w:rsid w:val="00C13C80"/>
    <w:rsid w:val="00C1477C"/>
    <w:rsid w:val="00C15D9E"/>
    <w:rsid w:val="00C166A7"/>
    <w:rsid w:val="00C16800"/>
    <w:rsid w:val="00C20A32"/>
    <w:rsid w:val="00C20AE6"/>
    <w:rsid w:val="00C20BF4"/>
    <w:rsid w:val="00C22572"/>
    <w:rsid w:val="00C228CD"/>
    <w:rsid w:val="00C2318C"/>
    <w:rsid w:val="00C24B29"/>
    <w:rsid w:val="00C24C0E"/>
    <w:rsid w:val="00C25A60"/>
    <w:rsid w:val="00C26D14"/>
    <w:rsid w:val="00C27053"/>
    <w:rsid w:val="00C270BB"/>
    <w:rsid w:val="00C27418"/>
    <w:rsid w:val="00C27454"/>
    <w:rsid w:val="00C27D7D"/>
    <w:rsid w:val="00C27FE9"/>
    <w:rsid w:val="00C305B3"/>
    <w:rsid w:val="00C3089D"/>
    <w:rsid w:val="00C311EF"/>
    <w:rsid w:val="00C31425"/>
    <w:rsid w:val="00C31AD5"/>
    <w:rsid w:val="00C31BD2"/>
    <w:rsid w:val="00C31E40"/>
    <w:rsid w:val="00C32CD1"/>
    <w:rsid w:val="00C33A57"/>
    <w:rsid w:val="00C341AC"/>
    <w:rsid w:val="00C34257"/>
    <w:rsid w:val="00C35555"/>
    <w:rsid w:val="00C359F1"/>
    <w:rsid w:val="00C35BB6"/>
    <w:rsid w:val="00C36300"/>
    <w:rsid w:val="00C36636"/>
    <w:rsid w:val="00C36E21"/>
    <w:rsid w:val="00C379B6"/>
    <w:rsid w:val="00C37D6A"/>
    <w:rsid w:val="00C40288"/>
    <w:rsid w:val="00C409B5"/>
    <w:rsid w:val="00C40F26"/>
    <w:rsid w:val="00C41717"/>
    <w:rsid w:val="00C41D73"/>
    <w:rsid w:val="00C42178"/>
    <w:rsid w:val="00C421BD"/>
    <w:rsid w:val="00C428BB"/>
    <w:rsid w:val="00C42CE9"/>
    <w:rsid w:val="00C43031"/>
    <w:rsid w:val="00C43345"/>
    <w:rsid w:val="00C43C8B"/>
    <w:rsid w:val="00C444E7"/>
    <w:rsid w:val="00C46085"/>
    <w:rsid w:val="00C46253"/>
    <w:rsid w:val="00C46A73"/>
    <w:rsid w:val="00C509DB"/>
    <w:rsid w:val="00C517B6"/>
    <w:rsid w:val="00C52902"/>
    <w:rsid w:val="00C52977"/>
    <w:rsid w:val="00C52C63"/>
    <w:rsid w:val="00C534BD"/>
    <w:rsid w:val="00C53804"/>
    <w:rsid w:val="00C54051"/>
    <w:rsid w:val="00C5433E"/>
    <w:rsid w:val="00C54620"/>
    <w:rsid w:val="00C55534"/>
    <w:rsid w:val="00C55D33"/>
    <w:rsid w:val="00C563E6"/>
    <w:rsid w:val="00C56B48"/>
    <w:rsid w:val="00C56E06"/>
    <w:rsid w:val="00C57168"/>
    <w:rsid w:val="00C601DB"/>
    <w:rsid w:val="00C60A6F"/>
    <w:rsid w:val="00C611CC"/>
    <w:rsid w:val="00C6150B"/>
    <w:rsid w:val="00C61E66"/>
    <w:rsid w:val="00C63103"/>
    <w:rsid w:val="00C641CF"/>
    <w:rsid w:val="00C644D9"/>
    <w:rsid w:val="00C64C60"/>
    <w:rsid w:val="00C64F04"/>
    <w:rsid w:val="00C65004"/>
    <w:rsid w:val="00C6506C"/>
    <w:rsid w:val="00C658B8"/>
    <w:rsid w:val="00C65E58"/>
    <w:rsid w:val="00C66495"/>
    <w:rsid w:val="00C66931"/>
    <w:rsid w:val="00C66B4B"/>
    <w:rsid w:val="00C67084"/>
    <w:rsid w:val="00C67E75"/>
    <w:rsid w:val="00C70C13"/>
    <w:rsid w:val="00C7102F"/>
    <w:rsid w:val="00C71416"/>
    <w:rsid w:val="00C714DC"/>
    <w:rsid w:val="00C714F3"/>
    <w:rsid w:val="00C7267F"/>
    <w:rsid w:val="00C740E7"/>
    <w:rsid w:val="00C74107"/>
    <w:rsid w:val="00C745DA"/>
    <w:rsid w:val="00C74CF7"/>
    <w:rsid w:val="00C74EBD"/>
    <w:rsid w:val="00C75265"/>
    <w:rsid w:val="00C755C1"/>
    <w:rsid w:val="00C75910"/>
    <w:rsid w:val="00C76237"/>
    <w:rsid w:val="00C76441"/>
    <w:rsid w:val="00C76E2F"/>
    <w:rsid w:val="00C76F56"/>
    <w:rsid w:val="00C77B97"/>
    <w:rsid w:val="00C77C83"/>
    <w:rsid w:val="00C800A0"/>
    <w:rsid w:val="00C801D6"/>
    <w:rsid w:val="00C80554"/>
    <w:rsid w:val="00C81193"/>
    <w:rsid w:val="00C81A89"/>
    <w:rsid w:val="00C81E79"/>
    <w:rsid w:val="00C833E6"/>
    <w:rsid w:val="00C839B4"/>
    <w:rsid w:val="00C83E1E"/>
    <w:rsid w:val="00C843DC"/>
    <w:rsid w:val="00C8447C"/>
    <w:rsid w:val="00C84BCA"/>
    <w:rsid w:val="00C85192"/>
    <w:rsid w:val="00C85952"/>
    <w:rsid w:val="00C869D1"/>
    <w:rsid w:val="00C86A4E"/>
    <w:rsid w:val="00C86C6F"/>
    <w:rsid w:val="00C87265"/>
    <w:rsid w:val="00C8741A"/>
    <w:rsid w:val="00C87DF9"/>
    <w:rsid w:val="00C90DB8"/>
    <w:rsid w:val="00C92C81"/>
    <w:rsid w:val="00C92F85"/>
    <w:rsid w:val="00C9355B"/>
    <w:rsid w:val="00C94270"/>
    <w:rsid w:val="00C942C9"/>
    <w:rsid w:val="00C944AF"/>
    <w:rsid w:val="00C946E6"/>
    <w:rsid w:val="00C94F06"/>
    <w:rsid w:val="00C95726"/>
    <w:rsid w:val="00C95C4C"/>
    <w:rsid w:val="00C963B7"/>
    <w:rsid w:val="00C97E6E"/>
    <w:rsid w:val="00CA0C8E"/>
    <w:rsid w:val="00CA11F2"/>
    <w:rsid w:val="00CA2603"/>
    <w:rsid w:val="00CA2D04"/>
    <w:rsid w:val="00CA3965"/>
    <w:rsid w:val="00CA3B8A"/>
    <w:rsid w:val="00CA3CB2"/>
    <w:rsid w:val="00CA3D67"/>
    <w:rsid w:val="00CA415A"/>
    <w:rsid w:val="00CA4C8F"/>
    <w:rsid w:val="00CA7692"/>
    <w:rsid w:val="00CA78E3"/>
    <w:rsid w:val="00CB0062"/>
    <w:rsid w:val="00CB00DF"/>
    <w:rsid w:val="00CB0BE8"/>
    <w:rsid w:val="00CB0EB9"/>
    <w:rsid w:val="00CB2A3A"/>
    <w:rsid w:val="00CB3934"/>
    <w:rsid w:val="00CB60CE"/>
    <w:rsid w:val="00CB6D8B"/>
    <w:rsid w:val="00CB6DA9"/>
    <w:rsid w:val="00CB72A5"/>
    <w:rsid w:val="00CC0109"/>
    <w:rsid w:val="00CC03B8"/>
    <w:rsid w:val="00CC12AE"/>
    <w:rsid w:val="00CC312A"/>
    <w:rsid w:val="00CC31E8"/>
    <w:rsid w:val="00CC3631"/>
    <w:rsid w:val="00CC41E8"/>
    <w:rsid w:val="00CC43B8"/>
    <w:rsid w:val="00CC4CB3"/>
    <w:rsid w:val="00CC5ABA"/>
    <w:rsid w:val="00CC6373"/>
    <w:rsid w:val="00CC711E"/>
    <w:rsid w:val="00CD0041"/>
    <w:rsid w:val="00CD07C2"/>
    <w:rsid w:val="00CD080A"/>
    <w:rsid w:val="00CD09D7"/>
    <w:rsid w:val="00CD1C47"/>
    <w:rsid w:val="00CD2864"/>
    <w:rsid w:val="00CD2A7C"/>
    <w:rsid w:val="00CD39E0"/>
    <w:rsid w:val="00CD3C37"/>
    <w:rsid w:val="00CD424C"/>
    <w:rsid w:val="00CD4CC0"/>
    <w:rsid w:val="00CD4DCA"/>
    <w:rsid w:val="00CD4E75"/>
    <w:rsid w:val="00CD50C9"/>
    <w:rsid w:val="00CD5379"/>
    <w:rsid w:val="00CD5768"/>
    <w:rsid w:val="00CD6A14"/>
    <w:rsid w:val="00CD7548"/>
    <w:rsid w:val="00CD7664"/>
    <w:rsid w:val="00CD7D52"/>
    <w:rsid w:val="00CE06F0"/>
    <w:rsid w:val="00CE0900"/>
    <w:rsid w:val="00CE096F"/>
    <w:rsid w:val="00CE18CE"/>
    <w:rsid w:val="00CE1C06"/>
    <w:rsid w:val="00CE230E"/>
    <w:rsid w:val="00CE250E"/>
    <w:rsid w:val="00CE2E2E"/>
    <w:rsid w:val="00CE3039"/>
    <w:rsid w:val="00CE3481"/>
    <w:rsid w:val="00CE38E8"/>
    <w:rsid w:val="00CE3BFE"/>
    <w:rsid w:val="00CE461E"/>
    <w:rsid w:val="00CE50BC"/>
    <w:rsid w:val="00CE56D2"/>
    <w:rsid w:val="00CE5C96"/>
    <w:rsid w:val="00CE6028"/>
    <w:rsid w:val="00CE6087"/>
    <w:rsid w:val="00CE6959"/>
    <w:rsid w:val="00CE6F0F"/>
    <w:rsid w:val="00CE7312"/>
    <w:rsid w:val="00CE7344"/>
    <w:rsid w:val="00CE7E27"/>
    <w:rsid w:val="00CE7ED4"/>
    <w:rsid w:val="00CF0BDA"/>
    <w:rsid w:val="00CF13C3"/>
    <w:rsid w:val="00CF26D3"/>
    <w:rsid w:val="00CF3C99"/>
    <w:rsid w:val="00CF4F95"/>
    <w:rsid w:val="00CF5FDC"/>
    <w:rsid w:val="00CF6483"/>
    <w:rsid w:val="00CF66A9"/>
    <w:rsid w:val="00CF6A44"/>
    <w:rsid w:val="00CF7708"/>
    <w:rsid w:val="00CF7A87"/>
    <w:rsid w:val="00CF7DC0"/>
    <w:rsid w:val="00CF7E00"/>
    <w:rsid w:val="00D0172B"/>
    <w:rsid w:val="00D0268B"/>
    <w:rsid w:val="00D029E2"/>
    <w:rsid w:val="00D04525"/>
    <w:rsid w:val="00D047FF"/>
    <w:rsid w:val="00D04893"/>
    <w:rsid w:val="00D04C69"/>
    <w:rsid w:val="00D04CD8"/>
    <w:rsid w:val="00D05A13"/>
    <w:rsid w:val="00D05E6C"/>
    <w:rsid w:val="00D063BB"/>
    <w:rsid w:val="00D0657B"/>
    <w:rsid w:val="00D066D4"/>
    <w:rsid w:val="00D06DEF"/>
    <w:rsid w:val="00D078AF"/>
    <w:rsid w:val="00D07A52"/>
    <w:rsid w:val="00D10417"/>
    <w:rsid w:val="00D10F39"/>
    <w:rsid w:val="00D11421"/>
    <w:rsid w:val="00D126E0"/>
    <w:rsid w:val="00D12896"/>
    <w:rsid w:val="00D13372"/>
    <w:rsid w:val="00D13EDB"/>
    <w:rsid w:val="00D1453C"/>
    <w:rsid w:val="00D15184"/>
    <w:rsid w:val="00D152A1"/>
    <w:rsid w:val="00D16025"/>
    <w:rsid w:val="00D1630E"/>
    <w:rsid w:val="00D16738"/>
    <w:rsid w:val="00D170F6"/>
    <w:rsid w:val="00D208D4"/>
    <w:rsid w:val="00D212B1"/>
    <w:rsid w:val="00D21753"/>
    <w:rsid w:val="00D21DC6"/>
    <w:rsid w:val="00D22087"/>
    <w:rsid w:val="00D220EB"/>
    <w:rsid w:val="00D22C40"/>
    <w:rsid w:val="00D23485"/>
    <w:rsid w:val="00D244D6"/>
    <w:rsid w:val="00D24E96"/>
    <w:rsid w:val="00D25377"/>
    <w:rsid w:val="00D26691"/>
    <w:rsid w:val="00D26703"/>
    <w:rsid w:val="00D26EBD"/>
    <w:rsid w:val="00D27313"/>
    <w:rsid w:val="00D2786E"/>
    <w:rsid w:val="00D27DDF"/>
    <w:rsid w:val="00D300C4"/>
    <w:rsid w:val="00D304AE"/>
    <w:rsid w:val="00D31BE9"/>
    <w:rsid w:val="00D31D7F"/>
    <w:rsid w:val="00D31E0A"/>
    <w:rsid w:val="00D32361"/>
    <w:rsid w:val="00D335F0"/>
    <w:rsid w:val="00D34CCD"/>
    <w:rsid w:val="00D34F3C"/>
    <w:rsid w:val="00D36474"/>
    <w:rsid w:val="00D36E3A"/>
    <w:rsid w:val="00D36E4F"/>
    <w:rsid w:val="00D37DB4"/>
    <w:rsid w:val="00D37E10"/>
    <w:rsid w:val="00D40694"/>
    <w:rsid w:val="00D4086E"/>
    <w:rsid w:val="00D4090B"/>
    <w:rsid w:val="00D40CF5"/>
    <w:rsid w:val="00D42385"/>
    <w:rsid w:val="00D462D4"/>
    <w:rsid w:val="00D4686F"/>
    <w:rsid w:val="00D518EC"/>
    <w:rsid w:val="00D51E0F"/>
    <w:rsid w:val="00D528B8"/>
    <w:rsid w:val="00D53554"/>
    <w:rsid w:val="00D54008"/>
    <w:rsid w:val="00D542EC"/>
    <w:rsid w:val="00D5524A"/>
    <w:rsid w:val="00D556EC"/>
    <w:rsid w:val="00D56329"/>
    <w:rsid w:val="00D56879"/>
    <w:rsid w:val="00D5719C"/>
    <w:rsid w:val="00D575B9"/>
    <w:rsid w:val="00D604B4"/>
    <w:rsid w:val="00D6090B"/>
    <w:rsid w:val="00D616AA"/>
    <w:rsid w:val="00D63009"/>
    <w:rsid w:val="00D633B5"/>
    <w:rsid w:val="00D63751"/>
    <w:rsid w:val="00D63DDB"/>
    <w:rsid w:val="00D63F47"/>
    <w:rsid w:val="00D64B6D"/>
    <w:rsid w:val="00D653F4"/>
    <w:rsid w:val="00D65BA4"/>
    <w:rsid w:val="00D65CD4"/>
    <w:rsid w:val="00D66669"/>
    <w:rsid w:val="00D66B24"/>
    <w:rsid w:val="00D67AF3"/>
    <w:rsid w:val="00D67B91"/>
    <w:rsid w:val="00D703A2"/>
    <w:rsid w:val="00D70D6A"/>
    <w:rsid w:val="00D70E82"/>
    <w:rsid w:val="00D71338"/>
    <w:rsid w:val="00D718B6"/>
    <w:rsid w:val="00D71C01"/>
    <w:rsid w:val="00D71F7C"/>
    <w:rsid w:val="00D7245F"/>
    <w:rsid w:val="00D72D78"/>
    <w:rsid w:val="00D72EAE"/>
    <w:rsid w:val="00D73214"/>
    <w:rsid w:val="00D737DA"/>
    <w:rsid w:val="00D739F6"/>
    <w:rsid w:val="00D74037"/>
    <w:rsid w:val="00D743CF"/>
    <w:rsid w:val="00D74869"/>
    <w:rsid w:val="00D748A5"/>
    <w:rsid w:val="00D75CAF"/>
    <w:rsid w:val="00D75F35"/>
    <w:rsid w:val="00D760A8"/>
    <w:rsid w:val="00D76250"/>
    <w:rsid w:val="00D76E7E"/>
    <w:rsid w:val="00D812DF"/>
    <w:rsid w:val="00D81A9B"/>
    <w:rsid w:val="00D81B32"/>
    <w:rsid w:val="00D84A95"/>
    <w:rsid w:val="00D84F02"/>
    <w:rsid w:val="00D85611"/>
    <w:rsid w:val="00D85F4A"/>
    <w:rsid w:val="00D8626D"/>
    <w:rsid w:val="00D86702"/>
    <w:rsid w:val="00D86840"/>
    <w:rsid w:val="00D8698F"/>
    <w:rsid w:val="00D87015"/>
    <w:rsid w:val="00D91115"/>
    <w:rsid w:val="00D91360"/>
    <w:rsid w:val="00D91D2C"/>
    <w:rsid w:val="00D924FB"/>
    <w:rsid w:val="00D92B28"/>
    <w:rsid w:val="00D9341A"/>
    <w:rsid w:val="00D939D5"/>
    <w:rsid w:val="00D95595"/>
    <w:rsid w:val="00D9695E"/>
    <w:rsid w:val="00D96DCF"/>
    <w:rsid w:val="00DA0157"/>
    <w:rsid w:val="00DA0B19"/>
    <w:rsid w:val="00DA167F"/>
    <w:rsid w:val="00DA2A53"/>
    <w:rsid w:val="00DA2FB3"/>
    <w:rsid w:val="00DA36F6"/>
    <w:rsid w:val="00DA43AC"/>
    <w:rsid w:val="00DA45F3"/>
    <w:rsid w:val="00DA5472"/>
    <w:rsid w:val="00DA54EA"/>
    <w:rsid w:val="00DA57D2"/>
    <w:rsid w:val="00DA6262"/>
    <w:rsid w:val="00DA6BA8"/>
    <w:rsid w:val="00DA6ED8"/>
    <w:rsid w:val="00DA71BD"/>
    <w:rsid w:val="00DA74C4"/>
    <w:rsid w:val="00DA77D1"/>
    <w:rsid w:val="00DA78DA"/>
    <w:rsid w:val="00DB0550"/>
    <w:rsid w:val="00DB07D3"/>
    <w:rsid w:val="00DB18F8"/>
    <w:rsid w:val="00DB1948"/>
    <w:rsid w:val="00DB1DEA"/>
    <w:rsid w:val="00DB2C69"/>
    <w:rsid w:val="00DB3518"/>
    <w:rsid w:val="00DB39AE"/>
    <w:rsid w:val="00DB3BAF"/>
    <w:rsid w:val="00DB4168"/>
    <w:rsid w:val="00DB49BD"/>
    <w:rsid w:val="00DB547B"/>
    <w:rsid w:val="00DB5637"/>
    <w:rsid w:val="00DB5C19"/>
    <w:rsid w:val="00DB6294"/>
    <w:rsid w:val="00DB71D1"/>
    <w:rsid w:val="00DB7D1D"/>
    <w:rsid w:val="00DB7D29"/>
    <w:rsid w:val="00DC1C1B"/>
    <w:rsid w:val="00DC243F"/>
    <w:rsid w:val="00DC2AF2"/>
    <w:rsid w:val="00DC2E46"/>
    <w:rsid w:val="00DC319B"/>
    <w:rsid w:val="00DC38FB"/>
    <w:rsid w:val="00DC3BC9"/>
    <w:rsid w:val="00DC413E"/>
    <w:rsid w:val="00DC49E0"/>
    <w:rsid w:val="00DC52AC"/>
    <w:rsid w:val="00DC62B3"/>
    <w:rsid w:val="00DC6357"/>
    <w:rsid w:val="00DC63B6"/>
    <w:rsid w:val="00DC65E9"/>
    <w:rsid w:val="00DC763D"/>
    <w:rsid w:val="00DC79F2"/>
    <w:rsid w:val="00DD0020"/>
    <w:rsid w:val="00DD08A2"/>
    <w:rsid w:val="00DD1255"/>
    <w:rsid w:val="00DD1D3A"/>
    <w:rsid w:val="00DD211D"/>
    <w:rsid w:val="00DD27F1"/>
    <w:rsid w:val="00DD2A12"/>
    <w:rsid w:val="00DD2BAE"/>
    <w:rsid w:val="00DD4686"/>
    <w:rsid w:val="00DD4835"/>
    <w:rsid w:val="00DD4FB1"/>
    <w:rsid w:val="00DD5B45"/>
    <w:rsid w:val="00DD608D"/>
    <w:rsid w:val="00DD6605"/>
    <w:rsid w:val="00DD6BC2"/>
    <w:rsid w:val="00DD6FEA"/>
    <w:rsid w:val="00DD7CCE"/>
    <w:rsid w:val="00DD7D0C"/>
    <w:rsid w:val="00DE030E"/>
    <w:rsid w:val="00DE252F"/>
    <w:rsid w:val="00DE329B"/>
    <w:rsid w:val="00DE347F"/>
    <w:rsid w:val="00DE39ED"/>
    <w:rsid w:val="00DE3F36"/>
    <w:rsid w:val="00DE4351"/>
    <w:rsid w:val="00DE4371"/>
    <w:rsid w:val="00DE4A82"/>
    <w:rsid w:val="00DE4CBB"/>
    <w:rsid w:val="00DE5204"/>
    <w:rsid w:val="00DE682A"/>
    <w:rsid w:val="00DE6987"/>
    <w:rsid w:val="00DE6C9F"/>
    <w:rsid w:val="00DE6D6C"/>
    <w:rsid w:val="00DE6E89"/>
    <w:rsid w:val="00DE72A9"/>
    <w:rsid w:val="00DE786A"/>
    <w:rsid w:val="00DE7DAD"/>
    <w:rsid w:val="00DE7F55"/>
    <w:rsid w:val="00DF036C"/>
    <w:rsid w:val="00DF066D"/>
    <w:rsid w:val="00DF0C58"/>
    <w:rsid w:val="00DF0C6D"/>
    <w:rsid w:val="00DF0ED5"/>
    <w:rsid w:val="00DF1552"/>
    <w:rsid w:val="00DF2564"/>
    <w:rsid w:val="00DF2853"/>
    <w:rsid w:val="00DF45C4"/>
    <w:rsid w:val="00DF4D3C"/>
    <w:rsid w:val="00DF540B"/>
    <w:rsid w:val="00DF5644"/>
    <w:rsid w:val="00DF5756"/>
    <w:rsid w:val="00DF5A59"/>
    <w:rsid w:val="00DF61B6"/>
    <w:rsid w:val="00DF7A46"/>
    <w:rsid w:val="00E015B6"/>
    <w:rsid w:val="00E01AA4"/>
    <w:rsid w:val="00E02CE5"/>
    <w:rsid w:val="00E04125"/>
    <w:rsid w:val="00E04668"/>
    <w:rsid w:val="00E048F7"/>
    <w:rsid w:val="00E04A5D"/>
    <w:rsid w:val="00E0505E"/>
    <w:rsid w:val="00E05353"/>
    <w:rsid w:val="00E05375"/>
    <w:rsid w:val="00E05813"/>
    <w:rsid w:val="00E07562"/>
    <w:rsid w:val="00E077D4"/>
    <w:rsid w:val="00E07B4F"/>
    <w:rsid w:val="00E10049"/>
    <w:rsid w:val="00E105A9"/>
    <w:rsid w:val="00E10CCF"/>
    <w:rsid w:val="00E11501"/>
    <w:rsid w:val="00E1186F"/>
    <w:rsid w:val="00E11CA9"/>
    <w:rsid w:val="00E12021"/>
    <w:rsid w:val="00E12382"/>
    <w:rsid w:val="00E12C10"/>
    <w:rsid w:val="00E12CF0"/>
    <w:rsid w:val="00E13193"/>
    <w:rsid w:val="00E13749"/>
    <w:rsid w:val="00E13A7A"/>
    <w:rsid w:val="00E13B77"/>
    <w:rsid w:val="00E13F00"/>
    <w:rsid w:val="00E14EEF"/>
    <w:rsid w:val="00E163BA"/>
    <w:rsid w:val="00E16A7B"/>
    <w:rsid w:val="00E16AD6"/>
    <w:rsid w:val="00E16D49"/>
    <w:rsid w:val="00E1711B"/>
    <w:rsid w:val="00E178C7"/>
    <w:rsid w:val="00E20A14"/>
    <w:rsid w:val="00E211F6"/>
    <w:rsid w:val="00E21494"/>
    <w:rsid w:val="00E21E60"/>
    <w:rsid w:val="00E22D12"/>
    <w:rsid w:val="00E2306E"/>
    <w:rsid w:val="00E2357A"/>
    <w:rsid w:val="00E24AB0"/>
    <w:rsid w:val="00E2542A"/>
    <w:rsid w:val="00E265FC"/>
    <w:rsid w:val="00E271DF"/>
    <w:rsid w:val="00E2761E"/>
    <w:rsid w:val="00E306B7"/>
    <w:rsid w:val="00E30AA7"/>
    <w:rsid w:val="00E30F51"/>
    <w:rsid w:val="00E31AD0"/>
    <w:rsid w:val="00E31F5D"/>
    <w:rsid w:val="00E335B2"/>
    <w:rsid w:val="00E33B42"/>
    <w:rsid w:val="00E33F3C"/>
    <w:rsid w:val="00E34062"/>
    <w:rsid w:val="00E34C86"/>
    <w:rsid w:val="00E361F6"/>
    <w:rsid w:val="00E371EF"/>
    <w:rsid w:val="00E376B2"/>
    <w:rsid w:val="00E37FEE"/>
    <w:rsid w:val="00E40A7D"/>
    <w:rsid w:val="00E4173D"/>
    <w:rsid w:val="00E42495"/>
    <w:rsid w:val="00E42B27"/>
    <w:rsid w:val="00E4303D"/>
    <w:rsid w:val="00E437A8"/>
    <w:rsid w:val="00E437DF"/>
    <w:rsid w:val="00E45312"/>
    <w:rsid w:val="00E45E5B"/>
    <w:rsid w:val="00E46C42"/>
    <w:rsid w:val="00E4719C"/>
    <w:rsid w:val="00E47909"/>
    <w:rsid w:val="00E47EEE"/>
    <w:rsid w:val="00E5009F"/>
    <w:rsid w:val="00E504D8"/>
    <w:rsid w:val="00E50F67"/>
    <w:rsid w:val="00E51102"/>
    <w:rsid w:val="00E52332"/>
    <w:rsid w:val="00E536CD"/>
    <w:rsid w:val="00E541DC"/>
    <w:rsid w:val="00E55050"/>
    <w:rsid w:val="00E5538B"/>
    <w:rsid w:val="00E55B4F"/>
    <w:rsid w:val="00E55C85"/>
    <w:rsid w:val="00E55E5C"/>
    <w:rsid w:val="00E56901"/>
    <w:rsid w:val="00E56A04"/>
    <w:rsid w:val="00E57C77"/>
    <w:rsid w:val="00E61076"/>
    <w:rsid w:val="00E61F66"/>
    <w:rsid w:val="00E62913"/>
    <w:rsid w:val="00E629F4"/>
    <w:rsid w:val="00E64BA2"/>
    <w:rsid w:val="00E6684E"/>
    <w:rsid w:val="00E6689D"/>
    <w:rsid w:val="00E66D03"/>
    <w:rsid w:val="00E67DFC"/>
    <w:rsid w:val="00E710CC"/>
    <w:rsid w:val="00E71818"/>
    <w:rsid w:val="00E7291E"/>
    <w:rsid w:val="00E72E7D"/>
    <w:rsid w:val="00E74846"/>
    <w:rsid w:val="00E74B2E"/>
    <w:rsid w:val="00E74C5B"/>
    <w:rsid w:val="00E758A0"/>
    <w:rsid w:val="00E7670D"/>
    <w:rsid w:val="00E77555"/>
    <w:rsid w:val="00E7795A"/>
    <w:rsid w:val="00E77A48"/>
    <w:rsid w:val="00E77D3F"/>
    <w:rsid w:val="00E80482"/>
    <w:rsid w:val="00E8111B"/>
    <w:rsid w:val="00E81268"/>
    <w:rsid w:val="00E81703"/>
    <w:rsid w:val="00E817C8"/>
    <w:rsid w:val="00E81E86"/>
    <w:rsid w:val="00E824C2"/>
    <w:rsid w:val="00E82B56"/>
    <w:rsid w:val="00E83B00"/>
    <w:rsid w:val="00E83F52"/>
    <w:rsid w:val="00E83F6A"/>
    <w:rsid w:val="00E841D1"/>
    <w:rsid w:val="00E8448E"/>
    <w:rsid w:val="00E845E1"/>
    <w:rsid w:val="00E8564B"/>
    <w:rsid w:val="00E856A7"/>
    <w:rsid w:val="00E85B54"/>
    <w:rsid w:val="00E85D35"/>
    <w:rsid w:val="00E85EB4"/>
    <w:rsid w:val="00E862C6"/>
    <w:rsid w:val="00E870C4"/>
    <w:rsid w:val="00E875A1"/>
    <w:rsid w:val="00E87734"/>
    <w:rsid w:val="00E900E0"/>
    <w:rsid w:val="00E90174"/>
    <w:rsid w:val="00E90FBF"/>
    <w:rsid w:val="00E9181A"/>
    <w:rsid w:val="00E91D9F"/>
    <w:rsid w:val="00E92C45"/>
    <w:rsid w:val="00E92EF9"/>
    <w:rsid w:val="00E93CB7"/>
    <w:rsid w:val="00E945AA"/>
    <w:rsid w:val="00E94A9D"/>
    <w:rsid w:val="00E94FE1"/>
    <w:rsid w:val="00E9501B"/>
    <w:rsid w:val="00E9548A"/>
    <w:rsid w:val="00E95595"/>
    <w:rsid w:val="00E958EB"/>
    <w:rsid w:val="00E95C4A"/>
    <w:rsid w:val="00E95F0E"/>
    <w:rsid w:val="00E95F50"/>
    <w:rsid w:val="00E96B44"/>
    <w:rsid w:val="00E9707F"/>
    <w:rsid w:val="00E9715C"/>
    <w:rsid w:val="00E972CE"/>
    <w:rsid w:val="00E97C54"/>
    <w:rsid w:val="00E97E31"/>
    <w:rsid w:val="00EA0238"/>
    <w:rsid w:val="00EA11D1"/>
    <w:rsid w:val="00EA2309"/>
    <w:rsid w:val="00EA2C4D"/>
    <w:rsid w:val="00EA2E00"/>
    <w:rsid w:val="00EA3103"/>
    <w:rsid w:val="00EA3736"/>
    <w:rsid w:val="00EA40EB"/>
    <w:rsid w:val="00EA5409"/>
    <w:rsid w:val="00EA5924"/>
    <w:rsid w:val="00EA656C"/>
    <w:rsid w:val="00EA7F29"/>
    <w:rsid w:val="00EB054A"/>
    <w:rsid w:val="00EB0791"/>
    <w:rsid w:val="00EB08B4"/>
    <w:rsid w:val="00EB1A5A"/>
    <w:rsid w:val="00EB1AFB"/>
    <w:rsid w:val="00EB1ECE"/>
    <w:rsid w:val="00EB2961"/>
    <w:rsid w:val="00EB2DDE"/>
    <w:rsid w:val="00EB33A0"/>
    <w:rsid w:val="00EB3922"/>
    <w:rsid w:val="00EB4858"/>
    <w:rsid w:val="00EB4BC1"/>
    <w:rsid w:val="00EB5640"/>
    <w:rsid w:val="00EB5911"/>
    <w:rsid w:val="00EB5AB1"/>
    <w:rsid w:val="00EB5D04"/>
    <w:rsid w:val="00EB629D"/>
    <w:rsid w:val="00EB6403"/>
    <w:rsid w:val="00EB679A"/>
    <w:rsid w:val="00EB6B81"/>
    <w:rsid w:val="00EC147F"/>
    <w:rsid w:val="00EC2028"/>
    <w:rsid w:val="00EC22A3"/>
    <w:rsid w:val="00EC3E60"/>
    <w:rsid w:val="00EC4C84"/>
    <w:rsid w:val="00EC5B45"/>
    <w:rsid w:val="00EC5BF0"/>
    <w:rsid w:val="00EC64C8"/>
    <w:rsid w:val="00EC652C"/>
    <w:rsid w:val="00EC67C8"/>
    <w:rsid w:val="00EC6ABE"/>
    <w:rsid w:val="00EC7BFD"/>
    <w:rsid w:val="00EC7C3F"/>
    <w:rsid w:val="00EC7E71"/>
    <w:rsid w:val="00ED04C5"/>
    <w:rsid w:val="00ED118A"/>
    <w:rsid w:val="00ED124A"/>
    <w:rsid w:val="00ED19B9"/>
    <w:rsid w:val="00ED2D6D"/>
    <w:rsid w:val="00ED313A"/>
    <w:rsid w:val="00ED3D72"/>
    <w:rsid w:val="00ED5808"/>
    <w:rsid w:val="00ED58AA"/>
    <w:rsid w:val="00ED66EC"/>
    <w:rsid w:val="00EE0677"/>
    <w:rsid w:val="00EE09C8"/>
    <w:rsid w:val="00EE0DED"/>
    <w:rsid w:val="00EE2692"/>
    <w:rsid w:val="00EE355D"/>
    <w:rsid w:val="00EE3635"/>
    <w:rsid w:val="00EE39FB"/>
    <w:rsid w:val="00EE3C72"/>
    <w:rsid w:val="00EE49B4"/>
    <w:rsid w:val="00EE537E"/>
    <w:rsid w:val="00EE5E4B"/>
    <w:rsid w:val="00EE60F8"/>
    <w:rsid w:val="00EE7B6D"/>
    <w:rsid w:val="00EF156D"/>
    <w:rsid w:val="00EF1FF1"/>
    <w:rsid w:val="00EF2051"/>
    <w:rsid w:val="00EF24DB"/>
    <w:rsid w:val="00EF3465"/>
    <w:rsid w:val="00EF3AB3"/>
    <w:rsid w:val="00EF3D08"/>
    <w:rsid w:val="00EF48AC"/>
    <w:rsid w:val="00EF4C06"/>
    <w:rsid w:val="00EF4C36"/>
    <w:rsid w:val="00EF5607"/>
    <w:rsid w:val="00EF586B"/>
    <w:rsid w:val="00EF6202"/>
    <w:rsid w:val="00EF6ADD"/>
    <w:rsid w:val="00EF7C9F"/>
    <w:rsid w:val="00F0027C"/>
    <w:rsid w:val="00F00D53"/>
    <w:rsid w:val="00F0161B"/>
    <w:rsid w:val="00F01843"/>
    <w:rsid w:val="00F04083"/>
    <w:rsid w:val="00F0423C"/>
    <w:rsid w:val="00F04D99"/>
    <w:rsid w:val="00F0591D"/>
    <w:rsid w:val="00F059AF"/>
    <w:rsid w:val="00F06218"/>
    <w:rsid w:val="00F0646E"/>
    <w:rsid w:val="00F064F7"/>
    <w:rsid w:val="00F06772"/>
    <w:rsid w:val="00F06BD8"/>
    <w:rsid w:val="00F06E03"/>
    <w:rsid w:val="00F078F5"/>
    <w:rsid w:val="00F07D10"/>
    <w:rsid w:val="00F100A7"/>
    <w:rsid w:val="00F1054E"/>
    <w:rsid w:val="00F124DF"/>
    <w:rsid w:val="00F124F1"/>
    <w:rsid w:val="00F12759"/>
    <w:rsid w:val="00F12FB2"/>
    <w:rsid w:val="00F13A89"/>
    <w:rsid w:val="00F14CE9"/>
    <w:rsid w:val="00F14E45"/>
    <w:rsid w:val="00F16083"/>
    <w:rsid w:val="00F16188"/>
    <w:rsid w:val="00F1640A"/>
    <w:rsid w:val="00F16781"/>
    <w:rsid w:val="00F16856"/>
    <w:rsid w:val="00F16A5D"/>
    <w:rsid w:val="00F16FAE"/>
    <w:rsid w:val="00F17436"/>
    <w:rsid w:val="00F17473"/>
    <w:rsid w:val="00F17A0A"/>
    <w:rsid w:val="00F21591"/>
    <w:rsid w:val="00F21C33"/>
    <w:rsid w:val="00F235AD"/>
    <w:rsid w:val="00F23EA4"/>
    <w:rsid w:val="00F250F0"/>
    <w:rsid w:val="00F25533"/>
    <w:rsid w:val="00F26627"/>
    <w:rsid w:val="00F2681F"/>
    <w:rsid w:val="00F26838"/>
    <w:rsid w:val="00F26854"/>
    <w:rsid w:val="00F26CF3"/>
    <w:rsid w:val="00F27766"/>
    <w:rsid w:val="00F27DF4"/>
    <w:rsid w:val="00F30F2B"/>
    <w:rsid w:val="00F313C3"/>
    <w:rsid w:val="00F3181E"/>
    <w:rsid w:val="00F319B8"/>
    <w:rsid w:val="00F31DB5"/>
    <w:rsid w:val="00F31F42"/>
    <w:rsid w:val="00F320F2"/>
    <w:rsid w:val="00F3229A"/>
    <w:rsid w:val="00F32FD0"/>
    <w:rsid w:val="00F33954"/>
    <w:rsid w:val="00F33DCE"/>
    <w:rsid w:val="00F34198"/>
    <w:rsid w:val="00F34A69"/>
    <w:rsid w:val="00F34AF1"/>
    <w:rsid w:val="00F357BF"/>
    <w:rsid w:val="00F35975"/>
    <w:rsid w:val="00F361AD"/>
    <w:rsid w:val="00F3635C"/>
    <w:rsid w:val="00F36A88"/>
    <w:rsid w:val="00F36C8E"/>
    <w:rsid w:val="00F377A7"/>
    <w:rsid w:val="00F3781B"/>
    <w:rsid w:val="00F400E9"/>
    <w:rsid w:val="00F407E3"/>
    <w:rsid w:val="00F411CC"/>
    <w:rsid w:val="00F41DD3"/>
    <w:rsid w:val="00F424BD"/>
    <w:rsid w:val="00F4348C"/>
    <w:rsid w:val="00F434B6"/>
    <w:rsid w:val="00F434B7"/>
    <w:rsid w:val="00F444BE"/>
    <w:rsid w:val="00F447C8"/>
    <w:rsid w:val="00F44D20"/>
    <w:rsid w:val="00F4500D"/>
    <w:rsid w:val="00F46117"/>
    <w:rsid w:val="00F467D5"/>
    <w:rsid w:val="00F47869"/>
    <w:rsid w:val="00F47C25"/>
    <w:rsid w:val="00F50246"/>
    <w:rsid w:val="00F50782"/>
    <w:rsid w:val="00F51423"/>
    <w:rsid w:val="00F51619"/>
    <w:rsid w:val="00F5182A"/>
    <w:rsid w:val="00F51F63"/>
    <w:rsid w:val="00F52AD4"/>
    <w:rsid w:val="00F53333"/>
    <w:rsid w:val="00F53789"/>
    <w:rsid w:val="00F539FF"/>
    <w:rsid w:val="00F53E6A"/>
    <w:rsid w:val="00F5462B"/>
    <w:rsid w:val="00F5524A"/>
    <w:rsid w:val="00F60A50"/>
    <w:rsid w:val="00F60FF2"/>
    <w:rsid w:val="00F61356"/>
    <w:rsid w:val="00F6145A"/>
    <w:rsid w:val="00F61BC6"/>
    <w:rsid w:val="00F61D90"/>
    <w:rsid w:val="00F62424"/>
    <w:rsid w:val="00F624C4"/>
    <w:rsid w:val="00F63445"/>
    <w:rsid w:val="00F641B7"/>
    <w:rsid w:val="00F654B6"/>
    <w:rsid w:val="00F6693C"/>
    <w:rsid w:val="00F67C77"/>
    <w:rsid w:val="00F70187"/>
    <w:rsid w:val="00F706D2"/>
    <w:rsid w:val="00F71767"/>
    <w:rsid w:val="00F71821"/>
    <w:rsid w:val="00F725CD"/>
    <w:rsid w:val="00F73E4B"/>
    <w:rsid w:val="00F74D2C"/>
    <w:rsid w:val="00F74E37"/>
    <w:rsid w:val="00F755A8"/>
    <w:rsid w:val="00F75964"/>
    <w:rsid w:val="00F75E25"/>
    <w:rsid w:val="00F7679D"/>
    <w:rsid w:val="00F7727F"/>
    <w:rsid w:val="00F80B6F"/>
    <w:rsid w:val="00F80F4C"/>
    <w:rsid w:val="00F8140B"/>
    <w:rsid w:val="00F818DD"/>
    <w:rsid w:val="00F81F3D"/>
    <w:rsid w:val="00F8234E"/>
    <w:rsid w:val="00F83450"/>
    <w:rsid w:val="00F83945"/>
    <w:rsid w:val="00F83CB6"/>
    <w:rsid w:val="00F84A40"/>
    <w:rsid w:val="00F85473"/>
    <w:rsid w:val="00F85995"/>
    <w:rsid w:val="00F85B3C"/>
    <w:rsid w:val="00F85E39"/>
    <w:rsid w:val="00F86A20"/>
    <w:rsid w:val="00F86C5A"/>
    <w:rsid w:val="00F86ED2"/>
    <w:rsid w:val="00F87485"/>
    <w:rsid w:val="00F90AB5"/>
    <w:rsid w:val="00F90B3E"/>
    <w:rsid w:val="00F91241"/>
    <w:rsid w:val="00F916A3"/>
    <w:rsid w:val="00F91A3C"/>
    <w:rsid w:val="00F922E2"/>
    <w:rsid w:val="00F92BC7"/>
    <w:rsid w:val="00F936AC"/>
    <w:rsid w:val="00F93E25"/>
    <w:rsid w:val="00F95149"/>
    <w:rsid w:val="00F956C9"/>
    <w:rsid w:val="00F97617"/>
    <w:rsid w:val="00FA0B56"/>
    <w:rsid w:val="00FA0BA1"/>
    <w:rsid w:val="00FA0C02"/>
    <w:rsid w:val="00FA152D"/>
    <w:rsid w:val="00FA1614"/>
    <w:rsid w:val="00FA1CAB"/>
    <w:rsid w:val="00FA2C40"/>
    <w:rsid w:val="00FA40A3"/>
    <w:rsid w:val="00FA4195"/>
    <w:rsid w:val="00FA4E4E"/>
    <w:rsid w:val="00FA50D9"/>
    <w:rsid w:val="00FA55F6"/>
    <w:rsid w:val="00FA5772"/>
    <w:rsid w:val="00FA5D7D"/>
    <w:rsid w:val="00FA61F8"/>
    <w:rsid w:val="00FA650E"/>
    <w:rsid w:val="00FA6C49"/>
    <w:rsid w:val="00FA77BC"/>
    <w:rsid w:val="00FA7CF3"/>
    <w:rsid w:val="00FB031D"/>
    <w:rsid w:val="00FB059A"/>
    <w:rsid w:val="00FB0C79"/>
    <w:rsid w:val="00FB114D"/>
    <w:rsid w:val="00FB1B29"/>
    <w:rsid w:val="00FB2FE7"/>
    <w:rsid w:val="00FB3385"/>
    <w:rsid w:val="00FB3D49"/>
    <w:rsid w:val="00FB63D8"/>
    <w:rsid w:val="00FB6DE4"/>
    <w:rsid w:val="00FB6E3F"/>
    <w:rsid w:val="00FB71A7"/>
    <w:rsid w:val="00FB75C1"/>
    <w:rsid w:val="00FC053C"/>
    <w:rsid w:val="00FC0670"/>
    <w:rsid w:val="00FC0B55"/>
    <w:rsid w:val="00FC0B6E"/>
    <w:rsid w:val="00FC1447"/>
    <w:rsid w:val="00FC165B"/>
    <w:rsid w:val="00FC1B03"/>
    <w:rsid w:val="00FC1D6B"/>
    <w:rsid w:val="00FC1FB0"/>
    <w:rsid w:val="00FC2410"/>
    <w:rsid w:val="00FC26B0"/>
    <w:rsid w:val="00FC2D2F"/>
    <w:rsid w:val="00FC3157"/>
    <w:rsid w:val="00FC321C"/>
    <w:rsid w:val="00FC38E2"/>
    <w:rsid w:val="00FC3C13"/>
    <w:rsid w:val="00FC485F"/>
    <w:rsid w:val="00FC4FC6"/>
    <w:rsid w:val="00FC553C"/>
    <w:rsid w:val="00FC584B"/>
    <w:rsid w:val="00FC5F71"/>
    <w:rsid w:val="00FC602C"/>
    <w:rsid w:val="00FC60C8"/>
    <w:rsid w:val="00FC70ED"/>
    <w:rsid w:val="00FC7855"/>
    <w:rsid w:val="00FC7F18"/>
    <w:rsid w:val="00FD08D9"/>
    <w:rsid w:val="00FD0B28"/>
    <w:rsid w:val="00FD21AE"/>
    <w:rsid w:val="00FD26AE"/>
    <w:rsid w:val="00FD350B"/>
    <w:rsid w:val="00FD37F5"/>
    <w:rsid w:val="00FD3FB0"/>
    <w:rsid w:val="00FD4213"/>
    <w:rsid w:val="00FD421D"/>
    <w:rsid w:val="00FD45D4"/>
    <w:rsid w:val="00FD4671"/>
    <w:rsid w:val="00FD4F53"/>
    <w:rsid w:val="00FD5C02"/>
    <w:rsid w:val="00FD5F86"/>
    <w:rsid w:val="00FD7B7D"/>
    <w:rsid w:val="00FD7FAA"/>
    <w:rsid w:val="00FE0E97"/>
    <w:rsid w:val="00FE1956"/>
    <w:rsid w:val="00FE1A33"/>
    <w:rsid w:val="00FE1AF1"/>
    <w:rsid w:val="00FE1EC6"/>
    <w:rsid w:val="00FE20A8"/>
    <w:rsid w:val="00FE218A"/>
    <w:rsid w:val="00FE2331"/>
    <w:rsid w:val="00FE26B9"/>
    <w:rsid w:val="00FE2C20"/>
    <w:rsid w:val="00FE3231"/>
    <w:rsid w:val="00FE3382"/>
    <w:rsid w:val="00FE349E"/>
    <w:rsid w:val="00FE3867"/>
    <w:rsid w:val="00FE4334"/>
    <w:rsid w:val="00FE4700"/>
    <w:rsid w:val="00FE4B8B"/>
    <w:rsid w:val="00FE5701"/>
    <w:rsid w:val="00FE58DE"/>
    <w:rsid w:val="00FE5EC2"/>
    <w:rsid w:val="00FE644E"/>
    <w:rsid w:val="00FE6E64"/>
    <w:rsid w:val="00FE7491"/>
    <w:rsid w:val="00FE7B52"/>
    <w:rsid w:val="00FE7EC2"/>
    <w:rsid w:val="00FF10FD"/>
    <w:rsid w:val="00FF241C"/>
    <w:rsid w:val="00FF2521"/>
    <w:rsid w:val="00FF2D13"/>
    <w:rsid w:val="00FF3C98"/>
    <w:rsid w:val="00FF43E2"/>
    <w:rsid w:val="00FF4460"/>
    <w:rsid w:val="00FF4FC8"/>
    <w:rsid w:val="00FF55C3"/>
    <w:rsid w:val="299870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CE9285"/>
  <w15:chartTrackingRefBased/>
  <w15:docId w15:val="{D91CC926-AE07-4380-99FF-16B718B09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1C98"/>
    <w:rPr>
      <w:rFonts w:ascii="Arial" w:hAnsi="Arial" w:cs="Arial"/>
      <w:sz w:val="24"/>
      <w:szCs w:val="24"/>
      <w:lang w:eastAsia="en-US"/>
    </w:rPr>
  </w:style>
  <w:style w:type="paragraph" w:styleId="Heading1">
    <w:name w:val="heading 1"/>
    <w:basedOn w:val="Normal"/>
    <w:next w:val="Normal"/>
    <w:link w:val="Heading1Char"/>
    <w:qFormat/>
    <w:rsid w:val="00AB294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qFormat/>
    <w:rsid w:val="00570C22"/>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2">
    <w:name w:val="normal2"/>
    <w:rsid w:val="00570C22"/>
    <w:rPr>
      <w:rFonts w:ascii="Times New Roman" w:hAnsi="Times New Roman" w:cs="Times New Roman" w:hint="default"/>
      <w:strike w:val="0"/>
      <w:dstrike w:val="0"/>
      <w:sz w:val="24"/>
      <w:szCs w:val="24"/>
      <w:u w:val="none"/>
      <w:effect w:val="none"/>
    </w:rPr>
  </w:style>
  <w:style w:type="paragraph" w:styleId="Header">
    <w:name w:val="header"/>
    <w:basedOn w:val="Normal"/>
    <w:link w:val="HeaderChar"/>
    <w:rsid w:val="00A1212A"/>
    <w:pPr>
      <w:tabs>
        <w:tab w:val="center" w:pos="4153"/>
        <w:tab w:val="right" w:pos="8306"/>
      </w:tabs>
    </w:pPr>
  </w:style>
  <w:style w:type="paragraph" w:styleId="Footer">
    <w:name w:val="footer"/>
    <w:basedOn w:val="Normal"/>
    <w:link w:val="FooterChar"/>
    <w:uiPriority w:val="99"/>
    <w:rsid w:val="00A1212A"/>
    <w:pPr>
      <w:tabs>
        <w:tab w:val="center" w:pos="4153"/>
        <w:tab w:val="right" w:pos="8306"/>
      </w:tabs>
    </w:pPr>
  </w:style>
  <w:style w:type="character" w:styleId="Strong">
    <w:name w:val="Strong"/>
    <w:qFormat/>
    <w:rsid w:val="009B488D"/>
    <w:rPr>
      <w:b/>
      <w:bCs/>
    </w:rPr>
  </w:style>
  <w:style w:type="paragraph" w:customStyle="1" w:styleId="Bulleted">
    <w:name w:val="Bulleted"/>
    <w:basedOn w:val="Normal"/>
    <w:rsid w:val="00EC67C8"/>
    <w:pPr>
      <w:numPr>
        <w:numId w:val="1"/>
      </w:numPr>
    </w:pPr>
  </w:style>
  <w:style w:type="paragraph" w:styleId="ListParagraph">
    <w:name w:val="List Paragraph"/>
    <w:basedOn w:val="Normal"/>
    <w:uiPriority w:val="34"/>
    <w:qFormat/>
    <w:rsid w:val="0057017A"/>
    <w:pPr>
      <w:ind w:left="720"/>
    </w:pPr>
  </w:style>
  <w:style w:type="paragraph" w:styleId="BalloonText">
    <w:name w:val="Balloon Text"/>
    <w:basedOn w:val="Normal"/>
    <w:link w:val="BalloonTextChar"/>
    <w:rsid w:val="004B357C"/>
    <w:rPr>
      <w:rFonts w:ascii="Tahoma" w:hAnsi="Tahoma" w:cs="Tahoma"/>
      <w:sz w:val="16"/>
      <w:szCs w:val="16"/>
    </w:rPr>
  </w:style>
  <w:style w:type="character" w:customStyle="1" w:styleId="BalloonTextChar">
    <w:name w:val="Balloon Text Char"/>
    <w:link w:val="BalloonText"/>
    <w:rsid w:val="004B357C"/>
    <w:rPr>
      <w:rFonts w:ascii="Tahoma" w:hAnsi="Tahoma" w:cs="Tahoma"/>
      <w:sz w:val="16"/>
      <w:szCs w:val="16"/>
      <w:lang w:eastAsia="en-US"/>
    </w:rPr>
  </w:style>
  <w:style w:type="paragraph" w:styleId="NoSpacing">
    <w:name w:val="No Spacing"/>
    <w:uiPriority w:val="1"/>
    <w:qFormat/>
    <w:rsid w:val="00C81A89"/>
    <w:rPr>
      <w:rFonts w:ascii="Arial" w:eastAsia="Calibri" w:hAnsi="Arial" w:cs="Arial"/>
      <w:sz w:val="22"/>
      <w:szCs w:val="22"/>
      <w:lang w:eastAsia="en-US"/>
    </w:rPr>
  </w:style>
  <w:style w:type="character" w:styleId="Hyperlink">
    <w:name w:val="Hyperlink"/>
    <w:uiPriority w:val="99"/>
    <w:rsid w:val="00E55B4F"/>
    <w:rPr>
      <w:color w:val="0000FF"/>
      <w:u w:val="single"/>
    </w:rPr>
  </w:style>
  <w:style w:type="table" w:styleId="TableGrid">
    <w:name w:val="Table Grid"/>
    <w:basedOn w:val="TableNormal"/>
    <w:uiPriority w:val="59"/>
    <w:rsid w:val="00026CE5"/>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62226"/>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740E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740E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740E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740E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D421D"/>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A519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A519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A519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A519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519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A519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perInfoBold">
    <w:name w:val="paper Info Bold"/>
    <w:basedOn w:val="Normal"/>
    <w:autoRedefine/>
    <w:rsid w:val="00D66B24"/>
    <w:pPr>
      <w:tabs>
        <w:tab w:val="left" w:pos="113"/>
      </w:tabs>
      <w:autoSpaceDE w:val="0"/>
      <w:autoSpaceDN w:val="0"/>
      <w:adjustRightInd w:val="0"/>
    </w:pPr>
    <w:rPr>
      <w:b/>
      <w:bCs/>
      <w:color w:val="000000"/>
      <w:sz w:val="22"/>
    </w:rPr>
  </w:style>
  <w:style w:type="character" w:styleId="CommentReference">
    <w:name w:val="annotation reference"/>
    <w:rsid w:val="0028236E"/>
    <w:rPr>
      <w:sz w:val="16"/>
      <w:szCs w:val="16"/>
    </w:rPr>
  </w:style>
  <w:style w:type="paragraph" w:styleId="CommentText">
    <w:name w:val="annotation text"/>
    <w:basedOn w:val="Normal"/>
    <w:link w:val="CommentTextChar"/>
    <w:rsid w:val="0028236E"/>
    <w:rPr>
      <w:sz w:val="20"/>
      <w:szCs w:val="20"/>
    </w:rPr>
  </w:style>
  <w:style w:type="character" w:customStyle="1" w:styleId="CommentTextChar">
    <w:name w:val="Comment Text Char"/>
    <w:link w:val="CommentText"/>
    <w:rsid w:val="0028236E"/>
    <w:rPr>
      <w:rFonts w:ascii="Arial" w:hAnsi="Arial" w:cs="Arial"/>
      <w:lang w:eastAsia="en-US"/>
    </w:rPr>
  </w:style>
  <w:style w:type="paragraph" w:styleId="CommentSubject">
    <w:name w:val="annotation subject"/>
    <w:basedOn w:val="CommentText"/>
    <w:next w:val="CommentText"/>
    <w:link w:val="CommentSubjectChar"/>
    <w:rsid w:val="0028236E"/>
    <w:rPr>
      <w:b/>
      <w:bCs/>
    </w:rPr>
  </w:style>
  <w:style w:type="character" w:customStyle="1" w:styleId="CommentSubjectChar">
    <w:name w:val="Comment Subject Char"/>
    <w:link w:val="CommentSubject"/>
    <w:rsid w:val="0028236E"/>
    <w:rPr>
      <w:rFonts w:ascii="Arial" w:hAnsi="Arial" w:cs="Arial"/>
      <w:b/>
      <w:bCs/>
      <w:lang w:eastAsia="en-US"/>
    </w:rPr>
  </w:style>
  <w:style w:type="paragraph" w:styleId="Revision">
    <w:name w:val="Revision"/>
    <w:hidden/>
    <w:uiPriority w:val="99"/>
    <w:semiHidden/>
    <w:rsid w:val="0028236E"/>
    <w:rPr>
      <w:rFonts w:ascii="Arial" w:hAnsi="Arial" w:cs="Arial"/>
      <w:sz w:val="24"/>
      <w:szCs w:val="24"/>
      <w:lang w:eastAsia="en-US"/>
    </w:rPr>
  </w:style>
  <w:style w:type="character" w:customStyle="1" w:styleId="HeaderChar">
    <w:name w:val="Header Char"/>
    <w:link w:val="Header"/>
    <w:rsid w:val="00AA14A4"/>
    <w:rPr>
      <w:rFonts w:ascii="Arial" w:hAnsi="Arial" w:cs="Arial"/>
      <w:sz w:val="24"/>
      <w:szCs w:val="24"/>
      <w:lang w:eastAsia="en-US"/>
    </w:rPr>
  </w:style>
  <w:style w:type="paragraph" w:customStyle="1" w:styleId="Default">
    <w:name w:val="Default"/>
    <w:rsid w:val="00DF0C6D"/>
    <w:pPr>
      <w:autoSpaceDE w:val="0"/>
      <w:autoSpaceDN w:val="0"/>
      <w:adjustRightInd w:val="0"/>
    </w:pPr>
    <w:rPr>
      <w:rFonts w:ascii="Arial" w:hAnsi="Arial" w:cs="Arial"/>
      <w:color w:val="000000"/>
      <w:sz w:val="24"/>
      <w:szCs w:val="24"/>
    </w:rPr>
  </w:style>
  <w:style w:type="character" w:styleId="UnresolvedMention">
    <w:name w:val="Unresolved Mention"/>
    <w:uiPriority w:val="99"/>
    <w:semiHidden/>
    <w:unhideWhenUsed/>
    <w:rsid w:val="00454A75"/>
    <w:rPr>
      <w:color w:val="605E5C"/>
      <w:shd w:val="clear" w:color="auto" w:fill="E1DFDD"/>
    </w:rPr>
  </w:style>
  <w:style w:type="character" w:customStyle="1" w:styleId="Heading1Char">
    <w:name w:val="Heading 1 Char"/>
    <w:basedOn w:val="DefaultParagraphFont"/>
    <w:link w:val="Heading1"/>
    <w:rsid w:val="00AB294D"/>
    <w:rPr>
      <w:rFonts w:asciiTheme="majorHAnsi" w:eastAsiaTheme="majorEastAsia" w:hAnsiTheme="majorHAnsi" w:cstheme="majorBidi"/>
      <w:color w:val="2F5496" w:themeColor="accent1" w:themeShade="BF"/>
      <w:sz w:val="32"/>
      <w:szCs w:val="32"/>
      <w:lang w:eastAsia="en-US"/>
    </w:rPr>
  </w:style>
  <w:style w:type="paragraph" w:styleId="TOCHeading">
    <w:name w:val="TOC Heading"/>
    <w:basedOn w:val="Heading1"/>
    <w:next w:val="Normal"/>
    <w:uiPriority w:val="39"/>
    <w:unhideWhenUsed/>
    <w:qFormat/>
    <w:rsid w:val="00AB294D"/>
    <w:pPr>
      <w:spacing w:line="259" w:lineRule="auto"/>
      <w:outlineLvl w:val="9"/>
    </w:pPr>
    <w:rPr>
      <w:lang w:val="en-US"/>
    </w:rPr>
  </w:style>
  <w:style w:type="paragraph" w:styleId="TOC1">
    <w:name w:val="toc 1"/>
    <w:basedOn w:val="Normal"/>
    <w:next w:val="Normal"/>
    <w:autoRedefine/>
    <w:uiPriority w:val="39"/>
    <w:rsid w:val="007829D3"/>
    <w:pPr>
      <w:tabs>
        <w:tab w:val="left" w:pos="440"/>
        <w:tab w:val="right" w:leader="dot" w:pos="9486"/>
      </w:tabs>
      <w:spacing w:after="100"/>
    </w:pPr>
  </w:style>
  <w:style w:type="character" w:customStyle="1" w:styleId="FooterChar">
    <w:name w:val="Footer Char"/>
    <w:basedOn w:val="DefaultParagraphFont"/>
    <w:link w:val="Footer"/>
    <w:uiPriority w:val="99"/>
    <w:rsid w:val="00EF2051"/>
    <w:rPr>
      <w:rFonts w:ascii="Arial" w:hAnsi="Arial" w:cs="Arial"/>
      <w:sz w:val="24"/>
      <w:szCs w:val="24"/>
      <w:lang w:eastAsia="en-US"/>
    </w:rPr>
  </w:style>
  <w:style w:type="paragraph" w:customStyle="1" w:styleId="pf0">
    <w:name w:val="pf0"/>
    <w:basedOn w:val="Normal"/>
    <w:rsid w:val="007A1D30"/>
    <w:pPr>
      <w:spacing w:before="100" w:beforeAutospacing="1" w:after="100" w:afterAutospacing="1"/>
    </w:pPr>
    <w:rPr>
      <w:rFonts w:ascii="Times New Roman" w:hAnsi="Times New Roman" w:cs="Times New Roman"/>
      <w:lang w:eastAsia="en-GB"/>
    </w:rPr>
  </w:style>
  <w:style w:type="character" w:customStyle="1" w:styleId="cf01">
    <w:name w:val="cf01"/>
    <w:basedOn w:val="DefaultParagraphFont"/>
    <w:rsid w:val="007A1D30"/>
    <w:rPr>
      <w:rFonts w:ascii="Segoe UI" w:hAnsi="Segoe UI" w:cs="Segoe UI" w:hint="default"/>
      <w:sz w:val="18"/>
      <w:szCs w:val="18"/>
    </w:rPr>
  </w:style>
  <w:style w:type="character" w:styleId="Mention">
    <w:name w:val="Mention"/>
    <w:basedOn w:val="DefaultParagraphFont"/>
    <w:uiPriority w:val="99"/>
    <w:unhideWhenUsed/>
    <w:rsid w:val="00895738"/>
    <w:rPr>
      <w:color w:val="2B579A"/>
      <w:shd w:val="clear" w:color="auto" w:fill="E1DFDD"/>
    </w:rPr>
  </w:style>
  <w:style w:type="character" w:styleId="FollowedHyperlink">
    <w:name w:val="FollowedHyperlink"/>
    <w:basedOn w:val="DefaultParagraphFont"/>
    <w:rsid w:val="0054613A"/>
    <w:rPr>
      <w:color w:val="954F72" w:themeColor="followedHyperlink"/>
      <w:u w:val="single"/>
    </w:rPr>
  </w:style>
  <w:style w:type="table" w:customStyle="1" w:styleId="TableGrid0">
    <w:name w:val="TableGrid"/>
    <w:rsid w:val="00CE6087"/>
    <w:rPr>
      <w:rFonts w:asciiTheme="minorHAnsi" w:eastAsiaTheme="minorEastAsia" w:hAnsiTheme="minorHAnsi" w:cstheme="minorBidi"/>
      <w:kern w:val="2"/>
      <w:sz w:val="22"/>
      <w:szCs w:val="22"/>
      <w14:ligatures w14:val="standardContextua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351700">
      <w:bodyDiv w:val="1"/>
      <w:marLeft w:val="0"/>
      <w:marRight w:val="0"/>
      <w:marTop w:val="0"/>
      <w:marBottom w:val="0"/>
      <w:divBdr>
        <w:top w:val="none" w:sz="0" w:space="0" w:color="auto"/>
        <w:left w:val="none" w:sz="0" w:space="0" w:color="auto"/>
        <w:bottom w:val="none" w:sz="0" w:space="0" w:color="auto"/>
        <w:right w:val="none" w:sz="0" w:space="0" w:color="auto"/>
      </w:divBdr>
    </w:div>
    <w:div w:id="393821235">
      <w:bodyDiv w:val="1"/>
      <w:marLeft w:val="0"/>
      <w:marRight w:val="0"/>
      <w:marTop w:val="0"/>
      <w:marBottom w:val="0"/>
      <w:divBdr>
        <w:top w:val="none" w:sz="0" w:space="0" w:color="auto"/>
        <w:left w:val="none" w:sz="0" w:space="0" w:color="auto"/>
        <w:bottom w:val="none" w:sz="0" w:space="0" w:color="auto"/>
        <w:right w:val="none" w:sz="0" w:space="0" w:color="auto"/>
      </w:divBdr>
    </w:div>
    <w:div w:id="418452814">
      <w:bodyDiv w:val="1"/>
      <w:marLeft w:val="0"/>
      <w:marRight w:val="0"/>
      <w:marTop w:val="0"/>
      <w:marBottom w:val="0"/>
      <w:divBdr>
        <w:top w:val="none" w:sz="0" w:space="0" w:color="auto"/>
        <w:left w:val="none" w:sz="0" w:space="0" w:color="auto"/>
        <w:bottom w:val="none" w:sz="0" w:space="0" w:color="auto"/>
        <w:right w:val="none" w:sz="0" w:space="0" w:color="auto"/>
      </w:divBdr>
    </w:div>
    <w:div w:id="509880510">
      <w:bodyDiv w:val="1"/>
      <w:marLeft w:val="0"/>
      <w:marRight w:val="0"/>
      <w:marTop w:val="0"/>
      <w:marBottom w:val="0"/>
      <w:divBdr>
        <w:top w:val="none" w:sz="0" w:space="0" w:color="auto"/>
        <w:left w:val="none" w:sz="0" w:space="0" w:color="auto"/>
        <w:bottom w:val="none" w:sz="0" w:space="0" w:color="auto"/>
        <w:right w:val="none" w:sz="0" w:space="0" w:color="auto"/>
      </w:divBdr>
    </w:div>
    <w:div w:id="511071824">
      <w:bodyDiv w:val="1"/>
      <w:marLeft w:val="0"/>
      <w:marRight w:val="0"/>
      <w:marTop w:val="0"/>
      <w:marBottom w:val="0"/>
      <w:divBdr>
        <w:top w:val="none" w:sz="0" w:space="0" w:color="auto"/>
        <w:left w:val="none" w:sz="0" w:space="0" w:color="auto"/>
        <w:bottom w:val="none" w:sz="0" w:space="0" w:color="auto"/>
        <w:right w:val="none" w:sz="0" w:space="0" w:color="auto"/>
      </w:divBdr>
    </w:div>
    <w:div w:id="642584635">
      <w:bodyDiv w:val="1"/>
      <w:marLeft w:val="0"/>
      <w:marRight w:val="0"/>
      <w:marTop w:val="0"/>
      <w:marBottom w:val="0"/>
      <w:divBdr>
        <w:top w:val="none" w:sz="0" w:space="0" w:color="auto"/>
        <w:left w:val="none" w:sz="0" w:space="0" w:color="auto"/>
        <w:bottom w:val="none" w:sz="0" w:space="0" w:color="auto"/>
        <w:right w:val="none" w:sz="0" w:space="0" w:color="auto"/>
      </w:divBdr>
    </w:div>
    <w:div w:id="881552084">
      <w:bodyDiv w:val="1"/>
      <w:marLeft w:val="0"/>
      <w:marRight w:val="0"/>
      <w:marTop w:val="0"/>
      <w:marBottom w:val="0"/>
      <w:divBdr>
        <w:top w:val="none" w:sz="0" w:space="0" w:color="auto"/>
        <w:left w:val="none" w:sz="0" w:space="0" w:color="auto"/>
        <w:bottom w:val="none" w:sz="0" w:space="0" w:color="auto"/>
        <w:right w:val="none" w:sz="0" w:space="0" w:color="auto"/>
      </w:divBdr>
    </w:div>
    <w:div w:id="992684183">
      <w:bodyDiv w:val="1"/>
      <w:marLeft w:val="0"/>
      <w:marRight w:val="0"/>
      <w:marTop w:val="0"/>
      <w:marBottom w:val="0"/>
      <w:divBdr>
        <w:top w:val="none" w:sz="0" w:space="0" w:color="auto"/>
        <w:left w:val="none" w:sz="0" w:space="0" w:color="auto"/>
        <w:bottom w:val="none" w:sz="0" w:space="0" w:color="auto"/>
        <w:right w:val="none" w:sz="0" w:space="0" w:color="auto"/>
      </w:divBdr>
    </w:div>
    <w:div w:id="1066682130">
      <w:bodyDiv w:val="1"/>
      <w:marLeft w:val="0"/>
      <w:marRight w:val="0"/>
      <w:marTop w:val="0"/>
      <w:marBottom w:val="0"/>
      <w:divBdr>
        <w:top w:val="none" w:sz="0" w:space="0" w:color="auto"/>
        <w:left w:val="none" w:sz="0" w:space="0" w:color="auto"/>
        <w:bottom w:val="none" w:sz="0" w:space="0" w:color="auto"/>
        <w:right w:val="none" w:sz="0" w:space="0" w:color="auto"/>
      </w:divBdr>
    </w:div>
    <w:div w:id="1088311115">
      <w:bodyDiv w:val="1"/>
      <w:marLeft w:val="0"/>
      <w:marRight w:val="0"/>
      <w:marTop w:val="0"/>
      <w:marBottom w:val="0"/>
      <w:divBdr>
        <w:top w:val="none" w:sz="0" w:space="0" w:color="auto"/>
        <w:left w:val="none" w:sz="0" w:space="0" w:color="auto"/>
        <w:bottom w:val="none" w:sz="0" w:space="0" w:color="auto"/>
        <w:right w:val="none" w:sz="0" w:space="0" w:color="auto"/>
      </w:divBdr>
    </w:div>
    <w:div w:id="1204249495">
      <w:bodyDiv w:val="1"/>
      <w:marLeft w:val="0"/>
      <w:marRight w:val="0"/>
      <w:marTop w:val="0"/>
      <w:marBottom w:val="0"/>
      <w:divBdr>
        <w:top w:val="none" w:sz="0" w:space="0" w:color="auto"/>
        <w:left w:val="none" w:sz="0" w:space="0" w:color="auto"/>
        <w:bottom w:val="none" w:sz="0" w:space="0" w:color="auto"/>
        <w:right w:val="none" w:sz="0" w:space="0" w:color="auto"/>
      </w:divBdr>
    </w:div>
    <w:div w:id="1335380848">
      <w:bodyDiv w:val="1"/>
      <w:marLeft w:val="0"/>
      <w:marRight w:val="0"/>
      <w:marTop w:val="0"/>
      <w:marBottom w:val="0"/>
      <w:divBdr>
        <w:top w:val="none" w:sz="0" w:space="0" w:color="auto"/>
        <w:left w:val="none" w:sz="0" w:space="0" w:color="auto"/>
        <w:bottom w:val="none" w:sz="0" w:space="0" w:color="auto"/>
        <w:right w:val="none" w:sz="0" w:space="0" w:color="auto"/>
      </w:divBdr>
    </w:div>
    <w:div w:id="1412121647">
      <w:bodyDiv w:val="1"/>
      <w:marLeft w:val="0"/>
      <w:marRight w:val="0"/>
      <w:marTop w:val="0"/>
      <w:marBottom w:val="0"/>
      <w:divBdr>
        <w:top w:val="none" w:sz="0" w:space="0" w:color="auto"/>
        <w:left w:val="none" w:sz="0" w:space="0" w:color="auto"/>
        <w:bottom w:val="none" w:sz="0" w:space="0" w:color="auto"/>
        <w:right w:val="none" w:sz="0" w:space="0" w:color="auto"/>
      </w:divBdr>
    </w:div>
    <w:div w:id="1493253573">
      <w:bodyDiv w:val="1"/>
      <w:marLeft w:val="0"/>
      <w:marRight w:val="0"/>
      <w:marTop w:val="0"/>
      <w:marBottom w:val="0"/>
      <w:divBdr>
        <w:top w:val="none" w:sz="0" w:space="0" w:color="auto"/>
        <w:left w:val="none" w:sz="0" w:space="0" w:color="auto"/>
        <w:bottom w:val="none" w:sz="0" w:space="0" w:color="auto"/>
        <w:right w:val="none" w:sz="0" w:space="0" w:color="auto"/>
      </w:divBdr>
    </w:div>
    <w:div w:id="1511791394">
      <w:bodyDiv w:val="1"/>
      <w:marLeft w:val="0"/>
      <w:marRight w:val="0"/>
      <w:marTop w:val="0"/>
      <w:marBottom w:val="0"/>
      <w:divBdr>
        <w:top w:val="none" w:sz="0" w:space="0" w:color="auto"/>
        <w:left w:val="none" w:sz="0" w:space="0" w:color="auto"/>
        <w:bottom w:val="none" w:sz="0" w:space="0" w:color="auto"/>
        <w:right w:val="none" w:sz="0" w:space="0" w:color="auto"/>
      </w:divBdr>
    </w:div>
    <w:div w:id="1565095964">
      <w:bodyDiv w:val="1"/>
      <w:marLeft w:val="0"/>
      <w:marRight w:val="0"/>
      <w:marTop w:val="0"/>
      <w:marBottom w:val="0"/>
      <w:divBdr>
        <w:top w:val="none" w:sz="0" w:space="0" w:color="auto"/>
        <w:left w:val="none" w:sz="0" w:space="0" w:color="auto"/>
        <w:bottom w:val="none" w:sz="0" w:space="0" w:color="auto"/>
        <w:right w:val="none" w:sz="0" w:space="0" w:color="auto"/>
      </w:divBdr>
    </w:div>
    <w:div w:id="1583446005">
      <w:bodyDiv w:val="1"/>
      <w:marLeft w:val="0"/>
      <w:marRight w:val="0"/>
      <w:marTop w:val="0"/>
      <w:marBottom w:val="0"/>
      <w:divBdr>
        <w:top w:val="none" w:sz="0" w:space="0" w:color="auto"/>
        <w:left w:val="none" w:sz="0" w:space="0" w:color="auto"/>
        <w:bottom w:val="none" w:sz="0" w:space="0" w:color="auto"/>
        <w:right w:val="none" w:sz="0" w:space="0" w:color="auto"/>
      </w:divBdr>
    </w:div>
    <w:div w:id="1615090880">
      <w:bodyDiv w:val="1"/>
      <w:marLeft w:val="0"/>
      <w:marRight w:val="0"/>
      <w:marTop w:val="0"/>
      <w:marBottom w:val="0"/>
      <w:divBdr>
        <w:top w:val="none" w:sz="0" w:space="0" w:color="auto"/>
        <w:left w:val="none" w:sz="0" w:space="0" w:color="auto"/>
        <w:bottom w:val="none" w:sz="0" w:space="0" w:color="auto"/>
        <w:right w:val="none" w:sz="0" w:space="0" w:color="auto"/>
      </w:divBdr>
    </w:div>
    <w:div w:id="1680038958">
      <w:bodyDiv w:val="1"/>
      <w:marLeft w:val="0"/>
      <w:marRight w:val="0"/>
      <w:marTop w:val="0"/>
      <w:marBottom w:val="0"/>
      <w:divBdr>
        <w:top w:val="none" w:sz="0" w:space="0" w:color="auto"/>
        <w:left w:val="none" w:sz="0" w:space="0" w:color="auto"/>
        <w:bottom w:val="none" w:sz="0" w:space="0" w:color="auto"/>
        <w:right w:val="none" w:sz="0" w:space="0" w:color="auto"/>
      </w:divBdr>
    </w:div>
    <w:div w:id="1754357944">
      <w:bodyDiv w:val="1"/>
      <w:marLeft w:val="0"/>
      <w:marRight w:val="0"/>
      <w:marTop w:val="0"/>
      <w:marBottom w:val="0"/>
      <w:divBdr>
        <w:top w:val="none" w:sz="0" w:space="0" w:color="auto"/>
        <w:left w:val="none" w:sz="0" w:space="0" w:color="auto"/>
        <w:bottom w:val="none" w:sz="0" w:space="0" w:color="auto"/>
        <w:right w:val="none" w:sz="0" w:space="0" w:color="auto"/>
      </w:divBdr>
    </w:div>
    <w:div w:id="1969360196">
      <w:bodyDiv w:val="1"/>
      <w:marLeft w:val="0"/>
      <w:marRight w:val="0"/>
      <w:marTop w:val="0"/>
      <w:marBottom w:val="0"/>
      <w:divBdr>
        <w:top w:val="none" w:sz="0" w:space="0" w:color="auto"/>
        <w:left w:val="none" w:sz="0" w:space="0" w:color="auto"/>
        <w:bottom w:val="none" w:sz="0" w:space="0" w:color="auto"/>
        <w:right w:val="none" w:sz="0" w:space="0" w:color="auto"/>
      </w:divBdr>
    </w:div>
    <w:div w:id="207626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3.emf"/><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6.emf"/><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5.emf"/><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137CDF28091F54ABBD6D52DBDB7409D" ma:contentTypeVersion="15" ma:contentTypeDescription="Create a new document." ma:contentTypeScope="" ma:versionID="f839e2c06a8bef135015df86c64ebca0">
  <xsd:schema xmlns:xsd="http://www.w3.org/2001/XMLSchema" xmlns:xs="http://www.w3.org/2001/XMLSchema" xmlns:p="http://schemas.microsoft.com/office/2006/metadata/properties" xmlns:ns1="http://schemas.microsoft.com/sharepoint/v3" xmlns:ns2="0045ecbb-72e5-4e23-8ce6-cfd22e2769ea" xmlns:ns3="33d1aacd-eed5-4181-a91e-0fde566d8e98" xmlns:ns4="6f0d0c61-922d-48b4-b62f-1ef0f8a428b6" targetNamespace="http://schemas.microsoft.com/office/2006/metadata/properties" ma:root="true" ma:fieldsID="df112648c0226d3f26474b832d363ebf" ns1:_="" ns2:_="" ns3:_="" ns4:_="">
    <xsd:import namespace="http://schemas.microsoft.com/sharepoint/v3"/>
    <xsd:import namespace="0045ecbb-72e5-4e23-8ce6-cfd22e2769ea"/>
    <xsd:import namespace="33d1aacd-eed5-4181-a91e-0fde566d8e98"/>
    <xsd:import namespace="6f0d0c61-922d-48b4-b62f-1ef0f8a428b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4:TaxCatchAll" minOccurs="0"/>
                <xsd:element ref="ns2:MediaServiceDateTaken" minOccurs="0"/>
                <xsd:element ref="ns2:MediaServiceOCR" minOccurs="0"/>
                <xsd:element ref="ns2:MediaServiceGenerationTime" minOccurs="0"/>
                <xsd:element ref="ns2:MediaServiceEventHashCode" minOccurs="0"/>
                <xsd:element ref="ns2:MediaServiceObjectDetectorVersions" minOccurs="0"/>
                <xsd:element ref="ns1:_ip_UnifiedCompliancePolicyProperties" minOccurs="0"/>
                <xsd:element ref="ns1:_ip_UnifiedCompliancePolicyUIAc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45ecbb-72e5-4e23-8ce6-cfd22e2769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9781236-037b-411b-a023-bd80484dbecd"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d1aacd-eed5-4181-a91e-0fde566d8e9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0d0c61-922d-48b4-b62f-1ef0f8a428b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a0da4be-9e2c-46ca-92db-8871b2180bda}" ma:internalName="TaxCatchAll" ma:showField="CatchAllData" ma:web="33d1aacd-eed5-4181-a91e-0fde566d8e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6f0d0c61-922d-48b4-b62f-1ef0f8a428b6" xsi:nil="true"/>
    <_ip_UnifiedCompliancePolicyUIAction xmlns="http://schemas.microsoft.com/sharepoint/v3" xsi:nil="true"/>
    <_ip_UnifiedCompliancePolicyProperties xmlns="http://schemas.microsoft.com/sharepoint/v3" xsi:nil="true"/>
    <SharedWithUsers xmlns="33d1aacd-eed5-4181-a91e-0fde566d8e98">
      <UserInfo>
        <DisplayName>Beth Blackburn</DisplayName>
        <AccountId>18</AccountId>
        <AccountType/>
      </UserInfo>
      <UserInfo>
        <DisplayName>Callum Melville</DisplayName>
        <AccountId>24</AccountId>
        <AccountType/>
      </UserInfo>
      <UserInfo>
        <DisplayName>Neil Cross</DisplayName>
        <AccountId>19</AccountId>
        <AccountType/>
      </UserInfo>
    </SharedWithUsers>
    <lcf76f155ced4ddcb4097134ff3c332f xmlns="0045ecbb-72e5-4e23-8ce6-cfd22e2769e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DEA157D-2AAC-4C0D-B01F-1935C2972E74}">
  <ds:schemaRefs>
    <ds:schemaRef ds:uri="http://schemas.microsoft.com/sharepoint/v3/contenttype/forms"/>
  </ds:schemaRefs>
</ds:datastoreItem>
</file>

<file path=customXml/itemProps2.xml><?xml version="1.0" encoding="utf-8"?>
<ds:datastoreItem xmlns:ds="http://schemas.openxmlformats.org/officeDocument/2006/customXml" ds:itemID="{1FE42906-0D83-49B8-AE76-041A14D6167C}">
  <ds:schemaRefs>
    <ds:schemaRef ds:uri="http://schemas.openxmlformats.org/officeDocument/2006/bibliography"/>
  </ds:schemaRefs>
</ds:datastoreItem>
</file>

<file path=customXml/itemProps3.xml><?xml version="1.0" encoding="utf-8"?>
<ds:datastoreItem xmlns:ds="http://schemas.openxmlformats.org/officeDocument/2006/customXml" ds:itemID="{7B01B84B-2C6F-42EC-89A2-6547D7B9DE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045ecbb-72e5-4e23-8ce6-cfd22e2769ea"/>
    <ds:schemaRef ds:uri="33d1aacd-eed5-4181-a91e-0fde566d8e98"/>
    <ds:schemaRef ds:uri="6f0d0c61-922d-48b4-b62f-1ef0f8a42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84EF97-C89B-4BB9-B787-BAB5A316C5B3}">
  <ds:schemaRefs>
    <ds:schemaRef ds:uri="http://schemas.microsoft.com/office/2006/metadata/properties"/>
    <ds:schemaRef ds:uri="http://schemas.microsoft.com/office/infopath/2007/PartnerControls"/>
    <ds:schemaRef ds:uri="6f0d0c61-922d-48b4-b62f-1ef0f8a428b6"/>
    <ds:schemaRef ds:uri="http://schemas.microsoft.com/sharepoint/v3"/>
    <ds:schemaRef ds:uri="33d1aacd-eed5-4181-a91e-0fde566d8e98"/>
    <ds:schemaRef ds:uri="0045ecbb-72e5-4e23-8ce6-cfd22e2769ea"/>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10</Pages>
  <Words>2410</Words>
  <Characters>13739</Characters>
  <Application>Microsoft Office Word</Application>
  <DocSecurity>0</DocSecurity>
  <Lines>114</Lines>
  <Paragraphs>32</Paragraphs>
  <ScaleCrop>false</ScaleCrop>
  <Company>EssexFire</Company>
  <LinksUpToDate>false</LinksUpToDate>
  <CharactersWithSpaces>16117</CharactersWithSpaces>
  <SharedDoc>false</SharedDoc>
  <HLinks>
    <vt:vector size="42" baseType="variant">
      <vt:variant>
        <vt:i4>4456478</vt:i4>
      </vt:variant>
      <vt:variant>
        <vt:i4>33</vt:i4>
      </vt:variant>
      <vt:variant>
        <vt:i4>0</vt:i4>
      </vt:variant>
      <vt:variant>
        <vt:i4>5</vt:i4>
      </vt:variant>
      <vt:variant>
        <vt:lpwstr>https://www.essex-fire.gov.uk/sites/default/files/2023-05/Unaudited Statement of Accounts 2022-23.pdf</vt:lpwstr>
      </vt:variant>
      <vt:variant>
        <vt:lpwstr/>
      </vt:variant>
      <vt:variant>
        <vt:i4>1966136</vt:i4>
      </vt:variant>
      <vt:variant>
        <vt:i4>26</vt:i4>
      </vt:variant>
      <vt:variant>
        <vt:i4>0</vt:i4>
      </vt:variant>
      <vt:variant>
        <vt:i4>5</vt:i4>
      </vt:variant>
      <vt:variant>
        <vt:lpwstr/>
      </vt:variant>
      <vt:variant>
        <vt:lpwstr>_Toc158629334</vt:lpwstr>
      </vt:variant>
      <vt:variant>
        <vt:i4>1966136</vt:i4>
      </vt:variant>
      <vt:variant>
        <vt:i4>20</vt:i4>
      </vt:variant>
      <vt:variant>
        <vt:i4>0</vt:i4>
      </vt:variant>
      <vt:variant>
        <vt:i4>5</vt:i4>
      </vt:variant>
      <vt:variant>
        <vt:lpwstr/>
      </vt:variant>
      <vt:variant>
        <vt:lpwstr>_Toc158629333</vt:lpwstr>
      </vt:variant>
      <vt:variant>
        <vt:i4>1966136</vt:i4>
      </vt:variant>
      <vt:variant>
        <vt:i4>14</vt:i4>
      </vt:variant>
      <vt:variant>
        <vt:i4>0</vt:i4>
      </vt:variant>
      <vt:variant>
        <vt:i4>5</vt:i4>
      </vt:variant>
      <vt:variant>
        <vt:lpwstr/>
      </vt:variant>
      <vt:variant>
        <vt:lpwstr>_Toc158629332</vt:lpwstr>
      </vt:variant>
      <vt:variant>
        <vt:i4>1966136</vt:i4>
      </vt:variant>
      <vt:variant>
        <vt:i4>8</vt:i4>
      </vt:variant>
      <vt:variant>
        <vt:i4>0</vt:i4>
      </vt:variant>
      <vt:variant>
        <vt:i4>5</vt:i4>
      </vt:variant>
      <vt:variant>
        <vt:lpwstr/>
      </vt:variant>
      <vt:variant>
        <vt:lpwstr>_Toc158629331</vt:lpwstr>
      </vt:variant>
      <vt:variant>
        <vt:i4>1966136</vt:i4>
      </vt:variant>
      <vt:variant>
        <vt:i4>2</vt:i4>
      </vt:variant>
      <vt:variant>
        <vt:i4>0</vt:i4>
      </vt:variant>
      <vt:variant>
        <vt:i4>5</vt:i4>
      </vt:variant>
      <vt:variant>
        <vt:lpwstr/>
      </vt:variant>
      <vt:variant>
        <vt:lpwstr>_Toc158629330</vt:lpwstr>
      </vt:variant>
      <vt:variant>
        <vt:i4>5832745</vt:i4>
      </vt:variant>
      <vt:variant>
        <vt:i4>0</vt:i4>
      </vt:variant>
      <vt:variant>
        <vt:i4>0</vt:i4>
      </vt:variant>
      <vt:variant>
        <vt:i4>5</vt:i4>
      </vt:variant>
      <vt:variant>
        <vt:lpwstr>mailto:neil.cross@essex-fire.gov.uk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Section</dc:creator>
  <cp:keywords/>
  <cp:lastModifiedBy>Rebecca Twin</cp:lastModifiedBy>
  <cp:revision>13</cp:revision>
  <cp:lastPrinted>2024-02-12T19:22:00Z</cp:lastPrinted>
  <dcterms:created xsi:type="dcterms:W3CDTF">2024-03-13T13:59:00Z</dcterms:created>
  <dcterms:modified xsi:type="dcterms:W3CDTF">2024-03-13T14:35:00Z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0x0101002137CDF28091F54ABBD6D52DBDB7409D</vt:lpwstr>
  </property>
  <property fmtid="{D5CDD505-2E9C-101B-9397-08002B2CF9AE}" pid="3" name="ClassificationContentMarkingHeaderShapeIds">
    <vt:lpwstr>2,3,4</vt:lpwstr>
  </property>
  <property fmtid="{D5CDD505-2E9C-101B-9397-08002B2CF9AE}" pid="4" name="ClassificationContentMarkingHeaderFontProps">
    <vt:lpwstr>#000000,10,Calibri</vt:lpwstr>
  </property>
  <property fmtid="{D5CDD505-2E9C-101B-9397-08002B2CF9AE}" pid="5" name="ClassificationContentMarkingHeaderText">
    <vt:lpwstr>OFFICIAL-SENSITIVE</vt:lpwstr>
  </property>
  <property fmtid="{D5CDD505-2E9C-101B-9397-08002B2CF9AE}" pid="6" name="ClassificationContentMarkingFooterShapeIds">
    <vt:lpwstr>5,6,7</vt:lpwstr>
  </property>
  <property fmtid="{D5CDD505-2E9C-101B-9397-08002B2CF9AE}" pid="7" name="ClassificationContentMarkingFooterFontProps">
    <vt:lpwstr>#000000,10,Calibri</vt:lpwstr>
  </property>
  <property fmtid="{D5CDD505-2E9C-101B-9397-08002B2CF9AE}" pid="8" name="ClassificationContentMarkingFooterText">
    <vt:lpwstr>OFFICIAL-SENSITIVE</vt:lpwstr>
  </property>
  <property fmtid="{D5CDD505-2E9C-101B-9397-08002B2CF9AE}" pid="9" name="MSIP_Label_74be8931-9cf2-4b28-9e7a-7dabaadc249f_Enabled">
    <vt:lpwstr>true</vt:lpwstr>
  </property>
  <property fmtid="{D5CDD505-2E9C-101B-9397-08002B2CF9AE}" pid="10" name="MSIP_Label_74be8931-9cf2-4b28-9e7a-7dabaadc249f_SetDate">
    <vt:lpwstr>2022-02-08T17:14:57Z</vt:lpwstr>
  </property>
  <property fmtid="{D5CDD505-2E9C-101B-9397-08002B2CF9AE}" pid="11" name="MSIP_Label_74be8931-9cf2-4b28-9e7a-7dabaadc249f_Method">
    <vt:lpwstr>Privileged</vt:lpwstr>
  </property>
  <property fmtid="{D5CDD505-2E9C-101B-9397-08002B2CF9AE}" pid="12" name="MSIP_Label_74be8931-9cf2-4b28-9e7a-7dabaadc249f_Name">
    <vt:lpwstr>OFFICIAL-SENSITIVE</vt:lpwstr>
  </property>
  <property fmtid="{D5CDD505-2E9C-101B-9397-08002B2CF9AE}" pid="13" name="MSIP_Label_74be8931-9cf2-4b28-9e7a-7dabaadc249f_SiteId">
    <vt:lpwstr>ebb4b37b-40c4-4b17-825c-5dc692c18888</vt:lpwstr>
  </property>
  <property fmtid="{D5CDD505-2E9C-101B-9397-08002B2CF9AE}" pid="14" name="MSIP_Label_74be8931-9cf2-4b28-9e7a-7dabaadc249f_ActionId">
    <vt:lpwstr>2d872607-ab49-4414-8cdf-13ef4197564d</vt:lpwstr>
  </property>
  <property fmtid="{D5CDD505-2E9C-101B-9397-08002B2CF9AE}" pid="15" name="MSIP_Label_74be8931-9cf2-4b28-9e7a-7dabaadc249f_ContentBits">
    <vt:lpwstr>3</vt:lpwstr>
  </property>
  <property fmtid="{D5CDD505-2E9C-101B-9397-08002B2CF9AE}" pid="16" name="MediaServiceImageTags">
    <vt:lpwstr/>
  </property>
</Properties>
</file>