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334" w14:textId="05B35DDA" w:rsidR="004F62BB" w:rsidRPr="004F62BB" w:rsidRDefault="000D1251" w:rsidP="00773654">
      <w:pPr>
        <w:spacing w:after="0" w:line="240" w:lineRule="auto"/>
        <w:jc w:val="center"/>
        <w:rPr>
          <w:rFonts w:ascii="Arial" w:hAnsi="Arial" w:cs="Arial"/>
          <w:b/>
          <w:sz w:val="24"/>
          <w:szCs w:val="24"/>
        </w:rPr>
      </w:pPr>
      <w:bookmarkStart w:id="0" w:name="_Hlk140652892"/>
      <w:bookmarkEnd w:id="0"/>
      <w:r>
        <w:rPr>
          <w:rFonts w:ascii="Arial" w:hAnsi="Arial" w:cs="Arial"/>
          <w:b/>
          <w:sz w:val="24"/>
          <w:szCs w:val="24"/>
        </w:rPr>
        <w:t>Quarterly Report – Complaints, Misconduct and Other Matters</w:t>
      </w:r>
    </w:p>
    <w:p w14:paraId="0B94CC11" w14:textId="77777777" w:rsidR="001D5222" w:rsidRDefault="001D5222" w:rsidP="00773654">
      <w:pPr>
        <w:spacing w:after="0" w:line="240" w:lineRule="auto"/>
        <w:jc w:val="center"/>
        <w:rPr>
          <w:rFonts w:ascii="Arial" w:hAnsi="Arial" w:cs="Arial"/>
          <w:b/>
          <w:sz w:val="24"/>
          <w:szCs w:val="24"/>
        </w:rPr>
      </w:pPr>
    </w:p>
    <w:p w14:paraId="66656A7C" w14:textId="08E016AF" w:rsidR="004F62BB" w:rsidRPr="004F62BB" w:rsidRDefault="00DC1E30" w:rsidP="00773654">
      <w:pPr>
        <w:spacing w:after="0" w:line="240" w:lineRule="auto"/>
        <w:jc w:val="center"/>
        <w:rPr>
          <w:rFonts w:ascii="Arial" w:hAnsi="Arial" w:cs="Arial"/>
          <w:b/>
          <w:sz w:val="24"/>
          <w:szCs w:val="24"/>
        </w:rPr>
      </w:pPr>
      <w:r>
        <w:rPr>
          <w:rFonts w:ascii="Arial" w:hAnsi="Arial" w:cs="Arial"/>
          <w:b/>
          <w:sz w:val="24"/>
          <w:szCs w:val="24"/>
        </w:rPr>
        <w:t xml:space="preserve">Contact – </w:t>
      </w:r>
      <w:proofErr w:type="spellStart"/>
      <w:r>
        <w:rPr>
          <w:rFonts w:ascii="Arial" w:hAnsi="Arial" w:cs="Arial"/>
          <w:b/>
          <w:sz w:val="24"/>
          <w:szCs w:val="24"/>
        </w:rPr>
        <w:t>D/Supt</w:t>
      </w:r>
      <w:proofErr w:type="spellEnd"/>
      <w:r>
        <w:rPr>
          <w:rFonts w:ascii="Arial" w:hAnsi="Arial" w:cs="Arial"/>
          <w:b/>
          <w:sz w:val="24"/>
          <w:szCs w:val="24"/>
        </w:rPr>
        <w:t xml:space="preserve"> Scott Cannon</w:t>
      </w:r>
    </w:p>
    <w:p w14:paraId="5BB30DBB" w14:textId="77777777" w:rsidR="001D5222" w:rsidRDefault="001D5222" w:rsidP="00773654">
      <w:pPr>
        <w:spacing w:after="0" w:line="240" w:lineRule="auto"/>
        <w:jc w:val="center"/>
        <w:rPr>
          <w:rFonts w:ascii="Arial" w:hAnsi="Arial" w:cs="Arial"/>
          <w:b/>
          <w:sz w:val="24"/>
          <w:szCs w:val="24"/>
        </w:rPr>
      </w:pPr>
    </w:p>
    <w:p w14:paraId="7F22B458" w14:textId="77777777" w:rsidR="004F62BB" w:rsidRDefault="004F62BB" w:rsidP="004F62BB">
      <w:pPr>
        <w:spacing w:after="0" w:line="240" w:lineRule="auto"/>
        <w:jc w:val="center"/>
        <w:rPr>
          <w:rFonts w:ascii="Arial" w:hAnsi="Arial" w:cs="Arial"/>
          <w:b/>
          <w:sz w:val="24"/>
          <w:szCs w:val="24"/>
        </w:rPr>
      </w:pPr>
    </w:p>
    <w:p w14:paraId="47217170" w14:textId="77777777" w:rsidR="001D5222" w:rsidRPr="004F62BB" w:rsidRDefault="001D5222" w:rsidP="00E92E89">
      <w:pPr>
        <w:spacing w:after="0" w:line="240" w:lineRule="auto"/>
        <w:ind w:left="709"/>
        <w:rPr>
          <w:rFonts w:ascii="Arial" w:hAnsi="Arial" w:cs="Arial"/>
          <w:b/>
          <w:sz w:val="24"/>
          <w:szCs w:val="24"/>
        </w:rPr>
      </w:pPr>
    </w:p>
    <w:p w14:paraId="5A9847B6" w14:textId="77777777" w:rsidR="00665862" w:rsidRDefault="00665862" w:rsidP="00DC1E30">
      <w:pPr>
        <w:pStyle w:val="NoSpacing"/>
        <w:rPr>
          <w:rFonts w:ascii="Arial" w:hAnsi="Arial" w:cs="Arial"/>
          <w:b/>
          <w:sz w:val="24"/>
          <w:szCs w:val="24"/>
          <w:u w:val="single"/>
        </w:rPr>
      </w:pPr>
      <w:r w:rsidRPr="00665862">
        <w:rPr>
          <w:rFonts w:ascii="Arial" w:hAnsi="Arial" w:cs="Arial"/>
          <w:b/>
          <w:sz w:val="24"/>
          <w:szCs w:val="24"/>
          <w:u w:val="single"/>
        </w:rPr>
        <w:t>Purpose of Report</w:t>
      </w:r>
    </w:p>
    <w:p w14:paraId="7299CD6A" w14:textId="4B227193" w:rsidR="00665862" w:rsidRDefault="00665862" w:rsidP="009123E2">
      <w:pPr>
        <w:pStyle w:val="NoSpacing"/>
        <w:rPr>
          <w:rFonts w:ascii="Arial" w:hAnsi="Arial" w:cs="Arial"/>
          <w:sz w:val="24"/>
          <w:szCs w:val="24"/>
        </w:rPr>
      </w:pPr>
    </w:p>
    <w:p w14:paraId="470E0DE3" w14:textId="39E2FB03" w:rsidR="009123E2" w:rsidRDefault="009123E2" w:rsidP="009123E2">
      <w:pPr>
        <w:pStyle w:val="NoSpacing"/>
        <w:rPr>
          <w:rFonts w:ascii="Arial" w:eastAsia="Times New Roman" w:hAnsi="Arial" w:cs="Arial"/>
          <w:sz w:val="24"/>
          <w:szCs w:val="24"/>
        </w:rPr>
      </w:pPr>
      <w:r w:rsidRPr="00454096">
        <w:rPr>
          <w:rFonts w:ascii="Arial" w:eastAsia="Times New Roman" w:hAnsi="Arial" w:cs="Arial"/>
          <w:sz w:val="24"/>
          <w:szCs w:val="24"/>
        </w:rPr>
        <w:t xml:space="preserve">This report outlines the data and performance of Complaints, Misconduct and other matters that have been processed up to </w:t>
      </w:r>
      <w:r w:rsidR="00C36193">
        <w:rPr>
          <w:rFonts w:ascii="Arial" w:eastAsia="Times New Roman" w:hAnsi="Arial" w:cs="Arial"/>
          <w:sz w:val="24"/>
          <w:szCs w:val="24"/>
        </w:rPr>
        <w:t>30</w:t>
      </w:r>
      <w:r w:rsidR="00C36193" w:rsidRPr="00C36193">
        <w:rPr>
          <w:rFonts w:ascii="Arial" w:eastAsia="Times New Roman" w:hAnsi="Arial" w:cs="Arial"/>
          <w:sz w:val="24"/>
          <w:szCs w:val="24"/>
          <w:vertAlign w:val="superscript"/>
        </w:rPr>
        <w:t>th</w:t>
      </w:r>
      <w:r w:rsidR="00C36193">
        <w:rPr>
          <w:rFonts w:ascii="Arial" w:eastAsia="Times New Roman" w:hAnsi="Arial" w:cs="Arial"/>
          <w:sz w:val="24"/>
          <w:szCs w:val="24"/>
        </w:rPr>
        <w:t xml:space="preserve"> September</w:t>
      </w:r>
      <w:r w:rsidR="00BF55D2">
        <w:rPr>
          <w:rFonts w:ascii="Arial" w:eastAsia="Times New Roman" w:hAnsi="Arial" w:cs="Arial"/>
          <w:sz w:val="24"/>
          <w:szCs w:val="24"/>
        </w:rPr>
        <w:t xml:space="preserve"> 2023</w:t>
      </w:r>
      <w:r w:rsidRPr="00454096">
        <w:rPr>
          <w:rFonts w:ascii="Arial" w:eastAsia="Times New Roman" w:hAnsi="Arial" w:cs="Arial"/>
          <w:sz w:val="24"/>
          <w:szCs w:val="24"/>
        </w:rPr>
        <w:t xml:space="preserve"> by the Professional Standards Department (PSD).</w:t>
      </w:r>
    </w:p>
    <w:p w14:paraId="4E102D5C" w14:textId="77777777" w:rsidR="009123E2" w:rsidRPr="00665862" w:rsidRDefault="009123E2" w:rsidP="009123E2">
      <w:pPr>
        <w:pStyle w:val="NoSpacing"/>
        <w:rPr>
          <w:rFonts w:ascii="Arial" w:hAnsi="Arial" w:cs="Arial"/>
          <w:sz w:val="24"/>
          <w:szCs w:val="24"/>
        </w:rPr>
      </w:pPr>
    </w:p>
    <w:p w14:paraId="116A586B" w14:textId="77777777" w:rsidR="00665862" w:rsidRDefault="00665862" w:rsidP="00A02457">
      <w:pPr>
        <w:pStyle w:val="NoSpacing"/>
        <w:rPr>
          <w:rFonts w:ascii="Arial" w:hAnsi="Arial" w:cs="Arial"/>
          <w:b/>
          <w:sz w:val="24"/>
          <w:szCs w:val="24"/>
          <w:u w:val="single"/>
        </w:rPr>
      </w:pPr>
      <w:r w:rsidRPr="00665862">
        <w:rPr>
          <w:rFonts w:ascii="Arial" w:hAnsi="Arial" w:cs="Arial"/>
          <w:b/>
          <w:sz w:val="24"/>
          <w:szCs w:val="24"/>
          <w:u w:val="single"/>
        </w:rPr>
        <w:t>Recommendations</w:t>
      </w:r>
    </w:p>
    <w:p w14:paraId="37CEAC8E" w14:textId="77777777" w:rsidR="00652B9C" w:rsidRDefault="00652B9C" w:rsidP="00E92E89">
      <w:pPr>
        <w:pStyle w:val="NoSpacing"/>
        <w:ind w:left="720"/>
        <w:rPr>
          <w:rFonts w:ascii="Arial" w:hAnsi="Arial" w:cs="Arial"/>
          <w:b/>
          <w:sz w:val="24"/>
          <w:szCs w:val="24"/>
          <w:u w:val="single"/>
        </w:rPr>
      </w:pPr>
    </w:p>
    <w:p w14:paraId="2FE45904" w14:textId="57B35BAF" w:rsidR="00981788" w:rsidRPr="00CC70EA" w:rsidRDefault="00B97932" w:rsidP="0041207A">
      <w:pPr>
        <w:pStyle w:val="NoSpacing"/>
        <w:rPr>
          <w:rFonts w:ascii="Arial" w:hAnsi="Arial" w:cs="Arial"/>
          <w:sz w:val="24"/>
          <w:szCs w:val="24"/>
        </w:rPr>
      </w:pPr>
      <w:r w:rsidRPr="00454096">
        <w:rPr>
          <w:rFonts w:ascii="Arial" w:eastAsia="Times New Roman" w:hAnsi="Arial" w:cs="Arial"/>
          <w:sz w:val="24"/>
          <w:szCs w:val="24"/>
        </w:rPr>
        <w:t>That the Commissioner considers the report and raise</w:t>
      </w:r>
      <w:r w:rsidR="004E2CB7">
        <w:rPr>
          <w:rFonts w:ascii="Arial" w:eastAsia="Times New Roman" w:hAnsi="Arial" w:cs="Arial"/>
          <w:sz w:val="24"/>
          <w:szCs w:val="24"/>
        </w:rPr>
        <w:t>s</w:t>
      </w:r>
      <w:r w:rsidRPr="00454096">
        <w:rPr>
          <w:rFonts w:ascii="Arial" w:eastAsia="Times New Roman" w:hAnsi="Arial" w:cs="Arial"/>
          <w:sz w:val="24"/>
          <w:szCs w:val="24"/>
        </w:rPr>
        <w:t xml:space="preserve"> any queries though the quarterly meeting with the Deputy Chief Constable.</w:t>
      </w:r>
    </w:p>
    <w:p w14:paraId="1C8B7C6E" w14:textId="77777777" w:rsidR="00B97932" w:rsidRPr="00665862" w:rsidRDefault="00B97932" w:rsidP="00665862">
      <w:pPr>
        <w:pStyle w:val="NoSpacing"/>
        <w:ind w:left="720"/>
        <w:rPr>
          <w:rFonts w:ascii="Arial" w:hAnsi="Arial" w:cs="Arial"/>
          <w:b/>
          <w:sz w:val="24"/>
          <w:szCs w:val="24"/>
        </w:rPr>
      </w:pPr>
    </w:p>
    <w:p w14:paraId="26AE2FB5" w14:textId="66AB5DEB" w:rsidR="00121A7F" w:rsidRPr="00674D8F" w:rsidRDefault="004F62BB" w:rsidP="00665862">
      <w:pPr>
        <w:pStyle w:val="NoSpacing"/>
        <w:ind w:left="720" w:hanging="720"/>
        <w:rPr>
          <w:rFonts w:ascii="Arial" w:hAnsi="Arial" w:cs="Arial"/>
          <w:b/>
          <w:sz w:val="24"/>
          <w:szCs w:val="24"/>
          <w:u w:val="single"/>
        </w:rPr>
      </w:pPr>
      <w:r w:rsidRPr="00674D8F">
        <w:rPr>
          <w:rFonts w:ascii="Arial" w:hAnsi="Arial" w:cs="Arial"/>
          <w:b/>
          <w:sz w:val="24"/>
          <w:szCs w:val="24"/>
          <w:u w:val="single"/>
        </w:rPr>
        <w:t>Introduction</w:t>
      </w:r>
    </w:p>
    <w:p w14:paraId="573EF63B" w14:textId="17A7669F" w:rsidR="005A7D41" w:rsidRPr="00674D8F" w:rsidRDefault="005A7D41" w:rsidP="00665862">
      <w:pPr>
        <w:pStyle w:val="NoSpacing"/>
        <w:ind w:left="720" w:hanging="720"/>
        <w:rPr>
          <w:rFonts w:ascii="Arial" w:hAnsi="Arial" w:cs="Arial"/>
          <w:b/>
          <w:sz w:val="24"/>
          <w:szCs w:val="24"/>
          <w:u w:val="single"/>
        </w:rPr>
      </w:pPr>
    </w:p>
    <w:p w14:paraId="3530E079"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The Complaint and Misconduct data used for this report is generally per strand in a case, except for where otherwise stated. It does not cover each officer allegation within a complaint. </w:t>
      </w:r>
    </w:p>
    <w:p w14:paraId="2F204DD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For example, an overall complaint or misconduct case number is likely to include more than one complaint/misconduct strand or category – the data used reflects the separate strands. There will often be multiple officers subject to a complaint strand. The latter is at times reflected in this data, where it is noted as such.</w:t>
      </w:r>
    </w:p>
    <w:p w14:paraId="0557CAD7"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Caveats:</w:t>
      </w:r>
    </w:p>
    <w:p w14:paraId="140D4C63"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Complaints and Misconduct data includes those that were de-recorded/withdrawn.</w:t>
      </w:r>
    </w:p>
    <w:p w14:paraId="5D3820DE"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Data is dependent on certain fields being accurate – for example, when considering Commands/Area Responsible – due to changes in structures within the force, and due to changes within commands, numbers may be skewed compared to other reporting.</w:t>
      </w:r>
    </w:p>
    <w:p w14:paraId="4D51D99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This data uses the Area Responsible as recorded initially for Cases; this will not reflect the individual complaint strands and officer allegations which will often be across different commands and areas.  </w:t>
      </w:r>
    </w:p>
    <w:p w14:paraId="58162444"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Commands:</w:t>
      </w:r>
    </w:p>
    <w:p w14:paraId="647A2270"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The table details the Commands across Essex Police and the abbreviations that will be used to refer to them throughout the report.</w:t>
      </w:r>
    </w:p>
    <w:p w14:paraId="34707262" w14:textId="125EF0EB" w:rsidR="005A7D41" w:rsidRDefault="00B05BCD" w:rsidP="00F41FFC">
      <w:pPr>
        <w:pStyle w:val="NoSpacing"/>
        <w:ind w:left="720" w:hanging="720"/>
        <w:jc w:val="center"/>
        <w:rPr>
          <w:rFonts w:ascii="Arial" w:hAnsi="Arial" w:cs="Arial"/>
          <w:b/>
          <w:sz w:val="24"/>
          <w:szCs w:val="24"/>
          <w:u w:val="single"/>
        </w:rPr>
      </w:pPr>
      <w:r w:rsidRPr="009F1BAD">
        <w:rPr>
          <w:noProof/>
        </w:rPr>
        <w:lastRenderedPageBreak/>
        <w:drawing>
          <wp:inline distT="0" distB="0" distL="0" distR="0" wp14:anchorId="6C4A93D1" wp14:editId="0415A5E0">
            <wp:extent cx="3973240" cy="23622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066" cy="2362691"/>
                    </a:xfrm>
                    <a:prstGeom prst="rect">
                      <a:avLst/>
                    </a:prstGeom>
                    <a:noFill/>
                    <a:ln>
                      <a:noFill/>
                    </a:ln>
                  </pic:spPr>
                </pic:pic>
              </a:graphicData>
            </a:graphic>
          </wp:inline>
        </w:drawing>
      </w:r>
    </w:p>
    <w:p w14:paraId="5F4D2436" w14:textId="77777777" w:rsidR="00B05BCD" w:rsidRPr="007D3E9B" w:rsidRDefault="00B05BCD" w:rsidP="00B05BCD">
      <w:pPr>
        <w:pStyle w:val="NoSpacing"/>
        <w:rPr>
          <w:rFonts w:ascii="Arial" w:hAnsi="Arial" w:cs="Arial"/>
          <w:b/>
          <w:sz w:val="24"/>
          <w:szCs w:val="24"/>
          <w:u w:val="single"/>
        </w:rPr>
      </w:pPr>
    </w:p>
    <w:p w14:paraId="06CDA52A" w14:textId="1565D8E8" w:rsidR="00591EB9" w:rsidRPr="002A6CFA" w:rsidRDefault="00591EB9" w:rsidP="009F283C">
      <w:pPr>
        <w:pStyle w:val="NoSpacing"/>
        <w:rPr>
          <w:rFonts w:ascii="Arial" w:hAnsi="Arial" w:cs="Arial"/>
          <w:b/>
          <w:sz w:val="24"/>
          <w:szCs w:val="24"/>
        </w:rPr>
      </w:pPr>
    </w:p>
    <w:p w14:paraId="52924D5B" w14:textId="77777777" w:rsidR="00B77354" w:rsidRDefault="00B77354" w:rsidP="00B05BCD">
      <w:pPr>
        <w:spacing w:after="0" w:line="240" w:lineRule="auto"/>
        <w:contextualSpacing/>
        <w:rPr>
          <w:rFonts w:ascii="Arial" w:hAnsi="Arial"/>
          <w:b/>
          <w:bCs/>
          <w:sz w:val="24"/>
          <w:u w:val="single"/>
        </w:rPr>
      </w:pPr>
    </w:p>
    <w:p w14:paraId="2DA5C1F3" w14:textId="77777777" w:rsidR="00B77354" w:rsidRDefault="00B77354" w:rsidP="00B05BCD">
      <w:pPr>
        <w:spacing w:after="0" w:line="240" w:lineRule="auto"/>
        <w:contextualSpacing/>
        <w:rPr>
          <w:rFonts w:ascii="Arial" w:hAnsi="Arial"/>
          <w:b/>
          <w:bCs/>
          <w:sz w:val="24"/>
          <w:u w:val="single"/>
        </w:rPr>
      </w:pPr>
    </w:p>
    <w:p w14:paraId="02574613" w14:textId="77777777" w:rsidR="00B77354" w:rsidRDefault="00B77354" w:rsidP="00B05BCD">
      <w:pPr>
        <w:spacing w:after="0" w:line="240" w:lineRule="auto"/>
        <w:contextualSpacing/>
        <w:rPr>
          <w:rFonts w:ascii="Arial" w:hAnsi="Arial"/>
          <w:b/>
          <w:bCs/>
          <w:sz w:val="24"/>
          <w:u w:val="single"/>
        </w:rPr>
      </w:pPr>
    </w:p>
    <w:p w14:paraId="67B46577" w14:textId="4B0E6576" w:rsidR="0062476B" w:rsidRPr="002A6CFA" w:rsidRDefault="0062476B" w:rsidP="00B05BCD">
      <w:pPr>
        <w:spacing w:after="0" w:line="240" w:lineRule="auto"/>
        <w:contextualSpacing/>
        <w:rPr>
          <w:rFonts w:ascii="Arial" w:hAnsi="Arial"/>
          <w:b/>
          <w:bCs/>
          <w:sz w:val="24"/>
          <w:u w:val="single"/>
        </w:rPr>
      </w:pPr>
      <w:r w:rsidRPr="002A6CFA">
        <w:rPr>
          <w:rFonts w:ascii="Arial" w:hAnsi="Arial"/>
          <w:b/>
          <w:bCs/>
          <w:sz w:val="24"/>
          <w:u w:val="single"/>
        </w:rPr>
        <w:t xml:space="preserve">Public Complaints </w:t>
      </w:r>
    </w:p>
    <w:p w14:paraId="7DEF6C17" w14:textId="77777777" w:rsidR="00B84982" w:rsidRPr="002A6CFA" w:rsidRDefault="00B84982" w:rsidP="00517E12">
      <w:pPr>
        <w:spacing w:after="0" w:line="240" w:lineRule="auto"/>
        <w:contextualSpacing/>
        <w:jc w:val="both"/>
        <w:rPr>
          <w:rFonts w:ascii="Arial" w:hAnsi="Arial"/>
          <w:sz w:val="24"/>
        </w:rPr>
      </w:pPr>
    </w:p>
    <w:p w14:paraId="5A9F2667" w14:textId="0447B75B" w:rsidR="00050F35" w:rsidRPr="002A6CFA" w:rsidRDefault="00B45CC1" w:rsidP="00050F35">
      <w:pPr>
        <w:spacing w:after="0" w:line="240" w:lineRule="auto"/>
        <w:contextualSpacing/>
        <w:jc w:val="both"/>
        <w:rPr>
          <w:rFonts w:ascii="Arial" w:hAnsi="Arial"/>
          <w:sz w:val="24"/>
        </w:rPr>
      </w:pPr>
      <w:r>
        <w:rPr>
          <w:noProof/>
        </w:rPr>
        <w:drawing>
          <wp:anchor distT="0" distB="0" distL="114300" distR="114300" simplePos="0" relativeHeight="251732992" behindDoc="0" locked="0" layoutInCell="1" allowOverlap="1" wp14:anchorId="2E349DF0" wp14:editId="69EAD729">
            <wp:simplePos x="0" y="0"/>
            <wp:positionH relativeFrom="margin">
              <wp:posOffset>-266065</wp:posOffset>
            </wp:positionH>
            <wp:positionV relativeFrom="paragraph">
              <wp:posOffset>268605</wp:posOffset>
            </wp:positionV>
            <wp:extent cx="6622415" cy="356235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2415" cy="3562350"/>
                    </a:xfrm>
                    <a:prstGeom prst="rect">
                      <a:avLst/>
                    </a:prstGeom>
                    <a:noFill/>
                  </pic:spPr>
                </pic:pic>
              </a:graphicData>
            </a:graphic>
            <wp14:sizeRelH relativeFrom="margin">
              <wp14:pctWidth>0</wp14:pctWidth>
            </wp14:sizeRelH>
            <wp14:sizeRelV relativeFrom="margin">
              <wp14:pctHeight>0</wp14:pctHeight>
            </wp14:sizeRelV>
          </wp:anchor>
        </w:drawing>
      </w:r>
    </w:p>
    <w:p w14:paraId="05A1B3EA" w14:textId="62697F5B" w:rsidR="007B7324" w:rsidRDefault="007B7324" w:rsidP="00FE6ADE">
      <w:pPr>
        <w:pStyle w:val="NoSpacing"/>
        <w:rPr>
          <w:rFonts w:ascii="Arial" w:hAnsi="Arial" w:cs="Arial"/>
          <w:sz w:val="24"/>
          <w:szCs w:val="24"/>
        </w:rPr>
      </w:pPr>
    </w:p>
    <w:p w14:paraId="42815DFC" w14:textId="58399687" w:rsidR="00D31BB4" w:rsidRPr="004001B9" w:rsidRDefault="005C37C9" w:rsidP="00FE6ADE">
      <w:pPr>
        <w:pStyle w:val="NoSpacing"/>
        <w:rPr>
          <w:rFonts w:ascii="Arial" w:hAnsi="Arial" w:cs="Arial"/>
          <w:sz w:val="24"/>
          <w:szCs w:val="24"/>
        </w:rPr>
      </w:pPr>
      <w:r>
        <w:rPr>
          <w:rFonts w:ascii="Arial" w:hAnsi="Arial" w:cs="Arial"/>
          <w:sz w:val="24"/>
          <w:szCs w:val="24"/>
        </w:rPr>
        <w:t>Q2</w:t>
      </w:r>
      <w:r w:rsidR="00244FAC">
        <w:rPr>
          <w:rFonts w:ascii="Arial" w:hAnsi="Arial" w:cs="Arial"/>
          <w:sz w:val="24"/>
          <w:szCs w:val="24"/>
        </w:rPr>
        <w:t xml:space="preserve"> shows a significant decrease in complaint case and strands. This</w:t>
      </w:r>
      <w:r w:rsidR="00787FBD">
        <w:rPr>
          <w:rFonts w:ascii="Arial" w:hAnsi="Arial" w:cs="Arial"/>
          <w:sz w:val="24"/>
          <w:szCs w:val="24"/>
        </w:rPr>
        <w:t xml:space="preserve"> data is based on the date the complaint is recorded, rather than the date received by the force. </w:t>
      </w:r>
      <w:r w:rsidR="002A2A82">
        <w:rPr>
          <w:rFonts w:ascii="Arial" w:hAnsi="Arial" w:cs="Arial"/>
          <w:sz w:val="24"/>
          <w:szCs w:val="24"/>
        </w:rPr>
        <w:t xml:space="preserve">Staff shortages and sickness have been a contributing factor to this </w:t>
      </w:r>
      <w:proofErr w:type="gramStart"/>
      <w:r w:rsidR="002A2A82">
        <w:rPr>
          <w:rFonts w:ascii="Arial" w:hAnsi="Arial" w:cs="Arial"/>
          <w:sz w:val="24"/>
          <w:szCs w:val="24"/>
        </w:rPr>
        <w:t>decline,</w:t>
      </w:r>
      <w:proofErr w:type="gramEnd"/>
      <w:r w:rsidR="002A2A82">
        <w:rPr>
          <w:rFonts w:ascii="Arial" w:hAnsi="Arial" w:cs="Arial"/>
          <w:sz w:val="24"/>
          <w:szCs w:val="24"/>
        </w:rPr>
        <w:t xml:space="preserve"> however it is expected this will increase into Q3</w:t>
      </w:r>
      <w:r w:rsidR="005341C9">
        <w:rPr>
          <w:rFonts w:ascii="Arial" w:hAnsi="Arial" w:cs="Arial"/>
          <w:sz w:val="24"/>
          <w:szCs w:val="24"/>
        </w:rPr>
        <w:t xml:space="preserve"> following a focus on eliminating the backlog.</w:t>
      </w:r>
    </w:p>
    <w:p w14:paraId="28FD0167" w14:textId="444A81BD" w:rsidR="00E24F09" w:rsidRPr="004001B9" w:rsidRDefault="00E24F09" w:rsidP="00FE6ADE">
      <w:pPr>
        <w:pStyle w:val="NoSpacing"/>
        <w:rPr>
          <w:rFonts w:ascii="Arial" w:hAnsi="Arial" w:cs="Arial"/>
          <w:sz w:val="24"/>
          <w:szCs w:val="24"/>
        </w:rPr>
      </w:pPr>
    </w:p>
    <w:p w14:paraId="28C3AA18" w14:textId="77777777" w:rsidR="00483F51" w:rsidRDefault="00483F51" w:rsidP="00DB290D">
      <w:pPr>
        <w:pStyle w:val="NoSpacing"/>
        <w:rPr>
          <w:rFonts w:ascii="Arial" w:hAnsi="Arial" w:cs="Arial"/>
          <w:sz w:val="24"/>
          <w:szCs w:val="24"/>
        </w:rPr>
      </w:pPr>
    </w:p>
    <w:p w14:paraId="7A359B17" w14:textId="77777777" w:rsidR="007B1DC7" w:rsidRDefault="007B1DC7">
      <w:pPr>
        <w:rPr>
          <w:rFonts w:ascii="Arial" w:hAnsi="Arial" w:cs="Arial"/>
          <w:i/>
          <w:iCs/>
          <w:sz w:val="24"/>
          <w:szCs w:val="24"/>
          <w:u w:val="single"/>
        </w:rPr>
      </w:pPr>
      <w:r>
        <w:rPr>
          <w:rFonts w:ascii="Arial" w:hAnsi="Arial" w:cs="Arial"/>
          <w:i/>
          <w:iCs/>
          <w:sz w:val="24"/>
          <w:szCs w:val="24"/>
          <w:u w:val="single"/>
        </w:rPr>
        <w:br w:type="page"/>
      </w:r>
    </w:p>
    <w:p w14:paraId="738FE938" w14:textId="77777777" w:rsidR="00D26299" w:rsidRDefault="00D26299" w:rsidP="00E00482">
      <w:pPr>
        <w:pStyle w:val="NoSpacing"/>
        <w:rPr>
          <w:rFonts w:ascii="Arial" w:hAnsi="Arial" w:cs="Arial"/>
          <w:sz w:val="24"/>
          <w:szCs w:val="24"/>
        </w:rPr>
      </w:pPr>
    </w:p>
    <w:p w14:paraId="701E390D" w14:textId="77777777" w:rsidR="00D26299" w:rsidRDefault="00D26299" w:rsidP="00E00482">
      <w:pPr>
        <w:pStyle w:val="NoSpacing"/>
        <w:rPr>
          <w:rFonts w:ascii="Arial" w:hAnsi="Arial" w:cs="Arial"/>
          <w:sz w:val="24"/>
          <w:szCs w:val="24"/>
        </w:rPr>
      </w:pPr>
    </w:p>
    <w:p w14:paraId="122AF351" w14:textId="7B8917E6" w:rsidR="00A9268F" w:rsidRPr="00CA0D51" w:rsidRDefault="00A9268F" w:rsidP="00E00482">
      <w:pPr>
        <w:pStyle w:val="NoSpacing"/>
        <w:rPr>
          <w:rFonts w:ascii="Arial" w:hAnsi="Arial" w:cs="Arial"/>
          <w:i/>
          <w:iCs/>
          <w:sz w:val="24"/>
          <w:szCs w:val="24"/>
          <w:u w:val="single"/>
        </w:rPr>
      </w:pPr>
      <w:r w:rsidRPr="00CA0D51">
        <w:rPr>
          <w:rFonts w:ascii="Arial" w:hAnsi="Arial" w:cs="Arial"/>
          <w:i/>
          <w:iCs/>
          <w:sz w:val="24"/>
          <w:szCs w:val="24"/>
          <w:u w:val="single"/>
        </w:rPr>
        <w:t>Timeliness of Complaints</w:t>
      </w:r>
    </w:p>
    <w:p w14:paraId="61B93AD1" w14:textId="52E2AB31" w:rsidR="00117C78" w:rsidRPr="00C801CA" w:rsidRDefault="00117C78" w:rsidP="00E00482">
      <w:pPr>
        <w:pStyle w:val="NoSpacing"/>
        <w:rPr>
          <w:rFonts w:ascii="Arial" w:hAnsi="Arial" w:cs="Arial"/>
          <w:i/>
          <w:iCs/>
          <w:color w:val="FF0000"/>
          <w:sz w:val="24"/>
          <w:szCs w:val="24"/>
          <w:highlight w:val="yellow"/>
          <w:u w:val="single"/>
        </w:rPr>
      </w:pPr>
    </w:p>
    <w:p w14:paraId="0EC97031" w14:textId="24108FCE" w:rsidR="00AC5943" w:rsidRPr="007D6379" w:rsidRDefault="00CA0D51" w:rsidP="00E00482">
      <w:pPr>
        <w:pStyle w:val="NoSpacing"/>
        <w:rPr>
          <w:rFonts w:ascii="Arial" w:hAnsi="Arial" w:cs="Arial"/>
          <w:i/>
          <w:iCs/>
          <w:color w:val="FF0000"/>
          <w:sz w:val="24"/>
          <w:szCs w:val="24"/>
          <w:u w:val="single"/>
        </w:rPr>
      </w:pPr>
      <w:r>
        <w:rPr>
          <w:noProof/>
        </w:rPr>
        <w:drawing>
          <wp:inline distT="0" distB="0" distL="0" distR="0" wp14:anchorId="06408150" wp14:editId="0106F028">
            <wp:extent cx="6572665" cy="2847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75411" cy="2849165"/>
                    </a:xfrm>
                    <a:prstGeom prst="rect">
                      <a:avLst/>
                    </a:prstGeom>
                    <a:noFill/>
                    <a:ln>
                      <a:noFill/>
                    </a:ln>
                  </pic:spPr>
                </pic:pic>
              </a:graphicData>
            </a:graphic>
          </wp:inline>
        </w:drawing>
      </w:r>
    </w:p>
    <w:p w14:paraId="519D84A6" w14:textId="0D686F6C" w:rsidR="00AC5943" w:rsidRPr="007D6379" w:rsidRDefault="00AC5943" w:rsidP="00E00482">
      <w:pPr>
        <w:pStyle w:val="NoSpacing"/>
        <w:rPr>
          <w:rFonts w:ascii="Arial" w:hAnsi="Arial" w:cs="Arial"/>
          <w:i/>
          <w:iCs/>
          <w:color w:val="FF0000"/>
          <w:sz w:val="24"/>
          <w:szCs w:val="24"/>
          <w:u w:val="single"/>
        </w:rPr>
      </w:pPr>
    </w:p>
    <w:p w14:paraId="08097033" w14:textId="6585437E" w:rsidR="00C930E4" w:rsidRDefault="0056077C" w:rsidP="009D1FFF">
      <w:pPr>
        <w:pStyle w:val="NoSpacing"/>
        <w:rPr>
          <w:rFonts w:ascii="Arial" w:hAnsi="Arial" w:cs="Arial"/>
          <w:sz w:val="24"/>
          <w:szCs w:val="24"/>
        </w:rPr>
      </w:pPr>
      <w:r>
        <w:rPr>
          <w:rFonts w:ascii="Arial" w:hAnsi="Arial" w:cs="Arial"/>
          <w:sz w:val="24"/>
          <w:szCs w:val="24"/>
        </w:rPr>
        <w:t xml:space="preserve">This data shows </w:t>
      </w:r>
      <w:r w:rsidR="00754213">
        <w:rPr>
          <w:rFonts w:ascii="Arial" w:hAnsi="Arial" w:cs="Arial"/>
          <w:sz w:val="24"/>
          <w:szCs w:val="24"/>
        </w:rPr>
        <w:t>the current position of live complaints across the for</w:t>
      </w:r>
      <w:r w:rsidR="005E3EAE">
        <w:rPr>
          <w:rFonts w:ascii="Arial" w:hAnsi="Arial" w:cs="Arial"/>
          <w:sz w:val="24"/>
          <w:szCs w:val="24"/>
        </w:rPr>
        <w:t xml:space="preserve">ce. There are noted increases in the </w:t>
      </w:r>
      <w:proofErr w:type="gramStart"/>
      <w:r w:rsidR="005E3EAE">
        <w:rPr>
          <w:rFonts w:ascii="Arial" w:hAnsi="Arial" w:cs="Arial"/>
          <w:sz w:val="24"/>
          <w:szCs w:val="24"/>
        </w:rPr>
        <w:t>amount</w:t>
      </w:r>
      <w:proofErr w:type="gramEnd"/>
      <w:r w:rsidR="005E3EAE">
        <w:rPr>
          <w:rFonts w:ascii="Arial" w:hAnsi="Arial" w:cs="Arial"/>
          <w:sz w:val="24"/>
          <w:szCs w:val="24"/>
        </w:rPr>
        <w:t xml:space="preserve"> of complaint</w:t>
      </w:r>
      <w:r w:rsidR="00D5052E">
        <w:rPr>
          <w:rFonts w:ascii="Arial" w:hAnsi="Arial" w:cs="Arial"/>
          <w:sz w:val="24"/>
          <w:szCs w:val="24"/>
        </w:rPr>
        <w:t>s for the majority of commands. This is due to a focus on improved recording times, and this data now includes outside of S3 complaints</w:t>
      </w:r>
      <w:r w:rsidR="00C0174C">
        <w:rPr>
          <w:rFonts w:ascii="Arial" w:hAnsi="Arial" w:cs="Arial"/>
          <w:sz w:val="24"/>
          <w:szCs w:val="24"/>
        </w:rPr>
        <w:t xml:space="preserve">. </w:t>
      </w:r>
    </w:p>
    <w:p w14:paraId="45E9A4A1" w14:textId="7516DED4" w:rsidR="00C0174C" w:rsidRDefault="00C0174C" w:rsidP="009D1FFF">
      <w:pPr>
        <w:pStyle w:val="NoSpacing"/>
        <w:rPr>
          <w:rFonts w:ascii="Arial" w:hAnsi="Arial" w:cs="Arial"/>
          <w:sz w:val="24"/>
          <w:szCs w:val="24"/>
        </w:rPr>
      </w:pPr>
    </w:p>
    <w:p w14:paraId="12F99EFD" w14:textId="00AAFD49" w:rsidR="00C0174C" w:rsidRDefault="00C0174C" w:rsidP="009D1FFF">
      <w:pPr>
        <w:pStyle w:val="NoSpacing"/>
        <w:rPr>
          <w:rFonts w:ascii="Arial" w:hAnsi="Arial" w:cs="Arial"/>
          <w:sz w:val="24"/>
          <w:szCs w:val="24"/>
        </w:rPr>
      </w:pPr>
      <w:r>
        <w:rPr>
          <w:rFonts w:ascii="Arial" w:hAnsi="Arial" w:cs="Arial"/>
          <w:sz w:val="24"/>
          <w:szCs w:val="24"/>
        </w:rPr>
        <w:t xml:space="preserve">The North LPA continues to have </w:t>
      </w:r>
      <w:r w:rsidR="009C6F90">
        <w:rPr>
          <w:rFonts w:ascii="Arial" w:hAnsi="Arial" w:cs="Arial"/>
          <w:sz w:val="24"/>
          <w:szCs w:val="24"/>
        </w:rPr>
        <w:t xml:space="preserve">a lower percentage of complaints taking more than 120 days to resolve. Whilst other commands appear to have higher percentages, they are handling smaller numbers of complaints. </w:t>
      </w:r>
    </w:p>
    <w:p w14:paraId="38733504" w14:textId="42179B86" w:rsidR="007D6379" w:rsidRDefault="007D6379">
      <w:pPr>
        <w:rPr>
          <w:rFonts w:ascii="Arial" w:hAnsi="Arial" w:cs="Arial"/>
          <w:i/>
          <w:iCs/>
          <w:sz w:val="24"/>
          <w:szCs w:val="24"/>
          <w:u w:val="single"/>
        </w:rPr>
      </w:pPr>
      <w:r>
        <w:rPr>
          <w:rFonts w:ascii="Arial" w:hAnsi="Arial" w:cs="Arial"/>
          <w:i/>
          <w:iCs/>
          <w:sz w:val="24"/>
          <w:szCs w:val="24"/>
          <w:u w:val="single"/>
        </w:rPr>
        <w:br w:type="page"/>
      </w:r>
    </w:p>
    <w:p w14:paraId="50DAAA72" w14:textId="5C620C00" w:rsidR="009D1FFF" w:rsidRDefault="009D1FFF" w:rsidP="009D1FFF">
      <w:pPr>
        <w:pStyle w:val="NoSpacing"/>
        <w:rPr>
          <w:rFonts w:ascii="Arial" w:hAnsi="Arial" w:cs="Arial"/>
          <w:i/>
          <w:iCs/>
          <w:sz w:val="24"/>
          <w:szCs w:val="24"/>
          <w:u w:val="single"/>
        </w:rPr>
      </w:pPr>
      <w:r>
        <w:rPr>
          <w:rFonts w:ascii="Arial" w:hAnsi="Arial" w:cs="Arial"/>
          <w:i/>
          <w:iCs/>
          <w:sz w:val="24"/>
          <w:szCs w:val="24"/>
          <w:u w:val="single"/>
        </w:rPr>
        <w:lastRenderedPageBreak/>
        <w:t>Command Breakdown of Complaints:</w:t>
      </w:r>
    </w:p>
    <w:p w14:paraId="2D973106" w14:textId="00A5BA83" w:rsidR="00AF000C" w:rsidRDefault="00AF000C" w:rsidP="009D1FFF">
      <w:pPr>
        <w:pStyle w:val="NoSpacing"/>
        <w:rPr>
          <w:rFonts w:ascii="Arial" w:hAnsi="Arial" w:cs="Arial"/>
          <w:i/>
          <w:iCs/>
          <w:sz w:val="24"/>
          <w:szCs w:val="24"/>
          <w:u w:val="single"/>
        </w:rPr>
      </w:pPr>
    </w:p>
    <w:p w14:paraId="7AFDA91F" w14:textId="5D34CDCF" w:rsidR="00134E4B" w:rsidRDefault="008A3A94" w:rsidP="009D1FFF">
      <w:pPr>
        <w:pStyle w:val="NoSpacing"/>
        <w:rPr>
          <w:rFonts w:ascii="Arial" w:hAnsi="Arial" w:cs="Arial"/>
          <w:i/>
          <w:iCs/>
          <w:sz w:val="24"/>
          <w:szCs w:val="24"/>
          <w:u w:val="single"/>
        </w:rPr>
      </w:pPr>
      <w:r>
        <w:rPr>
          <w:rFonts w:ascii="Arial" w:hAnsi="Arial" w:cs="Arial"/>
          <w:noProof/>
        </w:rPr>
        <w:drawing>
          <wp:anchor distT="0" distB="0" distL="114300" distR="114300" simplePos="0" relativeHeight="251737088" behindDoc="0" locked="0" layoutInCell="1" allowOverlap="1" wp14:anchorId="511358A1" wp14:editId="4DC86C7E">
            <wp:simplePos x="0" y="0"/>
            <wp:positionH relativeFrom="margin">
              <wp:align>right</wp:align>
            </wp:positionH>
            <wp:positionV relativeFrom="paragraph">
              <wp:posOffset>192405</wp:posOffset>
            </wp:positionV>
            <wp:extent cx="6430010" cy="326644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0010" cy="3266440"/>
                    </a:xfrm>
                    <a:prstGeom prst="rect">
                      <a:avLst/>
                    </a:prstGeom>
                    <a:noFill/>
                  </pic:spPr>
                </pic:pic>
              </a:graphicData>
            </a:graphic>
            <wp14:sizeRelH relativeFrom="margin">
              <wp14:pctWidth>0</wp14:pctWidth>
            </wp14:sizeRelH>
            <wp14:sizeRelV relativeFrom="margin">
              <wp14:pctHeight>0</wp14:pctHeight>
            </wp14:sizeRelV>
          </wp:anchor>
        </w:drawing>
      </w:r>
    </w:p>
    <w:p w14:paraId="60C4EA67" w14:textId="06092A45" w:rsidR="00DB01A2" w:rsidRDefault="00DB01A2" w:rsidP="009D1FFF">
      <w:pPr>
        <w:pStyle w:val="NoSpacing"/>
        <w:rPr>
          <w:rFonts w:ascii="Arial" w:hAnsi="Arial" w:cs="Arial"/>
          <w:color w:val="FF0000"/>
          <w:sz w:val="24"/>
          <w:szCs w:val="24"/>
        </w:rPr>
      </w:pPr>
    </w:p>
    <w:p w14:paraId="35950E09" w14:textId="79DE48EE" w:rsidR="008C6B9D" w:rsidRDefault="00682835" w:rsidP="009D1FFF">
      <w:pPr>
        <w:pStyle w:val="NoSpacing"/>
        <w:rPr>
          <w:rFonts w:ascii="Arial" w:hAnsi="Arial" w:cs="Arial"/>
          <w:sz w:val="24"/>
          <w:szCs w:val="24"/>
        </w:rPr>
      </w:pPr>
      <w:r w:rsidRPr="00682835">
        <w:rPr>
          <w:rFonts w:ascii="Arial" w:hAnsi="Arial" w:cs="Arial"/>
          <w:sz w:val="24"/>
          <w:szCs w:val="24"/>
        </w:rPr>
        <w:t>All thr</w:t>
      </w:r>
      <w:r>
        <w:rPr>
          <w:rFonts w:ascii="Arial" w:hAnsi="Arial" w:cs="Arial"/>
          <w:sz w:val="24"/>
          <w:szCs w:val="24"/>
        </w:rPr>
        <w:t>ee LPAs have shown an increase in complaints, despite overall a reduction</w:t>
      </w:r>
      <w:r w:rsidR="00563EF2">
        <w:rPr>
          <w:rFonts w:ascii="Arial" w:hAnsi="Arial" w:cs="Arial"/>
          <w:sz w:val="24"/>
          <w:szCs w:val="24"/>
        </w:rPr>
        <w:t>. The North LPA appears to be most significant, however the South LPA has nearly doubled.</w:t>
      </w:r>
    </w:p>
    <w:p w14:paraId="361528A5" w14:textId="77777777" w:rsidR="00563EF2" w:rsidRDefault="00563EF2" w:rsidP="009D1FFF">
      <w:pPr>
        <w:pStyle w:val="NoSpacing"/>
        <w:rPr>
          <w:rFonts w:ascii="Arial" w:hAnsi="Arial" w:cs="Arial"/>
          <w:sz w:val="24"/>
          <w:szCs w:val="24"/>
        </w:rPr>
      </w:pPr>
    </w:p>
    <w:p w14:paraId="2844F541" w14:textId="5C548021" w:rsidR="0049161B" w:rsidRPr="00C1174D" w:rsidRDefault="0030104D" w:rsidP="0038207D">
      <w:pPr>
        <w:pStyle w:val="NoSpacing"/>
        <w:rPr>
          <w:rFonts w:ascii="Arial" w:hAnsi="Arial" w:cs="Arial"/>
          <w:sz w:val="24"/>
          <w:szCs w:val="24"/>
        </w:rPr>
      </w:pPr>
      <w:r>
        <w:rPr>
          <w:rFonts w:ascii="Arial" w:hAnsi="Arial" w:cs="Arial"/>
          <w:sz w:val="24"/>
          <w:szCs w:val="24"/>
        </w:rPr>
        <w:t xml:space="preserve">It is believed the increase in the South LPA may be attributed to Op Union. </w:t>
      </w:r>
      <w:r w:rsidR="002F30E5">
        <w:rPr>
          <w:rFonts w:ascii="Arial" w:hAnsi="Arial" w:cs="Arial"/>
          <w:sz w:val="24"/>
          <w:szCs w:val="24"/>
        </w:rPr>
        <w:t xml:space="preserve">Op Union takes place predominantly along Southend seafront during the summer </w:t>
      </w:r>
      <w:r w:rsidR="00BA6A6E">
        <w:rPr>
          <w:rFonts w:ascii="Arial" w:hAnsi="Arial" w:cs="Arial"/>
          <w:sz w:val="24"/>
          <w:szCs w:val="24"/>
        </w:rPr>
        <w:t>to ensure there are more officers when footfall is higher.</w:t>
      </w:r>
    </w:p>
    <w:p w14:paraId="20DA2B53" w14:textId="6CBCCACB" w:rsidR="003103F9" w:rsidRPr="00EB7A3E" w:rsidRDefault="003103F9" w:rsidP="009D1FFF">
      <w:pPr>
        <w:pStyle w:val="NoSpacing"/>
        <w:rPr>
          <w:rFonts w:ascii="Arial" w:hAnsi="Arial" w:cs="Arial"/>
          <w:color w:val="FF0000"/>
          <w:sz w:val="24"/>
          <w:szCs w:val="24"/>
        </w:rPr>
      </w:pPr>
    </w:p>
    <w:p w14:paraId="2E8631D6" w14:textId="77777777" w:rsidR="00E00B4F" w:rsidRDefault="00E00B4F">
      <w:pPr>
        <w:rPr>
          <w:rFonts w:ascii="Arial" w:hAnsi="Arial" w:cs="Arial"/>
          <w:i/>
          <w:iCs/>
          <w:sz w:val="24"/>
          <w:szCs w:val="24"/>
          <w:u w:val="single"/>
        </w:rPr>
      </w:pPr>
      <w:r>
        <w:rPr>
          <w:rFonts w:ascii="Arial" w:hAnsi="Arial" w:cs="Arial"/>
          <w:i/>
          <w:iCs/>
          <w:sz w:val="24"/>
          <w:szCs w:val="24"/>
          <w:u w:val="single"/>
        </w:rPr>
        <w:br w:type="page"/>
      </w:r>
    </w:p>
    <w:p w14:paraId="260C7A09" w14:textId="42861FFE" w:rsidR="00AA370E" w:rsidRDefault="00AA370E" w:rsidP="00AA370E">
      <w:pPr>
        <w:rPr>
          <w:rFonts w:ascii="Arial" w:hAnsi="Arial" w:cs="Arial"/>
          <w:i/>
          <w:iCs/>
          <w:sz w:val="24"/>
          <w:szCs w:val="24"/>
          <w:u w:val="single"/>
        </w:rPr>
      </w:pPr>
      <w:r w:rsidRPr="00717B8C">
        <w:rPr>
          <w:rFonts w:ascii="Arial" w:hAnsi="Arial" w:cs="Arial"/>
          <w:i/>
          <w:iCs/>
          <w:sz w:val="24"/>
          <w:szCs w:val="24"/>
          <w:u w:val="single"/>
        </w:rPr>
        <w:lastRenderedPageBreak/>
        <w:t>Ethnicity of Complainants</w:t>
      </w:r>
    </w:p>
    <w:p w14:paraId="47EA9614" w14:textId="60AA4DDA" w:rsidR="004A58E8" w:rsidRPr="00C20912" w:rsidRDefault="00C20912" w:rsidP="00AA370E">
      <w:pPr>
        <w:rPr>
          <w:rFonts w:ascii="Arial" w:hAnsi="Arial" w:cs="Arial"/>
          <w:i/>
          <w:iCs/>
          <w:sz w:val="24"/>
          <w:szCs w:val="24"/>
          <w:u w:val="single"/>
        </w:rPr>
      </w:pPr>
      <w:r w:rsidRPr="00C20912">
        <w:rPr>
          <w:rFonts w:ascii="Arial" w:hAnsi="Arial" w:cs="Arial"/>
          <w:i/>
          <w:iCs/>
          <w:sz w:val="24"/>
          <w:szCs w:val="24"/>
          <w:u w:val="single"/>
        </w:rPr>
        <w:t>Census Data</w:t>
      </w:r>
    </w:p>
    <w:p w14:paraId="0DC3A2B5" w14:textId="7431A23B" w:rsidR="004A58E8" w:rsidRPr="00717B8C" w:rsidRDefault="00B56792" w:rsidP="00707541">
      <w:pPr>
        <w:jc w:val="center"/>
        <w:rPr>
          <w:rFonts w:ascii="Arial" w:hAnsi="Arial" w:cs="Arial"/>
          <w:i/>
          <w:iCs/>
          <w:sz w:val="24"/>
          <w:szCs w:val="24"/>
          <w:u w:val="single"/>
        </w:rPr>
      </w:pPr>
      <w:r>
        <w:rPr>
          <w:noProof/>
        </w:rPr>
        <w:drawing>
          <wp:anchor distT="0" distB="0" distL="114300" distR="114300" simplePos="0" relativeHeight="251739136" behindDoc="0" locked="0" layoutInCell="1" allowOverlap="1" wp14:anchorId="5D1FE6FC" wp14:editId="0CC71EDA">
            <wp:simplePos x="0" y="0"/>
            <wp:positionH relativeFrom="margin">
              <wp:align>center</wp:align>
            </wp:positionH>
            <wp:positionV relativeFrom="paragraph">
              <wp:posOffset>2480817</wp:posOffset>
            </wp:positionV>
            <wp:extent cx="5619115" cy="2948940"/>
            <wp:effectExtent l="0" t="0" r="63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115" cy="2948940"/>
                    </a:xfrm>
                    <a:prstGeom prst="rect">
                      <a:avLst/>
                    </a:prstGeom>
                    <a:noFill/>
                  </pic:spPr>
                </pic:pic>
              </a:graphicData>
            </a:graphic>
            <wp14:sizeRelH relativeFrom="margin">
              <wp14:pctWidth>0</wp14:pctWidth>
            </wp14:sizeRelH>
            <wp14:sizeRelV relativeFrom="margin">
              <wp14:pctHeight>0</wp14:pctHeight>
            </wp14:sizeRelV>
          </wp:anchor>
        </w:drawing>
      </w:r>
      <w:r w:rsidR="00BD4566" w:rsidRPr="00BD4566">
        <w:rPr>
          <w:rFonts w:ascii="Arial" w:hAnsi="Arial" w:cs="Arial"/>
          <w:i/>
          <w:iCs/>
          <w:noProof/>
          <w:sz w:val="24"/>
          <w:szCs w:val="24"/>
          <w:u w:val="single"/>
        </w:rPr>
        <w:drawing>
          <wp:inline distT="0" distB="0" distL="0" distR="0" wp14:anchorId="37CAA69B" wp14:editId="2A334D94">
            <wp:extent cx="3286788" cy="229396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8388" cy="2309043"/>
                    </a:xfrm>
                    <a:prstGeom prst="rect">
                      <a:avLst/>
                    </a:prstGeom>
                  </pic:spPr>
                </pic:pic>
              </a:graphicData>
            </a:graphic>
          </wp:inline>
        </w:drawing>
      </w:r>
    </w:p>
    <w:p w14:paraId="2AC5FA07" w14:textId="77777777" w:rsidR="00FF5D84" w:rsidRDefault="00FF5D84" w:rsidP="00AA370E">
      <w:pPr>
        <w:rPr>
          <w:rFonts w:ascii="Arial" w:hAnsi="Arial" w:cs="Arial"/>
          <w:sz w:val="24"/>
          <w:szCs w:val="24"/>
        </w:rPr>
      </w:pPr>
    </w:p>
    <w:p w14:paraId="38E936DF" w14:textId="77777777" w:rsidR="000F69DF" w:rsidRDefault="00FF5D84" w:rsidP="00AA370E">
      <w:pPr>
        <w:rPr>
          <w:rFonts w:ascii="Arial" w:hAnsi="Arial" w:cs="Arial"/>
          <w:sz w:val="24"/>
          <w:szCs w:val="24"/>
        </w:rPr>
      </w:pPr>
      <w:r>
        <w:rPr>
          <w:rFonts w:ascii="Arial" w:hAnsi="Arial" w:cs="Arial"/>
          <w:sz w:val="24"/>
          <w:szCs w:val="24"/>
        </w:rPr>
        <w:t>There is</w:t>
      </w:r>
      <w:r w:rsidR="00BF2829">
        <w:rPr>
          <w:rFonts w:ascii="Arial" w:hAnsi="Arial" w:cs="Arial"/>
          <w:sz w:val="24"/>
          <w:szCs w:val="24"/>
        </w:rPr>
        <w:t xml:space="preserve"> </w:t>
      </w:r>
      <w:r>
        <w:rPr>
          <w:rFonts w:ascii="Arial" w:hAnsi="Arial" w:cs="Arial"/>
          <w:sz w:val="24"/>
          <w:szCs w:val="24"/>
        </w:rPr>
        <w:t>a noted improvement in the unknow</w:t>
      </w:r>
      <w:r w:rsidR="00BF2829">
        <w:rPr>
          <w:rFonts w:ascii="Arial" w:hAnsi="Arial" w:cs="Arial"/>
          <w:sz w:val="24"/>
          <w:szCs w:val="24"/>
        </w:rPr>
        <w:t xml:space="preserve">n category. This follows </w:t>
      </w:r>
      <w:r w:rsidR="008C0800">
        <w:rPr>
          <w:rFonts w:ascii="Arial" w:hAnsi="Arial" w:cs="Arial"/>
          <w:sz w:val="24"/>
          <w:szCs w:val="24"/>
        </w:rPr>
        <w:t xml:space="preserve">an increase in using other systems and </w:t>
      </w:r>
      <w:r w:rsidR="00730A52">
        <w:rPr>
          <w:rFonts w:ascii="Arial" w:hAnsi="Arial" w:cs="Arial"/>
          <w:sz w:val="24"/>
          <w:szCs w:val="24"/>
        </w:rPr>
        <w:t>further training on use of codes delivered by the IOPC.</w:t>
      </w:r>
    </w:p>
    <w:p w14:paraId="73384F58" w14:textId="2D7ADE65" w:rsidR="000F69DF" w:rsidRPr="00717B8C" w:rsidRDefault="005F590D" w:rsidP="00AA370E">
      <w:pPr>
        <w:rPr>
          <w:rFonts w:ascii="Arial" w:hAnsi="Arial" w:cs="Arial"/>
          <w:sz w:val="24"/>
          <w:szCs w:val="24"/>
        </w:rPr>
        <w:sectPr w:rsidR="000F69DF" w:rsidRPr="00717B8C" w:rsidSect="00773654">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370" w:gutter="0"/>
          <w:cols w:space="708"/>
          <w:docGrid w:linePitch="360"/>
        </w:sectPr>
      </w:pPr>
      <w:r>
        <w:rPr>
          <w:rFonts w:ascii="Arial" w:hAnsi="Arial" w:cs="Arial"/>
          <w:sz w:val="24"/>
          <w:szCs w:val="24"/>
        </w:rPr>
        <w:t xml:space="preserve">Complaints from those from an Asian background have decreased. This is due to a persistent complainer who is </w:t>
      </w:r>
      <w:r w:rsidR="00343D8A">
        <w:rPr>
          <w:rFonts w:ascii="Arial" w:hAnsi="Arial" w:cs="Arial"/>
          <w:sz w:val="24"/>
          <w:szCs w:val="24"/>
        </w:rPr>
        <w:t>currently remanded in custody.</w:t>
      </w:r>
    </w:p>
    <w:p w14:paraId="1DA92040" w14:textId="5B90D501" w:rsidR="009C3E6B" w:rsidRPr="00717B8C" w:rsidRDefault="00CA49D1" w:rsidP="00100A17">
      <w:pPr>
        <w:rPr>
          <w:rFonts w:ascii="Arial" w:hAnsi="Arial" w:cs="Arial"/>
          <w:i/>
          <w:iCs/>
          <w:sz w:val="24"/>
          <w:szCs w:val="24"/>
          <w:u w:val="single"/>
        </w:rPr>
      </w:pPr>
      <w:r w:rsidRPr="00E72C88">
        <w:rPr>
          <w:rFonts w:ascii="Arial" w:hAnsi="Arial" w:cs="Arial"/>
          <w:noProof/>
          <w:u w:val="single"/>
        </w:rPr>
        <w:lastRenderedPageBreak/>
        <w:drawing>
          <wp:anchor distT="0" distB="0" distL="114300" distR="114300" simplePos="0" relativeHeight="251741184" behindDoc="0" locked="0" layoutInCell="1" allowOverlap="1" wp14:anchorId="5906877E" wp14:editId="6E43446A">
            <wp:simplePos x="0" y="0"/>
            <wp:positionH relativeFrom="margin">
              <wp:posOffset>-770568</wp:posOffset>
            </wp:positionH>
            <wp:positionV relativeFrom="paragraph">
              <wp:posOffset>503555</wp:posOffset>
            </wp:positionV>
            <wp:extent cx="10398125" cy="181927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98125" cy="1819275"/>
                    </a:xfrm>
                    <a:prstGeom prst="rect">
                      <a:avLst/>
                    </a:prstGeom>
                  </pic:spPr>
                </pic:pic>
              </a:graphicData>
            </a:graphic>
            <wp14:sizeRelH relativeFrom="margin">
              <wp14:pctWidth>0</wp14:pctWidth>
            </wp14:sizeRelH>
            <wp14:sizeRelV relativeFrom="margin">
              <wp14:pctHeight>0</wp14:pctHeight>
            </wp14:sizeRelV>
          </wp:anchor>
        </w:drawing>
      </w:r>
      <w:r w:rsidR="009C3E6B" w:rsidRPr="00717B8C">
        <w:rPr>
          <w:rFonts w:ascii="Arial" w:hAnsi="Arial" w:cs="Arial"/>
          <w:i/>
          <w:iCs/>
          <w:sz w:val="24"/>
          <w:szCs w:val="24"/>
          <w:u w:val="single"/>
        </w:rPr>
        <w:t>Ethnicity of Complainants</w:t>
      </w:r>
    </w:p>
    <w:p w14:paraId="168CB1B7" w14:textId="385FE3B3" w:rsidR="000C319C" w:rsidRPr="00717B8C" w:rsidRDefault="000C319C" w:rsidP="008214AC">
      <w:pPr>
        <w:pStyle w:val="NoSpacing"/>
        <w:rPr>
          <w:rFonts w:ascii="Arial" w:hAnsi="Arial" w:cs="Arial"/>
          <w:sz w:val="24"/>
          <w:szCs w:val="24"/>
        </w:rPr>
      </w:pPr>
    </w:p>
    <w:p w14:paraId="4135F0A2" w14:textId="2BA8830D" w:rsidR="009C3E6B" w:rsidRPr="003E3D87" w:rsidRDefault="009F592E" w:rsidP="008214AC">
      <w:pPr>
        <w:pStyle w:val="NoSpacing"/>
        <w:rPr>
          <w:rFonts w:ascii="Arial" w:hAnsi="Arial" w:cs="Arial"/>
        </w:rPr>
      </w:pPr>
      <w:r w:rsidRPr="003E3D87">
        <w:rPr>
          <w:rFonts w:ascii="Arial" w:hAnsi="Arial" w:cs="Arial"/>
        </w:rPr>
        <w:t xml:space="preserve">This data shows that whilst there are some variations between </w:t>
      </w:r>
      <w:r w:rsidR="00182976" w:rsidRPr="003E3D87">
        <w:rPr>
          <w:rFonts w:ascii="Arial" w:hAnsi="Arial" w:cs="Arial"/>
        </w:rPr>
        <w:t>the different categories</w:t>
      </w:r>
      <w:r w:rsidR="00FF26AA" w:rsidRPr="003E3D87">
        <w:rPr>
          <w:rFonts w:ascii="Arial" w:hAnsi="Arial" w:cs="Arial"/>
        </w:rPr>
        <w:t xml:space="preserve"> there are no noted trends. Movements between quarters are not sustained over time</w:t>
      </w:r>
      <w:r w:rsidR="003E3D87" w:rsidRPr="003E3D87">
        <w:rPr>
          <w:rFonts w:ascii="Arial" w:hAnsi="Arial" w:cs="Arial"/>
        </w:rPr>
        <w:t xml:space="preserve">. </w:t>
      </w:r>
    </w:p>
    <w:p w14:paraId="6560B902" w14:textId="3A928BB6" w:rsidR="00307DDE" w:rsidRPr="00717B8C" w:rsidRDefault="00307DDE" w:rsidP="00525848">
      <w:pPr>
        <w:pStyle w:val="NoSpacing"/>
        <w:rPr>
          <w:rFonts w:ascii="Arial" w:hAnsi="Arial" w:cs="Arial"/>
          <w:b/>
          <w:bCs/>
          <w:sz w:val="24"/>
          <w:szCs w:val="24"/>
        </w:rPr>
      </w:pPr>
    </w:p>
    <w:p w14:paraId="72649635" w14:textId="51816A4C" w:rsidR="00F200C1" w:rsidRPr="00717B8C" w:rsidRDefault="00F200C1" w:rsidP="00525848">
      <w:pPr>
        <w:pStyle w:val="NoSpacing"/>
        <w:rPr>
          <w:rFonts w:ascii="Arial" w:hAnsi="Arial" w:cs="Arial"/>
          <w:sz w:val="24"/>
          <w:szCs w:val="24"/>
        </w:rPr>
      </w:pPr>
    </w:p>
    <w:p w14:paraId="32BD6D5E" w14:textId="01122085" w:rsidR="00A86CFC" w:rsidRPr="00717B8C" w:rsidRDefault="00A86CFC" w:rsidP="00525848">
      <w:pPr>
        <w:pStyle w:val="NoSpacing"/>
        <w:rPr>
          <w:rFonts w:ascii="Arial" w:hAnsi="Arial" w:cs="Arial"/>
          <w:sz w:val="24"/>
          <w:szCs w:val="24"/>
        </w:rPr>
        <w:sectPr w:rsidR="00A86CFC" w:rsidRPr="00717B8C" w:rsidSect="00A86CFC">
          <w:pgSz w:w="16838" w:h="11906" w:orient="landscape"/>
          <w:pgMar w:top="1080" w:right="1440" w:bottom="1080" w:left="1440" w:header="708" w:footer="370" w:gutter="0"/>
          <w:cols w:space="708"/>
          <w:docGrid w:linePitch="360"/>
        </w:sectPr>
      </w:pPr>
    </w:p>
    <w:p w14:paraId="7B1C987A" w14:textId="62AAF395" w:rsidR="00E001E2" w:rsidRPr="00717B8C" w:rsidRDefault="00FD52DD" w:rsidP="00525848">
      <w:pPr>
        <w:pStyle w:val="NoSpacing"/>
        <w:rPr>
          <w:rFonts w:ascii="Arial" w:hAnsi="Arial" w:cs="Arial"/>
          <w:sz w:val="24"/>
          <w:szCs w:val="24"/>
          <w:u w:val="single"/>
        </w:rPr>
      </w:pPr>
      <w:r w:rsidRPr="00A62EE8">
        <w:rPr>
          <w:rFonts w:ascii="Arial" w:hAnsi="Arial" w:cs="Arial"/>
          <w:sz w:val="24"/>
          <w:szCs w:val="24"/>
          <w:u w:val="single"/>
        </w:rPr>
        <w:lastRenderedPageBreak/>
        <w:t>Black Ethnicity</w:t>
      </w:r>
      <w:r w:rsidR="00E17CF6" w:rsidRPr="00A62EE8">
        <w:rPr>
          <w:rFonts w:ascii="Arial" w:hAnsi="Arial" w:cs="Arial"/>
          <w:sz w:val="24"/>
          <w:szCs w:val="24"/>
          <w:u w:val="single"/>
        </w:rPr>
        <w:t xml:space="preserve"> </w:t>
      </w:r>
    </w:p>
    <w:p w14:paraId="5F001707" w14:textId="0A28738F" w:rsidR="00E17CF6" w:rsidRPr="00717B8C" w:rsidRDefault="00E17CF6" w:rsidP="00525848">
      <w:pPr>
        <w:pStyle w:val="NoSpacing"/>
        <w:rPr>
          <w:rFonts w:ascii="Arial" w:hAnsi="Arial" w:cs="Arial"/>
          <w:sz w:val="24"/>
          <w:szCs w:val="24"/>
          <w:u w:val="single"/>
        </w:rPr>
      </w:pPr>
    </w:p>
    <w:p w14:paraId="301B063B" w14:textId="0813CEC5" w:rsidR="005A6D72" w:rsidRPr="00717B8C" w:rsidRDefault="00373F18" w:rsidP="008A7002">
      <w:pPr>
        <w:pStyle w:val="NoSpacing"/>
        <w:rPr>
          <w:rFonts w:ascii="Arial" w:hAnsi="Arial" w:cs="Arial"/>
          <w:b/>
          <w:bCs/>
          <w:sz w:val="24"/>
          <w:szCs w:val="24"/>
        </w:rPr>
      </w:pPr>
      <w:r>
        <w:rPr>
          <w:rFonts w:ascii="Arial" w:hAnsi="Arial" w:cs="Arial"/>
          <w:b/>
          <w:bCs/>
          <w:noProof/>
        </w:rPr>
        <w:drawing>
          <wp:inline distT="0" distB="0" distL="0" distR="0" wp14:anchorId="29C332D3" wp14:editId="46CC26A9">
            <wp:extent cx="6188710" cy="2695575"/>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710" cy="2695575"/>
                    </a:xfrm>
                    <a:prstGeom prst="rect">
                      <a:avLst/>
                    </a:prstGeom>
                    <a:noFill/>
                    <a:ln>
                      <a:noFill/>
                    </a:ln>
                  </pic:spPr>
                </pic:pic>
              </a:graphicData>
            </a:graphic>
          </wp:inline>
        </w:drawing>
      </w:r>
    </w:p>
    <w:p w14:paraId="01A12BA1" w14:textId="7B3C052F" w:rsidR="008A7002" w:rsidRPr="00717B8C" w:rsidRDefault="008A7002" w:rsidP="008A7002">
      <w:pPr>
        <w:pStyle w:val="NoSpacing"/>
        <w:rPr>
          <w:rFonts w:ascii="Arial" w:hAnsi="Arial" w:cs="Arial"/>
          <w:b/>
          <w:bCs/>
          <w:sz w:val="24"/>
          <w:szCs w:val="24"/>
        </w:rPr>
      </w:pPr>
    </w:p>
    <w:p w14:paraId="368B5C72" w14:textId="69404FB3" w:rsidR="00553932" w:rsidRPr="00717B8C" w:rsidRDefault="003E3D87">
      <w:pPr>
        <w:rPr>
          <w:rFonts w:ascii="Arial" w:hAnsi="Arial" w:cs="Arial"/>
          <w:sz w:val="24"/>
          <w:szCs w:val="24"/>
        </w:rPr>
      </w:pPr>
      <w:r>
        <w:rPr>
          <w:rFonts w:ascii="Arial" w:hAnsi="Arial" w:cs="Arial"/>
          <w:sz w:val="24"/>
          <w:szCs w:val="24"/>
        </w:rPr>
        <w:t xml:space="preserve">The North </w:t>
      </w:r>
      <w:r w:rsidR="002B00D2">
        <w:rPr>
          <w:rFonts w:ascii="Arial" w:hAnsi="Arial" w:cs="Arial"/>
          <w:sz w:val="24"/>
          <w:szCs w:val="24"/>
        </w:rPr>
        <w:t xml:space="preserve">LPA shows fluctuation between the quarters in this period. </w:t>
      </w:r>
      <w:r w:rsidR="00006E4E">
        <w:rPr>
          <w:rFonts w:ascii="Arial" w:hAnsi="Arial" w:cs="Arial"/>
          <w:sz w:val="24"/>
          <w:szCs w:val="24"/>
        </w:rPr>
        <w:t xml:space="preserve">The Complaints Inspector from the North LPA attends IAGs across the Command </w:t>
      </w:r>
      <w:r w:rsidR="00232FB1">
        <w:rPr>
          <w:rFonts w:ascii="Arial" w:hAnsi="Arial" w:cs="Arial"/>
          <w:sz w:val="24"/>
          <w:szCs w:val="24"/>
        </w:rPr>
        <w:t xml:space="preserve">and delivers inputs around complaint handling. There is also an equality focus panel, where disproportionality regarding use of force and stop and search is reviewed. </w:t>
      </w:r>
      <w:r w:rsidR="00AD5C9C">
        <w:rPr>
          <w:rFonts w:ascii="Arial" w:hAnsi="Arial" w:cs="Arial"/>
          <w:sz w:val="24"/>
          <w:szCs w:val="24"/>
        </w:rPr>
        <w:t>These could be factors which have affected the decrease</w:t>
      </w:r>
      <w:r w:rsidR="005B01C2">
        <w:rPr>
          <w:rFonts w:ascii="Arial" w:hAnsi="Arial" w:cs="Arial"/>
          <w:sz w:val="24"/>
          <w:szCs w:val="24"/>
        </w:rPr>
        <w:t xml:space="preserve"> in complainants of black </w:t>
      </w:r>
      <w:proofErr w:type="gramStart"/>
      <w:r w:rsidR="005B01C2">
        <w:rPr>
          <w:rFonts w:ascii="Arial" w:hAnsi="Arial" w:cs="Arial"/>
          <w:sz w:val="24"/>
          <w:szCs w:val="24"/>
        </w:rPr>
        <w:t>ethnicity</w:t>
      </w:r>
      <w:proofErr w:type="gramEnd"/>
      <w:r w:rsidR="005B01C2">
        <w:rPr>
          <w:rFonts w:ascii="Arial" w:hAnsi="Arial" w:cs="Arial"/>
          <w:sz w:val="24"/>
          <w:szCs w:val="24"/>
        </w:rPr>
        <w:t xml:space="preserve"> but it is difficult to assess on a single quarter’s data.</w:t>
      </w:r>
    </w:p>
    <w:p w14:paraId="1860735B" w14:textId="119F15CE" w:rsidR="00C14019" w:rsidRPr="00717B8C" w:rsidRDefault="00C14019">
      <w:pPr>
        <w:rPr>
          <w:rFonts w:ascii="Arial" w:hAnsi="Arial" w:cs="Arial"/>
          <w:sz w:val="24"/>
          <w:szCs w:val="24"/>
        </w:rPr>
      </w:pPr>
    </w:p>
    <w:p w14:paraId="6EC7AD17" w14:textId="77777777" w:rsidR="005B01C2" w:rsidRDefault="005B01C2">
      <w:pPr>
        <w:rPr>
          <w:rFonts w:ascii="Arial" w:hAnsi="Arial" w:cs="Arial"/>
          <w:sz w:val="24"/>
          <w:szCs w:val="24"/>
          <w:u w:val="single"/>
        </w:rPr>
      </w:pPr>
      <w:r>
        <w:rPr>
          <w:rFonts w:ascii="Arial" w:hAnsi="Arial" w:cs="Arial"/>
          <w:sz w:val="24"/>
          <w:szCs w:val="24"/>
          <w:u w:val="single"/>
        </w:rPr>
        <w:br w:type="page"/>
      </w:r>
    </w:p>
    <w:p w14:paraId="5E9D7329" w14:textId="633E797D" w:rsidR="0071359D" w:rsidRPr="00717B8C" w:rsidRDefault="0071359D" w:rsidP="0071359D">
      <w:pPr>
        <w:pStyle w:val="NoSpacing"/>
        <w:rPr>
          <w:rFonts w:ascii="Arial" w:hAnsi="Arial" w:cs="Arial"/>
          <w:sz w:val="24"/>
          <w:szCs w:val="24"/>
          <w:u w:val="single"/>
        </w:rPr>
      </w:pPr>
      <w:r>
        <w:rPr>
          <w:rFonts w:ascii="Arial" w:hAnsi="Arial" w:cs="Arial"/>
          <w:sz w:val="24"/>
          <w:szCs w:val="24"/>
          <w:u w:val="single"/>
        </w:rPr>
        <w:lastRenderedPageBreak/>
        <w:t>Asian</w:t>
      </w:r>
      <w:r w:rsidRPr="00717B8C">
        <w:rPr>
          <w:rFonts w:ascii="Arial" w:hAnsi="Arial" w:cs="Arial"/>
          <w:sz w:val="24"/>
          <w:szCs w:val="24"/>
          <w:u w:val="single"/>
        </w:rPr>
        <w:t xml:space="preserve"> Ethnicity </w:t>
      </w:r>
    </w:p>
    <w:p w14:paraId="050620B1" w14:textId="4233C739" w:rsidR="00C14019" w:rsidRPr="00717B8C" w:rsidRDefault="00FF4689">
      <w:pPr>
        <w:rPr>
          <w:rFonts w:ascii="Arial" w:hAnsi="Arial" w:cs="Arial"/>
          <w:sz w:val="24"/>
          <w:szCs w:val="24"/>
        </w:rPr>
      </w:pPr>
      <w:r>
        <w:rPr>
          <w:rFonts w:ascii="Arial" w:hAnsi="Arial" w:cs="Arial"/>
          <w:noProof/>
          <w:u w:val="single"/>
        </w:rPr>
        <w:drawing>
          <wp:anchor distT="0" distB="0" distL="114300" distR="114300" simplePos="0" relativeHeight="251743232" behindDoc="0" locked="0" layoutInCell="1" allowOverlap="1" wp14:anchorId="4B1459E3" wp14:editId="576EA4AE">
            <wp:simplePos x="0" y="0"/>
            <wp:positionH relativeFrom="margin">
              <wp:align>left</wp:align>
            </wp:positionH>
            <wp:positionV relativeFrom="paragraph">
              <wp:posOffset>269875</wp:posOffset>
            </wp:positionV>
            <wp:extent cx="6201410" cy="3611245"/>
            <wp:effectExtent l="0" t="0" r="889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1410" cy="3611245"/>
                    </a:xfrm>
                    <a:prstGeom prst="rect">
                      <a:avLst/>
                    </a:prstGeom>
                    <a:noFill/>
                  </pic:spPr>
                </pic:pic>
              </a:graphicData>
            </a:graphic>
            <wp14:sizeRelH relativeFrom="margin">
              <wp14:pctWidth>0</wp14:pctWidth>
            </wp14:sizeRelH>
            <wp14:sizeRelV relativeFrom="margin">
              <wp14:pctHeight>0</wp14:pctHeight>
            </wp14:sizeRelV>
          </wp:anchor>
        </w:drawing>
      </w:r>
    </w:p>
    <w:p w14:paraId="4DB86CBC" w14:textId="35808167" w:rsidR="008815FA" w:rsidRPr="00717B8C" w:rsidRDefault="008815FA">
      <w:pPr>
        <w:rPr>
          <w:rFonts w:ascii="Arial" w:hAnsi="Arial" w:cs="Arial"/>
          <w:sz w:val="24"/>
          <w:szCs w:val="24"/>
        </w:rPr>
      </w:pPr>
    </w:p>
    <w:p w14:paraId="2BD7D5E6" w14:textId="0978C74D" w:rsidR="005B01C2" w:rsidRPr="00717B8C" w:rsidRDefault="005B01C2" w:rsidP="005B01C2">
      <w:pPr>
        <w:rPr>
          <w:rFonts w:ascii="Arial" w:hAnsi="Arial" w:cs="Arial"/>
          <w:sz w:val="24"/>
          <w:szCs w:val="24"/>
        </w:rPr>
        <w:sectPr w:rsidR="005B01C2" w:rsidRPr="00717B8C" w:rsidSect="00773654">
          <w:headerReference w:type="even" r:id="rId24"/>
          <w:headerReference w:type="default" r:id="rId25"/>
          <w:footerReference w:type="even" r:id="rId26"/>
          <w:footerReference w:type="default" r:id="rId27"/>
          <w:headerReference w:type="first" r:id="rId28"/>
          <w:footerReference w:type="first" r:id="rId29"/>
          <w:pgSz w:w="11906" w:h="16838"/>
          <w:pgMar w:top="1440" w:right="1080" w:bottom="1440" w:left="1080" w:header="708" w:footer="370" w:gutter="0"/>
          <w:cols w:space="708"/>
          <w:docGrid w:linePitch="360"/>
        </w:sectPr>
      </w:pPr>
      <w:r>
        <w:rPr>
          <w:rFonts w:ascii="Arial" w:hAnsi="Arial" w:cs="Arial"/>
          <w:sz w:val="24"/>
          <w:szCs w:val="24"/>
        </w:rPr>
        <w:t>As previously mentioned, complaints from those from an Asian background have decreased. This is due to a persistent complainer</w:t>
      </w:r>
      <w:r w:rsidR="00E67E13">
        <w:rPr>
          <w:rFonts w:ascii="Arial" w:hAnsi="Arial" w:cs="Arial"/>
          <w:sz w:val="24"/>
          <w:szCs w:val="24"/>
        </w:rPr>
        <w:t xml:space="preserve"> from the Colchester area</w:t>
      </w:r>
      <w:r>
        <w:rPr>
          <w:rFonts w:ascii="Arial" w:hAnsi="Arial" w:cs="Arial"/>
          <w:sz w:val="24"/>
          <w:szCs w:val="24"/>
        </w:rPr>
        <w:t xml:space="preserve"> who is currently remanded in custody.</w:t>
      </w:r>
    </w:p>
    <w:p w14:paraId="2A6D9C17" w14:textId="471D7946" w:rsidR="0056056D" w:rsidRPr="00E67E13" w:rsidRDefault="0056056D" w:rsidP="00542562">
      <w:pPr>
        <w:rPr>
          <w:rFonts w:ascii="Arial" w:hAnsi="Arial" w:cs="Arial"/>
          <w:i/>
          <w:iCs/>
          <w:sz w:val="24"/>
          <w:szCs w:val="24"/>
          <w:u w:val="single"/>
        </w:rPr>
      </w:pPr>
      <w:r w:rsidRPr="00717B8C">
        <w:rPr>
          <w:rFonts w:ascii="Arial" w:hAnsi="Arial" w:cs="Arial"/>
          <w:i/>
          <w:iCs/>
          <w:sz w:val="24"/>
          <w:szCs w:val="24"/>
          <w:u w:val="single"/>
        </w:rPr>
        <w:lastRenderedPageBreak/>
        <w:t>Categories of Complaints:</w:t>
      </w:r>
    </w:p>
    <w:p w14:paraId="5F6F74BA" w14:textId="33FD68A7" w:rsidR="003B6909" w:rsidRPr="00717B8C" w:rsidRDefault="002F1C6C">
      <w:pPr>
        <w:rPr>
          <w:rFonts w:ascii="Arial" w:hAnsi="Arial" w:cs="Arial"/>
          <w:b/>
          <w:bCs/>
          <w:sz w:val="24"/>
          <w:szCs w:val="24"/>
          <w:u w:val="single"/>
        </w:rPr>
      </w:pPr>
      <w:r w:rsidRPr="000C02CD">
        <w:rPr>
          <w:rFonts w:ascii="Arial" w:hAnsi="Arial" w:cs="Arial"/>
          <w:noProof/>
        </w:rPr>
        <w:drawing>
          <wp:anchor distT="0" distB="0" distL="114300" distR="114300" simplePos="0" relativeHeight="251745280" behindDoc="0" locked="0" layoutInCell="1" allowOverlap="1" wp14:anchorId="5967702D" wp14:editId="16FE139C">
            <wp:simplePos x="0" y="0"/>
            <wp:positionH relativeFrom="margin">
              <wp:align>left</wp:align>
            </wp:positionH>
            <wp:positionV relativeFrom="paragraph">
              <wp:posOffset>167005</wp:posOffset>
            </wp:positionV>
            <wp:extent cx="6471920" cy="36671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471920" cy="3667125"/>
                    </a:xfrm>
                    <a:prstGeom prst="rect">
                      <a:avLst/>
                    </a:prstGeom>
                  </pic:spPr>
                </pic:pic>
              </a:graphicData>
            </a:graphic>
            <wp14:sizeRelH relativeFrom="margin">
              <wp14:pctWidth>0</wp14:pctWidth>
            </wp14:sizeRelH>
            <wp14:sizeRelV relativeFrom="margin">
              <wp14:pctHeight>0</wp14:pctHeight>
            </wp14:sizeRelV>
          </wp:anchor>
        </w:drawing>
      </w:r>
    </w:p>
    <w:p w14:paraId="5D6C0F16" w14:textId="3D933082" w:rsidR="0056056D" w:rsidRPr="00717B8C" w:rsidRDefault="0056056D">
      <w:pPr>
        <w:rPr>
          <w:rFonts w:ascii="Arial" w:hAnsi="Arial" w:cs="Arial"/>
          <w:i/>
          <w:iCs/>
          <w:sz w:val="24"/>
          <w:szCs w:val="24"/>
          <w:u w:val="single"/>
        </w:rPr>
      </w:pPr>
      <w:r w:rsidRPr="00717B8C">
        <w:rPr>
          <w:rFonts w:ascii="Arial" w:hAnsi="Arial" w:cs="Arial"/>
          <w:i/>
          <w:iCs/>
          <w:sz w:val="24"/>
          <w:szCs w:val="24"/>
          <w:u w:val="single"/>
        </w:rPr>
        <w:t>Category A</w:t>
      </w:r>
    </w:p>
    <w:p w14:paraId="18A19E04" w14:textId="6125C62C" w:rsidR="005A6D72" w:rsidRPr="00717B8C" w:rsidRDefault="001E0BD6" w:rsidP="00D9092B">
      <w:pPr>
        <w:pStyle w:val="NoSpacing"/>
        <w:rPr>
          <w:rFonts w:ascii="Arial" w:hAnsi="Arial" w:cs="Arial"/>
          <w:sz w:val="24"/>
          <w:szCs w:val="24"/>
        </w:rPr>
      </w:pPr>
      <w:r>
        <w:rPr>
          <w:noProof/>
        </w:rPr>
        <w:drawing>
          <wp:anchor distT="0" distB="0" distL="114300" distR="114300" simplePos="0" relativeHeight="251747328" behindDoc="0" locked="0" layoutInCell="1" allowOverlap="1" wp14:anchorId="4201912D" wp14:editId="20EFBF17">
            <wp:simplePos x="0" y="0"/>
            <wp:positionH relativeFrom="margin">
              <wp:posOffset>-635</wp:posOffset>
            </wp:positionH>
            <wp:positionV relativeFrom="paragraph">
              <wp:posOffset>186055</wp:posOffset>
            </wp:positionV>
            <wp:extent cx="6143625" cy="346075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43625" cy="3460750"/>
                    </a:xfrm>
                    <a:prstGeom prst="rect">
                      <a:avLst/>
                    </a:prstGeom>
                    <a:noFill/>
                  </pic:spPr>
                </pic:pic>
              </a:graphicData>
            </a:graphic>
            <wp14:sizeRelH relativeFrom="page">
              <wp14:pctWidth>0</wp14:pctWidth>
            </wp14:sizeRelH>
            <wp14:sizeRelV relativeFrom="page">
              <wp14:pctHeight>0</wp14:pctHeight>
            </wp14:sizeRelV>
          </wp:anchor>
        </w:drawing>
      </w:r>
    </w:p>
    <w:p w14:paraId="71D9C193" w14:textId="7E676F4D" w:rsidR="005A6D72" w:rsidRPr="00717B8C" w:rsidRDefault="005A6D72" w:rsidP="00D9092B">
      <w:pPr>
        <w:pStyle w:val="NoSpacing"/>
        <w:rPr>
          <w:rFonts w:ascii="Arial" w:hAnsi="Arial" w:cs="Arial"/>
          <w:sz w:val="24"/>
          <w:szCs w:val="24"/>
        </w:rPr>
      </w:pPr>
    </w:p>
    <w:p w14:paraId="2B0B5C4E" w14:textId="38957766" w:rsidR="00C20912" w:rsidRDefault="00C20912" w:rsidP="0056056D">
      <w:pPr>
        <w:rPr>
          <w:rFonts w:ascii="Arial" w:hAnsi="Arial" w:cs="Arial"/>
          <w:i/>
          <w:iCs/>
          <w:sz w:val="24"/>
          <w:szCs w:val="24"/>
          <w:u w:val="single"/>
        </w:rPr>
      </w:pPr>
    </w:p>
    <w:p w14:paraId="514FCD13" w14:textId="77777777" w:rsidR="001713E9" w:rsidRDefault="008A6DC9" w:rsidP="0056056D">
      <w:pPr>
        <w:rPr>
          <w:rFonts w:ascii="Arial" w:hAnsi="Arial" w:cs="Arial"/>
          <w:i/>
          <w:iCs/>
          <w:sz w:val="24"/>
          <w:szCs w:val="24"/>
          <w:u w:val="single"/>
        </w:rPr>
      </w:pPr>
      <w:r>
        <w:rPr>
          <w:rFonts w:ascii="Arial" w:hAnsi="Arial" w:cs="Arial"/>
          <w:noProof/>
        </w:rPr>
        <w:lastRenderedPageBreak/>
        <w:drawing>
          <wp:anchor distT="0" distB="0" distL="114300" distR="114300" simplePos="0" relativeHeight="251751424" behindDoc="0" locked="0" layoutInCell="1" allowOverlap="1" wp14:anchorId="56AA2966" wp14:editId="32E971D3">
            <wp:simplePos x="0" y="0"/>
            <wp:positionH relativeFrom="margin">
              <wp:align>center</wp:align>
            </wp:positionH>
            <wp:positionV relativeFrom="paragraph">
              <wp:posOffset>366091</wp:posOffset>
            </wp:positionV>
            <wp:extent cx="6307455" cy="307784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7455" cy="3077845"/>
                    </a:xfrm>
                    <a:prstGeom prst="rect">
                      <a:avLst/>
                    </a:prstGeom>
                    <a:noFill/>
                  </pic:spPr>
                </pic:pic>
              </a:graphicData>
            </a:graphic>
            <wp14:sizeRelH relativeFrom="margin">
              <wp14:pctWidth>0</wp14:pctWidth>
            </wp14:sizeRelH>
            <wp14:sizeRelV relativeFrom="margin">
              <wp14:pctHeight>0</wp14:pctHeight>
            </wp14:sizeRelV>
          </wp:anchor>
        </w:drawing>
      </w:r>
      <w:r w:rsidR="0056056D" w:rsidRPr="00717B8C">
        <w:rPr>
          <w:rFonts w:ascii="Arial" w:hAnsi="Arial" w:cs="Arial"/>
          <w:i/>
          <w:iCs/>
          <w:sz w:val="24"/>
          <w:szCs w:val="24"/>
          <w:u w:val="single"/>
        </w:rPr>
        <w:t>Category B</w:t>
      </w:r>
    </w:p>
    <w:p w14:paraId="7852B4D0" w14:textId="77777777" w:rsidR="001713E9" w:rsidRDefault="001713E9" w:rsidP="0056056D">
      <w:pPr>
        <w:rPr>
          <w:rFonts w:ascii="Arial" w:hAnsi="Arial" w:cs="Arial"/>
          <w:i/>
          <w:iCs/>
          <w:sz w:val="24"/>
          <w:szCs w:val="24"/>
          <w:u w:val="single"/>
        </w:rPr>
      </w:pPr>
    </w:p>
    <w:p w14:paraId="75C73416" w14:textId="7D7B254B" w:rsidR="0056056D" w:rsidRDefault="0056056D" w:rsidP="0056056D">
      <w:pPr>
        <w:rPr>
          <w:rFonts w:ascii="Arial" w:hAnsi="Arial" w:cs="Arial"/>
          <w:i/>
          <w:iCs/>
          <w:sz w:val="24"/>
          <w:szCs w:val="24"/>
          <w:u w:val="single"/>
        </w:rPr>
      </w:pPr>
      <w:r w:rsidRPr="00717B8C">
        <w:rPr>
          <w:rFonts w:ascii="Arial" w:hAnsi="Arial" w:cs="Arial"/>
          <w:i/>
          <w:iCs/>
          <w:sz w:val="24"/>
          <w:szCs w:val="24"/>
          <w:u w:val="single"/>
        </w:rPr>
        <w:t>Category H</w:t>
      </w:r>
    </w:p>
    <w:p w14:paraId="548A32DF" w14:textId="71D50D98" w:rsidR="007F24AC" w:rsidRPr="00717B8C" w:rsidRDefault="00FD1480" w:rsidP="0056056D">
      <w:pPr>
        <w:rPr>
          <w:rFonts w:ascii="Arial" w:hAnsi="Arial" w:cs="Arial"/>
          <w:i/>
          <w:iCs/>
          <w:sz w:val="24"/>
          <w:szCs w:val="24"/>
          <w:u w:val="single"/>
        </w:rPr>
      </w:pPr>
      <w:r w:rsidRPr="00AB4483">
        <w:rPr>
          <w:noProof/>
        </w:rPr>
        <w:drawing>
          <wp:anchor distT="0" distB="0" distL="114300" distR="114300" simplePos="0" relativeHeight="251753472" behindDoc="0" locked="0" layoutInCell="1" allowOverlap="1" wp14:anchorId="002CF72A" wp14:editId="7EB4C2ED">
            <wp:simplePos x="0" y="0"/>
            <wp:positionH relativeFrom="margin">
              <wp:posOffset>-28575</wp:posOffset>
            </wp:positionH>
            <wp:positionV relativeFrom="paragraph">
              <wp:posOffset>59690</wp:posOffset>
            </wp:positionV>
            <wp:extent cx="5731510" cy="3393440"/>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731510" cy="3393440"/>
                    </a:xfrm>
                    <a:prstGeom prst="rect">
                      <a:avLst/>
                    </a:prstGeom>
                  </pic:spPr>
                </pic:pic>
              </a:graphicData>
            </a:graphic>
            <wp14:sizeRelH relativeFrom="margin">
              <wp14:pctWidth>0</wp14:pctWidth>
            </wp14:sizeRelH>
            <wp14:sizeRelV relativeFrom="margin">
              <wp14:pctHeight>0</wp14:pctHeight>
            </wp14:sizeRelV>
          </wp:anchor>
        </w:drawing>
      </w:r>
    </w:p>
    <w:p w14:paraId="20B418FE" w14:textId="1307A4AE" w:rsidR="00011E9E" w:rsidRPr="00A65920" w:rsidRDefault="00011E9E" w:rsidP="00A65920">
      <w:pPr>
        <w:pStyle w:val="NoSpacing"/>
        <w:rPr>
          <w:rFonts w:ascii="Arial" w:hAnsi="Arial" w:cs="Arial"/>
          <w:sz w:val="24"/>
          <w:szCs w:val="24"/>
        </w:rPr>
      </w:pPr>
    </w:p>
    <w:p w14:paraId="5DB894F2" w14:textId="77777777" w:rsidR="001713E9" w:rsidRDefault="001713E9">
      <w:pPr>
        <w:rPr>
          <w:rFonts w:ascii="Arial" w:hAnsi="Arial" w:cs="Arial"/>
          <w:i/>
          <w:iCs/>
          <w:sz w:val="24"/>
          <w:szCs w:val="24"/>
          <w:u w:val="single"/>
        </w:rPr>
      </w:pPr>
      <w:r>
        <w:rPr>
          <w:rFonts w:ascii="Arial" w:hAnsi="Arial" w:cs="Arial"/>
          <w:i/>
          <w:iCs/>
          <w:sz w:val="24"/>
          <w:szCs w:val="24"/>
          <w:u w:val="single"/>
        </w:rPr>
        <w:br w:type="page"/>
      </w:r>
    </w:p>
    <w:p w14:paraId="7E274466" w14:textId="17EF9876" w:rsidR="0056056D" w:rsidRPr="00717B8C" w:rsidRDefault="0056056D" w:rsidP="0056056D">
      <w:pPr>
        <w:rPr>
          <w:rFonts w:ascii="Arial" w:hAnsi="Arial" w:cs="Arial"/>
          <w:i/>
          <w:iCs/>
          <w:sz w:val="24"/>
          <w:szCs w:val="24"/>
          <w:u w:val="single"/>
        </w:rPr>
      </w:pPr>
      <w:r w:rsidRPr="00717B8C">
        <w:rPr>
          <w:rFonts w:ascii="Arial" w:hAnsi="Arial" w:cs="Arial"/>
          <w:i/>
          <w:iCs/>
          <w:sz w:val="24"/>
          <w:szCs w:val="24"/>
          <w:u w:val="single"/>
        </w:rPr>
        <w:lastRenderedPageBreak/>
        <w:t>Category F</w:t>
      </w:r>
    </w:p>
    <w:p w14:paraId="268F6A6B" w14:textId="34E11445" w:rsidR="0011393A" w:rsidRDefault="00DF7C2D" w:rsidP="00A4059C">
      <w:pPr>
        <w:spacing w:after="0"/>
        <w:rPr>
          <w:rFonts w:ascii="Arial" w:hAnsi="Arial" w:cs="Arial"/>
          <w:sz w:val="24"/>
          <w:szCs w:val="24"/>
        </w:rPr>
      </w:pPr>
      <w:r w:rsidRPr="005330A4">
        <w:rPr>
          <w:rFonts w:ascii="Arial" w:hAnsi="Arial" w:cs="Arial"/>
          <w:noProof/>
        </w:rPr>
        <w:drawing>
          <wp:anchor distT="0" distB="0" distL="114300" distR="114300" simplePos="0" relativeHeight="251755520" behindDoc="0" locked="0" layoutInCell="1" allowOverlap="1" wp14:anchorId="21776134" wp14:editId="6AD08FBC">
            <wp:simplePos x="0" y="0"/>
            <wp:positionH relativeFrom="margin">
              <wp:posOffset>-84455</wp:posOffset>
            </wp:positionH>
            <wp:positionV relativeFrom="paragraph">
              <wp:posOffset>175260</wp:posOffset>
            </wp:positionV>
            <wp:extent cx="6082665" cy="29914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082665" cy="2991485"/>
                    </a:xfrm>
                    <a:prstGeom prst="rect">
                      <a:avLst/>
                    </a:prstGeom>
                  </pic:spPr>
                </pic:pic>
              </a:graphicData>
            </a:graphic>
            <wp14:sizeRelH relativeFrom="margin">
              <wp14:pctWidth>0</wp14:pctWidth>
            </wp14:sizeRelH>
            <wp14:sizeRelV relativeFrom="margin">
              <wp14:pctHeight>0</wp14:pctHeight>
            </wp14:sizeRelV>
          </wp:anchor>
        </w:drawing>
      </w:r>
    </w:p>
    <w:p w14:paraId="475A1B6E" w14:textId="72FB3E63" w:rsidR="00A4059C" w:rsidRDefault="00A4059C" w:rsidP="00A4059C">
      <w:pPr>
        <w:spacing w:after="0"/>
        <w:rPr>
          <w:rFonts w:ascii="Arial" w:hAnsi="Arial" w:cs="Arial"/>
          <w:sz w:val="24"/>
          <w:szCs w:val="24"/>
        </w:rPr>
      </w:pPr>
    </w:p>
    <w:p w14:paraId="47F8EC56" w14:textId="7D5B5BE3" w:rsidR="0011393A" w:rsidRPr="00717B8C" w:rsidRDefault="0011393A" w:rsidP="00A4059C">
      <w:pPr>
        <w:spacing w:after="0"/>
        <w:rPr>
          <w:rFonts w:ascii="Arial" w:hAnsi="Arial" w:cs="Arial"/>
          <w:sz w:val="24"/>
          <w:szCs w:val="24"/>
        </w:rPr>
      </w:pPr>
    </w:p>
    <w:p w14:paraId="2C9D4DB5" w14:textId="77777777" w:rsidR="00852641" w:rsidRDefault="00BB48F6">
      <w:pPr>
        <w:rPr>
          <w:rFonts w:ascii="Arial" w:hAnsi="Arial" w:cs="Arial"/>
          <w:sz w:val="24"/>
          <w:szCs w:val="24"/>
        </w:rPr>
      </w:pPr>
      <w:r>
        <w:rPr>
          <w:rFonts w:ascii="Arial" w:hAnsi="Arial" w:cs="Arial"/>
          <w:sz w:val="24"/>
          <w:szCs w:val="24"/>
        </w:rPr>
        <w:t>Category A, B and H have remained consistent noting that there was an increase in Q1 reflecti</w:t>
      </w:r>
      <w:r w:rsidR="00852641">
        <w:rPr>
          <w:rFonts w:ascii="Arial" w:hAnsi="Arial" w:cs="Arial"/>
          <w:sz w:val="24"/>
          <w:szCs w:val="24"/>
        </w:rPr>
        <w:t>ve</w:t>
      </w:r>
      <w:r>
        <w:rPr>
          <w:rFonts w:ascii="Arial" w:hAnsi="Arial" w:cs="Arial"/>
          <w:sz w:val="24"/>
          <w:szCs w:val="24"/>
        </w:rPr>
        <w:t xml:space="preserve"> in the overall increase in recording during that quarter.</w:t>
      </w:r>
    </w:p>
    <w:p w14:paraId="6C4F7BB5" w14:textId="5C827737" w:rsidR="00B6370F" w:rsidRDefault="00852641">
      <w:pPr>
        <w:rPr>
          <w:rFonts w:ascii="Arial" w:hAnsi="Arial" w:cs="Arial"/>
          <w:b/>
          <w:bCs/>
          <w:color w:val="FF0000"/>
          <w:sz w:val="24"/>
          <w:szCs w:val="24"/>
          <w:u w:val="single"/>
        </w:rPr>
      </w:pPr>
      <w:r>
        <w:rPr>
          <w:rFonts w:ascii="Arial" w:hAnsi="Arial" w:cs="Arial"/>
          <w:sz w:val="24"/>
          <w:szCs w:val="24"/>
        </w:rPr>
        <w:t xml:space="preserve">Category F shows an increase in sex discrimination strands. There have been more </w:t>
      </w:r>
      <w:r w:rsidR="007B11F6">
        <w:rPr>
          <w:rFonts w:ascii="Arial" w:hAnsi="Arial" w:cs="Arial"/>
          <w:sz w:val="24"/>
          <w:szCs w:val="24"/>
        </w:rPr>
        <w:t xml:space="preserve">complaints raised by men, stating a perception that they are not treated </w:t>
      </w:r>
      <w:proofErr w:type="gramStart"/>
      <w:r w:rsidR="007B11F6">
        <w:rPr>
          <w:rFonts w:ascii="Arial" w:hAnsi="Arial" w:cs="Arial"/>
          <w:sz w:val="24"/>
          <w:szCs w:val="24"/>
        </w:rPr>
        <w:t>fairly due</w:t>
      </w:r>
      <w:proofErr w:type="gramEnd"/>
      <w:r w:rsidR="007B11F6">
        <w:rPr>
          <w:rFonts w:ascii="Arial" w:hAnsi="Arial" w:cs="Arial"/>
          <w:sz w:val="24"/>
          <w:szCs w:val="24"/>
        </w:rPr>
        <w:t xml:space="preserve"> to their gender. </w:t>
      </w:r>
      <w:r w:rsidR="00B6370F">
        <w:rPr>
          <w:rFonts w:ascii="Arial" w:hAnsi="Arial" w:cs="Arial"/>
          <w:b/>
          <w:bCs/>
          <w:color w:val="FF0000"/>
          <w:sz w:val="24"/>
          <w:szCs w:val="24"/>
          <w:u w:val="single"/>
        </w:rPr>
        <w:br w:type="page"/>
      </w:r>
    </w:p>
    <w:p w14:paraId="055CA3BE" w14:textId="77777777" w:rsidR="00B5079E" w:rsidRDefault="00B5079E" w:rsidP="002A5B9E">
      <w:pPr>
        <w:pStyle w:val="NoSpacing"/>
        <w:rPr>
          <w:rFonts w:ascii="Arial" w:hAnsi="Arial" w:cs="Arial"/>
          <w:b/>
          <w:bCs/>
          <w:color w:val="FF0000"/>
          <w:sz w:val="24"/>
          <w:szCs w:val="24"/>
          <w:u w:val="single"/>
        </w:rPr>
      </w:pPr>
    </w:p>
    <w:p w14:paraId="7AEC3C5D" w14:textId="77777777" w:rsidR="00DE0EB3" w:rsidRPr="00DE0EB3" w:rsidRDefault="00DE0EB3" w:rsidP="00DE0EB3">
      <w:pPr>
        <w:rPr>
          <w:rFonts w:ascii="Arial" w:hAnsi="Arial" w:cs="Arial"/>
          <w:b/>
          <w:bCs/>
          <w:sz w:val="24"/>
          <w:szCs w:val="24"/>
          <w:u w:val="single"/>
        </w:rPr>
      </w:pPr>
      <w:r w:rsidRPr="00DE0EB3">
        <w:rPr>
          <w:rFonts w:ascii="Arial" w:hAnsi="Arial" w:cs="Arial"/>
          <w:b/>
          <w:bCs/>
          <w:sz w:val="24"/>
          <w:szCs w:val="24"/>
          <w:u w:val="single"/>
        </w:rPr>
        <w:t>Police Officer and Staff Misconduct</w:t>
      </w:r>
    </w:p>
    <w:p w14:paraId="53D4AC40" w14:textId="77777777" w:rsidR="00DE0EB3" w:rsidRDefault="00DE0EB3" w:rsidP="00DE0EB3">
      <w:pPr>
        <w:spacing w:after="0" w:line="240" w:lineRule="auto"/>
        <w:rPr>
          <w:rFonts w:ascii="Arial" w:hAnsi="Arial" w:cs="Arial"/>
          <w:b/>
          <w:bCs/>
          <w:sz w:val="32"/>
          <w:szCs w:val="48"/>
          <w:highlight w:val="yellow"/>
        </w:rPr>
      </w:pPr>
      <w:r w:rsidRPr="00D547A4">
        <w:rPr>
          <w:noProof/>
        </w:rPr>
        <w:drawing>
          <wp:inline distT="0" distB="0" distL="0" distR="0" wp14:anchorId="07A6DE74" wp14:editId="27B0AE6E">
            <wp:extent cx="1328778" cy="55595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7820" cy="559738"/>
                    </a:xfrm>
                    <a:prstGeom prst="rect">
                      <a:avLst/>
                    </a:prstGeom>
                    <a:noFill/>
                    <a:ln>
                      <a:noFill/>
                    </a:ln>
                  </pic:spPr>
                </pic:pic>
              </a:graphicData>
            </a:graphic>
          </wp:inline>
        </w:drawing>
      </w:r>
      <w:r>
        <w:rPr>
          <w:rFonts w:ascii="Arial" w:hAnsi="Arial" w:cs="Arial"/>
          <w:b/>
          <w:bCs/>
          <w:noProof/>
          <w:sz w:val="32"/>
          <w:szCs w:val="48"/>
          <w:highlight w:val="yellow"/>
        </w:rPr>
        <w:drawing>
          <wp:inline distT="0" distB="0" distL="0" distR="0" wp14:anchorId="402084D5" wp14:editId="3A94B52C">
            <wp:extent cx="6182577" cy="3442564"/>
            <wp:effectExtent l="0" t="0" r="889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22067" cy="3464552"/>
                    </a:xfrm>
                    <a:prstGeom prst="rect">
                      <a:avLst/>
                    </a:prstGeom>
                    <a:noFill/>
                  </pic:spPr>
                </pic:pic>
              </a:graphicData>
            </a:graphic>
          </wp:inline>
        </w:drawing>
      </w:r>
    </w:p>
    <w:p w14:paraId="20E105D1" w14:textId="77777777" w:rsidR="00DE0EB3" w:rsidRDefault="00DE0EB3" w:rsidP="00DE0EB3">
      <w:pPr>
        <w:spacing w:after="0" w:line="240" w:lineRule="auto"/>
        <w:jc w:val="both"/>
        <w:rPr>
          <w:rFonts w:ascii="Arial" w:hAnsi="Arial" w:cs="Arial"/>
          <w:szCs w:val="44"/>
        </w:rPr>
      </w:pPr>
    </w:p>
    <w:p w14:paraId="73A8F259" w14:textId="77777777" w:rsidR="00DE0EB3" w:rsidRDefault="00DE0EB3" w:rsidP="00DE0EB3">
      <w:pPr>
        <w:spacing w:after="0" w:line="240" w:lineRule="auto"/>
        <w:jc w:val="both"/>
        <w:rPr>
          <w:rFonts w:ascii="Arial" w:hAnsi="Arial" w:cs="Arial"/>
          <w:szCs w:val="44"/>
        </w:rPr>
      </w:pPr>
    </w:p>
    <w:p w14:paraId="33662EDA" w14:textId="77777777" w:rsidR="00DE0EB3" w:rsidRDefault="00DE0EB3" w:rsidP="00DE0EB3">
      <w:pPr>
        <w:spacing w:after="0" w:line="240" w:lineRule="auto"/>
        <w:jc w:val="both"/>
        <w:rPr>
          <w:rFonts w:ascii="Arial" w:hAnsi="Arial" w:cs="Arial"/>
          <w:szCs w:val="44"/>
        </w:rPr>
      </w:pPr>
      <w:r>
        <w:rPr>
          <w:rFonts w:ascii="Arial" w:hAnsi="Arial" w:cs="Arial"/>
          <w:szCs w:val="44"/>
        </w:rPr>
        <w:t>Overall, the total number of conduct strands and cases increased in Q2 2023/2024 with 30 cases in August with 60 strands and 29 cases in September with 58 Strands.</w:t>
      </w:r>
    </w:p>
    <w:p w14:paraId="72203809" w14:textId="77777777" w:rsidR="00DE0EB3" w:rsidRDefault="00DE0EB3" w:rsidP="00DE0EB3">
      <w:pPr>
        <w:spacing w:after="0" w:line="240" w:lineRule="auto"/>
        <w:jc w:val="both"/>
        <w:rPr>
          <w:rFonts w:ascii="Arial" w:hAnsi="Arial" w:cs="Arial"/>
          <w:szCs w:val="44"/>
        </w:rPr>
      </w:pPr>
    </w:p>
    <w:p w14:paraId="59129F1D"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Reviewing the previous two years Q2 data, there is generally a spike in conduct recorded in August and September, albeit there is no obvious reason or explanation for this.  </w:t>
      </w:r>
    </w:p>
    <w:p w14:paraId="3A6F0077" w14:textId="77777777" w:rsidR="00DE0EB3" w:rsidRDefault="00DE0EB3" w:rsidP="00DE0EB3">
      <w:pPr>
        <w:spacing w:after="0" w:line="240" w:lineRule="auto"/>
        <w:jc w:val="both"/>
        <w:rPr>
          <w:rFonts w:ascii="Arial" w:hAnsi="Arial" w:cs="Arial"/>
          <w:szCs w:val="44"/>
        </w:rPr>
      </w:pPr>
    </w:p>
    <w:p w14:paraId="4F71A268" w14:textId="77777777" w:rsidR="00DE0EB3" w:rsidRDefault="00DE0EB3" w:rsidP="00DE0EB3">
      <w:pPr>
        <w:spacing w:after="0" w:line="240" w:lineRule="auto"/>
        <w:jc w:val="both"/>
        <w:rPr>
          <w:rFonts w:ascii="Arial" w:hAnsi="Arial" w:cs="Arial"/>
          <w:szCs w:val="44"/>
        </w:rPr>
      </w:pPr>
      <w:r>
        <w:rPr>
          <w:rFonts w:ascii="Arial" w:hAnsi="Arial" w:cs="Arial"/>
          <w:szCs w:val="44"/>
        </w:rPr>
        <w:t>The above graph continues to show an upward Trajectory over time.</w:t>
      </w:r>
    </w:p>
    <w:p w14:paraId="55704D11" w14:textId="77777777" w:rsidR="00DE0EB3" w:rsidRDefault="00DE0EB3" w:rsidP="00DE0EB3">
      <w:pPr>
        <w:spacing w:after="0" w:line="240" w:lineRule="auto"/>
        <w:jc w:val="both"/>
        <w:rPr>
          <w:rFonts w:ascii="Arial" w:hAnsi="Arial" w:cs="Arial"/>
          <w:szCs w:val="44"/>
        </w:rPr>
      </w:pPr>
    </w:p>
    <w:p w14:paraId="5049647C" w14:textId="77777777" w:rsidR="00DE0EB3" w:rsidRDefault="00DE0EB3" w:rsidP="00DE0EB3">
      <w:pPr>
        <w:spacing w:after="0" w:line="240" w:lineRule="auto"/>
        <w:jc w:val="both"/>
        <w:rPr>
          <w:rFonts w:ascii="Arial" w:hAnsi="Arial" w:cs="Arial"/>
          <w:szCs w:val="44"/>
        </w:rPr>
      </w:pPr>
      <w:r>
        <w:rPr>
          <w:rFonts w:ascii="Arial" w:hAnsi="Arial" w:cs="Arial"/>
          <w:szCs w:val="44"/>
        </w:rPr>
        <w:t>As the new Prevention and Engagement Team continue to deliver a comprehensive programme of work to encourage reporting and wrongdoing, it is predicted that conduct levels will continue to rise for the short term. This should be seen as a positive, with more people having the confidence to report, and more examples of victims and witnesses feeling like they are believed and supported through the conduct process.</w:t>
      </w:r>
    </w:p>
    <w:p w14:paraId="2AA0C4B0" w14:textId="77777777" w:rsidR="00DE0EB3" w:rsidRDefault="00DE0EB3" w:rsidP="00DE0EB3">
      <w:pPr>
        <w:spacing w:after="0" w:line="240" w:lineRule="auto"/>
        <w:jc w:val="both"/>
        <w:rPr>
          <w:rFonts w:ascii="Arial" w:hAnsi="Arial" w:cs="Arial"/>
          <w:szCs w:val="44"/>
        </w:rPr>
      </w:pPr>
    </w:p>
    <w:p w14:paraId="74A64D08" w14:textId="6EA87416" w:rsidR="00DE0EB3" w:rsidRDefault="00DE0EB3" w:rsidP="00DE0EB3">
      <w:pPr>
        <w:spacing w:after="0" w:line="240" w:lineRule="auto"/>
        <w:jc w:val="both"/>
        <w:rPr>
          <w:rFonts w:ascii="Arial" w:hAnsi="Arial" w:cs="Arial"/>
          <w:szCs w:val="44"/>
        </w:rPr>
      </w:pPr>
      <w:r>
        <w:rPr>
          <w:rFonts w:ascii="Arial" w:hAnsi="Arial" w:cs="Arial"/>
          <w:szCs w:val="44"/>
        </w:rPr>
        <w:t xml:space="preserve">The longer-term ambition remains to see a reduction in conduct cases, with more people being ‘upstanders and not bystanders’, calling out poor behaviour before it escalates into more serious conduct and educating the workforce around the importance of adhering to the Code of Ethics and Standards of Professional Behaviour.      </w:t>
      </w:r>
    </w:p>
    <w:p w14:paraId="2AE6157B" w14:textId="77777777" w:rsidR="00DE0EB3" w:rsidRDefault="00DE0EB3" w:rsidP="00DE0EB3">
      <w:pPr>
        <w:spacing w:after="0" w:line="240" w:lineRule="auto"/>
        <w:jc w:val="both"/>
        <w:rPr>
          <w:rFonts w:ascii="Arial" w:hAnsi="Arial" w:cs="Arial"/>
          <w:szCs w:val="44"/>
        </w:rPr>
      </w:pPr>
    </w:p>
    <w:p w14:paraId="57D2E6F9"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   </w:t>
      </w:r>
    </w:p>
    <w:p w14:paraId="50F3CFBF" w14:textId="77777777" w:rsidR="00DE0EB3" w:rsidRDefault="00DE0EB3" w:rsidP="00DE0EB3">
      <w:pPr>
        <w:spacing w:after="0" w:line="240" w:lineRule="auto"/>
        <w:jc w:val="both"/>
        <w:rPr>
          <w:rFonts w:ascii="Arial" w:hAnsi="Arial" w:cs="Arial"/>
          <w:szCs w:val="44"/>
        </w:rPr>
      </w:pPr>
    </w:p>
    <w:p w14:paraId="3475C4CE" w14:textId="77777777" w:rsidR="00DE0EB3" w:rsidRDefault="00DE0EB3" w:rsidP="00DE0EB3">
      <w:pPr>
        <w:spacing w:after="0" w:line="240" w:lineRule="auto"/>
        <w:jc w:val="both"/>
        <w:rPr>
          <w:rFonts w:ascii="Arial" w:hAnsi="Arial" w:cs="Arial"/>
          <w:szCs w:val="44"/>
        </w:rPr>
      </w:pPr>
    </w:p>
    <w:p w14:paraId="250BD453" w14:textId="77777777" w:rsidR="00DE0EB3" w:rsidRDefault="00DE0EB3" w:rsidP="00DE0EB3">
      <w:pPr>
        <w:spacing w:after="0" w:line="240" w:lineRule="auto"/>
        <w:jc w:val="both"/>
        <w:rPr>
          <w:rFonts w:ascii="Arial" w:hAnsi="Arial" w:cs="Arial"/>
          <w:szCs w:val="44"/>
        </w:rPr>
      </w:pPr>
    </w:p>
    <w:p w14:paraId="51DD448D" w14:textId="77777777" w:rsidR="00DE0EB3" w:rsidRDefault="00DE0EB3" w:rsidP="00DE0EB3">
      <w:pPr>
        <w:spacing w:after="0" w:line="240" w:lineRule="auto"/>
        <w:jc w:val="both"/>
        <w:rPr>
          <w:rFonts w:ascii="Arial" w:hAnsi="Arial" w:cs="Arial"/>
          <w:szCs w:val="44"/>
        </w:rPr>
      </w:pPr>
      <w:r>
        <w:rPr>
          <w:rFonts w:ascii="Arial" w:hAnsi="Arial" w:cs="Arial"/>
          <w:noProof/>
          <w:szCs w:val="44"/>
        </w:rPr>
        <w:lastRenderedPageBreak/>
        <w:drawing>
          <wp:inline distT="0" distB="0" distL="0" distR="0" wp14:anchorId="75F731FF" wp14:editId="2745FBC0">
            <wp:extent cx="5902071" cy="3076894"/>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3241" cy="3093144"/>
                    </a:xfrm>
                    <a:prstGeom prst="rect">
                      <a:avLst/>
                    </a:prstGeom>
                    <a:noFill/>
                  </pic:spPr>
                </pic:pic>
              </a:graphicData>
            </a:graphic>
          </wp:inline>
        </w:drawing>
      </w:r>
    </w:p>
    <w:p w14:paraId="309BAB3E" w14:textId="77777777" w:rsidR="00DE0EB3" w:rsidRDefault="00DE0EB3" w:rsidP="00DE0EB3">
      <w:pPr>
        <w:spacing w:after="0" w:line="240" w:lineRule="auto"/>
        <w:jc w:val="both"/>
        <w:rPr>
          <w:rFonts w:ascii="Arial" w:hAnsi="Arial" w:cs="Arial"/>
          <w:szCs w:val="44"/>
        </w:rPr>
      </w:pPr>
    </w:p>
    <w:p w14:paraId="5F053114" w14:textId="77777777" w:rsidR="00DE0EB3" w:rsidRPr="00AF76FC" w:rsidRDefault="00DE0EB3" w:rsidP="00DE0EB3">
      <w:pPr>
        <w:spacing w:after="0" w:line="240" w:lineRule="auto"/>
        <w:jc w:val="both"/>
        <w:rPr>
          <w:rFonts w:ascii="Arial" w:hAnsi="Arial" w:cs="Arial"/>
          <w:szCs w:val="44"/>
        </w:rPr>
      </w:pPr>
    </w:p>
    <w:p w14:paraId="6538B803" w14:textId="77777777" w:rsidR="00DE0EB3" w:rsidRDefault="00DE0EB3" w:rsidP="00DE0EB3">
      <w:pPr>
        <w:spacing w:after="0" w:line="240" w:lineRule="auto"/>
        <w:jc w:val="both"/>
        <w:rPr>
          <w:rFonts w:ascii="Arial" w:hAnsi="Arial" w:cs="Arial"/>
          <w:szCs w:val="44"/>
          <w:highlight w:val="yellow"/>
        </w:rPr>
      </w:pPr>
    </w:p>
    <w:p w14:paraId="4BF82C92" w14:textId="77777777" w:rsidR="00DE0EB3" w:rsidRDefault="00DE0EB3" w:rsidP="00DE0EB3">
      <w:pPr>
        <w:spacing w:after="0" w:line="240" w:lineRule="auto"/>
        <w:jc w:val="both"/>
        <w:rPr>
          <w:rFonts w:ascii="Arial" w:hAnsi="Arial" w:cs="Arial"/>
          <w:szCs w:val="44"/>
        </w:rPr>
      </w:pPr>
      <w:r w:rsidRPr="00DF5D14">
        <w:rPr>
          <w:rFonts w:ascii="Arial" w:hAnsi="Arial" w:cs="Arial"/>
          <w:szCs w:val="44"/>
        </w:rPr>
        <w:t>A</w:t>
      </w:r>
      <w:r>
        <w:rPr>
          <w:rFonts w:ascii="Arial" w:hAnsi="Arial" w:cs="Arial"/>
          <w:szCs w:val="44"/>
        </w:rPr>
        <w:t>ll 10 Categories have shown an increase in Q2 which is to be expected given the increase in cases in August and September.</w:t>
      </w:r>
    </w:p>
    <w:p w14:paraId="0AD2C2F2" w14:textId="77777777" w:rsidR="00DE0EB3" w:rsidRDefault="00DE0EB3" w:rsidP="00DE0EB3">
      <w:pPr>
        <w:spacing w:after="0" w:line="240" w:lineRule="auto"/>
        <w:jc w:val="both"/>
        <w:rPr>
          <w:rFonts w:ascii="Arial" w:hAnsi="Arial" w:cs="Arial"/>
          <w:szCs w:val="44"/>
        </w:rPr>
      </w:pPr>
    </w:p>
    <w:p w14:paraId="528D7296" w14:textId="23664B92" w:rsidR="00DE0EB3" w:rsidRDefault="00DE0EB3" w:rsidP="00DE0EB3">
      <w:pPr>
        <w:spacing w:after="0" w:line="240" w:lineRule="auto"/>
        <w:jc w:val="both"/>
        <w:rPr>
          <w:rFonts w:ascii="Arial" w:hAnsi="Arial" w:cs="Arial"/>
          <w:szCs w:val="44"/>
        </w:rPr>
      </w:pPr>
      <w:r>
        <w:rPr>
          <w:rFonts w:ascii="Arial" w:hAnsi="Arial" w:cs="Arial"/>
          <w:szCs w:val="44"/>
        </w:rPr>
        <w:t xml:space="preserve">There are significant increases in Duties and Responsibilities and Discreditable conduct however there are no clear patterns, although PSD have seen a slight increase in cases whereby officers and staff are claiming for hours they are not working and failing to investigate crimes proportionately. Such examples will be presented to the board at the next meeting.  </w:t>
      </w:r>
    </w:p>
    <w:p w14:paraId="1771D8EF" w14:textId="77777777" w:rsidR="00DE0EB3" w:rsidRDefault="00DE0EB3" w:rsidP="00DE0EB3">
      <w:pPr>
        <w:spacing w:after="0" w:line="240" w:lineRule="auto"/>
        <w:jc w:val="both"/>
        <w:rPr>
          <w:rFonts w:ascii="Arial" w:hAnsi="Arial" w:cs="Arial"/>
          <w:szCs w:val="44"/>
        </w:rPr>
      </w:pPr>
    </w:p>
    <w:p w14:paraId="059C06A5" w14:textId="77777777" w:rsidR="00DE0EB3" w:rsidRDefault="00DE0EB3" w:rsidP="00DE0EB3">
      <w:pPr>
        <w:spacing w:after="0" w:line="240" w:lineRule="auto"/>
        <w:jc w:val="both"/>
        <w:rPr>
          <w:rFonts w:ascii="Arial" w:hAnsi="Arial" w:cs="Arial"/>
          <w:szCs w:val="44"/>
        </w:rPr>
      </w:pPr>
      <w:r>
        <w:rPr>
          <w:rFonts w:ascii="Arial" w:hAnsi="Arial" w:cs="Arial"/>
          <w:szCs w:val="44"/>
        </w:rPr>
        <w:t>With regards to Duties and Responsibilities, 10 of the cases are attributable to the North LPA, 7 to the South LPA and 5 to the West LPA.</w:t>
      </w:r>
    </w:p>
    <w:p w14:paraId="4DB795CC" w14:textId="77777777" w:rsidR="00DE0EB3" w:rsidRDefault="00DE0EB3" w:rsidP="00DE0EB3">
      <w:pPr>
        <w:spacing w:after="0" w:line="240" w:lineRule="auto"/>
        <w:jc w:val="both"/>
        <w:rPr>
          <w:rFonts w:ascii="Arial" w:hAnsi="Arial" w:cs="Arial"/>
          <w:szCs w:val="44"/>
        </w:rPr>
      </w:pPr>
    </w:p>
    <w:p w14:paraId="16FA933F" w14:textId="77777777" w:rsidR="00DE0EB3" w:rsidRDefault="00DE0EB3" w:rsidP="00DE0EB3">
      <w:pPr>
        <w:spacing w:after="0" w:line="240" w:lineRule="auto"/>
        <w:jc w:val="both"/>
        <w:rPr>
          <w:rFonts w:ascii="Arial" w:hAnsi="Arial" w:cs="Arial"/>
          <w:szCs w:val="44"/>
        </w:rPr>
      </w:pPr>
      <w:r>
        <w:rPr>
          <w:rFonts w:ascii="Arial" w:hAnsi="Arial" w:cs="Arial"/>
          <w:szCs w:val="44"/>
        </w:rPr>
        <w:t>With regards to Discreditable conduct, fifteen cases are attributed to the North LPA, 14 to the South LPA, 7 to the West LPA and 5 to Contact Management Command.  The rest are evenly spread.</w:t>
      </w:r>
    </w:p>
    <w:p w14:paraId="25EF8D16" w14:textId="77777777" w:rsidR="00DE0EB3" w:rsidRDefault="00DE0EB3" w:rsidP="00DE0EB3">
      <w:pPr>
        <w:spacing w:after="0" w:line="240" w:lineRule="auto"/>
        <w:jc w:val="both"/>
        <w:rPr>
          <w:rFonts w:ascii="Arial" w:hAnsi="Arial" w:cs="Arial"/>
          <w:szCs w:val="44"/>
        </w:rPr>
      </w:pPr>
    </w:p>
    <w:p w14:paraId="72045D7B" w14:textId="77777777" w:rsidR="00DE0EB3" w:rsidRDefault="00DE0EB3" w:rsidP="00DE0EB3">
      <w:pPr>
        <w:spacing w:after="0" w:line="240" w:lineRule="auto"/>
        <w:jc w:val="both"/>
        <w:rPr>
          <w:rFonts w:ascii="Arial" w:hAnsi="Arial" w:cs="Arial"/>
          <w:szCs w:val="44"/>
        </w:rPr>
      </w:pPr>
    </w:p>
    <w:p w14:paraId="2C832561" w14:textId="77777777" w:rsidR="00DE0EB3" w:rsidRDefault="00DE0EB3" w:rsidP="00DE0EB3">
      <w:pPr>
        <w:spacing w:after="0" w:line="240" w:lineRule="auto"/>
        <w:jc w:val="both"/>
        <w:rPr>
          <w:rFonts w:ascii="Arial" w:hAnsi="Arial" w:cs="Arial"/>
          <w:szCs w:val="44"/>
        </w:rPr>
      </w:pPr>
    </w:p>
    <w:p w14:paraId="3E3DD115" w14:textId="77777777" w:rsidR="00DE0EB3" w:rsidRDefault="00DE0EB3" w:rsidP="00DE0EB3">
      <w:pPr>
        <w:spacing w:after="0" w:line="240" w:lineRule="auto"/>
        <w:jc w:val="both"/>
        <w:rPr>
          <w:rFonts w:ascii="Arial" w:hAnsi="Arial" w:cs="Arial"/>
          <w:szCs w:val="44"/>
        </w:rPr>
      </w:pPr>
    </w:p>
    <w:p w14:paraId="648ADA1C" w14:textId="77777777" w:rsidR="00DE0EB3" w:rsidRDefault="00DE0EB3" w:rsidP="00DE0EB3">
      <w:pPr>
        <w:spacing w:after="0" w:line="240" w:lineRule="auto"/>
        <w:jc w:val="both"/>
        <w:rPr>
          <w:rFonts w:ascii="Arial" w:hAnsi="Arial" w:cs="Arial"/>
          <w:szCs w:val="44"/>
        </w:rPr>
      </w:pPr>
    </w:p>
    <w:p w14:paraId="3DDE48F3" w14:textId="77777777" w:rsidR="00DE0EB3" w:rsidRDefault="00DE0EB3" w:rsidP="00DE0EB3">
      <w:pPr>
        <w:spacing w:after="0" w:line="240" w:lineRule="auto"/>
        <w:jc w:val="both"/>
        <w:rPr>
          <w:rFonts w:ascii="Arial" w:hAnsi="Arial" w:cs="Arial"/>
          <w:szCs w:val="44"/>
        </w:rPr>
      </w:pPr>
    </w:p>
    <w:p w14:paraId="13A177E2" w14:textId="77777777" w:rsidR="00DE0EB3" w:rsidRDefault="00DE0EB3" w:rsidP="00DE0EB3">
      <w:pPr>
        <w:spacing w:after="0" w:line="240" w:lineRule="auto"/>
        <w:jc w:val="both"/>
        <w:rPr>
          <w:rFonts w:ascii="Arial" w:hAnsi="Arial" w:cs="Arial"/>
          <w:szCs w:val="44"/>
        </w:rPr>
      </w:pPr>
    </w:p>
    <w:p w14:paraId="3480D844" w14:textId="77777777" w:rsidR="00DE0EB3" w:rsidRDefault="00DE0EB3" w:rsidP="00DE0EB3">
      <w:pPr>
        <w:spacing w:after="0" w:line="240" w:lineRule="auto"/>
        <w:jc w:val="both"/>
        <w:rPr>
          <w:rFonts w:ascii="Arial" w:hAnsi="Arial" w:cs="Arial"/>
          <w:szCs w:val="44"/>
        </w:rPr>
      </w:pPr>
    </w:p>
    <w:p w14:paraId="4DF58743" w14:textId="77777777" w:rsidR="00DE0EB3" w:rsidRDefault="00DE0EB3" w:rsidP="00DE0EB3">
      <w:pPr>
        <w:spacing w:after="0" w:line="240" w:lineRule="auto"/>
        <w:jc w:val="both"/>
        <w:rPr>
          <w:rFonts w:ascii="Arial" w:hAnsi="Arial" w:cs="Arial"/>
          <w:szCs w:val="44"/>
        </w:rPr>
      </w:pPr>
    </w:p>
    <w:p w14:paraId="5F52F805" w14:textId="77777777" w:rsidR="00DE0EB3" w:rsidRDefault="00DE0EB3" w:rsidP="00DE0EB3">
      <w:pPr>
        <w:spacing w:after="0" w:line="240" w:lineRule="auto"/>
        <w:jc w:val="both"/>
        <w:rPr>
          <w:rFonts w:ascii="Arial" w:hAnsi="Arial" w:cs="Arial"/>
          <w:szCs w:val="44"/>
        </w:rPr>
      </w:pPr>
    </w:p>
    <w:p w14:paraId="0D01BA20" w14:textId="77777777" w:rsidR="00DE0EB3" w:rsidRDefault="00DE0EB3" w:rsidP="00DE0EB3">
      <w:pPr>
        <w:spacing w:after="0" w:line="240" w:lineRule="auto"/>
        <w:jc w:val="both"/>
        <w:rPr>
          <w:rFonts w:ascii="Arial" w:hAnsi="Arial" w:cs="Arial"/>
          <w:b/>
          <w:bCs/>
          <w:szCs w:val="44"/>
          <w:u w:val="single"/>
        </w:rPr>
      </w:pPr>
    </w:p>
    <w:p w14:paraId="164E1D18" w14:textId="77777777" w:rsidR="00DE0EB3" w:rsidRDefault="00DE0EB3" w:rsidP="00DE0EB3">
      <w:pPr>
        <w:spacing w:after="0" w:line="240" w:lineRule="auto"/>
        <w:jc w:val="both"/>
        <w:rPr>
          <w:rFonts w:ascii="Arial" w:hAnsi="Arial" w:cs="Arial"/>
          <w:b/>
          <w:bCs/>
          <w:szCs w:val="44"/>
          <w:u w:val="single"/>
        </w:rPr>
      </w:pPr>
    </w:p>
    <w:p w14:paraId="4DBECF6D" w14:textId="77777777" w:rsidR="00DE0EB3" w:rsidRDefault="00DE0EB3" w:rsidP="00DE0EB3">
      <w:pPr>
        <w:spacing w:after="0" w:line="240" w:lineRule="auto"/>
        <w:jc w:val="both"/>
        <w:rPr>
          <w:rFonts w:ascii="Arial" w:hAnsi="Arial" w:cs="Arial"/>
          <w:b/>
          <w:bCs/>
          <w:szCs w:val="44"/>
          <w:u w:val="single"/>
        </w:rPr>
      </w:pPr>
    </w:p>
    <w:p w14:paraId="2C285ACC" w14:textId="77777777" w:rsidR="00DE0EB3" w:rsidRDefault="00DE0EB3" w:rsidP="00DE0EB3">
      <w:pPr>
        <w:spacing w:after="0" w:line="240" w:lineRule="auto"/>
        <w:jc w:val="both"/>
        <w:rPr>
          <w:rFonts w:ascii="Arial" w:hAnsi="Arial" w:cs="Arial"/>
          <w:b/>
          <w:bCs/>
          <w:szCs w:val="44"/>
          <w:u w:val="single"/>
        </w:rPr>
      </w:pPr>
    </w:p>
    <w:p w14:paraId="2330018D" w14:textId="77777777" w:rsidR="00DE0EB3" w:rsidRDefault="00DE0EB3" w:rsidP="00DE0EB3">
      <w:pPr>
        <w:spacing w:after="0" w:line="240" w:lineRule="auto"/>
        <w:jc w:val="both"/>
        <w:rPr>
          <w:rFonts w:ascii="Arial" w:hAnsi="Arial" w:cs="Arial"/>
          <w:b/>
          <w:bCs/>
          <w:szCs w:val="44"/>
          <w:u w:val="single"/>
        </w:rPr>
      </w:pPr>
    </w:p>
    <w:p w14:paraId="03B855F8" w14:textId="77777777" w:rsidR="00DE0EB3" w:rsidRDefault="00DE0EB3" w:rsidP="00DE0EB3">
      <w:pPr>
        <w:spacing w:after="0" w:line="240" w:lineRule="auto"/>
        <w:jc w:val="both"/>
        <w:rPr>
          <w:rFonts w:ascii="Arial" w:hAnsi="Arial" w:cs="Arial"/>
          <w:b/>
          <w:bCs/>
          <w:szCs w:val="44"/>
          <w:u w:val="single"/>
        </w:rPr>
      </w:pPr>
    </w:p>
    <w:p w14:paraId="51C6B31B" w14:textId="77777777" w:rsidR="00DE0EB3" w:rsidRDefault="00DE0EB3" w:rsidP="00DE0EB3">
      <w:pPr>
        <w:spacing w:after="0" w:line="240" w:lineRule="auto"/>
        <w:jc w:val="both"/>
        <w:rPr>
          <w:rFonts w:ascii="Arial" w:hAnsi="Arial" w:cs="Arial"/>
          <w:b/>
          <w:bCs/>
          <w:szCs w:val="44"/>
          <w:u w:val="single"/>
        </w:rPr>
      </w:pPr>
    </w:p>
    <w:p w14:paraId="4ED1EC7F" w14:textId="77777777" w:rsidR="00DE0EB3" w:rsidRDefault="00DE0EB3" w:rsidP="00DE0EB3">
      <w:pPr>
        <w:spacing w:after="0" w:line="240" w:lineRule="auto"/>
        <w:jc w:val="both"/>
        <w:rPr>
          <w:rFonts w:ascii="Arial" w:hAnsi="Arial" w:cs="Arial"/>
          <w:b/>
          <w:bCs/>
          <w:szCs w:val="44"/>
          <w:u w:val="single"/>
        </w:rPr>
      </w:pPr>
    </w:p>
    <w:p w14:paraId="666AAE3C" w14:textId="77777777" w:rsidR="00DE0EB3" w:rsidRDefault="00DE0EB3" w:rsidP="00DE0EB3">
      <w:pPr>
        <w:spacing w:after="0" w:line="240" w:lineRule="auto"/>
        <w:jc w:val="both"/>
        <w:rPr>
          <w:rFonts w:ascii="Arial" w:hAnsi="Arial" w:cs="Arial"/>
          <w:b/>
          <w:bCs/>
          <w:szCs w:val="44"/>
          <w:u w:val="single"/>
        </w:rPr>
      </w:pPr>
    </w:p>
    <w:p w14:paraId="25AB156E" w14:textId="77777777" w:rsidR="00DE0EB3" w:rsidRDefault="00DE0EB3" w:rsidP="00DE0EB3">
      <w:pPr>
        <w:spacing w:after="0" w:line="240" w:lineRule="auto"/>
        <w:jc w:val="both"/>
        <w:rPr>
          <w:rFonts w:ascii="Arial" w:hAnsi="Arial" w:cs="Arial"/>
          <w:b/>
          <w:bCs/>
          <w:szCs w:val="44"/>
          <w:u w:val="single"/>
        </w:rPr>
      </w:pPr>
    </w:p>
    <w:p w14:paraId="2F61EA70" w14:textId="77777777" w:rsidR="00DE0EB3" w:rsidRPr="00DE0EB3" w:rsidRDefault="00DE0EB3" w:rsidP="00DE0EB3">
      <w:pPr>
        <w:spacing w:after="0" w:line="240" w:lineRule="auto"/>
        <w:jc w:val="both"/>
        <w:rPr>
          <w:rFonts w:ascii="Arial" w:hAnsi="Arial" w:cs="Arial"/>
          <w:b/>
          <w:bCs/>
          <w:sz w:val="24"/>
          <w:szCs w:val="24"/>
          <w:u w:val="single"/>
        </w:rPr>
      </w:pPr>
      <w:r w:rsidRPr="00DE0EB3">
        <w:rPr>
          <w:rFonts w:ascii="Arial" w:hAnsi="Arial" w:cs="Arial"/>
          <w:b/>
          <w:bCs/>
          <w:sz w:val="24"/>
          <w:szCs w:val="24"/>
          <w:u w:val="single"/>
        </w:rPr>
        <w:t>Breakdown of types of conduct cases</w:t>
      </w:r>
    </w:p>
    <w:p w14:paraId="5A6B9D7B" w14:textId="77777777" w:rsidR="00DE0EB3" w:rsidRDefault="00DE0EB3" w:rsidP="00DE0EB3">
      <w:pPr>
        <w:spacing w:after="0" w:line="240" w:lineRule="auto"/>
        <w:jc w:val="both"/>
        <w:rPr>
          <w:rFonts w:ascii="Arial" w:hAnsi="Arial" w:cs="Arial"/>
          <w:szCs w:val="44"/>
        </w:rPr>
      </w:pPr>
    </w:p>
    <w:p w14:paraId="6D856CDE"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The below tables categorise the type of cases currently being investigated by PSD, the first table being ‘non </w:t>
      </w:r>
      <w:proofErr w:type="spellStart"/>
      <w:r>
        <w:rPr>
          <w:rFonts w:ascii="Arial" w:hAnsi="Arial" w:cs="Arial"/>
          <w:szCs w:val="44"/>
        </w:rPr>
        <w:t>VAWG</w:t>
      </w:r>
      <w:proofErr w:type="spellEnd"/>
      <w:r>
        <w:rPr>
          <w:rFonts w:ascii="Arial" w:hAnsi="Arial" w:cs="Arial"/>
          <w:szCs w:val="44"/>
        </w:rPr>
        <w:t xml:space="preserve"> related’ and the second being ‘</w:t>
      </w:r>
      <w:proofErr w:type="spellStart"/>
      <w:r>
        <w:rPr>
          <w:rFonts w:ascii="Arial" w:hAnsi="Arial" w:cs="Arial"/>
          <w:szCs w:val="44"/>
        </w:rPr>
        <w:t>VAWG</w:t>
      </w:r>
      <w:proofErr w:type="spellEnd"/>
      <w:r>
        <w:rPr>
          <w:rFonts w:ascii="Arial" w:hAnsi="Arial" w:cs="Arial"/>
          <w:szCs w:val="44"/>
        </w:rPr>
        <w:t xml:space="preserve"> related’. </w:t>
      </w:r>
    </w:p>
    <w:p w14:paraId="32AE8426" w14:textId="77777777" w:rsidR="00DE0EB3" w:rsidRDefault="00DE0EB3" w:rsidP="00DE0EB3">
      <w:pPr>
        <w:spacing w:after="0" w:line="240" w:lineRule="auto"/>
        <w:jc w:val="both"/>
        <w:rPr>
          <w:rFonts w:ascii="Arial" w:hAnsi="Arial" w:cs="Arial"/>
          <w:szCs w:val="44"/>
        </w:rPr>
      </w:pPr>
    </w:p>
    <w:p w14:paraId="6C107740"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Essex Police continues to take all forms of violence and intimidation against women and girls extremely seriously and will always take positive action in support of victims and witnesses. The new Prevention and Engagement Team have a real focus on </w:t>
      </w:r>
      <w:proofErr w:type="spellStart"/>
      <w:r>
        <w:rPr>
          <w:rFonts w:ascii="Arial" w:hAnsi="Arial" w:cs="Arial"/>
          <w:szCs w:val="44"/>
        </w:rPr>
        <w:t>VAWG</w:t>
      </w:r>
      <w:proofErr w:type="spellEnd"/>
      <w:r>
        <w:rPr>
          <w:rFonts w:ascii="Arial" w:hAnsi="Arial" w:cs="Arial"/>
          <w:szCs w:val="44"/>
        </w:rPr>
        <w:t xml:space="preserve"> related behaviours and deliver training and education packages.    </w:t>
      </w:r>
    </w:p>
    <w:p w14:paraId="4EBBBD19" w14:textId="77777777" w:rsidR="00DE0EB3" w:rsidRDefault="00DE0EB3" w:rsidP="00DE0EB3">
      <w:pPr>
        <w:spacing w:after="0" w:line="240" w:lineRule="auto"/>
        <w:jc w:val="both"/>
        <w:rPr>
          <w:rFonts w:ascii="Arial" w:hAnsi="Arial" w:cs="Arial"/>
          <w:szCs w:val="44"/>
        </w:rPr>
      </w:pPr>
    </w:p>
    <w:p w14:paraId="135242D3"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There has been a considerable increase in driving offences and DPA Breaches in comparison to Q1. </w:t>
      </w:r>
    </w:p>
    <w:p w14:paraId="55DA4ADA" w14:textId="77777777" w:rsidR="00DE0EB3" w:rsidRDefault="00DE0EB3" w:rsidP="00DE0EB3">
      <w:pPr>
        <w:spacing w:after="0" w:line="240" w:lineRule="auto"/>
        <w:jc w:val="both"/>
        <w:rPr>
          <w:rFonts w:ascii="Arial" w:hAnsi="Arial" w:cs="Arial"/>
          <w:szCs w:val="44"/>
        </w:rPr>
      </w:pPr>
    </w:p>
    <w:p w14:paraId="327681DC"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The reason for the increase in driving related conduct cases is due to a new process, which involves the PSD DCI meeting regularly with the Driving School to discuss cases and consider which ones amount to conduct. This previously didn’t occur, and it is believed some matters were dealt with as performance and driving related as opposed to conduct. </w:t>
      </w:r>
    </w:p>
    <w:p w14:paraId="0760A7A6" w14:textId="77777777" w:rsidR="00DE0EB3" w:rsidRDefault="00DE0EB3" w:rsidP="00DE0EB3">
      <w:pPr>
        <w:spacing w:after="0" w:line="240" w:lineRule="auto"/>
        <w:jc w:val="both"/>
        <w:rPr>
          <w:rFonts w:ascii="Arial" w:hAnsi="Arial" w:cs="Arial"/>
          <w:szCs w:val="44"/>
        </w:rPr>
      </w:pPr>
    </w:p>
    <w:p w14:paraId="220C2CCD" w14:textId="77777777" w:rsidR="00DE0EB3" w:rsidRPr="007C4BE4" w:rsidRDefault="00DE0EB3" w:rsidP="00DE0EB3">
      <w:pPr>
        <w:spacing w:after="0" w:line="240" w:lineRule="auto"/>
        <w:jc w:val="both"/>
        <w:rPr>
          <w:rFonts w:ascii="Arial" w:hAnsi="Arial" w:cs="Arial"/>
          <w:szCs w:val="44"/>
        </w:rPr>
      </w:pPr>
      <w:r>
        <w:rPr>
          <w:rFonts w:ascii="Arial" w:hAnsi="Arial" w:cs="Arial"/>
          <w:szCs w:val="44"/>
        </w:rPr>
        <w:t xml:space="preserve">All PSD data is shared with the Essex Police College to help inform and shape future training and education in this area.    </w:t>
      </w:r>
    </w:p>
    <w:p w14:paraId="481F6F5E" w14:textId="77777777" w:rsidR="00DE0EB3" w:rsidRDefault="00DE0EB3" w:rsidP="00DE0EB3">
      <w:pPr>
        <w:spacing w:after="0" w:line="240" w:lineRule="auto"/>
        <w:jc w:val="both"/>
        <w:rPr>
          <w:rFonts w:ascii="Arial" w:hAnsi="Arial" w:cs="Arial"/>
          <w:szCs w:val="44"/>
        </w:rPr>
      </w:pPr>
    </w:p>
    <w:p w14:paraId="79003A25"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There is no identified pattern or trend regarding DPA breaches and each case is disparate in nature.   </w:t>
      </w:r>
    </w:p>
    <w:p w14:paraId="18C384D8" w14:textId="77777777" w:rsidR="00DE0EB3" w:rsidRDefault="00DE0EB3" w:rsidP="00DE0EB3">
      <w:pPr>
        <w:spacing w:after="0" w:line="240" w:lineRule="auto"/>
        <w:jc w:val="both"/>
        <w:rPr>
          <w:rFonts w:ascii="Arial" w:hAnsi="Arial" w:cs="Arial"/>
          <w:szCs w:val="44"/>
        </w:rPr>
      </w:pPr>
    </w:p>
    <w:p w14:paraId="1FCC1F6C" w14:textId="77777777" w:rsidR="00DE0EB3" w:rsidRDefault="00DE0EB3" w:rsidP="00DE0EB3">
      <w:pPr>
        <w:pStyle w:val="NoSpacing"/>
        <w:rPr>
          <w:rFonts w:cstheme="minorHAnsi"/>
          <w:b/>
          <w:bCs/>
        </w:rPr>
      </w:pPr>
      <w:r>
        <w:rPr>
          <w:rFonts w:cstheme="minorHAnsi"/>
          <w:b/>
          <w:bCs/>
        </w:rPr>
        <w:t xml:space="preserve">Non </w:t>
      </w:r>
      <w:proofErr w:type="spellStart"/>
      <w:r>
        <w:rPr>
          <w:rFonts w:cstheme="minorHAnsi"/>
          <w:b/>
          <w:bCs/>
        </w:rPr>
        <w:t>VAWG</w:t>
      </w:r>
      <w:proofErr w:type="spellEnd"/>
      <w:r>
        <w:rPr>
          <w:rFonts w:cstheme="minorHAnsi"/>
          <w:b/>
          <w:bCs/>
        </w:rPr>
        <w:t xml:space="preserve"> </w:t>
      </w:r>
      <w:proofErr w:type="gramStart"/>
      <w:r>
        <w:rPr>
          <w:rFonts w:cstheme="minorHAnsi"/>
          <w:b/>
          <w:bCs/>
        </w:rPr>
        <w:t>related</w:t>
      </w:r>
      <w:proofErr w:type="gramEnd"/>
      <w:r>
        <w:rPr>
          <w:rFonts w:cstheme="minorHAnsi"/>
          <w:b/>
          <w:bCs/>
        </w:rPr>
        <w:t xml:space="preserve">   </w:t>
      </w:r>
    </w:p>
    <w:p w14:paraId="74DE3A9D" w14:textId="77777777" w:rsidR="00DE0EB3" w:rsidRDefault="00DE0EB3" w:rsidP="00DE0EB3">
      <w:pPr>
        <w:pStyle w:val="NoSpacing"/>
        <w:rPr>
          <w:rFonts w:ascii="Arial" w:hAnsi="Arial" w:cs="Arial"/>
          <w:sz w:val="24"/>
          <w:szCs w:val="24"/>
          <w:u w:val="single"/>
        </w:rPr>
      </w:pPr>
    </w:p>
    <w:tbl>
      <w:tblPr>
        <w:tblW w:w="6560" w:type="dxa"/>
        <w:tblLook w:val="04A0" w:firstRow="1" w:lastRow="0" w:firstColumn="1" w:lastColumn="0" w:noHBand="0" w:noVBand="1"/>
      </w:tblPr>
      <w:tblGrid>
        <w:gridCol w:w="5093"/>
        <w:gridCol w:w="1467"/>
      </w:tblGrid>
      <w:tr w:rsidR="00DE0EB3" w14:paraId="612A7098" w14:textId="77777777" w:rsidTr="00274576">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auto" w:fill="4F81BD"/>
            <w:vAlign w:val="center"/>
            <w:hideMark/>
          </w:tcPr>
          <w:p w14:paraId="0C7B84B6" w14:textId="77777777" w:rsidR="00DE0EB3" w:rsidRDefault="00DE0EB3" w:rsidP="00274576">
            <w:pPr>
              <w:spacing w:after="0" w:line="240" w:lineRule="auto"/>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Non-</w:t>
            </w:r>
            <w:proofErr w:type="spellStart"/>
            <w:r>
              <w:rPr>
                <w:rFonts w:ascii="Calibri" w:eastAsia="Times New Roman" w:hAnsi="Calibri" w:cs="Calibri"/>
                <w:b/>
                <w:bCs/>
                <w:color w:val="FFFFFF"/>
                <w:sz w:val="20"/>
                <w:szCs w:val="20"/>
                <w:lang w:eastAsia="en-GB"/>
              </w:rPr>
              <w:t>VAWG</w:t>
            </w:r>
            <w:proofErr w:type="spellEnd"/>
            <w:r>
              <w:rPr>
                <w:rFonts w:ascii="Calibri" w:eastAsia="Times New Roman" w:hAnsi="Calibri" w:cs="Calibri"/>
                <w:b/>
                <w:bCs/>
                <w:color w:val="FFFFFF"/>
                <w:sz w:val="20"/>
                <w:szCs w:val="20"/>
                <w:lang w:eastAsia="en-GB"/>
              </w:rPr>
              <w:t xml:space="preserve"> cases type</w:t>
            </w:r>
          </w:p>
        </w:tc>
        <w:tc>
          <w:tcPr>
            <w:tcW w:w="1467" w:type="dxa"/>
            <w:tcBorders>
              <w:top w:val="single" w:sz="8" w:space="0" w:color="FFFFFF"/>
              <w:left w:val="nil"/>
              <w:bottom w:val="single" w:sz="12" w:space="0" w:color="FFFFFF"/>
              <w:right w:val="single" w:sz="8" w:space="0" w:color="FFFFFF"/>
            </w:tcBorders>
            <w:shd w:val="clear" w:color="auto" w:fill="4F81BD"/>
            <w:vAlign w:val="center"/>
            <w:hideMark/>
          </w:tcPr>
          <w:p w14:paraId="799EEE57" w14:textId="77777777" w:rsidR="00DE0EB3" w:rsidRDefault="00DE0EB3" w:rsidP="00274576">
            <w:pPr>
              <w:spacing w:after="0" w:line="240" w:lineRule="auto"/>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Number</w:t>
            </w:r>
          </w:p>
        </w:tc>
      </w:tr>
      <w:tr w:rsidR="00DE0EB3" w14:paraId="5DF4D97B"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342E7420" w14:textId="77777777" w:rsidR="00DE0EB3" w:rsidRDefault="00DE0EB3" w:rsidP="0027457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7529C198" w14:textId="77777777" w:rsidR="00DE0EB3" w:rsidRDefault="00DE0EB3" w:rsidP="0027457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72</w:t>
            </w:r>
          </w:p>
        </w:tc>
      </w:tr>
      <w:tr w:rsidR="00DE0EB3" w14:paraId="602EBDFF"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154827DE"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Inappropriate comments or behaviour</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0C2E1D82"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r>
      <w:tr w:rsidR="00DE0EB3" w14:paraId="2501C33A"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C3BBB32"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Use of Force</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1A896C05"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r>
      <w:tr w:rsidR="00DE0EB3" w14:paraId="4C449600"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4FAB3F84"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DPA Breach</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77B094AD"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p>
        </w:tc>
      </w:tr>
      <w:tr w:rsidR="00DE0EB3" w14:paraId="3D7D9396"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E3B603A"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Dishonesty - Non-operational Matter</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46E7964B"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DE0EB3" w14:paraId="4D4610F9"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1593C141"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Dishonesty - Operational Matter</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60699355"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DE0EB3" w14:paraId="1507744F"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14060C48"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Physical assault</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4711E83E"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p>
        </w:tc>
      </w:tr>
      <w:tr w:rsidR="00DE0EB3" w14:paraId="163B36EA"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5A05AFBF"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Failure to correctly investigate an incident</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2734234E"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r>
      <w:tr w:rsidR="00DE0EB3" w14:paraId="2080BDB4"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8B65EBC"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Driving matter</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075D4730"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w:t>
            </w:r>
          </w:p>
        </w:tc>
      </w:tr>
      <w:tr w:rsidR="00DE0EB3" w14:paraId="56D7207A"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05FA5DE3"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Drugs</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70F0897B"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r>
      <w:tr w:rsidR="00DE0EB3" w14:paraId="3ACE7285"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1605DEA3"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7A3ABF6B"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r>
      <w:tr w:rsidR="00DE0EB3" w14:paraId="42368B4D"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1D0C1B88"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Offensive weapons</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7488E142"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r w:rsidR="00DE0EB3" w14:paraId="7B4F402E"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418AD939"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Criminal associations</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06BC27CB"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bl>
    <w:p w14:paraId="2A5E0FB6" w14:textId="77777777" w:rsidR="00DE0EB3" w:rsidRDefault="00DE0EB3" w:rsidP="00DE0EB3">
      <w:pPr>
        <w:rPr>
          <w:rFonts w:cstheme="minorHAnsi"/>
          <w:b/>
          <w:bCs/>
        </w:rPr>
      </w:pPr>
    </w:p>
    <w:p w14:paraId="6185BC06" w14:textId="77777777" w:rsidR="00DE0EB3" w:rsidRDefault="00DE0EB3">
      <w:pPr>
        <w:rPr>
          <w:rFonts w:cstheme="minorHAnsi"/>
          <w:b/>
          <w:bCs/>
        </w:rPr>
      </w:pPr>
      <w:r>
        <w:rPr>
          <w:rFonts w:cstheme="minorHAnsi"/>
          <w:b/>
          <w:bCs/>
        </w:rPr>
        <w:br w:type="page"/>
      </w:r>
    </w:p>
    <w:p w14:paraId="758D7B47" w14:textId="266DE8B9" w:rsidR="00DE0EB3" w:rsidRDefault="00DE0EB3" w:rsidP="00DE0EB3">
      <w:pPr>
        <w:rPr>
          <w:rFonts w:cstheme="minorHAnsi"/>
          <w:b/>
          <w:bCs/>
        </w:rPr>
      </w:pPr>
      <w:proofErr w:type="spellStart"/>
      <w:r>
        <w:rPr>
          <w:rFonts w:cstheme="minorHAnsi"/>
          <w:b/>
          <w:bCs/>
        </w:rPr>
        <w:lastRenderedPageBreak/>
        <w:t>VAWG</w:t>
      </w:r>
      <w:proofErr w:type="spellEnd"/>
      <w:r>
        <w:rPr>
          <w:rFonts w:cstheme="minorHAnsi"/>
          <w:b/>
          <w:bCs/>
        </w:rPr>
        <w:t xml:space="preserve"> </w:t>
      </w:r>
      <w:proofErr w:type="gramStart"/>
      <w:r>
        <w:rPr>
          <w:rFonts w:cstheme="minorHAnsi"/>
          <w:b/>
          <w:bCs/>
        </w:rPr>
        <w:t>related</w:t>
      </w:r>
      <w:proofErr w:type="gramEnd"/>
    </w:p>
    <w:tbl>
      <w:tblPr>
        <w:tblW w:w="6560" w:type="dxa"/>
        <w:tblLook w:val="04A0" w:firstRow="1" w:lastRow="0" w:firstColumn="1" w:lastColumn="0" w:noHBand="0" w:noVBand="1"/>
      </w:tblPr>
      <w:tblGrid>
        <w:gridCol w:w="5093"/>
        <w:gridCol w:w="1467"/>
      </w:tblGrid>
      <w:tr w:rsidR="00DE0EB3" w14:paraId="4682420D" w14:textId="77777777" w:rsidTr="00274576">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auto" w:fill="4F81BD"/>
            <w:vAlign w:val="center"/>
            <w:hideMark/>
          </w:tcPr>
          <w:p w14:paraId="4FBF3B8B" w14:textId="77777777" w:rsidR="00DE0EB3" w:rsidRDefault="00DE0EB3" w:rsidP="00274576">
            <w:pPr>
              <w:spacing w:after="0" w:line="240" w:lineRule="auto"/>
              <w:jc w:val="center"/>
              <w:rPr>
                <w:rFonts w:ascii="Calibri" w:eastAsia="Times New Roman" w:hAnsi="Calibri" w:cs="Calibri"/>
                <w:b/>
                <w:bCs/>
                <w:color w:val="FFFFFF"/>
                <w:sz w:val="20"/>
                <w:szCs w:val="20"/>
                <w:lang w:eastAsia="en-GB"/>
              </w:rPr>
            </w:pPr>
            <w:proofErr w:type="spellStart"/>
            <w:r>
              <w:rPr>
                <w:rFonts w:ascii="Calibri" w:eastAsia="Times New Roman" w:hAnsi="Calibri" w:cs="Calibri"/>
                <w:b/>
                <w:bCs/>
                <w:color w:val="FFFFFF"/>
                <w:sz w:val="20"/>
                <w:szCs w:val="20"/>
                <w:lang w:eastAsia="en-GB"/>
              </w:rPr>
              <w:t>VAWG</w:t>
            </w:r>
            <w:proofErr w:type="spellEnd"/>
            <w:r>
              <w:rPr>
                <w:rFonts w:ascii="Calibri" w:eastAsia="Times New Roman" w:hAnsi="Calibri" w:cs="Calibri"/>
                <w:b/>
                <w:bCs/>
                <w:color w:val="FFFFFF"/>
                <w:sz w:val="20"/>
                <w:szCs w:val="20"/>
                <w:lang w:eastAsia="en-GB"/>
              </w:rPr>
              <w:t xml:space="preserve"> cases type</w:t>
            </w:r>
          </w:p>
        </w:tc>
        <w:tc>
          <w:tcPr>
            <w:tcW w:w="1467" w:type="dxa"/>
            <w:tcBorders>
              <w:top w:val="single" w:sz="8" w:space="0" w:color="FFFFFF"/>
              <w:left w:val="nil"/>
              <w:bottom w:val="single" w:sz="12" w:space="0" w:color="FFFFFF"/>
              <w:right w:val="single" w:sz="8" w:space="0" w:color="FFFFFF"/>
            </w:tcBorders>
            <w:shd w:val="clear" w:color="auto" w:fill="4F81BD"/>
            <w:vAlign w:val="center"/>
            <w:hideMark/>
          </w:tcPr>
          <w:p w14:paraId="765C1AEF" w14:textId="77777777" w:rsidR="00DE0EB3" w:rsidRDefault="00DE0EB3" w:rsidP="00274576">
            <w:pPr>
              <w:spacing w:after="0" w:line="240" w:lineRule="auto"/>
              <w:jc w:val="cente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Number</w:t>
            </w:r>
          </w:p>
        </w:tc>
      </w:tr>
      <w:tr w:rsidR="00DE0EB3" w14:paraId="56728905"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0D8E8"/>
            <w:vAlign w:val="center"/>
            <w:hideMark/>
          </w:tcPr>
          <w:p w14:paraId="0E2CD70D" w14:textId="77777777" w:rsidR="00DE0EB3" w:rsidRDefault="00DE0EB3" w:rsidP="0027457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auto" w:fill="D0D8E8"/>
            <w:vAlign w:val="center"/>
          </w:tcPr>
          <w:p w14:paraId="6942B788" w14:textId="77777777" w:rsidR="00DE0EB3" w:rsidRDefault="00DE0EB3" w:rsidP="0027457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49</w:t>
            </w:r>
          </w:p>
          <w:p w14:paraId="3F87C3E2" w14:textId="77777777" w:rsidR="00DE0EB3" w:rsidRDefault="00DE0EB3" w:rsidP="00274576">
            <w:pPr>
              <w:spacing w:after="0" w:line="240" w:lineRule="auto"/>
              <w:jc w:val="center"/>
              <w:rPr>
                <w:rFonts w:ascii="Calibri" w:eastAsia="Times New Roman" w:hAnsi="Calibri" w:cs="Calibri"/>
                <w:b/>
                <w:bCs/>
                <w:color w:val="000000"/>
                <w:sz w:val="20"/>
                <w:szCs w:val="20"/>
                <w:lang w:eastAsia="en-GB"/>
              </w:rPr>
            </w:pPr>
          </w:p>
        </w:tc>
      </w:tr>
      <w:tr w:rsidR="00DE0EB3" w14:paraId="1E2C8E4B"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E9EDF4"/>
            <w:vAlign w:val="center"/>
            <w:hideMark/>
          </w:tcPr>
          <w:p w14:paraId="02FF6F72"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 - Harassment/Coercive &amp; Controlling Behaviour offences</w:t>
            </w:r>
          </w:p>
        </w:tc>
        <w:tc>
          <w:tcPr>
            <w:tcW w:w="1467" w:type="dxa"/>
            <w:tcBorders>
              <w:top w:val="nil"/>
              <w:left w:val="nil"/>
              <w:bottom w:val="single" w:sz="8" w:space="0" w:color="FFFFFF"/>
              <w:right w:val="single" w:sz="8" w:space="0" w:color="FFFFFF"/>
            </w:tcBorders>
            <w:shd w:val="clear" w:color="auto" w:fill="E9EDF4"/>
            <w:vAlign w:val="center"/>
          </w:tcPr>
          <w:p w14:paraId="1C6307BD"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r>
      <w:tr w:rsidR="00DE0EB3" w14:paraId="43657E03"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2E5B994E"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 - Physical assaults</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0B1518CF"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DE0EB3" w14:paraId="2CD65B13"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E9EDF4"/>
            <w:vAlign w:val="center"/>
            <w:hideMark/>
          </w:tcPr>
          <w:p w14:paraId="27A01780"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 - Sexual offences - Sexual assault &amp; Rape</w:t>
            </w:r>
          </w:p>
        </w:tc>
        <w:tc>
          <w:tcPr>
            <w:tcW w:w="1467" w:type="dxa"/>
            <w:tcBorders>
              <w:top w:val="nil"/>
              <w:left w:val="nil"/>
              <w:bottom w:val="single" w:sz="8" w:space="0" w:color="FFFFFF"/>
              <w:right w:val="single" w:sz="8" w:space="0" w:color="FFFFFF"/>
            </w:tcBorders>
            <w:shd w:val="clear" w:color="auto" w:fill="E9EDF4"/>
            <w:vAlign w:val="center"/>
          </w:tcPr>
          <w:p w14:paraId="43B25E3E"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DE0EB3" w14:paraId="269634A3"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3670A69E"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Sexual Offences – Non-DA</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1AB4D684"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DE0EB3" w14:paraId="1E903DD9"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6B6E0AE8"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Child Abuse - </w:t>
            </w:r>
            <w:proofErr w:type="spellStart"/>
            <w:r>
              <w:rPr>
                <w:rFonts w:ascii="Calibri" w:eastAsia="Times New Roman" w:hAnsi="Calibri" w:cs="Calibri"/>
                <w:color w:val="000000"/>
                <w:sz w:val="20"/>
                <w:szCs w:val="20"/>
                <w:lang w:eastAsia="en-GB"/>
              </w:rPr>
              <w:t>IIOC</w:t>
            </w:r>
            <w:proofErr w:type="spellEnd"/>
            <w:r>
              <w:rPr>
                <w:rFonts w:ascii="Calibri" w:eastAsia="Times New Roman" w:hAnsi="Calibri" w:cs="Calibri"/>
                <w:color w:val="000000"/>
                <w:sz w:val="20"/>
                <w:szCs w:val="20"/>
                <w:lang w:eastAsia="en-GB"/>
              </w:rPr>
              <w:t xml:space="preserve"> &amp; grooming offences</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77A5613C"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r>
      <w:tr w:rsidR="00DE0EB3" w14:paraId="29B0B433"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1EA17BD6"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Child Abuse - Physical assaults</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34187797"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r w:rsidR="00DE0EB3" w14:paraId="0C53941A"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7AFDC1EB"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Inappropriate behaviour toward other EP Personnel</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740559D1"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DE0EB3" w14:paraId="63231DA1"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D654F95"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Misconduct in a Public Office</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32AAF26D"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r>
      <w:tr w:rsidR="00DE0EB3" w14:paraId="21BDC625"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5534A81E"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Inappropriate relationship with a Member of the Public</w:t>
            </w:r>
          </w:p>
        </w:tc>
        <w:tc>
          <w:tcPr>
            <w:tcW w:w="1467" w:type="dxa"/>
            <w:tcBorders>
              <w:top w:val="nil"/>
              <w:left w:val="nil"/>
              <w:bottom w:val="single" w:sz="8" w:space="0" w:color="FFFFFF"/>
              <w:right w:val="single" w:sz="8" w:space="0" w:color="FFFFFF"/>
            </w:tcBorders>
            <w:shd w:val="clear" w:color="auto" w:fill="DBE5F1" w:themeFill="accent1" w:themeFillTint="33"/>
            <w:vAlign w:val="center"/>
          </w:tcPr>
          <w:p w14:paraId="60225FB0"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DE0EB3" w14:paraId="42A58CD5" w14:textId="77777777" w:rsidTr="00274576">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08673FCE" w14:textId="77777777" w:rsidR="00DE0EB3" w:rsidRDefault="00DE0EB3" w:rsidP="0027457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7C076473" w14:textId="77777777" w:rsidR="00DE0EB3" w:rsidRDefault="00DE0EB3" w:rsidP="002745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r>
    </w:tbl>
    <w:p w14:paraId="6418A75C" w14:textId="77777777" w:rsidR="00DE0EB3" w:rsidRDefault="00DE0EB3" w:rsidP="00DE0EB3">
      <w:pPr>
        <w:spacing w:after="0" w:line="240" w:lineRule="auto"/>
        <w:jc w:val="both"/>
        <w:rPr>
          <w:rFonts w:ascii="Arial" w:hAnsi="Arial" w:cs="Arial"/>
          <w:szCs w:val="44"/>
        </w:rPr>
      </w:pPr>
    </w:p>
    <w:p w14:paraId="20D9686A" w14:textId="77777777" w:rsidR="00DE0EB3" w:rsidRDefault="00DE0EB3" w:rsidP="00DE0EB3">
      <w:pPr>
        <w:spacing w:after="0" w:line="240" w:lineRule="auto"/>
        <w:jc w:val="both"/>
        <w:rPr>
          <w:rFonts w:ascii="Arial" w:hAnsi="Arial" w:cs="Arial"/>
          <w:szCs w:val="44"/>
        </w:rPr>
      </w:pPr>
      <w:r>
        <w:rPr>
          <w:rFonts w:ascii="Arial" w:hAnsi="Arial" w:cs="Arial"/>
          <w:szCs w:val="44"/>
        </w:rPr>
        <w:t xml:space="preserve"> </w:t>
      </w:r>
    </w:p>
    <w:p w14:paraId="4F8764E0" w14:textId="77777777" w:rsidR="00DE0EB3" w:rsidRPr="00DF5D14" w:rsidRDefault="00DE0EB3" w:rsidP="00DE0EB3">
      <w:pPr>
        <w:spacing w:after="0" w:line="240" w:lineRule="auto"/>
        <w:jc w:val="both"/>
        <w:rPr>
          <w:rFonts w:ascii="Arial" w:hAnsi="Arial" w:cs="Arial"/>
          <w:szCs w:val="44"/>
        </w:rPr>
      </w:pPr>
      <w:r>
        <w:rPr>
          <w:rFonts w:ascii="Arial" w:hAnsi="Arial" w:cs="Arial"/>
          <w:noProof/>
          <w:szCs w:val="44"/>
        </w:rPr>
        <w:drawing>
          <wp:inline distT="0" distB="0" distL="0" distR="0" wp14:anchorId="42D7AED2" wp14:editId="675A7F5C">
            <wp:extent cx="6096635" cy="3841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635" cy="3841115"/>
                    </a:xfrm>
                    <a:prstGeom prst="rect">
                      <a:avLst/>
                    </a:prstGeom>
                    <a:noFill/>
                  </pic:spPr>
                </pic:pic>
              </a:graphicData>
            </a:graphic>
          </wp:inline>
        </w:drawing>
      </w:r>
    </w:p>
    <w:p w14:paraId="1835D253" w14:textId="77777777" w:rsidR="00DE0EB3" w:rsidRPr="00CD3D68" w:rsidRDefault="00DE0EB3" w:rsidP="00DE0EB3">
      <w:pPr>
        <w:spacing w:after="0" w:line="240" w:lineRule="auto"/>
        <w:jc w:val="center"/>
        <w:rPr>
          <w:rFonts w:ascii="Arial" w:hAnsi="Arial" w:cs="Arial"/>
          <w:szCs w:val="44"/>
          <w:highlight w:val="yellow"/>
        </w:rPr>
      </w:pPr>
    </w:p>
    <w:p w14:paraId="63D271AC" w14:textId="77777777" w:rsidR="00DE0EB3" w:rsidRDefault="00DE0EB3" w:rsidP="00DE0EB3">
      <w:pPr>
        <w:spacing w:after="0" w:line="240" w:lineRule="auto"/>
        <w:jc w:val="center"/>
        <w:rPr>
          <w:rFonts w:ascii="Arial" w:hAnsi="Arial" w:cs="Arial"/>
          <w:szCs w:val="44"/>
          <w:highlight w:val="yellow"/>
        </w:rPr>
      </w:pPr>
      <w:r w:rsidRPr="00992CB6">
        <w:rPr>
          <w:noProof/>
        </w:rPr>
        <w:drawing>
          <wp:inline distT="0" distB="0" distL="0" distR="0" wp14:anchorId="15D4DACB" wp14:editId="21DA6694">
            <wp:extent cx="2422478" cy="6934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647" cy="708926"/>
                    </a:xfrm>
                    <a:prstGeom prst="rect">
                      <a:avLst/>
                    </a:prstGeom>
                    <a:noFill/>
                    <a:ln>
                      <a:noFill/>
                    </a:ln>
                  </pic:spPr>
                </pic:pic>
              </a:graphicData>
            </a:graphic>
          </wp:inline>
        </w:drawing>
      </w:r>
    </w:p>
    <w:p w14:paraId="1B5FC42E" w14:textId="77777777" w:rsidR="00DE0EB3" w:rsidRDefault="00DE0EB3" w:rsidP="00DE0EB3">
      <w:pPr>
        <w:spacing w:after="0" w:line="240" w:lineRule="auto"/>
        <w:jc w:val="both"/>
        <w:rPr>
          <w:rFonts w:ascii="Arial" w:hAnsi="Arial" w:cs="Arial"/>
          <w:szCs w:val="44"/>
          <w:highlight w:val="yellow"/>
        </w:rPr>
      </w:pPr>
    </w:p>
    <w:p w14:paraId="43F5D361" w14:textId="77777777" w:rsidR="00DE0EB3" w:rsidRDefault="00DE0EB3" w:rsidP="00DE0EB3">
      <w:pPr>
        <w:spacing w:after="0" w:line="240" w:lineRule="auto"/>
        <w:jc w:val="both"/>
        <w:rPr>
          <w:rFonts w:ascii="Arial" w:hAnsi="Arial" w:cs="Arial"/>
          <w:szCs w:val="44"/>
          <w:highlight w:val="yellow"/>
        </w:rPr>
      </w:pPr>
    </w:p>
    <w:p w14:paraId="48BB12B2" w14:textId="77777777" w:rsidR="00DE0EB3" w:rsidRPr="0040378F" w:rsidRDefault="00DE0EB3" w:rsidP="00DE0EB3">
      <w:pPr>
        <w:spacing w:after="0" w:line="240" w:lineRule="auto"/>
        <w:jc w:val="both"/>
        <w:rPr>
          <w:rFonts w:ascii="Arial" w:hAnsi="Arial" w:cs="Arial"/>
          <w:szCs w:val="44"/>
        </w:rPr>
      </w:pPr>
      <w:r w:rsidRPr="0040378F">
        <w:rPr>
          <w:rFonts w:ascii="Arial" w:hAnsi="Arial" w:cs="Arial"/>
          <w:szCs w:val="44"/>
        </w:rPr>
        <w:lastRenderedPageBreak/>
        <w:t>Q2</w:t>
      </w:r>
      <w:r>
        <w:rPr>
          <w:rFonts w:ascii="Arial" w:hAnsi="Arial" w:cs="Arial"/>
          <w:szCs w:val="44"/>
        </w:rPr>
        <w:t xml:space="preserve"> has seen an increase in misconduct cases in the North, South and West LPAS all other commands have remained stable.  The majority of conduct cases still pertain to officers on Local Policing Teams, which is where the volume of </w:t>
      </w:r>
      <w:proofErr w:type="gramStart"/>
      <w:r>
        <w:rPr>
          <w:rFonts w:ascii="Arial" w:hAnsi="Arial" w:cs="Arial"/>
          <w:szCs w:val="44"/>
        </w:rPr>
        <w:t>officers</w:t>
      </w:r>
      <w:proofErr w:type="gramEnd"/>
      <w:r>
        <w:rPr>
          <w:rFonts w:ascii="Arial" w:hAnsi="Arial" w:cs="Arial"/>
          <w:szCs w:val="44"/>
        </w:rPr>
        <w:t xml:space="preserve"> work, and are most exposed to front line policing in all its forms.    </w:t>
      </w:r>
    </w:p>
    <w:p w14:paraId="4BC90411" w14:textId="77777777" w:rsidR="00DE0EB3" w:rsidRDefault="00DE0EB3" w:rsidP="00DE0EB3">
      <w:pPr>
        <w:spacing w:after="0"/>
      </w:pPr>
    </w:p>
    <w:p w14:paraId="79ADCC00" w14:textId="77777777" w:rsidR="00DE0EB3" w:rsidRDefault="00DE0EB3" w:rsidP="00DE0EB3"/>
    <w:p w14:paraId="1B781550" w14:textId="77777777" w:rsidR="00DE0EB3" w:rsidRDefault="00DE0EB3" w:rsidP="00DE0EB3"/>
    <w:p w14:paraId="68D65489" w14:textId="77777777" w:rsidR="00DE0EB3" w:rsidRPr="00DE0EB3" w:rsidRDefault="00DE0EB3" w:rsidP="00DE0EB3">
      <w:pPr>
        <w:rPr>
          <w:rFonts w:ascii="Arial" w:hAnsi="Arial" w:cs="Arial"/>
          <w:b/>
          <w:bCs/>
          <w:sz w:val="24"/>
          <w:szCs w:val="24"/>
          <w:u w:val="single"/>
        </w:rPr>
      </w:pPr>
      <w:r w:rsidRPr="00DE0EB3">
        <w:rPr>
          <w:rFonts w:ascii="Arial" w:hAnsi="Arial" w:cs="Arial"/>
          <w:b/>
          <w:bCs/>
          <w:sz w:val="24"/>
          <w:szCs w:val="24"/>
          <w:u w:val="single"/>
        </w:rPr>
        <w:t>Misconduct Outcomes per Case</w:t>
      </w:r>
    </w:p>
    <w:p w14:paraId="0175E7A3" w14:textId="77777777" w:rsidR="00DE0EB3" w:rsidRDefault="00DE0EB3" w:rsidP="00DE0EB3">
      <w:pPr>
        <w:rPr>
          <w:b/>
          <w:bCs/>
          <w:u w:val="single"/>
        </w:rPr>
      </w:pPr>
      <w:r>
        <w:rPr>
          <w:b/>
          <w:bCs/>
          <w:noProof/>
          <w:u w:val="single"/>
        </w:rPr>
        <w:drawing>
          <wp:inline distT="0" distB="0" distL="0" distR="0" wp14:anchorId="529E0485" wp14:editId="13204A78">
            <wp:extent cx="3182620"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82620" cy="956945"/>
                    </a:xfrm>
                    <a:prstGeom prst="rect">
                      <a:avLst/>
                    </a:prstGeom>
                    <a:noFill/>
                  </pic:spPr>
                </pic:pic>
              </a:graphicData>
            </a:graphic>
          </wp:inline>
        </w:drawing>
      </w:r>
    </w:p>
    <w:p w14:paraId="2343FFDB" w14:textId="77777777" w:rsidR="00DE0EB3" w:rsidRDefault="00DE0EB3" w:rsidP="00DE0EB3">
      <w:pPr>
        <w:rPr>
          <w:b/>
          <w:bCs/>
          <w:u w:val="single"/>
        </w:rPr>
      </w:pPr>
    </w:p>
    <w:p w14:paraId="02BB2B69" w14:textId="77777777" w:rsidR="00DE0EB3" w:rsidRDefault="00DE0EB3" w:rsidP="00DE0EB3">
      <w:pPr>
        <w:rPr>
          <w:b/>
          <w:bCs/>
          <w:u w:val="single"/>
        </w:rPr>
      </w:pPr>
      <w:r>
        <w:rPr>
          <w:b/>
          <w:bCs/>
          <w:noProof/>
          <w:u w:val="single"/>
        </w:rPr>
        <w:drawing>
          <wp:inline distT="0" distB="0" distL="0" distR="0" wp14:anchorId="58D5A380" wp14:editId="16EE5166">
            <wp:extent cx="3145790"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5790" cy="1621790"/>
                    </a:xfrm>
                    <a:prstGeom prst="rect">
                      <a:avLst/>
                    </a:prstGeom>
                    <a:noFill/>
                  </pic:spPr>
                </pic:pic>
              </a:graphicData>
            </a:graphic>
          </wp:inline>
        </w:drawing>
      </w:r>
    </w:p>
    <w:p w14:paraId="617D189F" w14:textId="77777777" w:rsidR="00DE0EB3" w:rsidRDefault="00DE0EB3" w:rsidP="00DE0EB3">
      <w:pPr>
        <w:rPr>
          <w:b/>
          <w:bCs/>
          <w:u w:val="single"/>
        </w:rPr>
      </w:pPr>
    </w:p>
    <w:p w14:paraId="17267A2C" w14:textId="77777777" w:rsidR="00DE0EB3" w:rsidRDefault="00DE0EB3" w:rsidP="00DE0EB3">
      <w:pPr>
        <w:rPr>
          <w:b/>
          <w:bCs/>
          <w:u w:val="single"/>
        </w:rPr>
      </w:pPr>
      <w:r>
        <w:rPr>
          <w:b/>
          <w:bCs/>
          <w:noProof/>
          <w:u w:val="single"/>
        </w:rPr>
        <w:drawing>
          <wp:inline distT="0" distB="0" distL="0" distR="0" wp14:anchorId="4FB57F1C" wp14:editId="00DA32D6">
            <wp:extent cx="3176270" cy="95694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6270" cy="956945"/>
                    </a:xfrm>
                    <a:prstGeom prst="rect">
                      <a:avLst/>
                    </a:prstGeom>
                    <a:noFill/>
                  </pic:spPr>
                </pic:pic>
              </a:graphicData>
            </a:graphic>
          </wp:inline>
        </w:drawing>
      </w:r>
    </w:p>
    <w:p w14:paraId="3A29BA15" w14:textId="77777777" w:rsidR="00DE0EB3" w:rsidRDefault="00DE0EB3" w:rsidP="00DE0EB3">
      <w:pPr>
        <w:rPr>
          <w:b/>
          <w:bCs/>
          <w:u w:val="single"/>
        </w:rPr>
      </w:pPr>
    </w:p>
    <w:p w14:paraId="6DD49822" w14:textId="77777777" w:rsidR="00DE0EB3" w:rsidRDefault="00DE0EB3" w:rsidP="00DE0EB3">
      <w:pPr>
        <w:rPr>
          <w:rFonts w:ascii="Arial" w:hAnsi="Arial" w:cs="Arial"/>
        </w:rPr>
      </w:pPr>
      <w:r w:rsidRPr="00284993">
        <w:rPr>
          <w:rFonts w:ascii="Arial" w:hAnsi="Arial" w:cs="Arial"/>
        </w:rPr>
        <w:t xml:space="preserve">71% of cases </w:t>
      </w:r>
      <w:r>
        <w:rPr>
          <w:rFonts w:ascii="Arial" w:hAnsi="Arial" w:cs="Arial"/>
        </w:rPr>
        <w:t xml:space="preserve">investigated by PSD result in no case to answer. However, 46% still resulted in some form of learning or performance issues being identified. This percentage remains consistent and is largely due to the low threshold in which PSD have adhere to in accordance with the Conduct Regulations and Home Office Guidance. In short, if there is ‘an indication’ of conduct, an investigation must take place, and that indication must not </w:t>
      </w:r>
      <w:proofErr w:type="spellStart"/>
      <w:r>
        <w:rPr>
          <w:rFonts w:ascii="Arial" w:hAnsi="Arial" w:cs="Arial"/>
        </w:rPr>
        <w:t>soley</w:t>
      </w:r>
      <w:proofErr w:type="spellEnd"/>
      <w:r>
        <w:rPr>
          <w:rFonts w:ascii="Arial" w:hAnsi="Arial" w:cs="Arial"/>
        </w:rPr>
        <w:t xml:space="preserve"> </w:t>
      </w:r>
      <w:proofErr w:type="gramStart"/>
      <w:r>
        <w:rPr>
          <w:rFonts w:ascii="Arial" w:hAnsi="Arial" w:cs="Arial"/>
        </w:rPr>
        <w:t>take into account</w:t>
      </w:r>
      <w:proofErr w:type="gramEnd"/>
      <w:r>
        <w:rPr>
          <w:rFonts w:ascii="Arial" w:hAnsi="Arial" w:cs="Arial"/>
        </w:rPr>
        <w:t xml:space="preserve"> the evidence immediately available, and only the seriousness of the allegation if proven.  </w:t>
      </w:r>
    </w:p>
    <w:p w14:paraId="0FDD4EC2" w14:textId="77777777" w:rsidR="00DE0EB3" w:rsidRDefault="00DE0EB3" w:rsidP="00DE0EB3">
      <w:pPr>
        <w:rPr>
          <w:b/>
          <w:bCs/>
          <w:u w:val="single"/>
        </w:rPr>
      </w:pPr>
      <w:r>
        <w:rPr>
          <w:rFonts w:ascii="Arial" w:hAnsi="Arial" w:cs="Arial"/>
        </w:rPr>
        <w:t xml:space="preserve">Where there has been a case to answer, only 2% were not proven and 2% where no action was taken. In relation to the latter, this is because officers have been found at misconduct, but have since left the police and therefore cannot be compelled to attend a misconduct meeting.     </w:t>
      </w:r>
    </w:p>
    <w:p w14:paraId="38232C70" w14:textId="77777777" w:rsidR="00DE0EB3" w:rsidRDefault="00DE0EB3" w:rsidP="00DE0EB3">
      <w:pPr>
        <w:rPr>
          <w:b/>
          <w:bCs/>
          <w:u w:val="single"/>
        </w:rPr>
      </w:pPr>
      <w:r>
        <w:t xml:space="preserve"> </w:t>
      </w:r>
      <w:r>
        <w:rPr>
          <w:b/>
          <w:bCs/>
          <w:u w:val="single"/>
        </w:rPr>
        <w:t xml:space="preserve"> </w:t>
      </w:r>
    </w:p>
    <w:p w14:paraId="6990250D" w14:textId="48EFA1F4" w:rsidR="00DE0EB3" w:rsidRPr="00DE0EB3" w:rsidRDefault="00DE0EB3" w:rsidP="00DE0EB3">
      <w:pPr>
        <w:rPr>
          <w:rFonts w:ascii="Arial" w:hAnsi="Arial" w:cs="Arial"/>
          <w:b/>
          <w:bCs/>
          <w:sz w:val="24"/>
          <w:szCs w:val="24"/>
          <w:u w:val="single"/>
        </w:rPr>
      </w:pPr>
      <w:r w:rsidRPr="00DE0EB3">
        <w:rPr>
          <w:rFonts w:ascii="Arial" w:hAnsi="Arial" w:cs="Arial"/>
          <w:b/>
          <w:bCs/>
          <w:sz w:val="24"/>
          <w:szCs w:val="24"/>
          <w:u w:val="single"/>
        </w:rPr>
        <w:lastRenderedPageBreak/>
        <w:t>Suspensions and Restrictions</w:t>
      </w:r>
    </w:p>
    <w:p w14:paraId="59EA5F81" w14:textId="77777777" w:rsidR="00DE0EB3" w:rsidRPr="000155DB" w:rsidRDefault="00DE0EB3" w:rsidP="00DE0EB3">
      <w:pPr>
        <w:spacing w:line="240" w:lineRule="auto"/>
        <w:rPr>
          <w:rFonts w:ascii="Arial" w:hAnsi="Arial" w:cs="Arial"/>
        </w:rPr>
      </w:pPr>
      <w:r w:rsidRPr="000155DB">
        <w:rPr>
          <w:rFonts w:ascii="Arial" w:hAnsi="Arial" w:cs="Arial"/>
        </w:rPr>
        <w:t>There are currently 33 Officers / Staff Suspended and 50 Officers/Staff Restricted.</w:t>
      </w:r>
    </w:p>
    <w:p w14:paraId="0F5EB467" w14:textId="77777777" w:rsidR="00DE0EB3" w:rsidRPr="000155DB" w:rsidRDefault="00DE0EB3" w:rsidP="00DE0EB3">
      <w:pPr>
        <w:spacing w:line="240" w:lineRule="auto"/>
        <w:rPr>
          <w:rFonts w:ascii="Arial" w:hAnsi="Arial" w:cs="Arial"/>
        </w:rPr>
      </w:pPr>
      <w:r w:rsidRPr="000155DB">
        <w:rPr>
          <w:rFonts w:ascii="Arial" w:hAnsi="Arial" w:cs="Arial"/>
        </w:rPr>
        <w:t xml:space="preserve">Of those </w:t>
      </w:r>
      <w:r>
        <w:rPr>
          <w:rFonts w:ascii="Arial" w:hAnsi="Arial" w:cs="Arial"/>
        </w:rPr>
        <w:t>s</w:t>
      </w:r>
      <w:r w:rsidRPr="000155DB">
        <w:rPr>
          <w:rFonts w:ascii="Arial" w:hAnsi="Arial" w:cs="Arial"/>
        </w:rPr>
        <w:t>uspended</w:t>
      </w:r>
      <w:r>
        <w:rPr>
          <w:rFonts w:ascii="Arial" w:hAnsi="Arial" w:cs="Arial"/>
        </w:rPr>
        <w:t>,</w:t>
      </w:r>
      <w:r w:rsidRPr="000155DB">
        <w:rPr>
          <w:rFonts w:ascii="Arial" w:hAnsi="Arial" w:cs="Arial"/>
        </w:rPr>
        <w:t xml:space="preserve"> 10 are from the South LPA and 10 are from the North LPA.</w:t>
      </w:r>
    </w:p>
    <w:p w14:paraId="3F3B9368" w14:textId="77777777" w:rsidR="00DE0EB3" w:rsidRPr="000155DB" w:rsidRDefault="00DE0EB3" w:rsidP="00DE0EB3">
      <w:pPr>
        <w:spacing w:line="240" w:lineRule="auto"/>
        <w:rPr>
          <w:rFonts w:ascii="Arial" w:hAnsi="Arial" w:cs="Arial"/>
        </w:rPr>
      </w:pPr>
      <w:r w:rsidRPr="000155DB">
        <w:rPr>
          <w:rFonts w:ascii="Arial" w:hAnsi="Arial" w:cs="Arial"/>
        </w:rPr>
        <w:t>Of those restricted</w:t>
      </w:r>
      <w:r>
        <w:rPr>
          <w:rFonts w:ascii="Arial" w:hAnsi="Arial" w:cs="Arial"/>
        </w:rPr>
        <w:t>,</w:t>
      </w:r>
      <w:r w:rsidRPr="000155DB">
        <w:rPr>
          <w:rFonts w:ascii="Arial" w:hAnsi="Arial" w:cs="Arial"/>
        </w:rPr>
        <w:t xml:space="preserve"> 13 are from the North LPA and 9 are from the West LPA.</w:t>
      </w:r>
    </w:p>
    <w:p w14:paraId="6B92DB43" w14:textId="77777777" w:rsidR="00DE0EB3" w:rsidRDefault="00DE0EB3" w:rsidP="00DE0EB3">
      <w:pPr>
        <w:spacing w:line="240" w:lineRule="auto"/>
        <w:rPr>
          <w:rFonts w:ascii="Arial" w:hAnsi="Arial" w:cs="Arial"/>
        </w:rPr>
      </w:pPr>
      <w:r w:rsidRPr="000155DB">
        <w:rPr>
          <w:rFonts w:ascii="Arial" w:hAnsi="Arial" w:cs="Arial"/>
        </w:rPr>
        <w:t>There has been a significant rise in Police Staff who are restricted from 6 in Q1 to 15 in Q2.</w:t>
      </w:r>
      <w:r>
        <w:rPr>
          <w:rFonts w:ascii="Arial" w:hAnsi="Arial" w:cs="Arial"/>
        </w:rPr>
        <w:t xml:space="preserve"> However, there is no clearly identified pattern or trend. </w:t>
      </w:r>
    </w:p>
    <w:p w14:paraId="7BF29B69" w14:textId="77777777" w:rsidR="00DE0EB3" w:rsidRDefault="00DE0EB3" w:rsidP="00DE0EB3">
      <w:pPr>
        <w:spacing w:line="240" w:lineRule="auto"/>
        <w:rPr>
          <w:rFonts w:ascii="Arial" w:hAnsi="Arial" w:cs="Arial"/>
        </w:rPr>
      </w:pPr>
      <w:r>
        <w:rPr>
          <w:rFonts w:ascii="Arial" w:hAnsi="Arial" w:cs="Arial"/>
        </w:rPr>
        <w:t xml:space="preserve">Suspensions are reviewed every month by the Deputy Chief Constable, who is provided with an investigative update and considers whether the suspension is still necessary and proportionate in order to maintain trust and confidence in </w:t>
      </w:r>
      <w:proofErr w:type="gramStart"/>
      <w:r>
        <w:rPr>
          <w:rFonts w:ascii="Arial" w:hAnsi="Arial" w:cs="Arial"/>
        </w:rPr>
        <w:t>policing, and</w:t>
      </w:r>
      <w:proofErr w:type="gramEnd"/>
      <w:r>
        <w:rPr>
          <w:rFonts w:ascii="Arial" w:hAnsi="Arial" w:cs="Arial"/>
        </w:rPr>
        <w:t xml:space="preserve"> prevent any interference with the investigation. </w:t>
      </w:r>
    </w:p>
    <w:p w14:paraId="254117F0" w14:textId="77777777" w:rsidR="00DE0EB3" w:rsidRPr="000155DB" w:rsidRDefault="00DE0EB3" w:rsidP="00DE0EB3">
      <w:pPr>
        <w:spacing w:line="240" w:lineRule="auto"/>
        <w:rPr>
          <w:rFonts w:ascii="Arial" w:hAnsi="Arial" w:cs="Arial"/>
        </w:rPr>
      </w:pPr>
      <w:r>
        <w:rPr>
          <w:rFonts w:ascii="Arial" w:hAnsi="Arial" w:cs="Arial"/>
        </w:rPr>
        <w:t xml:space="preserve">The following table shows the 3 longest suspended officers - </w:t>
      </w:r>
    </w:p>
    <w:p w14:paraId="4D40115A" w14:textId="77777777" w:rsidR="00DE0EB3" w:rsidRDefault="00DE0EB3" w:rsidP="00DE0EB3">
      <w:r w:rsidRPr="00254062">
        <w:rPr>
          <w:noProof/>
        </w:rPr>
        <w:drawing>
          <wp:inline distT="0" distB="0" distL="0" distR="0" wp14:anchorId="4DDCF12A" wp14:editId="301CC5A8">
            <wp:extent cx="2792186" cy="162686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811988" cy="1638405"/>
                    </a:xfrm>
                    <a:prstGeom prst="rect">
                      <a:avLst/>
                    </a:prstGeom>
                  </pic:spPr>
                </pic:pic>
              </a:graphicData>
            </a:graphic>
          </wp:inline>
        </w:drawing>
      </w:r>
    </w:p>
    <w:p w14:paraId="2DE68842" w14:textId="77777777" w:rsidR="00DE0EB3" w:rsidRDefault="00DE0EB3" w:rsidP="00DE0EB3"/>
    <w:p w14:paraId="0006084C" w14:textId="77777777" w:rsidR="00DE0EB3" w:rsidRPr="001503E7" w:rsidRDefault="00DE0EB3" w:rsidP="00DE0EB3">
      <w:pPr>
        <w:rPr>
          <w:rFonts w:ascii="Arial" w:hAnsi="Arial" w:cs="Arial"/>
        </w:rPr>
      </w:pPr>
      <w:r w:rsidRPr="001503E7">
        <w:rPr>
          <w:rFonts w:ascii="Arial" w:hAnsi="Arial" w:cs="Arial"/>
        </w:rPr>
        <w:t>99/20 – relates to an officer charged with a criminal offence and is awaiting trial.</w:t>
      </w:r>
    </w:p>
    <w:p w14:paraId="0279078E" w14:textId="77777777" w:rsidR="00DE0EB3" w:rsidRPr="001503E7" w:rsidRDefault="00DE0EB3" w:rsidP="00DE0EB3">
      <w:pPr>
        <w:rPr>
          <w:rFonts w:ascii="Arial" w:hAnsi="Arial" w:cs="Arial"/>
        </w:rPr>
      </w:pPr>
      <w:r w:rsidRPr="001503E7">
        <w:rPr>
          <w:rFonts w:ascii="Arial" w:hAnsi="Arial" w:cs="Arial"/>
        </w:rPr>
        <w:t xml:space="preserve">98/21 – relates to an officer whose misconduct hearing has been </w:t>
      </w:r>
      <w:proofErr w:type="gramStart"/>
      <w:r w:rsidRPr="001503E7">
        <w:rPr>
          <w:rFonts w:ascii="Arial" w:hAnsi="Arial" w:cs="Arial"/>
        </w:rPr>
        <w:t>a</w:t>
      </w:r>
      <w:proofErr w:type="gramEnd"/>
      <w:r w:rsidRPr="001503E7">
        <w:rPr>
          <w:rFonts w:ascii="Arial" w:hAnsi="Arial" w:cs="Arial"/>
        </w:rPr>
        <w:t xml:space="preserve"> adjourned twice for reasons outside the control of PSD </w:t>
      </w:r>
    </w:p>
    <w:p w14:paraId="7823920C" w14:textId="77777777" w:rsidR="00DE0EB3" w:rsidRPr="001503E7" w:rsidRDefault="00DE0EB3" w:rsidP="00DE0EB3">
      <w:pPr>
        <w:rPr>
          <w:rFonts w:ascii="Arial" w:hAnsi="Arial" w:cs="Arial"/>
        </w:rPr>
      </w:pPr>
      <w:r w:rsidRPr="001503E7">
        <w:rPr>
          <w:rFonts w:ascii="Arial" w:hAnsi="Arial" w:cs="Arial"/>
        </w:rPr>
        <w:t xml:space="preserve">78/21 – relates to an officer whose misconduct hearing has been adjourned due to a legal argument around expert witness evidence.   </w:t>
      </w:r>
    </w:p>
    <w:p w14:paraId="014DDAD7" w14:textId="4B45FDF0" w:rsidR="00C7125C" w:rsidRPr="00CA168C" w:rsidRDefault="00534059" w:rsidP="00CA168C">
      <w:pPr>
        <w:rPr>
          <w:rFonts w:ascii="Arial" w:hAnsi="Arial" w:cs="Arial"/>
          <w:color w:val="FF0000"/>
          <w:sz w:val="24"/>
          <w:szCs w:val="24"/>
        </w:rPr>
      </w:pPr>
      <w:r w:rsidRPr="00B24C04">
        <w:rPr>
          <w:rFonts w:ascii="Arial" w:hAnsi="Arial" w:cs="Arial"/>
          <w:color w:val="FF0000"/>
          <w:u w:val="single"/>
        </w:rPr>
        <w:br w:type="page"/>
      </w:r>
      <w:r w:rsidR="00C7125C" w:rsidRPr="000E269F">
        <w:rPr>
          <w:rFonts w:ascii="Arial" w:hAnsi="Arial" w:cs="Arial"/>
          <w:b/>
          <w:bCs/>
          <w:sz w:val="24"/>
          <w:szCs w:val="24"/>
          <w:u w:val="single"/>
        </w:rPr>
        <w:lastRenderedPageBreak/>
        <w:t>IOPC</w:t>
      </w:r>
      <w:r w:rsidR="000602AF" w:rsidRPr="000E269F">
        <w:rPr>
          <w:rFonts w:ascii="Arial" w:hAnsi="Arial" w:cs="Arial"/>
          <w:b/>
          <w:bCs/>
          <w:sz w:val="24"/>
          <w:szCs w:val="24"/>
          <w:u w:val="single"/>
        </w:rPr>
        <w:t>/ OPFCC</w:t>
      </w:r>
    </w:p>
    <w:p w14:paraId="4A4F1125" w14:textId="77777777" w:rsidR="009E2444" w:rsidRDefault="009E2444" w:rsidP="0030288C">
      <w:pPr>
        <w:pStyle w:val="NoSpacing"/>
        <w:ind w:left="720"/>
        <w:rPr>
          <w:rFonts w:ascii="Arial" w:hAnsi="Arial" w:cs="Arial"/>
          <w:b/>
          <w:bCs/>
          <w:sz w:val="24"/>
          <w:szCs w:val="24"/>
          <w:u w:val="single"/>
        </w:rPr>
      </w:pPr>
    </w:p>
    <w:p w14:paraId="5CE10AF8" w14:textId="2C3ADEF6" w:rsidR="000B73D5" w:rsidRDefault="000B73D5" w:rsidP="0030288C">
      <w:pPr>
        <w:pStyle w:val="NoSpacing"/>
        <w:ind w:left="720"/>
        <w:rPr>
          <w:rFonts w:ascii="Arial" w:hAnsi="Arial" w:cs="Arial"/>
          <w:b/>
          <w:bCs/>
          <w:sz w:val="24"/>
          <w:szCs w:val="24"/>
          <w:u w:val="single"/>
        </w:rPr>
      </w:pPr>
    </w:p>
    <w:p w14:paraId="698848F9" w14:textId="6CBF590A" w:rsidR="00D4113C" w:rsidRDefault="00FF64AF" w:rsidP="002D09D0">
      <w:pPr>
        <w:rPr>
          <w:rFonts w:ascii="Arial" w:hAnsi="Arial" w:cs="Arial"/>
          <w:i/>
          <w:iCs/>
          <w:sz w:val="24"/>
          <w:szCs w:val="24"/>
          <w:u w:val="single"/>
        </w:rPr>
      </w:pPr>
      <w:r w:rsidRPr="004B7005">
        <w:rPr>
          <w:rFonts w:ascii="Arial" w:hAnsi="Arial" w:cs="Arial"/>
          <w:i/>
          <w:iCs/>
          <w:sz w:val="24"/>
          <w:szCs w:val="24"/>
          <w:u w:val="single"/>
        </w:rPr>
        <w:t>IOPC Referral</w:t>
      </w:r>
      <w:r w:rsidR="00632321">
        <w:rPr>
          <w:rFonts w:ascii="Arial" w:hAnsi="Arial" w:cs="Arial"/>
          <w:i/>
          <w:iCs/>
          <w:sz w:val="24"/>
          <w:szCs w:val="24"/>
          <w:u w:val="single"/>
        </w:rPr>
        <w:t>s</w:t>
      </w:r>
    </w:p>
    <w:p w14:paraId="03C7B7D8" w14:textId="68E24395" w:rsidR="00632321" w:rsidRDefault="003C636C" w:rsidP="002D09D0">
      <w:pPr>
        <w:rPr>
          <w:rFonts w:ascii="Arial" w:hAnsi="Arial" w:cs="Arial"/>
          <w:sz w:val="24"/>
          <w:szCs w:val="24"/>
        </w:rPr>
      </w:pPr>
      <w:r>
        <w:rPr>
          <w:rFonts w:ascii="Arial" w:hAnsi="Arial" w:cs="Arial"/>
          <w:b/>
          <w:bCs/>
          <w:noProof/>
          <w:sz w:val="20"/>
          <w:szCs w:val="20"/>
        </w:rPr>
        <w:drawing>
          <wp:inline distT="0" distB="0" distL="0" distR="0" wp14:anchorId="4B479E25" wp14:editId="7F75F8BA">
            <wp:extent cx="6345393" cy="2800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81990" cy="2816501"/>
                    </a:xfrm>
                    <a:prstGeom prst="rect">
                      <a:avLst/>
                    </a:prstGeom>
                    <a:noFill/>
                  </pic:spPr>
                </pic:pic>
              </a:graphicData>
            </a:graphic>
          </wp:inline>
        </w:drawing>
      </w:r>
    </w:p>
    <w:p w14:paraId="52805C9E" w14:textId="053E007C" w:rsidR="0057709B" w:rsidRPr="0057709B" w:rsidRDefault="0057709B" w:rsidP="002D09D0">
      <w:pPr>
        <w:rPr>
          <w:rFonts w:ascii="Arial" w:hAnsi="Arial" w:cs="Arial"/>
        </w:rPr>
      </w:pPr>
      <w:r>
        <w:rPr>
          <w:rFonts w:ascii="Arial" w:hAnsi="Arial" w:cs="Arial"/>
        </w:rPr>
        <w:t>The number of referrals made by Essex Police have since been discussed at a quarterly meeting with the IOPC. There are no concerns raised regarding the number of referrals</w:t>
      </w:r>
      <w:r w:rsidR="000951C0">
        <w:rPr>
          <w:rFonts w:ascii="Arial" w:hAnsi="Arial" w:cs="Arial"/>
        </w:rPr>
        <w:t>. The pattern is in line with normal peaks and lows.</w:t>
      </w:r>
    </w:p>
    <w:p w14:paraId="785068BA" w14:textId="7CD3851C" w:rsidR="00C9748E" w:rsidRDefault="005F5A88" w:rsidP="000951C0">
      <w:pPr>
        <w:jc w:val="center"/>
        <w:rPr>
          <w:rFonts w:ascii="Arial" w:hAnsi="Arial" w:cs="Arial"/>
          <w:sz w:val="24"/>
          <w:szCs w:val="24"/>
        </w:rPr>
      </w:pPr>
      <w:r>
        <w:rPr>
          <w:rFonts w:ascii="Arial" w:hAnsi="Arial" w:cs="Arial"/>
          <w:noProof/>
          <w:sz w:val="20"/>
          <w:szCs w:val="20"/>
        </w:rPr>
        <w:drawing>
          <wp:inline distT="0" distB="0" distL="0" distR="0" wp14:anchorId="59A674D6" wp14:editId="61DD24B6">
            <wp:extent cx="5481324" cy="3548518"/>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90450" cy="3554426"/>
                    </a:xfrm>
                    <a:prstGeom prst="rect">
                      <a:avLst/>
                    </a:prstGeom>
                    <a:noFill/>
                  </pic:spPr>
                </pic:pic>
              </a:graphicData>
            </a:graphic>
          </wp:inline>
        </w:drawing>
      </w:r>
    </w:p>
    <w:p w14:paraId="759858F9" w14:textId="77777777" w:rsidR="00FC31C8" w:rsidRDefault="00FC31C8" w:rsidP="003A4C93">
      <w:pPr>
        <w:rPr>
          <w:rFonts w:ascii="Arial" w:hAnsi="Arial" w:cs="Arial"/>
          <w:i/>
          <w:iCs/>
          <w:sz w:val="24"/>
          <w:szCs w:val="24"/>
          <w:u w:val="single"/>
        </w:rPr>
      </w:pPr>
    </w:p>
    <w:p w14:paraId="6E3B1F8C" w14:textId="77777777" w:rsidR="00CA168C" w:rsidRDefault="00CA168C" w:rsidP="003A4C93">
      <w:pPr>
        <w:rPr>
          <w:rFonts w:ascii="Arial" w:hAnsi="Arial" w:cs="Arial"/>
          <w:sz w:val="24"/>
          <w:szCs w:val="24"/>
        </w:rPr>
      </w:pPr>
    </w:p>
    <w:p w14:paraId="4BF05595" w14:textId="497D7D42" w:rsidR="00982631" w:rsidRDefault="00946B34" w:rsidP="003A4C93">
      <w:pPr>
        <w:rPr>
          <w:rFonts w:ascii="Arial" w:hAnsi="Arial" w:cs="Arial"/>
          <w:i/>
          <w:iCs/>
          <w:sz w:val="24"/>
          <w:szCs w:val="24"/>
          <w:u w:val="single"/>
        </w:rPr>
      </w:pPr>
      <w:r>
        <w:rPr>
          <w:rFonts w:ascii="Arial" w:hAnsi="Arial" w:cs="Arial"/>
          <w:i/>
          <w:iCs/>
          <w:sz w:val="24"/>
          <w:szCs w:val="24"/>
          <w:u w:val="single"/>
        </w:rPr>
        <w:lastRenderedPageBreak/>
        <w:t>IOPC Reviews</w:t>
      </w:r>
    </w:p>
    <w:p w14:paraId="39D35B01" w14:textId="00A7814C" w:rsidR="00C622E0" w:rsidRDefault="00C622E0" w:rsidP="000951C0">
      <w:pPr>
        <w:jc w:val="center"/>
        <w:rPr>
          <w:rFonts w:ascii="Arial" w:hAnsi="Arial" w:cs="Arial"/>
          <w:i/>
          <w:iCs/>
          <w:sz w:val="24"/>
          <w:szCs w:val="24"/>
          <w:u w:val="single"/>
        </w:rPr>
      </w:pPr>
      <w:r w:rsidRPr="00310E07">
        <w:rPr>
          <w:noProof/>
        </w:rPr>
        <w:drawing>
          <wp:inline distT="0" distB="0" distL="0" distR="0" wp14:anchorId="3517FF1A" wp14:editId="74A24EA7">
            <wp:extent cx="1520519" cy="1009767"/>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42089" cy="1024091"/>
                    </a:xfrm>
                    <a:prstGeom prst="rect">
                      <a:avLst/>
                    </a:prstGeom>
                    <a:noFill/>
                    <a:ln>
                      <a:noFill/>
                    </a:ln>
                  </pic:spPr>
                </pic:pic>
              </a:graphicData>
            </a:graphic>
          </wp:inline>
        </w:drawing>
      </w:r>
    </w:p>
    <w:p w14:paraId="52919773" w14:textId="77777777" w:rsidR="00C622E0" w:rsidRDefault="00C622E0" w:rsidP="003A4C93">
      <w:pPr>
        <w:rPr>
          <w:rFonts w:ascii="Arial" w:hAnsi="Arial" w:cs="Arial"/>
          <w:i/>
          <w:iCs/>
          <w:sz w:val="24"/>
          <w:szCs w:val="24"/>
          <w:u w:val="single"/>
        </w:rPr>
      </w:pPr>
    </w:p>
    <w:p w14:paraId="1A98017A" w14:textId="28C30EAB" w:rsidR="00946B34" w:rsidRDefault="00FC303F" w:rsidP="00B77BD4">
      <w:pPr>
        <w:pStyle w:val="NoSpacing"/>
        <w:jc w:val="center"/>
        <w:rPr>
          <w:rFonts w:ascii="Arial" w:hAnsi="Arial" w:cs="Arial"/>
          <w:i/>
          <w:iCs/>
          <w:sz w:val="24"/>
          <w:szCs w:val="24"/>
          <w:u w:val="single"/>
        </w:rPr>
      </w:pPr>
      <w:r>
        <w:rPr>
          <w:rFonts w:ascii="Arial" w:hAnsi="Arial" w:cs="Arial"/>
          <w:noProof/>
        </w:rPr>
        <w:drawing>
          <wp:inline distT="0" distB="0" distL="0" distR="0" wp14:anchorId="5E168146" wp14:editId="24BCC69C">
            <wp:extent cx="5786910" cy="352425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24616" cy="3547213"/>
                    </a:xfrm>
                    <a:prstGeom prst="rect">
                      <a:avLst/>
                    </a:prstGeom>
                    <a:noFill/>
                  </pic:spPr>
                </pic:pic>
              </a:graphicData>
            </a:graphic>
          </wp:inline>
        </w:drawing>
      </w:r>
    </w:p>
    <w:p w14:paraId="6AC6B91F" w14:textId="73C88DD2" w:rsidR="00946B34" w:rsidRDefault="00946B34" w:rsidP="0060462E">
      <w:pPr>
        <w:pStyle w:val="NoSpacing"/>
        <w:jc w:val="center"/>
        <w:rPr>
          <w:rFonts w:ascii="Arial" w:hAnsi="Arial" w:cs="Arial"/>
          <w:sz w:val="24"/>
          <w:szCs w:val="24"/>
        </w:rPr>
      </w:pPr>
    </w:p>
    <w:p w14:paraId="2D8A4008" w14:textId="1E98D3C2" w:rsidR="00A1258C" w:rsidRDefault="00A1258C" w:rsidP="00A12113">
      <w:pPr>
        <w:jc w:val="center"/>
        <w:rPr>
          <w:rFonts w:ascii="Arial" w:hAnsi="Arial" w:cs="Arial"/>
          <w:sz w:val="24"/>
          <w:szCs w:val="24"/>
        </w:rPr>
      </w:pPr>
    </w:p>
    <w:p w14:paraId="07AC0A6F" w14:textId="6C35CFF5" w:rsidR="006B68DD" w:rsidRPr="009F0683" w:rsidRDefault="009F0683" w:rsidP="0060462E">
      <w:pPr>
        <w:pStyle w:val="NoSpacing"/>
        <w:rPr>
          <w:rFonts w:ascii="Arial" w:hAnsi="Arial" w:cs="Arial"/>
        </w:rPr>
      </w:pPr>
      <w:r>
        <w:rPr>
          <w:rFonts w:ascii="Arial" w:hAnsi="Arial" w:cs="Arial"/>
        </w:rPr>
        <w:t xml:space="preserve">Outcomes of reviews to the IOPC were also discussed at the recent meeting. </w:t>
      </w:r>
      <w:r w:rsidR="00F6449B">
        <w:rPr>
          <w:rFonts w:ascii="Arial" w:hAnsi="Arial" w:cs="Arial"/>
        </w:rPr>
        <w:t>Overall,</w:t>
      </w:r>
      <w:r w:rsidR="00CA168C">
        <w:rPr>
          <w:rFonts w:ascii="Arial" w:hAnsi="Arial" w:cs="Arial"/>
        </w:rPr>
        <w:t xml:space="preserve"> a larger number were being upheld. This is subject of review by the </w:t>
      </w:r>
      <w:proofErr w:type="gramStart"/>
      <w:r w:rsidR="00CA168C">
        <w:rPr>
          <w:rFonts w:ascii="Arial" w:hAnsi="Arial" w:cs="Arial"/>
        </w:rPr>
        <w:t>IOPC</w:t>
      </w:r>
      <w:proofErr w:type="gramEnd"/>
      <w:r w:rsidR="00CA168C">
        <w:rPr>
          <w:rFonts w:ascii="Arial" w:hAnsi="Arial" w:cs="Arial"/>
        </w:rPr>
        <w:t xml:space="preserve"> and they will look to identify if there are any common themes for Essex Police and if any feedback is required.</w:t>
      </w:r>
    </w:p>
    <w:p w14:paraId="51F801D6" w14:textId="7EE4C0BD" w:rsidR="006B68DD" w:rsidRDefault="006B68DD" w:rsidP="00A12113">
      <w:pPr>
        <w:pStyle w:val="NoSpacing"/>
        <w:jc w:val="center"/>
        <w:rPr>
          <w:rFonts w:ascii="Arial" w:hAnsi="Arial" w:cs="Arial"/>
          <w:sz w:val="24"/>
          <w:szCs w:val="24"/>
        </w:rPr>
      </w:pPr>
    </w:p>
    <w:p w14:paraId="4A697486" w14:textId="654F9B21" w:rsidR="009D3EFC" w:rsidRDefault="002C059B" w:rsidP="002D09D0">
      <w:pPr>
        <w:pStyle w:val="NoSpacing"/>
        <w:rPr>
          <w:rFonts w:ascii="Arial" w:hAnsi="Arial" w:cs="Arial"/>
          <w:i/>
          <w:iCs/>
          <w:sz w:val="24"/>
          <w:szCs w:val="24"/>
          <w:u w:val="single"/>
        </w:rPr>
      </w:pPr>
      <w:r>
        <w:rPr>
          <w:rFonts w:ascii="Arial" w:hAnsi="Arial" w:cs="Arial"/>
          <w:i/>
          <w:iCs/>
          <w:sz w:val="24"/>
          <w:szCs w:val="24"/>
          <w:u w:val="single"/>
        </w:rPr>
        <w:t>Timeliness of IOPC reviews</w:t>
      </w:r>
    </w:p>
    <w:p w14:paraId="0FC84E3C" w14:textId="77777777" w:rsidR="002C059B" w:rsidRDefault="002C059B" w:rsidP="002D09D0">
      <w:pPr>
        <w:pStyle w:val="NoSpacing"/>
        <w:rPr>
          <w:rFonts w:ascii="Arial" w:hAnsi="Arial" w:cs="Arial"/>
          <w:i/>
          <w:iCs/>
          <w:sz w:val="24"/>
          <w:szCs w:val="24"/>
          <w:u w:val="single"/>
        </w:rPr>
      </w:pPr>
    </w:p>
    <w:tbl>
      <w:tblPr>
        <w:tblStyle w:val="TableGrid"/>
        <w:tblW w:w="0" w:type="auto"/>
        <w:tblLook w:val="04A0" w:firstRow="1" w:lastRow="0" w:firstColumn="1" w:lastColumn="0" w:noHBand="0" w:noVBand="1"/>
      </w:tblPr>
      <w:tblGrid>
        <w:gridCol w:w="4868"/>
        <w:gridCol w:w="4868"/>
      </w:tblGrid>
      <w:tr w:rsidR="002D3802" w14:paraId="236A5FE5" w14:textId="77777777" w:rsidTr="00C02B55">
        <w:tc>
          <w:tcPr>
            <w:tcW w:w="4868" w:type="dxa"/>
            <w:shd w:val="clear" w:color="auto" w:fill="002060"/>
          </w:tcPr>
          <w:p w14:paraId="46BED24B" w14:textId="1A5D7137" w:rsidR="002D3802" w:rsidRPr="00C02B55" w:rsidRDefault="00C02B55" w:rsidP="002D3802">
            <w:pPr>
              <w:pStyle w:val="NoSpacing"/>
              <w:jc w:val="center"/>
              <w:rPr>
                <w:rFonts w:cstheme="minorHAnsi"/>
                <w:b/>
                <w:bCs/>
                <w:sz w:val="20"/>
                <w:szCs w:val="20"/>
              </w:rPr>
            </w:pPr>
            <w:r w:rsidRPr="00C02B55">
              <w:rPr>
                <w:rFonts w:cstheme="minorHAnsi"/>
                <w:b/>
                <w:bCs/>
                <w:sz w:val="20"/>
                <w:szCs w:val="20"/>
              </w:rPr>
              <w:t>Quarter</w:t>
            </w:r>
          </w:p>
        </w:tc>
        <w:tc>
          <w:tcPr>
            <w:tcW w:w="4868" w:type="dxa"/>
            <w:shd w:val="clear" w:color="auto" w:fill="002060"/>
          </w:tcPr>
          <w:p w14:paraId="21967099" w14:textId="106C0847" w:rsidR="002D3802" w:rsidRPr="002D3802" w:rsidRDefault="00C02B55" w:rsidP="002D3802">
            <w:pPr>
              <w:pStyle w:val="NoSpacing"/>
              <w:jc w:val="center"/>
              <w:rPr>
                <w:rFonts w:cstheme="minorHAnsi"/>
                <w:b/>
                <w:bCs/>
                <w:sz w:val="20"/>
                <w:szCs w:val="20"/>
              </w:rPr>
            </w:pPr>
            <w:r>
              <w:rPr>
                <w:rFonts w:cstheme="minorHAnsi"/>
                <w:b/>
                <w:bCs/>
                <w:sz w:val="20"/>
                <w:szCs w:val="20"/>
              </w:rPr>
              <w:t>Average days</w:t>
            </w:r>
          </w:p>
        </w:tc>
      </w:tr>
      <w:tr w:rsidR="002D3802" w14:paraId="26F7910B" w14:textId="77777777" w:rsidTr="00C02B55">
        <w:tc>
          <w:tcPr>
            <w:tcW w:w="4868" w:type="dxa"/>
            <w:shd w:val="clear" w:color="auto" w:fill="auto"/>
          </w:tcPr>
          <w:p w14:paraId="42EDA484" w14:textId="08BA45CB" w:rsidR="002D3802" w:rsidRPr="00C02B55" w:rsidRDefault="00C02B55" w:rsidP="00C02B55">
            <w:pPr>
              <w:pStyle w:val="NoSpacing"/>
              <w:jc w:val="center"/>
              <w:rPr>
                <w:rFonts w:cstheme="minorHAnsi"/>
                <w:b/>
                <w:bCs/>
                <w:sz w:val="20"/>
                <w:szCs w:val="20"/>
              </w:rPr>
            </w:pPr>
            <w:r w:rsidRPr="00C02B55">
              <w:rPr>
                <w:rFonts w:cstheme="minorHAnsi"/>
                <w:b/>
                <w:bCs/>
                <w:sz w:val="20"/>
                <w:szCs w:val="20"/>
              </w:rPr>
              <w:t>Q3</w:t>
            </w:r>
          </w:p>
        </w:tc>
        <w:tc>
          <w:tcPr>
            <w:tcW w:w="4868" w:type="dxa"/>
          </w:tcPr>
          <w:p w14:paraId="31CD2B01" w14:textId="2722CB0B" w:rsidR="002D3802" w:rsidRPr="00C02B55" w:rsidRDefault="00932740" w:rsidP="00C02B55">
            <w:pPr>
              <w:pStyle w:val="NoSpacing"/>
              <w:jc w:val="center"/>
              <w:rPr>
                <w:rFonts w:cstheme="minorHAnsi"/>
                <w:sz w:val="20"/>
                <w:szCs w:val="20"/>
              </w:rPr>
            </w:pPr>
            <w:r>
              <w:rPr>
                <w:rFonts w:cstheme="minorHAnsi"/>
                <w:sz w:val="20"/>
                <w:szCs w:val="20"/>
              </w:rPr>
              <w:t>130</w:t>
            </w:r>
          </w:p>
        </w:tc>
      </w:tr>
      <w:tr w:rsidR="002D3802" w14:paraId="45E8C14C" w14:textId="77777777" w:rsidTr="00C02B55">
        <w:tc>
          <w:tcPr>
            <w:tcW w:w="4868" w:type="dxa"/>
            <w:shd w:val="clear" w:color="auto" w:fill="auto"/>
          </w:tcPr>
          <w:p w14:paraId="02841802" w14:textId="3ACFC947" w:rsidR="002D3802" w:rsidRPr="00C02B55" w:rsidRDefault="00C02B55" w:rsidP="00C02B55">
            <w:pPr>
              <w:pStyle w:val="NoSpacing"/>
              <w:jc w:val="center"/>
              <w:rPr>
                <w:rFonts w:cstheme="minorHAnsi"/>
                <w:b/>
                <w:bCs/>
                <w:sz w:val="20"/>
                <w:szCs w:val="20"/>
              </w:rPr>
            </w:pPr>
            <w:r w:rsidRPr="00C02B55">
              <w:rPr>
                <w:rFonts w:cstheme="minorHAnsi"/>
                <w:b/>
                <w:bCs/>
                <w:sz w:val="20"/>
                <w:szCs w:val="20"/>
              </w:rPr>
              <w:t>Q4</w:t>
            </w:r>
          </w:p>
        </w:tc>
        <w:tc>
          <w:tcPr>
            <w:tcW w:w="4868" w:type="dxa"/>
          </w:tcPr>
          <w:p w14:paraId="2099C35E" w14:textId="3E98F0D3" w:rsidR="002D3802" w:rsidRPr="00C02B55" w:rsidRDefault="00C03C8D" w:rsidP="00C02B55">
            <w:pPr>
              <w:pStyle w:val="NoSpacing"/>
              <w:jc w:val="center"/>
              <w:rPr>
                <w:rFonts w:cstheme="minorHAnsi"/>
                <w:sz w:val="20"/>
                <w:szCs w:val="20"/>
              </w:rPr>
            </w:pPr>
            <w:r>
              <w:rPr>
                <w:rFonts w:cstheme="minorHAnsi"/>
                <w:sz w:val="20"/>
                <w:szCs w:val="20"/>
              </w:rPr>
              <w:t>182</w:t>
            </w:r>
          </w:p>
        </w:tc>
      </w:tr>
      <w:tr w:rsidR="002D3802" w14:paraId="317EF391" w14:textId="77777777" w:rsidTr="00C02B55">
        <w:tc>
          <w:tcPr>
            <w:tcW w:w="4868" w:type="dxa"/>
            <w:shd w:val="clear" w:color="auto" w:fill="auto"/>
          </w:tcPr>
          <w:p w14:paraId="0D4C4A6B" w14:textId="7766F951" w:rsidR="002D3802" w:rsidRPr="00C02B55" w:rsidRDefault="00C02B55" w:rsidP="00C02B55">
            <w:pPr>
              <w:pStyle w:val="NoSpacing"/>
              <w:jc w:val="center"/>
              <w:rPr>
                <w:rFonts w:cstheme="minorHAnsi"/>
                <w:b/>
                <w:bCs/>
                <w:sz w:val="20"/>
                <w:szCs w:val="20"/>
              </w:rPr>
            </w:pPr>
            <w:r w:rsidRPr="00C02B55">
              <w:rPr>
                <w:rFonts w:cstheme="minorHAnsi"/>
                <w:b/>
                <w:bCs/>
                <w:sz w:val="20"/>
                <w:szCs w:val="20"/>
              </w:rPr>
              <w:t>Q1</w:t>
            </w:r>
          </w:p>
        </w:tc>
        <w:tc>
          <w:tcPr>
            <w:tcW w:w="4868" w:type="dxa"/>
          </w:tcPr>
          <w:p w14:paraId="42CF9B20" w14:textId="42DEB2C5" w:rsidR="002D3802" w:rsidRPr="00C02B55" w:rsidRDefault="00BE132D" w:rsidP="00C02B55">
            <w:pPr>
              <w:pStyle w:val="NoSpacing"/>
              <w:jc w:val="center"/>
              <w:rPr>
                <w:rFonts w:cstheme="minorHAnsi"/>
                <w:sz w:val="20"/>
                <w:szCs w:val="20"/>
              </w:rPr>
            </w:pPr>
            <w:r>
              <w:rPr>
                <w:rFonts w:cstheme="minorHAnsi"/>
                <w:sz w:val="20"/>
                <w:szCs w:val="20"/>
              </w:rPr>
              <w:t>170</w:t>
            </w:r>
          </w:p>
        </w:tc>
      </w:tr>
      <w:tr w:rsidR="002D3802" w14:paraId="67263790" w14:textId="77777777" w:rsidTr="00C02B55">
        <w:tc>
          <w:tcPr>
            <w:tcW w:w="4868" w:type="dxa"/>
            <w:shd w:val="clear" w:color="auto" w:fill="auto"/>
          </w:tcPr>
          <w:p w14:paraId="6E52CC74" w14:textId="3C635C02" w:rsidR="002D3802" w:rsidRPr="00C02B55" w:rsidRDefault="00C02B55" w:rsidP="00C02B55">
            <w:pPr>
              <w:pStyle w:val="NoSpacing"/>
              <w:jc w:val="center"/>
              <w:rPr>
                <w:rFonts w:cstheme="minorHAnsi"/>
                <w:b/>
                <w:bCs/>
                <w:sz w:val="20"/>
                <w:szCs w:val="20"/>
              </w:rPr>
            </w:pPr>
            <w:r w:rsidRPr="00C02B55">
              <w:rPr>
                <w:rFonts w:cstheme="minorHAnsi"/>
                <w:b/>
                <w:bCs/>
                <w:sz w:val="20"/>
                <w:szCs w:val="20"/>
              </w:rPr>
              <w:t>Q2</w:t>
            </w:r>
          </w:p>
        </w:tc>
        <w:tc>
          <w:tcPr>
            <w:tcW w:w="4868" w:type="dxa"/>
          </w:tcPr>
          <w:p w14:paraId="797A629E" w14:textId="63619D51" w:rsidR="002D3802" w:rsidRPr="00C02B55" w:rsidRDefault="00FB4A5B" w:rsidP="00C02B55">
            <w:pPr>
              <w:pStyle w:val="NoSpacing"/>
              <w:jc w:val="center"/>
              <w:rPr>
                <w:rFonts w:cstheme="minorHAnsi"/>
                <w:sz w:val="20"/>
                <w:szCs w:val="20"/>
              </w:rPr>
            </w:pPr>
            <w:r>
              <w:rPr>
                <w:rFonts w:cstheme="minorHAnsi"/>
                <w:sz w:val="20"/>
                <w:szCs w:val="20"/>
              </w:rPr>
              <w:t>168</w:t>
            </w:r>
          </w:p>
        </w:tc>
      </w:tr>
    </w:tbl>
    <w:p w14:paraId="2497FD65" w14:textId="77777777" w:rsidR="002C059B" w:rsidRDefault="002C059B" w:rsidP="002D09D0">
      <w:pPr>
        <w:pStyle w:val="NoSpacing"/>
        <w:rPr>
          <w:rFonts w:ascii="Arial" w:hAnsi="Arial" w:cs="Arial"/>
          <w:sz w:val="24"/>
          <w:szCs w:val="24"/>
        </w:rPr>
      </w:pPr>
    </w:p>
    <w:p w14:paraId="196BFF78" w14:textId="7CB2F5C9" w:rsidR="003105E2" w:rsidRPr="003105E2" w:rsidRDefault="00907140" w:rsidP="002D09D0">
      <w:pPr>
        <w:pStyle w:val="NoSpacing"/>
        <w:rPr>
          <w:rFonts w:ascii="Arial" w:hAnsi="Arial" w:cs="Arial"/>
          <w:i/>
          <w:iCs/>
          <w:sz w:val="20"/>
          <w:szCs w:val="20"/>
        </w:rPr>
      </w:pPr>
      <w:r>
        <w:rPr>
          <w:rFonts w:ascii="Arial" w:hAnsi="Arial" w:cs="Arial"/>
          <w:i/>
          <w:iCs/>
          <w:sz w:val="20"/>
          <w:szCs w:val="20"/>
        </w:rPr>
        <w:t>NB</w:t>
      </w:r>
      <w:r w:rsidR="003105E2">
        <w:rPr>
          <w:rFonts w:ascii="Arial" w:hAnsi="Arial" w:cs="Arial"/>
          <w:i/>
          <w:iCs/>
          <w:sz w:val="20"/>
          <w:szCs w:val="20"/>
        </w:rPr>
        <w:t xml:space="preserve"> – this data is based on the review end date, not the date the review was </w:t>
      </w:r>
      <w:proofErr w:type="gramStart"/>
      <w:r w:rsidR="003105E2">
        <w:rPr>
          <w:rFonts w:ascii="Arial" w:hAnsi="Arial" w:cs="Arial"/>
          <w:i/>
          <w:iCs/>
          <w:sz w:val="20"/>
          <w:szCs w:val="20"/>
        </w:rPr>
        <w:t>received</w:t>
      </w:r>
      <w:proofErr w:type="gramEnd"/>
    </w:p>
    <w:tbl>
      <w:tblPr>
        <w:tblpPr w:leftFromText="180" w:rightFromText="180" w:vertAnchor="page" w:horzAnchor="page" w:tblpX="1" w:tblpY="8881"/>
        <w:tblW w:w="1216" w:type="dxa"/>
        <w:tblLook w:val="04A0" w:firstRow="1" w:lastRow="0" w:firstColumn="1" w:lastColumn="0" w:noHBand="0" w:noVBand="1"/>
      </w:tblPr>
      <w:tblGrid>
        <w:gridCol w:w="980"/>
        <w:gridCol w:w="236"/>
      </w:tblGrid>
      <w:tr w:rsidR="002116E8" w:rsidRPr="009D1D07" w14:paraId="5278A564" w14:textId="77777777" w:rsidTr="002116E8">
        <w:trPr>
          <w:trHeight w:val="261"/>
        </w:trPr>
        <w:tc>
          <w:tcPr>
            <w:tcW w:w="980" w:type="dxa"/>
            <w:tcBorders>
              <w:top w:val="nil"/>
              <w:left w:val="nil"/>
              <w:bottom w:val="nil"/>
              <w:right w:val="nil"/>
            </w:tcBorders>
            <w:shd w:val="clear" w:color="auto" w:fill="auto"/>
            <w:noWrap/>
            <w:vAlign w:val="bottom"/>
            <w:hideMark/>
          </w:tcPr>
          <w:p w14:paraId="5D78F0CC" w14:textId="77777777" w:rsidR="002116E8" w:rsidRPr="009D1D07" w:rsidRDefault="002116E8" w:rsidP="009D1D07">
            <w:pPr>
              <w:spacing w:after="0" w:line="240" w:lineRule="auto"/>
              <w:rPr>
                <w:rFonts w:ascii="Times New Roman" w:eastAsia="Times New Roman" w:hAnsi="Times New Roman" w:cs="Times New Roman"/>
                <w:sz w:val="24"/>
                <w:szCs w:val="24"/>
                <w:lang w:eastAsia="en-GB"/>
              </w:rPr>
            </w:pPr>
          </w:p>
        </w:tc>
        <w:tc>
          <w:tcPr>
            <w:tcW w:w="236" w:type="dxa"/>
            <w:tcBorders>
              <w:top w:val="nil"/>
              <w:left w:val="nil"/>
              <w:bottom w:val="nil"/>
              <w:right w:val="nil"/>
            </w:tcBorders>
            <w:shd w:val="clear" w:color="auto" w:fill="auto"/>
            <w:noWrap/>
            <w:vAlign w:val="bottom"/>
            <w:hideMark/>
          </w:tcPr>
          <w:p w14:paraId="1DDE6C8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33CAD3F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12D313D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4EFA61A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050B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55D2D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DBFF87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03BAAED6" w14:textId="1565CEEC" w:rsidR="002116E8" w:rsidRPr="009D1D07" w:rsidRDefault="002116E8" w:rsidP="009D1D07">
            <w:pPr>
              <w:spacing w:after="0" w:line="240" w:lineRule="auto"/>
              <w:rPr>
                <w:rFonts w:ascii="Times New Roman" w:eastAsia="Times New Roman" w:hAnsi="Times New Roman" w:cs="Times New Roman"/>
                <w:sz w:val="20"/>
                <w:szCs w:val="20"/>
                <w:lang w:eastAsia="en-GB"/>
              </w:rPr>
            </w:pPr>
          </w:p>
        </w:tc>
      </w:tr>
    </w:tbl>
    <w:p w14:paraId="0AC7E996" w14:textId="77777777" w:rsidR="00C92611" w:rsidRDefault="00C92611" w:rsidP="002D09D0">
      <w:pPr>
        <w:pStyle w:val="NoSpacing"/>
        <w:rPr>
          <w:rFonts w:ascii="Arial" w:hAnsi="Arial" w:cs="Arial"/>
          <w:i/>
          <w:iCs/>
          <w:sz w:val="24"/>
          <w:szCs w:val="24"/>
          <w:u w:val="single"/>
        </w:rPr>
      </w:pPr>
    </w:p>
    <w:p w14:paraId="4B306BE7" w14:textId="433CA537" w:rsidR="009D3EFC" w:rsidRPr="00907140" w:rsidRDefault="00F60166" w:rsidP="00907140">
      <w:pPr>
        <w:rPr>
          <w:rFonts w:ascii="Arial" w:hAnsi="Arial" w:cs="Arial"/>
          <w:i/>
          <w:iCs/>
          <w:sz w:val="24"/>
          <w:szCs w:val="24"/>
          <w:highlight w:val="yellow"/>
          <w:u w:val="single"/>
        </w:rPr>
      </w:pPr>
      <w:r w:rsidRPr="005942BC">
        <w:rPr>
          <w:rFonts w:ascii="Arial" w:hAnsi="Arial" w:cs="Arial"/>
          <w:i/>
          <w:iCs/>
          <w:sz w:val="24"/>
          <w:szCs w:val="24"/>
          <w:u w:val="single"/>
        </w:rPr>
        <w:t>Review</w:t>
      </w:r>
      <w:r w:rsidR="009D1D07" w:rsidRPr="005942BC">
        <w:rPr>
          <w:rFonts w:ascii="Arial" w:hAnsi="Arial" w:cs="Arial"/>
          <w:i/>
          <w:iCs/>
          <w:sz w:val="24"/>
          <w:szCs w:val="24"/>
          <w:u w:val="single"/>
        </w:rPr>
        <w:t>s</w:t>
      </w:r>
      <w:r w:rsidR="00C5656C" w:rsidRPr="005942BC">
        <w:rPr>
          <w:rFonts w:ascii="Arial" w:hAnsi="Arial" w:cs="Arial"/>
          <w:i/>
          <w:iCs/>
          <w:sz w:val="24"/>
          <w:szCs w:val="24"/>
          <w:u w:val="single"/>
        </w:rPr>
        <w:t xml:space="preserve"> </w:t>
      </w:r>
      <w:r w:rsidRPr="005942BC">
        <w:rPr>
          <w:rFonts w:ascii="Arial" w:hAnsi="Arial" w:cs="Arial"/>
          <w:i/>
          <w:iCs/>
          <w:sz w:val="24"/>
          <w:szCs w:val="24"/>
          <w:u w:val="single"/>
        </w:rPr>
        <w:t>to the OPFCC</w:t>
      </w:r>
    </w:p>
    <w:p w14:paraId="6BA00755" w14:textId="77777777" w:rsidR="009C0D62" w:rsidRDefault="009C0D62" w:rsidP="002D09D0">
      <w:pPr>
        <w:pStyle w:val="NoSpacing"/>
        <w:rPr>
          <w:rFonts w:ascii="Arial" w:hAnsi="Arial" w:cs="Arial"/>
          <w:i/>
          <w:iCs/>
          <w:sz w:val="24"/>
          <w:szCs w:val="24"/>
          <w:u w:val="single"/>
        </w:rPr>
      </w:pPr>
    </w:p>
    <w:p w14:paraId="16687156" w14:textId="77777777" w:rsidR="00C92611" w:rsidRDefault="00C92611" w:rsidP="002D09D0">
      <w:pPr>
        <w:pStyle w:val="NoSpacing"/>
        <w:rPr>
          <w:rFonts w:ascii="Arial" w:hAnsi="Arial" w:cs="Arial"/>
          <w:i/>
          <w:iCs/>
          <w:sz w:val="24"/>
          <w:szCs w:val="24"/>
          <w:u w:val="single"/>
        </w:rPr>
      </w:pPr>
    </w:p>
    <w:tbl>
      <w:tblPr>
        <w:tblStyle w:val="TableGrid"/>
        <w:tblW w:w="0" w:type="auto"/>
        <w:tblLook w:val="04A0" w:firstRow="1" w:lastRow="0" w:firstColumn="1" w:lastColumn="0" w:noHBand="0" w:noVBand="1"/>
      </w:tblPr>
      <w:tblGrid>
        <w:gridCol w:w="1947"/>
        <w:gridCol w:w="1947"/>
        <w:gridCol w:w="1947"/>
        <w:gridCol w:w="1947"/>
        <w:gridCol w:w="1948"/>
      </w:tblGrid>
      <w:tr w:rsidR="00417669" w14:paraId="4427433A" w14:textId="77777777" w:rsidTr="00CA168C">
        <w:tc>
          <w:tcPr>
            <w:tcW w:w="1947" w:type="dxa"/>
            <w:shd w:val="clear" w:color="auto" w:fill="C6D9F1" w:themeFill="text2" w:themeFillTint="33"/>
          </w:tcPr>
          <w:p w14:paraId="6163DA5C" w14:textId="57468D98" w:rsidR="00417669" w:rsidRPr="00015CFD" w:rsidRDefault="00417669" w:rsidP="002D09D0">
            <w:pPr>
              <w:pStyle w:val="NoSpacing"/>
              <w:rPr>
                <w:rFonts w:cstheme="minorHAnsi"/>
                <w:b/>
                <w:bCs/>
              </w:rPr>
            </w:pPr>
            <w:r w:rsidRPr="00015CFD">
              <w:rPr>
                <w:rFonts w:cstheme="minorHAnsi"/>
                <w:b/>
                <w:bCs/>
              </w:rPr>
              <w:t>Quarter</w:t>
            </w:r>
          </w:p>
        </w:tc>
        <w:tc>
          <w:tcPr>
            <w:tcW w:w="1947" w:type="dxa"/>
            <w:shd w:val="clear" w:color="auto" w:fill="C6D9F1" w:themeFill="text2" w:themeFillTint="33"/>
          </w:tcPr>
          <w:p w14:paraId="15AE0E85" w14:textId="492A12A8" w:rsidR="00417669" w:rsidRPr="001B5840" w:rsidRDefault="00417669" w:rsidP="002D09D0">
            <w:pPr>
              <w:pStyle w:val="NoSpacing"/>
              <w:rPr>
                <w:rFonts w:cstheme="minorHAnsi"/>
                <w:b/>
                <w:bCs/>
              </w:rPr>
            </w:pPr>
            <w:r>
              <w:rPr>
                <w:rFonts w:cstheme="minorHAnsi"/>
                <w:b/>
                <w:bCs/>
              </w:rPr>
              <w:t>Outstanding</w:t>
            </w:r>
          </w:p>
        </w:tc>
        <w:tc>
          <w:tcPr>
            <w:tcW w:w="1947" w:type="dxa"/>
            <w:shd w:val="clear" w:color="auto" w:fill="C6D9F1" w:themeFill="text2" w:themeFillTint="33"/>
          </w:tcPr>
          <w:p w14:paraId="3E1773F6" w14:textId="733364C7" w:rsidR="00417669" w:rsidRPr="001B5840" w:rsidRDefault="00417669" w:rsidP="002D09D0">
            <w:pPr>
              <w:pStyle w:val="NoSpacing"/>
              <w:rPr>
                <w:rFonts w:cstheme="minorHAnsi"/>
                <w:b/>
                <w:bCs/>
              </w:rPr>
            </w:pPr>
            <w:r w:rsidRPr="001B5840">
              <w:rPr>
                <w:rFonts w:cstheme="minorHAnsi"/>
                <w:b/>
                <w:bCs/>
              </w:rPr>
              <w:t>Upheld</w:t>
            </w:r>
          </w:p>
        </w:tc>
        <w:tc>
          <w:tcPr>
            <w:tcW w:w="1947" w:type="dxa"/>
            <w:shd w:val="clear" w:color="auto" w:fill="C6D9F1" w:themeFill="text2" w:themeFillTint="33"/>
          </w:tcPr>
          <w:p w14:paraId="24C869D4" w14:textId="45C03F76" w:rsidR="00417669" w:rsidRPr="001B5840" w:rsidRDefault="00417669" w:rsidP="002D09D0">
            <w:pPr>
              <w:pStyle w:val="NoSpacing"/>
              <w:rPr>
                <w:rFonts w:cstheme="minorHAnsi"/>
                <w:b/>
                <w:bCs/>
              </w:rPr>
            </w:pPr>
            <w:r w:rsidRPr="001B5840">
              <w:rPr>
                <w:rFonts w:cstheme="minorHAnsi"/>
                <w:b/>
                <w:bCs/>
              </w:rPr>
              <w:t>Not upheld</w:t>
            </w:r>
          </w:p>
        </w:tc>
        <w:tc>
          <w:tcPr>
            <w:tcW w:w="1948" w:type="dxa"/>
            <w:shd w:val="clear" w:color="auto" w:fill="C6D9F1" w:themeFill="text2" w:themeFillTint="33"/>
          </w:tcPr>
          <w:p w14:paraId="3790AC1A" w14:textId="554CE85C" w:rsidR="00417669" w:rsidRPr="001B5840" w:rsidRDefault="00417669" w:rsidP="002D09D0">
            <w:pPr>
              <w:pStyle w:val="NoSpacing"/>
              <w:rPr>
                <w:rFonts w:cstheme="minorHAnsi"/>
                <w:b/>
                <w:bCs/>
              </w:rPr>
            </w:pPr>
            <w:r w:rsidRPr="001B5840">
              <w:rPr>
                <w:rFonts w:cstheme="minorHAnsi"/>
                <w:b/>
                <w:bCs/>
              </w:rPr>
              <w:t>Invalid</w:t>
            </w:r>
          </w:p>
        </w:tc>
      </w:tr>
      <w:tr w:rsidR="00417669" w14:paraId="235A929F" w14:textId="77777777" w:rsidTr="00CA168C">
        <w:tc>
          <w:tcPr>
            <w:tcW w:w="1947" w:type="dxa"/>
            <w:shd w:val="clear" w:color="auto" w:fill="C6D9F1" w:themeFill="text2" w:themeFillTint="33"/>
          </w:tcPr>
          <w:p w14:paraId="314AE37C" w14:textId="0AB0B8FF" w:rsidR="00417669" w:rsidRPr="00015CFD" w:rsidRDefault="00417669" w:rsidP="002D09D0">
            <w:pPr>
              <w:pStyle w:val="NoSpacing"/>
              <w:rPr>
                <w:rFonts w:cstheme="minorHAnsi"/>
                <w:b/>
                <w:bCs/>
              </w:rPr>
            </w:pPr>
            <w:r w:rsidRPr="00015CFD">
              <w:rPr>
                <w:rFonts w:cstheme="minorHAnsi"/>
                <w:b/>
                <w:bCs/>
              </w:rPr>
              <w:t>Q3</w:t>
            </w:r>
          </w:p>
        </w:tc>
        <w:tc>
          <w:tcPr>
            <w:tcW w:w="1947" w:type="dxa"/>
          </w:tcPr>
          <w:p w14:paraId="169DEF82" w14:textId="7CAADC9F" w:rsidR="00417669" w:rsidRPr="001B5840" w:rsidRDefault="00390EA6" w:rsidP="002D09D0">
            <w:pPr>
              <w:pStyle w:val="NoSpacing"/>
              <w:rPr>
                <w:rFonts w:cstheme="minorHAnsi"/>
              </w:rPr>
            </w:pPr>
            <w:r>
              <w:rPr>
                <w:rFonts w:cstheme="minorHAnsi"/>
              </w:rPr>
              <w:t>0</w:t>
            </w:r>
          </w:p>
        </w:tc>
        <w:tc>
          <w:tcPr>
            <w:tcW w:w="1947" w:type="dxa"/>
          </w:tcPr>
          <w:p w14:paraId="7806A184" w14:textId="330BBCD0" w:rsidR="00417669" w:rsidRPr="001B5840" w:rsidRDefault="00503068" w:rsidP="002D09D0">
            <w:pPr>
              <w:pStyle w:val="NoSpacing"/>
              <w:rPr>
                <w:rFonts w:cstheme="minorHAnsi"/>
              </w:rPr>
            </w:pPr>
            <w:r>
              <w:rPr>
                <w:rFonts w:cstheme="minorHAnsi"/>
              </w:rPr>
              <w:t>4</w:t>
            </w:r>
          </w:p>
        </w:tc>
        <w:tc>
          <w:tcPr>
            <w:tcW w:w="1947" w:type="dxa"/>
          </w:tcPr>
          <w:p w14:paraId="316F4169" w14:textId="023CEC3A" w:rsidR="00417669" w:rsidRPr="001B5840" w:rsidRDefault="00503068" w:rsidP="002D09D0">
            <w:pPr>
              <w:pStyle w:val="NoSpacing"/>
              <w:rPr>
                <w:rFonts w:cstheme="minorHAnsi"/>
              </w:rPr>
            </w:pPr>
            <w:r>
              <w:rPr>
                <w:rFonts w:cstheme="minorHAnsi"/>
              </w:rPr>
              <w:t>15</w:t>
            </w:r>
          </w:p>
        </w:tc>
        <w:tc>
          <w:tcPr>
            <w:tcW w:w="1948" w:type="dxa"/>
          </w:tcPr>
          <w:p w14:paraId="142D27BF" w14:textId="763F2138" w:rsidR="00417669" w:rsidRPr="001B5840" w:rsidRDefault="00503068" w:rsidP="002D09D0">
            <w:pPr>
              <w:pStyle w:val="NoSpacing"/>
              <w:rPr>
                <w:rFonts w:cstheme="minorHAnsi"/>
              </w:rPr>
            </w:pPr>
            <w:r>
              <w:rPr>
                <w:rFonts w:cstheme="minorHAnsi"/>
              </w:rPr>
              <w:t>0</w:t>
            </w:r>
          </w:p>
        </w:tc>
      </w:tr>
      <w:tr w:rsidR="00417669" w14:paraId="41783781" w14:textId="77777777" w:rsidTr="00CA168C">
        <w:tc>
          <w:tcPr>
            <w:tcW w:w="1947" w:type="dxa"/>
            <w:shd w:val="clear" w:color="auto" w:fill="C6D9F1" w:themeFill="text2" w:themeFillTint="33"/>
          </w:tcPr>
          <w:p w14:paraId="64B79522" w14:textId="34D1B4A8" w:rsidR="00417669" w:rsidRPr="00015CFD" w:rsidRDefault="00417669" w:rsidP="002D09D0">
            <w:pPr>
              <w:pStyle w:val="NoSpacing"/>
              <w:rPr>
                <w:rFonts w:cstheme="minorHAnsi"/>
                <w:b/>
                <w:bCs/>
              </w:rPr>
            </w:pPr>
            <w:r w:rsidRPr="00015CFD">
              <w:rPr>
                <w:rFonts w:cstheme="minorHAnsi"/>
                <w:b/>
                <w:bCs/>
              </w:rPr>
              <w:t>Q4</w:t>
            </w:r>
          </w:p>
        </w:tc>
        <w:tc>
          <w:tcPr>
            <w:tcW w:w="1947" w:type="dxa"/>
          </w:tcPr>
          <w:p w14:paraId="1B238FFE" w14:textId="30632251" w:rsidR="00417669" w:rsidRPr="001B5840" w:rsidRDefault="00E6070C" w:rsidP="002D09D0">
            <w:pPr>
              <w:pStyle w:val="NoSpacing"/>
              <w:rPr>
                <w:rFonts w:cstheme="minorHAnsi"/>
              </w:rPr>
            </w:pPr>
            <w:r>
              <w:rPr>
                <w:rFonts w:cstheme="minorHAnsi"/>
              </w:rPr>
              <w:t>9</w:t>
            </w:r>
          </w:p>
        </w:tc>
        <w:tc>
          <w:tcPr>
            <w:tcW w:w="1947" w:type="dxa"/>
          </w:tcPr>
          <w:p w14:paraId="64002115" w14:textId="4DD9A1D9" w:rsidR="00417669" w:rsidRPr="001B5840" w:rsidRDefault="00E6070C" w:rsidP="002D09D0">
            <w:pPr>
              <w:pStyle w:val="NoSpacing"/>
              <w:rPr>
                <w:rFonts w:cstheme="minorHAnsi"/>
              </w:rPr>
            </w:pPr>
            <w:r>
              <w:rPr>
                <w:rFonts w:cstheme="minorHAnsi"/>
              </w:rPr>
              <w:t>2</w:t>
            </w:r>
          </w:p>
        </w:tc>
        <w:tc>
          <w:tcPr>
            <w:tcW w:w="1947" w:type="dxa"/>
          </w:tcPr>
          <w:p w14:paraId="74020468" w14:textId="1260B073" w:rsidR="00417669" w:rsidRPr="001B5840" w:rsidRDefault="00A05049" w:rsidP="002D09D0">
            <w:pPr>
              <w:pStyle w:val="NoSpacing"/>
              <w:rPr>
                <w:rFonts w:cstheme="minorHAnsi"/>
              </w:rPr>
            </w:pPr>
            <w:r>
              <w:rPr>
                <w:rFonts w:cstheme="minorHAnsi"/>
              </w:rPr>
              <w:t>19</w:t>
            </w:r>
          </w:p>
        </w:tc>
        <w:tc>
          <w:tcPr>
            <w:tcW w:w="1948" w:type="dxa"/>
          </w:tcPr>
          <w:p w14:paraId="0C700B8F" w14:textId="662849A0" w:rsidR="00417669" w:rsidRPr="001B5840" w:rsidRDefault="00E6070C" w:rsidP="002D09D0">
            <w:pPr>
              <w:pStyle w:val="NoSpacing"/>
              <w:rPr>
                <w:rFonts w:cstheme="minorHAnsi"/>
              </w:rPr>
            </w:pPr>
            <w:r>
              <w:rPr>
                <w:rFonts w:cstheme="minorHAnsi"/>
              </w:rPr>
              <w:t>2</w:t>
            </w:r>
          </w:p>
        </w:tc>
      </w:tr>
      <w:tr w:rsidR="00417669" w14:paraId="747EF276" w14:textId="77777777" w:rsidTr="00CA168C">
        <w:tc>
          <w:tcPr>
            <w:tcW w:w="1947" w:type="dxa"/>
            <w:shd w:val="clear" w:color="auto" w:fill="C6D9F1" w:themeFill="text2" w:themeFillTint="33"/>
          </w:tcPr>
          <w:p w14:paraId="3BF61F70" w14:textId="31AC52DC" w:rsidR="00417669" w:rsidRPr="00015CFD" w:rsidRDefault="00417669" w:rsidP="002D09D0">
            <w:pPr>
              <w:pStyle w:val="NoSpacing"/>
              <w:rPr>
                <w:rFonts w:cstheme="minorHAnsi"/>
                <w:b/>
                <w:bCs/>
              </w:rPr>
            </w:pPr>
            <w:r w:rsidRPr="00015CFD">
              <w:rPr>
                <w:rFonts w:cstheme="minorHAnsi"/>
                <w:b/>
                <w:bCs/>
              </w:rPr>
              <w:t>Q1</w:t>
            </w:r>
          </w:p>
        </w:tc>
        <w:tc>
          <w:tcPr>
            <w:tcW w:w="1947" w:type="dxa"/>
          </w:tcPr>
          <w:p w14:paraId="1DD39BEF" w14:textId="2D07BD65" w:rsidR="00417669" w:rsidRPr="001B5840" w:rsidRDefault="00BF5D18" w:rsidP="002D09D0">
            <w:pPr>
              <w:pStyle w:val="NoSpacing"/>
              <w:rPr>
                <w:rFonts w:cstheme="minorHAnsi"/>
              </w:rPr>
            </w:pPr>
            <w:r>
              <w:rPr>
                <w:rFonts w:cstheme="minorHAnsi"/>
              </w:rPr>
              <w:t>15</w:t>
            </w:r>
          </w:p>
        </w:tc>
        <w:tc>
          <w:tcPr>
            <w:tcW w:w="1947" w:type="dxa"/>
          </w:tcPr>
          <w:p w14:paraId="4482842E" w14:textId="1CF99AD1" w:rsidR="00417669" w:rsidRPr="001B5840" w:rsidRDefault="00BF5D18" w:rsidP="002D09D0">
            <w:pPr>
              <w:pStyle w:val="NoSpacing"/>
              <w:rPr>
                <w:rFonts w:cstheme="minorHAnsi"/>
              </w:rPr>
            </w:pPr>
            <w:r>
              <w:rPr>
                <w:rFonts w:cstheme="minorHAnsi"/>
              </w:rPr>
              <w:t>1</w:t>
            </w:r>
          </w:p>
        </w:tc>
        <w:tc>
          <w:tcPr>
            <w:tcW w:w="1947" w:type="dxa"/>
          </w:tcPr>
          <w:p w14:paraId="5E15C056" w14:textId="2D60157A" w:rsidR="00417669" w:rsidRPr="001B5840" w:rsidRDefault="00CB519D" w:rsidP="002D09D0">
            <w:pPr>
              <w:pStyle w:val="NoSpacing"/>
              <w:rPr>
                <w:rFonts w:cstheme="minorHAnsi"/>
              </w:rPr>
            </w:pPr>
            <w:r>
              <w:rPr>
                <w:rFonts w:cstheme="minorHAnsi"/>
              </w:rPr>
              <w:t>5</w:t>
            </w:r>
          </w:p>
        </w:tc>
        <w:tc>
          <w:tcPr>
            <w:tcW w:w="1948" w:type="dxa"/>
          </w:tcPr>
          <w:p w14:paraId="0380851A" w14:textId="5A24B9B8" w:rsidR="00417669" w:rsidRPr="001B5840" w:rsidRDefault="00CB519D" w:rsidP="002D09D0">
            <w:pPr>
              <w:pStyle w:val="NoSpacing"/>
              <w:rPr>
                <w:rFonts w:cstheme="minorHAnsi"/>
              </w:rPr>
            </w:pPr>
            <w:r>
              <w:rPr>
                <w:rFonts w:cstheme="minorHAnsi"/>
              </w:rPr>
              <w:t>2</w:t>
            </w:r>
          </w:p>
        </w:tc>
      </w:tr>
      <w:tr w:rsidR="00417669" w14:paraId="112131E7" w14:textId="77777777" w:rsidTr="00CA168C">
        <w:trPr>
          <w:trHeight w:val="315"/>
        </w:trPr>
        <w:tc>
          <w:tcPr>
            <w:tcW w:w="1947" w:type="dxa"/>
            <w:shd w:val="clear" w:color="auto" w:fill="C6D9F1" w:themeFill="text2" w:themeFillTint="33"/>
          </w:tcPr>
          <w:p w14:paraId="452885AA" w14:textId="2D3B6A11" w:rsidR="00417669" w:rsidRPr="00015CFD" w:rsidRDefault="00417669" w:rsidP="002D09D0">
            <w:pPr>
              <w:pStyle w:val="NoSpacing"/>
              <w:rPr>
                <w:rFonts w:cstheme="minorHAnsi"/>
                <w:b/>
                <w:bCs/>
              </w:rPr>
            </w:pPr>
            <w:r w:rsidRPr="00015CFD">
              <w:rPr>
                <w:rFonts w:cstheme="minorHAnsi"/>
                <w:b/>
                <w:bCs/>
              </w:rPr>
              <w:t>Q2</w:t>
            </w:r>
          </w:p>
        </w:tc>
        <w:tc>
          <w:tcPr>
            <w:tcW w:w="1947" w:type="dxa"/>
          </w:tcPr>
          <w:p w14:paraId="1B19B0D9" w14:textId="1E87DC8A" w:rsidR="00417669" w:rsidRPr="001B5840" w:rsidRDefault="008D7CCB" w:rsidP="002D09D0">
            <w:pPr>
              <w:pStyle w:val="NoSpacing"/>
              <w:rPr>
                <w:rFonts w:cstheme="minorHAnsi"/>
              </w:rPr>
            </w:pPr>
            <w:r>
              <w:rPr>
                <w:rFonts w:cstheme="minorHAnsi"/>
              </w:rPr>
              <w:t>19</w:t>
            </w:r>
          </w:p>
        </w:tc>
        <w:tc>
          <w:tcPr>
            <w:tcW w:w="1947" w:type="dxa"/>
          </w:tcPr>
          <w:p w14:paraId="18E7E454" w14:textId="6C77BC0B" w:rsidR="00417669" w:rsidRPr="001B5840" w:rsidRDefault="008D7CCB" w:rsidP="002D09D0">
            <w:pPr>
              <w:pStyle w:val="NoSpacing"/>
              <w:rPr>
                <w:rFonts w:cstheme="minorHAnsi"/>
              </w:rPr>
            </w:pPr>
            <w:r>
              <w:rPr>
                <w:rFonts w:cstheme="minorHAnsi"/>
              </w:rPr>
              <w:t>TBC</w:t>
            </w:r>
          </w:p>
        </w:tc>
        <w:tc>
          <w:tcPr>
            <w:tcW w:w="1947" w:type="dxa"/>
          </w:tcPr>
          <w:p w14:paraId="132F2470" w14:textId="0F986318" w:rsidR="00417669" w:rsidRPr="001B5840" w:rsidRDefault="008D7CCB" w:rsidP="002D09D0">
            <w:pPr>
              <w:pStyle w:val="NoSpacing"/>
              <w:rPr>
                <w:rFonts w:cstheme="minorHAnsi"/>
              </w:rPr>
            </w:pPr>
            <w:r>
              <w:rPr>
                <w:rFonts w:cstheme="minorHAnsi"/>
              </w:rPr>
              <w:t>TBC</w:t>
            </w:r>
          </w:p>
        </w:tc>
        <w:tc>
          <w:tcPr>
            <w:tcW w:w="1948" w:type="dxa"/>
          </w:tcPr>
          <w:p w14:paraId="12959FD4" w14:textId="3A344272" w:rsidR="00417669" w:rsidRPr="001B5840" w:rsidRDefault="008D7CCB" w:rsidP="002D09D0">
            <w:pPr>
              <w:pStyle w:val="NoSpacing"/>
              <w:rPr>
                <w:rFonts w:cstheme="minorHAnsi"/>
              </w:rPr>
            </w:pPr>
            <w:r>
              <w:rPr>
                <w:rFonts w:cstheme="minorHAnsi"/>
              </w:rPr>
              <w:t>TBC</w:t>
            </w:r>
          </w:p>
        </w:tc>
      </w:tr>
    </w:tbl>
    <w:p w14:paraId="2C24DF54" w14:textId="491B359A" w:rsidR="00792ACD" w:rsidRDefault="00792ACD" w:rsidP="002D09D0">
      <w:pPr>
        <w:pStyle w:val="NoSpacing"/>
        <w:rPr>
          <w:rFonts w:ascii="Arial" w:hAnsi="Arial" w:cs="Arial"/>
          <w:i/>
          <w:iCs/>
          <w:sz w:val="24"/>
          <w:szCs w:val="24"/>
          <w:u w:val="single"/>
        </w:rPr>
      </w:pPr>
    </w:p>
    <w:p w14:paraId="246D7D9F" w14:textId="42305ED3" w:rsidR="009C0D62" w:rsidRPr="00417669" w:rsidRDefault="00417669" w:rsidP="002D09D0">
      <w:pPr>
        <w:pStyle w:val="NoSpacing"/>
        <w:rPr>
          <w:rFonts w:ascii="Arial" w:hAnsi="Arial" w:cs="Arial"/>
          <w:i/>
          <w:iCs/>
          <w:sz w:val="20"/>
          <w:szCs w:val="20"/>
        </w:rPr>
      </w:pPr>
      <w:r>
        <w:rPr>
          <w:rFonts w:ascii="Arial" w:hAnsi="Arial" w:cs="Arial"/>
          <w:i/>
          <w:iCs/>
          <w:sz w:val="20"/>
          <w:szCs w:val="20"/>
        </w:rPr>
        <w:t>NB – this data is based on the date the review was requested</w:t>
      </w:r>
      <w:r w:rsidR="003F78C1">
        <w:rPr>
          <w:rFonts w:ascii="Arial" w:hAnsi="Arial" w:cs="Arial"/>
          <w:i/>
          <w:iCs/>
          <w:sz w:val="20"/>
          <w:szCs w:val="20"/>
        </w:rPr>
        <w:t xml:space="preserve"> not the date the outcome was received.</w:t>
      </w:r>
    </w:p>
    <w:p w14:paraId="190EFE85" w14:textId="77777777" w:rsidR="009C0D62" w:rsidRPr="006A5424" w:rsidRDefault="009C0D62" w:rsidP="002D09D0">
      <w:pPr>
        <w:pStyle w:val="NoSpacing"/>
        <w:rPr>
          <w:rFonts w:ascii="Arial" w:hAnsi="Arial" w:cs="Arial"/>
          <w:i/>
          <w:iCs/>
          <w:sz w:val="24"/>
          <w:szCs w:val="24"/>
          <w:u w:val="single"/>
        </w:rPr>
      </w:pPr>
    </w:p>
    <w:p w14:paraId="5690DA74" w14:textId="77777777" w:rsidR="002116E8" w:rsidRDefault="002116E8" w:rsidP="002116E8">
      <w:pPr>
        <w:spacing w:after="0"/>
        <w:rPr>
          <w:rFonts w:cs="Arial"/>
        </w:rPr>
      </w:pPr>
    </w:p>
    <w:tbl>
      <w:tblPr>
        <w:tblW w:w="9184" w:type="dxa"/>
        <w:tblLook w:val="04A0" w:firstRow="1" w:lastRow="0" w:firstColumn="1" w:lastColumn="0" w:noHBand="0" w:noVBand="1"/>
      </w:tblPr>
      <w:tblGrid>
        <w:gridCol w:w="1240"/>
        <w:gridCol w:w="1380"/>
        <w:gridCol w:w="2040"/>
        <w:gridCol w:w="1940"/>
        <w:gridCol w:w="1580"/>
        <w:gridCol w:w="1004"/>
      </w:tblGrid>
      <w:tr w:rsidR="00094E10" w:rsidRPr="00094E10" w14:paraId="663C364E" w14:textId="77777777" w:rsidTr="00DB0229">
        <w:trPr>
          <w:trHeight w:val="300"/>
        </w:trPr>
        <w:tc>
          <w:tcPr>
            <w:tcW w:w="1240" w:type="dxa"/>
            <w:tcBorders>
              <w:top w:val="nil"/>
              <w:left w:val="nil"/>
              <w:bottom w:val="single" w:sz="4" w:space="0" w:color="auto"/>
              <w:right w:val="nil"/>
            </w:tcBorders>
            <w:shd w:val="clear" w:color="auto" w:fill="auto"/>
            <w:noWrap/>
            <w:vAlign w:val="bottom"/>
            <w:hideMark/>
          </w:tcPr>
          <w:p w14:paraId="31D0170A" w14:textId="77777777" w:rsidR="00094E10" w:rsidRPr="00094E10" w:rsidRDefault="00094E10" w:rsidP="00094E10">
            <w:pPr>
              <w:spacing w:after="0" w:line="240" w:lineRule="auto"/>
              <w:rPr>
                <w:rFonts w:ascii="Times New Roman" w:eastAsia="Times New Roman" w:hAnsi="Times New Roman" w:cs="Times New Roman"/>
                <w:sz w:val="24"/>
                <w:szCs w:val="24"/>
                <w:lang w:eastAsia="en-GB"/>
              </w:rPr>
            </w:pPr>
          </w:p>
        </w:tc>
        <w:tc>
          <w:tcPr>
            <w:tcW w:w="1380" w:type="dxa"/>
            <w:tcBorders>
              <w:top w:val="nil"/>
              <w:left w:val="nil"/>
              <w:bottom w:val="single" w:sz="4" w:space="0" w:color="auto"/>
              <w:right w:val="nil"/>
            </w:tcBorders>
            <w:shd w:val="clear" w:color="auto" w:fill="auto"/>
            <w:noWrap/>
            <w:vAlign w:val="bottom"/>
            <w:hideMark/>
          </w:tcPr>
          <w:p w14:paraId="1710A8DC" w14:textId="77777777" w:rsidR="00094E10" w:rsidRPr="00094E10" w:rsidRDefault="00094E10" w:rsidP="00094E10">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2ACB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White Complainants</w:t>
            </w:r>
          </w:p>
        </w:tc>
        <w:tc>
          <w:tcPr>
            <w:tcW w:w="1940" w:type="dxa"/>
            <w:tcBorders>
              <w:top w:val="single" w:sz="4" w:space="0" w:color="auto"/>
              <w:left w:val="nil"/>
              <w:bottom w:val="single" w:sz="4" w:space="0" w:color="auto"/>
              <w:right w:val="single" w:sz="4" w:space="0" w:color="auto"/>
            </w:tcBorders>
            <w:shd w:val="clear" w:color="000000" w:fill="D9E1F2"/>
            <w:noWrap/>
            <w:vAlign w:val="bottom"/>
            <w:hideMark/>
          </w:tcPr>
          <w:p w14:paraId="05D477D4"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Black Complainants</w:t>
            </w:r>
          </w:p>
        </w:tc>
        <w:tc>
          <w:tcPr>
            <w:tcW w:w="1580" w:type="dxa"/>
            <w:tcBorders>
              <w:top w:val="single" w:sz="4" w:space="0" w:color="auto"/>
              <w:left w:val="nil"/>
              <w:bottom w:val="single" w:sz="4" w:space="0" w:color="auto"/>
              <w:right w:val="single" w:sz="4" w:space="0" w:color="auto"/>
            </w:tcBorders>
            <w:shd w:val="clear" w:color="000000" w:fill="D9E1F2"/>
            <w:noWrap/>
            <w:vAlign w:val="bottom"/>
            <w:hideMark/>
          </w:tcPr>
          <w:p w14:paraId="4305BAAF"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Mixed Ethnicity</w:t>
            </w:r>
          </w:p>
        </w:tc>
        <w:tc>
          <w:tcPr>
            <w:tcW w:w="1004" w:type="dxa"/>
            <w:tcBorders>
              <w:top w:val="single" w:sz="4" w:space="0" w:color="auto"/>
              <w:left w:val="nil"/>
              <w:bottom w:val="single" w:sz="4" w:space="0" w:color="auto"/>
              <w:right w:val="single" w:sz="4" w:space="0" w:color="auto"/>
            </w:tcBorders>
            <w:shd w:val="clear" w:color="000000" w:fill="D9E1F2"/>
            <w:noWrap/>
            <w:vAlign w:val="bottom"/>
            <w:hideMark/>
          </w:tcPr>
          <w:p w14:paraId="4DD7AE08"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Asian</w:t>
            </w:r>
          </w:p>
        </w:tc>
      </w:tr>
      <w:tr w:rsidR="00094E10" w:rsidRPr="00094E10" w14:paraId="1FD076D7" w14:textId="77777777" w:rsidTr="00DB0229">
        <w:trPr>
          <w:trHeight w:val="735"/>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C4087"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Quarter</w:t>
            </w:r>
          </w:p>
        </w:tc>
        <w:tc>
          <w:tcPr>
            <w:tcW w:w="13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1E444DFE"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Total OPFCC Review Cases</w:t>
            </w:r>
          </w:p>
        </w:tc>
        <w:tc>
          <w:tcPr>
            <w:tcW w:w="20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D70BF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9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975FE61"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58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EACA15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00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FB72342"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r>
      <w:tr w:rsidR="00DB0229" w:rsidRPr="00094E10" w14:paraId="003B0676"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721AEFBF" w14:textId="141CA36B" w:rsidR="00DB0229" w:rsidRPr="00094E10" w:rsidRDefault="00DB0229"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Q3 – 2022/23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6A5A" w14:textId="29B5F6DF"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8AAD3" w14:textId="44CC88ED"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E6054" w14:textId="75ADC39C"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6422" w14:textId="26363DDF"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86296" w14:textId="09F053C8"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DB0229" w:rsidRPr="00094E10" w14:paraId="333FBD9F"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73739AFB" w14:textId="63CAC2DF" w:rsidR="00DB0229" w:rsidRPr="00094E10" w:rsidRDefault="00DB0229"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Q4 – 2022/23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D7F47" w14:textId="74A2CD16"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A4D4" w14:textId="24A2AA4C"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83148" w14:textId="0F6BEF44"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76FF2" w14:textId="3AC6CC62"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E7A1F" w14:textId="779BACC8"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DB0229" w:rsidRPr="00094E10" w14:paraId="41160F78"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1BA255C3" w14:textId="2725BFBB" w:rsidR="00DB0229" w:rsidRPr="00094E10" w:rsidRDefault="004D3FCA"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Q1 </w:t>
            </w:r>
            <w:r w:rsidR="009F288A">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w:t>
            </w:r>
            <w:r w:rsidR="00664F92">
              <w:rPr>
                <w:rFonts w:ascii="Calibri" w:eastAsia="Times New Roman" w:hAnsi="Calibri" w:cs="Calibri"/>
                <w:b/>
                <w:bCs/>
                <w:color w:val="000000"/>
                <w:lang w:eastAsia="en-GB"/>
              </w:rPr>
              <w:t>2023</w:t>
            </w:r>
            <w:r w:rsidR="009F288A">
              <w:rPr>
                <w:rFonts w:ascii="Calibri" w:eastAsia="Times New Roman" w:hAnsi="Calibri" w:cs="Calibri"/>
                <w:b/>
                <w:bCs/>
                <w:color w:val="000000"/>
                <w:lang w:eastAsia="en-GB"/>
              </w:rPr>
              <w:t>/24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EA77" w14:textId="24818617" w:rsidR="00DB0229" w:rsidRPr="00094E10" w:rsidRDefault="009F288A"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F9BCB" w14:textId="16CB990B" w:rsidR="00DB0229" w:rsidRPr="00094E10" w:rsidRDefault="002E251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875F0" w14:textId="6FDC6CC9" w:rsidR="00DB0229" w:rsidRPr="00094E10" w:rsidRDefault="002E251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1650F" w14:textId="7A960F0D" w:rsidR="00DB0229" w:rsidRPr="00094E10" w:rsidRDefault="000B2A1D"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EC772" w14:textId="6101CBC2" w:rsidR="00DB0229" w:rsidRPr="00094E10" w:rsidRDefault="000B2A1D"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r>
      <w:tr w:rsidR="00F44DE3" w:rsidRPr="00094E10" w14:paraId="0DCFF5FB"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3861E030" w14:textId="021169BE" w:rsidR="00F44DE3" w:rsidRDefault="00F44DE3"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Q2 – 2023/24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252DA" w14:textId="20EA265A" w:rsidR="00F44DE3" w:rsidRDefault="0044165C"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13EA1" w14:textId="407A544C" w:rsidR="00F44DE3" w:rsidRDefault="008F601E"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87.5%</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5A43" w14:textId="24BA309A" w:rsidR="00F44DE3" w:rsidRDefault="008F601E"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FA9E2" w14:textId="3269C9D4" w:rsidR="00F44DE3" w:rsidRDefault="005942BC"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53285" w14:textId="3FB81551" w:rsidR="00F44DE3" w:rsidRDefault="005942BC"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6.25%</w:t>
            </w:r>
          </w:p>
        </w:tc>
      </w:tr>
    </w:tbl>
    <w:p w14:paraId="04547D0D" w14:textId="77777777" w:rsidR="002116E8" w:rsidRDefault="002116E8" w:rsidP="002116E8">
      <w:pPr>
        <w:spacing w:after="0"/>
        <w:rPr>
          <w:rFonts w:cs="Arial"/>
        </w:rPr>
      </w:pPr>
    </w:p>
    <w:p w14:paraId="19BDB152" w14:textId="182CC174" w:rsidR="003C0830" w:rsidRDefault="003F78C1" w:rsidP="00094E10">
      <w:pPr>
        <w:spacing w:after="0"/>
        <w:rPr>
          <w:rFonts w:cs="Arial"/>
          <w:i/>
          <w:iCs/>
        </w:rPr>
      </w:pPr>
      <w:r>
        <w:rPr>
          <w:rFonts w:cs="Arial"/>
          <w:i/>
          <w:iCs/>
        </w:rPr>
        <w:t>NB</w:t>
      </w:r>
      <w:r w:rsidR="001C02D8">
        <w:rPr>
          <w:rFonts w:cs="Arial"/>
          <w:i/>
          <w:iCs/>
        </w:rPr>
        <w:t xml:space="preserve"> – Unknown ethnicity data has not been used in these figures.</w:t>
      </w:r>
    </w:p>
    <w:p w14:paraId="79C5FF54" w14:textId="77777777" w:rsidR="003C0830" w:rsidRDefault="003C0830" w:rsidP="00094E10">
      <w:pPr>
        <w:spacing w:after="0"/>
        <w:rPr>
          <w:rFonts w:cs="Arial"/>
          <w:i/>
          <w:iCs/>
        </w:rPr>
      </w:pPr>
    </w:p>
    <w:p w14:paraId="0DAB5DA1" w14:textId="0233988C" w:rsidR="00C621E8" w:rsidRPr="00C621E8" w:rsidRDefault="00C621E8" w:rsidP="003C4DED">
      <w:pPr>
        <w:spacing w:after="0"/>
        <w:rPr>
          <w:rFonts w:ascii="Arial" w:hAnsi="Arial" w:cs="Arial"/>
          <w:sz w:val="24"/>
          <w:szCs w:val="24"/>
          <w:u w:val="single"/>
        </w:rPr>
      </w:pPr>
    </w:p>
    <w:p w14:paraId="106FE909" w14:textId="304BBE43" w:rsidR="00C621E8" w:rsidRPr="00136210" w:rsidRDefault="00C621E8" w:rsidP="003C4DED">
      <w:pPr>
        <w:spacing w:after="0"/>
        <w:rPr>
          <w:rFonts w:ascii="Arial" w:hAnsi="Arial" w:cs="Arial"/>
          <w:color w:val="FF0000"/>
          <w:sz w:val="24"/>
          <w:szCs w:val="24"/>
          <w:u w:val="single"/>
        </w:rPr>
      </w:pPr>
    </w:p>
    <w:p w14:paraId="29B60CF8" w14:textId="0BF792DE" w:rsidR="00843884" w:rsidRPr="00136210" w:rsidRDefault="0035299E" w:rsidP="008F4D80">
      <w:pPr>
        <w:pStyle w:val="NoSpacing"/>
        <w:rPr>
          <w:rFonts w:ascii="Arial" w:hAnsi="Arial" w:cs="Arial"/>
          <w:color w:val="FF0000"/>
          <w:sz w:val="24"/>
          <w:szCs w:val="24"/>
        </w:rPr>
      </w:pPr>
      <w:r w:rsidRPr="00136210">
        <w:rPr>
          <w:rFonts w:ascii="Arial" w:hAnsi="Arial" w:cs="Arial"/>
          <w:color w:val="FF0000"/>
          <w:sz w:val="24"/>
          <w:szCs w:val="24"/>
        </w:rPr>
        <w:t xml:space="preserve"> </w:t>
      </w:r>
    </w:p>
    <w:p w14:paraId="0F75665F" w14:textId="77777777" w:rsidR="00E0148B" w:rsidRDefault="00E0148B" w:rsidP="008F4D80">
      <w:pPr>
        <w:pStyle w:val="NoSpacing"/>
        <w:rPr>
          <w:rFonts w:ascii="Arial" w:hAnsi="Arial" w:cs="Arial"/>
          <w:sz w:val="24"/>
          <w:szCs w:val="24"/>
        </w:rPr>
      </w:pPr>
    </w:p>
    <w:p w14:paraId="76BC27CF" w14:textId="77777777" w:rsidR="00E62B3C" w:rsidRDefault="00E62B3C" w:rsidP="008F4D80">
      <w:pPr>
        <w:pStyle w:val="NoSpacing"/>
        <w:rPr>
          <w:rFonts w:ascii="Arial" w:hAnsi="Arial" w:cs="Arial"/>
          <w:sz w:val="24"/>
          <w:szCs w:val="24"/>
        </w:rPr>
      </w:pPr>
    </w:p>
    <w:p w14:paraId="771CF7D8" w14:textId="54443BD6" w:rsidR="008F4D80" w:rsidRPr="006101E8" w:rsidRDefault="00E62B3C" w:rsidP="006101E8">
      <w:pPr>
        <w:pStyle w:val="NoSpacing"/>
        <w:rPr>
          <w:rFonts w:ascii="Arial" w:hAnsi="Arial" w:cs="Arial"/>
          <w:sz w:val="24"/>
          <w:szCs w:val="24"/>
        </w:rPr>
      </w:pPr>
      <w:r>
        <w:rPr>
          <w:rFonts w:ascii="Arial" w:hAnsi="Arial" w:cs="Arial"/>
          <w:sz w:val="24"/>
          <w:szCs w:val="24"/>
        </w:rPr>
        <w:t xml:space="preserve"> </w:t>
      </w:r>
      <w:r w:rsidR="00874733">
        <w:rPr>
          <w:rFonts w:ascii="Arial" w:hAnsi="Arial" w:cs="Arial"/>
          <w:sz w:val="24"/>
          <w:szCs w:val="24"/>
        </w:rPr>
        <w:t xml:space="preserve">  </w:t>
      </w:r>
      <w:r w:rsidR="008F4D80">
        <w:rPr>
          <w:rFonts w:ascii="Arial" w:hAnsi="Arial" w:cs="Arial"/>
          <w:sz w:val="24"/>
          <w:szCs w:val="24"/>
        </w:rPr>
        <w:t xml:space="preserve">                </w:t>
      </w:r>
    </w:p>
    <w:sectPr w:rsidR="008F4D80" w:rsidRPr="006101E8" w:rsidSect="00A86CFC">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64B1" w14:textId="77777777" w:rsidR="001E26AD" w:rsidRDefault="001E26AD" w:rsidP="00121A7F">
      <w:pPr>
        <w:spacing w:after="0" w:line="240" w:lineRule="auto"/>
      </w:pPr>
      <w:r>
        <w:separator/>
      </w:r>
    </w:p>
  </w:endnote>
  <w:endnote w:type="continuationSeparator" w:id="0">
    <w:p w14:paraId="568E61AD" w14:textId="77777777" w:rsidR="001E26AD" w:rsidRDefault="001E26AD"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B513" w14:textId="77777777" w:rsidR="004E2CB7" w:rsidRDefault="004E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29C7BEA" w14:textId="77777777" w:rsidR="006279AB" w:rsidRDefault="006279AB" w:rsidP="004F62BB">
            <w:pPr>
              <w:pStyle w:val="Footer"/>
              <w:jc w:val="center"/>
            </w:pPr>
          </w:p>
          <w:p w14:paraId="084AA10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210DF17" w14:textId="77777777" w:rsidR="004F62BB" w:rsidRPr="006279AB" w:rsidRDefault="004F62BB" w:rsidP="004F62BB">
            <w:pPr>
              <w:pStyle w:val="Footer"/>
              <w:jc w:val="center"/>
              <w:rPr>
                <w:rFonts w:ascii="Arial" w:hAnsi="Arial" w:cs="Arial"/>
                <w:sz w:val="20"/>
                <w:szCs w:val="20"/>
              </w:rPr>
            </w:pPr>
          </w:p>
          <w:p w14:paraId="4C4B42C2" w14:textId="77777777"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2375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23752">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AB9D" w14:textId="77777777" w:rsidR="004E2CB7" w:rsidRDefault="004E2C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C807" w14:textId="77777777" w:rsidR="005B01C2" w:rsidRDefault="005B01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16815"/>
      <w:docPartObj>
        <w:docPartGallery w:val="Page Numbers (Bottom of Page)"/>
        <w:docPartUnique/>
      </w:docPartObj>
    </w:sdtPr>
    <w:sdtEndPr/>
    <w:sdtContent>
      <w:sdt>
        <w:sdtPr>
          <w:id w:val="-839781848"/>
          <w:docPartObj>
            <w:docPartGallery w:val="Page Numbers (Top of Page)"/>
            <w:docPartUnique/>
          </w:docPartObj>
        </w:sdtPr>
        <w:sdtEndPr/>
        <w:sdtContent>
          <w:p w14:paraId="0589DB1A" w14:textId="77777777" w:rsidR="005B01C2" w:rsidRDefault="005B01C2" w:rsidP="004F62BB">
            <w:pPr>
              <w:pStyle w:val="Footer"/>
              <w:jc w:val="center"/>
            </w:pPr>
          </w:p>
          <w:p w14:paraId="14A71E1C" w14:textId="77777777" w:rsidR="005B01C2" w:rsidRPr="004F62BB" w:rsidRDefault="005B01C2"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A3ACB58" w14:textId="77777777" w:rsidR="005B01C2" w:rsidRPr="006279AB" w:rsidRDefault="005B01C2" w:rsidP="004F62BB">
            <w:pPr>
              <w:pStyle w:val="Footer"/>
              <w:jc w:val="center"/>
              <w:rPr>
                <w:rFonts w:ascii="Arial" w:hAnsi="Arial" w:cs="Arial"/>
                <w:sz w:val="20"/>
                <w:szCs w:val="20"/>
              </w:rPr>
            </w:pPr>
          </w:p>
          <w:p w14:paraId="6C97F17E" w14:textId="77777777" w:rsidR="005B01C2" w:rsidRDefault="005B01C2">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3F3" w14:textId="77777777" w:rsidR="005B01C2" w:rsidRDefault="005B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E249" w14:textId="77777777" w:rsidR="001E26AD" w:rsidRDefault="001E26AD" w:rsidP="00121A7F">
      <w:pPr>
        <w:spacing w:after="0" w:line="240" w:lineRule="auto"/>
      </w:pPr>
      <w:r>
        <w:separator/>
      </w:r>
    </w:p>
  </w:footnote>
  <w:footnote w:type="continuationSeparator" w:id="0">
    <w:p w14:paraId="4BBE005A" w14:textId="77777777" w:rsidR="001E26AD" w:rsidRDefault="001E26AD"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AFA" w14:textId="77777777" w:rsidR="004E2CB7" w:rsidRDefault="004E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A57" w14:textId="37C9C313" w:rsidR="004F62BB" w:rsidRDefault="00D6469E" w:rsidP="004F62BB">
    <w:pPr>
      <w:pStyle w:val="Header"/>
      <w:jc w:val="center"/>
      <w:rPr>
        <w:rFonts w:ascii="Arial" w:hAnsi="Arial" w:cs="Arial"/>
        <w:sz w:val="20"/>
      </w:rPr>
    </w:pPr>
    <w:r>
      <w:rPr>
        <w:rFonts w:ascii="Arial" w:hAnsi="Arial" w:cs="Arial"/>
        <w:sz w:val="20"/>
      </w:rPr>
      <w:t>OFFICIAL</w:t>
    </w:r>
  </w:p>
  <w:p w14:paraId="19195932" w14:textId="77777777" w:rsidR="00234BCF" w:rsidRPr="006279AB" w:rsidRDefault="00234BCF" w:rsidP="004F62BB">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D9A9" w14:textId="77777777" w:rsidR="004E2CB7" w:rsidRDefault="004E2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C38" w14:textId="77777777" w:rsidR="005B01C2" w:rsidRDefault="005B01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7894" w14:textId="77777777" w:rsidR="005B01C2" w:rsidRDefault="005B01C2" w:rsidP="004F62BB">
    <w:pPr>
      <w:pStyle w:val="Header"/>
      <w:jc w:val="center"/>
      <w:rPr>
        <w:rFonts w:ascii="Arial" w:hAnsi="Arial" w:cs="Arial"/>
        <w:sz w:val="20"/>
      </w:rPr>
    </w:pPr>
    <w:r>
      <w:rPr>
        <w:rFonts w:ascii="Arial" w:hAnsi="Arial" w:cs="Arial"/>
        <w:sz w:val="20"/>
      </w:rPr>
      <w:t>OFFICIAL</w:t>
    </w:r>
  </w:p>
  <w:p w14:paraId="3EF97F16" w14:textId="77777777" w:rsidR="005B01C2" w:rsidRPr="006279AB" w:rsidRDefault="005B01C2" w:rsidP="004F62BB">
    <w:pPr>
      <w:pStyle w:val="Header"/>
      <w:jc w:val="cent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A51B" w14:textId="77777777" w:rsidR="005B01C2" w:rsidRDefault="005B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AC4"/>
    <w:multiLevelType w:val="hybridMultilevel"/>
    <w:tmpl w:val="3C3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E7F"/>
    <w:multiLevelType w:val="hybridMultilevel"/>
    <w:tmpl w:val="B47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612F7"/>
    <w:multiLevelType w:val="hybridMultilevel"/>
    <w:tmpl w:val="2E1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32DF"/>
    <w:multiLevelType w:val="hybridMultilevel"/>
    <w:tmpl w:val="C17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B23BC"/>
    <w:multiLevelType w:val="hybridMultilevel"/>
    <w:tmpl w:val="3ACE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CBA49CC"/>
    <w:multiLevelType w:val="hybridMultilevel"/>
    <w:tmpl w:val="D9FA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06A93"/>
    <w:multiLevelType w:val="hybridMultilevel"/>
    <w:tmpl w:val="461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379FB"/>
    <w:multiLevelType w:val="hybridMultilevel"/>
    <w:tmpl w:val="B118832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2"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518AC"/>
    <w:multiLevelType w:val="hybridMultilevel"/>
    <w:tmpl w:val="3F78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8B4788"/>
    <w:multiLevelType w:val="hybridMultilevel"/>
    <w:tmpl w:val="3AF8CF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600E95"/>
    <w:multiLevelType w:val="hybridMultilevel"/>
    <w:tmpl w:val="7B0C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140BDF"/>
    <w:multiLevelType w:val="hybridMultilevel"/>
    <w:tmpl w:val="51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F58BF"/>
    <w:multiLevelType w:val="hybridMultilevel"/>
    <w:tmpl w:val="B4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55130"/>
    <w:multiLevelType w:val="hybridMultilevel"/>
    <w:tmpl w:val="EF8EA4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751BC1"/>
    <w:multiLevelType w:val="hybridMultilevel"/>
    <w:tmpl w:val="DBD033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C767E74"/>
    <w:multiLevelType w:val="hybridMultilevel"/>
    <w:tmpl w:val="DFDCA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BE0F7E"/>
    <w:multiLevelType w:val="hybridMultilevel"/>
    <w:tmpl w:val="F49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8864861">
    <w:abstractNumId w:val="13"/>
  </w:num>
  <w:num w:numId="2" w16cid:durableId="1433086728">
    <w:abstractNumId w:val="7"/>
  </w:num>
  <w:num w:numId="3" w16cid:durableId="1593779299">
    <w:abstractNumId w:val="9"/>
  </w:num>
  <w:num w:numId="4" w16cid:durableId="1990474236">
    <w:abstractNumId w:val="18"/>
  </w:num>
  <w:num w:numId="5" w16cid:durableId="460614611">
    <w:abstractNumId w:val="5"/>
  </w:num>
  <w:num w:numId="6" w16cid:durableId="554436175">
    <w:abstractNumId w:val="19"/>
  </w:num>
  <w:num w:numId="7" w16cid:durableId="167061734">
    <w:abstractNumId w:val="8"/>
  </w:num>
  <w:num w:numId="8" w16cid:durableId="201600484">
    <w:abstractNumId w:val="12"/>
  </w:num>
  <w:num w:numId="9" w16cid:durableId="369232478">
    <w:abstractNumId w:val="21"/>
  </w:num>
  <w:num w:numId="10" w16cid:durableId="453987167">
    <w:abstractNumId w:val="20"/>
  </w:num>
  <w:num w:numId="11" w16cid:durableId="776415018">
    <w:abstractNumId w:val="2"/>
  </w:num>
  <w:num w:numId="12" w16cid:durableId="2004510749">
    <w:abstractNumId w:val="17"/>
  </w:num>
  <w:num w:numId="13" w16cid:durableId="1409769492">
    <w:abstractNumId w:val="16"/>
  </w:num>
  <w:num w:numId="14" w16cid:durableId="2140879041">
    <w:abstractNumId w:val="3"/>
  </w:num>
  <w:num w:numId="15" w16cid:durableId="1130055693">
    <w:abstractNumId w:val="10"/>
  </w:num>
  <w:num w:numId="16" w16cid:durableId="45953725">
    <w:abstractNumId w:val="1"/>
  </w:num>
  <w:num w:numId="17" w16cid:durableId="815142979">
    <w:abstractNumId w:val="15"/>
  </w:num>
  <w:num w:numId="18" w16cid:durableId="1925143002">
    <w:abstractNumId w:val="6"/>
  </w:num>
  <w:num w:numId="19" w16cid:durableId="303045519">
    <w:abstractNumId w:val="4"/>
  </w:num>
  <w:num w:numId="20" w16cid:durableId="1298300542">
    <w:abstractNumId w:val="24"/>
  </w:num>
  <w:num w:numId="21" w16cid:durableId="1087920748">
    <w:abstractNumId w:val="23"/>
  </w:num>
  <w:num w:numId="22" w16cid:durableId="1450781540">
    <w:abstractNumId w:val="14"/>
  </w:num>
  <w:num w:numId="23" w16cid:durableId="1032414107">
    <w:abstractNumId w:val="22"/>
  </w:num>
  <w:num w:numId="24" w16cid:durableId="769662739">
    <w:abstractNumId w:val="11"/>
  </w:num>
  <w:num w:numId="25" w16cid:durableId="161490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F"/>
    <w:rsid w:val="000034F6"/>
    <w:rsid w:val="00003BAC"/>
    <w:rsid w:val="000059B9"/>
    <w:rsid w:val="00006206"/>
    <w:rsid w:val="00006E4E"/>
    <w:rsid w:val="000106BD"/>
    <w:rsid w:val="00010B9A"/>
    <w:rsid w:val="00011E9E"/>
    <w:rsid w:val="000146D1"/>
    <w:rsid w:val="00015CFD"/>
    <w:rsid w:val="00015D6A"/>
    <w:rsid w:val="000162C1"/>
    <w:rsid w:val="000178B1"/>
    <w:rsid w:val="000178EF"/>
    <w:rsid w:val="00017B58"/>
    <w:rsid w:val="00017D7D"/>
    <w:rsid w:val="00021977"/>
    <w:rsid w:val="000224B5"/>
    <w:rsid w:val="00022B00"/>
    <w:rsid w:val="00027D5B"/>
    <w:rsid w:val="00031A4F"/>
    <w:rsid w:val="00032613"/>
    <w:rsid w:val="00036AE7"/>
    <w:rsid w:val="000379E3"/>
    <w:rsid w:val="000411DC"/>
    <w:rsid w:val="000430B2"/>
    <w:rsid w:val="00043320"/>
    <w:rsid w:val="000444F5"/>
    <w:rsid w:val="000445B5"/>
    <w:rsid w:val="00046AE0"/>
    <w:rsid w:val="00046E42"/>
    <w:rsid w:val="00050F35"/>
    <w:rsid w:val="00052B35"/>
    <w:rsid w:val="000549B7"/>
    <w:rsid w:val="0005502F"/>
    <w:rsid w:val="000562D3"/>
    <w:rsid w:val="000602AF"/>
    <w:rsid w:val="0006092F"/>
    <w:rsid w:val="000624E5"/>
    <w:rsid w:val="00066A76"/>
    <w:rsid w:val="00071500"/>
    <w:rsid w:val="000720D5"/>
    <w:rsid w:val="0007613A"/>
    <w:rsid w:val="00076B74"/>
    <w:rsid w:val="00077165"/>
    <w:rsid w:val="0008178B"/>
    <w:rsid w:val="000824F6"/>
    <w:rsid w:val="0008341B"/>
    <w:rsid w:val="000841A2"/>
    <w:rsid w:val="000848F9"/>
    <w:rsid w:val="00084AE0"/>
    <w:rsid w:val="000869BF"/>
    <w:rsid w:val="000911C1"/>
    <w:rsid w:val="00094E10"/>
    <w:rsid w:val="000951C0"/>
    <w:rsid w:val="000A034C"/>
    <w:rsid w:val="000A1314"/>
    <w:rsid w:val="000A18EE"/>
    <w:rsid w:val="000A41C3"/>
    <w:rsid w:val="000A539B"/>
    <w:rsid w:val="000A6392"/>
    <w:rsid w:val="000A70AD"/>
    <w:rsid w:val="000A76DF"/>
    <w:rsid w:val="000B2A1D"/>
    <w:rsid w:val="000B380D"/>
    <w:rsid w:val="000B73D5"/>
    <w:rsid w:val="000C304F"/>
    <w:rsid w:val="000C319C"/>
    <w:rsid w:val="000C463E"/>
    <w:rsid w:val="000C799B"/>
    <w:rsid w:val="000C7B79"/>
    <w:rsid w:val="000D01A0"/>
    <w:rsid w:val="000D0D36"/>
    <w:rsid w:val="000D1251"/>
    <w:rsid w:val="000D1BA9"/>
    <w:rsid w:val="000D2895"/>
    <w:rsid w:val="000D3A32"/>
    <w:rsid w:val="000D582A"/>
    <w:rsid w:val="000D7AC4"/>
    <w:rsid w:val="000E060F"/>
    <w:rsid w:val="000E1488"/>
    <w:rsid w:val="000E269F"/>
    <w:rsid w:val="000E2D65"/>
    <w:rsid w:val="000F23CE"/>
    <w:rsid w:val="000F69DF"/>
    <w:rsid w:val="00100A17"/>
    <w:rsid w:val="001034F3"/>
    <w:rsid w:val="00104DC7"/>
    <w:rsid w:val="00106C1F"/>
    <w:rsid w:val="001131D1"/>
    <w:rsid w:val="0011393A"/>
    <w:rsid w:val="0011554C"/>
    <w:rsid w:val="00117C78"/>
    <w:rsid w:val="00120163"/>
    <w:rsid w:val="00120601"/>
    <w:rsid w:val="0012061B"/>
    <w:rsid w:val="00121849"/>
    <w:rsid w:val="00121A7F"/>
    <w:rsid w:val="00123EE5"/>
    <w:rsid w:val="00124D09"/>
    <w:rsid w:val="00125B12"/>
    <w:rsid w:val="00127443"/>
    <w:rsid w:val="00132035"/>
    <w:rsid w:val="00132866"/>
    <w:rsid w:val="00134E4B"/>
    <w:rsid w:val="00135DC2"/>
    <w:rsid w:val="00136210"/>
    <w:rsid w:val="00141658"/>
    <w:rsid w:val="00141D96"/>
    <w:rsid w:val="0014217B"/>
    <w:rsid w:val="0014406F"/>
    <w:rsid w:val="001440E6"/>
    <w:rsid w:val="00145404"/>
    <w:rsid w:val="00145603"/>
    <w:rsid w:val="00147285"/>
    <w:rsid w:val="00150B85"/>
    <w:rsid w:val="00153DF0"/>
    <w:rsid w:val="001544F9"/>
    <w:rsid w:val="001553B7"/>
    <w:rsid w:val="00155807"/>
    <w:rsid w:val="00161C48"/>
    <w:rsid w:val="0016245A"/>
    <w:rsid w:val="00164497"/>
    <w:rsid w:val="00165E2A"/>
    <w:rsid w:val="001713E9"/>
    <w:rsid w:val="00171A2D"/>
    <w:rsid w:val="001749F7"/>
    <w:rsid w:val="00176135"/>
    <w:rsid w:val="00176B82"/>
    <w:rsid w:val="001775A7"/>
    <w:rsid w:val="00177C3C"/>
    <w:rsid w:val="001802A7"/>
    <w:rsid w:val="00182976"/>
    <w:rsid w:val="00182A62"/>
    <w:rsid w:val="00183680"/>
    <w:rsid w:val="00190A83"/>
    <w:rsid w:val="00195FC8"/>
    <w:rsid w:val="00196EDF"/>
    <w:rsid w:val="0019723A"/>
    <w:rsid w:val="001A33A1"/>
    <w:rsid w:val="001A508A"/>
    <w:rsid w:val="001A6755"/>
    <w:rsid w:val="001B153C"/>
    <w:rsid w:val="001B5840"/>
    <w:rsid w:val="001B5B35"/>
    <w:rsid w:val="001B5D62"/>
    <w:rsid w:val="001C02D8"/>
    <w:rsid w:val="001C1104"/>
    <w:rsid w:val="001C1835"/>
    <w:rsid w:val="001C7E8F"/>
    <w:rsid w:val="001D2E36"/>
    <w:rsid w:val="001D5222"/>
    <w:rsid w:val="001D7C1E"/>
    <w:rsid w:val="001E0BD6"/>
    <w:rsid w:val="001E26AD"/>
    <w:rsid w:val="001E2DAF"/>
    <w:rsid w:val="001E408A"/>
    <w:rsid w:val="001E46F9"/>
    <w:rsid w:val="001E4CAA"/>
    <w:rsid w:val="001F0D17"/>
    <w:rsid w:val="001F18FF"/>
    <w:rsid w:val="001F2791"/>
    <w:rsid w:val="001F3EB9"/>
    <w:rsid w:val="001F49C3"/>
    <w:rsid w:val="00200382"/>
    <w:rsid w:val="00202BC8"/>
    <w:rsid w:val="00203B18"/>
    <w:rsid w:val="002076DD"/>
    <w:rsid w:val="002116E8"/>
    <w:rsid w:val="0021518F"/>
    <w:rsid w:val="0021523A"/>
    <w:rsid w:val="00221D31"/>
    <w:rsid w:val="00225293"/>
    <w:rsid w:val="002258B1"/>
    <w:rsid w:val="00225DC5"/>
    <w:rsid w:val="00230B64"/>
    <w:rsid w:val="00232FB1"/>
    <w:rsid w:val="00234475"/>
    <w:rsid w:val="00234BCF"/>
    <w:rsid w:val="00235626"/>
    <w:rsid w:val="00236A30"/>
    <w:rsid w:val="00242606"/>
    <w:rsid w:val="00242811"/>
    <w:rsid w:val="00244FAC"/>
    <w:rsid w:val="002450D6"/>
    <w:rsid w:val="00246775"/>
    <w:rsid w:val="00247F75"/>
    <w:rsid w:val="0025086B"/>
    <w:rsid w:val="002510CE"/>
    <w:rsid w:val="0025176F"/>
    <w:rsid w:val="002526A3"/>
    <w:rsid w:val="002552EC"/>
    <w:rsid w:val="00264F93"/>
    <w:rsid w:val="00272AF5"/>
    <w:rsid w:val="00274E9B"/>
    <w:rsid w:val="00277D2E"/>
    <w:rsid w:val="0028314C"/>
    <w:rsid w:val="00284967"/>
    <w:rsid w:val="00286BD0"/>
    <w:rsid w:val="00287C2B"/>
    <w:rsid w:val="00291928"/>
    <w:rsid w:val="00293DCD"/>
    <w:rsid w:val="00294410"/>
    <w:rsid w:val="002946B9"/>
    <w:rsid w:val="00295ABA"/>
    <w:rsid w:val="00295DAE"/>
    <w:rsid w:val="00295FF8"/>
    <w:rsid w:val="00296230"/>
    <w:rsid w:val="002A2A82"/>
    <w:rsid w:val="002A35A3"/>
    <w:rsid w:val="002A5B9E"/>
    <w:rsid w:val="002A6CFA"/>
    <w:rsid w:val="002A79EA"/>
    <w:rsid w:val="002B0096"/>
    <w:rsid w:val="002B00D2"/>
    <w:rsid w:val="002B1824"/>
    <w:rsid w:val="002B1C17"/>
    <w:rsid w:val="002B3C09"/>
    <w:rsid w:val="002B4B6A"/>
    <w:rsid w:val="002B599D"/>
    <w:rsid w:val="002C0171"/>
    <w:rsid w:val="002C059B"/>
    <w:rsid w:val="002C2A18"/>
    <w:rsid w:val="002C2C80"/>
    <w:rsid w:val="002C37C8"/>
    <w:rsid w:val="002C38A3"/>
    <w:rsid w:val="002C3C2A"/>
    <w:rsid w:val="002C4C03"/>
    <w:rsid w:val="002D09D0"/>
    <w:rsid w:val="002D1B41"/>
    <w:rsid w:val="002D3802"/>
    <w:rsid w:val="002D4835"/>
    <w:rsid w:val="002D4A14"/>
    <w:rsid w:val="002D54D9"/>
    <w:rsid w:val="002D5C6A"/>
    <w:rsid w:val="002E0970"/>
    <w:rsid w:val="002E2519"/>
    <w:rsid w:val="002E3BF2"/>
    <w:rsid w:val="002E46DF"/>
    <w:rsid w:val="002E5944"/>
    <w:rsid w:val="002E6A92"/>
    <w:rsid w:val="002E6AFD"/>
    <w:rsid w:val="002F1C6C"/>
    <w:rsid w:val="002F30E5"/>
    <w:rsid w:val="002F34C8"/>
    <w:rsid w:val="002F3EFB"/>
    <w:rsid w:val="002F58FF"/>
    <w:rsid w:val="002F5DCE"/>
    <w:rsid w:val="002F7306"/>
    <w:rsid w:val="00300C00"/>
    <w:rsid w:val="0030104D"/>
    <w:rsid w:val="00301113"/>
    <w:rsid w:val="00301CD9"/>
    <w:rsid w:val="0030288C"/>
    <w:rsid w:val="00302B84"/>
    <w:rsid w:val="00302EE9"/>
    <w:rsid w:val="00305CC7"/>
    <w:rsid w:val="00307DDE"/>
    <w:rsid w:val="003103F9"/>
    <w:rsid w:val="003105E2"/>
    <w:rsid w:val="00310BD7"/>
    <w:rsid w:val="00311BCA"/>
    <w:rsid w:val="00313C94"/>
    <w:rsid w:val="00314BB9"/>
    <w:rsid w:val="00316846"/>
    <w:rsid w:val="003245E7"/>
    <w:rsid w:val="003257A4"/>
    <w:rsid w:val="0032693B"/>
    <w:rsid w:val="003302FF"/>
    <w:rsid w:val="003401FC"/>
    <w:rsid w:val="00340F32"/>
    <w:rsid w:val="00342309"/>
    <w:rsid w:val="0034329A"/>
    <w:rsid w:val="00343D8A"/>
    <w:rsid w:val="00344B0D"/>
    <w:rsid w:val="003452E6"/>
    <w:rsid w:val="00345C30"/>
    <w:rsid w:val="00345E39"/>
    <w:rsid w:val="003469E9"/>
    <w:rsid w:val="00346C29"/>
    <w:rsid w:val="00350784"/>
    <w:rsid w:val="0035299E"/>
    <w:rsid w:val="003547E6"/>
    <w:rsid w:val="00354DD9"/>
    <w:rsid w:val="00355163"/>
    <w:rsid w:val="00356A07"/>
    <w:rsid w:val="0036085F"/>
    <w:rsid w:val="003643B4"/>
    <w:rsid w:val="00366736"/>
    <w:rsid w:val="003701EC"/>
    <w:rsid w:val="0037062B"/>
    <w:rsid w:val="003726FB"/>
    <w:rsid w:val="00373761"/>
    <w:rsid w:val="00373F18"/>
    <w:rsid w:val="00376135"/>
    <w:rsid w:val="00376772"/>
    <w:rsid w:val="0037799A"/>
    <w:rsid w:val="0038107A"/>
    <w:rsid w:val="00381094"/>
    <w:rsid w:val="0038207D"/>
    <w:rsid w:val="00382DA2"/>
    <w:rsid w:val="003832F7"/>
    <w:rsid w:val="00384B0F"/>
    <w:rsid w:val="003866A6"/>
    <w:rsid w:val="003877AF"/>
    <w:rsid w:val="003902EB"/>
    <w:rsid w:val="00390EA6"/>
    <w:rsid w:val="00391868"/>
    <w:rsid w:val="00393550"/>
    <w:rsid w:val="00393B35"/>
    <w:rsid w:val="00393E42"/>
    <w:rsid w:val="003A0F89"/>
    <w:rsid w:val="003A348C"/>
    <w:rsid w:val="003A478D"/>
    <w:rsid w:val="003A4C93"/>
    <w:rsid w:val="003A6F4C"/>
    <w:rsid w:val="003B06B5"/>
    <w:rsid w:val="003B0BAC"/>
    <w:rsid w:val="003B45F4"/>
    <w:rsid w:val="003B4B86"/>
    <w:rsid w:val="003B62A6"/>
    <w:rsid w:val="003B6909"/>
    <w:rsid w:val="003B76BE"/>
    <w:rsid w:val="003B77AF"/>
    <w:rsid w:val="003C0830"/>
    <w:rsid w:val="003C1A38"/>
    <w:rsid w:val="003C38BF"/>
    <w:rsid w:val="003C4220"/>
    <w:rsid w:val="003C4DED"/>
    <w:rsid w:val="003C5F8B"/>
    <w:rsid w:val="003C636C"/>
    <w:rsid w:val="003D0955"/>
    <w:rsid w:val="003D17FA"/>
    <w:rsid w:val="003D2197"/>
    <w:rsid w:val="003D3048"/>
    <w:rsid w:val="003D31C0"/>
    <w:rsid w:val="003D37A6"/>
    <w:rsid w:val="003D4D47"/>
    <w:rsid w:val="003E1000"/>
    <w:rsid w:val="003E1CAF"/>
    <w:rsid w:val="003E285C"/>
    <w:rsid w:val="003E35A0"/>
    <w:rsid w:val="003E398F"/>
    <w:rsid w:val="003E3D87"/>
    <w:rsid w:val="003E6C47"/>
    <w:rsid w:val="003E79A7"/>
    <w:rsid w:val="003F0EF5"/>
    <w:rsid w:val="003F3364"/>
    <w:rsid w:val="003F4507"/>
    <w:rsid w:val="003F5ED1"/>
    <w:rsid w:val="003F66C6"/>
    <w:rsid w:val="003F78C1"/>
    <w:rsid w:val="003F7C19"/>
    <w:rsid w:val="003F7C58"/>
    <w:rsid w:val="004001B9"/>
    <w:rsid w:val="00401BAD"/>
    <w:rsid w:val="00401D5E"/>
    <w:rsid w:val="0040231F"/>
    <w:rsid w:val="004055A7"/>
    <w:rsid w:val="0041002E"/>
    <w:rsid w:val="00411145"/>
    <w:rsid w:val="0041207A"/>
    <w:rsid w:val="0041208E"/>
    <w:rsid w:val="00412130"/>
    <w:rsid w:val="0041213D"/>
    <w:rsid w:val="00412377"/>
    <w:rsid w:val="00412932"/>
    <w:rsid w:val="00414614"/>
    <w:rsid w:val="00414B0E"/>
    <w:rsid w:val="00417669"/>
    <w:rsid w:val="004177ED"/>
    <w:rsid w:val="00421A04"/>
    <w:rsid w:val="00424D7E"/>
    <w:rsid w:val="00430198"/>
    <w:rsid w:val="004316DC"/>
    <w:rsid w:val="00432278"/>
    <w:rsid w:val="00437729"/>
    <w:rsid w:val="00437A51"/>
    <w:rsid w:val="0044049C"/>
    <w:rsid w:val="0044165C"/>
    <w:rsid w:val="00442F0A"/>
    <w:rsid w:val="00444531"/>
    <w:rsid w:val="00447825"/>
    <w:rsid w:val="00450532"/>
    <w:rsid w:val="004513F5"/>
    <w:rsid w:val="00452C4D"/>
    <w:rsid w:val="00462375"/>
    <w:rsid w:val="00470882"/>
    <w:rsid w:val="00471E6D"/>
    <w:rsid w:val="00472779"/>
    <w:rsid w:val="00472BAD"/>
    <w:rsid w:val="00474956"/>
    <w:rsid w:val="00474DBD"/>
    <w:rsid w:val="0047665D"/>
    <w:rsid w:val="004804D9"/>
    <w:rsid w:val="00481761"/>
    <w:rsid w:val="00483F51"/>
    <w:rsid w:val="004851E0"/>
    <w:rsid w:val="004871AE"/>
    <w:rsid w:val="0049161B"/>
    <w:rsid w:val="00491F89"/>
    <w:rsid w:val="00494991"/>
    <w:rsid w:val="00495FAA"/>
    <w:rsid w:val="004A0816"/>
    <w:rsid w:val="004A0D58"/>
    <w:rsid w:val="004A3259"/>
    <w:rsid w:val="004A55EC"/>
    <w:rsid w:val="004A58E8"/>
    <w:rsid w:val="004A65A9"/>
    <w:rsid w:val="004B3D52"/>
    <w:rsid w:val="004B3EA0"/>
    <w:rsid w:val="004B424A"/>
    <w:rsid w:val="004B5153"/>
    <w:rsid w:val="004B5DCC"/>
    <w:rsid w:val="004B6E30"/>
    <w:rsid w:val="004B7005"/>
    <w:rsid w:val="004C0232"/>
    <w:rsid w:val="004C342A"/>
    <w:rsid w:val="004C3F34"/>
    <w:rsid w:val="004C5EFE"/>
    <w:rsid w:val="004C6783"/>
    <w:rsid w:val="004C6CED"/>
    <w:rsid w:val="004C7119"/>
    <w:rsid w:val="004C7E31"/>
    <w:rsid w:val="004D1379"/>
    <w:rsid w:val="004D1DF5"/>
    <w:rsid w:val="004D3FCA"/>
    <w:rsid w:val="004D458C"/>
    <w:rsid w:val="004D5E31"/>
    <w:rsid w:val="004D6140"/>
    <w:rsid w:val="004D6DC5"/>
    <w:rsid w:val="004D72ED"/>
    <w:rsid w:val="004E1CB8"/>
    <w:rsid w:val="004E1E61"/>
    <w:rsid w:val="004E24FF"/>
    <w:rsid w:val="004E2CB7"/>
    <w:rsid w:val="004E3A96"/>
    <w:rsid w:val="004E5A25"/>
    <w:rsid w:val="004E7DBD"/>
    <w:rsid w:val="004F2C21"/>
    <w:rsid w:val="004F4AAA"/>
    <w:rsid w:val="004F62BB"/>
    <w:rsid w:val="004F6A36"/>
    <w:rsid w:val="00501079"/>
    <w:rsid w:val="00503068"/>
    <w:rsid w:val="00507ECF"/>
    <w:rsid w:val="005142DE"/>
    <w:rsid w:val="00515F9B"/>
    <w:rsid w:val="00517B5F"/>
    <w:rsid w:val="00517DD2"/>
    <w:rsid w:val="00517E12"/>
    <w:rsid w:val="00523007"/>
    <w:rsid w:val="0052315F"/>
    <w:rsid w:val="00523752"/>
    <w:rsid w:val="00525848"/>
    <w:rsid w:val="005260A2"/>
    <w:rsid w:val="005301B0"/>
    <w:rsid w:val="005305D7"/>
    <w:rsid w:val="00530722"/>
    <w:rsid w:val="00530B0D"/>
    <w:rsid w:val="00532666"/>
    <w:rsid w:val="00534059"/>
    <w:rsid w:val="005341C9"/>
    <w:rsid w:val="00536DDC"/>
    <w:rsid w:val="00540476"/>
    <w:rsid w:val="005422C5"/>
    <w:rsid w:val="00542562"/>
    <w:rsid w:val="005441FE"/>
    <w:rsid w:val="00546E95"/>
    <w:rsid w:val="00546F65"/>
    <w:rsid w:val="00547A77"/>
    <w:rsid w:val="00547EDF"/>
    <w:rsid w:val="005513F6"/>
    <w:rsid w:val="00551435"/>
    <w:rsid w:val="0055164D"/>
    <w:rsid w:val="00551C16"/>
    <w:rsid w:val="005537A8"/>
    <w:rsid w:val="00553932"/>
    <w:rsid w:val="00557F4D"/>
    <w:rsid w:val="0056056D"/>
    <w:rsid w:val="0056077C"/>
    <w:rsid w:val="00563EF2"/>
    <w:rsid w:val="00565973"/>
    <w:rsid w:val="005670D6"/>
    <w:rsid w:val="0057220B"/>
    <w:rsid w:val="005733E4"/>
    <w:rsid w:val="00573601"/>
    <w:rsid w:val="00573FD9"/>
    <w:rsid w:val="0057709B"/>
    <w:rsid w:val="00580902"/>
    <w:rsid w:val="00580C55"/>
    <w:rsid w:val="00583860"/>
    <w:rsid w:val="0058471C"/>
    <w:rsid w:val="005849E9"/>
    <w:rsid w:val="00585349"/>
    <w:rsid w:val="00585551"/>
    <w:rsid w:val="00587082"/>
    <w:rsid w:val="00587648"/>
    <w:rsid w:val="00590487"/>
    <w:rsid w:val="00590539"/>
    <w:rsid w:val="00591CB1"/>
    <w:rsid w:val="00591EB9"/>
    <w:rsid w:val="005942BC"/>
    <w:rsid w:val="00597FDF"/>
    <w:rsid w:val="005A233E"/>
    <w:rsid w:val="005A3508"/>
    <w:rsid w:val="005A37A4"/>
    <w:rsid w:val="005A386C"/>
    <w:rsid w:val="005A57AB"/>
    <w:rsid w:val="005A63B0"/>
    <w:rsid w:val="005A6D72"/>
    <w:rsid w:val="005A7360"/>
    <w:rsid w:val="005A7D41"/>
    <w:rsid w:val="005A7E9C"/>
    <w:rsid w:val="005B01C2"/>
    <w:rsid w:val="005B1F48"/>
    <w:rsid w:val="005B2E77"/>
    <w:rsid w:val="005B3866"/>
    <w:rsid w:val="005B5D10"/>
    <w:rsid w:val="005C3096"/>
    <w:rsid w:val="005C37C9"/>
    <w:rsid w:val="005C7D87"/>
    <w:rsid w:val="005D123F"/>
    <w:rsid w:val="005D4547"/>
    <w:rsid w:val="005D597D"/>
    <w:rsid w:val="005D6348"/>
    <w:rsid w:val="005D662E"/>
    <w:rsid w:val="005E2AC7"/>
    <w:rsid w:val="005E3EAE"/>
    <w:rsid w:val="005E5276"/>
    <w:rsid w:val="005E5CCF"/>
    <w:rsid w:val="005E734E"/>
    <w:rsid w:val="005F37F5"/>
    <w:rsid w:val="005F431F"/>
    <w:rsid w:val="005F4ED6"/>
    <w:rsid w:val="005F590D"/>
    <w:rsid w:val="005F5A30"/>
    <w:rsid w:val="005F5A88"/>
    <w:rsid w:val="005F6903"/>
    <w:rsid w:val="005F7236"/>
    <w:rsid w:val="00601736"/>
    <w:rsid w:val="0060462A"/>
    <w:rsid w:val="0060462E"/>
    <w:rsid w:val="00606EC6"/>
    <w:rsid w:val="0060756C"/>
    <w:rsid w:val="006101E8"/>
    <w:rsid w:val="00611182"/>
    <w:rsid w:val="006162C9"/>
    <w:rsid w:val="006225BB"/>
    <w:rsid w:val="0062476B"/>
    <w:rsid w:val="0062737E"/>
    <w:rsid w:val="006279AB"/>
    <w:rsid w:val="0063208F"/>
    <w:rsid w:val="00632321"/>
    <w:rsid w:val="00632D0B"/>
    <w:rsid w:val="00632DDB"/>
    <w:rsid w:val="00632F2C"/>
    <w:rsid w:val="00635E6A"/>
    <w:rsid w:val="00637A6C"/>
    <w:rsid w:val="006422B0"/>
    <w:rsid w:val="0064500D"/>
    <w:rsid w:val="006470E1"/>
    <w:rsid w:val="00647587"/>
    <w:rsid w:val="0065040D"/>
    <w:rsid w:val="00651AE1"/>
    <w:rsid w:val="00652B9C"/>
    <w:rsid w:val="006535E6"/>
    <w:rsid w:val="00653AD8"/>
    <w:rsid w:val="00656F5B"/>
    <w:rsid w:val="00657391"/>
    <w:rsid w:val="00657681"/>
    <w:rsid w:val="00661AA0"/>
    <w:rsid w:val="006629ED"/>
    <w:rsid w:val="00663C2D"/>
    <w:rsid w:val="00664337"/>
    <w:rsid w:val="00664A9E"/>
    <w:rsid w:val="00664F92"/>
    <w:rsid w:val="006653D4"/>
    <w:rsid w:val="0066545A"/>
    <w:rsid w:val="00665862"/>
    <w:rsid w:val="006659A7"/>
    <w:rsid w:val="00666770"/>
    <w:rsid w:val="00670584"/>
    <w:rsid w:val="00671B5A"/>
    <w:rsid w:val="00674D8F"/>
    <w:rsid w:val="00674EEF"/>
    <w:rsid w:val="006759E8"/>
    <w:rsid w:val="006764F6"/>
    <w:rsid w:val="0068265E"/>
    <w:rsid w:val="00682835"/>
    <w:rsid w:val="0068542D"/>
    <w:rsid w:val="006864AD"/>
    <w:rsid w:val="00687F21"/>
    <w:rsid w:val="006925EB"/>
    <w:rsid w:val="00692BDA"/>
    <w:rsid w:val="006946BB"/>
    <w:rsid w:val="00694D6C"/>
    <w:rsid w:val="00697641"/>
    <w:rsid w:val="006A110A"/>
    <w:rsid w:val="006A22E1"/>
    <w:rsid w:val="006A2C2F"/>
    <w:rsid w:val="006A2C8F"/>
    <w:rsid w:val="006A41EB"/>
    <w:rsid w:val="006A5424"/>
    <w:rsid w:val="006A61FD"/>
    <w:rsid w:val="006A71FF"/>
    <w:rsid w:val="006B2DB3"/>
    <w:rsid w:val="006B2E74"/>
    <w:rsid w:val="006B3EEC"/>
    <w:rsid w:val="006B4CD6"/>
    <w:rsid w:val="006B5436"/>
    <w:rsid w:val="006B6680"/>
    <w:rsid w:val="006B68DD"/>
    <w:rsid w:val="006B75E2"/>
    <w:rsid w:val="006B7602"/>
    <w:rsid w:val="006C10A0"/>
    <w:rsid w:val="006C1313"/>
    <w:rsid w:val="006C2B74"/>
    <w:rsid w:val="006C7F2F"/>
    <w:rsid w:val="006D3B9E"/>
    <w:rsid w:val="006D50CD"/>
    <w:rsid w:val="006D6909"/>
    <w:rsid w:val="006E1A5E"/>
    <w:rsid w:val="006E4256"/>
    <w:rsid w:val="006E5F11"/>
    <w:rsid w:val="006E7AEA"/>
    <w:rsid w:val="006F0611"/>
    <w:rsid w:val="006F271A"/>
    <w:rsid w:val="006F2C42"/>
    <w:rsid w:val="006F2CA0"/>
    <w:rsid w:val="006F438C"/>
    <w:rsid w:val="006F555C"/>
    <w:rsid w:val="006F583D"/>
    <w:rsid w:val="006F7743"/>
    <w:rsid w:val="00707541"/>
    <w:rsid w:val="00707ABC"/>
    <w:rsid w:val="00711FE5"/>
    <w:rsid w:val="007126BA"/>
    <w:rsid w:val="0071359D"/>
    <w:rsid w:val="00713826"/>
    <w:rsid w:val="007163A7"/>
    <w:rsid w:val="0071665F"/>
    <w:rsid w:val="007166C8"/>
    <w:rsid w:val="00717B8C"/>
    <w:rsid w:val="00720AC3"/>
    <w:rsid w:val="007222D9"/>
    <w:rsid w:val="00725A1D"/>
    <w:rsid w:val="00727EF8"/>
    <w:rsid w:val="00730A52"/>
    <w:rsid w:val="00730CF9"/>
    <w:rsid w:val="007312DC"/>
    <w:rsid w:val="0073313A"/>
    <w:rsid w:val="0073362E"/>
    <w:rsid w:val="007360C3"/>
    <w:rsid w:val="00737DC9"/>
    <w:rsid w:val="007403BA"/>
    <w:rsid w:val="00740A00"/>
    <w:rsid w:val="00740F5A"/>
    <w:rsid w:val="007427EA"/>
    <w:rsid w:val="00746BCB"/>
    <w:rsid w:val="007504F5"/>
    <w:rsid w:val="00751A93"/>
    <w:rsid w:val="00754213"/>
    <w:rsid w:val="00756EC9"/>
    <w:rsid w:val="00757208"/>
    <w:rsid w:val="00757F66"/>
    <w:rsid w:val="00760C89"/>
    <w:rsid w:val="0076135A"/>
    <w:rsid w:val="00761487"/>
    <w:rsid w:val="0076152B"/>
    <w:rsid w:val="00761BD5"/>
    <w:rsid w:val="00762B16"/>
    <w:rsid w:val="007633F9"/>
    <w:rsid w:val="00763825"/>
    <w:rsid w:val="00764601"/>
    <w:rsid w:val="00766226"/>
    <w:rsid w:val="007679A9"/>
    <w:rsid w:val="007679EB"/>
    <w:rsid w:val="00773654"/>
    <w:rsid w:val="00774F8B"/>
    <w:rsid w:val="00775877"/>
    <w:rsid w:val="00775FD4"/>
    <w:rsid w:val="0077679E"/>
    <w:rsid w:val="00780DB9"/>
    <w:rsid w:val="007811E8"/>
    <w:rsid w:val="007835FF"/>
    <w:rsid w:val="00783679"/>
    <w:rsid w:val="007843F4"/>
    <w:rsid w:val="00785B04"/>
    <w:rsid w:val="007866D0"/>
    <w:rsid w:val="00787038"/>
    <w:rsid w:val="00787FBD"/>
    <w:rsid w:val="0079138D"/>
    <w:rsid w:val="00792ACD"/>
    <w:rsid w:val="0079459A"/>
    <w:rsid w:val="00795EB3"/>
    <w:rsid w:val="007960ED"/>
    <w:rsid w:val="00796E42"/>
    <w:rsid w:val="00796FE9"/>
    <w:rsid w:val="007976ED"/>
    <w:rsid w:val="007A0650"/>
    <w:rsid w:val="007A0AB4"/>
    <w:rsid w:val="007A195D"/>
    <w:rsid w:val="007A1E30"/>
    <w:rsid w:val="007A29CD"/>
    <w:rsid w:val="007A455B"/>
    <w:rsid w:val="007A4CFA"/>
    <w:rsid w:val="007A5009"/>
    <w:rsid w:val="007A5B57"/>
    <w:rsid w:val="007A69BC"/>
    <w:rsid w:val="007A6F24"/>
    <w:rsid w:val="007A7C60"/>
    <w:rsid w:val="007B11F6"/>
    <w:rsid w:val="007B1D1B"/>
    <w:rsid w:val="007B1DC7"/>
    <w:rsid w:val="007B393A"/>
    <w:rsid w:val="007B4B7A"/>
    <w:rsid w:val="007B5B24"/>
    <w:rsid w:val="007B5BAA"/>
    <w:rsid w:val="007B6C2C"/>
    <w:rsid w:val="007B7324"/>
    <w:rsid w:val="007B7ECB"/>
    <w:rsid w:val="007C1979"/>
    <w:rsid w:val="007C3442"/>
    <w:rsid w:val="007C7830"/>
    <w:rsid w:val="007D3B36"/>
    <w:rsid w:val="007D3E9B"/>
    <w:rsid w:val="007D48CD"/>
    <w:rsid w:val="007D6379"/>
    <w:rsid w:val="007D68A8"/>
    <w:rsid w:val="007E154E"/>
    <w:rsid w:val="007E5A56"/>
    <w:rsid w:val="007F0EF9"/>
    <w:rsid w:val="007F244C"/>
    <w:rsid w:val="007F24AC"/>
    <w:rsid w:val="007F2A4F"/>
    <w:rsid w:val="007F2C40"/>
    <w:rsid w:val="007F4AAC"/>
    <w:rsid w:val="007F6936"/>
    <w:rsid w:val="007F72B7"/>
    <w:rsid w:val="00801582"/>
    <w:rsid w:val="008016DA"/>
    <w:rsid w:val="00802D48"/>
    <w:rsid w:val="0080539B"/>
    <w:rsid w:val="00814266"/>
    <w:rsid w:val="00815AB9"/>
    <w:rsid w:val="00815FD7"/>
    <w:rsid w:val="0081715F"/>
    <w:rsid w:val="008178D7"/>
    <w:rsid w:val="00817F2E"/>
    <w:rsid w:val="0082006A"/>
    <w:rsid w:val="00820A31"/>
    <w:rsid w:val="008214AC"/>
    <w:rsid w:val="00823547"/>
    <w:rsid w:val="00823FC5"/>
    <w:rsid w:val="008245A1"/>
    <w:rsid w:val="00825581"/>
    <w:rsid w:val="00825A07"/>
    <w:rsid w:val="00825F11"/>
    <w:rsid w:val="00826DD1"/>
    <w:rsid w:val="0082769F"/>
    <w:rsid w:val="00830113"/>
    <w:rsid w:val="00830740"/>
    <w:rsid w:val="00831A12"/>
    <w:rsid w:val="00831F95"/>
    <w:rsid w:val="00833EA2"/>
    <w:rsid w:val="00834044"/>
    <w:rsid w:val="0083405A"/>
    <w:rsid w:val="00835195"/>
    <w:rsid w:val="00841A12"/>
    <w:rsid w:val="008421A1"/>
    <w:rsid w:val="00843884"/>
    <w:rsid w:val="00846C66"/>
    <w:rsid w:val="0085168B"/>
    <w:rsid w:val="00852251"/>
    <w:rsid w:val="00852641"/>
    <w:rsid w:val="008541DE"/>
    <w:rsid w:val="008558DF"/>
    <w:rsid w:val="00856318"/>
    <w:rsid w:val="00861EB7"/>
    <w:rsid w:val="0086589A"/>
    <w:rsid w:val="00865ED6"/>
    <w:rsid w:val="008677F9"/>
    <w:rsid w:val="008707A4"/>
    <w:rsid w:val="008719E8"/>
    <w:rsid w:val="008722F6"/>
    <w:rsid w:val="00874023"/>
    <w:rsid w:val="00874733"/>
    <w:rsid w:val="00876198"/>
    <w:rsid w:val="00877B74"/>
    <w:rsid w:val="00880D27"/>
    <w:rsid w:val="008815FA"/>
    <w:rsid w:val="008819BA"/>
    <w:rsid w:val="008856D9"/>
    <w:rsid w:val="00886305"/>
    <w:rsid w:val="008902BF"/>
    <w:rsid w:val="0089123A"/>
    <w:rsid w:val="0089172F"/>
    <w:rsid w:val="00893EA6"/>
    <w:rsid w:val="0089592B"/>
    <w:rsid w:val="00897F10"/>
    <w:rsid w:val="008A3A94"/>
    <w:rsid w:val="008A3E01"/>
    <w:rsid w:val="008A42AA"/>
    <w:rsid w:val="008A4DF5"/>
    <w:rsid w:val="008A69A0"/>
    <w:rsid w:val="008A6DC9"/>
    <w:rsid w:val="008A7002"/>
    <w:rsid w:val="008A78CA"/>
    <w:rsid w:val="008B0C56"/>
    <w:rsid w:val="008B19D3"/>
    <w:rsid w:val="008B2FDA"/>
    <w:rsid w:val="008B4E72"/>
    <w:rsid w:val="008B6043"/>
    <w:rsid w:val="008C0800"/>
    <w:rsid w:val="008C29C2"/>
    <w:rsid w:val="008C3098"/>
    <w:rsid w:val="008C3674"/>
    <w:rsid w:val="008C382B"/>
    <w:rsid w:val="008C3C27"/>
    <w:rsid w:val="008C4713"/>
    <w:rsid w:val="008C6093"/>
    <w:rsid w:val="008C69FC"/>
    <w:rsid w:val="008C6B9D"/>
    <w:rsid w:val="008D187E"/>
    <w:rsid w:val="008D3197"/>
    <w:rsid w:val="008D3B2A"/>
    <w:rsid w:val="008D44E3"/>
    <w:rsid w:val="008D53B5"/>
    <w:rsid w:val="008D7CCB"/>
    <w:rsid w:val="008E2C97"/>
    <w:rsid w:val="008E37C0"/>
    <w:rsid w:val="008E522B"/>
    <w:rsid w:val="008E6007"/>
    <w:rsid w:val="008F4D80"/>
    <w:rsid w:val="008F5262"/>
    <w:rsid w:val="008F601E"/>
    <w:rsid w:val="009027F5"/>
    <w:rsid w:val="009034D8"/>
    <w:rsid w:val="00903A3F"/>
    <w:rsid w:val="00903F60"/>
    <w:rsid w:val="00906239"/>
    <w:rsid w:val="009064B9"/>
    <w:rsid w:val="00907140"/>
    <w:rsid w:val="00911C35"/>
    <w:rsid w:val="00911E21"/>
    <w:rsid w:val="009123E2"/>
    <w:rsid w:val="00917E4D"/>
    <w:rsid w:val="009214F3"/>
    <w:rsid w:val="00923D2C"/>
    <w:rsid w:val="00924096"/>
    <w:rsid w:val="009308B6"/>
    <w:rsid w:val="00932740"/>
    <w:rsid w:val="009338C2"/>
    <w:rsid w:val="00936DA5"/>
    <w:rsid w:val="0093715E"/>
    <w:rsid w:val="0093783E"/>
    <w:rsid w:val="009435E7"/>
    <w:rsid w:val="009447D7"/>
    <w:rsid w:val="00945BB3"/>
    <w:rsid w:val="00946908"/>
    <w:rsid w:val="0094694E"/>
    <w:rsid w:val="00946B34"/>
    <w:rsid w:val="00952DF2"/>
    <w:rsid w:val="009537A5"/>
    <w:rsid w:val="00955605"/>
    <w:rsid w:val="00955959"/>
    <w:rsid w:val="009567A1"/>
    <w:rsid w:val="00956F2B"/>
    <w:rsid w:val="00964BD0"/>
    <w:rsid w:val="0096541B"/>
    <w:rsid w:val="009662CC"/>
    <w:rsid w:val="00966AA0"/>
    <w:rsid w:val="0096798D"/>
    <w:rsid w:val="00967CC2"/>
    <w:rsid w:val="00970CA7"/>
    <w:rsid w:val="00972044"/>
    <w:rsid w:val="00975D72"/>
    <w:rsid w:val="0097724A"/>
    <w:rsid w:val="00977662"/>
    <w:rsid w:val="00977757"/>
    <w:rsid w:val="00981788"/>
    <w:rsid w:val="00982631"/>
    <w:rsid w:val="00982CFA"/>
    <w:rsid w:val="00982F79"/>
    <w:rsid w:val="00984424"/>
    <w:rsid w:val="00986E13"/>
    <w:rsid w:val="00987CD6"/>
    <w:rsid w:val="009904AA"/>
    <w:rsid w:val="00990634"/>
    <w:rsid w:val="00995519"/>
    <w:rsid w:val="00995621"/>
    <w:rsid w:val="00996278"/>
    <w:rsid w:val="00997898"/>
    <w:rsid w:val="00997C34"/>
    <w:rsid w:val="00997DEE"/>
    <w:rsid w:val="009A0D62"/>
    <w:rsid w:val="009A1713"/>
    <w:rsid w:val="009A24BB"/>
    <w:rsid w:val="009A2590"/>
    <w:rsid w:val="009A27B9"/>
    <w:rsid w:val="009A384D"/>
    <w:rsid w:val="009A4B8E"/>
    <w:rsid w:val="009A76EA"/>
    <w:rsid w:val="009B05B2"/>
    <w:rsid w:val="009B1C77"/>
    <w:rsid w:val="009B3941"/>
    <w:rsid w:val="009B4D7E"/>
    <w:rsid w:val="009B7310"/>
    <w:rsid w:val="009C0D62"/>
    <w:rsid w:val="009C1636"/>
    <w:rsid w:val="009C3E6B"/>
    <w:rsid w:val="009C44A5"/>
    <w:rsid w:val="009C57E7"/>
    <w:rsid w:val="009C6F90"/>
    <w:rsid w:val="009D0A38"/>
    <w:rsid w:val="009D1D07"/>
    <w:rsid w:val="009D1FFF"/>
    <w:rsid w:val="009D21B1"/>
    <w:rsid w:val="009D3EFC"/>
    <w:rsid w:val="009D417D"/>
    <w:rsid w:val="009D5721"/>
    <w:rsid w:val="009E2444"/>
    <w:rsid w:val="009E3934"/>
    <w:rsid w:val="009E4D5B"/>
    <w:rsid w:val="009E667A"/>
    <w:rsid w:val="009E7679"/>
    <w:rsid w:val="009F0683"/>
    <w:rsid w:val="009F0DD7"/>
    <w:rsid w:val="009F133C"/>
    <w:rsid w:val="009F2374"/>
    <w:rsid w:val="009F266F"/>
    <w:rsid w:val="009F283C"/>
    <w:rsid w:val="009F288A"/>
    <w:rsid w:val="009F3263"/>
    <w:rsid w:val="009F3770"/>
    <w:rsid w:val="009F4617"/>
    <w:rsid w:val="009F592E"/>
    <w:rsid w:val="009F6CDD"/>
    <w:rsid w:val="00A0148F"/>
    <w:rsid w:val="00A02457"/>
    <w:rsid w:val="00A026B3"/>
    <w:rsid w:val="00A05049"/>
    <w:rsid w:val="00A0710F"/>
    <w:rsid w:val="00A072DF"/>
    <w:rsid w:val="00A07B81"/>
    <w:rsid w:val="00A11310"/>
    <w:rsid w:val="00A12113"/>
    <w:rsid w:val="00A1258C"/>
    <w:rsid w:val="00A15C40"/>
    <w:rsid w:val="00A16305"/>
    <w:rsid w:val="00A17F2A"/>
    <w:rsid w:val="00A20516"/>
    <w:rsid w:val="00A20ED9"/>
    <w:rsid w:val="00A216D0"/>
    <w:rsid w:val="00A27485"/>
    <w:rsid w:val="00A34081"/>
    <w:rsid w:val="00A342DC"/>
    <w:rsid w:val="00A34F56"/>
    <w:rsid w:val="00A3599C"/>
    <w:rsid w:val="00A35EB6"/>
    <w:rsid w:val="00A4059C"/>
    <w:rsid w:val="00A4059E"/>
    <w:rsid w:val="00A40FAC"/>
    <w:rsid w:val="00A41944"/>
    <w:rsid w:val="00A41D46"/>
    <w:rsid w:val="00A4230F"/>
    <w:rsid w:val="00A425EC"/>
    <w:rsid w:val="00A4317E"/>
    <w:rsid w:val="00A43B28"/>
    <w:rsid w:val="00A45389"/>
    <w:rsid w:val="00A46DB1"/>
    <w:rsid w:val="00A52781"/>
    <w:rsid w:val="00A53707"/>
    <w:rsid w:val="00A543E0"/>
    <w:rsid w:val="00A54FBD"/>
    <w:rsid w:val="00A5522B"/>
    <w:rsid w:val="00A55571"/>
    <w:rsid w:val="00A56065"/>
    <w:rsid w:val="00A570BF"/>
    <w:rsid w:val="00A60858"/>
    <w:rsid w:val="00A6122A"/>
    <w:rsid w:val="00A6185C"/>
    <w:rsid w:val="00A62EE8"/>
    <w:rsid w:val="00A64B54"/>
    <w:rsid w:val="00A65441"/>
    <w:rsid w:val="00A65920"/>
    <w:rsid w:val="00A65E3C"/>
    <w:rsid w:val="00A665C6"/>
    <w:rsid w:val="00A666B8"/>
    <w:rsid w:val="00A679D7"/>
    <w:rsid w:val="00A67F14"/>
    <w:rsid w:val="00A70294"/>
    <w:rsid w:val="00A73945"/>
    <w:rsid w:val="00A76CA0"/>
    <w:rsid w:val="00A80138"/>
    <w:rsid w:val="00A8489F"/>
    <w:rsid w:val="00A85689"/>
    <w:rsid w:val="00A86CFC"/>
    <w:rsid w:val="00A87CE6"/>
    <w:rsid w:val="00A9268F"/>
    <w:rsid w:val="00A962A9"/>
    <w:rsid w:val="00A97F46"/>
    <w:rsid w:val="00AA0DED"/>
    <w:rsid w:val="00AA1E21"/>
    <w:rsid w:val="00AA2FF2"/>
    <w:rsid w:val="00AA34DD"/>
    <w:rsid w:val="00AA370E"/>
    <w:rsid w:val="00AA5000"/>
    <w:rsid w:val="00AB1FBF"/>
    <w:rsid w:val="00AC1ABD"/>
    <w:rsid w:val="00AC547F"/>
    <w:rsid w:val="00AC5943"/>
    <w:rsid w:val="00AC7848"/>
    <w:rsid w:val="00AD2FC6"/>
    <w:rsid w:val="00AD588C"/>
    <w:rsid w:val="00AD5C9C"/>
    <w:rsid w:val="00AD6548"/>
    <w:rsid w:val="00AE032E"/>
    <w:rsid w:val="00AE0FF3"/>
    <w:rsid w:val="00AE1B3F"/>
    <w:rsid w:val="00AE78C4"/>
    <w:rsid w:val="00AF000C"/>
    <w:rsid w:val="00AF030D"/>
    <w:rsid w:val="00AF08CF"/>
    <w:rsid w:val="00AF0A79"/>
    <w:rsid w:val="00AF2793"/>
    <w:rsid w:val="00AF5D51"/>
    <w:rsid w:val="00AF6402"/>
    <w:rsid w:val="00AF72B2"/>
    <w:rsid w:val="00AF77DA"/>
    <w:rsid w:val="00B011A4"/>
    <w:rsid w:val="00B0181D"/>
    <w:rsid w:val="00B018B9"/>
    <w:rsid w:val="00B02320"/>
    <w:rsid w:val="00B033B2"/>
    <w:rsid w:val="00B03CA2"/>
    <w:rsid w:val="00B04D7B"/>
    <w:rsid w:val="00B05292"/>
    <w:rsid w:val="00B05BCD"/>
    <w:rsid w:val="00B06EDB"/>
    <w:rsid w:val="00B10AE4"/>
    <w:rsid w:val="00B11ACC"/>
    <w:rsid w:val="00B124D6"/>
    <w:rsid w:val="00B1376F"/>
    <w:rsid w:val="00B149BF"/>
    <w:rsid w:val="00B157B5"/>
    <w:rsid w:val="00B172C8"/>
    <w:rsid w:val="00B179C2"/>
    <w:rsid w:val="00B20267"/>
    <w:rsid w:val="00B2105D"/>
    <w:rsid w:val="00B2116D"/>
    <w:rsid w:val="00B2154E"/>
    <w:rsid w:val="00B222D1"/>
    <w:rsid w:val="00B24066"/>
    <w:rsid w:val="00B24C04"/>
    <w:rsid w:val="00B24FB9"/>
    <w:rsid w:val="00B25F8A"/>
    <w:rsid w:val="00B3111B"/>
    <w:rsid w:val="00B34201"/>
    <w:rsid w:val="00B34DD2"/>
    <w:rsid w:val="00B37CB0"/>
    <w:rsid w:val="00B43256"/>
    <w:rsid w:val="00B43E7F"/>
    <w:rsid w:val="00B44FEC"/>
    <w:rsid w:val="00B45CC1"/>
    <w:rsid w:val="00B468E2"/>
    <w:rsid w:val="00B47E7B"/>
    <w:rsid w:val="00B5079E"/>
    <w:rsid w:val="00B54154"/>
    <w:rsid w:val="00B56792"/>
    <w:rsid w:val="00B60D77"/>
    <w:rsid w:val="00B60FAD"/>
    <w:rsid w:val="00B613CA"/>
    <w:rsid w:val="00B61DD9"/>
    <w:rsid w:val="00B63608"/>
    <w:rsid w:val="00B6370F"/>
    <w:rsid w:val="00B641E1"/>
    <w:rsid w:val="00B6523F"/>
    <w:rsid w:val="00B65AAD"/>
    <w:rsid w:val="00B65AE0"/>
    <w:rsid w:val="00B66D6A"/>
    <w:rsid w:val="00B714B4"/>
    <w:rsid w:val="00B719EC"/>
    <w:rsid w:val="00B7418D"/>
    <w:rsid w:val="00B74D16"/>
    <w:rsid w:val="00B75220"/>
    <w:rsid w:val="00B771EF"/>
    <w:rsid w:val="00B77354"/>
    <w:rsid w:val="00B77BD4"/>
    <w:rsid w:val="00B80C1E"/>
    <w:rsid w:val="00B846C1"/>
    <w:rsid w:val="00B84982"/>
    <w:rsid w:val="00B8678E"/>
    <w:rsid w:val="00B86EAE"/>
    <w:rsid w:val="00B87F60"/>
    <w:rsid w:val="00B941F2"/>
    <w:rsid w:val="00B951A3"/>
    <w:rsid w:val="00B96033"/>
    <w:rsid w:val="00B975BD"/>
    <w:rsid w:val="00B97932"/>
    <w:rsid w:val="00BA2CAC"/>
    <w:rsid w:val="00BA2F60"/>
    <w:rsid w:val="00BA336E"/>
    <w:rsid w:val="00BA3382"/>
    <w:rsid w:val="00BA43EF"/>
    <w:rsid w:val="00BA5326"/>
    <w:rsid w:val="00BA6A6E"/>
    <w:rsid w:val="00BA78EC"/>
    <w:rsid w:val="00BB0274"/>
    <w:rsid w:val="00BB0DF1"/>
    <w:rsid w:val="00BB2DD1"/>
    <w:rsid w:val="00BB48F6"/>
    <w:rsid w:val="00BB63B3"/>
    <w:rsid w:val="00BB6686"/>
    <w:rsid w:val="00BB6FBF"/>
    <w:rsid w:val="00BB7A50"/>
    <w:rsid w:val="00BC1423"/>
    <w:rsid w:val="00BC1A03"/>
    <w:rsid w:val="00BC3388"/>
    <w:rsid w:val="00BC4B08"/>
    <w:rsid w:val="00BC6CF8"/>
    <w:rsid w:val="00BD3B82"/>
    <w:rsid w:val="00BD4566"/>
    <w:rsid w:val="00BD4ED2"/>
    <w:rsid w:val="00BD71D4"/>
    <w:rsid w:val="00BE11F5"/>
    <w:rsid w:val="00BE132D"/>
    <w:rsid w:val="00BE1743"/>
    <w:rsid w:val="00BE1E27"/>
    <w:rsid w:val="00BE2BFC"/>
    <w:rsid w:val="00BE4BB5"/>
    <w:rsid w:val="00BE5BCB"/>
    <w:rsid w:val="00BE5D19"/>
    <w:rsid w:val="00BE7533"/>
    <w:rsid w:val="00BE7F5F"/>
    <w:rsid w:val="00BF1D3E"/>
    <w:rsid w:val="00BF1DE6"/>
    <w:rsid w:val="00BF2829"/>
    <w:rsid w:val="00BF55D2"/>
    <w:rsid w:val="00BF5D18"/>
    <w:rsid w:val="00BF6176"/>
    <w:rsid w:val="00BF741C"/>
    <w:rsid w:val="00C00DA1"/>
    <w:rsid w:val="00C00F19"/>
    <w:rsid w:val="00C0174C"/>
    <w:rsid w:val="00C025F8"/>
    <w:rsid w:val="00C02781"/>
    <w:rsid w:val="00C02B55"/>
    <w:rsid w:val="00C02E94"/>
    <w:rsid w:val="00C03C8D"/>
    <w:rsid w:val="00C1174D"/>
    <w:rsid w:val="00C1201E"/>
    <w:rsid w:val="00C1313F"/>
    <w:rsid w:val="00C13646"/>
    <w:rsid w:val="00C13A76"/>
    <w:rsid w:val="00C14019"/>
    <w:rsid w:val="00C160E1"/>
    <w:rsid w:val="00C1659F"/>
    <w:rsid w:val="00C168A8"/>
    <w:rsid w:val="00C20912"/>
    <w:rsid w:val="00C213E6"/>
    <w:rsid w:val="00C230C1"/>
    <w:rsid w:val="00C23C61"/>
    <w:rsid w:val="00C25428"/>
    <w:rsid w:val="00C25AAE"/>
    <w:rsid w:val="00C30D22"/>
    <w:rsid w:val="00C32268"/>
    <w:rsid w:val="00C32C60"/>
    <w:rsid w:val="00C33E89"/>
    <w:rsid w:val="00C36193"/>
    <w:rsid w:val="00C37120"/>
    <w:rsid w:val="00C441EE"/>
    <w:rsid w:val="00C44878"/>
    <w:rsid w:val="00C44E4F"/>
    <w:rsid w:val="00C46A90"/>
    <w:rsid w:val="00C46FA5"/>
    <w:rsid w:val="00C52036"/>
    <w:rsid w:val="00C5656C"/>
    <w:rsid w:val="00C56E24"/>
    <w:rsid w:val="00C60300"/>
    <w:rsid w:val="00C61284"/>
    <w:rsid w:val="00C621E8"/>
    <w:rsid w:val="00C622E0"/>
    <w:rsid w:val="00C634B9"/>
    <w:rsid w:val="00C654B8"/>
    <w:rsid w:val="00C655A8"/>
    <w:rsid w:val="00C70B57"/>
    <w:rsid w:val="00C70D09"/>
    <w:rsid w:val="00C7125C"/>
    <w:rsid w:val="00C7163C"/>
    <w:rsid w:val="00C742C0"/>
    <w:rsid w:val="00C75276"/>
    <w:rsid w:val="00C754C9"/>
    <w:rsid w:val="00C77295"/>
    <w:rsid w:val="00C801CA"/>
    <w:rsid w:val="00C8029A"/>
    <w:rsid w:val="00C861D0"/>
    <w:rsid w:val="00C8786D"/>
    <w:rsid w:val="00C90A8F"/>
    <w:rsid w:val="00C92611"/>
    <w:rsid w:val="00C926B3"/>
    <w:rsid w:val="00C930E4"/>
    <w:rsid w:val="00C9320F"/>
    <w:rsid w:val="00C93EE5"/>
    <w:rsid w:val="00C958D2"/>
    <w:rsid w:val="00C9748E"/>
    <w:rsid w:val="00C97B2C"/>
    <w:rsid w:val="00CA0D51"/>
    <w:rsid w:val="00CA0EBD"/>
    <w:rsid w:val="00CA168C"/>
    <w:rsid w:val="00CA21FC"/>
    <w:rsid w:val="00CA49D1"/>
    <w:rsid w:val="00CA5B33"/>
    <w:rsid w:val="00CA6439"/>
    <w:rsid w:val="00CA7ECF"/>
    <w:rsid w:val="00CB21D2"/>
    <w:rsid w:val="00CB4731"/>
    <w:rsid w:val="00CB519D"/>
    <w:rsid w:val="00CB55E1"/>
    <w:rsid w:val="00CB6065"/>
    <w:rsid w:val="00CB7712"/>
    <w:rsid w:val="00CC70EA"/>
    <w:rsid w:val="00CC7F2F"/>
    <w:rsid w:val="00CD136B"/>
    <w:rsid w:val="00CD310A"/>
    <w:rsid w:val="00CD34AE"/>
    <w:rsid w:val="00CD400F"/>
    <w:rsid w:val="00CD7C24"/>
    <w:rsid w:val="00CE2C15"/>
    <w:rsid w:val="00CE796E"/>
    <w:rsid w:val="00CE7AE9"/>
    <w:rsid w:val="00CF3431"/>
    <w:rsid w:val="00D02B9D"/>
    <w:rsid w:val="00D0586C"/>
    <w:rsid w:val="00D06BB6"/>
    <w:rsid w:val="00D076D2"/>
    <w:rsid w:val="00D14C75"/>
    <w:rsid w:val="00D14F07"/>
    <w:rsid w:val="00D25D86"/>
    <w:rsid w:val="00D26299"/>
    <w:rsid w:val="00D26E92"/>
    <w:rsid w:val="00D3053F"/>
    <w:rsid w:val="00D31BB4"/>
    <w:rsid w:val="00D32CCF"/>
    <w:rsid w:val="00D33D62"/>
    <w:rsid w:val="00D40C55"/>
    <w:rsid w:val="00D4113C"/>
    <w:rsid w:val="00D41E78"/>
    <w:rsid w:val="00D42F4D"/>
    <w:rsid w:val="00D459B2"/>
    <w:rsid w:val="00D4612A"/>
    <w:rsid w:val="00D47423"/>
    <w:rsid w:val="00D47F58"/>
    <w:rsid w:val="00D5052E"/>
    <w:rsid w:val="00D52A0F"/>
    <w:rsid w:val="00D56D38"/>
    <w:rsid w:val="00D574CE"/>
    <w:rsid w:val="00D606AB"/>
    <w:rsid w:val="00D615DA"/>
    <w:rsid w:val="00D6469E"/>
    <w:rsid w:val="00D64891"/>
    <w:rsid w:val="00D67339"/>
    <w:rsid w:val="00D73D02"/>
    <w:rsid w:val="00D73F9F"/>
    <w:rsid w:val="00D76B56"/>
    <w:rsid w:val="00D8103E"/>
    <w:rsid w:val="00D8224A"/>
    <w:rsid w:val="00D82969"/>
    <w:rsid w:val="00D83997"/>
    <w:rsid w:val="00D85855"/>
    <w:rsid w:val="00D859E1"/>
    <w:rsid w:val="00D9092B"/>
    <w:rsid w:val="00D923D3"/>
    <w:rsid w:val="00D926AC"/>
    <w:rsid w:val="00D945BA"/>
    <w:rsid w:val="00D94A87"/>
    <w:rsid w:val="00D9715A"/>
    <w:rsid w:val="00DA1B7F"/>
    <w:rsid w:val="00DA32C8"/>
    <w:rsid w:val="00DA46BD"/>
    <w:rsid w:val="00DA66D9"/>
    <w:rsid w:val="00DB01A2"/>
    <w:rsid w:val="00DB0229"/>
    <w:rsid w:val="00DB06A1"/>
    <w:rsid w:val="00DB12CF"/>
    <w:rsid w:val="00DB290D"/>
    <w:rsid w:val="00DB2BCB"/>
    <w:rsid w:val="00DB5089"/>
    <w:rsid w:val="00DB5160"/>
    <w:rsid w:val="00DC1E30"/>
    <w:rsid w:val="00DC40AC"/>
    <w:rsid w:val="00DD121D"/>
    <w:rsid w:val="00DD3222"/>
    <w:rsid w:val="00DD4BF6"/>
    <w:rsid w:val="00DD4D1A"/>
    <w:rsid w:val="00DE0EB3"/>
    <w:rsid w:val="00DE144B"/>
    <w:rsid w:val="00DE2196"/>
    <w:rsid w:val="00DE530D"/>
    <w:rsid w:val="00DE5A2D"/>
    <w:rsid w:val="00DE6C64"/>
    <w:rsid w:val="00DF016C"/>
    <w:rsid w:val="00DF04B2"/>
    <w:rsid w:val="00DF485A"/>
    <w:rsid w:val="00DF669F"/>
    <w:rsid w:val="00DF7C2D"/>
    <w:rsid w:val="00E001E2"/>
    <w:rsid w:val="00E00482"/>
    <w:rsid w:val="00E00B4F"/>
    <w:rsid w:val="00E00E54"/>
    <w:rsid w:val="00E01154"/>
    <w:rsid w:val="00E0148B"/>
    <w:rsid w:val="00E02557"/>
    <w:rsid w:val="00E03AD5"/>
    <w:rsid w:val="00E062E7"/>
    <w:rsid w:val="00E11815"/>
    <w:rsid w:val="00E17CF6"/>
    <w:rsid w:val="00E245AD"/>
    <w:rsid w:val="00E24F09"/>
    <w:rsid w:val="00E328CE"/>
    <w:rsid w:val="00E35057"/>
    <w:rsid w:val="00E36728"/>
    <w:rsid w:val="00E401D4"/>
    <w:rsid w:val="00E41656"/>
    <w:rsid w:val="00E420E8"/>
    <w:rsid w:val="00E46FE7"/>
    <w:rsid w:val="00E50175"/>
    <w:rsid w:val="00E50ABF"/>
    <w:rsid w:val="00E51FDD"/>
    <w:rsid w:val="00E52FB9"/>
    <w:rsid w:val="00E5304F"/>
    <w:rsid w:val="00E540CF"/>
    <w:rsid w:val="00E5532A"/>
    <w:rsid w:val="00E55744"/>
    <w:rsid w:val="00E565FC"/>
    <w:rsid w:val="00E6070C"/>
    <w:rsid w:val="00E6276A"/>
    <w:rsid w:val="00E62B3C"/>
    <w:rsid w:val="00E62DE3"/>
    <w:rsid w:val="00E63D59"/>
    <w:rsid w:val="00E65097"/>
    <w:rsid w:val="00E6707F"/>
    <w:rsid w:val="00E67E13"/>
    <w:rsid w:val="00E718B3"/>
    <w:rsid w:val="00E734FD"/>
    <w:rsid w:val="00E74136"/>
    <w:rsid w:val="00E7422F"/>
    <w:rsid w:val="00E77B2B"/>
    <w:rsid w:val="00E80232"/>
    <w:rsid w:val="00E80B71"/>
    <w:rsid w:val="00E81498"/>
    <w:rsid w:val="00E814D8"/>
    <w:rsid w:val="00E85A71"/>
    <w:rsid w:val="00E85CC2"/>
    <w:rsid w:val="00E87591"/>
    <w:rsid w:val="00E87835"/>
    <w:rsid w:val="00E9023E"/>
    <w:rsid w:val="00E9059F"/>
    <w:rsid w:val="00E912CA"/>
    <w:rsid w:val="00E91390"/>
    <w:rsid w:val="00E91A21"/>
    <w:rsid w:val="00E91F4D"/>
    <w:rsid w:val="00E92B9E"/>
    <w:rsid w:val="00E92E89"/>
    <w:rsid w:val="00E92EE7"/>
    <w:rsid w:val="00E93968"/>
    <w:rsid w:val="00EA46FC"/>
    <w:rsid w:val="00EA53D2"/>
    <w:rsid w:val="00EA6204"/>
    <w:rsid w:val="00EA6A60"/>
    <w:rsid w:val="00EB2843"/>
    <w:rsid w:val="00EB3EBC"/>
    <w:rsid w:val="00EB4CB9"/>
    <w:rsid w:val="00EB4D75"/>
    <w:rsid w:val="00EB5A96"/>
    <w:rsid w:val="00EB7294"/>
    <w:rsid w:val="00EB7A3E"/>
    <w:rsid w:val="00EC7B7F"/>
    <w:rsid w:val="00ED08A8"/>
    <w:rsid w:val="00ED28F3"/>
    <w:rsid w:val="00ED2C13"/>
    <w:rsid w:val="00ED3193"/>
    <w:rsid w:val="00ED6ED3"/>
    <w:rsid w:val="00ED7610"/>
    <w:rsid w:val="00EE5AFD"/>
    <w:rsid w:val="00EE6193"/>
    <w:rsid w:val="00EE62A7"/>
    <w:rsid w:val="00EE64A8"/>
    <w:rsid w:val="00EE6F07"/>
    <w:rsid w:val="00EF376C"/>
    <w:rsid w:val="00EF401E"/>
    <w:rsid w:val="00EF4531"/>
    <w:rsid w:val="00EF5205"/>
    <w:rsid w:val="00EF5C40"/>
    <w:rsid w:val="00EF79BA"/>
    <w:rsid w:val="00F00493"/>
    <w:rsid w:val="00F00A80"/>
    <w:rsid w:val="00F0631F"/>
    <w:rsid w:val="00F06B58"/>
    <w:rsid w:val="00F073A1"/>
    <w:rsid w:val="00F116CF"/>
    <w:rsid w:val="00F142C8"/>
    <w:rsid w:val="00F161F5"/>
    <w:rsid w:val="00F1691E"/>
    <w:rsid w:val="00F200C1"/>
    <w:rsid w:val="00F231FA"/>
    <w:rsid w:val="00F23A88"/>
    <w:rsid w:val="00F25686"/>
    <w:rsid w:val="00F26082"/>
    <w:rsid w:val="00F26F24"/>
    <w:rsid w:val="00F27D4E"/>
    <w:rsid w:val="00F30124"/>
    <w:rsid w:val="00F30BF5"/>
    <w:rsid w:val="00F30D10"/>
    <w:rsid w:val="00F31AAE"/>
    <w:rsid w:val="00F3374F"/>
    <w:rsid w:val="00F33EE9"/>
    <w:rsid w:val="00F378A9"/>
    <w:rsid w:val="00F41FFC"/>
    <w:rsid w:val="00F42790"/>
    <w:rsid w:val="00F43FF7"/>
    <w:rsid w:val="00F44851"/>
    <w:rsid w:val="00F44D49"/>
    <w:rsid w:val="00F44DE3"/>
    <w:rsid w:val="00F46E18"/>
    <w:rsid w:val="00F470E5"/>
    <w:rsid w:val="00F47747"/>
    <w:rsid w:val="00F50170"/>
    <w:rsid w:val="00F516BF"/>
    <w:rsid w:val="00F52D1C"/>
    <w:rsid w:val="00F53EFD"/>
    <w:rsid w:val="00F554B2"/>
    <w:rsid w:val="00F570CF"/>
    <w:rsid w:val="00F600ED"/>
    <w:rsid w:val="00F60166"/>
    <w:rsid w:val="00F60CD3"/>
    <w:rsid w:val="00F6180E"/>
    <w:rsid w:val="00F61CF5"/>
    <w:rsid w:val="00F634D0"/>
    <w:rsid w:val="00F6449B"/>
    <w:rsid w:val="00F65C8D"/>
    <w:rsid w:val="00F65EC4"/>
    <w:rsid w:val="00F7195B"/>
    <w:rsid w:val="00F72D1A"/>
    <w:rsid w:val="00F76456"/>
    <w:rsid w:val="00F814B3"/>
    <w:rsid w:val="00F81D49"/>
    <w:rsid w:val="00F82CAC"/>
    <w:rsid w:val="00F85DC8"/>
    <w:rsid w:val="00F879A1"/>
    <w:rsid w:val="00F87B8A"/>
    <w:rsid w:val="00F92333"/>
    <w:rsid w:val="00F923A7"/>
    <w:rsid w:val="00F92D78"/>
    <w:rsid w:val="00F95A97"/>
    <w:rsid w:val="00FA0727"/>
    <w:rsid w:val="00FA0843"/>
    <w:rsid w:val="00FA0AB3"/>
    <w:rsid w:val="00FA4743"/>
    <w:rsid w:val="00FB0434"/>
    <w:rsid w:val="00FB0EE9"/>
    <w:rsid w:val="00FB1FFA"/>
    <w:rsid w:val="00FB268D"/>
    <w:rsid w:val="00FB2DE8"/>
    <w:rsid w:val="00FB4A5B"/>
    <w:rsid w:val="00FB5657"/>
    <w:rsid w:val="00FB6F18"/>
    <w:rsid w:val="00FC0E20"/>
    <w:rsid w:val="00FC2433"/>
    <w:rsid w:val="00FC303F"/>
    <w:rsid w:val="00FC31C8"/>
    <w:rsid w:val="00FC49C2"/>
    <w:rsid w:val="00FC5DEA"/>
    <w:rsid w:val="00FC7F92"/>
    <w:rsid w:val="00FD1480"/>
    <w:rsid w:val="00FD19E8"/>
    <w:rsid w:val="00FD4D26"/>
    <w:rsid w:val="00FD52DD"/>
    <w:rsid w:val="00FD598F"/>
    <w:rsid w:val="00FD7483"/>
    <w:rsid w:val="00FE1446"/>
    <w:rsid w:val="00FE1FE5"/>
    <w:rsid w:val="00FE284E"/>
    <w:rsid w:val="00FE3783"/>
    <w:rsid w:val="00FE40E9"/>
    <w:rsid w:val="00FE4F34"/>
    <w:rsid w:val="00FE6ADE"/>
    <w:rsid w:val="00FF26AA"/>
    <w:rsid w:val="00FF4689"/>
    <w:rsid w:val="00FF50D4"/>
    <w:rsid w:val="00FF5D84"/>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D2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F"/>
  </w:style>
  <w:style w:type="paragraph" w:styleId="Heading1">
    <w:name w:val="heading 1"/>
    <w:basedOn w:val="Normal"/>
    <w:next w:val="Normal"/>
    <w:link w:val="Heading1Char"/>
    <w:uiPriority w:val="9"/>
    <w:qFormat/>
    <w:rsid w:val="0030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customStyle="1" w:styleId="Heading1Char">
    <w:name w:val="Heading 1 Char"/>
    <w:basedOn w:val="DefaultParagraphFont"/>
    <w:link w:val="Heading1"/>
    <w:uiPriority w:val="9"/>
    <w:rsid w:val="00302B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77">
      <w:bodyDiv w:val="1"/>
      <w:marLeft w:val="0"/>
      <w:marRight w:val="0"/>
      <w:marTop w:val="0"/>
      <w:marBottom w:val="0"/>
      <w:divBdr>
        <w:top w:val="none" w:sz="0" w:space="0" w:color="auto"/>
        <w:left w:val="none" w:sz="0" w:space="0" w:color="auto"/>
        <w:bottom w:val="none" w:sz="0" w:space="0" w:color="auto"/>
        <w:right w:val="none" w:sz="0" w:space="0" w:color="auto"/>
      </w:divBdr>
    </w:div>
    <w:div w:id="148132055">
      <w:bodyDiv w:val="1"/>
      <w:marLeft w:val="0"/>
      <w:marRight w:val="0"/>
      <w:marTop w:val="0"/>
      <w:marBottom w:val="0"/>
      <w:divBdr>
        <w:top w:val="none" w:sz="0" w:space="0" w:color="auto"/>
        <w:left w:val="none" w:sz="0" w:space="0" w:color="auto"/>
        <w:bottom w:val="none" w:sz="0" w:space="0" w:color="auto"/>
        <w:right w:val="none" w:sz="0" w:space="0" w:color="auto"/>
      </w:divBdr>
    </w:div>
    <w:div w:id="270404438">
      <w:bodyDiv w:val="1"/>
      <w:marLeft w:val="0"/>
      <w:marRight w:val="0"/>
      <w:marTop w:val="0"/>
      <w:marBottom w:val="0"/>
      <w:divBdr>
        <w:top w:val="none" w:sz="0" w:space="0" w:color="auto"/>
        <w:left w:val="none" w:sz="0" w:space="0" w:color="auto"/>
        <w:bottom w:val="none" w:sz="0" w:space="0" w:color="auto"/>
        <w:right w:val="none" w:sz="0" w:space="0" w:color="auto"/>
      </w:divBdr>
    </w:div>
    <w:div w:id="423234330">
      <w:bodyDiv w:val="1"/>
      <w:marLeft w:val="0"/>
      <w:marRight w:val="0"/>
      <w:marTop w:val="0"/>
      <w:marBottom w:val="0"/>
      <w:divBdr>
        <w:top w:val="none" w:sz="0" w:space="0" w:color="auto"/>
        <w:left w:val="none" w:sz="0" w:space="0" w:color="auto"/>
        <w:bottom w:val="none" w:sz="0" w:space="0" w:color="auto"/>
        <w:right w:val="none" w:sz="0" w:space="0" w:color="auto"/>
      </w:divBdr>
    </w:div>
    <w:div w:id="453595203">
      <w:bodyDiv w:val="1"/>
      <w:marLeft w:val="0"/>
      <w:marRight w:val="0"/>
      <w:marTop w:val="0"/>
      <w:marBottom w:val="0"/>
      <w:divBdr>
        <w:top w:val="none" w:sz="0" w:space="0" w:color="auto"/>
        <w:left w:val="none" w:sz="0" w:space="0" w:color="auto"/>
        <w:bottom w:val="none" w:sz="0" w:space="0" w:color="auto"/>
        <w:right w:val="none" w:sz="0" w:space="0" w:color="auto"/>
      </w:divBdr>
    </w:div>
    <w:div w:id="478156871">
      <w:bodyDiv w:val="1"/>
      <w:marLeft w:val="0"/>
      <w:marRight w:val="0"/>
      <w:marTop w:val="0"/>
      <w:marBottom w:val="0"/>
      <w:divBdr>
        <w:top w:val="none" w:sz="0" w:space="0" w:color="auto"/>
        <w:left w:val="none" w:sz="0" w:space="0" w:color="auto"/>
        <w:bottom w:val="none" w:sz="0" w:space="0" w:color="auto"/>
        <w:right w:val="none" w:sz="0" w:space="0" w:color="auto"/>
      </w:divBdr>
    </w:div>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690381566">
      <w:bodyDiv w:val="1"/>
      <w:marLeft w:val="0"/>
      <w:marRight w:val="0"/>
      <w:marTop w:val="0"/>
      <w:marBottom w:val="0"/>
      <w:divBdr>
        <w:top w:val="none" w:sz="0" w:space="0" w:color="auto"/>
        <w:left w:val="none" w:sz="0" w:space="0" w:color="auto"/>
        <w:bottom w:val="none" w:sz="0" w:space="0" w:color="auto"/>
        <w:right w:val="none" w:sz="0" w:space="0" w:color="auto"/>
      </w:divBdr>
    </w:div>
    <w:div w:id="994140490">
      <w:bodyDiv w:val="1"/>
      <w:marLeft w:val="0"/>
      <w:marRight w:val="0"/>
      <w:marTop w:val="0"/>
      <w:marBottom w:val="0"/>
      <w:divBdr>
        <w:top w:val="none" w:sz="0" w:space="0" w:color="auto"/>
        <w:left w:val="none" w:sz="0" w:space="0" w:color="auto"/>
        <w:bottom w:val="none" w:sz="0" w:space="0" w:color="auto"/>
        <w:right w:val="none" w:sz="0" w:space="0" w:color="auto"/>
      </w:divBdr>
    </w:div>
    <w:div w:id="1035816062">
      <w:bodyDiv w:val="1"/>
      <w:marLeft w:val="0"/>
      <w:marRight w:val="0"/>
      <w:marTop w:val="0"/>
      <w:marBottom w:val="0"/>
      <w:divBdr>
        <w:top w:val="none" w:sz="0" w:space="0" w:color="auto"/>
        <w:left w:val="none" w:sz="0" w:space="0" w:color="auto"/>
        <w:bottom w:val="none" w:sz="0" w:space="0" w:color="auto"/>
        <w:right w:val="none" w:sz="0" w:space="0" w:color="auto"/>
      </w:divBdr>
    </w:div>
    <w:div w:id="1216622497">
      <w:bodyDiv w:val="1"/>
      <w:marLeft w:val="0"/>
      <w:marRight w:val="0"/>
      <w:marTop w:val="0"/>
      <w:marBottom w:val="0"/>
      <w:divBdr>
        <w:top w:val="none" w:sz="0" w:space="0" w:color="auto"/>
        <w:left w:val="none" w:sz="0" w:space="0" w:color="auto"/>
        <w:bottom w:val="none" w:sz="0" w:space="0" w:color="auto"/>
        <w:right w:val="none" w:sz="0" w:space="0" w:color="auto"/>
      </w:divBdr>
    </w:div>
    <w:div w:id="1278414766">
      <w:bodyDiv w:val="1"/>
      <w:marLeft w:val="0"/>
      <w:marRight w:val="0"/>
      <w:marTop w:val="0"/>
      <w:marBottom w:val="0"/>
      <w:divBdr>
        <w:top w:val="none" w:sz="0" w:space="0" w:color="auto"/>
        <w:left w:val="none" w:sz="0" w:space="0" w:color="auto"/>
        <w:bottom w:val="none" w:sz="0" w:space="0" w:color="auto"/>
        <w:right w:val="none" w:sz="0" w:space="0" w:color="auto"/>
      </w:divBdr>
    </w:div>
    <w:div w:id="1565294280">
      <w:bodyDiv w:val="1"/>
      <w:marLeft w:val="0"/>
      <w:marRight w:val="0"/>
      <w:marTop w:val="0"/>
      <w:marBottom w:val="0"/>
      <w:divBdr>
        <w:top w:val="none" w:sz="0" w:space="0" w:color="auto"/>
        <w:left w:val="none" w:sz="0" w:space="0" w:color="auto"/>
        <w:bottom w:val="none" w:sz="0" w:space="0" w:color="auto"/>
        <w:right w:val="none" w:sz="0" w:space="0" w:color="auto"/>
      </w:divBdr>
    </w:div>
    <w:div w:id="1848791651">
      <w:bodyDiv w:val="1"/>
      <w:marLeft w:val="0"/>
      <w:marRight w:val="0"/>
      <w:marTop w:val="0"/>
      <w:marBottom w:val="0"/>
      <w:divBdr>
        <w:top w:val="none" w:sz="0" w:space="0" w:color="auto"/>
        <w:left w:val="none" w:sz="0" w:space="0" w:color="auto"/>
        <w:bottom w:val="none" w:sz="0" w:space="0" w:color="auto"/>
        <w:right w:val="none" w:sz="0" w:space="0" w:color="auto"/>
      </w:divBdr>
    </w:div>
    <w:div w:id="2020154636">
      <w:bodyDiv w:val="1"/>
      <w:marLeft w:val="0"/>
      <w:marRight w:val="0"/>
      <w:marTop w:val="0"/>
      <w:marBottom w:val="0"/>
      <w:divBdr>
        <w:top w:val="none" w:sz="0" w:space="0" w:color="auto"/>
        <w:left w:val="none" w:sz="0" w:space="0" w:color="auto"/>
        <w:bottom w:val="none" w:sz="0" w:space="0" w:color="auto"/>
        <w:right w:val="none" w:sz="0" w:space="0" w:color="auto"/>
      </w:divBdr>
    </w:div>
    <w:div w:id="2092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image" Target="media/image19.emf"/><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image" Target="cid:image001.png@01DA15FB.F2397F80" TargetMode="External"/><Relationship Id="rId24" Type="http://schemas.openxmlformats.org/officeDocument/2006/relationships/header" Target="header4.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eader" Target="header6.xml"/><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image" Target="media/image10.png"/><Relationship Id="rId35" Type="http://schemas.openxmlformats.org/officeDocument/2006/relationships/image" Target="media/image15.emf"/><Relationship Id="rId43" Type="http://schemas.openxmlformats.org/officeDocument/2006/relationships/image" Target="media/image23.png"/><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emf"/><Relationship Id="rId20" Type="http://schemas.openxmlformats.org/officeDocument/2006/relationships/footer" Target="footer3.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B69-50F1-481C-9074-6DE1102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1853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Angela Mack 42071454</cp:lastModifiedBy>
  <cp:revision>2</cp:revision>
  <cp:lastPrinted>2017-10-18T10:29:00Z</cp:lastPrinted>
  <dcterms:created xsi:type="dcterms:W3CDTF">2023-11-21T14:00:00Z</dcterms:created>
  <dcterms:modified xsi:type="dcterms:W3CDTF">2023-11-21T14:00:00Z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2022-08-11T09:35:30Z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99c4f419-2e42-4466-bbda-a234c4ab1e75</vt:lpwstr>
  </property>
  <property fmtid="{D5CDD505-2E9C-101B-9397-08002B2CF9AE}" pid="11" name="MSIP_Label_8f716d1d-13e1-4569-9dd0-bef6621415c1_ContentBits">
    <vt:lpwstr>0</vt:lpwstr>
  </property>
</Properties>
</file>