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11C3" w14:textId="22D80BD4" w:rsidR="00570C22" w:rsidRPr="00DD5603" w:rsidRDefault="007C10DD" w:rsidP="576CB36C">
      <w:pPr>
        <w:rPr>
          <w:rFonts w:asciiTheme="minorBidi" w:hAnsiTheme="minorBidi" w:cstheme="minorBidi"/>
        </w:rPr>
      </w:pPr>
      <w:r>
        <w:rPr>
          <w:rFonts w:asciiTheme="minorBidi" w:hAnsiTheme="minorBidi" w:cstheme="minorBidi"/>
        </w:rPr>
        <w:tab/>
      </w:r>
    </w:p>
    <w:p w14:paraId="5FAB93E9" w14:textId="77777777" w:rsidR="00A3512D" w:rsidRPr="00DD5603" w:rsidRDefault="00A3512D" w:rsidP="00A3512D">
      <w:pPr>
        <w:spacing w:after="240"/>
        <w:rPr>
          <w:rFonts w:asciiTheme="minorBidi" w:hAnsiTheme="minorBidi" w:cstheme="minorBidi"/>
        </w:rPr>
      </w:pPr>
      <w:r>
        <w:rPr>
          <w:noProof/>
        </w:rPr>
        <w:drawing>
          <wp:inline distT="0" distB="0" distL="0" distR="0" wp14:anchorId="2C239F3C" wp14:editId="6DA09BFB">
            <wp:extent cx="1420366" cy="1412341"/>
            <wp:effectExtent l="0" t="0" r="2540" b="0"/>
            <wp:docPr id="5" name="Picture 5"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0366" cy="1412341"/>
                    </a:xfrm>
                    <a:prstGeom prst="rect">
                      <a:avLst/>
                    </a:prstGeom>
                  </pic:spPr>
                </pic:pic>
              </a:graphicData>
            </a:graphic>
          </wp:inline>
        </w:drawing>
      </w:r>
    </w:p>
    <w:p w14:paraId="545646E8" w14:textId="77777777" w:rsidR="00A3512D" w:rsidRPr="00DD5603" w:rsidRDefault="00A3512D" w:rsidP="00A3512D">
      <w:pPr>
        <w:spacing w:after="240"/>
        <w:rPr>
          <w:rFonts w:asciiTheme="minorBidi" w:hAnsiTheme="minorBidi" w:cstheme="minorBidi"/>
        </w:rPr>
      </w:pPr>
    </w:p>
    <w:p w14:paraId="0CEB1664" w14:textId="77777777" w:rsidR="00A3512D" w:rsidRDefault="00A3512D" w:rsidP="00A3512D">
      <w:pPr>
        <w:spacing w:after="240"/>
        <w:jc w:val="center"/>
        <w:rPr>
          <w:rFonts w:ascii="Rockwell" w:hAnsi="Rockwell" w:cstheme="minorBidi"/>
          <w:b/>
          <w:sz w:val="48"/>
          <w:szCs w:val="48"/>
        </w:rPr>
      </w:pPr>
      <w:r w:rsidRPr="00D819D0">
        <w:rPr>
          <w:rFonts w:ascii="Rockwell" w:hAnsi="Rockwell" w:cstheme="minorBidi"/>
          <w:b/>
          <w:sz w:val="48"/>
          <w:szCs w:val="48"/>
        </w:rPr>
        <w:t>Essex County Fire and Rescue Service</w:t>
      </w:r>
      <w:r w:rsidRPr="00D819D0">
        <w:rPr>
          <w:rFonts w:ascii="Rockwell" w:hAnsi="Rockwell" w:cstheme="minorBidi"/>
          <w:b/>
          <w:sz w:val="48"/>
          <w:szCs w:val="48"/>
        </w:rPr>
        <w:br/>
      </w:r>
      <w:r>
        <w:rPr>
          <w:rFonts w:ascii="Rockwell" w:hAnsi="Rockwell" w:cstheme="minorBidi"/>
          <w:b/>
          <w:sz w:val="48"/>
          <w:szCs w:val="48"/>
        </w:rPr>
        <w:t>Treasury Management Strategy</w:t>
      </w:r>
    </w:p>
    <w:p w14:paraId="31C6A138" w14:textId="1AFCB065" w:rsidR="00A3512D" w:rsidRPr="00D819D0" w:rsidRDefault="00A3512D" w:rsidP="00A3512D">
      <w:pPr>
        <w:spacing w:after="240"/>
        <w:jc w:val="center"/>
        <w:rPr>
          <w:rFonts w:ascii="Rockwell" w:hAnsi="Rockwell" w:cstheme="minorBidi"/>
          <w:b/>
          <w:sz w:val="48"/>
          <w:szCs w:val="48"/>
        </w:rPr>
      </w:pPr>
      <w:r>
        <w:rPr>
          <w:rFonts w:ascii="Rockwell" w:hAnsi="Rockwell" w:cstheme="minorBidi"/>
          <w:b/>
          <w:sz w:val="48"/>
          <w:szCs w:val="48"/>
        </w:rPr>
        <w:t>2023/24</w:t>
      </w:r>
    </w:p>
    <w:p w14:paraId="65CA2BD2" w14:textId="56DFC197" w:rsidR="00BF00CA" w:rsidRPr="00DD5603" w:rsidRDefault="00BF00CA" w:rsidP="00BF00CA">
      <w:pPr>
        <w:spacing w:after="240"/>
        <w:rPr>
          <w:rFonts w:asciiTheme="minorBidi" w:hAnsiTheme="minorBidi" w:cstheme="minorBidi"/>
        </w:rPr>
      </w:pPr>
    </w:p>
    <w:p w14:paraId="54926577" w14:textId="3832C8C4" w:rsidR="00E211F6" w:rsidRPr="00DD5603" w:rsidRDefault="00E211F6" w:rsidP="00BF00CA">
      <w:pPr>
        <w:spacing w:after="240"/>
        <w:rPr>
          <w:rFonts w:asciiTheme="minorBidi" w:hAnsiTheme="minorBidi" w:cstheme="minorBidi"/>
        </w:rPr>
      </w:pPr>
    </w:p>
    <w:p w14:paraId="0D80373D" w14:textId="711E8FC7" w:rsidR="00AE7C90" w:rsidRDefault="00AE7C90" w:rsidP="00B372C4">
      <w:pPr>
        <w:spacing w:after="240"/>
        <w:jc w:val="right"/>
        <w:rPr>
          <w:rFonts w:ascii="Rockwell" w:hAnsi="Rockwell" w:cstheme="minorBidi"/>
          <w:b/>
          <w:sz w:val="48"/>
          <w:szCs w:val="48"/>
        </w:rPr>
      </w:pPr>
    </w:p>
    <w:p w14:paraId="71D56DEF" w14:textId="6748A45A" w:rsidR="00A47C8B" w:rsidRDefault="00A47C8B" w:rsidP="00B372C4">
      <w:pPr>
        <w:spacing w:after="240"/>
        <w:jc w:val="right"/>
        <w:rPr>
          <w:b/>
          <w:color w:val="FFFFFF" w:themeColor="background1"/>
          <w:sz w:val="48"/>
          <w:szCs w:val="48"/>
        </w:rPr>
      </w:pPr>
      <w:r>
        <w:rPr>
          <w:b/>
          <w:color w:val="FFFFFF" w:themeColor="background1"/>
          <w:sz w:val="48"/>
          <w:szCs w:val="48"/>
        </w:rPr>
        <w:t>Y MANAGEMENT</w:t>
      </w:r>
    </w:p>
    <w:p w14:paraId="360381EE" w14:textId="5D506F94" w:rsidR="00233A2E" w:rsidRPr="00A47C8B" w:rsidRDefault="00A47C8B" w:rsidP="00B372C4">
      <w:pPr>
        <w:spacing w:after="240"/>
        <w:jc w:val="right"/>
        <w:rPr>
          <w:b/>
          <w:color w:val="FFFFFF" w:themeColor="background1"/>
          <w:sz w:val="48"/>
          <w:szCs w:val="48"/>
        </w:rPr>
      </w:pPr>
      <w:r>
        <w:rPr>
          <w:b/>
          <w:color w:val="FFFFFF" w:themeColor="background1"/>
          <w:sz w:val="48"/>
          <w:szCs w:val="48"/>
        </w:rPr>
        <w:t xml:space="preserve"> STRATEGY</w:t>
      </w:r>
    </w:p>
    <w:p w14:paraId="44B4988C" w14:textId="4E8A0A39" w:rsidR="002F0596" w:rsidRDefault="008D7CB4" w:rsidP="00A47C8B">
      <w:pPr>
        <w:spacing w:after="240"/>
        <w:jc w:val="right"/>
        <w:rPr>
          <w:rFonts w:asciiTheme="minorBidi" w:hAnsiTheme="minorBidi" w:cstheme="minorBidi"/>
          <w:b/>
          <w:color w:val="000000"/>
        </w:rPr>
      </w:pPr>
      <w:r w:rsidRPr="00A47C8B">
        <w:rPr>
          <w:b/>
          <w:color w:val="FFFFFF" w:themeColor="background1"/>
          <w:sz w:val="48"/>
          <w:szCs w:val="48"/>
        </w:rPr>
        <w:t>202</w:t>
      </w:r>
      <w:r w:rsidR="008F620F" w:rsidRPr="00A47C8B">
        <w:rPr>
          <w:b/>
          <w:color w:val="FFFFFF" w:themeColor="background1"/>
          <w:sz w:val="48"/>
          <w:szCs w:val="48"/>
        </w:rPr>
        <w:t>3</w:t>
      </w:r>
      <w:r w:rsidRPr="00A47C8B">
        <w:rPr>
          <w:b/>
          <w:color w:val="FFFFFF" w:themeColor="background1"/>
          <w:sz w:val="48"/>
          <w:szCs w:val="48"/>
        </w:rPr>
        <w:t>/2</w:t>
      </w:r>
      <w:r w:rsidR="008F620F" w:rsidRPr="00A47C8B">
        <w:rPr>
          <w:b/>
          <w:color w:val="FFFFFF" w:themeColor="background1"/>
          <w:sz w:val="48"/>
          <w:szCs w:val="48"/>
        </w:rPr>
        <w:t>4</w:t>
      </w:r>
    </w:p>
    <w:p w14:paraId="1B0EAB1D" w14:textId="128BC2F0"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39857EC" w14:textId="64D92CF7"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75329F65" w14:textId="0E6A360A"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3C99438" w14:textId="3C869F55"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6B5B725D" w14:textId="04B0D326"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4C9A910B" w14:textId="7C777039"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D6D2541" w14:textId="77777777" w:rsidR="00AE1C7C" w:rsidRDefault="00AE1C7C" w:rsidP="00AE1C7C">
      <w:pPr>
        <w:spacing w:after="160" w:line="259" w:lineRule="auto"/>
        <w:jc w:val="right"/>
        <w:rPr>
          <w:rFonts w:asciiTheme="minorBidi" w:hAnsiTheme="minorBidi" w:cstheme="minorBidi"/>
          <w:b/>
          <w:color w:val="000000"/>
        </w:rPr>
      </w:pPr>
    </w:p>
    <w:p w14:paraId="2E8417E2" w14:textId="77777777"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3C37D2D8" w14:textId="6D89088A" w:rsidR="00AE1C7C" w:rsidRDefault="00AE1C7C" w:rsidP="002F0596">
      <w:pPr>
        <w:tabs>
          <w:tab w:val="left" w:pos="709"/>
        </w:tabs>
        <w:autoSpaceDE w:val="0"/>
        <w:autoSpaceDN w:val="0"/>
        <w:adjustRightInd w:val="0"/>
        <w:spacing w:before="120" w:after="60"/>
        <w:rPr>
          <w:rFonts w:asciiTheme="minorBidi" w:hAnsiTheme="minorBidi" w:cstheme="minorBidi"/>
          <w:b/>
          <w:color w:val="000000"/>
        </w:rPr>
      </w:pPr>
    </w:p>
    <w:p w14:paraId="590DAC67" w14:textId="3D1982C8" w:rsidR="00AE1C7C" w:rsidRDefault="00481134" w:rsidP="002F0596">
      <w:pPr>
        <w:tabs>
          <w:tab w:val="left" w:pos="709"/>
        </w:tabs>
        <w:autoSpaceDE w:val="0"/>
        <w:autoSpaceDN w:val="0"/>
        <w:adjustRightInd w:val="0"/>
        <w:spacing w:before="120" w:after="60"/>
        <w:rPr>
          <w:rFonts w:asciiTheme="minorBidi" w:hAnsiTheme="minorBidi" w:cstheme="minorBidi"/>
          <w:b/>
          <w:color w:val="000000"/>
        </w:rPr>
      </w:pPr>
      <w:r w:rsidRPr="00481134">
        <w:rPr>
          <w:b/>
          <w:noProof/>
          <w:color w:val="FFFFFF"/>
          <w:sz w:val="32"/>
          <w:szCs w:val="32"/>
        </w:rPr>
        <mc:AlternateContent>
          <mc:Choice Requires="wps">
            <w:drawing>
              <wp:anchor distT="45720" distB="45720" distL="114300" distR="114300" simplePos="0" relativeHeight="251692032" behindDoc="0" locked="0" layoutInCell="1" allowOverlap="1" wp14:anchorId="23502675" wp14:editId="20A64F8F">
                <wp:simplePos x="0" y="0"/>
                <wp:positionH relativeFrom="margin">
                  <wp:align>left</wp:align>
                </wp:positionH>
                <wp:positionV relativeFrom="paragraph">
                  <wp:posOffset>838200</wp:posOffset>
                </wp:positionV>
                <wp:extent cx="6546850" cy="4191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19100"/>
                        </a:xfrm>
                        <a:prstGeom prst="rect">
                          <a:avLst/>
                        </a:prstGeom>
                        <a:solidFill>
                          <a:srgbClr val="FFFFFF">
                            <a:alpha val="0"/>
                          </a:srgbClr>
                        </a:solidFill>
                        <a:ln w="9525">
                          <a:noFill/>
                          <a:miter lim="800000"/>
                          <a:headEnd/>
                          <a:tailEnd/>
                        </a:ln>
                      </wps:spPr>
                      <wps:txbx>
                        <w:txbxContent>
                          <w:p w14:paraId="473B9139" w14:textId="4E8B246C" w:rsidR="00481134" w:rsidRPr="00B738AF" w:rsidRDefault="00481134">
                            <w:pPr>
                              <w:rPr>
                                <w:b/>
                                <w:bCs/>
                                <w:color w:val="FFFFFF" w:themeColor="background1"/>
                                <w:sz w:val="32"/>
                                <w:szCs w:val="32"/>
                              </w:rPr>
                            </w:pPr>
                            <w:r w:rsidRPr="00B738AF">
                              <w:rPr>
                                <w:b/>
                                <w:bCs/>
                                <w:color w:val="FFFFFF" w:themeColor="background1"/>
                                <w:sz w:val="32"/>
                                <w:szCs w:val="32"/>
                              </w:rPr>
                              <w:t>MAKING ESSEX A SAFE PLACE TO LIVE, WORK AND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02675" id="_x0000_t202" coordsize="21600,21600" o:spt="202" path="m,l,21600r21600,l21600,xe">
                <v:stroke joinstyle="miter"/>
                <v:path gradientshapeok="t" o:connecttype="rect"/>
              </v:shapetype>
              <v:shape id="Text Box 2" o:spid="_x0000_s1026" type="#_x0000_t202" style="position:absolute;margin-left:0;margin-top:66pt;width:515.5pt;height:3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" stroked="f">
                <v:fill opacity="0"/>
                <v:textbox>
                  <w:txbxContent>
                    <w:p w14:paraId="473B9139" w14:textId="4E8B246C" w:rsidR="00481134" w:rsidRPr="00B738AF" w:rsidRDefault="00481134">
                      <w:pPr>
                        <w:rPr>
                          <w:b/>
                          <w:bCs/>
                          <w:color w:val="FFFFFF" w:themeColor="background1"/>
                          <w:sz w:val="32"/>
                          <w:szCs w:val="32"/>
                        </w:rPr>
                      </w:pPr>
                      <w:r w:rsidRPr="00B738AF">
                        <w:rPr>
                          <w:b/>
                          <w:bCs/>
                          <w:color w:val="FFFFFF" w:themeColor="background1"/>
                          <w:sz w:val="32"/>
                          <w:szCs w:val="32"/>
                        </w:rPr>
                        <w:t>MAKING ESSEX A SAFE PLACE TO LIVE, WORK AND TRAVEL</w:t>
                      </w:r>
                    </w:p>
                  </w:txbxContent>
                </v:textbox>
                <w10:wrap anchorx="margin"/>
              </v:shape>
            </w:pict>
          </mc:Fallback>
        </mc:AlternateContent>
      </w:r>
    </w:p>
    <w:p w14:paraId="39D4DDB6" w14:textId="254B6837" w:rsidR="00AE1C7C" w:rsidRDefault="005B0053" w:rsidP="005B0053">
      <w:pPr>
        <w:tabs>
          <w:tab w:val="left" w:pos="709"/>
        </w:tabs>
        <w:autoSpaceDE w:val="0"/>
        <w:autoSpaceDN w:val="0"/>
        <w:adjustRightInd w:val="0"/>
        <w:spacing w:before="120" w:after="60"/>
        <w:rPr>
          <w:rFonts w:asciiTheme="minorBidi" w:hAnsiTheme="minorBidi" w:cstheme="minorBidi"/>
          <w:b/>
          <w:color w:val="000000"/>
        </w:rPr>
      </w:pPr>
      <w:r w:rsidRPr="00B714BB">
        <w:rPr>
          <w:rFonts w:asciiTheme="minorBidi" w:hAnsiTheme="minorBidi" w:cstheme="minorBidi"/>
          <w:b/>
          <w:color w:val="000000"/>
        </w:rPr>
        <w:t xml:space="preserve">Last updated on </w:t>
      </w:r>
      <w:r>
        <w:rPr>
          <w:rFonts w:asciiTheme="minorBidi" w:hAnsiTheme="minorBidi" w:cstheme="minorBidi"/>
          <w:b/>
          <w:color w:val="000000"/>
        </w:rPr>
        <w:t>17</w:t>
      </w:r>
      <w:r w:rsidRPr="00B714BB">
        <w:rPr>
          <w:rFonts w:asciiTheme="minorBidi" w:hAnsiTheme="minorBidi" w:cstheme="minorBidi"/>
          <w:b/>
          <w:color w:val="000000"/>
        </w:rPr>
        <w:t xml:space="preserve"> </w:t>
      </w:r>
      <w:r>
        <w:rPr>
          <w:rFonts w:asciiTheme="minorBidi" w:hAnsiTheme="minorBidi" w:cstheme="minorBidi"/>
          <w:b/>
          <w:color w:val="000000"/>
        </w:rPr>
        <w:t>February</w:t>
      </w:r>
      <w:r w:rsidRPr="00B714BB">
        <w:rPr>
          <w:rFonts w:asciiTheme="minorBidi" w:hAnsiTheme="minorBidi" w:cstheme="minorBidi"/>
          <w:b/>
          <w:color w:val="000000"/>
        </w:rPr>
        <w:t xml:space="preserve"> 202</w:t>
      </w:r>
      <w:r>
        <w:rPr>
          <w:rFonts w:asciiTheme="minorBidi" w:hAnsiTheme="minorBidi" w:cstheme="minorBidi"/>
          <w:b/>
          <w:color w:val="000000"/>
        </w:rPr>
        <w:t>3</w:t>
      </w:r>
      <w:r>
        <w:rPr>
          <w:rFonts w:asciiTheme="minorBidi" w:hAnsiTheme="minorBidi" w:cstheme="minorBidi"/>
          <w:b/>
          <w:color w:val="000000"/>
        </w:rPr>
        <w:tab/>
      </w:r>
    </w:p>
    <w:p w14:paraId="120D4102" w14:textId="116A65ED" w:rsidR="005B0053" w:rsidRPr="005B0053" w:rsidRDefault="005B0053" w:rsidP="005B0053">
      <w:pPr>
        <w:rPr>
          <w:rFonts w:asciiTheme="minorBidi" w:hAnsiTheme="minorBidi" w:cstheme="minorBidi"/>
        </w:rPr>
        <w:sectPr w:rsidR="005B0053" w:rsidRPr="005B0053" w:rsidSect="005A5EF6">
          <w:headerReference w:type="even" r:id="rId12"/>
          <w:footerReference w:type="even" r:id="rId13"/>
          <w:footerReference w:type="default" r:id="rId14"/>
          <w:footerReference w:type="first" r:id="rId15"/>
          <w:pgSz w:w="11906" w:h="16838" w:code="9"/>
          <w:pgMar w:top="1440" w:right="1440" w:bottom="1440" w:left="1440" w:header="709" w:footer="709" w:gutter="0"/>
          <w:cols w:space="708"/>
          <w:titlePg/>
          <w:docGrid w:linePitch="360"/>
        </w:sectPr>
      </w:pPr>
    </w:p>
    <w:p w14:paraId="223EF1C5" w14:textId="77777777" w:rsidR="00DD5603" w:rsidRDefault="00DD5603" w:rsidP="00D819D0">
      <w:pPr>
        <w:pStyle w:val="TOC1"/>
      </w:pPr>
    </w:p>
    <w:sdt>
      <w:sdtPr>
        <w:rPr>
          <w:rFonts w:ascii="Arial" w:hAnsi="Arial" w:cs="Arial"/>
          <w:color w:val="auto"/>
          <w:sz w:val="24"/>
          <w:szCs w:val="24"/>
          <w:lang w:val="en-GB"/>
        </w:rPr>
        <w:id w:val="1223872591"/>
        <w:docPartObj>
          <w:docPartGallery w:val="Table of Contents"/>
          <w:docPartUnique/>
        </w:docPartObj>
      </w:sdtPr>
      <w:sdtEndPr>
        <w:rPr>
          <w:b/>
          <w:bCs/>
          <w:noProof/>
        </w:rPr>
      </w:sdtEndPr>
      <w:sdtContent>
        <w:p w14:paraId="53FBF9F9" w14:textId="2FCECD76" w:rsidR="000B2D53" w:rsidRDefault="000B2D53">
          <w:pPr>
            <w:pStyle w:val="TOCHeading"/>
            <w:rPr>
              <w:rFonts w:ascii="Arial" w:hAnsi="Arial" w:cs="Arial"/>
              <w:b/>
              <w:bCs/>
              <w:color w:val="auto"/>
            </w:rPr>
          </w:pPr>
          <w:r w:rsidRPr="00797E5A">
            <w:rPr>
              <w:rFonts w:ascii="Arial" w:hAnsi="Arial" w:cs="Arial"/>
              <w:b/>
              <w:bCs/>
              <w:color w:val="auto"/>
            </w:rPr>
            <w:t>Contents</w:t>
          </w:r>
        </w:p>
        <w:p w14:paraId="2BACFC9D" w14:textId="77777777" w:rsidR="00797E5A" w:rsidRPr="00797E5A" w:rsidRDefault="00797E5A" w:rsidP="00797E5A">
          <w:pPr>
            <w:rPr>
              <w:lang w:val="en-US"/>
            </w:rPr>
          </w:pPr>
        </w:p>
        <w:p w14:paraId="398436C6" w14:textId="3CCF7DDE" w:rsidR="00A5542D" w:rsidRDefault="000B2D53">
          <w:pPr>
            <w:pStyle w:val="TOC1"/>
            <w:tabs>
              <w:tab w:val="left" w:pos="480"/>
            </w:tabs>
            <w:rPr>
              <w:rFonts w:asciiTheme="minorHAnsi" w:eastAsiaTheme="minorEastAsia" w:hAnsiTheme="minorHAnsi"/>
              <w:b w:val="0"/>
              <w:bCs w:val="0"/>
              <w:noProof/>
              <w:sz w:val="22"/>
              <w:szCs w:val="22"/>
              <w:lang w:eastAsia="en-GB"/>
            </w:rPr>
          </w:pPr>
          <w:r>
            <w:fldChar w:fldCharType="begin"/>
          </w:r>
          <w:r>
            <w:instrText xml:space="preserve"> TOC \o "1-3" \h \z \u </w:instrText>
          </w:r>
          <w:r>
            <w:fldChar w:fldCharType="separate"/>
          </w:r>
          <w:hyperlink w:anchor="_Toc130486346" w:history="1">
            <w:r w:rsidR="00A5542D" w:rsidRPr="00F479D4">
              <w:rPr>
                <w:rStyle w:val="Hyperlink"/>
                <w:noProof/>
              </w:rPr>
              <w:t>1.</w:t>
            </w:r>
            <w:r w:rsidR="00A5542D">
              <w:rPr>
                <w:rFonts w:asciiTheme="minorHAnsi" w:eastAsiaTheme="minorEastAsia" w:hAnsiTheme="minorHAnsi"/>
                <w:b w:val="0"/>
                <w:bCs w:val="0"/>
                <w:noProof/>
                <w:sz w:val="22"/>
                <w:szCs w:val="22"/>
                <w:lang w:eastAsia="en-GB"/>
              </w:rPr>
              <w:tab/>
            </w:r>
            <w:r w:rsidR="00A5542D" w:rsidRPr="00F479D4">
              <w:rPr>
                <w:rStyle w:val="Hyperlink"/>
                <w:noProof/>
              </w:rPr>
              <w:t>Background</w:t>
            </w:r>
            <w:r w:rsidR="00A5542D">
              <w:rPr>
                <w:noProof/>
                <w:webHidden/>
              </w:rPr>
              <w:tab/>
            </w:r>
            <w:r w:rsidR="00A5542D">
              <w:rPr>
                <w:noProof/>
                <w:webHidden/>
              </w:rPr>
              <w:fldChar w:fldCharType="begin"/>
            </w:r>
            <w:r w:rsidR="00A5542D">
              <w:rPr>
                <w:noProof/>
                <w:webHidden/>
              </w:rPr>
              <w:instrText xml:space="preserve"> PAGEREF _Toc130486346 \h </w:instrText>
            </w:r>
            <w:r w:rsidR="00A5542D">
              <w:rPr>
                <w:noProof/>
                <w:webHidden/>
              </w:rPr>
            </w:r>
            <w:r w:rsidR="00A5542D">
              <w:rPr>
                <w:noProof/>
                <w:webHidden/>
              </w:rPr>
              <w:fldChar w:fldCharType="separate"/>
            </w:r>
            <w:r w:rsidR="00A5542D">
              <w:rPr>
                <w:noProof/>
                <w:webHidden/>
              </w:rPr>
              <w:t>3</w:t>
            </w:r>
            <w:r w:rsidR="00A5542D">
              <w:rPr>
                <w:noProof/>
                <w:webHidden/>
              </w:rPr>
              <w:fldChar w:fldCharType="end"/>
            </w:r>
          </w:hyperlink>
        </w:p>
        <w:p w14:paraId="20362203" w14:textId="778BC3E3"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47" w:history="1">
            <w:r w:rsidRPr="00F479D4">
              <w:rPr>
                <w:rStyle w:val="Hyperlink"/>
                <w:noProof/>
              </w:rPr>
              <w:t>2.</w:t>
            </w:r>
            <w:r>
              <w:rPr>
                <w:rFonts w:asciiTheme="minorHAnsi" w:eastAsiaTheme="minorEastAsia" w:hAnsiTheme="minorHAnsi"/>
                <w:b w:val="0"/>
                <w:bCs w:val="0"/>
                <w:noProof/>
                <w:sz w:val="22"/>
                <w:szCs w:val="22"/>
                <w:lang w:eastAsia="en-GB"/>
              </w:rPr>
              <w:tab/>
            </w:r>
            <w:r w:rsidRPr="00F479D4">
              <w:rPr>
                <w:rStyle w:val="Hyperlink"/>
                <w:noProof/>
              </w:rPr>
              <w:t>Changes to the Code of Practice 2021 Edition</w:t>
            </w:r>
            <w:r>
              <w:rPr>
                <w:noProof/>
                <w:webHidden/>
              </w:rPr>
              <w:tab/>
            </w:r>
            <w:r>
              <w:rPr>
                <w:noProof/>
                <w:webHidden/>
              </w:rPr>
              <w:fldChar w:fldCharType="begin"/>
            </w:r>
            <w:r>
              <w:rPr>
                <w:noProof/>
                <w:webHidden/>
              </w:rPr>
              <w:instrText xml:space="preserve"> PAGEREF _Toc130486347 \h </w:instrText>
            </w:r>
            <w:r>
              <w:rPr>
                <w:noProof/>
                <w:webHidden/>
              </w:rPr>
            </w:r>
            <w:r>
              <w:rPr>
                <w:noProof/>
                <w:webHidden/>
              </w:rPr>
              <w:fldChar w:fldCharType="separate"/>
            </w:r>
            <w:r>
              <w:rPr>
                <w:noProof/>
                <w:webHidden/>
              </w:rPr>
              <w:t>3</w:t>
            </w:r>
            <w:r>
              <w:rPr>
                <w:noProof/>
                <w:webHidden/>
              </w:rPr>
              <w:fldChar w:fldCharType="end"/>
            </w:r>
          </w:hyperlink>
        </w:p>
        <w:p w14:paraId="57C3813D" w14:textId="71EC5FE6"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48" w:history="1">
            <w:r w:rsidRPr="00F479D4">
              <w:rPr>
                <w:rStyle w:val="Hyperlink"/>
                <w:noProof/>
              </w:rPr>
              <w:t>3.</w:t>
            </w:r>
            <w:r>
              <w:rPr>
                <w:rFonts w:asciiTheme="minorHAnsi" w:eastAsiaTheme="minorEastAsia" w:hAnsiTheme="minorHAnsi"/>
                <w:b w:val="0"/>
                <w:bCs w:val="0"/>
                <w:noProof/>
                <w:sz w:val="22"/>
                <w:szCs w:val="22"/>
                <w:lang w:eastAsia="en-GB"/>
              </w:rPr>
              <w:tab/>
            </w:r>
            <w:r w:rsidRPr="00F479D4">
              <w:rPr>
                <w:rStyle w:val="Hyperlink"/>
                <w:noProof/>
              </w:rPr>
              <w:t>Policy Statement</w:t>
            </w:r>
            <w:r>
              <w:rPr>
                <w:noProof/>
                <w:webHidden/>
              </w:rPr>
              <w:tab/>
            </w:r>
            <w:r>
              <w:rPr>
                <w:noProof/>
                <w:webHidden/>
              </w:rPr>
              <w:fldChar w:fldCharType="begin"/>
            </w:r>
            <w:r>
              <w:rPr>
                <w:noProof/>
                <w:webHidden/>
              </w:rPr>
              <w:instrText xml:space="preserve"> PAGEREF _Toc130486348 \h </w:instrText>
            </w:r>
            <w:r>
              <w:rPr>
                <w:noProof/>
                <w:webHidden/>
              </w:rPr>
            </w:r>
            <w:r>
              <w:rPr>
                <w:noProof/>
                <w:webHidden/>
              </w:rPr>
              <w:fldChar w:fldCharType="separate"/>
            </w:r>
            <w:r>
              <w:rPr>
                <w:noProof/>
                <w:webHidden/>
              </w:rPr>
              <w:t>3</w:t>
            </w:r>
            <w:r>
              <w:rPr>
                <w:noProof/>
                <w:webHidden/>
              </w:rPr>
              <w:fldChar w:fldCharType="end"/>
            </w:r>
          </w:hyperlink>
        </w:p>
        <w:p w14:paraId="0241EB30" w14:textId="1264C5A0"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49" w:history="1">
            <w:r w:rsidRPr="00F479D4">
              <w:rPr>
                <w:rStyle w:val="Hyperlink"/>
                <w:noProof/>
              </w:rPr>
              <w:t>4.</w:t>
            </w:r>
            <w:r>
              <w:rPr>
                <w:rFonts w:asciiTheme="minorHAnsi" w:eastAsiaTheme="minorEastAsia" w:hAnsiTheme="minorHAnsi"/>
                <w:b w:val="0"/>
                <w:bCs w:val="0"/>
                <w:noProof/>
                <w:sz w:val="22"/>
                <w:szCs w:val="22"/>
                <w:lang w:eastAsia="en-GB"/>
              </w:rPr>
              <w:tab/>
            </w:r>
            <w:r w:rsidRPr="00F479D4">
              <w:rPr>
                <w:rStyle w:val="Hyperlink"/>
                <w:noProof/>
              </w:rPr>
              <w:t>Highlights</w:t>
            </w:r>
            <w:r>
              <w:rPr>
                <w:noProof/>
                <w:webHidden/>
              </w:rPr>
              <w:tab/>
            </w:r>
            <w:r>
              <w:rPr>
                <w:noProof/>
                <w:webHidden/>
              </w:rPr>
              <w:fldChar w:fldCharType="begin"/>
            </w:r>
            <w:r>
              <w:rPr>
                <w:noProof/>
                <w:webHidden/>
              </w:rPr>
              <w:instrText xml:space="preserve"> PAGEREF _Toc130486349 \h </w:instrText>
            </w:r>
            <w:r>
              <w:rPr>
                <w:noProof/>
                <w:webHidden/>
              </w:rPr>
            </w:r>
            <w:r>
              <w:rPr>
                <w:noProof/>
                <w:webHidden/>
              </w:rPr>
              <w:fldChar w:fldCharType="separate"/>
            </w:r>
            <w:r>
              <w:rPr>
                <w:noProof/>
                <w:webHidden/>
              </w:rPr>
              <w:t>2</w:t>
            </w:r>
            <w:r>
              <w:rPr>
                <w:noProof/>
                <w:webHidden/>
              </w:rPr>
              <w:fldChar w:fldCharType="end"/>
            </w:r>
          </w:hyperlink>
        </w:p>
        <w:p w14:paraId="35E844BD" w14:textId="6FE94790"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50" w:history="1">
            <w:r w:rsidRPr="00F479D4">
              <w:rPr>
                <w:rStyle w:val="Hyperlink"/>
                <w:noProof/>
              </w:rPr>
              <w:t>5.</w:t>
            </w:r>
            <w:r>
              <w:rPr>
                <w:rFonts w:asciiTheme="minorHAnsi" w:eastAsiaTheme="minorEastAsia" w:hAnsiTheme="minorHAnsi"/>
                <w:b w:val="0"/>
                <w:bCs w:val="0"/>
                <w:noProof/>
                <w:sz w:val="22"/>
                <w:szCs w:val="22"/>
                <w:lang w:eastAsia="en-GB"/>
              </w:rPr>
              <w:tab/>
            </w:r>
            <w:r w:rsidRPr="00F479D4">
              <w:rPr>
                <w:rStyle w:val="Hyperlink"/>
                <w:noProof/>
              </w:rPr>
              <w:t>Changes Since 2022/23 Treasury Management Strategy</w:t>
            </w:r>
            <w:r>
              <w:rPr>
                <w:noProof/>
                <w:webHidden/>
              </w:rPr>
              <w:tab/>
            </w:r>
            <w:r>
              <w:rPr>
                <w:noProof/>
                <w:webHidden/>
              </w:rPr>
              <w:fldChar w:fldCharType="begin"/>
            </w:r>
            <w:r>
              <w:rPr>
                <w:noProof/>
                <w:webHidden/>
              </w:rPr>
              <w:instrText xml:space="preserve"> PAGEREF _Toc130486350 \h </w:instrText>
            </w:r>
            <w:r>
              <w:rPr>
                <w:noProof/>
                <w:webHidden/>
              </w:rPr>
            </w:r>
            <w:r>
              <w:rPr>
                <w:noProof/>
                <w:webHidden/>
              </w:rPr>
              <w:fldChar w:fldCharType="separate"/>
            </w:r>
            <w:r>
              <w:rPr>
                <w:noProof/>
                <w:webHidden/>
              </w:rPr>
              <w:t>2</w:t>
            </w:r>
            <w:r>
              <w:rPr>
                <w:noProof/>
                <w:webHidden/>
              </w:rPr>
              <w:fldChar w:fldCharType="end"/>
            </w:r>
          </w:hyperlink>
        </w:p>
        <w:p w14:paraId="2AA1D843" w14:textId="6911D31A"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51" w:history="1">
            <w:r w:rsidRPr="00F479D4">
              <w:rPr>
                <w:rStyle w:val="Hyperlink"/>
                <w:noProof/>
              </w:rPr>
              <w:t>6.</w:t>
            </w:r>
            <w:r>
              <w:rPr>
                <w:rFonts w:asciiTheme="minorHAnsi" w:eastAsiaTheme="minorEastAsia" w:hAnsiTheme="minorHAnsi"/>
                <w:b w:val="0"/>
                <w:bCs w:val="0"/>
                <w:noProof/>
                <w:sz w:val="22"/>
                <w:szCs w:val="22"/>
                <w:lang w:eastAsia="en-GB"/>
              </w:rPr>
              <w:tab/>
            </w:r>
            <w:r w:rsidRPr="00F479D4">
              <w:rPr>
                <w:rStyle w:val="Hyperlink"/>
                <w:noProof/>
              </w:rPr>
              <w:t>Local Context</w:t>
            </w:r>
            <w:r>
              <w:rPr>
                <w:noProof/>
                <w:webHidden/>
              </w:rPr>
              <w:tab/>
            </w:r>
            <w:r>
              <w:rPr>
                <w:noProof/>
                <w:webHidden/>
              </w:rPr>
              <w:fldChar w:fldCharType="begin"/>
            </w:r>
            <w:r>
              <w:rPr>
                <w:noProof/>
                <w:webHidden/>
              </w:rPr>
              <w:instrText xml:space="preserve"> PAGEREF _Toc130486351 \h </w:instrText>
            </w:r>
            <w:r>
              <w:rPr>
                <w:noProof/>
                <w:webHidden/>
              </w:rPr>
            </w:r>
            <w:r>
              <w:rPr>
                <w:noProof/>
                <w:webHidden/>
              </w:rPr>
              <w:fldChar w:fldCharType="separate"/>
            </w:r>
            <w:r>
              <w:rPr>
                <w:noProof/>
                <w:webHidden/>
              </w:rPr>
              <w:t>3</w:t>
            </w:r>
            <w:r>
              <w:rPr>
                <w:noProof/>
                <w:webHidden/>
              </w:rPr>
              <w:fldChar w:fldCharType="end"/>
            </w:r>
          </w:hyperlink>
        </w:p>
        <w:p w14:paraId="1DF24567" w14:textId="09D4A77E"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52" w:history="1">
            <w:r w:rsidRPr="00F479D4">
              <w:rPr>
                <w:rStyle w:val="Hyperlink"/>
                <w:noProof/>
              </w:rPr>
              <w:t>7.</w:t>
            </w:r>
            <w:r>
              <w:rPr>
                <w:rFonts w:asciiTheme="minorHAnsi" w:eastAsiaTheme="minorEastAsia" w:hAnsiTheme="minorHAnsi"/>
                <w:b w:val="0"/>
                <w:bCs w:val="0"/>
                <w:noProof/>
                <w:sz w:val="22"/>
                <w:szCs w:val="22"/>
                <w:lang w:eastAsia="en-GB"/>
              </w:rPr>
              <w:tab/>
            </w:r>
            <w:r w:rsidRPr="00F479D4">
              <w:rPr>
                <w:rStyle w:val="Hyperlink"/>
                <w:noProof/>
              </w:rPr>
              <w:t>Borrowing Strategy</w:t>
            </w:r>
            <w:r>
              <w:rPr>
                <w:noProof/>
                <w:webHidden/>
              </w:rPr>
              <w:tab/>
            </w:r>
            <w:r>
              <w:rPr>
                <w:noProof/>
                <w:webHidden/>
              </w:rPr>
              <w:fldChar w:fldCharType="begin"/>
            </w:r>
            <w:r>
              <w:rPr>
                <w:noProof/>
                <w:webHidden/>
              </w:rPr>
              <w:instrText xml:space="preserve"> PAGEREF _Toc130486352 \h </w:instrText>
            </w:r>
            <w:r>
              <w:rPr>
                <w:noProof/>
                <w:webHidden/>
              </w:rPr>
            </w:r>
            <w:r>
              <w:rPr>
                <w:noProof/>
                <w:webHidden/>
              </w:rPr>
              <w:fldChar w:fldCharType="separate"/>
            </w:r>
            <w:r>
              <w:rPr>
                <w:noProof/>
                <w:webHidden/>
              </w:rPr>
              <w:t>7</w:t>
            </w:r>
            <w:r>
              <w:rPr>
                <w:noProof/>
                <w:webHidden/>
              </w:rPr>
              <w:fldChar w:fldCharType="end"/>
            </w:r>
          </w:hyperlink>
        </w:p>
        <w:p w14:paraId="725D49B2" w14:textId="591B817A"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53" w:history="1">
            <w:r w:rsidRPr="00F479D4">
              <w:rPr>
                <w:rStyle w:val="Hyperlink"/>
                <w:noProof/>
              </w:rPr>
              <w:t>8.</w:t>
            </w:r>
            <w:r>
              <w:rPr>
                <w:rFonts w:asciiTheme="minorHAnsi" w:eastAsiaTheme="minorEastAsia" w:hAnsiTheme="minorHAnsi"/>
                <w:b w:val="0"/>
                <w:bCs w:val="0"/>
                <w:noProof/>
                <w:sz w:val="22"/>
                <w:szCs w:val="22"/>
                <w:lang w:eastAsia="en-GB"/>
              </w:rPr>
              <w:tab/>
            </w:r>
            <w:r w:rsidRPr="00F479D4">
              <w:rPr>
                <w:rStyle w:val="Hyperlink"/>
                <w:noProof/>
              </w:rPr>
              <w:t>Investment Strategy</w:t>
            </w:r>
            <w:r>
              <w:rPr>
                <w:noProof/>
                <w:webHidden/>
              </w:rPr>
              <w:tab/>
            </w:r>
            <w:r>
              <w:rPr>
                <w:noProof/>
                <w:webHidden/>
              </w:rPr>
              <w:fldChar w:fldCharType="begin"/>
            </w:r>
            <w:r>
              <w:rPr>
                <w:noProof/>
                <w:webHidden/>
              </w:rPr>
              <w:instrText xml:space="preserve"> PAGEREF _Toc130486353 \h </w:instrText>
            </w:r>
            <w:r>
              <w:rPr>
                <w:noProof/>
                <w:webHidden/>
              </w:rPr>
            </w:r>
            <w:r>
              <w:rPr>
                <w:noProof/>
                <w:webHidden/>
              </w:rPr>
              <w:fldChar w:fldCharType="separate"/>
            </w:r>
            <w:r>
              <w:rPr>
                <w:noProof/>
                <w:webHidden/>
              </w:rPr>
              <w:t>9</w:t>
            </w:r>
            <w:r>
              <w:rPr>
                <w:noProof/>
                <w:webHidden/>
              </w:rPr>
              <w:fldChar w:fldCharType="end"/>
            </w:r>
          </w:hyperlink>
        </w:p>
        <w:p w14:paraId="7FE1243A" w14:textId="6804E7D3" w:rsidR="00A5542D" w:rsidRDefault="00A5542D">
          <w:pPr>
            <w:pStyle w:val="TOC1"/>
            <w:tabs>
              <w:tab w:val="left" w:pos="480"/>
            </w:tabs>
            <w:rPr>
              <w:rFonts w:asciiTheme="minorHAnsi" w:eastAsiaTheme="minorEastAsia" w:hAnsiTheme="minorHAnsi"/>
              <w:b w:val="0"/>
              <w:bCs w:val="0"/>
              <w:noProof/>
              <w:sz w:val="22"/>
              <w:szCs w:val="22"/>
              <w:lang w:eastAsia="en-GB"/>
            </w:rPr>
          </w:pPr>
          <w:hyperlink w:anchor="_Toc130486354" w:history="1">
            <w:r w:rsidRPr="00F479D4">
              <w:rPr>
                <w:rStyle w:val="Hyperlink"/>
                <w:noProof/>
              </w:rPr>
              <w:t>9.</w:t>
            </w:r>
            <w:r>
              <w:rPr>
                <w:rFonts w:asciiTheme="minorHAnsi" w:eastAsiaTheme="minorEastAsia" w:hAnsiTheme="minorHAnsi"/>
                <w:b w:val="0"/>
                <w:bCs w:val="0"/>
                <w:noProof/>
                <w:sz w:val="22"/>
                <w:szCs w:val="22"/>
                <w:lang w:eastAsia="en-GB"/>
              </w:rPr>
              <w:tab/>
            </w:r>
            <w:r w:rsidRPr="00F479D4">
              <w:rPr>
                <w:rStyle w:val="Hyperlink"/>
                <w:noProof/>
              </w:rPr>
              <w:t>Treasury Management Prudential Indicators</w:t>
            </w:r>
            <w:r>
              <w:rPr>
                <w:noProof/>
                <w:webHidden/>
              </w:rPr>
              <w:tab/>
            </w:r>
            <w:r>
              <w:rPr>
                <w:noProof/>
                <w:webHidden/>
              </w:rPr>
              <w:fldChar w:fldCharType="begin"/>
            </w:r>
            <w:r>
              <w:rPr>
                <w:noProof/>
                <w:webHidden/>
              </w:rPr>
              <w:instrText xml:space="preserve"> PAGEREF _Toc130486354 \h </w:instrText>
            </w:r>
            <w:r>
              <w:rPr>
                <w:noProof/>
                <w:webHidden/>
              </w:rPr>
            </w:r>
            <w:r>
              <w:rPr>
                <w:noProof/>
                <w:webHidden/>
              </w:rPr>
              <w:fldChar w:fldCharType="separate"/>
            </w:r>
            <w:r>
              <w:rPr>
                <w:noProof/>
                <w:webHidden/>
              </w:rPr>
              <w:t>16</w:t>
            </w:r>
            <w:r>
              <w:rPr>
                <w:noProof/>
                <w:webHidden/>
              </w:rPr>
              <w:fldChar w:fldCharType="end"/>
            </w:r>
          </w:hyperlink>
        </w:p>
        <w:p w14:paraId="7B37BAEE" w14:textId="0211BD86" w:rsidR="00A5542D" w:rsidRDefault="00A5542D">
          <w:pPr>
            <w:pStyle w:val="TOC1"/>
            <w:tabs>
              <w:tab w:val="left" w:pos="660"/>
            </w:tabs>
            <w:rPr>
              <w:rFonts w:asciiTheme="minorHAnsi" w:eastAsiaTheme="minorEastAsia" w:hAnsiTheme="minorHAnsi"/>
              <w:b w:val="0"/>
              <w:bCs w:val="0"/>
              <w:noProof/>
              <w:sz w:val="22"/>
              <w:szCs w:val="22"/>
              <w:lang w:eastAsia="en-GB"/>
            </w:rPr>
          </w:pPr>
          <w:hyperlink w:anchor="_Toc130486355" w:history="1">
            <w:r w:rsidRPr="00F479D4">
              <w:rPr>
                <w:rStyle w:val="Hyperlink"/>
                <w:noProof/>
              </w:rPr>
              <w:t>10.</w:t>
            </w:r>
            <w:r>
              <w:rPr>
                <w:rFonts w:asciiTheme="minorHAnsi" w:eastAsiaTheme="minorEastAsia" w:hAnsiTheme="minorHAnsi"/>
                <w:b w:val="0"/>
                <w:bCs w:val="0"/>
                <w:noProof/>
                <w:sz w:val="22"/>
                <w:szCs w:val="22"/>
                <w:lang w:eastAsia="en-GB"/>
              </w:rPr>
              <w:tab/>
            </w:r>
            <w:r w:rsidRPr="00F479D4">
              <w:rPr>
                <w:rStyle w:val="Hyperlink"/>
                <w:noProof/>
              </w:rPr>
              <w:t>Related Matters</w:t>
            </w:r>
            <w:r>
              <w:rPr>
                <w:noProof/>
                <w:webHidden/>
              </w:rPr>
              <w:tab/>
            </w:r>
            <w:r>
              <w:rPr>
                <w:noProof/>
                <w:webHidden/>
              </w:rPr>
              <w:fldChar w:fldCharType="begin"/>
            </w:r>
            <w:r>
              <w:rPr>
                <w:noProof/>
                <w:webHidden/>
              </w:rPr>
              <w:instrText xml:space="preserve"> PAGEREF _Toc130486355 \h </w:instrText>
            </w:r>
            <w:r>
              <w:rPr>
                <w:noProof/>
                <w:webHidden/>
              </w:rPr>
            </w:r>
            <w:r>
              <w:rPr>
                <w:noProof/>
                <w:webHidden/>
              </w:rPr>
              <w:fldChar w:fldCharType="separate"/>
            </w:r>
            <w:r>
              <w:rPr>
                <w:noProof/>
                <w:webHidden/>
              </w:rPr>
              <w:t>18</w:t>
            </w:r>
            <w:r>
              <w:rPr>
                <w:noProof/>
                <w:webHidden/>
              </w:rPr>
              <w:fldChar w:fldCharType="end"/>
            </w:r>
          </w:hyperlink>
        </w:p>
        <w:p w14:paraId="240B3207" w14:textId="2909CED4" w:rsidR="00A5542D" w:rsidRDefault="00A5542D">
          <w:pPr>
            <w:pStyle w:val="TOC1"/>
            <w:rPr>
              <w:rFonts w:asciiTheme="minorHAnsi" w:eastAsiaTheme="minorEastAsia" w:hAnsiTheme="minorHAnsi"/>
              <w:b w:val="0"/>
              <w:bCs w:val="0"/>
              <w:noProof/>
              <w:sz w:val="22"/>
              <w:szCs w:val="22"/>
              <w:lang w:eastAsia="en-GB"/>
            </w:rPr>
          </w:pPr>
          <w:hyperlink w:anchor="_Toc130486356" w:history="1">
            <w:r w:rsidRPr="00F479D4">
              <w:rPr>
                <w:rStyle w:val="Hyperlink"/>
                <w:noProof/>
              </w:rPr>
              <w:t>Appendix A – Arlingclose Economic &amp; Interest Rate Forecast –December 2022</w:t>
            </w:r>
            <w:r>
              <w:rPr>
                <w:noProof/>
                <w:webHidden/>
              </w:rPr>
              <w:tab/>
            </w:r>
            <w:r>
              <w:rPr>
                <w:noProof/>
                <w:webHidden/>
              </w:rPr>
              <w:fldChar w:fldCharType="begin"/>
            </w:r>
            <w:r>
              <w:rPr>
                <w:noProof/>
                <w:webHidden/>
              </w:rPr>
              <w:instrText xml:space="preserve"> PAGEREF _Toc130486356 \h </w:instrText>
            </w:r>
            <w:r>
              <w:rPr>
                <w:noProof/>
                <w:webHidden/>
              </w:rPr>
            </w:r>
            <w:r>
              <w:rPr>
                <w:noProof/>
                <w:webHidden/>
              </w:rPr>
              <w:fldChar w:fldCharType="separate"/>
            </w:r>
            <w:r>
              <w:rPr>
                <w:noProof/>
                <w:webHidden/>
              </w:rPr>
              <w:t>20</w:t>
            </w:r>
            <w:r>
              <w:rPr>
                <w:noProof/>
                <w:webHidden/>
              </w:rPr>
              <w:fldChar w:fldCharType="end"/>
            </w:r>
          </w:hyperlink>
        </w:p>
        <w:p w14:paraId="5C8AE9DE" w14:textId="7C963E40" w:rsidR="00A5542D" w:rsidRDefault="00A5542D">
          <w:pPr>
            <w:pStyle w:val="TOC1"/>
            <w:rPr>
              <w:rFonts w:asciiTheme="minorHAnsi" w:eastAsiaTheme="minorEastAsia" w:hAnsiTheme="minorHAnsi"/>
              <w:b w:val="0"/>
              <w:bCs w:val="0"/>
              <w:noProof/>
              <w:sz w:val="22"/>
              <w:szCs w:val="22"/>
              <w:lang w:eastAsia="en-GB"/>
            </w:rPr>
          </w:pPr>
          <w:hyperlink w:anchor="_Toc130486357" w:history="1">
            <w:r w:rsidRPr="00F479D4">
              <w:rPr>
                <w:rStyle w:val="Hyperlink"/>
                <w:noProof/>
              </w:rPr>
              <w:t>Appendix B – Economic Background</w:t>
            </w:r>
            <w:r>
              <w:rPr>
                <w:noProof/>
                <w:webHidden/>
              </w:rPr>
              <w:tab/>
            </w:r>
            <w:r>
              <w:rPr>
                <w:noProof/>
                <w:webHidden/>
              </w:rPr>
              <w:fldChar w:fldCharType="begin"/>
            </w:r>
            <w:r>
              <w:rPr>
                <w:noProof/>
                <w:webHidden/>
              </w:rPr>
              <w:instrText xml:space="preserve"> PAGEREF _Toc130486357 \h </w:instrText>
            </w:r>
            <w:r>
              <w:rPr>
                <w:noProof/>
                <w:webHidden/>
              </w:rPr>
            </w:r>
            <w:r>
              <w:rPr>
                <w:noProof/>
                <w:webHidden/>
              </w:rPr>
              <w:fldChar w:fldCharType="separate"/>
            </w:r>
            <w:r>
              <w:rPr>
                <w:noProof/>
                <w:webHidden/>
              </w:rPr>
              <w:t>22</w:t>
            </w:r>
            <w:r>
              <w:rPr>
                <w:noProof/>
                <w:webHidden/>
              </w:rPr>
              <w:fldChar w:fldCharType="end"/>
            </w:r>
          </w:hyperlink>
        </w:p>
        <w:p w14:paraId="583AD3BF" w14:textId="6BABBF86" w:rsidR="00A5542D" w:rsidRDefault="00A5542D">
          <w:pPr>
            <w:pStyle w:val="TOC1"/>
            <w:rPr>
              <w:rFonts w:asciiTheme="minorHAnsi" w:eastAsiaTheme="minorEastAsia" w:hAnsiTheme="minorHAnsi"/>
              <w:b w:val="0"/>
              <w:bCs w:val="0"/>
              <w:noProof/>
              <w:sz w:val="22"/>
              <w:szCs w:val="22"/>
              <w:lang w:eastAsia="en-GB"/>
            </w:rPr>
          </w:pPr>
          <w:hyperlink w:anchor="_Toc130486358" w:history="1">
            <w:r w:rsidRPr="00F479D4">
              <w:rPr>
                <w:rStyle w:val="Hyperlink"/>
                <w:noProof/>
              </w:rPr>
              <w:t>Appendix C – Existing Investment &amp; Debt Portfolio Position</w:t>
            </w:r>
            <w:r>
              <w:rPr>
                <w:noProof/>
                <w:webHidden/>
              </w:rPr>
              <w:tab/>
            </w:r>
            <w:r>
              <w:rPr>
                <w:noProof/>
                <w:webHidden/>
              </w:rPr>
              <w:fldChar w:fldCharType="begin"/>
            </w:r>
            <w:r>
              <w:rPr>
                <w:noProof/>
                <w:webHidden/>
              </w:rPr>
              <w:instrText xml:space="preserve"> PAGEREF _Toc130486358 \h </w:instrText>
            </w:r>
            <w:r>
              <w:rPr>
                <w:noProof/>
                <w:webHidden/>
              </w:rPr>
            </w:r>
            <w:r>
              <w:rPr>
                <w:noProof/>
                <w:webHidden/>
              </w:rPr>
              <w:fldChar w:fldCharType="separate"/>
            </w:r>
            <w:r>
              <w:rPr>
                <w:noProof/>
                <w:webHidden/>
              </w:rPr>
              <w:t>24</w:t>
            </w:r>
            <w:r>
              <w:rPr>
                <w:noProof/>
                <w:webHidden/>
              </w:rPr>
              <w:fldChar w:fldCharType="end"/>
            </w:r>
          </w:hyperlink>
        </w:p>
        <w:p w14:paraId="63DA2804" w14:textId="5A763B06" w:rsidR="00A5542D" w:rsidRDefault="00A5542D">
          <w:pPr>
            <w:pStyle w:val="TOC1"/>
            <w:rPr>
              <w:rFonts w:asciiTheme="minorHAnsi" w:eastAsiaTheme="minorEastAsia" w:hAnsiTheme="minorHAnsi"/>
              <w:b w:val="0"/>
              <w:bCs w:val="0"/>
              <w:noProof/>
              <w:sz w:val="22"/>
              <w:szCs w:val="22"/>
              <w:lang w:eastAsia="en-GB"/>
            </w:rPr>
          </w:pPr>
          <w:hyperlink w:anchor="_Toc130486359" w:history="1">
            <w:r w:rsidRPr="00F479D4">
              <w:rPr>
                <w:rStyle w:val="Hyperlink"/>
                <w:noProof/>
              </w:rPr>
              <w:t>Appendix D – Balance sheet analysis as at 31st March 2022</w:t>
            </w:r>
            <w:r>
              <w:rPr>
                <w:noProof/>
                <w:webHidden/>
              </w:rPr>
              <w:tab/>
            </w:r>
            <w:r>
              <w:rPr>
                <w:noProof/>
                <w:webHidden/>
              </w:rPr>
              <w:fldChar w:fldCharType="begin"/>
            </w:r>
            <w:r>
              <w:rPr>
                <w:noProof/>
                <w:webHidden/>
              </w:rPr>
              <w:instrText xml:space="preserve"> PAGEREF _Toc130486359 \h </w:instrText>
            </w:r>
            <w:r>
              <w:rPr>
                <w:noProof/>
                <w:webHidden/>
              </w:rPr>
            </w:r>
            <w:r>
              <w:rPr>
                <w:noProof/>
                <w:webHidden/>
              </w:rPr>
              <w:fldChar w:fldCharType="separate"/>
            </w:r>
            <w:r>
              <w:rPr>
                <w:noProof/>
                <w:webHidden/>
              </w:rPr>
              <w:t>25</w:t>
            </w:r>
            <w:r>
              <w:rPr>
                <w:noProof/>
                <w:webHidden/>
              </w:rPr>
              <w:fldChar w:fldCharType="end"/>
            </w:r>
          </w:hyperlink>
        </w:p>
        <w:p w14:paraId="27BD6ED0" w14:textId="433E154B" w:rsidR="000B2D53" w:rsidRPr="000B2D53" w:rsidRDefault="000B2D53" w:rsidP="000B2D53">
          <w:r>
            <w:rPr>
              <w:b/>
              <w:bCs/>
              <w:noProof/>
            </w:rPr>
            <w:fldChar w:fldCharType="end"/>
          </w:r>
        </w:p>
      </w:sdtContent>
    </w:sdt>
    <w:p w14:paraId="5A525CF8" w14:textId="6E9B8C5E" w:rsidR="005F6851" w:rsidRPr="00DD5603" w:rsidRDefault="002F0596" w:rsidP="00CC41E8">
      <w:pPr>
        <w:tabs>
          <w:tab w:val="left" w:pos="709"/>
        </w:tabs>
        <w:autoSpaceDE w:val="0"/>
        <w:autoSpaceDN w:val="0"/>
        <w:adjustRightInd w:val="0"/>
        <w:spacing w:before="120" w:after="60"/>
        <w:rPr>
          <w:rFonts w:asciiTheme="minorBidi" w:hAnsiTheme="minorBidi" w:cstheme="minorBidi"/>
          <w:b/>
          <w:color w:val="000000"/>
        </w:rPr>
      </w:pPr>
      <w:r w:rsidRPr="00DD5603">
        <w:rPr>
          <w:rFonts w:asciiTheme="minorBidi" w:hAnsiTheme="minorBidi" w:cstheme="minorBidi"/>
          <w:b/>
          <w:color w:val="000000"/>
        </w:rPr>
        <w:br w:type="page"/>
      </w:r>
    </w:p>
    <w:p w14:paraId="7EC6B972" w14:textId="2DE092C0" w:rsidR="00727888" w:rsidRPr="00797E5A" w:rsidRDefault="007E570A" w:rsidP="00191AA6">
      <w:pPr>
        <w:pStyle w:val="Heading1"/>
        <w:numPr>
          <w:ilvl w:val="0"/>
          <w:numId w:val="7"/>
        </w:numPr>
        <w:spacing w:before="0" w:after="240"/>
        <w:ind w:left="425" w:hanging="425"/>
        <w:rPr>
          <w:rFonts w:asciiTheme="minorBidi" w:hAnsiTheme="minorBidi" w:cstheme="minorBidi"/>
          <w:sz w:val="28"/>
          <w:szCs w:val="28"/>
        </w:rPr>
      </w:pPr>
      <w:bookmarkStart w:id="0" w:name="_Toc73025258"/>
      <w:bookmarkStart w:id="1" w:name="_Toc130486346"/>
      <w:r w:rsidRPr="00797E5A">
        <w:rPr>
          <w:rFonts w:asciiTheme="minorBidi" w:hAnsiTheme="minorBidi" w:cstheme="minorBidi"/>
          <w:sz w:val="28"/>
          <w:szCs w:val="28"/>
        </w:rPr>
        <w:lastRenderedPageBreak/>
        <w:t>Background</w:t>
      </w:r>
      <w:bookmarkEnd w:id="0"/>
      <w:bookmarkEnd w:id="1"/>
    </w:p>
    <w:p w14:paraId="20EB54F6" w14:textId="374334B7" w:rsidR="007E570A" w:rsidRDefault="007E570A" w:rsidP="00A5542D">
      <w:pPr>
        <w:pStyle w:val="ListParagraph"/>
        <w:spacing w:after="240"/>
        <w:ind w:left="0"/>
        <w:jc w:val="both"/>
      </w:pPr>
      <w:r w:rsidRPr="00BF68BB">
        <w:t xml:space="preserve">The Authority has engaged with </w:t>
      </w:r>
      <w:proofErr w:type="spellStart"/>
      <w:r w:rsidRPr="00BF68BB">
        <w:t>Arlingclose</w:t>
      </w:r>
      <w:proofErr w:type="spellEnd"/>
      <w:r w:rsidRPr="00BF68BB">
        <w:t>, treasury management advisors, to provide support in producing this strategy. All decisions relating to treasury management are the responsibility of the Authority.</w:t>
      </w:r>
    </w:p>
    <w:p w14:paraId="551EDCDA" w14:textId="0E4BB17A" w:rsidR="006E468E" w:rsidRPr="00A5542D" w:rsidRDefault="007E570A" w:rsidP="00A5542D">
      <w:pPr>
        <w:pStyle w:val="ListParagraph"/>
        <w:spacing w:after="360"/>
        <w:ind w:left="0"/>
        <w:jc w:val="both"/>
        <w:rPr>
          <w:rFonts w:eastAsia="Calibri"/>
        </w:rPr>
      </w:pPr>
      <w:r w:rsidRPr="0041076E">
        <w:t xml:space="preserve">Treasury risk management at the Authority is conducted within the framework of the Chartered Institute of Public Finance and Accountancy’s </w:t>
      </w:r>
      <w:r w:rsidRPr="0041076E">
        <w:rPr>
          <w:i/>
        </w:rPr>
        <w:t xml:space="preserve">Treasury Management in the Public Services: Code of Practice </w:t>
      </w:r>
      <w:r w:rsidR="0071299E">
        <w:rPr>
          <w:i/>
        </w:rPr>
        <w:t>2021</w:t>
      </w:r>
      <w:r w:rsidRPr="0041076E">
        <w:rPr>
          <w:i/>
        </w:rPr>
        <w:t xml:space="preserve"> Edition</w:t>
      </w:r>
      <w:r w:rsidRPr="0041076E">
        <w:t xml:space="preserve"> (the CIPFA Code) which requires the Authority to approve a treasury management strategy before the start of each financial year. </w:t>
      </w:r>
      <w:r w:rsidRPr="00B70E48">
        <w:rPr>
          <w:rFonts w:eastAsia="Calibri"/>
        </w:rPr>
        <w:t xml:space="preserve">This report fulfils the Authority’s legal obligation under the </w:t>
      </w:r>
      <w:r w:rsidRPr="00B70E48">
        <w:rPr>
          <w:rFonts w:eastAsia="Calibri"/>
          <w:i/>
        </w:rPr>
        <w:t>Local Government Act 2003</w:t>
      </w:r>
      <w:r w:rsidRPr="00B70E48">
        <w:rPr>
          <w:rFonts w:eastAsia="Calibri"/>
        </w:rPr>
        <w:t xml:space="preserve"> to have regard to the CIPFA Code.</w:t>
      </w:r>
      <w:r>
        <w:rPr>
          <w:rFonts w:eastAsia="Calibri"/>
        </w:rPr>
        <w:t xml:space="preserve"> </w:t>
      </w:r>
    </w:p>
    <w:p w14:paraId="15792ECD" w14:textId="22D8290D" w:rsidR="006E468E" w:rsidRPr="00797E5A" w:rsidRDefault="006E468E" w:rsidP="006E468E">
      <w:pPr>
        <w:pStyle w:val="Heading1"/>
        <w:numPr>
          <w:ilvl w:val="0"/>
          <w:numId w:val="7"/>
        </w:numPr>
        <w:spacing w:before="0" w:after="240"/>
        <w:ind w:left="425" w:hanging="425"/>
        <w:rPr>
          <w:rFonts w:asciiTheme="minorBidi" w:hAnsiTheme="minorBidi" w:cstheme="minorBidi"/>
          <w:sz w:val="28"/>
          <w:szCs w:val="28"/>
        </w:rPr>
      </w:pPr>
      <w:bookmarkStart w:id="2" w:name="_Toc130486347"/>
      <w:r>
        <w:rPr>
          <w:rFonts w:asciiTheme="minorBidi" w:hAnsiTheme="minorBidi" w:cstheme="minorBidi"/>
          <w:sz w:val="28"/>
          <w:szCs w:val="28"/>
        </w:rPr>
        <w:t xml:space="preserve">Changes to the </w:t>
      </w:r>
      <w:r w:rsidR="007F0C47" w:rsidRPr="007F0C47">
        <w:rPr>
          <w:rFonts w:asciiTheme="minorBidi" w:hAnsiTheme="minorBidi" w:cstheme="minorBidi"/>
          <w:sz w:val="28"/>
          <w:szCs w:val="28"/>
        </w:rPr>
        <w:t>Code of Practice 2021 Edition</w:t>
      </w:r>
      <w:bookmarkEnd w:id="2"/>
    </w:p>
    <w:p w14:paraId="48B76A76" w14:textId="77777777" w:rsidR="00B87767" w:rsidRPr="00B87767" w:rsidRDefault="00B87767" w:rsidP="00A5542D">
      <w:pPr>
        <w:pStyle w:val="ListParagraph"/>
        <w:numPr>
          <w:ilvl w:val="0"/>
          <w:numId w:val="19"/>
        </w:numPr>
        <w:spacing w:after="240"/>
        <w:ind w:left="851"/>
        <w:jc w:val="both"/>
        <w:rPr>
          <w:rFonts w:eastAsia="Calibri"/>
        </w:rPr>
      </w:pPr>
      <w:r w:rsidRPr="00B87767">
        <w:rPr>
          <w:rFonts w:eastAsia="Calibri"/>
        </w:rPr>
        <w:t>Investment management practices and other recommendations relating to non-treasury investments are included within the Treasury Management Practices (TMPs) alongside existing TMPs.</w:t>
      </w:r>
    </w:p>
    <w:p w14:paraId="3F7BFEF1" w14:textId="238DF9D1" w:rsidR="00B87767" w:rsidRPr="00B87767" w:rsidRDefault="00B87767" w:rsidP="00A5542D">
      <w:pPr>
        <w:pStyle w:val="ListParagraph"/>
        <w:numPr>
          <w:ilvl w:val="0"/>
          <w:numId w:val="19"/>
        </w:numPr>
        <w:spacing w:after="240"/>
        <w:ind w:left="851"/>
        <w:jc w:val="both"/>
        <w:rPr>
          <w:rFonts w:eastAsia="Calibri"/>
        </w:rPr>
      </w:pPr>
      <w:r w:rsidRPr="00B87767">
        <w:rPr>
          <w:rFonts w:eastAsia="Calibri"/>
        </w:rPr>
        <w:t xml:space="preserve">The guidance </w:t>
      </w:r>
      <w:r w:rsidR="00176EF4">
        <w:rPr>
          <w:rFonts w:eastAsia="Calibri"/>
        </w:rPr>
        <w:t>recommends</w:t>
      </w:r>
      <w:r w:rsidRPr="00B87767">
        <w:rPr>
          <w:rFonts w:eastAsia="Calibri"/>
        </w:rPr>
        <w:t xml:space="preserve"> the introduction of the Liability Benchmark as a treasury management indicator for local government bodies</w:t>
      </w:r>
      <w:r w:rsidR="00176EF4">
        <w:rPr>
          <w:rFonts w:eastAsia="Calibri"/>
        </w:rPr>
        <w:t>.</w:t>
      </w:r>
    </w:p>
    <w:p w14:paraId="12F047BC" w14:textId="77777777" w:rsidR="00B87767" w:rsidRPr="00B87767" w:rsidRDefault="00B87767" w:rsidP="00A5542D">
      <w:pPr>
        <w:pStyle w:val="ListParagraph"/>
        <w:numPr>
          <w:ilvl w:val="0"/>
          <w:numId w:val="19"/>
        </w:numPr>
        <w:spacing w:after="240"/>
        <w:ind w:left="851"/>
        <w:jc w:val="both"/>
        <w:rPr>
          <w:rFonts w:eastAsia="Calibri"/>
        </w:rPr>
      </w:pPr>
      <w:r w:rsidRPr="00B87767">
        <w:rPr>
          <w:rFonts w:eastAsia="Calibri"/>
        </w:rPr>
        <w:t>Environmental, Social and Governance (ESG) risks are incorporated into TMP1 (Risk Management) rather than a separate TMP 13.</w:t>
      </w:r>
    </w:p>
    <w:p w14:paraId="36736304" w14:textId="59F5E3E7" w:rsidR="006E468E" w:rsidRPr="00A5542D" w:rsidRDefault="00B87767" w:rsidP="00A5542D">
      <w:pPr>
        <w:pStyle w:val="ListParagraph"/>
        <w:numPr>
          <w:ilvl w:val="0"/>
          <w:numId w:val="19"/>
        </w:numPr>
        <w:spacing w:after="360"/>
        <w:ind w:left="850" w:hanging="357"/>
        <w:jc w:val="both"/>
        <w:rPr>
          <w:rFonts w:eastAsia="Calibri"/>
        </w:rPr>
      </w:pPr>
      <w:r w:rsidRPr="00B87767">
        <w:rPr>
          <w:rFonts w:eastAsia="Calibri"/>
        </w:rPr>
        <w:t>The purpose and objective of each category of investments should be described within the Treasury Management Strategy.</w:t>
      </w:r>
    </w:p>
    <w:p w14:paraId="1692036A" w14:textId="754F19A1" w:rsidR="00524676" w:rsidRDefault="00524676" w:rsidP="00524676">
      <w:pPr>
        <w:pStyle w:val="Heading1"/>
        <w:numPr>
          <w:ilvl w:val="0"/>
          <w:numId w:val="7"/>
        </w:numPr>
        <w:spacing w:before="0" w:after="240"/>
        <w:ind w:left="425" w:hanging="425"/>
        <w:rPr>
          <w:rFonts w:asciiTheme="minorBidi" w:hAnsiTheme="minorBidi" w:cstheme="minorBidi"/>
          <w:sz w:val="28"/>
          <w:szCs w:val="28"/>
        </w:rPr>
      </w:pPr>
      <w:bookmarkStart w:id="3" w:name="_Toc73025259"/>
      <w:bookmarkStart w:id="4" w:name="_Toc130486348"/>
      <w:r>
        <w:rPr>
          <w:rFonts w:asciiTheme="minorBidi" w:hAnsiTheme="minorBidi" w:cstheme="minorBidi"/>
          <w:sz w:val="28"/>
          <w:szCs w:val="28"/>
        </w:rPr>
        <w:t>Policy Statement</w:t>
      </w:r>
      <w:bookmarkEnd w:id="4"/>
    </w:p>
    <w:p w14:paraId="1D7A8149" w14:textId="464550CA" w:rsidR="00BD6D0E" w:rsidRDefault="007C401D" w:rsidP="00A5542D">
      <w:pPr>
        <w:pStyle w:val="ListParagraph"/>
        <w:spacing w:after="240"/>
        <w:ind w:left="0"/>
        <w:jc w:val="both"/>
      </w:pPr>
      <w:r>
        <w:t>T</w:t>
      </w:r>
      <w:r w:rsidR="00BD6D0E">
        <w:t xml:space="preserve">reasury management activities </w:t>
      </w:r>
      <w:r>
        <w:t xml:space="preserve">are defined as </w:t>
      </w:r>
      <w:r w:rsidR="00BD6D0E">
        <w:t xml:space="preserve">the management of the organisation’s borrowing, </w:t>
      </w:r>
      <w:proofErr w:type="gramStart"/>
      <w:r w:rsidR="00BD6D0E">
        <w:t>investments</w:t>
      </w:r>
      <w:proofErr w:type="gramEnd"/>
      <w:r w:rsidR="00BD6D0E">
        <w:t xml:space="preserve"> and cash flows, including its banking, money market and capital market transactions, the effective control of the risks associated with those activities and the pursuit of optimum performance consistent with those risks.</w:t>
      </w:r>
    </w:p>
    <w:p w14:paraId="26068A0A" w14:textId="17EA25C6" w:rsidR="00BD6D0E" w:rsidRDefault="000A013A" w:rsidP="00A5542D">
      <w:pPr>
        <w:pStyle w:val="ListParagraph"/>
        <w:spacing w:after="240"/>
        <w:ind w:left="0"/>
        <w:jc w:val="both"/>
      </w:pPr>
      <w:r>
        <w:t>The Authority</w:t>
      </w:r>
      <w:r w:rsidR="00BD6D0E">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w:t>
      </w:r>
      <w:proofErr w:type="gramStart"/>
      <w:r w:rsidR="00BD6D0E">
        <w:t>entered into</w:t>
      </w:r>
      <w:proofErr w:type="gramEnd"/>
      <w:r w:rsidR="00BD6D0E">
        <w:t xml:space="preserve"> to manage these risks.</w:t>
      </w:r>
    </w:p>
    <w:p w14:paraId="36F582F3" w14:textId="77777777" w:rsidR="00A5542D" w:rsidRDefault="00F1515A" w:rsidP="00A5542D">
      <w:pPr>
        <w:pStyle w:val="ListParagraph"/>
        <w:spacing w:after="240"/>
        <w:ind w:left="0"/>
        <w:jc w:val="both"/>
        <w:sectPr w:rsidR="00A5542D" w:rsidSect="009D5371">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42" w:left="1276" w:header="709" w:footer="709" w:gutter="0"/>
          <w:pgNumType w:start="2"/>
          <w:cols w:space="708"/>
          <w:docGrid w:linePitch="360"/>
        </w:sectPr>
      </w:pPr>
      <w:r>
        <w:t>The Authority</w:t>
      </w:r>
      <w:r w:rsidR="00BD6D0E">
        <w:t xml:space="preserve"> acknowledges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14:paraId="1B23B281" w14:textId="408507C3" w:rsidR="00DE5C6A" w:rsidRPr="00797E5A" w:rsidRDefault="00DE5C6A" w:rsidP="00191AA6">
      <w:pPr>
        <w:pStyle w:val="Heading1"/>
        <w:numPr>
          <w:ilvl w:val="0"/>
          <w:numId w:val="7"/>
        </w:numPr>
        <w:spacing w:before="0" w:after="240"/>
        <w:ind w:left="425" w:hanging="425"/>
        <w:rPr>
          <w:rFonts w:asciiTheme="minorBidi" w:hAnsiTheme="minorBidi" w:cstheme="minorBidi"/>
          <w:sz w:val="28"/>
          <w:szCs w:val="28"/>
        </w:rPr>
      </w:pPr>
      <w:bookmarkStart w:id="5" w:name="_Toc130486349"/>
      <w:r w:rsidRPr="00797E5A">
        <w:rPr>
          <w:rFonts w:asciiTheme="minorBidi" w:hAnsiTheme="minorBidi" w:cstheme="minorBidi"/>
          <w:sz w:val="28"/>
          <w:szCs w:val="28"/>
        </w:rPr>
        <w:lastRenderedPageBreak/>
        <w:t>Highlights</w:t>
      </w:r>
      <w:bookmarkEnd w:id="3"/>
      <w:bookmarkEnd w:id="5"/>
    </w:p>
    <w:p w14:paraId="250DEB2F" w14:textId="621FEB5B" w:rsidR="00DE5C6A" w:rsidRPr="003957F2" w:rsidRDefault="00DE5C6A" w:rsidP="0004046D">
      <w:pPr>
        <w:pStyle w:val="ListParagraph"/>
        <w:numPr>
          <w:ilvl w:val="0"/>
          <w:numId w:val="14"/>
        </w:numPr>
        <w:spacing w:after="120"/>
        <w:ind w:left="851"/>
      </w:pPr>
      <w:r w:rsidRPr="00591851">
        <w:t xml:space="preserve">The Authority </w:t>
      </w:r>
      <w:r w:rsidR="00ED3C47" w:rsidRPr="00591851">
        <w:t>may need</w:t>
      </w:r>
      <w:r w:rsidR="00E308AD" w:rsidRPr="00591851">
        <w:t xml:space="preserve"> to borrow </w:t>
      </w:r>
      <w:r w:rsidR="00ED3C47" w:rsidRPr="00591851">
        <w:t>in 202</w:t>
      </w:r>
      <w:r w:rsidR="00DA3BA5">
        <w:t>5</w:t>
      </w:r>
      <w:r w:rsidR="00ED3C47" w:rsidRPr="00591851">
        <w:t>/2</w:t>
      </w:r>
      <w:r w:rsidR="00DA3BA5">
        <w:t>6</w:t>
      </w:r>
      <w:r w:rsidR="00ED3C47" w:rsidRPr="00591851">
        <w:t xml:space="preserve"> to </w:t>
      </w:r>
      <w:r w:rsidR="00C3718C" w:rsidRPr="00591851">
        <w:t>deliver the capital programme</w:t>
      </w:r>
      <w:r w:rsidRPr="003957F2">
        <w:t>.</w:t>
      </w:r>
      <w:r w:rsidR="00B440C5" w:rsidRPr="003957F2">
        <w:t xml:space="preserve"> </w:t>
      </w:r>
    </w:p>
    <w:p w14:paraId="22A9681C" w14:textId="16B199ED" w:rsidR="00E308AD" w:rsidRPr="00C94FD9" w:rsidRDefault="00E308AD" w:rsidP="0004046D">
      <w:pPr>
        <w:pStyle w:val="ListParagraph"/>
        <w:numPr>
          <w:ilvl w:val="0"/>
          <w:numId w:val="14"/>
        </w:numPr>
        <w:spacing w:after="120"/>
        <w:ind w:left="851"/>
      </w:pPr>
      <w:r w:rsidRPr="00C94FD9">
        <w:t>The Authority is compliant with the recommendations of the CIPFA’s Prudential Code for Capital Finance.</w:t>
      </w:r>
    </w:p>
    <w:p w14:paraId="080CF274" w14:textId="22C9F1D3" w:rsidR="00DE5C6A" w:rsidRPr="00C94FD9" w:rsidRDefault="00FD7B27" w:rsidP="0004046D">
      <w:pPr>
        <w:pStyle w:val="ListParagraph"/>
        <w:numPr>
          <w:ilvl w:val="0"/>
          <w:numId w:val="14"/>
        </w:numPr>
        <w:spacing w:after="120"/>
        <w:ind w:left="851"/>
      </w:pPr>
      <w:r>
        <w:t>At the time of this report, l</w:t>
      </w:r>
      <w:r w:rsidR="00DE5C6A" w:rsidRPr="00C94FD9">
        <w:t xml:space="preserve">oans </w:t>
      </w:r>
      <w:r w:rsidR="00DE5C6A" w:rsidRPr="00591851">
        <w:t>of £2</w:t>
      </w:r>
      <w:r w:rsidRPr="00591851">
        <w:t>4</w:t>
      </w:r>
      <w:r w:rsidR="00DE5C6A" w:rsidRPr="00591851">
        <w:t>.5m are</w:t>
      </w:r>
      <w:r w:rsidR="00DE5C6A" w:rsidRPr="00C94FD9">
        <w:t xml:space="preserve"> held against an approved limit of £40m of debt.</w:t>
      </w:r>
    </w:p>
    <w:p w14:paraId="2E187616" w14:textId="664AA54B" w:rsidR="00DE5C6A" w:rsidRPr="00C94FD9" w:rsidRDefault="00DE5C6A" w:rsidP="0004046D">
      <w:pPr>
        <w:pStyle w:val="ListParagraph"/>
        <w:numPr>
          <w:ilvl w:val="0"/>
          <w:numId w:val="14"/>
        </w:numPr>
        <w:spacing w:after="120"/>
        <w:ind w:left="851"/>
      </w:pPr>
      <w:r w:rsidRPr="00C94FD9">
        <w:t>The Authority is unable to repay loans early without significant penalties.</w:t>
      </w:r>
    </w:p>
    <w:p w14:paraId="401A046F" w14:textId="01D16820" w:rsidR="00B87767" w:rsidRPr="00A5542D" w:rsidRDefault="00DE5C6A" w:rsidP="00A5542D">
      <w:pPr>
        <w:pStyle w:val="ListParagraph"/>
        <w:numPr>
          <w:ilvl w:val="0"/>
          <w:numId w:val="14"/>
        </w:numPr>
        <w:spacing w:after="360"/>
        <w:ind w:left="850" w:hanging="357"/>
        <w:jc w:val="both"/>
        <w:rPr>
          <w:rFonts w:asciiTheme="minorBidi" w:hAnsiTheme="minorBidi" w:cstheme="minorBidi"/>
          <w:bCs/>
          <w:color w:val="000000"/>
        </w:rPr>
      </w:pPr>
      <w:r w:rsidRPr="00C94FD9">
        <w:t>The Authority aims to maintain an investment portfolio of high credit quality investments with a liquid maturity profile.</w:t>
      </w:r>
    </w:p>
    <w:p w14:paraId="1CC548AF" w14:textId="4D3CBAC4" w:rsidR="00EF49D9" w:rsidRPr="00EA4466" w:rsidRDefault="00EF49D9" w:rsidP="00191AA6">
      <w:pPr>
        <w:pStyle w:val="Heading1"/>
        <w:numPr>
          <w:ilvl w:val="0"/>
          <w:numId w:val="7"/>
        </w:numPr>
        <w:spacing w:before="0" w:after="240"/>
        <w:ind w:left="425" w:hanging="425"/>
        <w:rPr>
          <w:rFonts w:asciiTheme="minorBidi" w:hAnsiTheme="minorBidi" w:cstheme="minorBidi"/>
          <w:sz w:val="28"/>
          <w:szCs w:val="28"/>
        </w:rPr>
      </w:pPr>
      <w:bookmarkStart w:id="6" w:name="_Toc130486350"/>
      <w:r w:rsidRPr="00EA4466">
        <w:rPr>
          <w:rFonts w:asciiTheme="minorBidi" w:hAnsiTheme="minorBidi" w:cstheme="minorBidi"/>
          <w:sz w:val="28"/>
          <w:szCs w:val="28"/>
        </w:rPr>
        <w:t xml:space="preserve">Changes Since </w:t>
      </w:r>
      <w:r w:rsidR="00807767" w:rsidRPr="00EA4466">
        <w:rPr>
          <w:rFonts w:asciiTheme="minorBidi" w:hAnsiTheme="minorBidi" w:cstheme="minorBidi"/>
          <w:sz w:val="28"/>
          <w:szCs w:val="28"/>
        </w:rPr>
        <w:t>202</w:t>
      </w:r>
      <w:r w:rsidR="0064613A">
        <w:rPr>
          <w:rFonts w:asciiTheme="minorBidi" w:hAnsiTheme="minorBidi" w:cstheme="minorBidi"/>
          <w:sz w:val="28"/>
          <w:szCs w:val="28"/>
        </w:rPr>
        <w:t>2</w:t>
      </w:r>
      <w:r w:rsidR="00807767" w:rsidRPr="00EA4466">
        <w:rPr>
          <w:rFonts w:asciiTheme="minorBidi" w:hAnsiTheme="minorBidi" w:cstheme="minorBidi"/>
          <w:sz w:val="28"/>
          <w:szCs w:val="28"/>
        </w:rPr>
        <w:t>/2</w:t>
      </w:r>
      <w:r w:rsidR="0064613A">
        <w:rPr>
          <w:rFonts w:asciiTheme="minorBidi" w:hAnsiTheme="minorBidi" w:cstheme="minorBidi"/>
          <w:sz w:val="28"/>
          <w:szCs w:val="28"/>
        </w:rPr>
        <w:t>3</w:t>
      </w:r>
      <w:r w:rsidR="00807767" w:rsidRPr="00EA4466">
        <w:rPr>
          <w:rFonts w:asciiTheme="minorBidi" w:hAnsiTheme="minorBidi" w:cstheme="minorBidi"/>
          <w:sz w:val="28"/>
          <w:szCs w:val="28"/>
        </w:rPr>
        <w:t xml:space="preserve"> Treasury Management Strategy</w:t>
      </w:r>
      <w:bookmarkEnd w:id="6"/>
    </w:p>
    <w:p w14:paraId="112631B8" w14:textId="1EE5C008" w:rsidR="00EA4466" w:rsidRPr="002751C4" w:rsidRDefault="00940B46" w:rsidP="0004046D">
      <w:pPr>
        <w:pStyle w:val="ListParagraph"/>
        <w:numPr>
          <w:ilvl w:val="0"/>
          <w:numId w:val="15"/>
        </w:numPr>
        <w:spacing w:after="120"/>
      </w:pPr>
      <w:r w:rsidRPr="002751C4">
        <w:t>The Capital Financing Requirement</w:t>
      </w:r>
      <w:r w:rsidR="00AE7F9E" w:rsidRPr="002751C4">
        <w:t xml:space="preserve"> (CFR)</w:t>
      </w:r>
      <w:r w:rsidRPr="002751C4">
        <w:t xml:space="preserve"> is forecast to </w:t>
      </w:r>
      <w:r w:rsidR="00A4386F">
        <w:t>be</w:t>
      </w:r>
      <w:r w:rsidRPr="002751C4">
        <w:t xml:space="preserve"> </w:t>
      </w:r>
      <w:r w:rsidR="00A522B2" w:rsidRPr="002751C4">
        <w:t>£31.</w:t>
      </w:r>
      <w:r w:rsidR="00153557">
        <w:t>2</w:t>
      </w:r>
      <w:r w:rsidR="00A522B2" w:rsidRPr="002751C4">
        <w:t>m by 2024/25</w:t>
      </w:r>
      <w:r w:rsidRPr="002751C4">
        <w:t xml:space="preserve">, which is </w:t>
      </w:r>
      <w:r w:rsidR="00E23EC1" w:rsidRPr="002751C4">
        <w:t>£</w:t>
      </w:r>
      <w:r w:rsidR="00DD385C">
        <w:t>4.2</w:t>
      </w:r>
      <w:r w:rsidR="00E23EC1" w:rsidRPr="002751C4">
        <w:t xml:space="preserve">m </w:t>
      </w:r>
      <w:r w:rsidR="00E42A76" w:rsidRPr="002751C4">
        <w:t>lower</w:t>
      </w:r>
      <w:r w:rsidR="00E23EC1" w:rsidRPr="002751C4">
        <w:t xml:space="preserve"> than under the previous strategy (£3</w:t>
      </w:r>
      <w:r w:rsidR="00E42A76" w:rsidRPr="002751C4">
        <w:t>5</w:t>
      </w:r>
      <w:r w:rsidR="00E23EC1" w:rsidRPr="002751C4">
        <w:t>.4m)</w:t>
      </w:r>
      <w:r w:rsidR="00EA4466" w:rsidRPr="002751C4">
        <w:t>.</w:t>
      </w:r>
      <w:r w:rsidR="005D09DF" w:rsidRPr="002751C4">
        <w:t xml:space="preserve"> This is due to </w:t>
      </w:r>
      <w:r w:rsidR="001532FC" w:rsidRPr="002751C4">
        <w:t>changes reflected in the capital programme (see Capital Strategy).</w:t>
      </w:r>
      <w:r w:rsidR="00EA4466" w:rsidRPr="002751C4">
        <w:t xml:space="preserve"> </w:t>
      </w:r>
    </w:p>
    <w:p w14:paraId="76F5EE16" w14:textId="5C2F9236" w:rsidR="00940B46" w:rsidRPr="002751C4" w:rsidRDefault="00E23EC1" w:rsidP="0004046D">
      <w:pPr>
        <w:pStyle w:val="ListParagraph"/>
        <w:numPr>
          <w:ilvl w:val="0"/>
          <w:numId w:val="15"/>
        </w:numPr>
        <w:spacing w:after="120"/>
      </w:pPr>
      <w:r w:rsidRPr="002751C4">
        <w:t>As a result, t</w:t>
      </w:r>
      <w:r w:rsidR="00940B46" w:rsidRPr="002751C4">
        <w:t xml:space="preserve">he Authority may need to borrow </w:t>
      </w:r>
      <w:r w:rsidRPr="002751C4">
        <w:t>£</w:t>
      </w:r>
      <w:r w:rsidR="001629F5">
        <w:t>9.4</w:t>
      </w:r>
      <w:r w:rsidRPr="002751C4">
        <w:t xml:space="preserve">m </w:t>
      </w:r>
      <w:r w:rsidR="00940B46" w:rsidRPr="002751C4">
        <w:t>in 202</w:t>
      </w:r>
      <w:r w:rsidR="005D1AE0" w:rsidRPr="002751C4">
        <w:t>5</w:t>
      </w:r>
      <w:r w:rsidR="00940B46" w:rsidRPr="002751C4">
        <w:t>/2</w:t>
      </w:r>
      <w:r w:rsidR="005D1AE0" w:rsidRPr="002751C4">
        <w:t>6</w:t>
      </w:r>
      <w:r w:rsidR="00A94834" w:rsidRPr="002751C4">
        <w:t>. Under the previous strategy, the Authority was forecast to</w:t>
      </w:r>
      <w:r w:rsidR="005D1AE0" w:rsidRPr="002751C4">
        <w:t xml:space="preserve"> borrow £1.6m in 2024/25</w:t>
      </w:r>
      <w:r w:rsidR="00A94834" w:rsidRPr="002751C4">
        <w:t>.</w:t>
      </w:r>
      <w:r w:rsidR="000D101B" w:rsidRPr="002751C4">
        <w:t xml:space="preserve"> </w:t>
      </w:r>
    </w:p>
    <w:p w14:paraId="28B96713" w14:textId="387D91DD" w:rsidR="00592AD5" w:rsidRPr="002751C4" w:rsidRDefault="00592AD5" w:rsidP="0004046D">
      <w:pPr>
        <w:pStyle w:val="ListParagraph"/>
        <w:numPr>
          <w:ilvl w:val="0"/>
          <w:numId w:val="15"/>
        </w:numPr>
        <w:spacing w:after="120"/>
      </w:pPr>
      <w:r w:rsidRPr="002751C4">
        <w:t>The Liability Benchmark is forecast to increase to £</w:t>
      </w:r>
      <w:r w:rsidR="002751C4" w:rsidRPr="002751C4">
        <w:t>4</w:t>
      </w:r>
      <w:r w:rsidR="001629F5">
        <w:t>0</w:t>
      </w:r>
      <w:r w:rsidRPr="002751C4">
        <w:t>.</w:t>
      </w:r>
      <w:r w:rsidR="001629F5">
        <w:t>9</w:t>
      </w:r>
      <w:r w:rsidRPr="002751C4">
        <w:t>m</w:t>
      </w:r>
      <w:r w:rsidR="005B5D37" w:rsidRPr="002751C4">
        <w:t>. Under the previous strategy, this was forecast as £</w:t>
      </w:r>
      <w:r w:rsidR="002751C4" w:rsidRPr="002751C4">
        <w:t>34.1m</w:t>
      </w:r>
      <w:r w:rsidR="00AE7F9E" w:rsidRPr="002751C4">
        <w:t>. The increase is a result of a higher CFR.</w:t>
      </w:r>
    </w:p>
    <w:p w14:paraId="7A499C21" w14:textId="367DF609" w:rsidR="0041128E" w:rsidRPr="002751C4" w:rsidRDefault="00134C4A" w:rsidP="0004046D">
      <w:pPr>
        <w:pStyle w:val="ListParagraph"/>
        <w:numPr>
          <w:ilvl w:val="0"/>
          <w:numId w:val="15"/>
        </w:numPr>
        <w:spacing w:after="120"/>
      </w:pPr>
      <w:r w:rsidRPr="002751C4">
        <w:t>The Approved Counterparty Limits (table 4)</w:t>
      </w:r>
      <w:r w:rsidR="0041128E" w:rsidRPr="002751C4">
        <w:t xml:space="preserve"> has been updated to reflect the latest risk profile of the Authority.</w:t>
      </w:r>
    </w:p>
    <w:p w14:paraId="6DC28ACB" w14:textId="34613640" w:rsidR="00FF3E00" w:rsidRPr="00EA4466" w:rsidRDefault="00FF3E00" w:rsidP="00EA4466">
      <w:pPr>
        <w:pStyle w:val="ListParagraph"/>
        <w:spacing w:after="240"/>
        <w:ind w:left="2520"/>
        <w:jc w:val="both"/>
        <w:rPr>
          <w:rFonts w:asciiTheme="minorBidi" w:hAnsiTheme="minorBidi" w:cstheme="minorBidi"/>
          <w:b/>
          <w:bCs/>
          <w:kern w:val="32"/>
          <w:sz w:val="28"/>
          <w:szCs w:val="28"/>
        </w:rPr>
      </w:pPr>
    </w:p>
    <w:p w14:paraId="69F32486" w14:textId="77777777" w:rsidR="00EA4466" w:rsidRDefault="00EA4466" w:rsidP="00EA4466">
      <w:pPr>
        <w:rPr>
          <w:rFonts w:asciiTheme="minorBidi" w:hAnsiTheme="minorBidi" w:cstheme="minorBidi"/>
          <w:b/>
          <w:bCs/>
          <w:kern w:val="32"/>
          <w:sz w:val="28"/>
          <w:szCs w:val="28"/>
        </w:rPr>
      </w:pPr>
    </w:p>
    <w:p w14:paraId="1B752B1A" w14:textId="77777777" w:rsidR="00EA4466" w:rsidRDefault="00EA4466" w:rsidP="00EA4466">
      <w:pPr>
        <w:rPr>
          <w:rFonts w:asciiTheme="minorBidi" w:hAnsiTheme="minorBidi" w:cstheme="minorBidi"/>
        </w:rPr>
      </w:pPr>
    </w:p>
    <w:p w14:paraId="2F47882C" w14:textId="77777777" w:rsidR="00BB2E60" w:rsidRPr="00BB2E60" w:rsidRDefault="00BB2E60" w:rsidP="00BB2E60">
      <w:pPr>
        <w:rPr>
          <w:rFonts w:asciiTheme="minorBidi" w:hAnsiTheme="minorBidi" w:cstheme="minorBidi"/>
        </w:rPr>
      </w:pPr>
    </w:p>
    <w:p w14:paraId="35DCFBA4" w14:textId="77777777" w:rsidR="00BB2E60" w:rsidRPr="00BB2E60" w:rsidRDefault="00BB2E60" w:rsidP="00BB2E60">
      <w:pPr>
        <w:rPr>
          <w:rFonts w:asciiTheme="minorBidi" w:hAnsiTheme="minorBidi" w:cstheme="minorBidi"/>
        </w:rPr>
      </w:pPr>
    </w:p>
    <w:p w14:paraId="3B4EBF8F" w14:textId="77777777" w:rsidR="00BB2E60" w:rsidRPr="00BB2E60" w:rsidRDefault="00BB2E60" w:rsidP="00BB2E60">
      <w:pPr>
        <w:rPr>
          <w:rFonts w:asciiTheme="minorBidi" w:hAnsiTheme="minorBidi" w:cstheme="minorBidi"/>
        </w:rPr>
      </w:pPr>
    </w:p>
    <w:p w14:paraId="4313CCA4" w14:textId="77777777" w:rsidR="00BB2E60" w:rsidRPr="00BB2E60" w:rsidRDefault="00BB2E60" w:rsidP="00BB2E60">
      <w:pPr>
        <w:rPr>
          <w:rFonts w:asciiTheme="minorBidi" w:hAnsiTheme="minorBidi" w:cstheme="minorBidi"/>
        </w:rPr>
      </w:pPr>
    </w:p>
    <w:p w14:paraId="002D7504" w14:textId="77777777" w:rsidR="00BB2E60" w:rsidRPr="00BB2E60" w:rsidRDefault="00BB2E60" w:rsidP="00BB2E60">
      <w:pPr>
        <w:rPr>
          <w:rFonts w:asciiTheme="minorBidi" w:hAnsiTheme="minorBidi" w:cstheme="minorBidi"/>
        </w:rPr>
      </w:pPr>
    </w:p>
    <w:p w14:paraId="65568108" w14:textId="77777777" w:rsidR="00BB2E60" w:rsidRPr="00BB2E60" w:rsidRDefault="00BB2E60" w:rsidP="00BB2E60">
      <w:pPr>
        <w:rPr>
          <w:rFonts w:asciiTheme="minorBidi" w:hAnsiTheme="minorBidi" w:cstheme="minorBidi"/>
        </w:rPr>
      </w:pPr>
    </w:p>
    <w:p w14:paraId="339E45C4" w14:textId="77777777" w:rsidR="00BB2E60" w:rsidRPr="00BB2E60" w:rsidRDefault="00BB2E60" w:rsidP="00BB2E60">
      <w:pPr>
        <w:rPr>
          <w:rFonts w:asciiTheme="minorBidi" w:hAnsiTheme="minorBidi" w:cstheme="minorBidi"/>
        </w:rPr>
      </w:pPr>
    </w:p>
    <w:p w14:paraId="15EB7DE2" w14:textId="77777777" w:rsidR="00BB2E60" w:rsidRPr="00BB2E60" w:rsidRDefault="00BB2E60" w:rsidP="00BB2E60">
      <w:pPr>
        <w:rPr>
          <w:rFonts w:asciiTheme="minorBidi" w:hAnsiTheme="minorBidi" w:cstheme="minorBidi"/>
        </w:rPr>
      </w:pPr>
    </w:p>
    <w:p w14:paraId="39238D0B" w14:textId="77777777" w:rsidR="00BB2E60" w:rsidRPr="00BB2E60" w:rsidRDefault="00BB2E60" w:rsidP="00BB2E60">
      <w:pPr>
        <w:rPr>
          <w:rFonts w:asciiTheme="minorBidi" w:hAnsiTheme="minorBidi" w:cstheme="minorBidi"/>
        </w:rPr>
      </w:pPr>
    </w:p>
    <w:p w14:paraId="617C6762" w14:textId="77777777" w:rsidR="00BB2E60" w:rsidRPr="00BB2E60" w:rsidRDefault="00BB2E60" w:rsidP="00BB2E60">
      <w:pPr>
        <w:rPr>
          <w:rFonts w:asciiTheme="minorBidi" w:hAnsiTheme="minorBidi" w:cstheme="minorBidi"/>
        </w:rPr>
      </w:pPr>
    </w:p>
    <w:p w14:paraId="491D82D7" w14:textId="77777777" w:rsidR="00BB2E60" w:rsidRPr="00BB2E60" w:rsidRDefault="00BB2E60" w:rsidP="00BB2E60">
      <w:pPr>
        <w:rPr>
          <w:rFonts w:asciiTheme="minorBidi" w:hAnsiTheme="minorBidi" w:cstheme="minorBidi"/>
        </w:rPr>
      </w:pPr>
    </w:p>
    <w:p w14:paraId="59555EEE" w14:textId="77777777" w:rsidR="00BB2E60" w:rsidRPr="00BB2E60" w:rsidRDefault="00BB2E60" w:rsidP="00BB2E60">
      <w:pPr>
        <w:rPr>
          <w:rFonts w:asciiTheme="minorBidi" w:hAnsiTheme="minorBidi" w:cstheme="minorBidi"/>
        </w:rPr>
      </w:pPr>
    </w:p>
    <w:p w14:paraId="7F15B71A" w14:textId="77777777" w:rsidR="00BB2E60" w:rsidRPr="00BB2E60" w:rsidRDefault="00BB2E60" w:rsidP="00BB2E60">
      <w:pPr>
        <w:rPr>
          <w:rFonts w:asciiTheme="minorBidi" w:hAnsiTheme="minorBidi" w:cstheme="minorBidi"/>
        </w:rPr>
      </w:pPr>
    </w:p>
    <w:p w14:paraId="4B4C139A" w14:textId="77777777" w:rsidR="00BB2E60" w:rsidRPr="00BB2E60" w:rsidRDefault="00BB2E60" w:rsidP="00BB2E60">
      <w:pPr>
        <w:rPr>
          <w:rFonts w:asciiTheme="minorBidi" w:hAnsiTheme="minorBidi" w:cstheme="minorBidi"/>
        </w:rPr>
      </w:pPr>
    </w:p>
    <w:p w14:paraId="44CE562C" w14:textId="77777777" w:rsidR="00BB2E60" w:rsidRPr="00BB2E60" w:rsidRDefault="00BB2E60" w:rsidP="00BB2E60">
      <w:pPr>
        <w:rPr>
          <w:rFonts w:asciiTheme="minorBidi" w:hAnsiTheme="minorBidi" w:cstheme="minorBidi"/>
        </w:rPr>
      </w:pPr>
    </w:p>
    <w:p w14:paraId="576B5B61" w14:textId="77777777" w:rsidR="00BB2E60" w:rsidRPr="00BB2E60" w:rsidRDefault="00BB2E60" w:rsidP="00BB2E60">
      <w:pPr>
        <w:rPr>
          <w:rFonts w:asciiTheme="minorBidi" w:hAnsiTheme="minorBidi" w:cstheme="minorBidi"/>
        </w:rPr>
      </w:pPr>
    </w:p>
    <w:p w14:paraId="4F003D02" w14:textId="77777777" w:rsidR="00BB2E60" w:rsidRPr="00BB2E60" w:rsidRDefault="00BB2E60" w:rsidP="00BB2E60">
      <w:pPr>
        <w:rPr>
          <w:rFonts w:asciiTheme="minorBidi" w:hAnsiTheme="minorBidi" w:cstheme="minorBidi"/>
        </w:rPr>
      </w:pPr>
    </w:p>
    <w:p w14:paraId="181712C0" w14:textId="77777777" w:rsidR="00BB2E60" w:rsidRPr="00BB2E60" w:rsidRDefault="00BB2E60" w:rsidP="00BB2E60">
      <w:pPr>
        <w:rPr>
          <w:rFonts w:asciiTheme="minorBidi" w:hAnsiTheme="minorBidi" w:cstheme="minorBidi"/>
        </w:rPr>
      </w:pPr>
    </w:p>
    <w:p w14:paraId="345BB91C" w14:textId="77777777" w:rsidR="00B70DBE" w:rsidRDefault="00B70DBE" w:rsidP="00BB2E60">
      <w:pPr>
        <w:ind w:firstLine="720"/>
        <w:rPr>
          <w:rFonts w:asciiTheme="minorBidi" w:hAnsiTheme="minorBidi" w:cstheme="minorBidi"/>
        </w:rPr>
        <w:sectPr w:rsidR="00B70DBE" w:rsidSect="009D5371">
          <w:pgSz w:w="11906" w:h="16838" w:code="9"/>
          <w:pgMar w:top="1134" w:right="1134" w:bottom="142" w:left="1276" w:header="709" w:footer="709" w:gutter="0"/>
          <w:pgNumType w:start="2"/>
          <w:cols w:space="708"/>
          <w:docGrid w:linePitch="360"/>
        </w:sectPr>
      </w:pPr>
    </w:p>
    <w:p w14:paraId="0A38E17F" w14:textId="42D36424" w:rsidR="007E570A" w:rsidRPr="00797E5A" w:rsidRDefault="00BB2E60" w:rsidP="00A5542D">
      <w:pPr>
        <w:pStyle w:val="Heading1"/>
        <w:numPr>
          <w:ilvl w:val="0"/>
          <w:numId w:val="13"/>
        </w:numPr>
        <w:spacing w:before="0" w:after="240"/>
        <w:rPr>
          <w:rFonts w:asciiTheme="minorBidi" w:hAnsiTheme="minorBidi" w:cstheme="minorBidi"/>
          <w:sz w:val="28"/>
          <w:szCs w:val="28"/>
        </w:rPr>
      </w:pPr>
      <w:bookmarkStart w:id="7" w:name="_Toc73025260"/>
      <w:bookmarkStart w:id="8" w:name="_Toc130486351"/>
      <w:r>
        <w:rPr>
          <w:rFonts w:asciiTheme="minorBidi" w:hAnsiTheme="minorBidi" w:cstheme="minorBidi"/>
          <w:sz w:val="28"/>
          <w:szCs w:val="28"/>
        </w:rPr>
        <w:lastRenderedPageBreak/>
        <w:t>L</w:t>
      </w:r>
      <w:r w:rsidR="007E570A" w:rsidRPr="00797E5A">
        <w:rPr>
          <w:rFonts w:asciiTheme="minorBidi" w:hAnsiTheme="minorBidi" w:cstheme="minorBidi"/>
          <w:sz w:val="28"/>
          <w:szCs w:val="28"/>
        </w:rPr>
        <w:t>ocal Context</w:t>
      </w:r>
      <w:bookmarkEnd w:id="7"/>
      <w:bookmarkEnd w:id="8"/>
    </w:p>
    <w:p w14:paraId="115AD7E1" w14:textId="2B26FBC5" w:rsidR="007E570A" w:rsidRPr="00797E5A" w:rsidRDefault="007E570A" w:rsidP="00797E5A">
      <w:pPr>
        <w:spacing w:after="120"/>
        <w:ind w:left="425"/>
        <w:jc w:val="both"/>
      </w:pPr>
      <w:r w:rsidRPr="00797E5A">
        <w:t>On 31</w:t>
      </w:r>
      <w:r w:rsidRPr="00797E5A">
        <w:rPr>
          <w:vertAlign w:val="superscript"/>
        </w:rPr>
        <w:t>st</w:t>
      </w:r>
      <w:r w:rsidRPr="00797E5A">
        <w:t xml:space="preserve"> March 202</w:t>
      </w:r>
      <w:r w:rsidR="004E596B">
        <w:t>2</w:t>
      </w:r>
      <w:r w:rsidRPr="00797E5A">
        <w:t>, the Authority held £24.5m of borrowing and £</w:t>
      </w:r>
      <w:r w:rsidR="009629EA">
        <w:t>13</w:t>
      </w:r>
      <w:r w:rsidRPr="00797E5A">
        <w:t xml:space="preserve">m of investments. This is set out in further detail at </w:t>
      </w:r>
      <w:r w:rsidRPr="00797E5A">
        <w:rPr>
          <w:b/>
          <w:i/>
        </w:rPr>
        <w:t>Appendix C</w:t>
      </w:r>
      <w:r w:rsidRPr="00797E5A">
        <w:t xml:space="preserve">. Forecast changes in these sums are shown in the balance sheet analysis in table 1 below. </w:t>
      </w:r>
    </w:p>
    <w:p w14:paraId="7AF86598" w14:textId="00D9BAB2" w:rsidR="007E570A" w:rsidRPr="00797E5A" w:rsidRDefault="007E570A" w:rsidP="0069258D">
      <w:pPr>
        <w:spacing w:after="240"/>
        <w:ind w:left="425"/>
        <w:jc w:val="both"/>
        <w:rPr>
          <w:i/>
          <w:iCs/>
        </w:rPr>
      </w:pPr>
      <w:r w:rsidRPr="00797E5A">
        <w:rPr>
          <w:i/>
          <w:iCs/>
        </w:rPr>
        <w:t>[Note - 31.3.2</w:t>
      </w:r>
      <w:r w:rsidR="0040796F">
        <w:rPr>
          <w:i/>
          <w:iCs/>
        </w:rPr>
        <w:t>2</w:t>
      </w:r>
      <w:r w:rsidRPr="00797E5A">
        <w:rPr>
          <w:i/>
          <w:iCs/>
        </w:rPr>
        <w:t xml:space="preserve"> figures are taken from the</w:t>
      </w:r>
      <w:r w:rsidR="0079239F" w:rsidRPr="00797E5A">
        <w:rPr>
          <w:i/>
          <w:iCs/>
        </w:rPr>
        <w:t xml:space="preserve"> </w:t>
      </w:r>
      <w:r w:rsidR="00F02AB0">
        <w:rPr>
          <w:i/>
          <w:iCs/>
        </w:rPr>
        <w:t>audited</w:t>
      </w:r>
      <w:r w:rsidR="00F02AB0" w:rsidRPr="00797E5A">
        <w:rPr>
          <w:i/>
          <w:iCs/>
        </w:rPr>
        <w:t xml:space="preserve"> </w:t>
      </w:r>
      <w:r w:rsidRPr="00797E5A">
        <w:rPr>
          <w:i/>
          <w:iCs/>
        </w:rPr>
        <w:t>202</w:t>
      </w:r>
      <w:r w:rsidR="0040796F">
        <w:rPr>
          <w:i/>
          <w:iCs/>
        </w:rPr>
        <w:t>2</w:t>
      </w:r>
      <w:r w:rsidRPr="00797E5A">
        <w:rPr>
          <w:i/>
          <w:iCs/>
        </w:rPr>
        <w:t xml:space="preserve"> accounts]</w:t>
      </w:r>
    </w:p>
    <w:p w14:paraId="332B4669" w14:textId="7EF45AC0" w:rsidR="00C51318" w:rsidRPr="0069258D" w:rsidRDefault="007E570A" w:rsidP="0004046D">
      <w:pPr>
        <w:spacing w:after="120"/>
        <w:ind w:left="426"/>
        <w:jc w:val="both"/>
        <w:rPr>
          <w:b/>
          <w:bCs/>
        </w:rPr>
      </w:pPr>
      <w:r w:rsidRPr="0069258D">
        <w:rPr>
          <w:b/>
          <w:bCs/>
        </w:rPr>
        <w:t>Table 1: Balance sheet summary and forecast (further detail 31.3.2</w:t>
      </w:r>
      <w:r w:rsidR="00D342C9">
        <w:rPr>
          <w:b/>
          <w:bCs/>
        </w:rPr>
        <w:t>2</w:t>
      </w:r>
      <w:r w:rsidRPr="0069258D">
        <w:rPr>
          <w:b/>
          <w:bCs/>
        </w:rPr>
        <w:t xml:space="preserve"> at appendix</w:t>
      </w:r>
      <w:r w:rsidR="0069258D">
        <w:rPr>
          <w:b/>
          <w:bCs/>
        </w:rPr>
        <w:t xml:space="preserve"> </w:t>
      </w:r>
      <w:r w:rsidRPr="0069258D">
        <w:rPr>
          <w:b/>
          <w:bCs/>
        </w:rPr>
        <w:t>D)</w:t>
      </w:r>
    </w:p>
    <w:tbl>
      <w:tblPr>
        <w:tblW w:w="15025" w:type="dxa"/>
        <w:tblInd w:w="416" w:type="dxa"/>
        <w:tblLook w:val="04A0" w:firstRow="1" w:lastRow="0" w:firstColumn="1" w:lastColumn="0" w:noHBand="0" w:noVBand="1"/>
      </w:tblPr>
      <w:tblGrid>
        <w:gridCol w:w="3545"/>
        <w:gridCol w:w="963"/>
        <w:gridCol w:w="1050"/>
        <w:gridCol w:w="1052"/>
        <w:gridCol w:w="1055"/>
        <w:gridCol w:w="1055"/>
        <w:gridCol w:w="1050"/>
        <w:gridCol w:w="1050"/>
        <w:gridCol w:w="1055"/>
        <w:gridCol w:w="1050"/>
        <w:gridCol w:w="1050"/>
        <w:gridCol w:w="1050"/>
      </w:tblGrid>
      <w:tr w:rsidR="00DB01E4" w:rsidRPr="004F48AD" w14:paraId="4FB4CE6D" w14:textId="3860411E" w:rsidTr="00DB01E4">
        <w:trPr>
          <w:trHeight w:val="431"/>
        </w:trPr>
        <w:tc>
          <w:tcPr>
            <w:tcW w:w="3545" w:type="dxa"/>
            <w:vMerge w:val="restart"/>
            <w:tcBorders>
              <w:top w:val="single" w:sz="8" w:space="0" w:color="auto"/>
              <w:left w:val="single" w:sz="8" w:space="0" w:color="auto"/>
              <w:bottom w:val="single" w:sz="12" w:space="0" w:color="000000"/>
              <w:right w:val="single" w:sz="8" w:space="0" w:color="auto"/>
            </w:tcBorders>
            <w:shd w:val="clear" w:color="000000" w:fill="BDD7EE"/>
            <w:vAlign w:val="center"/>
            <w:hideMark/>
          </w:tcPr>
          <w:p w14:paraId="13B75055" w14:textId="77777777" w:rsidR="00DB01E4" w:rsidRPr="00E41D09" w:rsidRDefault="00DB01E4" w:rsidP="00DB01E4">
            <w:pPr>
              <w:rPr>
                <w:b/>
                <w:bCs/>
                <w:sz w:val="20"/>
                <w:szCs w:val="20"/>
                <w:lang w:eastAsia="en-GB"/>
              </w:rPr>
            </w:pPr>
            <w:r w:rsidRPr="00E41D09">
              <w:rPr>
                <w:b/>
                <w:bCs/>
                <w:sz w:val="20"/>
                <w:szCs w:val="20"/>
                <w:lang w:eastAsia="en-GB"/>
              </w:rPr>
              <w:t> </w:t>
            </w:r>
          </w:p>
        </w:tc>
        <w:tc>
          <w:tcPr>
            <w:tcW w:w="963" w:type="dxa"/>
            <w:tcBorders>
              <w:top w:val="single" w:sz="8" w:space="0" w:color="auto"/>
              <w:left w:val="nil"/>
              <w:bottom w:val="nil"/>
              <w:right w:val="single" w:sz="8" w:space="0" w:color="auto"/>
            </w:tcBorders>
            <w:shd w:val="clear" w:color="000000" w:fill="BDD7EE"/>
            <w:hideMark/>
          </w:tcPr>
          <w:p w14:paraId="7A918C57" w14:textId="03CFCF1D" w:rsidR="00DB01E4" w:rsidRPr="00E41D09" w:rsidRDefault="00DB01E4" w:rsidP="00DB01E4">
            <w:pPr>
              <w:jc w:val="center"/>
              <w:rPr>
                <w:b/>
                <w:bCs/>
                <w:sz w:val="20"/>
                <w:szCs w:val="20"/>
                <w:lang w:eastAsia="en-GB"/>
              </w:rPr>
            </w:pPr>
            <w:r w:rsidRPr="00E41D09">
              <w:rPr>
                <w:b/>
                <w:bCs/>
                <w:sz w:val="20"/>
                <w:szCs w:val="20"/>
                <w:lang w:eastAsia="en-GB"/>
              </w:rPr>
              <w:t>Actual 2021</w:t>
            </w:r>
            <w:r w:rsidR="0088623D">
              <w:rPr>
                <w:b/>
                <w:bCs/>
                <w:sz w:val="20"/>
                <w:szCs w:val="20"/>
                <w:lang w:eastAsia="en-GB"/>
              </w:rPr>
              <w:t>/</w:t>
            </w:r>
            <w:r w:rsidRPr="00E41D09">
              <w:rPr>
                <w:b/>
                <w:bCs/>
                <w:sz w:val="20"/>
                <w:szCs w:val="20"/>
                <w:lang w:eastAsia="en-GB"/>
              </w:rPr>
              <w:t>22</w:t>
            </w:r>
          </w:p>
        </w:tc>
        <w:tc>
          <w:tcPr>
            <w:tcW w:w="1050" w:type="dxa"/>
            <w:tcBorders>
              <w:top w:val="single" w:sz="8" w:space="0" w:color="auto"/>
              <w:left w:val="nil"/>
              <w:bottom w:val="nil"/>
              <w:right w:val="single" w:sz="8" w:space="0" w:color="auto"/>
            </w:tcBorders>
            <w:shd w:val="clear" w:color="000000" w:fill="BDD7EE"/>
            <w:hideMark/>
          </w:tcPr>
          <w:p w14:paraId="3CC1E00A" w14:textId="49554268" w:rsidR="00DB01E4" w:rsidRPr="00E41D09" w:rsidRDefault="00DB01E4" w:rsidP="00DB01E4">
            <w:pPr>
              <w:jc w:val="center"/>
              <w:rPr>
                <w:b/>
                <w:bCs/>
                <w:sz w:val="20"/>
                <w:szCs w:val="20"/>
                <w:lang w:eastAsia="en-GB"/>
              </w:rPr>
            </w:pPr>
            <w:r w:rsidRPr="00E41D09">
              <w:rPr>
                <w:b/>
                <w:bCs/>
                <w:sz w:val="20"/>
                <w:szCs w:val="20"/>
                <w:lang w:eastAsia="en-GB"/>
              </w:rPr>
              <w:t>Forecast 2022/23</w:t>
            </w:r>
          </w:p>
        </w:tc>
        <w:tc>
          <w:tcPr>
            <w:tcW w:w="1052" w:type="dxa"/>
            <w:tcBorders>
              <w:top w:val="single" w:sz="8" w:space="0" w:color="auto"/>
              <w:left w:val="nil"/>
              <w:bottom w:val="nil"/>
              <w:right w:val="single" w:sz="8" w:space="0" w:color="auto"/>
            </w:tcBorders>
            <w:shd w:val="clear" w:color="000000" w:fill="BDD7EE"/>
            <w:hideMark/>
          </w:tcPr>
          <w:p w14:paraId="74BCB1FA" w14:textId="6F02BCED" w:rsidR="00DB01E4" w:rsidRPr="00E41D09" w:rsidRDefault="00DB01E4" w:rsidP="00DB01E4">
            <w:pPr>
              <w:jc w:val="center"/>
              <w:rPr>
                <w:b/>
                <w:bCs/>
                <w:sz w:val="20"/>
                <w:szCs w:val="20"/>
                <w:lang w:eastAsia="en-GB"/>
              </w:rPr>
            </w:pPr>
            <w:r w:rsidRPr="00E41D09">
              <w:rPr>
                <w:b/>
                <w:bCs/>
                <w:sz w:val="20"/>
                <w:szCs w:val="20"/>
                <w:lang w:eastAsia="en-GB"/>
              </w:rPr>
              <w:t>Forecast 2023/24</w:t>
            </w:r>
          </w:p>
        </w:tc>
        <w:tc>
          <w:tcPr>
            <w:tcW w:w="1055" w:type="dxa"/>
            <w:tcBorders>
              <w:top w:val="single" w:sz="8" w:space="0" w:color="auto"/>
              <w:left w:val="nil"/>
              <w:bottom w:val="nil"/>
              <w:right w:val="single" w:sz="8" w:space="0" w:color="auto"/>
            </w:tcBorders>
            <w:shd w:val="clear" w:color="000000" w:fill="BDD7EE"/>
            <w:hideMark/>
          </w:tcPr>
          <w:p w14:paraId="0604B591" w14:textId="1D84B6DD" w:rsidR="00DB01E4" w:rsidRPr="00E41D09" w:rsidRDefault="00DB01E4" w:rsidP="00DB01E4">
            <w:pPr>
              <w:jc w:val="center"/>
              <w:rPr>
                <w:b/>
                <w:bCs/>
                <w:sz w:val="20"/>
                <w:szCs w:val="20"/>
                <w:lang w:eastAsia="en-GB"/>
              </w:rPr>
            </w:pPr>
            <w:r w:rsidRPr="00E41D09">
              <w:rPr>
                <w:b/>
                <w:bCs/>
                <w:sz w:val="20"/>
                <w:szCs w:val="20"/>
                <w:lang w:eastAsia="en-GB"/>
              </w:rPr>
              <w:t>Forecast 2024/25</w:t>
            </w:r>
          </w:p>
        </w:tc>
        <w:tc>
          <w:tcPr>
            <w:tcW w:w="1055" w:type="dxa"/>
            <w:tcBorders>
              <w:top w:val="single" w:sz="8" w:space="0" w:color="auto"/>
              <w:left w:val="nil"/>
              <w:bottom w:val="nil"/>
              <w:right w:val="single" w:sz="8" w:space="0" w:color="auto"/>
            </w:tcBorders>
            <w:shd w:val="clear" w:color="000000" w:fill="BDD7EE"/>
            <w:hideMark/>
          </w:tcPr>
          <w:p w14:paraId="7DB624F5" w14:textId="3A1AF55D" w:rsidR="00DB01E4" w:rsidRPr="00E41D09" w:rsidRDefault="00DB01E4" w:rsidP="00DB01E4">
            <w:pPr>
              <w:jc w:val="center"/>
              <w:rPr>
                <w:b/>
                <w:bCs/>
                <w:sz w:val="20"/>
                <w:szCs w:val="20"/>
                <w:lang w:eastAsia="en-GB"/>
              </w:rPr>
            </w:pPr>
            <w:r w:rsidRPr="00E41D09">
              <w:rPr>
                <w:b/>
                <w:bCs/>
                <w:sz w:val="20"/>
                <w:szCs w:val="20"/>
                <w:lang w:eastAsia="en-GB"/>
              </w:rPr>
              <w:t>Forecast 2025/26</w:t>
            </w:r>
          </w:p>
        </w:tc>
        <w:tc>
          <w:tcPr>
            <w:tcW w:w="1050" w:type="dxa"/>
            <w:tcBorders>
              <w:top w:val="single" w:sz="8" w:space="0" w:color="auto"/>
              <w:left w:val="nil"/>
              <w:bottom w:val="nil"/>
              <w:right w:val="single" w:sz="8" w:space="0" w:color="auto"/>
            </w:tcBorders>
            <w:shd w:val="clear" w:color="000000" w:fill="BDD7EE"/>
          </w:tcPr>
          <w:p w14:paraId="18F39E13" w14:textId="5C3AC0E9" w:rsidR="00DB01E4" w:rsidRPr="00E41D09" w:rsidRDefault="00DB01E4" w:rsidP="00DB01E4">
            <w:pPr>
              <w:jc w:val="center"/>
              <w:rPr>
                <w:b/>
                <w:bCs/>
                <w:sz w:val="20"/>
                <w:szCs w:val="20"/>
                <w:lang w:eastAsia="en-GB"/>
              </w:rPr>
            </w:pPr>
            <w:r w:rsidRPr="00DB01E4">
              <w:rPr>
                <w:b/>
                <w:bCs/>
                <w:sz w:val="20"/>
                <w:szCs w:val="20"/>
                <w:lang w:eastAsia="en-GB"/>
              </w:rPr>
              <w:t>Forecast 2026/27</w:t>
            </w:r>
          </w:p>
        </w:tc>
        <w:tc>
          <w:tcPr>
            <w:tcW w:w="1050" w:type="dxa"/>
            <w:tcBorders>
              <w:top w:val="single" w:sz="8" w:space="0" w:color="auto"/>
              <w:left w:val="nil"/>
              <w:bottom w:val="nil"/>
              <w:right w:val="single" w:sz="8" w:space="0" w:color="auto"/>
            </w:tcBorders>
            <w:shd w:val="clear" w:color="000000" w:fill="BDD7EE"/>
          </w:tcPr>
          <w:p w14:paraId="66CF3B8B" w14:textId="5507909F" w:rsidR="00DB01E4" w:rsidRPr="00E41D09" w:rsidRDefault="00DB01E4" w:rsidP="00DB01E4">
            <w:pPr>
              <w:jc w:val="center"/>
              <w:rPr>
                <w:b/>
                <w:bCs/>
                <w:sz w:val="20"/>
                <w:szCs w:val="20"/>
                <w:lang w:eastAsia="en-GB"/>
              </w:rPr>
            </w:pPr>
            <w:r w:rsidRPr="00DB01E4">
              <w:rPr>
                <w:b/>
                <w:bCs/>
                <w:sz w:val="20"/>
                <w:szCs w:val="20"/>
                <w:lang w:eastAsia="en-GB"/>
              </w:rPr>
              <w:t>Forecast 2027/28</w:t>
            </w:r>
          </w:p>
        </w:tc>
        <w:tc>
          <w:tcPr>
            <w:tcW w:w="1055" w:type="dxa"/>
            <w:tcBorders>
              <w:top w:val="single" w:sz="8" w:space="0" w:color="auto"/>
              <w:left w:val="nil"/>
              <w:bottom w:val="nil"/>
              <w:right w:val="single" w:sz="8" w:space="0" w:color="auto"/>
            </w:tcBorders>
            <w:shd w:val="clear" w:color="000000" w:fill="BDD7EE"/>
          </w:tcPr>
          <w:p w14:paraId="7F44E977" w14:textId="1E4405C5" w:rsidR="00DB01E4" w:rsidRPr="00E41D09" w:rsidRDefault="00DB01E4" w:rsidP="00DB01E4">
            <w:pPr>
              <w:jc w:val="center"/>
              <w:rPr>
                <w:b/>
                <w:bCs/>
                <w:sz w:val="20"/>
                <w:szCs w:val="20"/>
                <w:lang w:eastAsia="en-GB"/>
              </w:rPr>
            </w:pPr>
            <w:r w:rsidRPr="00DB01E4">
              <w:rPr>
                <w:b/>
                <w:bCs/>
                <w:sz w:val="20"/>
                <w:szCs w:val="20"/>
                <w:lang w:eastAsia="en-GB"/>
              </w:rPr>
              <w:t>Forecast 2028/29</w:t>
            </w:r>
          </w:p>
        </w:tc>
        <w:tc>
          <w:tcPr>
            <w:tcW w:w="1050" w:type="dxa"/>
            <w:tcBorders>
              <w:top w:val="single" w:sz="8" w:space="0" w:color="auto"/>
              <w:left w:val="nil"/>
              <w:bottom w:val="nil"/>
              <w:right w:val="single" w:sz="8" w:space="0" w:color="auto"/>
            </w:tcBorders>
            <w:shd w:val="clear" w:color="000000" w:fill="BDD7EE"/>
          </w:tcPr>
          <w:p w14:paraId="134789BD" w14:textId="329E2086" w:rsidR="00DB01E4" w:rsidRPr="00E41D09" w:rsidRDefault="00DB01E4" w:rsidP="00DB01E4">
            <w:pPr>
              <w:jc w:val="center"/>
              <w:rPr>
                <w:b/>
                <w:bCs/>
                <w:sz w:val="20"/>
                <w:szCs w:val="20"/>
                <w:lang w:eastAsia="en-GB"/>
              </w:rPr>
            </w:pPr>
            <w:r w:rsidRPr="00DB01E4">
              <w:rPr>
                <w:b/>
                <w:bCs/>
                <w:sz w:val="20"/>
                <w:szCs w:val="20"/>
                <w:lang w:eastAsia="en-GB"/>
              </w:rPr>
              <w:t>Forecast 2029/30</w:t>
            </w:r>
          </w:p>
        </w:tc>
        <w:tc>
          <w:tcPr>
            <w:tcW w:w="1050" w:type="dxa"/>
            <w:tcBorders>
              <w:top w:val="single" w:sz="8" w:space="0" w:color="auto"/>
              <w:left w:val="nil"/>
              <w:bottom w:val="nil"/>
              <w:right w:val="single" w:sz="8" w:space="0" w:color="auto"/>
            </w:tcBorders>
            <w:shd w:val="clear" w:color="000000" w:fill="BDD7EE"/>
          </w:tcPr>
          <w:p w14:paraId="3BB1EC34" w14:textId="775272DE" w:rsidR="00DB01E4" w:rsidRPr="00E41D09" w:rsidRDefault="00DB01E4" w:rsidP="00DB01E4">
            <w:pPr>
              <w:jc w:val="center"/>
              <w:rPr>
                <w:b/>
                <w:bCs/>
                <w:sz w:val="20"/>
                <w:szCs w:val="20"/>
                <w:lang w:eastAsia="en-GB"/>
              </w:rPr>
            </w:pPr>
            <w:r w:rsidRPr="00DB01E4">
              <w:rPr>
                <w:b/>
                <w:bCs/>
                <w:sz w:val="20"/>
                <w:szCs w:val="20"/>
                <w:lang w:eastAsia="en-GB"/>
              </w:rPr>
              <w:t>Forecast 2030/31</w:t>
            </w:r>
          </w:p>
        </w:tc>
        <w:tc>
          <w:tcPr>
            <w:tcW w:w="1050" w:type="dxa"/>
            <w:tcBorders>
              <w:top w:val="single" w:sz="8" w:space="0" w:color="auto"/>
              <w:left w:val="nil"/>
              <w:bottom w:val="nil"/>
              <w:right w:val="single" w:sz="8" w:space="0" w:color="auto"/>
            </w:tcBorders>
            <w:shd w:val="clear" w:color="000000" w:fill="BDD7EE"/>
          </w:tcPr>
          <w:p w14:paraId="5FAEF4E9" w14:textId="310DA5B6" w:rsidR="00DB01E4" w:rsidRPr="00E41D09" w:rsidRDefault="00DB01E4" w:rsidP="00DB01E4">
            <w:pPr>
              <w:jc w:val="center"/>
              <w:rPr>
                <w:b/>
                <w:bCs/>
                <w:sz w:val="20"/>
                <w:szCs w:val="20"/>
                <w:lang w:eastAsia="en-GB"/>
              </w:rPr>
            </w:pPr>
            <w:r w:rsidRPr="00DB01E4">
              <w:rPr>
                <w:b/>
                <w:bCs/>
                <w:sz w:val="20"/>
                <w:szCs w:val="20"/>
                <w:lang w:eastAsia="en-GB"/>
              </w:rPr>
              <w:t>Forecast 2031/32</w:t>
            </w:r>
          </w:p>
        </w:tc>
      </w:tr>
      <w:tr w:rsidR="00DB01E4" w:rsidRPr="004F48AD" w14:paraId="57C5BFC1" w14:textId="27133E10" w:rsidTr="00DB01E4">
        <w:trPr>
          <w:trHeight w:val="246"/>
        </w:trPr>
        <w:tc>
          <w:tcPr>
            <w:tcW w:w="3545" w:type="dxa"/>
            <w:vMerge/>
            <w:tcBorders>
              <w:top w:val="single" w:sz="8" w:space="0" w:color="auto"/>
              <w:left w:val="single" w:sz="8" w:space="0" w:color="auto"/>
              <w:bottom w:val="single" w:sz="12" w:space="0" w:color="000000"/>
              <w:right w:val="single" w:sz="8" w:space="0" w:color="auto"/>
            </w:tcBorders>
            <w:vAlign w:val="center"/>
            <w:hideMark/>
          </w:tcPr>
          <w:p w14:paraId="66601C83" w14:textId="77777777" w:rsidR="00DB01E4" w:rsidRPr="00E41D09" w:rsidRDefault="00DB01E4" w:rsidP="00DB01E4">
            <w:pPr>
              <w:rPr>
                <w:b/>
                <w:bCs/>
                <w:sz w:val="20"/>
                <w:szCs w:val="20"/>
                <w:lang w:eastAsia="en-GB"/>
              </w:rPr>
            </w:pPr>
          </w:p>
        </w:tc>
        <w:tc>
          <w:tcPr>
            <w:tcW w:w="963" w:type="dxa"/>
            <w:tcBorders>
              <w:top w:val="nil"/>
              <w:left w:val="nil"/>
              <w:bottom w:val="single" w:sz="12" w:space="0" w:color="auto"/>
              <w:right w:val="single" w:sz="8" w:space="0" w:color="auto"/>
            </w:tcBorders>
            <w:shd w:val="clear" w:color="000000" w:fill="BDD7EE"/>
            <w:hideMark/>
          </w:tcPr>
          <w:p w14:paraId="1032C388" w14:textId="4005FF2F" w:rsidR="00DB01E4" w:rsidRPr="00E41D09" w:rsidRDefault="00DB01E4" w:rsidP="00DB01E4">
            <w:pPr>
              <w:jc w:val="center"/>
              <w:rPr>
                <w:b/>
                <w:bCs/>
                <w:sz w:val="20"/>
                <w:szCs w:val="20"/>
                <w:lang w:eastAsia="en-GB"/>
              </w:rPr>
            </w:pPr>
            <w:r w:rsidRPr="00E41D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hideMark/>
          </w:tcPr>
          <w:p w14:paraId="0683E824" w14:textId="575C97A3" w:rsidR="00DB01E4" w:rsidRPr="00E41D09" w:rsidRDefault="00DB01E4" w:rsidP="00DB01E4">
            <w:pPr>
              <w:jc w:val="center"/>
              <w:rPr>
                <w:b/>
                <w:bCs/>
                <w:sz w:val="20"/>
                <w:szCs w:val="20"/>
                <w:lang w:eastAsia="en-GB"/>
              </w:rPr>
            </w:pPr>
            <w:r w:rsidRPr="00E41D09">
              <w:rPr>
                <w:b/>
                <w:bCs/>
                <w:sz w:val="20"/>
                <w:szCs w:val="20"/>
                <w:lang w:eastAsia="en-GB"/>
              </w:rPr>
              <w:t>£Million</w:t>
            </w:r>
          </w:p>
        </w:tc>
        <w:tc>
          <w:tcPr>
            <w:tcW w:w="1052" w:type="dxa"/>
            <w:tcBorders>
              <w:top w:val="nil"/>
              <w:left w:val="nil"/>
              <w:bottom w:val="single" w:sz="12" w:space="0" w:color="auto"/>
              <w:right w:val="single" w:sz="8" w:space="0" w:color="auto"/>
            </w:tcBorders>
            <w:shd w:val="clear" w:color="000000" w:fill="BDD7EE"/>
            <w:hideMark/>
          </w:tcPr>
          <w:p w14:paraId="0D6D553E" w14:textId="1DCF938F" w:rsidR="00DB01E4" w:rsidRPr="00E41D09" w:rsidRDefault="00DB01E4" w:rsidP="00DB01E4">
            <w:pPr>
              <w:jc w:val="center"/>
              <w:rPr>
                <w:b/>
                <w:bCs/>
                <w:sz w:val="20"/>
                <w:szCs w:val="20"/>
                <w:lang w:eastAsia="en-GB"/>
              </w:rPr>
            </w:pPr>
            <w:r w:rsidRPr="00E41D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hideMark/>
          </w:tcPr>
          <w:p w14:paraId="366BECC9" w14:textId="5FF280D7" w:rsidR="00DB01E4" w:rsidRPr="00E41D09" w:rsidRDefault="00DB01E4" w:rsidP="00DB01E4">
            <w:pPr>
              <w:jc w:val="center"/>
              <w:rPr>
                <w:b/>
                <w:bCs/>
                <w:sz w:val="20"/>
                <w:szCs w:val="20"/>
                <w:lang w:eastAsia="en-GB"/>
              </w:rPr>
            </w:pPr>
            <w:r w:rsidRPr="00E41D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hideMark/>
          </w:tcPr>
          <w:p w14:paraId="6567BCE0" w14:textId="0B6C8687" w:rsidR="00DB01E4" w:rsidRPr="00E41D09" w:rsidRDefault="00DB01E4" w:rsidP="00DB01E4">
            <w:pPr>
              <w:jc w:val="center"/>
              <w:rPr>
                <w:b/>
                <w:bCs/>
                <w:sz w:val="20"/>
                <w:szCs w:val="20"/>
                <w:lang w:eastAsia="en-GB"/>
              </w:rPr>
            </w:pPr>
            <w:r w:rsidRPr="00E41D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488A7C58" w14:textId="51477520" w:rsidR="00DB01E4" w:rsidRPr="00E41D09" w:rsidRDefault="00DB01E4" w:rsidP="00DB01E4">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0BFB6471" w14:textId="3D653959" w:rsidR="00DB01E4" w:rsidRPr="00E41D09" w:rsidRDefault="00DB01E4" w:rsidP="00DB01E4">
            <w:pPr>
              <w:jc w:val="center"/>
              <w:rPr>
                <w:b/>
                <w:bCs/>
                <w:sz w:val="20"/>
                <w:szCs w:val="20"/>
                <w:lang w:eastAsia="en-GB"/>
              </w:rPr>
            </w:pPr>
            <w:r w:rsidRPr="00401E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tcPr>
          <w:p w14:paraId="609E361C" w14:textId="6F55D44F" w:rsidR="00DB01E4" w:rsidRPr="00E41D09" w:rsidRDefault="00DB01E4" w:rsidP="00DB01E4">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14017F37" w14:textId="4ABED7C1" w:rsidR="00DB01E4" w:rsidRPr="00E41D09" w:rsidRDefault="00DB01E4" w:rsidP="00DB01E4">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3D199E17" w14:textId="1667E719" w:rsidR="00DB01E4" w:rsidRPr="00E41D09" w:rsidRDefault="00DB01E4" w:rsidP="00DB01E4">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2840B804" w14:textId="2B1977B6" w:rsidR="00DB01E4" w:rsidRPr="00E41D09" w:rsidRDefault="00DB01E4" w:rsidP="00DB01E4">
            <w:pPr>
              <w:jc w:val="center"/>
              <w:rPr>
                <w:b/>
                <w:bCs/>
                <w:sz w:val="20"/>
                <w:szCs w:val="20"/>
                <w:lang w:eastAsia="en-GB"/>
              </w:rPr>
            </w:pPr>
            <w:r w:rsidRPr="00401E09">
              <w:rPr>
                <w:b/>
                <w:bCs/>
                <w:sz w:val="20"/>
                <w:szCs w:val="20"/>
                <w:lang w:eastAsia="en-GB"/>
              </w:rPr>
              <w:t>£Million</w:t>
            </w:r>
          </w:p>
        </w:tc>
      </w:tr>
      <w:tr w:rsidR="000B4447" w:rsidRPr="004F48AD" w14:paraId="682D2F26" w14:textId="1E3F8AF6" w:rsidTr="00D96DF4">
        <w:trPr>
          <w:trHeight w:val="254"/>
        </w:trPr>
        <w:tc>
          <w:tcPr>
            <w:tcW w:w="3545" w:type="dxa"/>
            <w:tcBorders>
              <w:top w:val="single" w:sz="8" w:space="0" w:color="auto"/>
              <w:left w:val="single" w:sz="8" w:space="0" w:color="auto"/>
              <w:bottom w:val="nil"/>
              <w:right w:val="single" w:sz="8" w:space="0" w:color="auto"/>
            </w:tcBorders>
            <w:shd w:val="clear" w:color="000000" w:fill="FFFFFF"/>
            <w:noWrap/>
            <w:vAlign w:val="bottom"/>
            <w:hideMark/>
          </w:tcPr>
          <w:p w14:paraId="585A3BE8" w14:textId="77777777" w:rsidR="000B4447" w:rsidRPr="00E41D09" w:rsidRDefault="000B4447" w:rsidP="000B4447">
            <w:pPr>
              <w:rPr>
                <w:sz w:val="20"/>
                <w:szCs w:val="20"/>
                <w:lang w:eastAsia="en-GB"/>
              </w:rPr>
            </w:pPr>
            <w:r w:rsidRPr="00E41D09">
              <w:rPr>
                <w:sz w:val="20"/>
                <w:szCs w:val="20"/>
                <w:lang w:eastAsia="en-GB"/>
              </w:rPr>
              <w:t>General Fund CFR</w:t>
            </w:r>
          </w:p>
        </w:tc>
        <w:tc>
          <w:tcPr>
            <w:tcW w:w="963" w:type="dxa"/>
            <w:tcBorders>
              <w:top w:val="nil"/>
              <w:left w:val="single" w:sz="8" w:space="0" w:color="auto"/>
              <w:bottom w:val="nil"/>
              <w:right w:val="nil"/>
            </w:tcBorders>
            <w:shd w:val="clear" w:color="000000" w:fill="FFFFFF"/>
            <w:hideMark/>
          </w:tcPr>
          <w:p w14:paraId="18B92999" w14:textId="52665AF7" w:rsidR="000B4447" w:rsidRPr="000B4447" w:rsidRDefault="000B4447" w:rsidP="00D63E6E">
            <w:pPr>
              <w:jc w:val="right"/>
              <w:rPr>
                <w:color w:val="000000"/>
                <w:sz w:val="20"/>
                <w:szCs w:val="20"/>
                <w:lang w:eastAsia="en-GB"/>
              </w:rPr>
            </w:pPr>
            <w:r w:rsidRPr="000B4447">
              <w:rPr>
                <w:sz w:val="20"/>
                <w:szCs w:val="20"/>
              </w:rPr>
              <w:t>31.7</w:t>
            </w:r>
          </w:p>
        </w:tc>
        <w:tc>
          <w:tcPr>
            <w:tcW w:w="1050" w:type="dxa"/>
            <w:tcBorders>
              <w:top w:val="nil"/>
              <w:left w:val="single" w:sz="4" w:space="0" w:color="auto"/>
              <w:bottom w:val="nil"/>
              <w:right w:val="single" w:sz="4" w:space="0" w:color="auto"/>
            </w:tcBorders>
            <w:shd w:val="clear" w:color="000000" w:fill="FFFFFF"/>
            <w:hideMark/>
          </w:tcPr>
          <w:p w14:paraId="127D7ECB" w14:textId="4F605D3B" w:rsidR="000B4447" w:rsidRPr="000B4447" w:rsidRDefault="000B4447" w:rsidP="00D63E6E">
            <w:pPr>
              <w:jc w:val="right"/>
              <w:rPr>
                <w:color w:val="000000"/>
                <w:sz w:val="20"/>
                <w:szCs w:val="20"/>
                <w:lang w:eastAsia="en-GB"/>
              </w:rPr>
            </w:pPr>
            <w:r w:rsidRPr="000B4447">
              <w:rPr>
                <w:sz w:val="20"/>
                <w:szCs w:val="20"/>
              </w:rPr>
              <w:t>31.3</w:t>
            </w:r>
          </w:p>
        </w:tc>
        <w:tc>
          <w:tcPr>
            <w:tcW w:w="1052" w:type="dxa"/>
            <w:tcBorders>
              <w:top w:val="nil"/>
              <w:left w:val="nil"/>
              <w:bottom w:val="nil"/>
              <w:right w:val="nil"/>
            </w:tcBorders>
            <w:shd w:val="clear" w:color="000000" w:fill="FFFFFF"/>
            <w:hideMark/>
          </w:tcPr>
          <w:p w14:paraId="7375EBAA" w14:textId="06AA28EC" w:rsidR="000B4447" w:rsidRPr="000B4447" w:rsidRDefault="000B4447" w:rsidP="00D63E6E">
            <w:pPr>
              <w:jc w:val="right"/>
              <w:rPr>
                <w:color w:val="000000"/>
                <w:sz w:val="20"/>
                <w:szCs w:val="20"/>
                <w:lang w:eastAsia="en-GB"/>
              </w:rPr>
            </w:pPr>
            <w:r w:rsidRPr="000B4447">
              <w:rPr>
                <w:sz w:val="20"/>
                <w:szCs w:val="20"/>
              </w:rPr>
              <w:t>31.5</w:t>
            </w:r>
          </w:p>
        </w:tc>
        <w:tc>
          <w:tcPr>
            <w:tcW w:w="1055" w:type="dxa"/>
            <w:tcBorders>
              <w:top w:val="nil"/>
              <w:left w:val="single" w:sz="4" w:space="0" w:color="auto"/>
              <w:bottom w:val="nil"/>
              <w:right w:val="single" w:sz="4" w:space="0" w:color="auto"/>
            </w:tcBorders>
            <w:shd w:val="clear" w:color="000000" w:fill="FFFFFF"/>
            <w:hideMark/>
          </w:tcPr>
          <w:p w14:paraId="0DDEC243" w14:textId="509FE4E2" w:rsidR="000B4447" w:rsidRPr="000B4447" w:rsidRDefault="000B4447" w:rsidP="00D63E6E">
            <w:pPr>
              <w:jc w:val="right"/>
              <w:rPr>
                <w:color w:val="000000"/>
                <w:sz w:val="20"/>
                <w:szCs w:val="20"/>
                <w:lang w:eastAsia="en-GB"/>
              </w:rPr>
            </w:pPr>
            <w:r w:rsidRPr="000B4447">
              <w:rPr>
                <w:sz w:val="20"/>
                <w:szCs w:val="20"/>
              </w:rPr>
              <w:t>31.2</w:t>
            </w:r>
          </w:p>
        </w:tc>
        <w:tc>
          <w:tcPr>
            <w:tcW w:w="1055" w:type="dxa"/>
            <w:tcBorders>
              <w:top w:val="nil"/>
              <w:left w:val="nil"/>
              <w:bottom w:val="nil"/>
              <w:right w:val="single" w:sz="8" w:space="0" w:color="auto"/>
            </w:tcBorders>
            <w:shd w:val="clear" w:color="000000" w:fill="FFFFFF"/>
            <w:hideMark/>
          </w:tcPr>
          <w:p w14:paraId="35CF2E3A" w14:textId="61E06F50" w:rsidR="000B4447" w:rsidRPr="000B4447" w:rsidRDefault="000B4447" w:rsidP="00D63E6E">
            <w:pPr>
              <w:jc w:val="right"/>
              <w:rPr>
                <w:color w:val="000000"/>
                <w:sz w:val="20"/>
                <w:szCs w:val="20"/>
                <w:lang w:eastAsia="en-GB"/>
              </w:rPr>
            </w:pPr>
            <w:r w:rsidRPr="000B4447">
              <w:rPr>
                <w:sz w:val="20"/>
                <w:szCs w:val="20"/>
              </w:rPr>
              <w:t>37.8</w:t>
            </w:r>
          </w:p>
        </w:tc>
        <w:tc>
          <w:tcPr>
            <w:tcW w:w="1050" w:type="dxa"/>
            <w:tcBorders>
              <w:top w:val="nil"/>
              <w:left w:val="nil"/>
              <w:bottom w:val="nil"/>
              <w:right w:val="single" w:sz="8" w:space="0" w:color="auto"/>
            </w:tcBorders>
            <w:shd w:val="clear" w:color="000000" w:fill="FFFFFF"/>
          </w:tcPr>
          <w:p w14:paraId="6810506B" w14:textId="00F21FC6" w:rsidR="000B4447" w:rsidRPr="000B4447" w:rsidRDefault="000B4447" w:rsidP="00D63E6E">
            <w:pPr>
              <w:jc w:val="right"/>
              <w:rPr>
                <w:color w:val="000000"/>
                <w:sz w:val="20"/>
                <w:szCs w:val="20"/>
                <w:lang w:eastAsia="en-GB"/>
              </w:rPr>
            </w:pPr>
            <w:r w:rsidRPr="000B4447">
              <w:rPr>
                <w:sz w:val="20"/>
                <w:szCs w:val="20"/>
              </w:rPr>
              <w:t>33.1</w:t>
            </w:r>
          </w:p>
        </w:tc>
        <w:tc>
          <w:tcPr>
            <w:tcW w:w="1050" w:type="dxa"/>
            <w:tcBorders>
              <w:top w:val="nil"/>
              <w:left w:val="nil"/>
              <w:bottom w:val="nil"/>
              <w:right w:val="single" w:sz="8" w:space="0" w:color="auto"/>
            </w:tcBorders>
            <w:shd w:val="clear" w:color="000000" w:fill="FFFFFF"/>
          </w:tcPr>
          <w:p w14:paraId="61CBD6ED" w14:textId="61D7D5A1" w:rsidR="000B4447" w:rsidRPr="000B4447" w:rsidRDefault="000B4447" w:rsidP="00D63E6E">
            <w:pPr>
              <w:jc w:val="right"/>
              <w:rPr>
                <w:color w:val="000000"/>
                <w:sz w:val="20"/>
                <w:szCs w:val="20"/>
                <w:lang w:eastAsia="en-GB"/>
              </w:rPr>
            </w:pPr>
            <w:r w:rsidRPr="000B4447">
              <w:rPr>
                <w:sz w:val="20"/>
                <w:szCs w:val="20"/>
              </w:rPr>
              <w:t>28.9</w:t>
            </w:r>
          </w:p>
        </w:tc>
        <w:tc>
          <w:tcPr>
            <w:tcW w:w="1055" w:type="dxa"/>
            <w:tcBorders>
              <w:top w:val="nil"/>
              <w:left w:val="nil"/>
              <w:bottom w:val="nil"/>
              <w:right w:val="single" w:sz="8" w:space="0" w:color="auto"/>
            </w:tcBorders>
            <w:shd w:val="clear" w:color="000000" w:fill="FFFFFF"/>
          </w:tcPr>
          <w:p w14:paraId="24F276E6" w14:textId="0A9D9437" w:rsidR="000B4447" w:rsidRPr="000B4447" w:rsidRDefault="000B4447" w:rsidP="00D63E6E">
            <w:pPr>
              <w:jc w:val="right"/>
              <w:rPr>
                <w:color w:val="000000"/>
                <w:sz w:val="20"/>
                <w:szCs w:val="20"/>
                <w:lang w:eastAsia="en-GB"/>
              </w:rPr>
            </w:pPr>
            <w:r w:rsidRPr="000B4447">
              <w:rPr>
                <w:sz w:val="20"/>
                <w:szCs w:val="20"/>
              </w:rPr>
              <w:t>24.9</w:t>
            </w:r>
          </w:p>
        </w:tc>
        <w:tc>
          <w:tcPr>
            <w:tcW w:w="1050" w:type="dxa"/>
            <w:tcBorders>
              <w:top w:val="nil"/>
              <w:left w:val="nil"/>
              <w:bottom w:val="nil"/>
              <w:right w:val="single" w:sz="8" w:space="0" w:color="auto"/>
            </w:tcBorders>
            <w:shd w:val="clear" w:color="000000" w:fill="FFFFFF"/>
          </w:tcPr>
          <w:p w14:paraId="3FCAED84" w14:textId="2876D8E8" w:rsidR="000B4447" w:rsidRPr="000B4447" w:rsidRDefault="000B4447" w:rsidP="00D63E6E">
            <w:pPr>
              <w:jc w:val="right"/>
              <w:rPr>
                <w:color w:val="000000"/>
                <w:sz w:val="20"/>
                <w:szCs w:val="20"/>
                <w:lang w:eastAsia="en-GB"/>
              </w:rPr>
            </w:pPr>
            <w:r w:rsidRPr="000B4447">
              <w:rPr>
                <w:sz w:val="20"/>
                <w:szCs w:val="20"/>
              </w:rPr>
              <w:t>20.9</w:t>
            </w:r>
          </w:p>
        </w:tc>
        <w:tc>
          <w:tcPr>
            <w:tcW w:w="1050" w:type="dxa"/>
            <w:tcBorders>
              <w:top w:val="nil"/>
              <w:left w:val="nil"/>
              <w:bottom w:val="nil"/>
              <w:right w:val="single" w:sz="8" w:space="0" w:color="auto"/>
            </w:tcBorders>
            <w:shd w:val="clear" w:color="000000" w:fill="FFFFFF"/>
          </w:tcPr>
          <w:p w14:paraId="728EB25A" w14:textId="34D9349F" w:rsidR="000B4447" w:rsidRPr="000B4447" w:rsidRDefault="000B4447" w:rsidP="00D63E6E">
            <w:pPr>
              <w:jc w:val="right"/>
              <w:rPr>
                <w:color w:val="000000"/>
                <w:sz w:val="20"/>
                <w:szCs w:val="20"/>
                <w:lang w:eastAsia="en-GB"/>
              </w:rPr>
            </w:pPr>
            <w:r w:rsidRPr="000B4447">
              <w:rPr>
                <w:sz w:val="20"/>
                <w:szCs w:val="20"/>
              </w:rPr>
              <w:t>17.6</w:t>
            </w:r>
          </w:p>
        </w:tc>
        <w:tc>
          <w:tcPr>
            <w:tcW w:w="1050" w:type="dxa"/>
            <w:tcBorders>
              <w:top w:val="nil"/>
              <w:left w:val="nil"/>
              <w:bottom w:val="nil"/>
              <w:right w:val="single" w:sz="8" w:space="0" w:color="auto"/>
            </w:tcBorders>
            <w:shd w:val="clear" w:color="000000" w:fill="FFFFFF"/>
          </w:tcPr>
          <w:p w14:paraId="06C2BFE2" w14:textId="0B190067" w:rsidR="000B4447" w:rsidRPr="000B4447" w:rsidRDefault="000B4447" w:rsidP="00D63E6E">
            <w:pPr>
              <w:jc w:val="right"/>
              <w:rPr>
                <w:color w:val="000000"/>
                <w:sz w:val="20"/>
                <w:szCs w:val="20"/>
                <w:lang w:eastAsia="en-GB"/>
              </w:rPr>
            </w:pPr>
            <w:r w:rsidRPr="000B4447">
              <w:rPr>
                <w:sz w:val="20"/>
                <w:szCs w:val="20"/>
              </w:rPr>
              <w:t>14.8</w:t>
            </w:r>
          </w:p>
        </w:tc>
      </w:tr>
      <w:tr w:rsidR="000B4447" w:rsidRPr="004F48AD" w14:paraId="27F7A0F3" w14:textId="5999FD2D" w:rsidTr="00D96DF4">
        <w:trPr>
          <w:trHeight w:val="246"/>
        </w:trPr>
        <w:tc>
          <w:tcPr>
            <w:tcW w:w="3545" w:type="dxa"/>
            <w:tcBorders>
              <w:top w:val="nil"/>
              <w:left w:val="single" w:sz="8" w:space="0" w:color="auto"/>
              <w:bottom w:val="nil"/>
              <w:right w:val="single" w:sz="8" w:space="0" w:color="auto"/>
            </w:tcBorders>
            <w:shd w:val="clear" w:color="000000" w:fill="FFFFFF"/>
            <w:noWrap/>
            <w:vAlign w:val="bottom"/>
            <w:hideMark/>
          </w:tcPr>
          <w:p w14:paraId="2876BAF8" w14:textId="05817F27" w:rsidR="000B4447" w:rsidRPr="00E41D09" w:rsidRDefault="000B4447" w:rsidP="000B4447">
            <w:pPr>
              <w:rPr>
                <w:sz w:val="20"/>
                <w:szCs w:val="20"/>
                <w:lang w:eastAsia="en-GB"/>
              </w:rPr>
            </w:pPr>
            <w:r w:rsidRPr="00E41D09">
              <w:rPr>
                <w:sz w:val="20"/>
                <w:szCs w:val="20"/>
                <w:lang w:eastAsia="en-GB"/>
              </w:rPr>
              <w:t xml:space="preserve">Less: External Borrowing </w:t>
            </w:r>
            <w:r w:rsidRPr="00E41D09">
              <w:rPr>
                <w:b/>
                <w:sz w:val="20"/>
                <w:szCs w:val="20"/>
                <w:lang w:eastAsia="en-GB"/>
              </w:rPr>
              <w:t>¹</w:t>
            </w:r>
          </w:p>
        </w:tc>
        <w:tc>
          <w:tcPr>
            <w:tcW w:w="963" w:type="dxa"/>
            <w:tcBorders>
              <w:top w:val="nil"/>
              <w:left w:val="single" w:sz="8" w:space="0" w:color="auto"/>
              <w:bottom w:val="nil"/>
              <w:right w:val="nil"/>
            </w:tcBorders>
            <w:shd w:val="clear" w:color="000000" w:fill="FFFFFF"/>
            <w:hideMark/>
          </w:tcPr>
          <w:p w14:paraId="6DEF80BA" w14:textId="4D2B7BD4" w:rsidR="000B4447" w:rsidRPr="000B4447" w:rsidRDefault="000B4447" w:rsidP="00D63E6E">
            <w:pPr>
              <w:jc w:val="right"/>
              <w:rPr>
                <w:color w:val="000000"/>
                <w:sz w:val="20"/>
                <w:szCs w:val="20"/>
                <w:lang w:eastAsia="en-GB"/>
              </w:rPr>
            </w:pPr>
            <w:r w:rsidRPr="000B4447">
              <w:rPr>
                <w:sz w:val="20"/>
                <w:szCs w:val="20"/>
              </w:rPr>
              <w:t>(24.5)</w:t>
            </w:r>
          </w:p>
        </w:tc>
        <w:tc>
          <w:tcPr>
            <w:tcW w:w="1050" w:type="dxa"/>
            <w:tcBorders>
              <w:top w:val="nil"/>
              <w:left w:val="single" w:sz="4" w:space="0" w:color="auto"/>
              <w:bottom w:val="nil"/>
              <w:right w:val="single" w:sz="4" w:space="0" w:color="auto"/>
            </w:tcBorders>
            <w:shd w:val="clear" w:color="000000" w:fill="FFFFFF"/>
            <w:hideMark/>
          </w:tcPr>
          <w:p w14:paraId="182A4819" w14:textId="108753B3" w:rsidR="000B4447" w:rsidRPr="000B4447" w:rsidRDefault="000B4447" w:rsidP="00D63E6E">
            <w:pPr>
              <w:jc w:val="right"/>
              <w:rPr>
                <w:color w:val="000000"/>
                <w:sz w:val="20"/>
                <w:szCs w:val="20"/>
                <w:lang w:eastAsia="en-GB"/>
              </w:rPr>
            </w:pPr>
            <w:r w:rsidRPr="000B4447">
              <w:rPr>
                <w:sz w:val="20"/>
                <w:szCs w:val="20"/>
              </w:rPr>
              <w:t>(23.5)</w:t>
            </w:r>
          </w:p>
        </w:tc>
        <w:tc>
          <w:tcPr>
            <w:tcW w:w="1052" w:type="dxa"/>
            <w:tcBorders>
              <w:top w:val="nil"/>
              <w:left w:val="nil"/>
              <w:bottom w:val="nil"/>
              <w:right w:val="nil"/>
            </w:tcBorders>
            <w:shd w:val="clear" w:color="000000" w:fill="FFFFFF"/>
            <w:hideMark/>
          </w:tcPr>
          <w:p w14:paraId="291CA98C" w14:textId="25518643" w:rsidR="000B4447" w:rsidRPr="000B4447" w:rsidRDefault="000B4447" w:rsidP="00D63E6E">
            <w:pPr>
              <w:jc w:val="right"/>
              <w:rPr>
                <w:color w:val="000000"/>
                <w:sz w:val="20"/>
                <w:szCs w:val="20"/>
                <w:lang w:eastAsia="en-GB"/>
              </w:rPr>
            </w:pPr>
            <w:r w:rsidRPr="000B4447">
              <w:rPr>
                <w:sz w:val="20"/>
                <w:szCs w:val="20"/>
              </w:rPr>
              <w:t>(23.5)</w:t>
            </w:r>
          </w:p>
        </w:tc>
        <w:tc>
          <w:tcPr>
            <w:tcW w:w="1055" w:type="dxa"/>
            <w:tcBorders>
              <w:top w:val="nil"/>
              <w:left w:val="single" w:sz="4" w:space="0" w:color="auto"/>
              <w:bottom w:val="nil"/>
              <w:right w:val="single" w:sz="4" w:space="0" w:color="auto"/>
            </w:tcBorders>
            <w:shd w:val="clear" w:color="000000" w:fill="FFFFFF"/>
            <w:hideMark/>
          </w:tcPr>
          <w:p w14:paraId="4BA117C1" w14:textId="4CBA1C93" w:rsidR="000B4447" w:rsidRPr="000B4447" w:rsidRDefault="000B4447" w:rsidP="00D63E6E">
            <w:pPr>
              <w:jc w:val="right"/>
              <w:rPr>
                <w:color w:val="000000"/>
                <w:sz w:val="20"/>
                <w:szCs w:val="20"/>
                <w:lang w:eastAsia="en-GB"/>
              </w:rPr>
            </w:pPr>
            <w:r w:rsidRPr="000B4447">
              <w:rPr>
                <w:sz w:val="20"/>
                <w:szCs w:val="20"/>
              </w:rPr>
              <w:t>(22.5)</w:t>
            </w:r>
          </w:p>
        </w:tc>
        <w:tc>
          <w:tcPr>
            <w:tcW w:w="1055" w:type="dxa"/>
            <w:tcBorders>
              <w:top w:val="nil"/>
              <w:left w:val="nil"/>
              <w:bottom w:val="nil"/>
              <w:right w:val="single" w:sz="8" w:space="0" w:color="auto"/>
            </w:tcBorders>
            <w:shd w:val="clear" w:color="000000" w:fill="FFFFFF"/>
            <w:hideMark/>
          </w:tcPr>
          <w:p w14:paraId="7E193448" w14:textId="2F49BA4C" w:rsidR="000B4447" w:rsidRPr="000B4447" w:rsidRDefault="000B4447" w:rsidP="00D63E6E">
            <w:pPr>
              <w:jc w:val="right"/>
              <w:rPr>
                <w:color w:val="000000"/>
                <w:sz w:val="20"/>
                <w:szCs w:val="20"/>
                <w:lang w:eastAsia="en-GB"/>
              </w:rPr>
            </w:pPr>
            <w:r w:rsidRPr="000B4447">
              <w:rPr>
                <w:sz w:val="20"/>
                <w:szCs w:val="20"/>
              </w:rPr>
              <w:t>(21.5)</w:t>
            </w:r>
          </w:p>
        </w:tc>
        <w:tc>
          <w:tcPr>
            <w:tcW w:w="1050" w:type="dxa"/>
            <w:tcBorders>
              <w:top w:val="nil"/>
              <w:left w:val="nil"/>
              <w:bottom w:val="nil"/>
              <w:right w:val="single" w:sz="8" w:space="0" w:color="auto"/>
            </w:tcBorders>
            <w:shd w:val="clear" w:color="000000" w:fill="FFFFFF"/>
          </w:tcPr>
          <w:p w14:paraId="496BCE8A" w14:textId="5F2417FC" w:rsidR="000B4447" w:rsidRPr="000B4447" w:rsidRDefault="000B4447" w:rsidP="00D63E6E">
            <w:pPr>
              <w:jc w:val="right"/>
              <w:rPr>
                <w:color w:val="000000"/>
                <w:sz w:val="20"/>
                <w:szCs w:val="20"/>
                <w:lang w:eastAsia="en-GB"/>
              </w:rPr>
            </w:pPr>
            <w:r w:rsidRPr="000B4447">
              <w:rPr>
                <w:sz w:val="20"/>
                <w:szCs w:val="20"/>
              </w:rPr>
              <w:t>(21.5)</w:t>
            </w:r>
          </w:p>
        </w:tc>
        <w:tc>
          <w:tcPr>
            <w:tcW w:w="1050" w:type="dxa"/>
            <w:tcBorders>
              <w:top w:val="nil"/>
              <w:left w:val="nil"/>
              <w:bottom w:val="nil"/>
              <w:right w:val="single" w:sz="8" w:space="0" w:color="auto"/>
            </w:tcBorders>
            <w:shd w:val="clear" w:color="000000" w:fill="FFFFFF"/>
          </w:tcPr>
          <w:p w14:paraId="311651ED" w14:textId="04371BF2" w:rsidR="000B4447" w:rsidRPr="000B4447" w:rsidRDefault="000B4447" w:rsidP="00D63E6E">
            <w:pPr>
              <w:jc w:val="right"/>
              <w:rPr>
                <w:color w:val="000000"/>
                <w:sz w:val="20"/>
                <w:szCs w:val="20"/>
                <w:lang w:eastAsia="en-GB"/>
              </w:rPr>
            </w:pPr>
            <w:r w:rsidRPr="000B4447">
              <w:rPr>
                <w:sz w:val="20"/>
                <w:szCs w:val="20"/>
              </w:rPr>
              <w:t>(21.5)</w:t>
            </w:r>
          </w:p>
        </w:tc>
        <w:tc>
          <w:tcPr>
            <w:tcW w:w="1055" w:type="dxa"/>
            <w:tcBorders>
              <w:top w:val="nil"/>
              <w:left w:val="nil"/>
              <w:bottom w:val="nil"/>
              <w:right w:val="single" w:sz="8" w:space="0" w:color="auto"/>
            </w:tcBorders>
            <w:shd w:val="clear" w:color="000000" w:fill="FFFFFF"/>
          </w:tcPr>
          <w:p w14:paraId="07D0DFEA" w14:textId="65B6E57F" w:rsidR="000B4447" w:rsidRPr="000B4447" w:rsidRDefault="000B4447" w:rsidP="00D63E6E">
            <w:pPr>
              <w:jc w:val="right"/>
              <w:rPr>
                <w:color w:val="000000"/>
                <w:sz w:val="20"/>
                <w:szCs w:val="20"/>
                <w:lang w:eastAsia="en-GB"/>
              </w:rPr>
            </w:pPr>
            <w:r w:rsidRPr="000B4447">
              <w:rPr>
                <w:sz w:val="20"/>
                <w:szCs w:val="20"/>
              </w:rPr>
              <w:t>(16.5)</w:t>
            </w:r>
          </w:p>
        </w:tc>
        <w:tc>
          <w:tcPr>
            <w:tcW w:w="1050" w:type="dxa"/>
            <w:tcBorders>
              <w:top w:val="nil"/>
              <w:left w:val="nil"/>
              <w:bottom w:val="nil"/>
              <w:right w:val="single" w:sz="8" w:space="0" w:color="auto"/>
            </w:tcBorders>
            <w:shd w:val="clear" w:color="000000" w:fill="FFFFFF"/>
          </w:tcPr>
          <w:p w14:paraId="205411E6" w14:textId="718CBED5" w:rsidR="000B4447" w:rsidRPr="000B4447" w:rsidRDefault="000B4447" w:rsidP="00D63E6E">
            <w:pPr>
              <w:jc w:val="right"/>
              <w:rPr>
                <w:color w:val="000000"/>
                <w:sz w:val="20"/>
                <w:szCs w:val="20"/>
                <w:lang w:eastAsia="en-GB"/>
              </w:rPr>
            </w:pPr>
            <w:r w:rsidRPr="000B4447">
              <w:rPr>
                <w:sz w:val="20"/>
                <w:szCs w:val="20"/>
              </w:rPr>
              <w:t>(11.5)</w:t>
            </w:r>
          </w:p>
        </w:tc>
        <w:tc>
          <w:tcPr>
            <w:tcW w:w="1050" w:type="dxa"/>
            <w:tcBorders>
              <w:top w:val="nil"/>
              <w:left w:val="nil"/>
              <w:bottom w:val="nil"/>
              <w:right w:val="single" w:sz="8" w:space="0" w:color="auto"/>
            </w:tcBorders>
            <w:shd w:val="clear" w:color="000000" w:fill="FFFFFF"/>
          </w:tcPr>
          <w:p w14:paraId="5899C41F" w14:textId="75298960" w:rsidR="000B4447" w:rsidRPr="000B4447" w:rsidRDefault="000B4447" w:rsidP="00D63E6E">
            <w:pPr>
              <w:jc w:val="right"/>
              <w:rPr>
                <w:color w:val="000000"/>
                <w:sz w:val="20"/>
                <w:szCs w:val="20"/>
                <w:lang w:eastAsia="en-GB"/>
              </w:rPr>
            </w:pPr>
            <w:r w:rsidRPr="000B4447">
              <w:rPr>
                <w:sz w:val="20"/>
                <w:szCs w:val="20"/>
              </w:rPr>
              <w:t>(6.5)</w:t>
            </w:r>
          </w:p>
        </w:tc>
        <w:tc>
          <w:tcPr>
            <w:tcW w:w="1050" w:type="dxa"/>
            <w:tcBorders>
              <w:top w:val="nil"/>
              <w:left w:val="nil"/>
              <w:bottom w:val="nil"/>
              <w:right w:val="single" w:sz="8" w:space="0" w:color="auto"/>
            </w:tcBorders>
            <w:shd w:val="clear" w:color="000000" w:fill="FFFFFF"/>
          </w:tcPr>
          <w:p w14:paraId="03927B32" w14:textId="62AA421E" w:rsidR="000B4447" w:rsidRPr="000B4447" w:rsidRDefault="000B4447" w:rsidP="00D63E6E">
            <w:pPr>
              <w:jc w:val="right"/>
              <w:rPr>
                <w:color w:val="000000"/>
                <w:sz w:val="20"/>
                <w:szCs w:val="20"/>
                <w:lang w:eastAsia="en-GB"/>
              </w:rPr>
            </w:pPr>
            <w:r w:rsidRPr="000B4447">
              <w:rPr>
                <w:sz w:val="20"/>
                <w:szCs w:val="20"/>
              </w:rPr>
              <w:t>(6.5)</w:t>
            </w:r>
          </w:p>
        </w:tc>
      </w:tr>
      <w:tr w:rsidR="000B4447" w:rsidRPr="004F48AD" w14:paraId="7E19F5B7" w14:textId="0FAE3152" w:rsidTr="00D96DF4">
        <w:trPr>
          <w:trHeight w:val="246"/>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E6483E" w14:textId="64C9A368" w:rsidR="000B4447" w:rsidRPr="00E41D09" w:rsidRDefault="000B4447" w:rsidP="000B4447">
            <w:pPr>
              <w:rPr>
                <w:b/>
                <w:bCs/>
                <w:color w:val="000000"/>
                <w:sz w:val="20"/>
                <w:szCs w:val="20"/>
                <w:lang w:eastAsia="en-GB"/>
              </w:rPr>
            </w:pPr>
            <w:r w:rsidRPr="00E41D09">
              <w:rPr>
                <w:b/>
                <w:bCs/>
                <w:color w:val="000000"/>
                <w:sz w:val="20"/>
                <w:szCs w:val="20"/>
                <w:lang w:eastAsia="en-GB"/>
              </w:rPr>
              <w:t xml:space="preserve">Internal financing </w:t>
            </w:r>
            <w:r w:rsidRPr="00E41D09">
              <w:rPr>
                <w:b/>
                <w:sz w:val="20"/>
                <w:szCs w:val="20"/>
                <w:lang w:eastAsia="en-GB"/>
              </w:rPr>
              <w:t>²</w:t>
            </w:r>
          </w:p>
        </w:tc>
        <w:tc>
          <w:tcPr>
            <w:tcW w:w="963" w:type="dxa"/>
            <w:tcBorders>
              <w:top w:val="single" w:sz="8" w:space="0" w:color="auto"/>
              <w:left w:val="single" w:sz="8" w:space="0" w:color="auto"/>
              <w:bottom w:val="single" w:sz="8" w:space="0" w:color="auto"/>
              <w:right w:val="nil"/>
            </w:tcBorders>
            <w:shd w:val="clear" w:color="000000" w:fill="FFFFFF"/>
            <w:hideMark/>
          </w:tcPr>
          <w:p w14:paraId="5A6E54AE" w14:textId="6F776597" w:rsidR="000B4447" w:rsidRPr="000B4447" w:rsidRDefault="000B4447" w:rsidP="00D63E6E">
            <w:pPr>
              <w:jc w:val="right"/>
              <w:rPr>
                <w:b/>
                <w:bCs/>
                <w:color w:val="000000"/>
                <w:sz w:val="20"/>
                <w:szCs w:val="20"/>
                <w:lang w:eastAsia="en-GB"/>
              </w:rPr>
            </w:pPr>
            <w:r w:rsidRPr="000B4447">
              <w:rPr>
                <w:sz w:val="20"/>
                <w:szCs w:val="20"/>
              </w:rPr>
              <w:t>7.2</w:t>
            </w:r>
          </w:p>
        </w:tc>
        <w:tc>
          <w:tcPr>
            <w:tcW w:w="1050" w:type="dxa"/>
            <w:tcBorders>
              <w:top w:val="single" w:sz="8" w:space="0" w:color="auto"/>
              <w:left w:val="single" w:sz="4" w:space="0" w:color="auto"/>
              <w:bottom w:val="single" w:sz="8" w:space="0" w:color="auto"/>
              <w:right w:val="single" w:sz="4" w:space="0" w:color="auto"/>
            </w:tcBorders>
            <w:shd w:val="clear" w:color="000000" w:fill="FFFFFF"/>
            <w:hideMark/>
          </w:tcPr>
          <w:p w14:paraId="55B36F1A" w14:textId="4713312A" w:rsidR="000B4447" w:rsidRPr="000B4447" w:rsidRDefault="000B4447" w:rsidP="00D63E6E">
            <w:pPr>
              <w:jc w:val="right"/>
              <w:rPr>
                <w:b/>
                <w:bCs/>
                <w:color w:val="000000"/>
                <w:sz w:val="20"/>
                <w:szCs w:val="20"/>
                <w:lang w:eastAsia="en-GB"/>
              </w:rPr>
            </w:pPr>
            <w:r w:rsidRPr="000B4447">
              <w:rPr>
                <w:sz w:val="20"/>
                <w:szCs w:val="20"/>
              </w:rPr>
              <w:t>7.8</w:t>
            </w:r>
          </w:p>
        </w:tc>
        <w:tc>
          <w:tcPr>
            <w:tcW w:w="1052" w:type="dxa"/>
            <w:tcBorders>
              <w:top w:val="single" w:sz="8" w:space="0" w:color="auto"/>
              <w:left w:val="nil"/>
              <w:bottom w:val="single" w:sz="8" w:space="0" w:color="auto"/>
              <w:right w:val="nil"/>
            </w:tcBorders>
            <w:shd w:val="clear" w:color="000000" w:fill="FFFFFF"/>
            <w:hideMark/>
          </w:tcPr>
          <w:p w14:paraId="5FBA14C1" w14:textId="4F20AD81" w:rsidR="000B4447" w:rsidRPr="000B4447" w:rsidRDefault="000B4447" w:rsidP="00D63E6E">
            <w:pPr>
              <w:jc w:val="right"/>
              <w:rPr>
                <w:b/>
                <w:bCs/>
                <w:color w:val="000000"/>
                <w:sz w:val="20"/>
                <w:szCs w:val="20"/>
                <w:lang w:eastAsia="en-GB"/>
              </w:rPr>
            </w:pPr>
            <w:r w:rsidRPr="000B4447">
              <w:rPr>
                <w:sz w:val="20"/>
                <w:szCs w:val="20"/>
              </w:rPr>
              <w:t>8.0</w:t>
            </w:r>
          </w:p>
        </w:tc>
        <w:tc>
          <w:tcPr>
            <w:tcW w:w="1055" w:type="dxa"/>
            <w:tcBorders>
              <w:top w:val="single" w:sz="8" w:space="0" w:color="auto"/>
              <w:left w:val="single" w:sz="4" w:space="0" w:color="auto"/>
              <w:bottom w:val="single" w:sz="8" w:space="0" w:color="auto"/>
              <w:right w:val="single" w:sz="4" w:space="0" w:color="auto"/>
            </w:tcBorders>
            <w:shd w:val="clear" w:color="000000" w:fill="FFFFFF"/>
            <w:hideMark/>
          </w:tcPr>
          <w:p w14:paraId="00BB27EE" w14:textId="134C10B1" w:rsidR="000B4447" w:rsidRPr="000B4447" w:rsidRDefault="000B4447" w:rsidP="00D63E6E">
            <w:pPr>
              <w:jc w:val="right"/>
              <w:rPr>
                <w:b/>
                <w:bCs/>
                <w:color w:val="000000"/>
                <w:sz w:val="20"/>
                <w:szCs w:val="20"/>
                <w:lang w:eastAsia="en-GB"/>
              </w:rPr>
            </w:pPr>
            <w:r w:rsidRPr="000B4447">
              <w:rPr>
                <w:sz w:val="20"/>
                <w:szCs w:val="20"/>
              </w:rPr>
              <w:t>8.7</w:t>
            </w:r>
          </w:p>
        </w:tc>
        <w:tc>
          <w:tcPr>
            <w:tcW w:w="1055" w:type="dxa"/>
            <w:tcBorders>
              <w:top w:val="single" w:sz="8" w:space="0" w:color="auto"/>
              <w:left w:val="nil"/>
              <w:bottom w:val="single" w:sz="8" w:space="0" w:color="auto"/>
              <w:right w:val="single" w:sz="8" w:space="0" w:color="auto"/>
            </w:tcBorders>
            <w:shd w:val="clear" w:color="000000" w:fill="FFFFFF"/>
            <w:hideMark/>
          </w:tcPr>
          <w:p w14:paraId="26F77395" w14:textId="09158CB8" w:rsidR="000B4447" w:rsidRPr="000B4447" w:rsidRDefault="000B4447" w:rsidP="00D63E6E">
            <w:pPr>
              <w:jc w:val="right"/>
              <w:rPr>
                <w:b/>
                <w:bCs/>
                <w:color w:val="000000"/>
                <w:sz w:val="20"/>
                <w:szCs w:val="20"/>
                <w:lang w:eastAsia="en-GB"/>
              </w:rPr>
            </w:pPr>
            <w:r w:rsidRPr="000B4447">
              <w:rPr>
                <w:sz w:val="20"/>
                <w:szCs w:val="20"/>
              </w:rPr>
              <w:t>16.3</w:t>
            </w:r>
          </w:p>
        </w:tc>
        <w:tc>
          <w:tcPr>
            <w:tcW w:w="1050" w:type="dxa"/>
            <w:tcBorders>
              <w:top w:val="single" w:sz="8" w:space="0" w:color="auto"/>
              <w:left w:val="nil"/>
              <w:bottom w:val="single" w:sz="8" w:space="0" w:color="auto"/>
              <w:right w:val="single" w:sz="8" w:space="0" w:color="auto"/>
            </w:tcBorders>
            <w:shd w:val="clear" w:color="000000" w:fill="FFFFFF"/>
          </w:tcPr>
          <w:p w14:paraId="1EA4FDE4" w14:textId="71FDCE9B" w:rsidR="000B4447" w:rsidRPr="000B4447" w:rsidRDefault="000B4447" w:rsidP="00D63E6E">
            <w:pPr>
              <w:jc w:val="right"/>
              <w:rPr>
                <w:b/>
                <w:bCs/>
                <w:color w:val="000000"/>
                <w:sz w:val="20"/>
                <w:szCs w:val="20"/>
                <w:lang w:eastAsia="en-GB"/>
              </w:rPr>
            </w:pPr>
            <w:r w:rsidRPr="000B4447">
              <w:rPr>
                <w:sz w:val="20"/>
                <w:szCs w:val="20"/>
              </w:rPr>
              <w:t>11.6</w:t>
            </w:r>
          </w:p>
        </w:tc>
        <w:tc>
          <w:tcPr>
            <w:tcW w:w="1050" w:type="dxa"/>
            <w:tcBorders>
              <w:top w:val="single" w:sz="8" w:space="0" w:color="auto"/>
              <w:left w:val="nil"/>
              <w:bottom w:val="single" w:sz="8" w:space="0" w:color="auto"/>
              <w:right w:val="single" w:sz="8" w:space="0" w:color="auto"/>
            </w:tcBorders>
            <w:shd w:val="clear" w:color="000000" w:fill="FFFFFF"/>
          </w:tcPr>
          <w:p w14:paraId="5E0578B8" w14:textId="67349219" w:rsidR="000B4447" w:rsidRPr="000B4447" w:rsidRDefault="000B4447" w:rsidP="00D63E6E">
            <w:pPr>
              <w:jc w:val="right"/>
              <w:rPr>
                <w:b/>
                <w:bCs/>
                <w:color w:val="000000"/>
                <w:sz w:val="20"/>
                <w:szCs w:val="20"/>
                <w:lang w:eastAsia="en-GB"/>
              </w:rPr>
            </w:pPr>
            <w:r w:rsidRPr="000B4447">
              <w:rPr>
                <w:sz w:val="20"/>
                <w:szCs w:val="20"/>
              </w:rPr>
              <w:t>7.4</w:t>
            </w:r>
          </w:p>
        </w:tc>
        <w:tc>
          <w:tcPr>
            <w:tcW w:w="1055" w:type="dxa"/>
            <w:tcBorders>
              <w:top w:val="single" w:sz="8" w:space="0" w:color="auto"/>
              <w:left w:val="nil"/>
              <w:bottom w:val="single" w:sz="8" w:space="0" w:color="auto"/>
              <w:right w:val="single" w:sz="8" w:space="0" w:color="auto"/>
            </w:tcBorders>
            <w:shd w:val="clear" w:color="000000" w:fill="FFFFFF"/>
          </w:tcPr>
          <w:p w14:paraId="05CFDDE4" w14:textId="2D98A0BE" w:rsidR="000B4447" w:rsidRPr="000B4447" w:rsidRDefault="000B4447" w:rsidP="00D63E6E">
            <w:pPr>
              <w:jc w:val="right"/>
              <w:rPr>
                <w:b/>
                <w:bCs/>
                <w:color w:val="000000"/>
                <w:sz w:val="20"/>
                <w:szCs w:val="20"/>
                <w:lang w:eastAsia="en-GB"/>
              </w:rPr>
            </w:pPr>
            <w:r w:rsidRPr="000B4447">
              <w:rPr>
                <w:sz w:val="20"/>
                <w:szCs w:val="20"/>
              </w:rPr>
              <w:t>8.4</w:t>
            </w:r>
          </w:p>
        </w:tc>
        <w:tc>
          <w:tcPr>
            <w:tcW w:w="1050" w:type="dxa"/>
            <w:tcBorders>
              <w:top w:val="single" w:sz="8" w:space="0" w:color="auto"/>
              <w:left w:val="nil"/>
              <w:bottom w:val="single" w:sz="8" w:space="0" w:color="auto"/>
              <w:right w:val="single" w:sz="8" w:space="0" w:color="auto"/>
            </w:tcBorders>
            <w:shd w:val="clear" w:color="000000" w:fill="FFFFFF"/>
          </w:tcPr>
          <w:p w14:paraId="78FB33D4" w14:textId="751EC7CB" w:rsidR="000B4447" w:rsidRPr="000B4447" w:rsidRDefault="000B4447" w:rsidP="00D63E6E">
            <w:pPr>
              <w:jc w:val="right"/>
              <w:rPr>
                <w:b/>
                <w:bCs/>
                <w:color w:val="000000"/>
                <w:sz w:val="20"/>
                <w:szCs w:val="20"/>
                <w:lang w:eastAsia="en-GB"/>
              </w:rPr>
            </w:pPr>
            <w:r w:rsidRPr="000B4447">
              <w:rPr>
                <w:sz w:val="20"/>
                <w:szCs w:val="20"/>
              </w:rPr>
              <w:t>9.4</w:t>
            </w:r>
          </w:p>
        </w:tc>
        <w:tc>
          <w:tcPr>
            <w:tcW w:w="1050" w:type="dxa"/>
            <w:tcBorders>
              <w:top w:val="single" w:sz="8" w:space="0" w:color="auto"/>
              <w:left w:val="nil"/>
              <w:bottom w:val="single" w:sz="8" w:space="0" w:color="auto"/>
              <w:right w:val="single" w:sz="8" w:space="0" w:color="auto"/>
            </w:tcBorders>
            <w:shd w:val="clear" w:color="000000" w:fill="FFFFFF"/>
          </w:tcPr>
          <w:p w14:paraId="6A9D9DC7" w14:textId="0FF49C60" w:rsidR="000B4447" w:rsidRPr="000B4447" w:rsidRDefault="000B4447" w:rsidP="00D63E6E">
            <w:pPr>
              <w:jc w:val="right"/>
              <w:rPr>
                <w:b/>
                <w:bCs/>
                <w:color w:val="000000"/>
                <w:sz w:val="20"/>
                <w:szCs w:val="20"/>
                <w:lang w:eastAsia="en-GB"/>
              </w:rPr>
            </w:pPr>
            <w:r w:rsidRPr="000B4447">
              <w:rPr>
                <w:sz w:val="20"/>
                <w:szCs w:val="20"/>
              </w:rPr>
              <w:t>11.1</w:t>
            </w:r>
          </w:p>
        </w:tc>
        <w:tc>
          <w:tcPr>
            <w:tcW w:w="1050" w:type="dxa"/>
            <w:tcBorders>
              <w:top w:val="single" w:sz="8" w:space="0" w:color="auto"/>
              <w:left w:val="nil"/>
              <w:bottom w:val="single" w:sz="8" w:space="0" w:color="auto"/>
              <w:right w:val="single" w:sz="8" w:space="0" w:color="auto"/>
            </w:tcBorders>
            <w:shd w:val="clear" w:color="000000" w:fill="FFFFFF"/>
          </w:tcPr>
          <w:p w14:paraId="28A6C95E" w14:textId="7A647464" w:rsidR="000B4447" w:rsidRPr="000B4447" w:rsidRDefault="000B4447" w:rsidP="00D63E6E">
            <w:pPr>
              <w:jc w:val="right"/>
              <w:rPr>
                <w:b/>
                <w:bCs/>
                <w:color w:val="000000"/>
                <w:sz w:val="20"/>
                <w:szCs w:val="20"/>
                <w:lang w:eastAsia="en-GB"/>
              </w:rPr>
            </w:pPr>
            <w:r w:rsidRPr="000B4447">
              <w:rPr>
                <w:sz w:val="20"/>
                <w:szCs w:val="20"/>
              </w:rPr>
              <w:t>8.3</w:t>
            </w:r>
          </w:p>
        </w:tc>
      </w:tr>
      <w:tr w:rsidR="000B4447" w:rsidRPr="004F48AD" w14:paraId="4F03888C" w14:textId="2DEC8C7F" w:rsidTr="00DB01E4">
        <w:trPr>
          <w:trHeight w:val="292"/>
        </w:trPr>
        <w:tc>
          <w:tcPr>
            <w:tcW w:w="3545" w:type="dxa"/>
            <w:tcBorders>
              <w:top w:val="nil"/>
              <w:left w:val="single" w:sz="8" w:space="0" w:color="auto"/>
              <w:bottom w:val="nil"/>
              <w:right w:val="single" w:sz="8" w:space="0" w:color="auto"/>
            </w:tcBorders>
            <w:shd w:val="clear" w:color="000000" w:fill="FFFFFF"/>
            <w:noWrap/>
            <w:vAlign w:val="bottom"/>
            <w:hideMark/>
          </w:tcPr>
          <w:p w14:paraId="44F469F9" w14:textId="6B50447A" w:rsidR="000B4447" w:rsidRPr="00E41D09" w:rsidRDefault="000B4447" w:rsidP="000B4447">
            <w:pPr>
              <w:rPr>
                <w:sz w:val="20"/>
                <w:szCs w:val="20"/>
                <w:lang w:eastAsia="en-GB"/>
              </w:rPr>
            </w:pPr>
            <w:r w:rsidRPr="00E41D09">
              <w:rPr>
                <w:sz w:val="20"/>
                <w:szCs w:val="20"/>
                <w:lang w:eastAsia="en-GB"/>
              </w:rPr>
              <w:t xml:space="preserve">Earmarked and General Reserves </w:t>
            </w:r>
            <w:r w:rsidRPr="00E41D09">
              <w:rPr>
                <w:b/>
                <w:sz w:val="20"/>
                <w:szCs w:val="20"/>
                <w:lang w:eastAsia="en-GB"/>
              </w:rPr>
              <w:t>³</w:t>
            </w:r>
          </w:p>
        </w:tc>
        <w:tc>
          <w:tcPr>
            <w:tcW w:w="963" w:type="dxa"/>
            <w:tcBorders>
              <w:top w:val="nil"/>
              <w:left w:val="single" w:sz="8" w:space="0" w:color="auto"/>
              <w:bottom w:val="nil"/>
              <w:right w:val="nil"/>
            </w:tcBorders>
            <w:shd w:val="clear" w:color="000000" w:fill="FFFFFF"/>
            <w:hideMark/>
          </w:tcPr>
          <w:p w14:paraId="6F925AAF" w14:textId="6A173480" w:rsidR="000B4447" w:rsidRPr="000B4447" w:rsidRDefault="000B4447" w:rsidP="00D63E6E">
            <w:pPr>
              <w:jc w:val="right"/>
              <w:rPr>
                <w:color w:val="000000"/>
                <w:sz w:val="20"/>
                <w:szCs w:val="20"/>
                <w:lang w:eastAsia="en-GB"/>
              </w:rPr>
            </w:pPr>
            <w:r w:rsidRPr="000B4447">
              <w:rPr>
                <w:sz w:val="20"/>
                <w:szCs w:val="20"/>
              </w:rPr>
              <w:t>(15.4)</w:t>
            </w:r>
          </w:p>
        </w:tc>
        <w:tc>
          <w:tcPr>
            <w:tcW w:w="1050" w:type="dxa"/>
            <w:tcBorders>
              <w:top w:val="nil"/>
              <w:left w:val="single" w:sz="4" w:space="0" w:color="auto"/>
              <w:bottom w:val="nil"/>
              <w:right w:val="single" w:sz="4" w:space="0" w:color="auto"/>
            </w:tcBorders>
            <w:shd w:val="clear" w:color="000000" w:fill="FFFFFF"/>
            <w:hideMark/>
          </w:tcPr>
          <w:p w14:paraId="5CADD49F" w14:textId="71858BE5" w:rsidR="000B4447" w:rsidRPr="000B4447" w:rsidRDefault="000B4447" w:rsidP="00D63E6E">
            <w:pPr>
              <w:jc w:val="right"/>
              <w:rPr>
                <w:color w:val="000000"/>
                <w:sz w:val="20"/>
                <w:szCs w:val="20"/>
                <w:lang w:eastAsia="en-GB"/>
              </w:rPr>
            </w:pPr>
            <w:r w:rsidRPr="000B4447">
              <w:rPr>
                <w:sz w:val="20"/>
                <w:szCs w:val="20"/>
              </w:rPr>
              <w:t>(10.0)</w:t>
            </w:r>
          </w:p>
        </w:tc>
        <w:tc>
          <w:tcPr>
            <w:tcW w:w="1052" w:type="dxa"/>
            <w:tcBorders>
              <w:top w:val="nil"/>
              <w:left w:val="nil"/>
              <w:bottom w:val="nil"/>
              <w:right w:val="nil"/>
            </w:tcBorders>
            <w:shd w:val="clear" w:color="000000" w:fill="FFFFFF"/>
            <w:hideMark/>
          </w:tcPr>
          <w:p w14:paraId="13C2CB14" w14:textId="6D1F6337" w:rsidR="000B4447" w:rsidRPr="000B4447" w:rsidRDefault="000B4447" w:rsidP="00D63E6E">
            <w:pPr>
              <w:jc w:val="right"/>
              <w:rPr>
                <w:color w:val="000000"/>
                <w:sz w:val="20"/>
                <w:szCs w:val="20"/>
                <w:lang w:eastAsia="en-GB"/>
              </w:rPr>
            </w:pPr>
            <w:r w:rsidRPr="000B4447">
              <w:rPr>
                <w:sz w:val="20"/>
                <w:szCs w:val="20"/>
              </w:rPr>
              <w:t>(8.3)</w:t>
            </w:r>
          </w:p>
        </w:tc>
        <w:tc>
          <w:tcPr>
            <w:tcW w:w="1055" w:type="dxa"/>
            <w:tcBorders>
              <w:top w:val="nil"/>
              <w:left w:val="single" w:sz="4" w:space="0" w:color="auto"/>
              <w:bottom w:val="nil"/>
              <w:right w:val="single" w:sz="4" w:space="0" w:color="auto"/>
            </w:tcBorders>
            <w:shd w:val="clear" w:color="000000" w:fill="FFFFFF"/>
            <w:hideMark/>
          </w:tcPr>
          <w:p w14:paraId="32F586A6" w14:textId="4E370F34" w:rsidR="000B4447" w:rsidRPr="000B4447" w:rsidRDefault="000B4447" w:rsidP="00D63E6E">
            <w:pPr>
              <w:jc w:val="right"/>
              <w:rPr>
                <w:color w:val="000000"/>
                <w:sz w:val="20"/>
                <w:szCs w:val="20"/>
                <w:lang w:eastAsia="en-GB"/>
              </w:rPr>
            </w:pPr>
            <w:r w:rsidRPr="000B4447">
              <w:rPr>
                <w:sz w:val="20"/>
                <w:szCs w:val="20"/>
              </w:rPr>
              <w:t>(7.4)</w:t>
            </w:r>
          </w:p>
        </w:tc>
        <w:tc>
          <w:tcPr>
            <w:tcW w:w="1055" w:type="dxa"/>
            <w:tcBorders>
              <w:top w:val="nil"/>
              <w:left w:val="nil"/>
              <w:bottom w:val="nil"/>
              <w:right w:val="single" w:sz="8" w:space="0" w:color="auto"/>
            </w:tcBorders>
            <w:shd w:val="clear" w:color="000000" w:fill="FFFFFF"/>
            <w:hideMark/>
          </w:tcPr>
          <w:p w14:paraId="103B539E" w14:textId="451FB225" w:rsidR="000B4447" w:rsidRPr="000B4447" w:rsidRDefault="000B4447" w:rsidP="00D63E6E">
            <w:pPr>
              <w:jc w:val="right"/>
              <w:rPr>
                <w:color w:val="000000"/>
                <w:sz w:val="20"/>
                <w:szCs w:val="20"/>
                <w:lang w:eastAsia="en-GB"/>
              </w:rPr>
            </w:pPr>
            <w:r w:rsidRPr="000B4447">
              <w:rPr>
                <w:sz w:val="20"/>
                <w:szCs w:val="20"/>
              </w:rPr>
              <w:t>(7.0)</w:t>
            </w:r>
          </w:p>
        </w:tc>
        <w:tc>
          <w:tcPr>
            <w:tcW w:w="1050" w:type="dxa"/>
            <w:tcBorders>
              <w:top w:val="nil"/>
              <w:left w:val="nil"/>
              <w:bottom w:val="nil"/>
              <w:right w:val="single" w:sz="8" w:space="0" w:color="auto"/>
            </w:tcBorders>
            <w:shd w:val="clear" w:color="000000" w:fill="FFFFFF"/>
          </w:tcPr>
          <w:p w14:paraId="2A6EDC4B" w14:textId="26366D26" w:rsidR="000B4447" w:rsidRPr="000B4447" w:rsidRDefault="000B4447" w:rsidP="00D63E6E">
            <w:pPr>
              <w:jc w:val="right"/>
              <w:rPr>
                <w:sz w:val="20"/>
                <w:szCs w:val="20"/>
              </w:rPr>
            </w:pPr>
            <w:r w:rsidRPr="000B4447">
              <w:rPr>
                <w:sz w:val="20"/>
                <w:szCs w:val="20"/>
              </w:rPr>
              <w:t>(7.0)</w:t>
            </w:r>
          </w:p>
        </w:tc>
        <w:tc>
          <w:tcPr>
            <w:tcW w:w="1050" w:type="dxa"/>
            <w:tcBorders>
              <w:top w:val="nil"/>
              <w:left w:val="nil"/>
              <w:bottom w:val="nil"/>
              <w:right w:val="single" w:sz="8" w:space="0" w:color="auto"/>
            </w:tcBorders>
            <w:shd w:val="clear" w:color="000000" w:fill="FFFFFF"/>
          </w:tcPr>
          <w:p w14:paraId="2AB869DC" w14:textId="3162BA84" w:rsidR="000B4447" w:rsidRPr="000B4447" w:rsidRDefault="000B4447" w:rsidP="00D63E6E">
            <w:pPr>
              <w:jc w:val="right"/>
              <w:rPr>
                <w:sz w:val="20"/>
                <w:szCs w:val="20"/>
              </w:rPr>
            </w:pPr>
            <w:r w:rsidRPr="000B4447">
              <w:rPr>
                <w:sz w:val="20"/>
                <w:szCs w:val="20"/>
              </w:rPr>
              <w:t>(7.0)</w:t>
            </w:r>
          </w:p>
        </w:tc>
        <w:tc>
          <w:tcPr>
            <w:tcW w:w="1055" w:type="dxa"/>
            <w:tcBorders>
              <w:top w:val="nil"/>
              <w:left w:val="nil"/>
              <w:bottom w:val="nil"/>
              <w:right w:val="single" w:sz="8" w:space="0" w:color="auto"/>
            </w:tcBorders>
            <w:shd w:val="clear" w:color="000000" w:fill="FFFFFF"/>
          </w:tcPr>
          <w:p w14:paraId="6CEEB0D5" w14:textId="39EAB0A6" w:rsidR="000B4447" w:rsidRPr="000B4447" w:rsidRDefault="000B4447" w:rsidP="00D63E6E">
            <w:pPr>
              <w:jc w:val="right"/>
              <w:rPr>
                <w:sz w:val="20"/>
                <w:szCs w:val="20"/>
              </w:rPr>
            </w:pPr>
            <w:r w:rsidRPr="000B4447">
              <w:rPr>
                <w:sz w:val="20"/>
                <w:szCs w:val="20"/>
              </w:rPr>
              <w:t>(7.0)</w:t>
            </w:r>
          </w:p>
        </w:tc>
        <w:tc>
          <w:tcPr>
            <w:tcW w:w="1050" w:type="dxa"/>
            <w:tcBorders>
              <w:top w:val="nil"/>
              <w:left w:val="nil"/>
              <w:bottom w:val="nil"/>
              <w:right w:val="single" w:sz="8" w:space="0" w:color="auto"/>
            </w:tcBorders>
            <w:shd w:val="clear" w:color="000000" w:fill="FFFFFF"/>
          </w:tcPr>
          <w:p w14:paraId="30ECBBA8" w14:textId="1D04B139" w:rsidR="000B4447" w:rsidRPr="000B4447" w:rsidRDefault="000B4447" w:rsidP="00D63E6E">
            <w:pPr>
              <w:jc w:val="right"/>
              <w:rPr>
                <w:sz w:val="20"/>
                <w:szCs w:val="20"/>
              </w:rPr>
            </w:pPr>
            <w:r w:rsidRPr="000B4447">
              <w:rPr>
                <w:sz w:val="20"/>
                <w:szCs w:val="20"/>
              </w:rPr>
              <w:t>(7.0)</w:t>
            </w:r>
          </w:p>
        </w:tc>
        <w:tc>
          <w:tcPr>
            <w:tcW w:w="1050" w:type="dxa"/>
            <w:tcBorders>
              <w:top w:val="nil"/>
              <w:left w:val="nil"/>
              <w:bottom w:val="nil"/>
              <w:right w:val="single" w:sz="8" w:space="0" w:color="auto"/>
            </w:tcBorders>
            <w:shd w:val="clear" w:color="000000" w:fill="FFFFFF"/>
          </w:tcPr>
          <w:p w14:paraId="6D256663" w14:textId="678959AD" w:rsidR="000B4447" w:rsidRPr="000B4447" w:rsidRDefault="000B4447" w:rsidP="00D63E6E">
            <w:pPr>
              <w:jc w:val="right"/>
              <w:rPr>
                <w:sz w:val="20"/>
                <w:szCs w:val="20"/>
              </w:rPr>
            </w:pPr>
            <w:r w:rsidRPr="000B4447">
              <w:rPr>
                <w:sz w:val="20"/>
                <w:szCs w:val="20"/>
              </w:rPr>
              <w:t>(7.0)</w:t>
            </w:r>
          </w:p>
        </w:tc>
        <w:tc>
          <w:tcPr>
            <w:tcW w:w="1050" w:type="dxa"/>
            <w:tcBorders>
              <w:top w:val="nil"/>
              <w:left w:val="nil"/>
              <w:bottom w:val="nil"/>
              <w:right w:val="single" w:sz="8" w:space="0" w:color="auto"/>
            </w:tcBorders>
            <w:shd w:val="clear" w:color="000000" w:fill="FFFFFF"/>
          </w:tcPr>
          <w:p w14:paraId="66D6B3C9" w14:textId="53B9AEC3" w:rsidR="000B4447" w:rsidRPr="000B4447" w:rsidRDefault="000B4447" w:rsidP="00D63E6E">
            <w:pPr>
              <w:jc w:val="right"/>
              <w:rPr>
                <w:sz w:val="20"/>
                <w:szCs w:val="20"/>
              </w:rPr>
            </w:pPr>
            <w:r w:rsidRPr="000B4447">
              <w:rPr>
                <w:sz w:val="20"/>
                <w:szCs w:val="20"/>
              </w:rPr>
              <w:t>(7.0)</w:t>
            </w:r>
          </w:p>
        </w:tc>
      </w:tr>
      <w:tr w:rsidR="000B4447" w:rsidRPr="004F48AD" w14:paraId="5FB58716" w14:textId="294DA5E9" w:rsidTr="00DB01E4">
        <w:trPr>
          <w:trHeight w:val="246"/>
        </w:trPr>
        <w:tc>
          <w:tcPr>
            <w:tcW w:w="3545" w:type="dxa"/>
            <w:tcBorders>
              <w:top w:val="nil"/>
              <w:left w:val="single" w:sz="8" w:space="0" w:color="auto"/>
              <w:bottom w:val="nil"/>
              <w:right w:val="single" w:sz="8" w:space="0" w:color="auto"/>
            </w:tcBorders>
            <w:shd w:val="clear" w:color="000000" w:fill="FFFFFF"/>
            <w:noWrap/>
            <w:vAlign w:val="bottom"/>
            <w:hideMark/>
          </w:tcPr>
          <w:p w14:paraId="559A4CE2" w14:textId="55CC6D9A" w:rsidR="000B4447" w:rsidRPr="00E41D09" w:rsidRDefault="000B4447" w:rsidP="000B4447">
            <w:pPr>
              <w:rPr>
                <w:sz w:val="20"/>
                <w:szCs w:val="20"/>
                <w:lang w:eastAsia="en-GB"/>
              </w:rPr>
            </w:pPr>
            <w:r w:rsidRPr="00E41D09">
              <w:rPr>
                <w:sz w:val="20"/>
                <w:szCs w:val="20"/>
                <w:lang w:eastAsia="en-GB"/>
              </w:rPr>
              <w:t>Capital Receipts Reserve</w:t>
            </w:r>
            <w:r>
              <w:rPr>
                <w:sz w:val="20"/>
                <w:szCs w:val="20"/>
                <w:lang w:eastAsia="en-GB"/>
              </w:rPr>
              <w:t xml:space="preserve"> </w:t>
            </w:r>
            <w:r w:rsidRPr="00E41D09">
              <w:rPr>
                <w:b/>
                <w:sz w:val="20"/>
                <w:szCs w:val="20"/>
                <w:lang w:eastAsia="en-GB"/>
              </w:rPr>
              <w:t>³</w:t>
            </w:r>
          </w:p>
        </w:tc>
        <w:tc>
          <w:tcPr>
            <w:tcW w:w="963" w:type="dxa"/>
            <w:tcBorders>
              <w:top w:val="nil"/>
              <w:left w:val="single" w:sz="8" w:space="0" w:color="auto"/>
              <w:bottom w:val="nil"/>
              <w:right w:val="nil"/>
            </w:tcBorders>
            <w:shd w:val="clear" w:color="000000" w:fill="FFFFFF"/>
            <w:hideMark/>
          </w:tcPr>
          <w:p w14:paraId="1B8454C4" w14:textId="5D4C8205" w:rsidR="000B4447" w:rsidRPr="000B4447" w:rsidRDefault="000B4447" w:rsidP="00D63E6E">
            <w:pPr>
              <w:jc w:val="right"/>
              <w:rPr>
                <w:color w:val="000000"/>
                <w:sz w:val="20"/>
                <w:szCs w:val="20"/>
                <w:lang w:eastAsia="en-GB"/>
              </w:rPr>
            </w:pPr>
            <w:r w:rsidRPr="000B4447">
              <w:rPr>
                <w:sz w:val="20"/>
                <w:szCs w:val="20"/>
              </w:rPr>
              <w:t>(13.2)</w:t>
            </w:r>
          </w:p>
        </w:tc>
        <w:tc>
          <w:tcPr>
            <w:tcW w:w="1050" w:type="dxa"/>
            <w:tcBorders>
              <w:top w:val="nil"/>
              <w:left w:val="single" w:sz="4" w:space="0" w:color="auto"/>
              <w:bottom w:val="nil"/>
              <w:right w:val="single" w:sz="4" w:space="0" w:color="auto"/>
            </w:tcBorders>
            <w:shd w:val="clear" w:color="000000" w:fill="FFFFFF"/>
            <w:hideMark/>
          </w:tcPr>
          <w:p w14:paraId="3EB4B4CD" w14:textId="2EA4E808" w:rsidR="000B4447" w:rsidRPr="000B4447" w:rsidRDefault="000B4447" w:rsidP="00D63E6E">
            <w:pPr>
              <w:jc w:val="right"/>
              <w:rPr>
                <w:color w:val="000000"/>
                <w:sz w:val="20"/>
                <w:szCs w:val="20"/>
                <w:lang w:eastAsia="en-GB"/>
              </w:rPr>
            </w:pPr>
            <w:r w:rsidRPr="000B4447">
              <w:rPr>
                <w:sz w:val="20"/>
                <w:szCs w:val="20"/>
              </w:rPr>
              <w:t>(13.3)</w:t>
            </w:r>
          </w:p>
        </w:tc>
        <w:tc>
          <w:tcPr>
            <w:tcW w:w="1052" w:type="dxa"/>
            <w:tcBorders>
              <w:top w:val="nil"/>
              <w:left w:val="nil"/>
              <w:bottom w:val="nil"/>
              <w:right w:val="nil"/>
            </w:tcBorders>
            <w:shd w:val="clear" w:color="000000" w:fill="FFFFFF"/>
            <w:hideMark/>
          </w:tcPr>
          <w:p w14:paraId="3588EEE5" w14:textId="7B5AFA3A" w:rsidR="000B4447" w:rsidRPr="000B4447" w:rsidRDefault="000B4447" w:rsidP="00D63E6E">
            <w:pPr>
              <w:jc w:val="right"/>
              <w:rPr>
                <w:color w:val="000000"/>
                <w:sz w:val="20"/>
                <w:szCs w:val="20"/>
                <w:lang w:eastAsia="en-GB"/>
              </w:rPr>
            </w:pPr>
            <w:r w:rsidRPr="000B4447">
              <w:rPr>
                <w:sz w:val="20"/>
                <w:szCs w:val="20"/>
              </w:rPr>
              <w:t>(11.4)</w:t>
            </w:r>
          </w:p>
        </w:tc>
        <w:tc>
          <w:tcPr>
            <w:tcW w:w="1055" w:type="dxa"/>
            <w:tcBorders>
              <w:top w:val="nil"/>
              <w:left w:val="single" w:sz="4" w:space="0" w:color="auto"/>
              <w:bottom w:val="nil"/>
              <w:right w:val="single" w:sz="4" w:space="0" w:color="auto"/>
            </w:tcBorders>
            <w:shd w:val="clear" w:color="000000" w:fill="FFFFFF"/>
            <w:hideMark/>
          </w:tcPr>
          <w:p w14:paraId="61419989" w14:textId="36E2934C" w:rsidR="000B4447" w:rsidRPr="000B4447" w:rsidRDefault="000B4447" w:rsidP="00D63E6E">
            <w:pPr>
              <w:jc w:val="right"/>
              <w:rPr>
                <w:color w:val="000000"/>
                <w:sz w:val="20"/>
                <w:szCs w:val="20"/>
                <w:lang w:eastAsia="en-GB"/>
              </w:rPr>
            </w:pPr>
            <w:r w:rsidRPr="000B4447">
              <w:rPr>
                <w:sz w:val="20"/>
                <w:szCs w:val="20"/>
              </w:rPr>
              <w:t>(6.7)</w:t>
            </w:r>
          </w:p>
        </w:tc>
        <w:tc>
          <w:tcPr>
            <w:tcW w:w="1055" w:type="dxa"/>
            <w:tcBorders>
              <w:top w:val="nil"/>
              <w:left w:val="nil"/>
              <w:bottom w:val="nil"/>
              <w:right w:val="single" w:sz="8" w:space="0" w:color="auto"/>
            </w:tcBorders>
            <w:shd w:val="clear" w:color="000000" w:fill="FFFFFF"/>
            <w:hideMark/>
          </w:tcPr>
          <w:p w14:paraId="2CAC0E83" w14:textId="14758356" w:rsidR="000B4447" w:rsidRPr="000B4447" w:rsidRDefault="000B4447" w:rsidP="00D63E6E">
            <w:pPr>
              <w:jc w:val="right"/>
              <w:rPr>
                <w:color w:val="000000"/>
                <w:sz w:val="20"/>
                <w:szCs w:val="20"/>
                <w:lang w:eastAsia="en-GB"/>
              </w:rPr>
            </w:pPr>
            <w:r w:rsidRPr="000B4447">
              <w:rPr>
                <w:sz w:val="20"/>
                <w:szCs w:val="20"/>
              </w:rPr>
              <w:t>(1.9)</w:t>
            </w:r>
          </w:p>
        </w:tc>
        <w:tc>
          <w:tcPr>
            <w:tcW w:w="1050" w:type="dxa"/>
            <w:tcBorders>
              <w:top w:val="nil"/>
              <w:left w:val="nil"/>
              <w:bottom w:val="nil"/>
              <w:right w:val="single" w:sz="8" w:space="0" w:color="auto"/>
            </w:tcBorders>
            <w:shd w:val="clear" w:color="000000" w:fill="FFFFFF"/>
          </w:tcPr>
          <w:p w14:paraId="384FDFEF" w14:textId="4F7634B9" w:rsidR="000B4447" w:rsidRPr="000B4447" w:rsidRDefault="000B4447" w:rsidP="00D63E6E">
            <w:pPr>
              <w:jc w:val="right"/>
              <w:rPr>
                <w:sz w:val="20"/>
                <w:szCs w:val="20"/>
              </w:rPr>
            </w:pPr>
            <w:r w:rsidRPr="000B4447">
              <w:rPr>
                <w:sz w:val="20"/>
                <w:szCs w:val="20"/>
              </w:rPr>
              <w:t>(1.9)</w:t>
            </w:r>
          </w:p>
        </w:tc>
        <w:tc>
          <w:tcPr>
            <w:tcW w:w="1050" w:type="dxa"/>
            <w:tcBorders>
              <w:top w:val="nil"/>
              <w:left w:val="nil"/>
              <w:bottom w:val="nil"/>
              <w:right w:val="single" w:sz="8" w:space="0" w:color="auto"/>
            </w:tcBorders>
            <w:shd w:val="clear" w:color="000000" w:fill="FFFFFF"/>
          </w:tcPr>
          <w:p w14:paraId="1E2379DF" w14:textId="7104EDB8" w:rsidR="000B4447" w:rsidRPr="000B4447" w:rsidRDefault="000B4447" w:rsidP="00D63E6E">
            <w:pPr>
              <w:jc w:val="right"/>
              <w:rPr>
                <w:sz w:val="20"/>
                <w:szCs w:val="20"/>
              </w:rPr>
            </w:pPr>
            <w:r w:rsidRPr="000B4447">
              <w:rPr>
                <w:sz w:val="20"/>
                <w:szCs w:val="20"/>
              </w:rPr>
              <w:t>(1.9)</w:t>
            </w:r>
          </w:p>
        </w:tc>
        <w:tc>
          <w:tcPr>
            <w:tcW w:w="1055" w:type="dxa"/>
            <w:tcBorders>
              <w:top w:val="nil"/>
              <w:left w:val="nil"/>
              <w:bottom w:val="nil"/>
              <w:right w:val="single" w:sz="8" w:space="0" w:color="auto"/>
            </w:tcBorders>
            <w:shd w:val="clear" w:color="000000" w:fill="FFFFFF"/>
          </w:tcPr>
          <w:p w14:paraId="093587FF" w14:textId="3277CE78" w:rsidR="000B4447" w:rsidRPr="000B4447" w:rsidRDefault="000B4447" w:rsidP="00D63E6E">
            <w:pPr>
              <w:jc w:val="right"/>
              <w:rPr>
                <w:sz w:val="20"/>
                <w:szCs w:val="20"/>
              </w:rPr>
            </w:pPr>
            <w:r w:rsidRPr="000B4447">
              <w:rPr>
                <w:sz w:val="20"/>
                <w:szCs w:val="20"/>
              </w:rPr>
              <w:t>(1.9)</w:t>
            </w:r>
          </w:p>
        </w:tc>
        <w:tc>
          <w:tcPr>
            <w:tcW w:w="1050" w:type="dxa"/>
            <w:tcBorders>
              <w:top w:val="nil"/>
              <w:left w:val="nil"/>
              <w:bottom w:val="nil"/>
              <w:right w:val="single" w:sz="8" w:space="0" w:color="auto"/>
            </w:tcBorders>
            <w:shd w:val="clear" w:color="000000" w:fill="FFFFFF"/>
          </w:tcPr>
          <w:p w14:paraId="6CCEC4EA" w14:textId="4B3893F9" w:rsidR="000B4447" w:rsidRPr="000B4447" w:rsidRDefault="000B4447" w:rsidP="00D63E6E">
            <w:pPr>
              <w:jc w:val="right"/>
              <w:rPr>
                <w:sz w:val="20"/>
                <w:szCs w:val="20"/>
              </w:rPr>
            </w:pPr>
            <w:r w:rsidRPr="000B4447">
              <w:rPr>
                <w:sz w:val="20"/>
                <w:szCs w:val="20"/>
              </w:rPr>
              <w:t>(1.9)</w:t>
            </w:r>
          </w:p>
        </w:tc>
        <w:tc>
          <w:tcPr>
            <w:tcW w:w="1050" w:type="dxa"/>
            <w:tcBorders>
              <w:top w:val="nil"/>
              <w:left w:val="nil"/>
              <w:bottom w:val="nil"/>
              <w:right w:val="single" w:sz="8" w:space="0" w:color="auto"/>
            </w:tcBorders>
            <w:shd w:val="clear" w:color="000000" w:fill="FFFFFF"/>
          </w:tcPr>
          <w:p w14:paraId="3007E94B" w14:textId="71B0690F" w:rsidR="000B4447" w:rsidRPr="000B4447" w:rsidRDefault="000B4447" w:rsidP="00D63E6E">
            <w:pPr>
              <w:jc w:val="right"/>
              <w:rPr>
                <w:sz w:val="20"/>
                <w:szCs w:val="20"/>
              </w:rPr>
            </w:pPr>
            <w:r w:rsidRPr="000B4447">
              <w:rPr>
                <w:sz w:val="20"/>
                <w:szCs w:val="20"/>
              </w:rPr>
              <w:t>(1.9)</w:t>
            </w:r>
          </w:p>
        </w:tc>
        <w:tc>
          <w:tcPr>
            <w:tcW w:w="1050" w:type="dxa"/>
            <w:tcBorders>
              <w:top w:val="nil"/>
              <w:left w:val="nil"/>
              <w:bottom w:val="nil"/>
              <w:right w:val="single" w:sz="8" w:space="0" w:color="auto"/>
            </w:tcBorders>
            <w:shd w:val="clear" w:color="000000" w:fill="FFFFFF"/>
          </w:tcPr>
          <w:p w14:paraId="22E2939E" w14:textId="0B4D89A1" w:rsidR="000B4447" w:rsidRPr="000B4447" w:rsidRDefault="000B4447" w:rsidP="00D63E6E">
            <w:pPr>
              <w:jc w:val="right"/>
              <w:rPr>
                <w:sz w:val="20"/>
                <w:szCs w:val="20"/>
              </w:rPr>
            </w:pPr>
            <w:r w:rsidRPr="000B4447">
              <w:rPr>
                <w:sz w:val="20"/>
                <w:szCs w:val="20"/>
              </w:rPr>
              <w:t>(1.9)</w:t>
            </w:r>
          </w:p>
        </w:tc>
      </w:tr>
      <w:tr w:rsidR="000B4447" w:rsidRPr="004F48AD" w14:paraId="1A42D60B" w14:textId="34DA0B5F" w:rsidTr="00DB01E4">
        <w:trPr>
          <w:trHeight w:val="246"/>
        </w:trPr>
        <w:tc>
          <w:tcPr>
            <w:tcW w:w="3545" w:type="dxa"/>
            <w:tcBorders>
              <w:top w:val="nil"/>
              <w:left w:val="single" w:sz="8" w:space="0" w:color="auto"/>
              <w:bottom w:val="nil"/>
              <w:right w:val="single" w:sz="8" w:space="0" w:color="auto"/>
            </w:tcBorders>
            <w:shd w:val="clear" w:color="000000" w:fill="FFFFFF"/>
            <w:noWrap/>
            <w:vAlign w:val="bottom"/>
            <w:hideMark/>
          </w:tcPr>
          <w:p w14:paraId="520C4C7B" w14:textId="2054594F" w:rsidR="000B4447" w:rsidRPr="00E41D09" w:rsidRDefault="000B4447" w:rsidP="000B4447">
            <w:pPr>
              <w:rPr>
                <w:sz w:val="20"/>
                <w:szCs w:val="20"/>
                <w:lang w:eastAsia="en-GB"/>
              </w:rPr>
            </w:pPr>
            <w:r w:rsidRPr="00E41D09">
              <w:rPr>
                <w:sz w:val="20"/>
                <w:szCs w:val="20"/>
                <w:lang w:eastAsia="en-GB"/>
              </w:rPr>
              <w:t>Plus: Working Capital</w:t>
            </w:r>
          </w:p>
        </w:tc>
        <w:tc>
          <w:tcPr>
            <w:tcW w:w="963" w:type="dxa"/>
            <w:tcBorders>
              <w:top w:val="nil"/>
              <w:left w:val="single" w:sz="8" w:space="0" w:color="auto"/>
              <w:bottom w:val="nil"/>
              <w:right w:val="nil"/>
            </w:tcBorders>
            <w:shd w:val="clear" w:color="000000" w:fill="FFFFFF"/>
            <w:hideMark/>
          </w:tcPr>
          <w:p w14:paraId="3CDEDD54" w14:textId="42603F1F" w:rsidR="000B4447" w:rsidRPr="000B4447" w:rsidRDefault="000B4447" w:rsidP="00D63E6E">
            <w:pPr>
              <w:jc w:val="right"/>
              <w:rPr>
                <w:color w:val="000000"/>
                <w:sz w:val="20"/>
                <w:szCs w:val="20"/>
                <w:lang w:eastAsia="en-GB"/>
              </w:rPr>
            </w:pPr>
            <w:r w:rsidRPr="000B4447">
              <w:rPr>
                <w:sz w:val="20"/>
                <w:szCs w:val="20"/>
              </w:rPr>
              <w:t>2.3</w:t>
            </w:r>
          </w:p>
        </w:tc>
        <w:tc>
          <w:tcPr>
            <w:tcW w:w="1050" w:type="dxa"/>
            <w:tcBorders>
              <w:top w:val="nil"/>
              <w:left w:val="single" w:sz="4" w:space="0" w:color="auto"/>
              <w:bottom w:val="nil"/>
              <w:right w:val="single" w:sz="4" w:space="0" w:color="auto"/>
            </w:tcBorders>
            <w:shd w:val="clear" w:color="000000" w:fill="FFFFFF"/>
            <w:hideMark/>
          </w:tcPr>
          <w:p w14:paraId="4CDDC6C4" w14:textId="34A844A5" w:rsidR="000B4447" w:rsidRPr="000B4447" w:rsidRDefault="000B4447" w:rsidP="00D63E6E">
            <w:pPr>
              <w:jc w:val="right"/>
              <w:rPr>
                <w:color w:val="000000"/>
                <w:sz w:val="20"/>
                <w:szCs w:val="20"/>
                <w:lang w:eastAsia="en-GB"/>
              </w:rPr>
            </w:pPr>
            <w:r w:rsidRPr="000B4447">
              <w:rPr>
                <w:sz w:val="20"/>
                <w:szCs w:val="20"/>
              </w:rPr>
              <w:t>2.0</w:t>
            </w:r>
          </w:p>
        </w:tc>
        <w:tc>
          <w:tcPr>
            <w:tcW w:w="1052" w:type="dxa"/>
            <w:tcBorders>
              <w:top w:val="nil"/>
              <w:left w:val="nil"/>
              <w:bottom w:val="nil"/>
              <w:right w:val="nil"/>
            </w:tcBorders>
            <w:shd w:val="clear" w:color="000000" w:fill="FFFFFF"/>
            <w:hideMark/>
          </w:tcPr>
          <w:p w14:paraId="731F3294" w14:textId="5B2832FE" w:rsidR="000B4447" w:rsidRPr="000B4447" w:rsidRDefault="000B4447" w:rsidP="00D63E6E">
            <w:pPr>
              <w:jc w:val="right"/>
              <w:rPr>
                <w:color w:val="000000"/>
                <w:sz w:val="20"/>
                <w:szCs w:val="20"/>
                <w:lang w:eastAsia="en-GB"/>
              </w:rPr>
            </w:pPr>
            <w:r w:rsidRPr="000B4447">
              <w:rPr>
                <w:sz w:val="20"/>
                <w:szCs w:val="20"/>
              </w:rPr>
              <w:t>2.0</w:t>
            </w:r>
          </w:p>
        </w:tc>
        <w:tc>
          <w:tcPr>
            <w:tcW w:w="1055" w:type="dxa"/>
            <w:tcBorders>
              <w:top w:val="nil"/>
              <w:left w:val="single" w:sz="4" w:space="0" w:color="auto"/>
              <w:bottom w:val="nil"/>
              <w:right w:val="single" w:sz="4" w:space="0" w:color="auto"/>
            </w:tcBorders>
            <w:shd w:val="clear" w:color="000000" w:fill="FFFFFF"/>
            <w:hideMark/>
          </w:tcPr>
          <w:p w14:paraId="0EE44EC1" w14:textId="1810565B" w:rsidR="000B4447" w:rsidRPr="000B4447" w:rsidRDefault="000B4447" w:rsidP="00D63E6E">
            <w:pPr>
              <w:jc w:val="right"/>
              <w:rPr>
                <w:color w:val="000000"/>
                <w:sz w:val="20"/>
                <w:szCs w:val="20"/>
                <w:lang w:eastAsia="en-GB"/>
              </w:rPr>
            </w:pPr>
            <w:r w:rsidRPr="000B4447">
              <w:rPr>
                <w:sz w:val="20"/>
                <w:szCs w:val="20"/>
              </w:rPr>
              <w:t>2.0</w:t>
            </w:r>
          </w:p>
        </w:tc>
        <w:tc>
          <w:tcPr>
            <w:tcW w:w="1055" w:type="dxa"/>
            <w:tcBorders>
              <w:top w:val="nil"/>
              <w:left w:val="nil"/>
              <w:bottom w:val="nil"/>
              <w:right w:val="single" w:sz="8" w:space="0" w:color="auto"/>
            </w:tcBorders>
            <w:shd w:val="clear" w:color="000000" w:fill="FFFFFF"/>
            <w:hideMark/>
          </w:tcPr>
          <w:p w14:paraId="67AE06AC" w14:textId="7F208B64" w:rsidR="000B4447" w:rsidRPr="000B4447" w:rsidRDefault="000B4447" w:rsidP="00D63E6E">
            <w:pPr>
              <w:jc w:val="right"/>
              <w:rPr>
                <w:color w:val="000000"/>
                <w:sz w:val="20"/>
                <w:szCs w:val="20"/>
                <w:lang w:eastAsia="en-GB"/>
              </w:rPr>
            </w:pPr>
            <w:r w:rsidRPr="000B4447">
              <w:rPr>
                <w:sz w:val="20"/>
                <w:szCs w:val="20"/>
              </w:rPr>
              <w:t>2.0</w:t>
            </w:r>
          </w:p>
        </w:tc>
        <w:tc>
          <w:tcPr>
            <w:tcW w:w="1050" w:type="dxa"/>
            <w:tcBorders>
              <w:top w:val="nil"/>
              <w:left w:val="nil"/>
              <w:bottom w:val="nil"/>
              <w:right w:val="single" w:sz="8" w:space="0" w:color="auto"/>
            </w:tcBorders>
            <w:shd w:val="clear" w:color="000000" w:fill="FFFFFF"/>
          </w:tcPr>
          <w:p w14:paraId="7DC02078" w14:textId="248468C0" w:rsidR="000B4447" w:rsidRPr="000B4447" w:rsidRDefault="000B4447" w:rsidP="00D63E6E">
            <w:pPr>
              <w:jc w:val="right"/>
              <w:rPr>
                <w:sz w:val="20"/>
                <w:szCs w:val="20"/>
              </w:rPr>
            </w:pPr>
            <w:r w:rsidRPr="000B4447">
              <w:rPr>
                <w:sz w:val="20"/>
                <w:szCs w:val="20"/>
              </w:rPr>
              <w:t>2.0</w:t>
            </w:r>
          </w:p>
        </w:tc>
        <w:tc>
          <w:tcPr>
            <w:tcW w:w="1050" w:type="dxa"/>
            <w:tcBorders>
              <w:top w:val="nil"/>
              <w:left w:val="nil"/>
              <w:bottom w:val="nil"/>
              <w:right w:val="single" w:sz="8" w:space="0" w:color="auto"/>
            </w:tcBorders>
            <w:shd w:val="clear" w:color="000000" w:fill="FFFFFF"/>
          </w:tcPr>
          <w:p w14:paraId="2BF4F0EA" w14:textId="267838A2" w:rsidR="000B4447" w:rsidRPr="000B4447" w:rsidRDefault="000B4447" w:rsidP="00D63E6E">
            <w:pPr>
              <w:jc w:val="right"/>
              <w:rPr>
                <w:sz w:val="20"/>
                <w:szCs w:val="20"/>
              </w:rPr>
            </w:pPr>
            <w:r w:rsidRPr="000B4447">
              <w:rPr>
                <w:sz w:val="20"/>
                <w:szCs w:val="20"/>
              </w:rPr>
              <w:t>2.0</w:t>
            </w:r>
          </w:p>
        </w:tc>
        <w:tc>
          <w:tcPr>
            <w:tcW w:w="1055" w:type="dxa"/>
            <w:tcBorders>
              <w:top w:val="nil"/>
              <w:left w:val="nil"/>
              <w:bottom w:val="nil"/>
              <w:right w:val="single" w:sz="8" w:space="0" w:color="auto"/>
            </w:tcBorders>
            <w:shd w:val="clear" w:color="000000" w:fill="FFFFFF"/>
          </w:tcPr>
          <w:p w14:paraId="6528E5D5" w14:textId="32D60CE3" w:rsidR="000B4447" w:rsidRPr="000B4447" w:rsidRDefault="000B4447" w:rsidP="00D63E6E">
            <w:pPr>
              <w:jc w:val="right"/>
              <w:rPr>
                <w:sz w:val="20"/>
                <w:szCs w:val="20"/>
              </w:rPr>
            </w:pPr>
            <w:r w:rsidRPr="000B4447">
              <w:rPr>
                <w:sz w:val="20"/>
                <w:szCs w:val="20"/>
              </w:rPr>
              <w:t>2.0</w:t>
            </w:r>
          </w:p>
        </w:tc>
        <w:tc>
          <w:tcPr>
            <w:tcW w:w="1050" w:type="dxa"/>
            <w:tcBorders>
              <w:top w:val="nil"/>
              <w:left w:val="nil"/>
              <w:bottom w:val="nil"/>
              <w:right w:val="single" w:sz="8" w:space="0" w:color="auto"/>
            </w:tcBorders>
            <w:shd w:val="clear" w:color="000000" w:fill="FFFFFF"/>
          </w:tcPr>
          <w:p w14:paraId="0860DBB0" w14:textId="529D2F6D" w:rsidR="000B4447" w:rsidRPr="000B4447" w:rsidRDefault="000B4447" w:rsidP="00D63E6E">
            <w:pPr>
              <w:jc w:val="right"/>
              <w:rPr>
                <w:sz w:val="20"/>
                <w:szCs w:val="20"/>
              </w:rPr>
            </w:pPr>
            <w:r w:rsidRPr="000B4447">
              <w:rPr>
                <w:sz w:val="20"/>
                <w:szCs w:val="20"/>
              </w:rPr>
              <w:t>2.0</w:t>
            </w:r>
          </w:p>
        </w:tc>
        <w:tc>
          <w:tcPr>
            <w:tcW w:w="1050" w:type="dxa"/>
            <w:tcBorders>
              <w:top w:val="nil"/>
              <w:left w:val="nil"/>
              <w:bottom w:val="nil"/>
              <w:right w:val="single" w:sz="8" w:space="0" w:color="auto"/>
            </w:tcBorders>
            <w:shd w:val="clear" w:color="000000" w:fill="FFFFFF"/>
          </w:tcPr>
          <w:p w14:paraId="15387D49" w14:textId="426FE423" w:rsidR="000B4447" w:rsidRPr="000B4447" w:rsidRDefault="000B4447" w:rsidP="00D63E6E">
            <w:pPr>
              <w:jc w:val="right"/>
              <w:rPr>
                <w:sz w:val="20"/>
                <w:szCs w:val="20"/>
              </w:rPr>
            </w:pPr>
            <w:r w:rsidRPr="000B4447">
              <w:rPr>
                <w:sz w:val="20"/>
                <w:szCs w:val="20"/>
              </w:rPr>
              <w:t>2.0</w:t>
            </w:r>
          </w:p>
        </w:tc>
        <w:tc>
          <w:tcPr>
            <w:tcW w:w="1050" w:type="dxa"/>
            <w:tcBorders>
              <w:top w:val="nil"/>
              <w:left w:val="nil"/>
              <w:bottom w:val="nil"/>
              <w:right w:val="single" w:sz="8" w:space="0" w:color="auto"/>
            </w:tcBorders>
            <w:shd w:val="clear" w:color="000000" w:fill="FFFFFF"/>
          </w:tcPr>
          <w:p w14:paraId="2BF31A26" w14:textId="01FCCF0E" w:rsidR="000B4447" w:rsidRPr="000B4447" w:rsidRDefault="000B4447" w:rsidP="00D63E6E">
            <w:pPr>
              <w:jc w:val="right"/>
              <w:rPr>
                <w:sz w:val="20"/>
                <w:szCs w:val="20"/>
              </w:rPr>
            </w:pPr>
            <w:r w:rsidRPr="000B4447">
              <w:rPr>
                <w:sz w:val="20"/>
                <w:szCs w:val="20"/>
              </w:rPr>
              <w:t>2.0</w:t>
            </w:r>
          </w:p>
        </w:tc>
      </w:tr>
      <w:tr w:rsidR="000B4447" w:rsidRPr="004F48AD" w14:paraId="46E54A4B" w14:textId="3EDD0356" w:rsidTr="00DB01E4">
        <w:trPr>
          <w:trHeight w:val="276"/>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A2A82" w14:textId="75C9B7B0" w:rsidR="000B4447" w:rsidRPr="00E41D09" w:rsidRDefault="000B4447" w:rsidP="000B4447">
            <w:pPr>
              <w:rPr>
                <w:b/>
                <w:bCs/>
                <w:color w:val="000000"/>
                <w:sz w:val="20"/>
                <w:szCs w:val="20"/>
                <w:lang w:eastAsia="en-GB"/>
              </w:rPr>
            </w:pPr>
            <w:r w:rsidRPr="00E41D09">
              <w:rPr>
                <w:b/>
                <w:bCs/>
                <w:color w:val="000000"/>
                <w:sz w:val="20"/>
                <w:szCs w:val="20"/>
                <w:lang w:eastAsia="en-GB"/>
              </w:rPr>
              <w:t xml:space="preserve">Investments/ (external financing) </w:t>
            </w:r>
            <w:r w:rsidRPr="00B948F9">
              <w:rPr>
                <w:b/>
                <w:sz w:val="20"/>
                <w:szCs w:val="20"/>
                <w:lang w:eastAsia="en-GB"/>
              </w:rPr>
              <w:t>⁴</w:t>
            </w:r>
          </w:p>
        </w:tc>
        <w:tc>
          <w:tcPr>
            <w:tcW w:w="963" w:type="dxa"/>
            <w:tcBorders>
              <w:top w:val="single" w:sz="8" w:space="0" w:color="auto"/>
              <w:left w:val="single" w:sz="8" w:space="0" w:color="auto"/>
              <w:bottom w:val="single" w:sz="8" w:space="0" w:color="auto"/>
              <w:right w:val="nil"/>
            </w:tcBorders>
            <w:shd w:val="clear" w:color="000000" w:fill="FFFFFF"/>
            <w:hideMark/>
          </w:tcPr>
          <w:p w14:paraId="33DD6DC8" w14:textId="4624D41C" w:rsidR="000B4447" w:rsidRPr="000B4447" w:rsidRDefault="000B4447" w:rsidP="00D63E6E">
            <w:pPr>
              <w:jc w:val="right"/>
              <w:rPr>
                <w:b/>
                <w:bCs/>
                <w:color w:val="000000"/>
                <w:sz w:val="20"/>
                <w:szCs w:val="20"/>
                <w:lang w:eastAsia="en-GB"/>
              </w:rPr>
            </w:pPr>
            <w:r w:rsidRPr="000B4447">
              <w:rPr>
                <w:sz w:val="20"/>
                <w:szCs w:val="20"/>
              </w:rPr>
              <w:t>19.0</w:t>
            </w:r>
          </w:p>
        </w:tc>
        <w:tc>
          <w:tcPr>
            <w:tcW w:w="1050" w:type="dxa"/>
            <w:tcBorders>
              <w:top w:val="single" w:sz="8" w:space="0" w:color="auto"/>
              <w:left w:val="single" w:sz="4" w:space="0" w:color="auto"/>
              <w:bottom w:val="single" w:sz="8" w:space="0" w:color="auto"/>
              <w:right w:val="single" w:sz="4" w:space="0" w:color="auto"/>
            </w:tcBorders>
            <w:shd w:val="clear" w:color="000000" w:fill="FFFFFF"/>
            <w:hideMark/>
          </w:tcPr>
          <w:p w14:paraId="50C9601B" w14:textId="66754045" w:rsidR="000B4447" w:rsidRPr="000B4447" w:rsidRDefault="000B4447" w:rsidP="00D63E6E">
            <w:pPr>
              <w:jc w:val="right"/>
              <w:rPr>
                <w:b/>
                <w:bCs/>
                <w:color w:val="000000"/>
                <w:sz w:val="20"/>
                <w:szCs w:val="20"/>
                <w:lang w:eastAsia="en-GB"/>
              </w:rPr>
            </w:pPr>
            <w:r w:rsidRPr="000B4447">
              <w:rPr>
                <w:sz w:val="20"/>
                <w:szCs w:val="20"/>
              </w:rPr>
              <w:t>13.4</w:t>
            </w:r>
          </w:p>
        </w:tc>
        <w:tc>
          <w:tcPr>
            <w:tcW w:w="1052" w:type="dxa"/>
            <w:tcBorders>
              <w:top w:val="single" w:sz="8" w:space="0" w:color="auto"/>
              <w:left w:val="nil"/>
              <w:bottom w:val="single" w:sz="8" w:space="0" w:color="auto"/>
              <w:right w:val="nil"/>
            </w:tcBorders>
            <w:shd w:val="clear" w:color="000000" w:fill="FFFFFF"/>
            <w:hideMark/>
          </w:tcPr>
          <w:p w14:paraId="5878CC77" w14:textId="2933019D" w:rsidR="000B4447" w:rsidRPr="000B4447" w:rsidRDefault="000B4447" w:rsidP="00D63E6E">
            <w:pPr>
              <w:jc w:val="right"/>
              <w:rPr>
                <w:b/>
                <w:bCs/>
                <w:color w:val="000000"/>
                <w:sz w:val="20"/>
                <w:szCs w:val="20"/>
                <w:lang w:eastAsia="en-GB"/>
              </w:rPr>
            </w:pPr>
            <w:r w:rsidRPr="000B4447">
              <w:rPr>
                <w:sz w:val="20"/>
                <w:szCs w:val="20"/>
              </w:rPr>
              <w:t>9.8</w:t>
            </w:r>
          </w:p>
        </w:tc>
        <w:tc>
          <w:tcPr>
            <w:tcW w:w="1055" w:type="dxa"/>
            <w:tcBorders>
              <w:top w:val="single" w:sz="8" w:space="0" w:color="auto"/>
              <w:left w:val="single" w:sz="4" w:space="0" w:color="auto"/>
              <w:bottom w:val="single" w:sz="8" w:space="0" w:color="auto"/>
              <w:right w:val="single" w:sz="4" w:space="0" w:color="auto"/>
            </w:tcBorders>
            <w:shd w:val="clear" w:color="000000" w:fill="FFFFFF"/>
            <w:hideMark/>
          </w:tcPr>
          <w:p w14:paraId="2D48D736" w14:textId="1C4BB91C" w:rsidR="000B4447" w:rsidRPr="000B4447" w:rsidRDefault="000B4447" w:rsidP="00D63E6E">
            <w:pPr>
              <w:jc w:val="right"/>
              <w:rPr>
                <w:b/>
                <w:bCs/>
                <w:color w:val="000000"/>
                <w:sz w:val="20"/>
                <w:szCs w:val="20"/>
                <w:lang w:eastAsia="en-GB"/>
              </w:rPr>
            </w:pPr>
            <w:r w:rsidRPr="000B4447">
              <w:rPr>
                <w:sz w:val="20"/>
                <w:szCs w:val="20"/>
              </w:rPr>
              <w:t>3.3</w:t>
            </w:r>
          </w:p>
        </w:tc>
        <w:tc>
          <w:tcPr>
            <w:tcW w:w="1055" w:type="dxa"/>
            <w:tcBorders>
              <w:top w:val="single" w:sz="8" w:space="0" w:color="auto"/>
              <w:left w:val="nil"/>
              <w:bottom w:val="single" w:sz="8" w:space="0" w:color="auto"/>
              <w:right w:val="single" w:sz="8" w:space="0" w:color="auto"/>
            </w:tcBorders>
            <w:shd w:val="clear" w:color="000000" w:fill="FFFFFF"/>
            <w:hideMark/>
          </w:tcPr>
          <w:p w14:paraId="5E74EE42" w14:textId="1D214C80" w:rsidR="000B4447" w:rsidRPr="000B4447" w:rsidRDefault="000B4447" w:rsidP="00D63E6E">
            <w:pPr>
              <w:jc w:val="right"/>
              <w:rPr>
                <w:b/>
                <w:bCs/>
                <w:color w:val="000000"/>
                <w:sz w:val="20"/>
                <w:szCs w:val="20"/>
                <w:lang w:eastAsia="en-GB"/>
              </w:rPr>
            </w:pPr>
            <w:r w:rsidRPr="000B4447">
              <w:rPr>
                <w:sz w:val="20"/>
                <w:szCs w:val="20"/>
              </w:rPr>
              <w:t>(9.4)</w:t>
            </w:r>
          </w:p>
        </w:tc>
        <w:tc>
          <w:tcPr>
            <w:tcW w:w="1050" w:type="dxa"/>
            <w:tcBorders>
              <w:top w:val="single" w:sz="8" w:space="0" w:color="auto"/>
              <w:left w:val="nil"/>
              <w:bottom w:val="single" w:sz="8" w:space="0" w:color="auto"/>
              <w:right w:val="single" w:sz="8" w:space="0" w:color="auto"/>
            </w:tcBorders>
            <w:shd w:val="clear" w:color="000000" w:fill="FFFFFF"/>
          </w:tcPr>
          <w:p w14:paraId="4FEE3C3D" w14:textId="58E0D7D4" w:rsidR="000B4447" w:rsidRPr="000B4447" w:rsidRDefault="000B4447" w:rsidP="00D63E6E">
            <w:pPr>
              <w:jc w:val="right"/>
              <w:rPr>
                <w:b/>
                <w:bCs/>
                <w:sz w:val="20"/>
                <w:szCs w:val="20"/>
              </w:rPr>
            </w:pPr>
            <w:r w:rsidRPr="000B4447">
              <w:rPr>
                <w:sz w:val="20"/>
                <w:szCs w:val="20"/>
              </w:rPr>
              <w:t>(4.7)</w:t>
            </w:r>
          </w:p>
        </w:tc>
        <w:tc>
          <w:tcPr>
            <w:tcW w:w="1050" w:type="dxa"/>
            <w:tcBorders>
              <w:top w:val="single" w:sz="8" w:space="0" w:color="auto"/>
              <w:left w:val="nil"/>
              <w:bottom w:val="single" w:sz="8" w:space="0" w:color="auto"/>
              <w:right w:val="single" w:sz="8" w:space="0" w:color="auto"/>
            </w:tcBorders>
            <w:shd w:val="clear" w:color="000000" w:fill="FFFFFF"/>
          </w:tcPr>
          <w:p w14:paraId="662F689F" w14:textId="4B8DA78C" w:rsidR="000B4447" w:rsidRPr="000B4447" w:rsidRDefault="000B4447" w:rsidP="00D63E6E">
            <w:pPr>
              <w:jc w:val="right"/>
              <w:rPr>
                <w:b/>
                <w:bCs/>
                <w:sz w:val="20"/>
                <w:szCs w:val="20"/>
              </w:rPr>
            </w:pPr>
            <w:r w:rsidRPr="000B4447">
              <w:rPr>
                <w:sz w:val="20"/>
                <w:szCs w:val="20"/>
              </w:rPr>
              <w:t>(0.5)</w:t>
            </w:r>
          </w:p>
        </w:tc>
        <w:tc>
          <w:tcPr>
            <w:tcW w:w="1055" w:type="dxa"/>
            <w:tcBorders>
              <w:top w:val="single" w:sz="8" w:space="0" w:color="auto"/>
              <w:left w:val="nil"/>
              <w:bottom w:val="single" w:sz="8" w:space="0" w:color="auto"/>
              <w:right w:val="single" w:sz="8" w:space="0" w:color="auto"/>
            </w:tcBorders>
            <w:shd w:val="clear" w:color="000000" w:fill="FFFFFF"/>
          </w:tcPr>
          <w:p w14:paraId="75143ED2" w14:textId="7C2D5F08" w:rsidR="000B4447" w:rsidRPr="000B4447" w:rsidRDefault="000B4447" w:rsidP="00D63E6E">
            <w:pPr>
              <w:jc w:val="right"/>
              <w:rPr>
                <w:b/>
                <w:bCs/>
                <w:sz w:val="20"/>
                <w:szCs w:val="20"/>
              </w:rPr>
            </w:pPr>
            <w:r w:rsidRPr="000B4447">
              <w:rPr>
                <w:sz w:val="20"/>
                <w:szCs w:val="20"/>
              </w:rPr>
              <w:t>(1.4)</w:t>
            </w:r>
          </w:p>
        </w:tc>
        <w:tc>
          <w:tcPr>
            <w:tcW w:w="1050" w:type="dxa"/>
            <w:tcBorders>
              <w:top w:val="single" w:sz="8" w:space="0" w:color="auto"/>
              <w:left w:val="nil"/>
              <w:bottom w:val="single" w:sz="8" w:space="0" w:color="auto"/>
              <w:right w:val="single" w:sz="8" w:space="0" w:color="auto"/>
            </w:tcBorders>
            <w:shd w:val="clear" w:color="000000" w:fill="FFFFFF"/>
          </w:tcPr>
          <w:p w14:paraId="40A2CA58" w14:textId="695A8FAE" w:rsidR="000B4447" w:rsidRPr="000B4447" w:rsidRDefault="000B4447" w:rsidP="00D63E6E">
            <w:pPr>
              <w:jc w:val="right"/>
              <w:rPr>
                <w:b/>
                <w:bCs/>
                <w:sz w:val="20"/>
                <w:szCs w:val="20"/>
              </w:rPr>
            </w:pPr>
            <w:r w:rsidRPr="000B4447">
              <w:rPr>
                <w:sz w:val="20"/>
                <w:szCs w:val="20"/>
              </w:rPr>
              <w:t>(2.5)</w:t>
            </w:r>
          </w:p>
        </w:tc>
        <w:tc>
          <w:tcPr>
            <w:tcW w:w="1050" w:type="dxa"/>
            <w:tcBorders>
              <w:top w:val="single" w:sz="8" w:space="0" w:color="auto"/>
              <w:left w:val="nil"/>
              <w:bottom w:val="single" w:sz="8" w:space="0" w:color="auto"/>
              <w:right w:val="single" w:sz="8" w:space="0" w:color="auto"/>
            </w:tcBorders>
            <w:shd w:val="clear" w:color="000000" w:fill="FFFFFF"/>
          </w:tcPr>
          <w:p w14:paraId="6B5C9849" w14:textId="06D70453" w:rsidR="000B4447" w:rsidRPr="000B4447" w:rsidRDefault="000B4447" w:rsidP="00D63E6E">
            <w:pPr>
              <w:jc w:val="right"/>
              <w:rPr>
                <w:b/>
                <w:bCs/>
                <w:sz w:val="20"/>
                <w:szCs w:val="20"/>
              </w:rPr>
            </w:pPr>
            <w:r w:rsidRPr="000B4447">
              <w:rPr>
                <w:sz w:val="20"/>
                <w:szCs w:val="20"/>
              </w:rPr>
              <w:t>(4.1)</w:t>
            </w:r>
          </w:p>
        </w:tc>
        <w:tc>
          <w:tcPr>
            <w:tcW w:w="1050" w:type="dxa"/>
            <w:tcBorders>
              <w:top w:val="single" w:sz="8" w:space="0" w:color="auto"/>
              <w:left w:val="nil"/>
              <w:bottom w:val="single" w:sz="8" w:space="0" w:color="auto"/>
              <w:right w:val="single" w:sz="8" w:space="0" w:color="auto"/>
            </w:tcBorders>
            <w:shd w:val="clear" w:color="000000" w:fill="FFFFFF"/>
          </w:tcPr>
          <w:p w14:paraId="3FD5CACA" w14:textId="493E7624" w:rsidR="000B4447" w:rsidRPr="000B4447" w:rsidRDefault="000B4447" w:rsidP="00D63E6E">
            <w:pPr>
              <w:jc w:val="right"/>
              <w:rPr>
                <w:b/>
                <w:bCs/>
                <w:sz w:val="20"/>
                <w:szCs w:val="20"/>
              </w:rPr>
            </w:pPr>
            <w:r w:rsidRPr="000B4447">
              <w:rPr>
                <w:sz w:val="20"/>
                <w:szCs w:val="20"/>
              </w:rPr>
              <w:t>(1.4)</w:t>
            </w:r>
          </w:p>
        </w:tc>
      </w:tr>
    </w:tbl>
    <w:p w14:paraId="4918E359" w14:textId="77777777" w:rsidR="00804806" w:rsidRDefault="00804806" w:rsidP="007E570A">
      <w:pPr>
        <w:jc w:val="both"/>
        <w:rPr>
          <w:b/>
          <w:sz w:val="28"/>
          <w:szCs w:val="28"/>
          <w:lang w:eastAsia="en-GB"/>
        </w:rPr>
      </w:pPr>
    </w:p>
    <w:p w14:paraId="355DD183" w14:textId="1894833B" w:rsidR="00CA151C" w:rsidRDefault="00E308AD" w:rsidP="0069258D">
      <w:pPr>
        <w:spacing w:after="120"/>
        <w:ind w:left="426"/>
        <w:jc w:val="both"/>
        <w:rPr>
          <w:bCs/>
          <w:lang w:val="en-US"/>
        </w:rPr>
      </w:pPr>
      <w:r w:rsidRPr="00E308AD">
        <w:rPr>
          <w:b/>
          <w:sz w:val="28"/>
          <w:szCs w:val="28"/>
          <w:lang w:eastAsia="en-GB"/>
        </w:rPr>
        <w:t>¹</w:t>
      </w:r>
      <w:r w:rsidR="00BE1DEB">
        <w:rPr>
          <w:bCs/>
          <w:lang w:val="en-US"/>
        </w:rPr>
        <w:t xml:space="preserve"> </w:t>
      </w:r>
      <w:r>
        <w:rPr>
          <w:bCs/>
          <w:lang w:val="en-US"/>
        </w:rPr>
        <w:t>S</w:t>
      </w:r>
      <w:r w:rsidR="007E570A" w:rsidRPr="0041076E">
        <w:rPr>
          <w:bCs/>
          <w:lang w:val="en-US"/>
        </w:rPr>
        <w:t>hows only loans to which the Authority is committed and excludes optional refinancing</w:t>
      </w:r>
      <w:r w:rsidR="009738D2">
        <w:rPr>
          <w:bCs/>
          <w:lang w:val="en-US"/>
        </w:rPr>
        <w:t>.</w:t>
      </w:r>
    </w:p>
    <w:p w14:paraId="28981402" w14:textId="77777777" w:rsidR="00B70DBE" w:rsidRDefault="00E308AD" w:rsidP="00B70DBE">
      <w:pPr>
        <w:spacing w:after="120"/>
        <w:ind w:left="426"/>
        <w:jc w:val="both"/>
        <w:rPr>
          <w:bCs/>
          <w:lang w:val="en-US"/>
        </w:rPr>
      </w:pPr>
      <w:r w:rsidRPr="00E308AD">
        <w:rPr>
          <w:b/>
          <w:sz w:val="28"/>
          <w:szCs w:val="28"/>
          <w:lang w:eastAsia="en-GB"/>
        </w:rPr>
        <w:t>²</w:t>
      </w:r>
      <w:r w:rsidR="00CA151C" w:rsidRPr="00CA151C">
        <w:rPr>
          <w:bCs/>
          <w:lang w:val="en-US"/>
        </w:rPr>
        <w:t xml:space="preserve"> </w:t>
      </w:r>
      <w:r>
        <w:rPr>
          <w:bCs/>
          <w:lang w:val="en-US"/>
        </w:rPr>
        <w:t xml:space="preserve">Refers to capital expenditure funded through internal </w:t>
      </w:r>
      <w:r w:rsidR="007D5B93">
        <w:rPr>
          <w:bCs/>
          <w:lang w:val="en-US"/>
        </w:rPr>
        <w:t xml:space="preserve">financing </w:t>
      </w:r>
      <w:r w:rsidR="00E2586D">
        <w:rPr>
          <w:bCs/>
          <w:lang w:val="en-US"/>
        </w:rPr>
        <w:t xml:space="preserve">such as reserves and </w:t>
      </w:r>
      <w:r w:rsidR="00E2586D" w:rsidRPr="003957F2">
        <w:rPr>
          <w:bCs/>
          <w:lang w:val="en-US"/>
        </w:rPr>
        <w:t>working capital</w:t>
      </w:r>
      <w:r w:rsidRPr="003957F2">
        <w:rPr>
          <w:bCs/>
          <w:lang w:val="en-US"/>
        </w:rPr>
        <w:t>.</w:t>
      </w:r>
    </w:p>
    <w:p w14:paraId="4E0EEEEC" w14:textId="5B1EF6D4" w:rsidR="00CA151C" w:rsidRDefault="009832CB" w:rsidP="00B70DBE">
      <w:pPr>
        <w:spacing w:after="120"/>
        <w:ind w:left="426"/>
        <w:jc w:val="both"/>
        <w:rPr>
          <w:bCs/>
          <w:lang w:val="en-US"/>
        </w:rPr>
      </w:pPr>
      <w:r w:rsidRPr="003957F2">
        <w:rPr>
          <w:b/>
          <w:sz w:val="28"/>
          <w:szCs w:val="28"/>
          <w:lang w:eastAsia="en-GB"/>
        </w:rPr>
        <w:t xml:space="preserve">³ </w:t>
      </w:r>
      <w:r w:rsidRPr="00B12528">
        <w:rPr>
          <w:bCs/>
          <w:lang w:val="en-US"/>
        </w:rPr>
        <w:t xml:space="preserve">Earmarked and General Reserves </w:t>
      </w:r>
      <w:r w:rsidR="00573A1B" w:rsidRPr="00B12528">
        <w:rPr>
          <w:bCs/>
          <w:lang w:val="en-US"/>
        </w:rPr>
        <w:t>a</w:t>
      </w:r>
      <w:r w:rsidR="00B12528" w:rsidRPr="00B12528">
        <w:rPr>
          <w:bCs/>
          <w:lang w:val="en-US"/>
        </w:rPr>
        <w:t>re forecast</w:t>
      </w:r>
      <w:r w:rsidR="00B12528">
        <w:rPr>
          <w:bCs/>
          <w:lang w:val="en-US"/>
        </w:rPr>
        <w:t xml:space="preserve"> to fall going forward as Earmarked Reserves are utilized for projects.</w:t>
      </w:r>
    </w:p>
    <w:p w14:paraId="48090CC2" w14:textId="402A373F" w:rsidR="0023105D" w:rsidRDefault="00B948F9" w:rsidP="0069258D">
      <w:pPr>
        <w:spacing w:after="360"/>
        <w:ind w:left="426"/>
        <w:jc w:val="both"/>
        <w:rPr>
          <w:bCs/>
          <w:lang w:val="en-US"/>
        </w:rPr>
      </w:pPr>
      <w:r w:rsidRPr="00B948F9">
        <w:rPr>
          <w:b/>
          <w:sz w:val="28"/>
          <w:szCs w:val="28"/>
          <w:lang w:eastAsia="en-GB"/>
        </w:rPr>
        <w:t>⁴</w:t>
      </w:r>
      <w:r w:rsidR="0023105D">
        <w:rPr>
          <w:bCs/>
          <w:lang w:val="en-US"/>
        </w:rPr>
        <w:t xml:space="preserve"> </w:t>
      </w:r>
      <w:r w:rsidR="004211EF">
        <w:rPr>
          <w:bCs/>
          <w:lang w:val="en-US"/>
        </w:rPr>
        <w:t>Cash available to invest could reduce, as reserves are utilized for projects</w:t>
      </w:r>
      <w:r w:rsidR="0023105D">
        <w:rPr>
          <w:bCs/>
          <w:lang w:val="en-US"/>
        </w:rPr>
        <w:t>.</w:t>
      </w:r>
      <w:r w:rsidR="00F8343A">
        <w:rPr>
          <w:bCs/>
          <w:lang w:val="en-US"/>
        </w:rPr>
        <w:t xml:space="preserve"> A negative investment balance indicates the Authority may need additional borrowing.</w:t>
      </w:r>
      <w:r w:rsidR="0023105D">
        <w:rPr>
          <w:bCs/>
          <w:lang w:val="en-US"/>
        </w:rPr>
        <w:t xml:space="preserve"> </w:t>
      </w:r>
    </w:p>
    <w:p w14:paraId="5A11BF5D" w14:textId="77777777" w:rsidR="00AF3EDC" w:rsidRDefault="007E570A" w:rsidP="0069258D">
      <w:pPr>
        <w:spacing w:after="120"/>
        <w:ind w:left="426"/>
        <w:jc w:val="both"/>
      </w:pPr>
      <w:r w:rsidRPr="0041076E">
        <w:t>The underlying need to borrow for capital purposes is measured by the Capital Financing Requirement</w:t>
      </w:r>
      <w:r>
        <w:t xml:space="preserve"> </w:t>
      </w:r>
      <w:r w:rsidRPr="0041076E">
        <w:t xml:space="preserve">(CFR), while usable reserves and working capital are the underlying resources available for investment. The Authority’s current strategy is to maintain borrowing and investments below their underlying levels, sometimes known as internal </w:t>
      </w:r>
      <w:r w:rsidR="00734944">
        <w:t>financing</w:t>
      </w:r>
      <w:r w:rsidRPr="0041076E">
        <w:t>.</w:t>
      </w:r>
      <w:r w:rsidR="00AF3EDC">
        <w:t xml:space="preserve"> </w:t>
      </w:r>
    </w:p>
    <w:p w14:paraId="54D7C7D4" w14:textId="0F448218" w:rsidR="00E8189C" w:rsidRDefault="007E570A" w:rsidP="0069258D">
      <w:pPr>
        <w:spacing w:after="120"/>
        <w:ind w:left="426"/>
        <w:jc w:val="both"/>
      </w:pPr>
      <w:r w:rsidRPr="00EF3056">
        <w:t>The Authority’s capital expenditure plans</w:t>
      </w:r>
      <w:r w:rsidR="00432A6D">
        <w:t xml:space="preserve"> </w:t>
      </w:r>
      <w:r w:rsidR="00E73D5A">
        <w:t xml:space="preserve">may require additional </w:t>
      </w:r>
      <w:r w:rsidR="00B96916">
        <w:t xml:space="preserve">external </w:t>
      </w:r>
      <w:r w:rsidR="00E73D5A">
        <w:t>borrowing in 202</w:t>
      </w:r>
      <w:r w:rsidR="00470E4B">
        <w:t>5</w:t>
      </w:r>
      <w:r w:rsidR="00E73D5A">
        <w:t>/2</w:t>
      </w:r>
      <w:r w:rsidR="00470E4B">
        <w:t>6</w:t>
      </w:r>
      <w:r w:rsidR="00E73D5A">
        <w:t xml:space="preserve"> based on </w:t>
      </w:r>
      <w:r w:rsidR="00B12528">
        <w:t>the table above - t</w:t>
      </w:r>
      <w:r>
        <w:t>he liability benchmark and borrowing strategy is set out later in this report</w:t>
      </w:r>
      <w:r w:rsidRPr="0041076E">
        <w:t xml:space="preserve">. </w:t>
      </w:r>
      <w:r>
        <w:t>Funds available for i</w:t>
      </w:r>
      <w:r w:rsidRPr="0041076E">
        <w:t xml:space="preserve">nvestment are forecast to fall </w:t>
      </w:r>
      <w:r>
        <w:t>due to higher budgeted capital expenditure in later years, which cannot be fully funded by capital receipts</w:t>
      </w:r>
      <w:r w:rsidRPr="0041076E">
        <w:t>.</w:t>
      </w:r>
      <w:r w:rsidR="003853EF">
        <w:t xml:space="preserve"> </w:t>
      </w:r>
    </w:p>
    <w:p w14:paraId="32188F57" w14:textId="6BE51D44" w:rsidR="003C4815" w:rsidRDefault="00E8189C" w:rsidP="0069258D">
      <w:pPr>
        <w:spacing w:after="120"/>
        <w:ind w:left="426"/>
        <w:jc w:val="both"/>
      </w:pPr>
      <w:r>
        <w:lastRenderedPageBreak/>
        <w:t>Investment</w:t>
      </w:r>
      <w:r w:rsidR="00996DC2">
        <w:t>s</w:t>
      </w:r>
      <w:r>
        <w:t xml:space="preserve"> fall from 21/22 due to the </w:t>
      </w:r>
      <w:r w:rsidR="003C4815">
        <w:t xml:space="preserve">planned </w:t>
      </w:r>
      <w:r>
        <w:t>use of Earmarked and Capital Receipts Reserves to fund projects.</w:t>
      </w:r>
    </w:p>
    <w:p w14:paraId="60B3A580" w14:textId="2FAA50AB" w:rsidR="007E570A" w:rsidRDefault="007E570A" w:rsidP="00D854D0">
      <w:pPr>
        <w:pStyle w:val="ListParagraph"/>
        <w:spacing w:after="240"/>
        <w:ind w:left="426"/>
        <w:jc w:val="both"/>
      </w:pPr>
      <w:r w:rsidRPr="0041076E">
        <w:t xml:space="preserve">CIPFA’s </w:t>
      </w:r>
      <w:r w:rsidRPr="003853EF">
        <w:rPr>
          <w:i/>
        </w:rPr>
        <w:t>Prudential Code for Capital Finance in Local Authorities</w:t>
      </w:r>
      <w:r w:rsidRPr="003853EF">
        <w:t xml:space="preserve"> </w:t>
      </w:r>
      <w:r w:rsidR="00D854D0" w:rsidRPr="003853EF">
        <w:t xml:space="preserve">requires </w:t>
      </w:r>
      <w:r w:rsidR="00AD40E5" w:rsidRPr="003853EF">
        <w:t xml:space="preserve">authorities to estimate and measure its liability benchmark over </w:t>
      </w:r>
      <w:r w:rsidR="003802C7" w:rsidRPr="003853EF">
        <w:t xml:space="preserve">as a minimum, </w:t>
      </w:r>
      <w:r w:rsidR="00AD40E5" w:rsidRPr="003853EF">
        <w:t>the next three years</w:t>
      </w:r>
      <w:r w:rsidR="00082783" w:rsidRPr="003853EF">
        <w:t xml:space="preserve">, </w:t>
      </w:r>
      <w:r w:rsidR="0041075B" w:rsidRPr="003853EF">
        <w:t>however,</w:t>
      </w:r>
      <w:r w:rsidR="00082783" w:rsidRPr="003853EF">
        <w:t xml:space="preserve"> recommends that the liability benchmark is produced</w:t>
      </w:r>
      <w:r w:rsidR="0041075B" w:rsidRPr="003853EF">
        <w:t xml:space="preserve"> for at least ten years and should ideally cover the full debt maturity profile of the authority</w:t>
      </w:r>
      <w:r w:rsidR="003802C7" w:rsidRPr="003853EF">
        <w:t>.</w:t>
      </w:r>
      <w:r w:rsidR="00D854D0" w:rsidRPr="003853EF">
        <w:t xml:space="preserve"> </w:t>
      </w:r>
      <w:r w:rsidR="003802C7" w:rsidRPr="003853EF">
        <w:t>T</w:t>
      </w:r>
      <w:r w:rsidRPr="003853EF">
        <w:t>he</w:t>
      </w:r>
      <w:r w:rsidRPr="0041076E">
        <w:t xml:space="preserve"> Authority’s total debt should be lower than its highest forecast CFR. Table 1 shows that the Authority expects to comply with this recommendation during 20</w:t>
      </w:r>
      <w:r>
        <w:t>2</w:t>
      </w:r>
      <w:r w:rsidR="004C42A8">
        <w:t>3</w:t>
      </w:r>
      <w:r w:rsidRPr="0041076E">
        <w:t>/2</w:t>
      </w:r>
      <w:r w:rsidR="004C42A8">
        <w:t>4</w:t>
      </w:r>
      <w:r w:rsidRPr="0041076E">
        <w:t>.</w:t>
      </w:r>
    </w:p>
    <w:p w14:paraId="5C902CE9" w14:textId="6745BDC2" w:rsidR="00EF3056" w:rsidRDefault="007E570A" w:rsidP="00711110">
      <w:pPr>
        <w:spacing w:after="240"/>
        <w:ind w:left="425"/>
        <w:jc w:val="both"/>
      </w:pPr>
      <w:r w:rsidRPr="0041076E">
        <w:rPr>
          <w:b/>
        </w:rPr>
        <w:t xml:space="preserve">Liability benchmark: </w:t>
      </w:r>
      <w:r w:rsidRPr="0041076E">
        <w:t>To compare the Authority’s actual borrowing against an alternative strategy, a liability benchmark has been calculated showing the lowest risk level of borrowing. This assumes the same forecasts as table 1 above, but that cash and investment balances are kept to a minimum level of £</w:t>
      </w:r>
      <w:r>
        <w:t>10</w:t>
      </w:r>
      <w:r w:rsidRPr="0041076E">
        <w:t>m at each year-end to maintain sufficient liquidity but minimise credit risk.</w:t>
      </w:r>
      <w:r>
        <w:t xml:space="preserve"> </w:t>
      </w:r>
    </w:p>
    <w:p w14:paraId="51C6E65D" w14:textId="284B2C6B" w:rsidR="003C304F" w:rsidRPr="0069258D" w:rsidRDefault="00853BCE" w:rsidP="00711110">
      <w:pPr>
        <w:spacing w:after="240"/>
        <w:ind w:left="425"/>
        <w:jc w:val="both"/>
      </w:pPr>
      <w:r w:rsidRPr="00853BCE">
        <w:t xml:space="preserve">The liability benchmark is an important tool to help establish whether the </w:t>
      </w:r>
      <w:r w:rsidR="001F6719">
        <w:t>Service</w:t>
      </w:r>
      <w:r w:rsidR="001F6719" w:rsidRPr="00853BCE">
        <w:t xml:space="preserve"> </w:t>
      </w:r>
      <w:r w:rsidRPr="00853BCE">
        <w:t>is likely to be a long-term borrower or long-term investor in the future, and so shape its strategic focus and decision making. The liability benchmark itself represents an estimate of the cumulative amount of external borrowing the Council must hold to fund its current capital and revenue plans while keeping treasury investments at the minimum level required to manage day-to-day cash flow.</w:t>
      </w:r>
    </w:p>
    <w:p w14:paraId="7A019984" w14:textId="120A9C26" w:rsidR="007E570A" w:rsidRDefault="007E570A" w:rsidP="0004046D">
      <w:pPr>
        <w:spacing w:after="120"/>
        <w:ind w:left="426"/>
        <w:jc w:val="both"/>
        <w:rPr>
          <w:b/>
          <w:bCs/>
        </w:rPr>
      </w:pPr>
      <w:r w:rsidRPr="0069258D">
        <w:rPr>
          <w:b/>
          <w:bCs/>
        </w:rPr>
        <w:t xml:space="preserve">Table 2: </w:t>
      </w:r>
      <w:r w:rsidR="00631D2C">
        <w:rPr>
          <w:b/>
          <w:bCs/>
        </w:rPr>
        <w:t xml:space="preserve">Prudential Indicator: </w:t>
      </w:r>
      <w:r w:rsidRPr="0069258D">
        <w:rPr>
          <w:b/>
          <w:bCs/>
        </w:rPr>
        <w:t>Liability benchmark</w:t>
      </w:r>
    </w:p>
    <w:tbl>
      <w:tblPr>
        <w:tblW w:w="15025" w:type="dxa"/>
        <w:tblInd w:w="416" w:type="dxa"/>
        <w:tblLook w:val="04A0" w:firstRow="1" w:lastRow="0" w:firstColumn="1" w:lastColumn="0" w:noHBand="0" w:noVBand="1"/>
      </w:tblPr>
      <w:tblGrid>
        <w:gridCol w:w="3545"/>
        <w:gridCol w:w="963"/>
        <w:gridCol w:w="1050"/>
        <w:gridCol w:w="1052"/>
        <w:gridCol w:w="1055"/>
        <w:gridCol w:w="1055"/>
        <w:gridCol w:w="1050"/>
        <w:gridCol w:w="1050"/>
        <w:gridCol w:w="1055"/>
        <w:gridCol w:w="1050"/>
        <w:gridCol w:w="1050"/>
        <w:gridCol w:w="1050"/>
      </w:tblGrid>
      <w:tr w:rsidR="005432C2" w:rsidRPr="00E41D09" w14:paraId="3E65999B" w14:textId="77777777" w:rsidTr="00FB11B7">
        <w:trPr>
          <w:trHeight w:val="431"/>
        </w:trPr>
        <w:tc>
          <w:tcPr>
            <w:tcW w:w="3545" w:type="dxa"/>
            <w:vMerge w:val="restart"/>
            <w:tcBorders>
              <w:top w:val="single" w:sz="8" w:space="0" w:color="auto"/>
              <w:left w:val="single" w:sz="8" w:space="0" w:color="auto"/>
              <w:bottom w:val="single" w:sz="12" w:space="0" w:color="000000"/>
              <w:right w:val="single" w:sz="8" w:space="0" w:color="auto"/>
            </w:tcBorders>
            <w:shd w:val="clear" w:color="000000" w:fill="BDD7EE"/>
            <w:vAlign w:val="center"/>
            <w:hideMark/>
          </w:tcPr>
          <w:p w14:paraId="480BBDE7" w14:textId="420C1C69" w:rsidR="005432C2" w:rsidRPr="00E41D09" w:rsidRDefault="005432C2" w:rsidP="00FB11B7">
            <w:pPr>
              <w:rPr>
                <w:b/>
                <w:bCs/>
                <w:sz w:val="20"/>
                <w:szCs w:val="20"/>
                <w:lang w:eastAsia="en-GB"/>
              </w:rPr>
            </w:pPr>
            <w:r w:rsidRPr="00E41D09">
              <w:rPr>
                <w:b/>
                <w:bCs/>
                <w:sz w:val="20"/>
                <w:szCs w:val="20"/>
                <w:lang w:eastAsia="en-GB"/>
              </w:rPr>
              <w:t> </w:t>
            </w:r>
            <w:r w:rsidRPr="005432C2">
              <w:rPr>
                <w:b/>
                <w:bCs/>
                <w:sz w:val="20"/>
                <w:szCs w:val="20"/>
                <w:lang w:eastAsia="en-GB"/>
              </w:rPr>
              <w:t>Liability Benchmark</w:t>
            </w:r>
          </w:p>
        </w:tc>
        <w:tc>
          <w:tcPr>
            <w:tcW w:w="963" w:type="dxa"/>
            <w:tcBorders>
              <w:top w:val="single" w:sz="8" w:space="0" w:color="auto"/>
              <w:left w:val="nil"/>
              <w:bottom w:val="nil"/>
              <w:right w:val="single" w:sz="8" w:space="0" w:color="auto"/>
            </w:tcBorders>
            <w:shd w:val="clear" w:color="000000" w:fill="BDD7EE"/>
            <w:hideMark/>
          </w:tcPr>
          <w:p w14:paraId="05812A47" w14:textId="755008F4" w:rsidR="005432C2" w:rsidRPr="00E41D09" w:rsidRDefault="005432C2" w:rsidP="00FB11B7">
            <w:pPr>
              <w:jc w:val="center"/>
              <w:rPr>
                <w:b/>
                <w:bCs/>
                <w:sz w:val="20"/>
                <w:szCs w:val="20"/>
                <w:lang w:eastAsia="en-GB"/>
              </w:rPr>
            </w:pPr>
            <w:r w:rsidRPr="00E41D09">
              <w:rPr>
                <w:b/>
                <w:bCs/>
                <w:sz w:val="20"/>
                <w:szCs w:val="20"/>
                <w:lang w:eastAsia="en-GB"/>
              </w:rPr>
              <w:t>Actual 2021</w:t>
            </w:r>
            <w:r w:rsidR="00A6268C">
              <w:rPr>
                <w:b/>
                <w:bCs/>
                <w:sz w:val="20"/>
                <w:szCs w:val="20"/>
                <w:lang w:eastAsia="en-GB"/>
              </w:rPr>
              <w:t>/</w:t>
            </w:r>
            <w:r w:rsidRPr="00E41D09">
              <w:rPr>
                <w:b/>
                <w:bCs/>
                <w:sz w:val="20"/>
                <w:szCs w:val="20"/>
                <w:lang w:eastAsia="en-GB"/>
              </w:rPr>
              <w:t>22</w:t>
            </w:r>
          </w:p>
        </w:tc>
        <w:tc>
          <w:tcPr>
            <w:tcW w:w="1050" w:type="dxa"/>
            <w:tcBorders>
              <w:top w:val="single" w:sz="8" w:space="0" w:color="auto"/>
              <w:left w:val="nil"/>
              <w:bottom w:val="nil"/>
              <w:right w:val="single" w:sz="8" w:space="0" w:color="auto"/>
            </w:tcBorders>
            <w:shd w:val="clear" w:color="000000" w:fill="BDD7EE"/>
            <w:hideMark/>
          </w:tcPr>
          <w:p w14:paraId="473F93B9" w14:textId="77777777" w:rsidR="005432C2" w:rsidRPr="00E41D09" w:rsidRDefault="005432C2" w:rsidP="00FB11B7">
            <w:pPr>
              <w:jc w:val="center"/>
              <w:rPr>
                <w:b/>
                <w:bCs/>
                <w:sz w:val="20"/>
                <w:szCs w:val="20"/>
                <w:lang w:eastAsia="en-GB"/>
              </w:rPr>
            </w:pPr>
            <w:r w:rsidRPr="00E41D09">
              <w:rPr>
                <w:b/>
                <w:bCs/>
                <w:sz w:val="20"/>
                <w:szCs w:val="20"/>
                <w:lang w:eastAsia="en-GB"/>
              </w:rPr>
              <w:t>Forecast 2022/23</w:t>
            </w:r>
          </w:p>
        </w:tc>
        <w:tc>
          <w:tcPr>
            <w:tcW w:w="1052" w:type="dxa"/>
            <w:tcBorders>
              <w:top w:val="single" w:sz="8" w:space="0" w:color="auto"/>
              <w:left w:val="nil"/>
              <w:bottom w:val="nil"/>
              <w:right w:val="single" w:sz="8" w:space="0" w:color="auto"/>
            </w:tcBorders>
            <w:shd w:val="clear" w:color="000000" w:fill="BDD7EE"/>
            <w:hideMark/>
          </w:tcPr>
          <w:p w14:paraId="6D13074E" w14:textId="77777777" w:rsidR="005432C2" w:rsidRPr="00E41D09" w:rsidRDefault="005432C2" w:rsidP="00FB11B7">
            <w:pPr>
              <w:jc w:val="center"/>
              <w:rPr>
                <w:b/>
                <w:bCs/>
                <w:sz w:val="20"/>
                <w:szCs w:val="20"/>
                <w:lang w:eastAsia="en-GB"/>
              </w:rPr>
            </w:pPr>
            <w:r w:rsidRPr="00E41D09">
              <w:rPr>
                <w:b/>
                <w:bCs/>
                <w:sz w:val="20"/>
                <w:szCs w:val="20"/>
                <w:lang w:eastAsia="en-GB"/>
              </w:rPr>
              <w:t>Forecast 2023/24</w:t>
            </w:r>
          </w:p>
        </w:tc>
        <w:tc>
          <w:tcPr>
            <w:tcW w:w="1055" w:type="dxa"/>
            <w:tcBorders>
              <w:top w:val="single" w:sz="8" w:space="0" w:color="auto"/>
              <w:left w:val="nil"/>
              <w:bottom w:val="nil"/>
              <w:right w:val="single" w:sz="8" w:space="0" w:color="auto"/>
            </w:tcBorders>
            <w:shd w:val="clear" w:color="000000" w:fill="BDD7EE"/>
            <w:hideMark/>
          </w:tcPr>
          <w:p w14:paraId="0E0C3925" w14:textId="77777777" w:rsidR="005432C2" w:rsidRPr="00E41D09" w:rsidRDefault="005432C2" w:rsidP="00FB11B7">
            <w:pPr>
              <w:jc w:val="center"/>
              <w:rPr>
                <w:b/>
                <w:bCs/>
                <w:sz w:val="20"/>
                <w:szCs w:val="20"/>
                <w:lang w:eastAsia="en-GB"/>
              </w:rPr>
            </w:pPr>
            <w:r w:rsidRPr="00E41D09">
              <w:rPr>
                <w:b/>
                <w:bCs/>
                <w:sz w:val="20"/>
                <w:szCs w:val="20"/>
                <w:lang w:eastAsia="en-GB"/>
              </w:rPr>
              <w:t>Forecast 2024/25</w:t>
            </w:r>
          </w:p>
        </w:tc>
        <w:tc>
          <w:tcPr>
            <w:tcW w:w="1055" w:type="dxa"/>
            <w:tcBorders>
              <w:top w:val="single" w:sz="8" w:space="0" w:color="auto"/>
              <w:left w:val="nil"/>
              <w:bottom w:val="nil"/>
              <w:right w:val="single" w:sz="8" w:space="0" w:color="auto"/>
            </w:tcBorders>
            <w:shd w:val="clear" w:color="000000" w:fill="BDD7EE"/>
            <w:hideMark/>
          </w:tcPr>
          <w:p w14:paraId="05F8F306" w14:textId="77777777" w:rsidR="005432C2" w:rsidRPr="00E41D09" w:rsidRDefault="005432C2" w:rsidP="00FB11B7">
            <w:pPr>
              <w:jc w:val="center"/>
              <w:rPr>
                <w:b/>
                <w:bCs/>
                <w:sz w:val="20"/>
                <w:szCs w:val="20"/>
                <w:lang w:eastAsia="en-GB"/>
              </w:rPr>
            </w:pPr>
            <w:r w:rsidRPr="00E41D09">
              <w:rPr>
                <w:b/>
                <w:bCs/>
                <w:sz w:val="20"/>
                <w:szCs w:val="20"/>
                <w:lang w:eastAsia="en-GB"/>
              </w:rPr>
              <w:t>Forecast 2025/26</w:t>
            </w:r>
          </w:p>
        </w:tc>
        <w:tc>
          <w:tcPr>
            <w:tcW w:w="1050" w:type="dxa"/>
            <w:tcBorders>
              <w:top w:val="single" w:sz="8" w:space="0" w:color="auto"/>
              <w:left w:val="nil"/>
              <w:bottom w:val="nil"/>
              <w:right w:val="single" w:sz="8" w:space="0" w:color="auto"/>
            </w:tcBorders>
            <w:shd w:val="clear" w:color="000000" w:fill="BDD7EE"/>
          </w:tcPr>
          <w:p w14:paraId="3A8FD198" w14:textId="77777777" w:rsidR="005432C2" w:rsidRPr="00E41D09" w:rsidRDefault="005432C2" w:rsidP="00FB11B7">
            <w:pPr>
              <w:jc w:val="center"/>
              <w:rPr>
                <w:b/>
                <w:bCs/>
                <w:sz w:val="20"/>
                <w:szCs w:val="20"/>
                <w:lang w:eastAsia="en-GB"/>
              </w:rPr>
            </w:pPr>
            <w:r w:rsidRPr="00DB01E4">
              <w:rPr>
                <w:b/>
                <w:bCs/>
                <w:sz w:val="20"/>
                <w:szCs w:val="20"/>
                <w:lang w:eastAsia="en-GB"/>
              </w:rPr>
              <w:t>Forecast 2026/27</w:t>
            </w:r>
          </w:p>
        </w:tc>
        <w:tc>
          <w:tcPr>
            <w:tcW w:w="1050" w:type="dxa"/>
            <w:tcBorders>
              <w:top w:val="single" w:sz="8" w:space="0" w:color="auto"/>
              <w:left w:val="nil"/>
              <w:bottom w:val="nil"/>
              <w:right w:val="single" w:sz="8" w:space="0" w:color="auto"/>
            </w:tcBorders>
            <w:shd w:val="clear" w:color="000000" w:fill="BDD7EE"/>
          </w:tcPr>
          <w:p w14:paraId="3A6898B3" w14:textId="77777777" w:rsidR="005432C2" w:rsidRPr="00E41D09" w:rsidRDefault="005432C2" w:rsidP="00FB11B7">
            <w:pPr>
              <w:jc w:val="center"/>
              <w:rPr>
                <w:b/>
                <w:bCs/>
                <w:sz w:val="20"/>
                <w:szCs w:val="20"/>
                <w:lang w:eastAsia="en-GB"/>
              </w:rPr>
            </w:pPr>
            <w:r w:rsidRPr="00DB01E4">
              <w:rPr>
                <w:b/>
                <w:bCs/>
                <w:sz w:val="20"/>
                <w:szCs w:val="20"/>
                <w:lang w:eastAsia="en-GB"/>
              </w:rPr>
              <w:t>Forecast 2027/28</w:t>
            </w:r>
          </w:p>
        </w:tc>
        <w:tc>
          <w:tcPr>
            <w:tcW w:w="1055" w:type="dxa"/>
            <w:tcBorders>
              <w:top w:val="single" w:sz="8" w:space="0" w:color="auto"/>
              <w:left w:val="nil"/>
              <w:bottom w:val="nil"/>
              <w:right w:val="single" w:sz="8" w:space="0" w:color="auto"/>
            </w:tcBorders>
            <w:shd w:val="clear" w:color="000000" w:fill="BDD7EE"/>
          </w:tcPr>
          <w:p w14:paraId="59B6D4C1" w14:textId="77777777" w:rsidR="005432C2" w:rsidRPr="00E41D09" w:rsidRDefault="005432C2" w:rsidP="00FB11B7">
            <w:pPr>
              <w:jc w:val="center"/>
              <w:rPr>
                <w:b/>
                <w:bCs/>
                <w:sz w:val="20"/>
                <w:szCs w:val="20"/>
                <w:lang w:eastAsia="en-GB"/>
              </w:rPr>
            </w:pPr>
            <w:r w:rsidRPr="00DB01E4">
              <w:rPr>
                <w:b/>
                <w:bCs/>
                <w:sz w:val="20"/>
                <w:szCs w:val="20"/>
                <w:lang w:eastAsia="en-GB"/>
              </w:rPr>
              <w:t>Forecast 2028/29</w:t>
            </w:r>
          </w:p>
        </w:tc>
        <w:tc>
          <w:tcPr>
            <w:tcW w:w="1050" w:type="dxa"/>
            <w:tcBorders>
              <w:top w:val="single" w:sz="8" w:space="0" w:color="auto"/>
              <w:left w:val="nil"/>
              <w:bottom w:val="nil"/>
              <w:right w:val="single" w:sz="8" w:space="0" w:color="auto"/>
            </w:tcBorders>
            <w:shd w:val="clear" w:color="000000" w:fill="BDD7EE"/>
          </w:tcPr>
          <w:p w14:paraId="560CE620" w14:textId="77777777" w:rsidR="005432C2" w:rsidRPr="00E41D09" w:rsidRDefault="005432C2" w:rsidP="00FB11B7">
            <w:pPr>
              <w:jc w:val="center"/>
              <w:rPr>
                <w:b/>
                <w:bCs/>
                <w:sz w:val="20"/>
                <w:szCs w:val="20"/>
                <w:lang w:eastAsia="en-GB"/>
              </w:rPr>
            </w:pPr>
            <w:r w:rsidRPr="00DB01E4">
              <w:rPr>
                <w:b/>
                <w:bCs/>
                <w:sz w:val="20"/>
                <w:szCs w:val="20"/>
                <w:lang w:eastAsia="en-GB"/>
              </w:rPr>
              <w:t>Forecast 2029/30</w:t>
            </w:r>
          </w:p>
        </w:tc>
        <w:tc>
          <w:tcPr>
            <w:tcW w:w="1050" w:type="dxa"/>
            <w:tcBorders>
              <w:top w:val="single" w:sz="8" w:space="0" w:color="auto"/>
              <w:left w:val="nil"/>
              <w:bottom w:val="nil"/>
              <w:right w:val="single" w:sz="8" w:space="0" w:color="auto"/>
            </w:tcBorders>
            <w:shd w:val="clear" w:color="000000" w:fill="BDD7EE"/>
          </w:tcPr>
          <w:p w14:paraId="47E536B0" w14:textId="77777777" w:rsidR="005432C2" w:rsidRPr="00E41D09" w:rsidRDefault="005432C2" w:rsidP="00FB11B7">
            <w:pPr>
              <w:jc w:val="center"/>
              <w:rPr>
                <w:b/>
                <w:bCs/>
                <w:sz w:val="20"/>
                <w:szCs w:val="20"/>
                <w:lang w:eastAsia="en-GB"/>
              </w:rPr>
            </w:pPr>
            <w:r w:rsidRPr="00DB01E4">
              <w:rPr>
                <w:b/>
                <w:bCs/>
                <w:sz w:val="20"/>
                <w:szCs w:val="20"/>
                <w:lang w:eastAsia="en-GB"/>
              </w:rPr>
              <w:t>Forecast 2030/31</w:t>
            </w:r>
          </w:p>
        </w:tc>
        <w:tc>
          <w:tcPr>
            <w:tcW w:w="1050" w:type="dxa"/>
            <w:tcBorders>
              <w:top w:val="single" w:sz="8" w:space="0" w:color="auto"/>
              <w:left w:val="nil"/>
              <w:bottom w:val="nil"/>
              <w:right w:val="single" w:sz="8" w:space="0" w:color="auto"/>
            </w:tcBorders>
            <w:shd w:val="clear" w:color="000000" w:fill="BDD7EE"/>
          </w:tcPr>
          <w:p w14:paraId="3F6FC857" w14:textId="77777777" w:rsidR="005432C2" w:rsidRPr="00E41D09" w:rsidRDefault="005432C2" w:rsidP="00FB11B7">
            <w:pPr>
              <w:jc w:val="center"/>
              <w:rPr>
                <w:b/>
                <w:bCs/>
                <w:sz w:val="20"/>
                <w:szCs w:val="20"/>
                <w:lang w:eastAsia="en-GB"/>
              </w:rPr>
            </w:pPr>
            <w:r w:rsidRPr="00DB01E4">
              <w:rPr>
                <w:b/>
                <w:bCs/>
                <w:sz w:val="20"/>
                <w:szCs w:val="20"/>
                <w:lang w:eastAsia="en-GB"/>
              </w:rPr>
              <w:t>Forecast 2031/32</w:t>
            </w:r>
          </w:p>
        </w:tc>
      </w:tr>
      <w:tr w:rsidR="005432C2" w:rsidRPr="00E41D09" w14:paraId="45A04CBA" w14:textId="77777777" w:rsidTr="00FB11B7">
        <w:trPr>
          <w:trHeight w:val="246"/>
        </w:trPr>
        <w:tc>
          <w:tcPr>
            <w:tcW w:w="3545" w:type="dxa"/>
            <w:vMerge/>
            <w:tcBorders>
              <w:top w:val="single" w:sz="8" w:space="0" w:color="auto"/>
              <w:left w:val="single" w:sz="8" w:space="0" w:color="auto"/>
              <w:bottom w:val="single" w:sz="12" w:space="0" w:color="000000"/>
              <w:right w:val="single" w:sz="8" w:space="0" w:color="auto"/>
            </w:tcBorders>
            <w:vAlign w:val="center"/>
            <w:hideMark/>
          </w:tcPr>
          <w:p w14:paraId="5AC2ADA4" w14:textId="77777777" w:rsidR="005432C2" w:rsidRPr="00E41D09" w:rsidRDefault="005432C2" w:rsidP="00FB11B7">
            <w:pPr>
              <w:rPr>
                <w:b/>
                <w:bCs/>
                <w:sz w:val="20"/>
                <w:szCs w:val="20"/>
                <w:lang w:eastAsia="en-GB"/>
              </w:rPr>
            </w:pPr>
          </w:p>
        </w:tc>
        <w:tc>
          <w:tcPr>
            <w:tcW w:w="963" w:type="dxa"/>
            <w:tcBorders>
              <w:top w:val="nil"/>
              <w:left w:val="nil"/>
              <w:bottom w:val="single" w:sz="12" w:space="0" w:color="auto"/>
              <w:right w:val="single" w:sz="8" w:space="0" w:color="auto"/>
            </w:tcBorders>
            <w:shd w:val="clear" w:color="000000" w:fill="BDD7EE"/>
            <w:hideMark/>
          </w:tcPr>
          <w:p w14:paraId="798C60B7" w14:textId="77777777" w:rsidR="005432C2" w:rsidRPr="00E41D09" w:rsidRDefault="005432C2" w:rsidP="00FB11B7">
            <w:pPr>
              <w:jc w:val="center"/>
              <w:rPr>
                <w:b/>
                <w:bCs/>
                <w:sz w:val="20"/>
                <w:szCs w:val="20"/>
                <w:lang w:eastAsia="en-GB"/>
              </w:rPr>
            </w:pPr>
            <w:r w:rsidRPr="00E41D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hideMark/>
          </w:tcPr>
          <w:p w14:paraId="19673B27" w14:textId="77777777" w:rsidR="005432C2" w:rsidRPr="00E41D09" w:rsidRDefault="005432C2" w:rsidP="00FB11B7">
            <w:pPr>
              <w:jc w:val="center"/>
              <w:rPr>
                <w:b/>
                <w:bCs/>
                <w:sz w:val="20"/>
                <w:szCs w:val="20"/>
                <w:lang w:eastAsia="en-GB"/>
              </w:rPr>
            </w:pPr>
            <w:r w:rsidRPr="00E41D09">
              <w:rPr>
                <w:b/>
                <w:bCs/>
                <w:sz w:val="20"/>
                <w:szCs w:val="20"/>
                <w:lang w:eastAsia="en-GB"/>
              </w:rPr>
              <w:t>£Million</w:t>
            </w:r>
          </w:p>
        </w:tc>
        <w:tc>
          <w:tcPr>
            <w:tcW w:w="1052" w:type="dxa"/>
            <w:tcBorders>
              <w:top w:val="nil"/>
              <w:left w:val="nil"/>
              <w:bottom w:val="single" w:sz="12" w:space="0" w:color="auto"/>
              <w:right w:val="single" w:sz="8" w:space="0" w:color="auto"/>
            </w:tcBorders>
            <w:shd w:val="clear" w:color="000000" w:fill="BDD7EE"/>
            <w:hideMark/>
          </w:tcPr>
          <w:p w14:paraId="28550596" w14:textId="77777777" w:rsidR="005432C2" w:rsidRPr="00E41D09" w:rsidRDefault="005432C2" w:rsidP="00FB11B7">
            <w:pPr>
              <w:jc w:val="center"/>
              <w:rPr>
                <w:b/>
                <w:bCs/>
                <w:sz w:val="20"/>
                <w:szCs w:val="20"/>
                <w:lang w:eastAsia="en-GB"/>
              </w:rPr>
            </w:pPr>
            <w:r w:rsidRPr="00E41D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hideMark/>
          </w:tcPr>
          <w:p w14:paraId="60C40ABB" w14:textId="77777777" w:rsidR="005432C2" w:rsidRPr="00E41D09" w:rsidRDefault="005432C2" w:rsidP="00FB11B7">
            <w:pPr>
              <w:jc w:val="center"/>
              <w:rPr>
                <w:b/>
                <w:bCs/>
                <w:sz w:val="20"/>
                <w:szCs w:val="20"/>
                <w:lang w:eastAsia="en-GB"/>
              </w:rPr>
            </w:pPr>
            <w:r w:rsidRPr="00E41D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hideMark/>
          </w:tcPr>
          <w:p w14:paraId="5BDC8D76" w14:textId="77777777" w:rsidR="005432C2" w:rsidRPr="00E41D09" w:rsidRDefault="005432C2" w:rsidP="00FB11B7">
            <w:pPr>
              <w:jc w:val="center"/>
              <w:rPr>
                <w:b/>
                <w:bCs/>
                <w:sz w:val="20"/>
                <w:szCs w:val="20"/>
                <w:lang w:eastAsia="en-GB"/>
              </w:rPr>
            </w:pPr>
            <w:r w:rsidRPr="00E41D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372BC66D"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25682648"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c>
          <w:tcPr>
            <w:tcW w:w="1055" w:type="dxa"/>
            <w:tcBorders>
              <w:top w:val="nil"/>
              <w:left w:val="nil"/>
              <w:bottom w:val="single" w:sz="12" w:space="0" w:color="auto"/>
              <w:right w:val="single" w:sz="8" w:space="0" w:color="auto"/>
            </w:tcBorders>
            <w:shd w:val="clear" w:color="000000" w:fill="BDD7EE"/>
          </w:tcPr>
          <w:p w14:paraId="2791541A"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0D5428EA"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70B246B6"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c>
          <w:tcPr>
            <w:tcW w:w="1050" w:type="dxa"/>
            <w:tcBorders>
              <w:top w:val="nil"/>
              <w:left w:val="nil"/>
              <w:bottom w:val="single" w:sz="12" w:space="0" w:color="auto"/>
              <w:right w:val="single" w:sz="8" w:space="0" w:color="auto"/>
            </w:tcBorders>
            <w:shd w:val="clear" w:color="000000" w:fill="BDD7EE"/>
          </w:tcPr>
          <w:p w14:paraId="024FACAE" w14:textId="77777777" w:rsidR="005432C2" w:rsidRPr="00E41D09" w:rsidRDefault="005432C2" w:rsidP="00FB11B7">
            <w:pPr>
              <w:jc w:val="center"/>
              <w:rPr>
                <w:b/>
                <w:bCs/>
                <w:sz w:val="20"/>
                <w:szCs w:val="20"/>
                <w:lang w:eastAsia="en-GB"/>
              </w:rPr>
            </w:pPr>
            <w:r w:rsidRPr="00401E09">
              <w:rPr>
                <w:b/>
                <w:bCs/>
                <w:sz w:val="20"/>
                <w:szCs w:val="20"/>
                <w:lang w:eastAsia="en-GB"/>
              </w:rPr>
              <w:t>£Million</w:t>
            </w:r>
          </w:p>
        </w:tc>
      </w:tr>
      <w:tr w:rsidR="00BE3D17" w:rsidRPr="009C39EA" w14:paraId="763CB385" w14:textId="77777777" w:rsidTr="00FB11B7">
        <w:trPr>
          <w:trHeight w:val="254"/>
        </w:trPr>
        <w:tc>
          <w:tcPr>
            <w:tcW w:w="3545" w:type="dxa"/>
            <w:tcBorders>
              <w:top w:val="single" w:sz="8" w:space="0" w:color="auto"/>
              <w:left w:val="single" w:sz="8" w:space="0" w:color="auto"/>
              <w:bottom w:val="nil"/>
              <w:right w:val="single" w:sz="8" w:space="0" w:color="auto"/>
            </w:tcBorders>
            <w:shd w:val="clear" w:color="000000" w:fill="FFFFFF"/>
            <w:noWrap/>
            <w:vAlign w:val="bottom"/>
            <w:hideMark/>
          </w:tcPr>
          <w:p w14:paraId="31AC5A49" w14:textId="453A9493" w:rsidR="00BE3D17" w:rsidRPr="00E41D09" w:rsidRDefault="00BE3D17" w:rsidP="00BE3D17">
            <w:pPr>
              <w:rPr>
                <w:sz w:val="20"/>
                <w:szCs w:val="20"/>
                <w:lang w:eastAsia="en-GB"/>
              </w:rPr>
            </w:pPr>
            <w:r w:rsidRPr="005432C2">
              <w:rPr>
                <w:sz w:val="20"/>
                <w:szCs w:val="20"/>
                <w:lang w:eastAsia="en-GB"/>
              </w:rPr>
              <w:t>Loans CFR</w:t>
            </w:r>
          </w:p>
        </w:tc>
        <w:tc>
          <w:tcPr>
            <w:tcW w:w="963" w:type="dxa"/>
            <w:tcBorders>
              <w:top w:val="nil"/>
              <w:left w:val="single" w:sz="8" w:space="0" w:color="auto"/>
              <w:bottom w:val="nil"/>
              <w:right w:val="nil"/>
            </w:tcBorders>
            <w:shd w:val="clear" w:color="000000" w:fill="FFFFFF"/>
            <w:hideMark/>
          </w:tcPr>
          <w:p w14:paraId="3C105D6A" w14:textId="4030EEAB" w:rsidR="00BE3D17" w:rsidRPr="00BE3D17" w:rsidRDefault="00BE3D17" w:rsidP="00EC3361">
            <w:pPr>
              <w:jc w:val="right"/>
              <w:rPr>
                <w:color w:val="000000"/>
                <w:sz w:val="20"/>
                <w:szCs w:val="20"/>
                <w:lang w:eastAsia="en-GB"/>
              </w:rPr>
            </w:pPr>
            <w:r w:rsidRPr="00BE3D17">
              <w:rPr>
                <w:sz w:val="20"/>
                <w:szCs w:val="20"/>
              </w:rPr>
              <w:t>31.7</w:t>
            </w:r>
          </w:p>
        </w:tc>
        <w:tc>
          <w:tcPr>
            <w:tcW w:w="1050" w:type="dxa"/>
            <w:tcBorders>
              <w:top w:val="nil"/>
              <w:left w:val="single" w:sz="4" w:space="0" w:color="auto"/>
              <w:bottom w:val="nil"/>
              <w:right w:val="single" w:sz="4" w:space="0" w:color="auto"/>
            </w:tcBorders>
            <w:shd w:val="clear" w:color="000000" w:fill="FFFFFF"/>
            <w:hideMark/>
          </w:tcPr>
          <w:p w14:paraId="5ADC7C81" w14:textId="4892B2DD" w:rsidR="00BE3D17" w:rsidRPr="00BE3D17" w:rsidRDefault="00BE3D17" w:rsidP="00EC3361">
            <w:pPr>
              <w:jc w:val="right"/>
              <w:rPr>
                <w:color w:val="000000"/>
                <w:sz w:val="20"/>
                <w:szCs w:val="20"/>
                <w:lang w:eastAsia="en-GB"/>
              </w:rPr>
            </w:pPr>
            <w:r w:rsidRPr="00BE3D17">
              <w:rPr>
                <w:sz w:val="20"/>
                <w:szCs w:val="20"/>
              </w:rPr>
              <w:t>31.3</w:t>
            </w:r>
          </w:p>
        </w:tc>
        <w:tc>
          <w:tcPr>
            <w:tcW w:w="1052" w:type="dxa"/>
            <w:tcBorders>
              <w:top w:val="nil"/>
              <w:left w:val="nil"/>
              <w:bottom w:val="nil"/>
              <w:right w:val="nil"/>
            </w:tcBorders>
            <w:shd w:val="clear" w:color="000000" w:fill="FFFFFF"/>
            <w:hideMark/>
          </w:tcPr>
          <w:p w14:paraId="57A14843" w14:textId="6229EE72" w:rsidR="00BE3D17" w:rsidRPr="00BE3D17" w:rsidRDefault="00BE3D17" w:rsidP="00EC3361">
            <w:pPr>
              <w:jc w:val="right"/>
              <w:rPr>
                <w:color w:val="000000"/>
                <w:sz w:val="20"/>
                <w:szCs w:val="20"/>
                <w:lang w:eastAsia="en-GB"/>
              </w:rPr>
            </w:pPr>
            <w:r w:rsidRPr="00BE3D17">
              <w:rPr>
                <w:sz w:val="20"/>
                <w:szCs w:val="20"/>
              </w:rPr>
              <w:t>31.5</w:t>
            </w:r>
          </w:p>
        </w:tc>
        <w:tc>
          <w:tcPr>
            <w:tcW w:w="1055" w:type="dxa"/>
            <w:tcBorders>
              <w:top w:val="nil"/>
              <w:left w:val="single" w:sz="4" w:space="0" w:color="auto"/>
              <w:bottom w:val="nil"/>
              <w:right w:val="single" w:sz="4" w:space="0" w:color="auto"/>
            </w:tcBorders>
            <w:shd w:val="clear" w:color="000000" w:fill="FFFFFF"/>
            <w:hideMark/>
          </w:tcPr>
          <w:p w14:paraId="615E25A7" w14:textId="015151EF" w:rsidR="00BE3D17" w:rsidRPr="00BE3D17" w:rsidRDefault="00BE3D17" w:rsidP="00EC3361">
            <w:pPr>
              <w:jc w:val="right"/>
              <w:rPr>
                <w:color w:val="000000"/>
                <w:sz w:val="20"/>
                <w:szCs w:val="20"/>
                <w:lang w:eastAsia="en-GB"/>
              </w:rPr>
            </w:pPr>
            <w:r w:rsidRPr="00BE3D17">
              <w:rPr>
                <w:sz w:val="20"/>
                <w:szCs w:val="20"/>
              </w:rPr>
              <w:t>31.2</w:t>
            </w:r>
          </w:p>
        </w:tc>
        <w:tc>
          <w:tcPr>
            <w:tcW w:w="1055" w:type="dxa"/>
            <w:tcBorders>
              <w:top w:val="nil"/>
              <w:left w:val="nil"/>
              <w:bottom w:val="nil"/>
              <w:right w:val="single" w:sz="8" w:space="0" w:color="auto"/>
            </w:tcBorders>
            <w:shd w:val="clear" w:color="000000" w:fill="FFFFFF"/>
            <w:hideMark/>
          </w:tcPr>
          <w:p w14:paraId="73D76669" w14:textId="3057A440" w:rsidR="00BE3D17" w:rsidRPr="00BE3D17" w:rsidRDefault="00BE3D17" w:rsidP="00EC3361">
            <w:pPr>
              <w:jc w:val="right"/>
              <w:rPr>
                <w:color w:val="000000"/>
                <w:sz w:val="20"/>
                <w:szCs w:val="20"/>
                <w:lang w:eastAsia="en-GB"/>
              </w:rPr>
            </w:pPr>
            <w:r w:rsidRPr="00BE3D17">
              <w:rPr>
                <w:sz w:val="20"/>
                <w:szCs w:val="20"/>
              </w:rPr>
              <w:t>37.8</w:t>
            </w:r>
          </w:p>
        </w:tc>
        <w:tc>
          <w:tcPr>
            <w:tcW w:w="1050" w:type="dxa"/>
            <w:tcBorders>
              <w:top w:val="nil"/>
              <w:left w:val="nil"/>
              <w:bottom w:val="nil"/>
              <w:right w:val="single" w:sz="8" w:space="0" w:color="auto"/>
            </w:tcBorders>
            <w:shd w:val="clear" w:color="000000" w:fill="FFFFFF"/>
          </w:tcPr>
          <w:p w14:paraId="2980B5D1" w14:textId="49C8FD25" w:rsidR="00BE3D17" w:rsidRPr="00BE3D17" w:rsidRDefault="00BE3D17" w:rsidP="00EC3361">
            <w:pPr>
              <w:jc w:val="right"/>
              <w:rPr>
                <w:color w:val="000000"/>
                <w:sz w:val="20"/>
                <w:szCs w:val="20"/>
                <w:lang w:eastAsia="en-GB"/>
              </w:rPr>
            </w:pPr>
            <w:r w:rsidRPr="00BE3D17">
              <w:rPr>
                <w:sz w:val="20"/>
                <w:szCs w:val="20"/>
              </w:rPr>
              <w:t>33.1</w:t>
            </w:r>
          </w:p>
        </w:tc>
        <w:tc>
          <w:tcPr>
            <w:tcW w:w="1050" w:type="dxa"/>
            <w:tcBorders>
              <w:top w:val="nil"/>
              <w:left w:val="nil"/>
              <w:bottom w:val="nil"/>
              <w:right w:val="single" w:sz="8" w:space="0" w:color="auto"/>
            </w:tcBorders>
            <w:shd w:val="clear" w:color="000000" w:fill="FFFFFF"/>
          </w:tcPr>
          <w:p w14:paraId="49CBED84" w14:textId="435CDF45" w:rsidR="00BE3D17" w:rsidRPr="00BE3D17" w:rsidRDefault="00BE3D17" w:rsidP="00EC3361">
            <w:pPr>
              <w:jc w:val="right"/>
              <w:rPr>
                <w:color w:val="000000"/>
                <w:sz w:val="20"/>
                <w:szCs w:val="20"/>
                <w:lang w:eastAsia="en-GB"/>
              </w:rPr>
            </w:pPr>
            <w:r w:rsidRPr="00BE3D17">
              <w:rPr>
                <w:sz w:val="20"/>
                <w:szCs w:val="20"/>
              </w:rPr>
              <w:t>28.9</w:t>
            </w:r>
          </w:p>
        </w:tc>
        <w:tc>
          <w:tcPr>
            <w:tcW w:w="1055" w:type="dxa"/>
            <w:tcBorders>
              <w:top w:val="nil"/>
              <w:left w:val="nil"/>
              <w:bottom w:val="nil"/>
              <w:right w:val="single" w:sz="8" w:space="0" w:color="auto"/>
            </w:tcBorders>
            <w:shd w:val="clear" w:color="000000" w:fill="FFFFFF"/>
          </w:tcPr>
          <w:p w14:paraId="2F63AB95" w14:textId="3B440631" w:rsidR="00BE3D17" w:rsidRPr="00BE3D17" w:rsidRDefault="00BE3D17" w:rsidP="00EC3361">
            <w:pPr>
              <w:jc w:val="right"/>
              <w:rPr>
                <w:color w:val="000000"/>
                <w:sz w:val="20"/>
                <w:szCs w:val="20"/>
                <w:lang w:eastAsia="en-GB"/>
              </w:rPr>
            </w:pPr>
            <w:r w:rsidRPr="00BE3D17">
              <w:rPr>
                <w:sz w:val="20"/>
                <w:szCs w:val="20"/>
              </w:rPr>
              <w:t>24.9</w:t>
            </w:r>
          </w:p>
        </w:tc>
        <w:tc>
          <w:tcPr>
            <w:tcW w:w="1050" w:type="dxa"/>
            <w:tcBorders>
              <w:top w:val="nil"/>
              <w:left w:val="nil"/>
              <w:bottom w:val="nil"/>
              <w:right w:val="single" w:sz="8" w:space="0" w:color="auto"/>
            </w:tcBorders>
            <w:shd w:val="clear" w:color="000000" w:fill="FFFFFF"/>
          </w:tcPr>
          <w:p w14:paraId="1DBA49AC" w14:textId="2C10A2D2" w:rsidR="00BE3D17" w:rsidRPr="00BE3D17" w:rsidRDefault="00BE3D17" w:rsidP="00EC3361">
            <w:pPr>
              <w:jc w:val="right"/>
              <w:rPr>
                <w:color w:val="000000"/>
                <w:sz w:val="20"/>
                <w:szCs w:val="20"/>
                <w:lang w:eastAsia="en-GB"/>
              </w:rPr>
            </w:pPr>
            <w:r w:rsidRPr="00BE3D17">
              <w:rPr>
                <w:sz w:val="20"/>
                <w:szCs w:val="20"/>
              </w:rPr>
              <w:t>20.9</w:t>
            </w:r>
          </w:p>
        </w:tc>
        <w:tc>
          <w:tcPr>
            <w:tcW w:w="1050" w:type="dxa"/>
            <w:tcBorders>
              <w:top w:val="nil"/>
              <w:left w:val="nil"/>
              <w:bottom w:val="nil"/>
              <w:right w:val="single" w:sz="8" w:space="0" w:color="auto"/>
            </w:tcBorders>
            <w:shd w:val="clear" w:color="000000" w:fill="FFFFFF"/>
          </w:tcPr>
          <w:p w14:paraId="0EA91D76" w14:textId="49FE6252" w:rsidR="00BE3D17" w:rsidRPr="00BE3D17" w:rsidRDefault="00BE3D17" w:rsidP="00EC3361">
            <w:pPr>
              <w:jc w:val="right"/>
              <w:rPr>
                <w:color w:val="000000"/>
                <w:sz w:val="20"/>
                <w:szCs w:val="20"/>
                <w:lang w:eastAsia="en-GB"/>
              </w:rPr>
            </w:pPr>
            <w:r w:rsidRPr="00BE3D17">
              <w:rPr>
                <w:sz w:val="20"/>
                <w:szCs w:val="20"/>
              </w:rPr>
              <w:t>17.6</w:t>
            </w:r>
          </w:p>
        </w:tc>
        <w:tc>
          <w:tcPr>
            <w:tcW w:w="1050" w:type="dxa"/>
            <w:tcBorders>
              <w:top w:val="nil"/>
              <w:left w:val="nil"/>
              <w:bottom w:val="nil"/>
              <w:right w:val="single" w:sz="8" w:space="0" w:color="auto"/>
            </w:tcBorders>
            <w:shd w:val="clear" w:color="000000" w:fill="FFFFFF"/>
          </w:tcPr>
          <w:p w14:paraId="08DBE068" w14:textId="3245E9E8" w:rsidR="00BE3D17" w:rsidRPr="00BE3D17" w:rsidRDefault="00BE3D17" w:rsidP="00EC3361">
            <w:pPr>
              <w:jc w:val="right"/>
              <w:rPr>
                <w:color w:val="000000"/>
                <w:sz w:val="20"/>
                <w:szCs w:val="20"/>
                <w:lang w:eastAsia="en-GB"/>
              </w:rPr>
            </w:pPr>
            <w:r w:rsidRPr="00BE3D17">
              <w:rPr>
                <w:sz w:val="20"/>
                <w:szCs w:val="20"/>
              </w:rPr>
              <w:t>14.8</w:t>
            </w:r>
          </w:p>
        </w:tc>
      </w:tr>
      <w:tr w:rsidR="00BE3D17" w:rsidRPr="009C39EA" w14:paraId="54619453" w14:textId="77777777" w:rsidTr="00FB11B7">
        <w:trPr>
          <w:trHeight w:val="246"/>
        </w:trPr>
        <w:tc>
          <w:tcPr>
            <w:tcW w:w="3545" w:type="dxa"/>
            <w:tcBorders>
              <w:top w:val="nil"/>
              <w:left w:val="single" w:sz="8" w:space="0" w:color="auto"/>
              <w:bottom w:val="nil"/>
              <w:right w:val="single" w:sz="8" w:space="0" w:color="auto"/>
            </w:tcBorders>
            <w:shd w:val="clear" w:color="000000" w:fill="FFFFFF"/>
            <w:noWrap/>
            <w:vAlign w:val="bottom"/>
            <w:hideMark/>
          </w:tcPr>
          <w:p w14:paraId="11BFE8EF" w14:textId="2A58CDF9" w:rsidR="00BE3D17" w:rsidRPr="00E41D09" w:rsidRDefault="00BE3D17" w:rsidP="00BE3D17">
            <w:pPr>
              <w:rPr>
                <w:sz w:val="20"/>
                <w:szCs w:val="20"/>
                <w:lang w:eastAsia="en-GB"/>
              </w:rPr>
            </w:pPr>
            <w:r w:rsidRPr="005432C2">
              <w:rPr>
                <w:sz w:val="20"/>
                <w:szCs w:val="20"/>
                <w:lang w:eastAsia="en-GB"/>
              </w:rPr>
              <w:t>Less: Usable reserves</w:t>
            </w:r>
          </w:p>
        </w:tc>
        <w:tc>
          <w:tcPr>
            <w:tcW w:w="963" w:type="dxa"/>
            <w:tcBorders>
              <w:top w:val="nil"/>
              <w:left w:val="single" w:sz="8" w:space="0" w:color="auto"/>
              <w:bottom w:val="nil"/>
              <w:right w:val="nil"/>
            </w:tcBorders>
            <w:shd w:val="clear" w:color="000000" w:fill="FFFFFF"/>
            <w:hideMark/>
          </w:tcPr>
          <w:p w14:paraId="0A57D6CB" w14:textId="755400A0" w:rsidR="00BE3D17" w:rsidRPr="00BE3D17" w:rsidRDefault="00BE3D17" w:rsidP="00EC3361">
            <w:pPr>
              <w:jc w:val="right"/>
              <w:rPr>
                <w:color w:val="000000"/>
                <w:sz w:val="20"/>
                <w:szCs w:val="20"/>
                <w:lang w:eastAsia="en-GB"/>
              </w:rPr>
            </w:pPr>
            <w:r w:rsidRPr="00BE3D17">
              <w:rPr>
                <w:sz w:val="20"/>
                <w:szCs w:val="20"/>
              </w:rPr>
              <w:t>(28.5)</w:t>
            </w:r>
          </w:p>
        </w:tc>
        <w:tc>
          <w:tcPr>
            <w:tcW w:w="1050" w:type="dxa"/>
            <w:tcBorders>
              <w:top w:val="nil"/>
              <w:left w:val="single" w:sz="4" w:space="0" w:color="auto"/>
              <w:bottom w:val="nil"/>
              <w:right w:val="single" w:sz="4" w:space="0" w:color="auto"/>
            </w:tcBorders>
            <w:shd w:val="clear" w:color="000000" w:fill="FFFFFF"/>
            <w:hideMark/>
          </w:tcPr>
          <w:p w14:paraId="66D7E589" w14:textId="1827F3CD" w:rsidR="00BE3D17" w:rsidRPr="00BE3D17" w:rsidRDefault="00BE3D17" w:rsidP="00EC3361">
            <w:pPr>
              <w:jc w:val="right"/>
              <w:rPr>
                <w:color w:val="000000"/>
                <w:sz w:val="20"/>
                <w:szCs w:val="20"/>
                <w:lang w:eastAsia="en-GB"/>
              </w:rPr>
            </w:pPr>
            <w:r w:rsidRPr="00BE3D17">
              <w:rPr>
                <w:sz w:val="20"/>
                <w:szCs w:val="20"/>
              </w:rPr>
              <w:t>(23.2)</w:t>
            </w:r>
          </w:p>
        </w:tc>
        <w:tc>
          <w:tcPr>
            <w:tcW w:w="1052" w:type="dxa"/>
            <w:tcBorders>
              <w:top w:val="nil"/>
              <w:left w:val="nil"/>
              <w:bottom w:val="nil"/>
              <w:right w:val="nil"/>
            </w:tcBorders>
            <w:shd w:val="clear" w:color="000000" w:fill="FFFFFF"/>
            <w:hideMark/>
          </w:tcPr>
          <w:p w14:paraId="038DB707" w14:textId="2D75D345" w:rsidR="00BE3D17" w:rsidRPr="00BE3D17" w:rsidRDefault="00BE3D17" w:rsidP="00EC3361">
            <w:pPr>
              <w:jc w:val="right"/>
              <w:rPr>
                <w:color w:val="000000"/>
                <w:sz w:val="20"/>
                <w:szCs w:val="20"/>
                <w:lang w:eastAsia="en-GB"/>
              </w:rPr>
            </w:pPr>
            <w:r w:rsidRPr="00BE3D17">
              <w:rPr>
                <w:sz w:val="20"/>
                <w:szCs w:val="20"/>
              </w:rPr>
              <w:t>(19.8)</w:t>
            </w:r>
          </w:p>
        </w:tc>
        <w:tc>
          <w:tcPr>
            <w:tcW w:w="1055" w:type="dxa"/>
            <w:tcBorders>
              <w:top w:val="nil"/>
              <w:left w:val="single" w:sz="4" w:space="0" w:color="auto"/>
              <w:bottom w:val="nil"/>
              <w:right w:val="single" w:sz="4" w:space="0" w:color="auto"/>
            </w:tcBorders>
            <w:shd w:val="clear" w:color="000000" w:fill="FFFFFF"/>
            <w:hideMark/>
          </w:tcPr>
          <w:p w14:paraId="6EB33D7D" w14:textId="7F534D75" w:rsidR="00BE3D17" w:rsidRPr="00BE3D17" w:rsidRDefault="00BE3D17" w:rsidP="00EC3361">
            <w:pPr>
              <w:jc w:val="right"/>
              <w:rPr>
                <w:color w:val="000000"/>
                <w:sz w:val="20"/>
                <w:szCs w:val="20"/>
                <w:lang w:eastAsia="en-GB"/>
              </w:rPr>
            </w:pPr>
            <w:r w:rsidRPr="00BE3D17">
              <w:rPr>
                <w:sz w:val="20"/>
                <w:szCs w:val="20"/>
              </w:rPr>
              <w:t>(14.0)</w:t>
            </w:r>
          </w:p>
        </w:tc>
        <w:tc>
          <w:tcPr>
            <w:tcW w:w="1055" w:type="dxa"/>
            <w:tcBorders>
              <w:top w:val="nil"/>
              <w:left w:val="nil"/>
              <w:bottom w:val="nil"/>
              <w:right w:val="single" w:sz="8" w:space="0" w:color="auto"/>
            </w:tcBorders>
            <w:shd w:val="clear" w:color="000000" w:fill="FFFFFF"/>
            <w:hideMark/>
          </w:tcPr>
          <w:p w14:paraId="6D4ADC38" w14:textId="6931289B" w:rsidR="00BE3D17" w:rsidRPr="00BE3D17" w:rsidRDefault="00BE3D17" w:rsidP="00EC3361">
            <w:pPr>
              <w:jc w:val="right"/>
              <w:rPr>
                <w:color w:val="000000"/>
                <w:sz w:val="20"/>
                <w:szCs w:val="20"/>
                <w:lang w:eastAsia="en-GB"/>
              </w:rPr>
            </w:pPr>
            <w:r w:rsidRPr="00BE3D17">
              <w:rPr>
                <w:sz w:val="20"/>
                <w:szCs w:val="20"/>
              </w:rPr>
              <w:t>(8.9)</w:t>
            </w:r>
          </w:p>
        </w:tc>
        <w:tc>
          <w:tcPr>
            <w:tcW w:w="1050" w:type="dxa"/>
            <w:tcBorders>
              <w:top w:val="nil"/>
              <w:left w:val="nil"/>
              <w:bottom w:val="nil"/>
              <w:right w:val="single" w:sz="8" w:space="0" w:color="auto"/>
            </w:tcBorders>
            <w:shd w:val="clear" w:color="000000" w:fill="FFFFFF"/>
          </w:tcPr>
          <w:p w14:paraId="6BEF3B44" w14:textId="0D294543" w:rsidR="00BE3D17" w:rsidRPr="00BE3D17" w:rsidRDefault="00BE3D17" w:rsidP="00EC3361">
            <w:pPr>
              <w:jc w:val="right"/>
              <w:rPr>
                <w:color w:val="000000"/>
                <w:sz w:val="20"/>
                <w:szCs w:val="20"/>
                <w:lang w:eastAsia="en-GB"/>
              </w:rPr>
            </w:pPr>
            <w:r w:rsidRPr="00BE3D17">
              <w:rPr>
                <w:sz w:val="20"/>
                <w:szCs w:val="20"/>
              </w:rPr>
              <w:t>(8.9)</w:t>
            </w:r>
          </w:p>
        </w:tc>
        <w:tc>
          <w:tcPr>
            <w:tcW w:w="1050" w:type="dxa"/>
            <w:tcBorders>
              <w:top w:val="nil"/>
              <w:left w:val="nil"/>
              <w:bottom w:val="nil"/>
              <w:right w:val="single" w:sz="8" w:space="0" w:color="auto"/>
            </w:tcBorders>
            <w:shd w:val="clear" w:color="000000" w:fill="FFFFFF"/>
          </w:tcPr>
          <w:p w14:paraId="53C18155" w14:textId="1DB7B85D" w:rsidR="00BE3D17" w:rsidRPr="00BE3D17" w:rsidRDefault="00BE3D17" w:rsidP="00EC3361">
            <w:pPr>
              <w:jc w:val="right"/>
              <w:rPr>
                <w:color w:val="000000"/>
                <w:sz w:val="20"/>
                <w:szCs w:val="20"/>
                <w:lang w:eastAsia="en-GB"/>
              </w:rPr>
            </w:pPr>
            <w:r w:rsidRPr="00BE3D17">
              <w:rPr>
                <w:sz w:val="20"/>
                <w:szCs w:val="20"/>
              </w:rPr>
              <w:t>(8.9)</w:t>
            </w:r>
          </w:p>
        </w:tc>
        <w:tc>
          <w:tcPr>
            <w:tcW w:w="1055" w:type="dxa"/>
            <w:tcBorders>
              <w:top w:val="nil"/>
              <w:left w:val="nil"/>
              <w:bottom w:val="nil"/>
              <w:right w:val="single" w:sz="8" w:space="0" w:color="auto"/>
            </w:tcBorders>
            <w:shd w:val="clear" w:color="000000" w:fill="FFFFFF"/>
          </w:tcPr>
          <w:p w14:paraId="418B8DCB" w14:textId="2A3E28CC" w:rsidR="00BE3D17" w:rsidRPr="00BE3D17" w:rsidRDefault="00BE3D17" w:rsidP="00EC3361">
            <w:pPr>
              <w:jc w:val="right"/>
              <w:rPr>
                <w:color w:val="000000"/>
                <w:sz w:val="20"/>
                <w:szCs w:val="20"/>
                <w:lang w:eastAsia="en-GB"/>
              </w:rPr>
            </w:pPr>
            <w:r w:rsidRPr="00BE3D17">
              <w:rPr>
                <w:sz w:val="20"/>
                <w:szCs w:val="20"/>
              </w:rPr>
              <w:t>(8.9)</w:t>
            </w:r>
          </w:p>
        </w:tc>
        <w:tc>
          <w:tcPr>
            <w:tcW w:w="1050" w:type="dxa"/>
            <w:tcBorders>
              <w:top w:val="nil"/>
              <w:left w:val="nil"/>
              <w:bottom w:val="nil"/>
              <w:right w:val="single" w:sz="8" w:space="0" w:color="auto"/>
            </w:tcBorders>
            <w:shd w:val="clear" w:color="000000" w:fill="FFFFFF"/>
          </w:tcPr>
          <w:p w14:paraId="21CB7E83" w14:textId="510F0FE2" w:rsidR="00BE3D17" w:rsidRPr="00BE3D17" w:rsidRDefault="00BE3D17" w:rsidP="00EC3361">
            <w:pPr>
              <w:jc w:val="right"/>
              <w:rPr>
                <w:color w:val="000000"/>
                <w:sz w:val="20"/>
                <w:szCs w:val="20"/>
                <w:lang w:eastAsia="en-GB"/>
              </w:rPr>
            </w:pPr>
            <w:r w:rsidRPr="00BE3D17">
              <w:rPr>
                <w:sz w:val="20"/>
                <w:szCs w:val="20"/>
              </w:rPr>
              <w:t>(8.9)</w:t>
            </w:r>
          </w:p>
        </w:tc>
        <w:tc>
          <w:tcPr>
            <w:tcW w:w="1050" w:type="dxa"/>
            <w:tcBorders>
              <w:top w:val="nil"/>
              <w:left w:val="nil"/>
              <w:bottom w:val="nil"/>
              <w:right w:val="single" w:sz="8" w:space="0" w:color="auto"/>
            </w:tcBorders>
            <w:shd w:val="clear" w:color="000000" w:fill="FFFFFF"/>
          </w:tcPr>
          <w:p w14:paraId="16C1324C" w14:textId="5CAC8311" w:rsidR="00BE3D17" w:rsidRPr="00BE3D17" w:rsidRDefault="00BE3D17" w:rsidP="00EC3361">
            <w:pPr>
              <w:jc w:val="right"/>
              <w:rPr>
                <w:color w:val="000000"/>
                <w:sz w:val="20"/>
                <w:szCs w:val="20"/>
                <w:lang w:eastAsia="en-GB"/>
              </w:rPr>
            </w:pPr>
            <w:r w:rsidRPr="00BE3D17">
              <w:rPr>
                <w:sz w:val="20"/>
                <w:szCs w:val="20"/>
              </w:rPr>
              <w:t>(8.9)</w:t>
            </w:r>
          </w:p>
        </w:tc>
        <w:tc>
          <w:tcPr>
            <w:tcW w:w="1050" w:type="dxa"/>
            <w:tcBorders>
              <w:top w:val="nil"/>
              <w:left w:val="nil"/>
              <w:bottom w:val="nil"/>
              <w:right w:val="single" w:sz="8" w:space="0" w:color="auto"/>
            </w:tcBorders>
            <w:shd w:val="clear" w:color="000000" w:fill="FFFFFF"/>
          </w:tcPr>
          <w:p w14:paraId="0CB344C3" w14:textId="1A9F1E54" w:rsidR="00BE3D17" w:rsidRPr="00BE3D17" w:rsidRDefault="00BE3D17" w:rsidP="00EC3361">
            <w:pPr>
              <w:jc w:val="right"/>
              <w:rPr>
                <w:color w:val="000000"/>
                <w:sz w:val="20"/>
                <w:szCs w:val="20"/>
                <w:lang w:eastAsia="en-GB"/>
              </w:rPr>
            </w:pPr>
            <w:r w:rsidRPr="00BE3D17">
              <w:rPr>
                <w:sz w:val="20"/>
                <w:szCs w:val="20"/>
              </w:rPr>
              <w:t>(8.9)</w:t>
            </w:r>
          </w:p>
        </w:tc>
      </w:tr>
      <w:tr w:rsidR="00BE3D17" w:rsidRPr="009C39EA" w14:paraId="21C7E7FE" w14:textId="77777777" w:rsidTr="00FB11B7">
        <w:trPr>
          <w:trHeight w:val="292"/>
        </w:trPr>
        <w:tc>
          <w:tcPr>
            <w:tcW w:w="3545" w:type="dxa"/>
            <w:tcBorders>
              <w:top w:val="nil"/>
              <w:left w:val="single" w:sz="8" w:space="0" w:color="auto"/>
              <w:bottom w:val="nil"/>
              <w:right w:val="single" w:sz="8" w:space="0" w:color="auto"/>
            </w:tcBorders>
            <w:shd w:val="clear" w:color="000000" w:fill="FFFFFF"/>
            <w:noWrap/>
            <w:vAlign w:val="bottom"/>
            <w:hideMark/>
          </w:tcPr>
          <w:p w14:paraId="41AA9CDD" w14:textId="2E830499" w:rsidR="00BE3D17" w:rsidRPr="00E41D09" w:rsidRDefault="00BE3D17" w:rsidP="00BE3D17">
            <w:pPr>
              <w:rPr>
                <w:sz w:val="20"/>
                <w:szCs w:val="20"/>
                <w:lang w:eastAsia="en-GB"/>
              </w:rPr>
            </w:pPr>
            <w:r w:rsidRPr="005432C2">
              <w:rPr>
                <w:sz w:val="20"/>
                <w:szCs w:val="20"/>
                <w:lang w:eastAsia="en-GB"/>
              </w:rPr>
              <w:t>Plus: Working capital</w:t>
            </w:r>
          </w:p>
        </w:tc>
        <w:tc>
          <w:tcPr>
            <w:tcW w:w="963" w:type="dxa"/>
            <w:tcBorders>
              <w:top w:val="nil"/>
              <w:left w:val="single" w:sz="8" w:space="0" w:color="auto"/>
              <w:bottom w:val="nil"/>
              <w:right w:val="nil"/>
            </w:tcBorders>
            <w:shd w:val="clear" w:color="000000" w:fill="FFFFFF"/>
            <w:hideMark/>
          </w:tcPr>
          <w:p w14:paraId="49509CA2" w14:textId="7807A107" w:rsidR="00BE3D17" w:rsidRPr="00BE3D17" w:rsidRDefault="00BE3D17" w:rsidP="00EC3361">
            <w:pPr>
              <w:jc w:val="right"/>
              <w:rPr>
                <w:color w:val="000000"/>
                <w:sz w:val="20"/>
                <w:szCs w:val="20"/>
                <w:lang w:eastAsia="en-GB"/>
              </w:rPr>
            </w:pPr>
            <w:r w:rsidRPr="00BE3D17">
              <w:rPr>
                <w:sz w:val="20"/>
                <w:szCs w:val="20"/>
              </w:rPr>
              <w:t>2.3</w:t>
            </w:r>
          </w:p>
        </w:tc>
        <w:tc>
          <w:tcPr>
            <w:tcW w:w="1050" w:type="dxa"/>
            <w:tcBorders>
              <w:top w:val="nil"/>
              <w:left w:val="single" w:sz="4" w:space="0" w:color="auto"/>
              <w:bottom w:val="nil"/>
              <w:right w:val="single" w:sz="4" w:space="0" w:color="auto"/>
            </w:tcBorders>
            <w:shd w:val="clear" w:color="000000" w:fill="FFFFFF"/>
            <w:hideMark/>
          </w:tcPr>
          <w:p w14:paraId="3495BE3B" w14:textId="00B5DADE" w:rsidR="00BE3D17" w:rsidRPr="00BE3D17" w:rsidRDefault="00BE3D17" w:rsidP="00EC3361">
            <w:pPr>
              <w:jc w:val="right"/>
              <w:rPr>
                <w:color w:val="000000"/>
                <w:sz w:val="20"/>
                <w:szCs w:val="20"/>
                <w:lang w:eastAsia="en-GB"/>
              </w:rPr>
            </w:pPr>
            <w:r w:rsidRPr="00BE3D17">
              <w:rPr>
                <w:sz w:val="20"/>
                <w:szCs w:val="20"/>
              </w:rPr>
              <w:t>2.0</w:t>
            </w:r>
          </w:p>
        </w:tc>
        <w:tc>
          <w:tcPr>
            <w:tcW w:w="1052" w:type="dxa"/>
            <w:tcBorders>
              <w:top w:val="nil"/>
              <w:left w:val="nil"/>
              <w:bottom w:val="nil"/>
              <w:right w:val="nil"/>
            </w:tcBorders>
            <w:shd w:val="clear" w:color="000000" w:fill="FFFFFF"/>
            <w:hideMark/>
          </w:tcPr>
          <w:p w14:paraId="6FAFACEE" w14:textId="427494A3" w:rsidR="00BE3D17" w:rsidRPr="00BE3D17" w:rsidRDefault="00BE3D17" w:rsidP="00EC3361">
            <w:pPr>
              <w:jc w:val="right"/>
              <w:rPr>
                <w:color w:val="000000"/>
                <w:sz w:val="20"/>
                <w:szCs w:val="20"/>
                <w:lang w:eastAsia="en-GB"/>
              </w:rPr>
            </w:pPr>
            <w:r w:rsidRPr="00BE3D17">
              <w:rPr>
                <w:sz w:val="20"/>
                <w:szCs w:val="20"/>
              </w:rPr>
              <w:t>2.0</w:t>
            </w:r>
          </w:p>
        </w:tc>
        <w:tc>
          <w:tcPr>
            <w:tcW w:w="1055" w:type="dxa"/>
            <w:tcBorders>
              <w:top w:val="nil"/>
              <w:left w:val="single" w:sz="4" w:space="0" w:color="auto"/>
              <w:bottom w:val="nil"/>
              <w:right w:val="single" w:sz="4" w:space="0" w:color="auto"/>
            </w:tcBorders>
            <w:shd w:val="clear" w:color="000000" w:fill="FFFFFF"/>
            <w:hideMark/>
          </w:tcPr>
          <w:p w14:paraId="418A1BF3" w14:textId="2B0128FC" w:rsidR="00BE3D17" w:rsidRPr="00BE3D17" w:rsidRDefault="00BE3D17" w:rsidP="00EC3361">
            <w:pPr>
              <w:jc w:val="right"/>
              <w:rPr>
                <w:color w:val="000000"/>
                <w:sz w:val="20"/>
                <w:szCs w:val="20"/>
                <w:lang w:eastAsia="en-GB"/>
              </w:rPr>
            </w:pPr>
            <w:r w:rsidRPr="00BE3D17">
              <w:rPr>
                <w:sz w:val="20"/>
                <w:szCs w:val="20"/>
              </w:rPr>
              <w:t>2.0</w:t>
            </w:r>
          </w:p>
        </w:tc>
        <w:tc>
          <w:tcPr>
            <w:tcW w:w="1055" w:type="dxa"/>
            <w:tcBorders>
              <w:top w:val="nil"/>
              <w:left w:val="nil"/>
              <w:bottom w:val="nil"/>
              <w:right w:val="single" w:sz="8" w:space="0" w:color="auto"/>
            </w:tcBorders>
            <w:shd w:val="clear" w:color="000000" w:fill="FFFFFF"/>
            <w:hideMark/>
          </w:tcPr>
          <w:p w14:paraId="6A5F0BEC" w14:textId="72774416" w:rsidR="00BE3D17" w:rsidRPr="00BE3D17" w:rsidRDefault="00BE3D17" w:rsidP="00EC3361">
            <w:pPr>
              <w:jc w:val="right"/>
              <w:rPr>
                <w:color w:val="000000"/>
                <w:sz w:val="20"/>
                <w:szCs w:val="20"/>
                <w:lang w:eastAsia="en-GB"/>
              </w:rPr>
            </w:pPr>
            <w:r w:rsidRPr="00BE3D17">
              <w:rPr>
                <w:sz w:val="20"/>
                <w:szCs w:val="20"/>
              </w:rPr>
              <w:t>2.0</w:t>
            </w:r>
          </w:p>
        </w:tc>
        <w:tc>
          <w:tcPr>
            <w:tcW w:w="1050" w:type="dxa"/>
            <w:tcBorders>
              <w:top w:val="nil"/>
              <w:left w:val="nil"/>
              <w:bottom w:val="nil"/>
              <w:right w:val="single" w:sz="8" w:space="0" w:color="auto"/>
            </w:tcBorders>
            <w:shd w:val="clear" w:color="000000" w:fill="FFFFFF"/>
          </w:tcPr>
          <w:p w14:paraId="5B5943FC" w14:textId="04990A7C" w:rsidR="00BE3D17" w:rsidRPr="00BE3D17" w:rsidRDefault="00BE3D17" w:rsidP="00EC3361">
            <w:pPr>
              <w:jc w:val="right"/>
              <w:rPr>
                <w:sz w:val="20"/>
                <w:szCs w:val="20"/>
              </w:rPr>
            </w:pPr>
            <w:r w:rsidRPr="00BE3D17">
              <w:rPr>
                <w:sz w:val="20"/>
                <w:szCs w:val="20"/>
              </w:rPr>
              <w:t>2.0</w:t>
            </w:r>
          </w:p>
        </w:tc>
        <w:tc>
          <w:tcPr>
            <w:tcW w:w="1050" w:type="dxa"/>
            <w:tcBorders>
              <w:top w:val="nil"/>
              <w:left w:val="nil"/>
              <w:bottom w:val="nil"/>
              <w:right w:val="single" w:sz="8" w:space="0" w:color="auto"/>
            </w:tcBorders>
            <w:shd w:val="clear" w:color="000000" w:fill="FFFFFF"/>
          </w:tcPr>
          <w:p w14:paraId="0A91FFEE" w14:textId="26C1DEFC" w:rsidR="00BE3D17" w:rsidRPr="00BE3D17" w:rsidRDefault="00BE3D17" w:rsidP="00EC3361">
            <w:pPr>
              <w:jc w:val="right"/>
              <w:rPr>
                <w:sz w:val="20"/>
                <w:szCs w:val="20"/>
              </w:rPr>
            </w:pPr>
            <w:r w:rsidRPr="00BE3D17">
              <w:rPr>
                <w:sz w:val="20"/>
                <w:szCs w:val="20"/>
              </w:rPr>
              <w:t>2.0</w:t>
            </w:r>
          </w:p>
        </w:tc>
        <w:tc>
          <w:tcPr>
            <w:tcW w:w="1055" w:type="dxa"/>
            <w:tcBorders>
              <w:top w:val="nil"/>
              <w:left w:val="nil"/>
              <w:bottom w:val="nil"/>
              <w:right w:val="single" w:sz="8" w:space="0" w:color="auto"/>
            </w:tcBorders>
            <w:shd w:val="clear" w:color="000000" w:fill="FFFFFF"/>
          </w:tcPr>
          <w:p w14:paraId="1E13F7B9" w14:textId="2FB38C9B" w:rsidR="00BE3D17" w:rsidRPr="00BE3D17" w:rsidRDefault="00BE3D17" w:rsidP="00EC3361">
            <w:pPr>
              <w:jc w:val="right"/>
              <w:rPr>
                <w:sz w:val="20"/>
                <w:szCs w:val="20"/>
              </w:rPr>
            </w:pPr>
            <w:r w:rsidRPr="00BE3D17">
              <w:rPr>
                <w:sz w:val="20"/>
                <w:szCs w:val="20"/>
              </w:rPr>
              <w:t>2.0</w:t>
            </w:r>
          </w:p>
        </w:tc>
        <w:tc>
          <w:tcPr>
            <w:tcW w:w="1050" w:type="dxa"/>
            <w:tcBorders>
              <w:top w:val="nil"/>
              <w:left w:val="nil"/>
              <w:bottom w:val="nil"/>
              <w:right w:val="single" w:sz="8" w:space="0" w:color="auto"/>
            </w:tcBorders>
            <w:shd w:val="clear" w:color="000000" w:fill="FFFFFF"/>
          </w:tcPr>
          <w:p w14:paraId="7F1338C3" w14:textId="4624CE60" w:rsidR="00BE3D17" w:rsidRPr="00BE3D17" w:rsidRDefault="00BE3D17" w:rsidP="00EC3361">
            <w:pPr>
              <w:jc w:val="right"/>
              <w:rPr>
                <w:sz w:val="20"/>
                <w:szCs w:val="20"/>
              </w:rPr>
            </w:pPr>
            <w:r w:rsidRPr="00BE3D17">
              <w:rPr>
                <w:sz w:val="20"/>
                <w:szCs w:val="20"/>
              </w:rPr>
              <w:t>2.0</w:t>
            </w:r>
          </w:p>
        </w:tc>
        <w:tc>
          <w:tcPr>
            <w:tcW w:w="1050" w:type="dxa"/>
            <w:tcBorders>
              <w:top w:val="nil"/>
              <w:left w:val="nil"/>
              <w:bottom w:val="nil"/>
              <w:right w:val="single" w:sz="8" w:space="0" w:color="auto"/>
            </w:tcBorders>
            <w:shd w:val="clear" w:color="000000" w:fill="FFFFFF"/>
          </w:tcPr>
          <w:p w14:paraId="1F7598C3" w14:textId="71D9722A" w:rsidR="00BE3D17" w:rsidRPr="00BE3D17" w:rsidRDefault="00BE3D17" w:rsidP="00EC3361">
            <w:pPr>
              <w:jc w:val="right"/>
              <w:rPr>
                <w:sz w:val="20"/>
                <w:szCs w:val="20"/>
              </w:rPr>
            </w:pPr>
            <w:r w:rsidRPr="00BE3D17">
              <w:rPr>
                <w:sz w:val="20"/>
                <w:szCs w:val="20"/>
              </w:rPr>
              <w:t>2.0</w:t>
            </w:r>
          </w:p>
        </w:tc>
        <w:tc>
          <w:tcPr>
            <w:tcW w:w="1050" w:type="dxa"/>
            <w:tcBorders>
              <w:top w:val="nil"/>
              <w:left w:val="nil"/>
              <w:bottom w:val="nil"/>
              <w:right w:val="single" w:sz="8" w:space="0" w:color="auto"/>
            </w:tcBorders>
            <w:shd w:val="clear" w:color="000000" w:fill="FFFFFF"/>
          </w:tcPr>
          <w:p w14:paraId="7D72377E" w14:textId="4794D3B8" w:rsidR="00BE3D17" w:rsidRPr="00BE3D17" w:rsidRDefault="00BE3D17" w:rsidP="00EC3361">
            <w:pPr>
              <w:jc w:val="right"/>
              <w:rPr>
                <w:sz w:val="20"/>
                <w:szCs w:val="20"/>
              </w:rPr>
            </w:pPr>
            <w:r w:rsidRPr="00BE3D17">
              <w:rPr>
                <w:sz w:val="20"/>
                <w:szCs w:val="20"/>
              </w:rPr>
              <w:t>2.0</w:t>
            </w:r>
          </w:p>
        </w:tc>
      </w:tr>
      <w:tr w:rsidR="00BE3D17" w:rsidRPr="009C39EA" w14:paraId="5B3EE174" w14:textId="77777777" w:rsidTr="00FB11B7">
        <w:trPr>
          <w:trHeight w:val="246"/>
        </w:trPr>
        <w:tc>
          <w:tcPr>
            <w:tcW w:w="3545" w:type="dxa"/>
            <w:tcBorders>
              <w:top w:val="nil"/>
              <w:left w:val="single" w:sz="8" w:space="0" w:color="auto"/>
              <w:bottom w:val="nil"/>
              <w:right w:val="single" w:sz="8" w:space="0" w:color="auto"/>
            </w:tcBorders>
            <w:shd w:val="clear" w:color="000000" w:fill="FFFFFF"/>
            <w:noWrap/>
            <w:vAlign w:val="bottom"/>
            <w:hideMark/>
          </w:tcPr>
          <w:p w14:paraId="0D1BC1A2" w14:textId="216EB7DB" w:rsidR="00BE3D17" w:rsidRPr="00E41D09" w:rsidRDefault="00BE3D17" w:rsidP="00BE3D17">
            <w:pPr>
              <w:rPr>
                <w:sz w:val="20"/>
                <w:szCs w:val="20"/>
                <w:lang w:eastAsia="en-GB"/>
              </w:rPr>
            </w:pPr>
            <w:r w:rsidRPr="005432C2">
              <w:rPr>
                <w:sz w:val="20"/>
                <w:szCs w:val="20"/>
                <w:lang w:eastAsia="en-GB"/>
              </w:rPr>
              <w:t>Plus: Minimum investments</w:t>
            </w:r>
            <w:r>
              <w:rPr>
                <w:sz w:val="20"/>
                <w:szCs w:val="20"/>
                <w:lang w:eastAsia="en-GB"/>
              </w:rPr>
              <w:t xml:space="preserve"> </w:t>
            </w:r>
            <w:r w:rsidRPr="00E41D09">
              <w:rPr>
                <w:b/>
                <w:sz w:val="20"/>
                <w:szCs w:val="20"/>
                <w:lang w:eastAsia="en-GB"/>
              </w:rPr>
              <w:t>¹</w:t>
            </w:r>
          </w:p>
        </w:tc>
        <w:tc>
          <w:tcPr>
            <w:tcW w:w="963" w:type="dxa"/>
            <w:tcBorders>
              <w:top w:val="nil"/>
              <w:left w:val="single" w:sz="8" w:space="0" w:color="auto"/>
              <w:bottom w:val="nil"/>
              <w:right w:val="nil"/>
            </w:tcBorders>
            <w:shd w:val="clear" w:color="000000" w:fill="FFFFFF"/>
            <w:hideMark/>
          </w:tcPr>
          <w:p w14:paraId="7CE02CD4" w14:textId="7AB28468" w:rsidR="00BE3D17" w:rsidRPr="00BE3D17" w:rsidRDefault="00BE3D17" w:rsidP="00EC3361">
            <w:pPr>
              <w:jc w:val="right"/>
              <w:rPr>
                <w:color w:val="000000"/>
                <w:sz w:val="20"/>
                <w:szCs w:val="20"/>
                <w:lang w:eastAsia="en-GB"/>
              </w:rPr>
            </w:pPr>
            <w:r w:rsidRPr="00BE3D17">
              <w:rPr>
                <w:sz w:val="20"/>
                <w:szCs w:val="20"/>
              </w:rPr>
              <w:t>10.0</w:t>
            </w:r>
          </w:p>
        </w:tc>
        <w:tc>
          <w:tcPr>
            <w:tcW w:w="1050" w:type="dxa"/>
            <w:tcBorders>
              <w:top w:val="nil"/>
              <w:left w:val="single" w:sz="4" w:space="0" w:color="auto"/>
              <w:bottom w:val="nil"/>
              <w:right w:val="single" w:sz="4" w:space="0" w:color="auto"/>
            </w:tcBorders>
            <w:shd w:val="clear" w:color="000000" w:fill="FFFFFF"/>
            <w:hideMark/>
          </w:tcPr>
          <w:p w14:paraId="3F24BE12" w14:textId="4D67DBB7" w:rsidR="00BE3D17" w:rsidRPr="00BE3D17" w:rsidRDefault="00BE3D17" w:rsidP="00EC3361">
            <w:pPr>
              <w:jc w:val="right"/>
              <w:rPr>
                <w:color w:val="000000"/>
                <w:sz w:val="20"/>
                <w:szCs w:val="20"/>
                <w:lang w:eastAsia="en-GB"/>
              </w:rPr>
            </w:pPr>
            <w:r w:rsidRPr="00BE3D17">
              <w:rPr>
                <w:sz w:val="20"/>
                <w:szCs w:val="20"/>
              </w:rPr>
              <w:t>10.0</w:t>
            </w:r>
          </w:p>
        </w:tc>
        <w:tc>
          <w:tcPr>
            <w:tcW w:w="1052" w:type="dxa"/>
            <w:tcBorders>
              <w:top w:val="nil"/>
              <w:left w:val="nil"/>
              <w:bottom w:val="nil"/>
              <w:right w:val="nil"/>
            </w:tcBorders>
            <w:shd w:val="clear" w:color="000000" w:fill="FFFFFF"/>
            <w:hideMark/>
          </w:tcPr>
          <w:p w14:paraId="7F9C9885" w14:textId="4A41A901" w:rsidR="00BE3D17" w:rsidRPr="00BE3D17" w:rsidRDefault="00BE3D17" w:rsidP="00EC3361">
            <w:pPr>
              <w:jc w:val="right"/>
              <w:rPr>
                <w:color w:val="000000"/>
                <w:sz w:val="20"/>
                <w:szCs w:val="20"/>
                <w:lang w:eastAsia="en-GB"/>
              </w:rPr>
            </w:pPr>
            <w:r w:rsidRPr="00BE3D17">
              <w:rPr>
                <w:sz w:val="20"/>
                <w:szCs w:val="20"/>
              </w:rPr>
              <w:t>10.0</w:t>
            </w:r>
          </w:p>
        </w:tc>
        <w:tc>
          <w:tcPr>
            <w:tcW w:w="1055" w:type="dxa"/>
            <w:tcBorders>
              <w:top w:val="nil"/>
              <w:left w:val="single" w:sz="4" w:space="0" w:color="auto"/>
              <w:bottom w:val="nil"/>
              <w:right w:val="single" w:sz="4" w:space="0" w:color="auto"/>
            </w:tcBorders>
            <w:shd w:val="clear" w:color="000000" w:fill="FFFFFF"/>
            <w:hideMark/>
          </w:tcPr>
          <w:p w14:paraId="35941A4E" w14:textId="3D791289" w:rsidR="00BE3D17" w:rsidRPr="00BE3D17" w:rsidRDefault="00BE3D17" w:rsidP="00EC3361">
            <w:pPr>
              <w:jc w:val="right"/>
              <w:rPr>
                <w:color w:val="000000"/>
                <w:sz w:val="20"/>
                <w:szCs w:val="20"/>
                <w:lang w:eastAsia="en-GB"/>
              </w:rPr>
            </w:pPr>
            <w:r w:rsidRPr="00BE3D17">
              <w:rPr>
                <w:sz w:val="20"/>
                <w:szCs w:val="20"/>
              </w:rPr>
              <w:t>10.0</w:t>
            </w:r>
          </w:p>
        </w:tc>
        <w:tc>
          <w:tcPr>
            <w:tcW w:w="1055" w:type="dxa"/>
            <w:tcBorders>
              <w:top w:val="nil"/>
              <w:left w:val="nil"/>
              <w:bottom w:val="nil"/>
              <w:right w:val="single" w:sz="8" w:space="0" w:color="auto"/>
            </w:tcBorders>
            <w:shd w:val="clear" w:color="000000" w:fill="FFFFFF"/>
            <w:hideMark/>
          </w:tcPr>
          <w:p w14:paraId="0DC20312" w14:textId="7C5A4FFE" w:rsidR="00BE3D17" w:rsidRPr="00BE3D17" w:rsidRDefault="00BE3D17" w:rsidP="00EC3361">
            <w:pPr>
              <w:jc w:val="right"/>
              <w:rPr>
                <w:color w:val="000000"/>
                <w:sz w:val="20"/>
                <w:szCs w:val="20"/>
                <w:lang w:eastAsia="en-GB"/>
              </w:rPr>
            </w:pPr>
            <w:r w:rsidRPr="00BE3D17">
              <w:rPr>
                <w:sz w:val="20"/>
                <w:szCs w:val="20"/>
              </w:rPr>
              <w:t>10.0</w:t>
            </w:r>
          </w:p>
        </w:tc>
        <w:tc>
          <w:tcPr>
            <w:tcW w:w="1050" w:type="dxa"/>
            <w:tcBorders>
              <w:top w:val="nil"/>
              <w:left w:val="nil"/>
              <w:bottom w:val="nil"/>
              <w:right w:val="single" w:sz="8" w:space="0" w:color="auto"/>
            </w:tcBorders>
            <w:shd w:val="clear" w:color="000000" w:fill="FFFFFF"/>
          </w:tcPr>
          <w:p w14:paraId="66FC901F" w14:textId="4E197597" w:rsidR="00BE3D17" w:rsidRPr="00BE3D17" w:rsidRDefault="00BE3D17" w:rsidP="00EC3361">
            <w:pPr>
              <w:jc w:val="right"/>
              <w:rPr>
                <w:sz w:val="20"/>
                <w:szCs w:val="20"/>
              </w:rPr>
            </w:pPr>
            <w:r w:rsidRPr="00BE3D17">
              <w:rPr>
                <w:sz w:val="20"/>
                <w:szCs w:val="20"/>
              </w:rPr>
              <w:t>10.0</w:t>
            </w:r>
          </w:p>
        </w:tc>
        <w:tc>
          <w:tcPr>
            <w:tcW w:w="1050" w:type="dxa"/>
            <w:tcBorders>
              <w:top w:val="nil"/>
              <w:left w:val="nil"/>
              <w:bottom w:val="nil"/>
              <w:right w:val="single" w:sz="8" w:space="0" w:color="auto"/>
            </w:tcBorders>
            <w:shd w:val="clear" w:color="000000" w:fill="FFFFFF"/>
          </w:tcPr>
          <w:p w14:paraId="0231D327" w14:textId="25C0B39A" w:rsidR="00BE3D17" w:rsidRPr="00BE3D17" w:rsidRDefault="00BE3D17" w:rsidP="00EC3361">
            <w:pPr>
              <w:jc w:val="right"/>
              <w:rPr>
                <w:sz w:val="20"/>
                <w:szCs w:val="20"/>
              </w:rPr>
            </w:pPr>
            <w:r w:rsidRPr="00BE3D17">
              <w:rPr>
                <w:sz w:val="20"/>
                <w:szCs w:val="20"/>
              </w:rPr>
              <w:t>10.0</w:t>
            </w:r>
          </w:p>
        </w:tc>
        <w:tc>
          <w:tcPr>
            <w:tcW w:w="1055" w:type="dxa"/>
            <w:tcBorders>
              <w:top w:val="nil"/>
              <w:left w:val="nil"/>
              <w:bottom w:val="nil"/>
              <w:right w:val="single" w:sz="8" w:space="0" w:color="auto"/>
            </w:tcBorders>
            <w:shd w:val="clear" w:color="000000" w:fill="FFFFFF"/>
          </w:tcPr>
          <w:p w14:paraId="4C7E2322" w14:textId="3F9D8E6D" w:rsidR="00BE3D17" w:rsidRPr="00BE3D17" w:rsidRDefault="00BE3D17" w:rsidP="00EC3361">
            <w:pPr>
              <w:jc w:val="right"/>
              <w:rPr>
                <w:sz w:val="20"/>
                <w:szCs w:val="20"/>
              </w:rPr>
            </w:pPr>
            <w:r w:rsidRPr="00BE3D17">
              <w:rPr>
                <w:sz w:val="20"/>
                <w:szCs w:val="20"/>
              </w:rPr>
              <w:t>10.0</w:t>
            </w:r>
          </w:p>
        </w:tc>
        <w:tc>
          <w:tcPr>
            <w:tcW w:w="1050" w:type="dxa"/>
            <w:tcBorders>
              <w:top w:val="nil"/>
              <w:left w:val="nil"/>
              <w:bottom w:val="nil"/>
              <w:right w:val="single" w:sz="8" w:space="0" w:color="auto"/>
            </w:tcBorders>
            <w:shd w:val="clear" w:color="000000" w:fill="FFFFFF"/>
          </w:tcPr>
          <w:p w14:paraId="1E16B063" w14:textId="0258930D" w:rsidR="00BE3D17" w:rsidRPr="00BE3D17" w:rsidRDefault="00BE3D17" w:rsidP="00EC3361">
            <w:pPr>
              <w:jc w:val="right"/>
              <w:rPr>
                <w:sz w:val="20"/>
                <w:szCs w:val="20"/>
              </w:rPr>
            </w:pPr>
            <w:r w:rsidRPr="00BE3D17">
              <w:rPr>
                <w:sz w:val="20"/>
                <w:szCs w:val="20"/>
              </w:rPr>
              <w:t>10.0</w:t>
            </w:r>
          </w:p>
        </w:tc>
        <w:tc>
          <w:tcPr>
            <w:tcW w:w="1050" w:type="dxa"/>
            <w:tcBorders>
              <w:top w:val="nil"/>
              <w:left w:val="nil"/>
              <w:bottom w:val="nil"/>
              <w:right w:val="single" w:sz="8" w:space="0" w:color="auto"/>
            </w:tcBorders>
            <w:shd w:val="clear" w:color="000000" w:fill="FFFFFF"/>
          </w:tcPr>
          <w:p w14:paraId="6779990F" w14:textId="03EC7CEA" w:rsidR="00BE3D17" w:rsidRPr="00BE3D17" w:rsidRDefault="00BE3D17" w:rsidP="00EC3361">
            <w:pPr>
              <w:jc w:val="right"/>
              <w:rPr>
                <w:sz w:val="20"/>
                <w:szCs w:val="20"/>
              </w:rPr>
            </w:pPr>
            <w:r w:rsidRPr="00BE3D17">
              <w:rPr>
                <w:sz w:val="20"/>
                <w:szCs w:val="20"/>
              </w:rPr>
              <w:t>10.0</w:t>
            </w:r>
          </w:p>
        </w:tc>
        <w:tc>
          <w:tcPr>
            <w:tcW w:w="1050" w:type="dxa"/>
            <w:tcBorders>
              <w:top w:val="nil"/>
              <w:left w:val="nil"/>
              <w:bottom w:val="nil"/>
              <w:right w:val="single" w:sz="8" w:space="0" w:color="auto"/>
            </w:tcBorders>
            <w:shd w:val="clear" w:color="000000" w:fill="FFFFFF"/>
          </w:tcPr>
          <w:p w14:paraId="3EF1BF26" w14:textId="42A59866" w:rsidR="00BE3D17" w:rsidRPr="00BE3D17" w:rsidRDefault="00BE3D17" w:rsidP="00EC3361">
            <w:pPr>
              <w:jc w:val="right"/>
              <w:rPr>
                <w:sz w:val="20"/>
                <w:szCs w:val="20"/>
              </w:rPr>
            </w:pPr>
            <w:r w:rsidRPr="00BE3D17">
              <w:rPr>
                <w:sz w:val="20"/>
                <w:szCs w:val="20"/>
              </w:rPr>
              <w:t>10.0</w:t>
            </w:r>
          </w:p>
        </w:tc>
      </w:tr>
      <w:tr w:rsidR="00BE3D17" w:rsidRPr="005432C2" w14:paraId="4A2E2AF7" w14:textId="77777777" w:rsidTr="00FB11B7">
        <w:trPr>
          <w:trHeight w:val="276"/>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F010F" w14:textId="6AE4776A" w:rsidR="00BE3D17" w:rsidRPr="00E41D09" w:rsidRDefault="00BE3D17" w:rsidP="00BE3D17">
            <w:pPr>
              <w:rPr>
                <w:b/>
                <w:bCs/>
                <w:color w:val="000000"/>
                <w:sz w:val="20"/>
                <w:szCs w:val="20"/>
                <w:lang w:eastAsia="en-GB"/>
              </w:rPr>
            </w:pPr>
            <w:r w:rsidRPr="005432C2">
              <w:rPr>
                <w:b/>
                <w:bCs/>
                <w:color w:val="000000"/>
                <w:sz w:val="20"/>
                <w:szCs w:val="20"/>
                <w:lang w:eastAsia="en-GB"/>
              </w:rPr>
              <w:t>Liability Benchmark</w:t>
            </w:r>
          </w:p>
        </w:tc>
        <w:tc>
          <w:tcPr>
            <w:tcW w:w="963" w:type="dxa"/>
            <w:tcBorders>
              <w:top w:val="single" w:sz="8" w:space="0" w:color="auto"/>
              <w:left w:val="single" w:sz="8" w:space="0" w:color="auto"/>
              <w:bottom w:val="single" w:sz="8" w:space="0" w:color="auto"/>
              <w:right w:val="nil"/>
            </w:tcBorders>
            <w:shd w:val="clear" w:color="000000" w:fill="FFFFFF"/>
            <w:hideMark/>
          </w:tcPr>
          <w:p w14:paraId="6F9864D4" w14:textId="20E61B63" w:rsidR="00BE3D17" w:rsidRPr="00BE3D17" w:rsidRDefault="00BE3D17" w:rsidP="00EC3361">
            <w:pPr>
              <w:jc w:val="right"/>
              <w:rPr>
                <w:b/>
                <w:bCs/>
                <w:color w:val="000000"/>
                <w:sz w:val="20"/>
                <w:szCs w:val="20"/>
                <w:lang w:eastAsia="en-GB"/>
              </w:rPr>
            </w:pPr>
            <w:r w:rsidRPr="00BE3D17">
              <w:rPr>
                <w:sz w:val="20"/>
                <w:szCs w:val="20"/>
              </w:rPr>
              <w:t>15.5</w:t>
            </w:r>
          </w:p>
        </w:tc>
        <w:tc>
          <w:tcPr>
            <w:tcW w:w="1050" w:type="dxa"/>
            <w:tcBorders>
              <w:top w:val="single" w:sz="8" w:space="0" w:color="auto"/>
              <w:left w:val="single" w:sz="4" w:space="0" w:color="auto"/>
              <w:bottom w:val="single" w:sz="8" w:space="0" w:color="auto"/>
              <w:right w:val="single" w:sz="4" w:space="0" w:color="auto"/>
            </w:tcBorders>
            <w:shd w:val="clear" w:color="000000" w:fill="FFFFFF"/>
            <w:hideMark/>
          </w:tcPr>
          <w:p w14:paraId="446104B0" w14:textId="6ACEA204" w:rsidR="00BE3D17" w:rsidRPr="00BE3D17" w:rsidRDefault="00BE3D17" w:rsidP="00EC3361">
            <w:pPr>
              <w:jc w:val="right"/>
              <w:rPr>
                <w:b/>
                <w:bCs/>
                <w:color w:val="000000"/>
                <w:sz w:val="20"/>
                <w:szCs w:val="20"/>
                <w:lang w:eastAsia="en-GB"/>
              </w:rPr>
            </w:pPr>
            <w:r w:rsidRPr="00BE3D17">
              <w:rPr>
                <w:sz w:val="20"/>
                <w:szCs w:val="20"/>
              </w:rPr>
              <w:t>20.1</w:t>
            </w:r>
          </w:p>
        </w:tc>
        <w:tc>
          <w:tcPr>
            <w:tcW w:w="1052" w:type="dxa"/>
            <w:tcBorders>
              <w:top w:val="single" w:sz="8" w:space="0" w:color="auto"/>
              <w:left w:val="nil"/>
              <w:bottom w:val="single" w:sz="8" w:space="0" w:color="auto"/>
              <w:right w:val="nil"/>
            </w:tcBorders>
            <w:shd w:val="clear" w:color="000000" w:fill="FFFFFF"/>
            <w:hideMark/>
          </w:tcPr>
          <w:p w14:paraId="58FDAE86" w14:textId="390BC394" w:rsidR="00BE3D17" w:rsidRPr="00BE3D17" w:rsidRDefault="00BE3D17" w:rsidP="00EC3361">
            <w:pPr>
              <w:jc w:val="right"/>
              <w:rPr>
                <w:b/>
                <w:bCs/>
                <w:color w:val="000000"/>
                <w:sz w:val="20"/>
                <w:szCs w:val="20"/>
                <w:lang w:eastAsia="en-GB"/>
              </w:rPr>
            </w:pPr>
            <w:r w:rsidRPr="00BE3D17">
              <w:rPr>
                <w:sz w:val="20"/>
                <w:szCs w:val="20"/>
              </w:rPr>
              <w:t>23.7</w:t>
            </w:r>
          </w:p>
        </w:tc>
        <w:tc>
          <w:tcPr>
            <w:tcW w:w="1055" w:type="dxa"/>
            <w:tcBorders>
              <w:top w:val="single" w:sz="8" w:space="0" w:color="auto"/>
              <w:left w:val="single" w:sz="4" w:space="0" w:color="auto"/>
              <w:bottom w:val="single" w:sz="8" w:space="0" w:color="auto"/>
              <w:right w:val="single" w:sz="4" w:space="0" w:color="auto"/>
            </w:tcBorders>
            <w:shd w:val="clear" w:color="000000" w:fill="FFFFFF"/>
            <w:hideMark/>
          </w:tcPr>
          <w:p w14:paraId="171D3BAD" w14:textId="1EF85F0B" w:rsidR="00BE3D17" w:rsidRPr="00BE3D17" w:rsidRDefault="00BE3D17" w:rsidP="00EC3361">
            <w:pPr>
              <w:jc w:val="right"/>
              <w:rPr>
                <w:b/>
                <w:bCs/>
                <w:color w:val="000000"/>
                <w:sz w:val="20"/>
                <w:szCs w:val="20"/>
                <w:lang w:eastAsia="en-GB"/>
              </w:rPr>
            </w:pPr>
            <w:r w:rsidRPr="00BE3D17">
              <w:rPr>
                <w:sz w:val="20"/>
                <w:szCs w:val="20"/>
              </w:rPr>
              <w:t>29.2</w:t>
            </w:r>
          </w:p>
        </w:tc>
        <w:tc>
          <w:tcPr>
            <w:tcW w:w="1055" w:type="dxa"/>
            <w:tcBorders>
              <w:top w:val="single" w:sz="8" w:space="0" w:color="auto"/>
              <w:left w:val="nil"/>
              <w:bottom w:val="single" w:sz="8" w:space="0" w:color="auto"/>
              <w:right w:val="single" w:sz="8" w:space="0" w:color="auto"/>
            </w:tcBorders>
            <w:shd w:val="clear" w:color="000000" w:fill="FFFFFF"/>
            <w:hideMark/>
          </w:tcPr>
          <w:p w14:paraId="57870C07" w14:textId="25820826" w:rsidR="00BE3D17" w:rsidRPr="00BE3D17" w:rsidRDefault="00BE3D17" w:rsidP="00EC3361">
            <w:pPr>
              <w:jc w:val="right"/>
              <w:rPr>
                <w:b/>
                <w:bCs/>
                <w:color w:val="000000"/>
                <w:sz w:val="20"/>
                <w:szCs w:val="20"/>
                <w:lang w:eastAsia="en-GB"/>
              </w:rPr>
            </w:pPr>
            <w:r w:rsidRPr="00BE3D17">
              <w:rPr>
                <w:sz w:val="20"/>
                <w:szCs w:val="20"/>
              </w:rPr>
              <w:t>40.9</w:t>
            </w:r>
          </w:p>
        </w:tc>
        <w:tc>
          <w:tcPr>
            <w:tcW w:w="1050" w:type="dxa"/>
            <w:tcBorders>
              <w:top w:val="single" w:sz="8" w:space="0" w:color="auto"/>
              <w:left w:val="nil"/>
              <w:bottom w:val="single" w:sz="8" w:space="0" w:color="auto"/>
              <w:right w:val="single" w:sz="8" w:space="0" w:color="auto"/>
            </w:tcBorders>
            <w:shd w:val="clear" w:color="000000" w:fill="FFFFFF"/>
          </w:tcPr>
          <w:p w14:paraId="72E53A83" w14:textId="1BF778F4" w:rsidR="00BE3D17" w:rsidRPr="00BE3D17" w:rsidRDefault="00BE3D17" w:rsidP="00EC3361">
            <w:pPr>
              <w:jc w:val="right"/>
              <w:rPr>
                <w:b/>
                <w:bCs/>
                <w:sz w:val="20"/>
                <w:szCs w:val="20"/>
              </w:rPr>
            </w:pPr>
            <w:r w:rsidRPr="00BE3D17">
              <w:rPr>
                <w:sz w:val="20"/>
                <w:szCs w:val="20"/>
              </w:rPr>
              <w:t>36.2</w:t>
            </w:r>
          </w:p>
        </w:tc>
        <w:tc>
          <w:tcPr>
            <w:tcW w:w="1050" w:type="dxa"/>
            <w:tcBorders>
              <w:top w:val="single" w:sz="8" w:space="0" w:color="auto"/>
              <w:left w:val="nil"/>
              <w:bottom w:val="single" w:sz="8" w:space="0" w:color="auto"/>
              <w:right w:val="single" w:sz="8" w:space="0" w:color="auto"/>
            </w:tcBorders>
            <w:shd w:val="clear" w:color="000000" w:fill="FFFFFF"/>
          </w:tcPr>
          <w:p w14:paraId="5F02A8DA" w14:textId="7E670BE2" w:rsidR="00BE3D17" w:rsidRPr="00BE3D17" w:rsidRDefault="00BE3D17" w:rsidP="00EC3361">
            <w:pPr>
              <w:jc w:val="right"/>
              <w:rPr>
                <w:b/>
                <w:bCs/>
                <w:sz w:val="20"/>
                <w:szCs w:val="20"/>
              </w:rPr>
            </w:pPr>
            <w:r w:rsidRPr="00BE3D17">
              <w:rPr>
                <w:sz w:val="20"/>
                <w:szCs w:val="20"/>
              </w:rPr>
              <w:t>32.0</w:t>
            </w:r>
          </w:p>
        </w:tc>
        <w:tc>
          <w:tcPr>
            <w:tcW w:w="1055" w:type="dxa"/>
            <w:tcBorders>
              <w:top w:val="single" w:sz="8" w:space="0" w:color="auto"/>
              <w:left w:val="nil"/>
              <w:bottom w:val="single" w:sz="8" w:space="0" w:color="auto"/>
              <w:right w:val="single" w:sz="8" w:space="0" w:color="auto"/>
            </w:tcBorders>
            <w:shd w:val="clear" w:color="000000" w:fill="FFFFFF"/>
          </w:tcPr>
          <w:p w14:paraId="04149761" w14:textId="77DD4249" w:rsidR="00BE3D17" w:rsidRPr="00BE3D17" w:rsidRDefault="00BE3D17" w:rsidP="00EC3361">
            <w:pPr>
              <w:jc w:val="right"/>
              <w:rPr>
                <w:b/>
                <w:bCs/>
                <w:sz w:val="20"/>
                <w:szCs w:val="20"/>
              </w:rPr>
            </w:pPr>
            <w:r w:rsidRPr="00BE3D17">
              <w:rPr>
                <w:sz w:val="20"/>
                <w:szCs w:val="20"/>
              </w:rPr>
              <w:t>27.9</w:t>
            </w:r>
          </w:p>
        </w:tc>
        <w:tc>
          <w:tcPr>
            <w:tcW w:w="1050" w:type="dxa"/>
            <w:tcBorders>
              <w:top w:val="single" w:sz="8" w:space="0" w:color="auto"/>
              <w:left w:val="nil"/>
              <w:bottom w:val="single" w:sz="8" w:space="0" w:color="auto"/>
              <w:right w:val="single" w:sz="8" w:space="0" w:color="auto"/>
            </w:tcBorders>
            <w:shd w:val="clear" w:color="000000" w:fill="FFFFFF"/>
          </w:tcPr>
          <w:p w14:paraId="25001219" w14:textId="342735F4" w:rsidR="00BE3D17" w:rsidRPr="00BE3D17" w:rsidRDefault="00BE3D17" w:rsidP="00EC3361">
            <w:pPr>
              <w:jc w:val="right"/>
              <w:rPr>
                <w:b/>
                <w:bCs/>
                <w:sz w:val="20"/>
                <w:szCs w:val="20"/>
              </w:rPr>
            </w:pPr>
            <w:r w:rsidRPr="00BE3D17">
              <w:rPr>
                <w:sz w:val="20"/>
                <w:szCs w:val="20"/>
              </w:rPr>
              <w:t>24.0</w:t>
            </w:r>
          </w:p>
        </w:tc>
        <w:tc>
          <w:tcPr>
            <w:tcW w:w="1050" w:type="dxa"/>
            <w:tcBorders>
              <w:top w:val="single" w:sz="8" w:space="0" w:color="auto"/>
              <w:left w:val="nil"/>
              <w:bottom w:val="single" w:sz="8" w:space="0" w:color="auto"/>
              <w:right w:val="single" w:sz="8" w:space="0" w:color="auto"/>
            </w:tcBorders>
            <w:shd w:val="clear" w:color="000000" w:fill="FFFFFF"/>
          </w:tcPr>
          <w:p w14:paraId="0EC302DB" w14:textId="405F6EE0" w:rsidR="00BE3D17" w:rsidRPr="00BE3D17" w:rsidRDefault="00BE3D17" w:rsidP="00EC3361">
            <w:pPr>
              <w:jc w:val="right"/>
              <w:rPr>
                <w:b/>
                <w:bCs/>
                <w:sz w:val="20"/>
                <w:szCs w:val="20"/>
              </w:rPr>
            </w:pPr>
            <w:r w:rsidRPr="00BE3D17">
              <w:rPr>
                <w:sz w:val="20"/>
                <w:szCs w:val="20"/>
              </w:rPr>
              <w:t>20.6</w:t>
            </w:r>
          </w:p>
        </w:tc>
        <w:tc>
          <w:tcPr>
            <w:tcW w:w="1050" w:type="dxa"/>
            <w:tcBorders>
              <w:top w:val="single" w:sz="8" w:space="0" w:color="auto"/>
              <w:left w:val="nil"/>
              <w:bottom w:val="single" w:sz="8" w:space="0" w:color="auto"/>
              <w:right w:val="single" w:sz="8" w:space="0" w:color="auto"/>
            </w:tcBorders>
            <w:shd w:val="clear" w:color="000000" w:fill="FFFFFF"/>
          </w:tcPr>
          <w:p w14:paraId="6A5140C1" w14:textId="6F4514AB" w:rsidR="00BE3D17" w:rsidRPr="00BE3D17" w:rsidRDefault="00BE3D17" w:rsidP="00EC3361">
            <w:pPr>
              <w:jc w:val="right"/>
              <w:rPr>
                <w:b/>
                <w:bCs/>
                <w:sz w:val="20"/>
                <w:szCs w:val="20"/>
              </w:rPr>
            </w:pPr>
            <w:r w:rsidRPr="00BE3D17">
              <w:rPr>
                <w:sz w:val="20"/>
                <w:szCs w:val="20"/>
              </w:rPr>
              <w:t>17.9</w:t>
            </w:r>
          </w:p>
        </w:tc>
      </w:tr>
    </w:tbl>
    <w:p w14:paraId="58D2774C" w14:textId="77777777" w:rsidR="00326A29" w:rsidRDefault="00326A29" w:rsidP="0069258D">
      <w:pPr>
        <w:jc w:val="both"/>
        <w:rPr>
          <w:u w:val="single"/>
        </w:rPr>
      </w:pPr>
    </w:p>
    <w:p w14:paraId="6AD65C66" w14:textId="72F0A75F" w:rsidR="00EF3056" w:rsidRDefault="00EF3056" w:rsidP="00FE351D">
      <w:pPr>
        <w:pStyle w:val="ListParagraph"/>
        <w:spacing w:after="240"/>
        <w:ind w:left="425"/>
        <w:jc w:val="both"/>
      </w:pPr>
      <w:r>
        <w:t xml:space="preserve">The table above shows that the liability benchmark of the Authority could </w:t>
      </w:r>
      <w:r w:rsidRPr="001629F5">
        <w:t>increase to £</w:t>
      </w:r>
      <w:r w:rsidR="00BE3D17" w:rsidRPr="001629F5">
        <w:t>40</w:t>
      </w:r>
      <w:r w:rsidRPr="001629F5">
        <w:t>.</w:t>
      </w:r>
      <w:r w:rsidR="00BE3D17" w:rsidRPr="001629F5">
        <w:t>9</w:t>
      </w:r>
      <w:r w:rsidRPr="001629F5">
        <w:t>m by 2</w:t>
      </w:r>
      <w:r w:rsidR="001D3A5B" w:rsidRPr="001629F5">
        <w:t>02</w:t>
      </w:r>
      <w:r w:rsidR="00ED6AB8" w:rsidRPr="001629F5">
        <w:t>5</w:t>
      </w:r>
      <w:r w:rsidRPr="001629F5">
        <w:t>/2</w:t>
      </w:r>
      <w:r w:rsidR="00ED6AB8" w:rsidRPr="001629F5">
        <w:t>6</w:t>
      </w:r>
      <w:r>
        <w:t xml:space="preserve">. This indicates an underlying need to borrow due to a reduction in usable reserves and </w:t>
      </w:r>
      <w:r w:rsidR="008E1522">
        <w:t>a significant increase in the</w:t>
      </w:r>
      <w:r>
        <w:t xml:space="preserve"> capital finance requirement. </w:t>
      </w:r>
      <w:r w:rsidR="005C547E">
        <w:t>The main conclusions to be drawn from this are:</w:t>
      </w:r>
    </w:p>
    <w:p w14:paraId="1099B866" w14:textId="02E6CD6D" w:rsidR="006B18F1" w:rsidRDefault="00EA2ABD" w:rsidP="00D56E1F">
      <w:pPr>
        <w:pStyle w:val="ListParagraph"/>
        <w:numPr>
          <w:ilvl w:val="1"/>
          <w:numId w:val="13"/>
        </w:numPr>
        <w:spacing w:after="240"/>
        <w:jc w:val="both"/>
      </w:pPr>
      <w:r>
        <w:t>The Service does not have sufficient existing borrowing</w:t>
      </w:r>
      <w:r w:rsidR="00D56E1F">
        <w:t xml:space="preserve"> to fund the</w:t>
      </w:r>
      <w:r w:rsidR="002751C4">
        <w:t xml:space="preserve"> existing</w:t>
      </w:r>
      <w:r w:rsidR="00D56E1F">
        <w:t xml:space="preserve"> Capital Programme.</w:t>
      </w:r>
    </w:p>
    <w:p w14:paraId="2385056B" w14:textId="53BDBE22" w:rsidR="00D56E1F" w:rsidRDefault="008E1522" w:rsidP="00D56E1F">
      <w:pPr>
        <w:pStyle w:val="ListParagraph"/>
        <w:numPr>
          <w:ilvl w:val="1"/>
          <w:numId w:val="13"/>
        </w:numPr>
        <w:spacing w:after="240"/>
        <w:jc w:val="both"/>
      </w:pPr>
      <w:r>
        <w:t>The Servic</w:t>
      </w:r>
      <w:r w:rsidR="00E84D8B">
        <w:t xml:space="preserve">e may need to increase the </w:t>
      </w:r>
      <w:r w:rsidR="001D3A5B">
        <w:t xml:space="preserve">authorised limit on external debt of £40m </w:t>
      </w:r>
      <w:r w:rsidR="00E84D8B">
        <w:t>given a</w:t>
      </w:r>
      <w:r w:rsidR="001D3A5B">
        <w:t xml:space="preserve"> liability benchmark of £4</w:t>
      </w:r>
      <w:r w:rsidR="00D60916">
        <w:t>0</w:t>
      </w:r>
      <w:r w:rsidR="001D3A5B">
        <w:t>.</w:t>
      </w:r>
      <w:r w:rsidR="00D60916">
        <w:t>9</w:t>
      </w:r>
      <w:r w:rsidR="001D3A5B">
        <w:t>m in 2025/26.</w:t>
      </w:r>
      <w:r w:rsidR="00E84D8B">
        <w:t xml:space="preserve"> This is a forecast of the amount the Service could be required to borrow.</w:t>
      </w:r>
    </w:p>
    <w:p w14:paraId="318E21DD" w14:textId="2E60ADE1" w:rsidR="00864378" w:rsidRPr="00EA3939" w:rsidRDefault="00864378" w:rsidP="00FE351D">
      <w:pPr>
        <w:pStyle w:val="ListParagraph"/>
        <w:spacing w:after="240"/>
        <w:ind w:left="425"/>
        <w:jc w:val="both"/>
        <w:rPr>
          <w:b/>
          <w:bCs/>
        </w:rPr>
      </w:pPr>
      <w:r w:rsidRPr="00EA3939">
        <w:rPr>
          <w:b/>
          <w:bCs/>
        </w:rPr>
        <w:lastRenderedPageBreak/>
        <w:t>Graph 1: Liability benchmark</w:t>
      </w:r>
    </w:p>
    <w:p w14:paraId="43DF71DC" w14:textId="42185BC3" w:rsidR="00EA3939" w:rsidRDefault="00EA3939" w:rsidP="00FE351D">
      <w:pPr>
        <w:pStyle w:val="ListParagraph"/>
        <w:spacing w:after="240"/>
        <w:ind w:left="425"/>
        <w:jc w:val="both"/>
      </w:pPr>
      <w:r>
        <w:t xml:space="preserve">In the graph below, the </w:t>
      </w:r>
      <w:r w:rsidR="00177B90">
        <w:t>c</w:t>
      </w:r>
      <w:r>
        <w:t xml:space="preserve">apital </w:t>
      </w:r>
      <w:r w:rsidR="00177B90">
        <w:t>f</w:t>
      </w:r>
      <w:r>
        <w:t xml:space="preserve">inancing </w:t>
      </w:r>
      <w:r w:rsidR="00177B90">
        <w:t>r</w:t>
      </w:r>
      <w:r>
        <w:t>equirement, existing borrowing</w:t>
      </w:r>
      <w:r w:rsidR="00177B90">
        <w:t xml:space="preserve"> and liability benchmark have been extrapolated across the life of the </w:t>
      </w:r>
      <w:r w:rsidR="00C41208">
        <w:t>4-year</w:t>
      </w:r>
      <w:r w:rsidR="00177B90">
        <w:t xml:space="preserve"> capital programme:</w:t>
      </w:r>
    </w:p>
    <w:p w14:paraId="77386DC2" w14:textId="4F07DE39" w:rsidR="00EA3939" w:rsidRDefault="00C41208" w:rsidP="00FE351D">
      <w:pPr>
        <w:pStyle w:val="ListParagraph"/>
        <w:spacing w:after="240"/>
        <w:ind w:left="425"/>
        <w:jc w:val="both"/>
      </w:pPr>
      <w:r>
        <w:rPr>
          <w:noProof/>
        </w:rPr>
        <mc:AlternateContent>
          <mc:Choice Requires="wps">
            <w:drawing>
              <wp:anchor distT="45720" distB="45720" distL="114300" distR="114300" simplePos="0" relativeHeight="251667456" behindDoc="0" locked="0" layoutInCell="1" allowOverlap="1" wp14:anchorId="0F8A29F0" wp14:editId="59886191">
                <wp:simplePos x="0" y="0"/>
                <wp:positionH relativeFrom="margin">
                  <wp:align>right</wp:align>
                </wp:positionH>
                <wp:positionV relativeFrom="paragraph">
                  <wp:posOffset>109855</wp:posOffset>
                </wp:positionV>
                <wp:extent cx="3232785" cy="4916805"/>
                <wp:effectExtent l="0" t="0" r="2476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916805"/>
                        </a:xfrm>
                        <a:prstGeom prst="rect">
                          <a:avLst/>
                        </a:prstGeom>
                        <a:solidFill>
                          <a:srgbClr val="FFFFFF"/>
                        </a:solidFill>
                        <a:ln w="9525">
                          <a:solidFill>
                            <a:schemeClr val="bg1"/>
                          </a:solidFill>
                          <a:miter lim="800000"/>
                          <a:headEnd/>
                          <a:tailEnd/>
                        </a:ln>
                      </wps:spPr>
                      <wps:txbx>
                        <w:txbxContent>
                          <w:p w14:paraId="78B75BFE" w14:textId="45C382E1" w:rsidR="00C41208" w:rsidRDefault="009B631A" w:rsidP="00C41208">
                            <w:pPr>
                              <w:rPr>
                                <w:b/>
                                <w:bCs/>
                              </w:rPr>
                            </w:pPr>
                            <w:r>
                              <w:rPr>
                                <w:b/>
                                <w:bCs/>
                              </w:rPr>
                              <w:t>CIPFA Guidance:</w:t>
                            </w:r>
                          </w:p>
                          <w:p w14:paraId="7F9603DE" w14:textId="14F3A6CD" w:rsidR="009B631A" w:rsidRDefault="005174E0" w:rsidP="00C41208">
                            <w:r>
                              <w:t xml:space="preserve">CIPFA recommends </w:t>
                            </w:r>
                            <w:r w:rsidR="0074565C">
                              <w:t>that the liability benchmark should be produced to cover the full debt maturity profile of the Service.</w:t>
                            </w:r>
                          </w:p>
                          <w:p w14:paraId="58C9FF50" w14:textId="77777777" w:rsidR="004420A8" w:rsidRDefault="004420A8" w:rsidP="00C41208"/>
                          <w:p w14:paraId="3DF78C05" w14:textId="5376D693" w:rsidR="004420A8" w:rsidRDefault="004420A8" w:rsidP="00C41208">
                            <w:r>
                              <w:t xml:space="preserve">The graph shows four </w:t>
                            </w:r>
                            <w:r w:rsidR="00A76F51">
                              <w:t>balances:</w:t>
                            </w:r>
                          </w:p>
                          <w:p w14:paraId="146DC870" w14:textId="77777777" w:rsidR="00A76F51" w:rsidRDefault="00A76F51" w:rsidP="00C41208"/>
                          <w:p w14:paraId="2483EB80" w14:textId="12E9B37E" w:rsidR="00A76F51" w:rsidRDefault="00A76F51" w:rsidP="00C41208">
                            <w:pPr>
                              <w:rPr>
                                <w:b/>
                                <w:bCs/>
                              </w:rPr>
                            </w:pPr>
                            <w:r w:rsidRPr="00A76F51">
                              <w:rPr>
                                <w:b/>
                                <w:bCs/>
                              </w:rPr>
                              <w:t xml:space="preserve">Existing </w:t>
                            </w:r>
                            <w:r w:rsidR="004C6341">
                              <w:rPr>
                                <w:b/>
                                <w:bCs/>
                              </w:rPr>
                              <w:t>A</w:t>
                            </w:r>
                            <w:r w:rsidRPr="00A76F51">
                              <w:rPr>
                                <w:b/>
                                <w:bCs/>
                              </w:rPr>
                              <w:t>ssets:</w:t>
                            </w:r>
                          </w:p>
                          <w:p w14:paraId="3C40C58F" w14:textId="22E3F268" w:rsidR="00A76F51" w:rsidRDefault="00A76F51" w:rsidP="00C41208">
                            <w:r>
                              <w:t xml:space="preserve">This shows the impact on CFR of our existing asset base. These assets will be fully funded by MRP </w:t>
                            </w:r>
                            <w:r w:rsidR="00746AC1">
                              <w:t>by</w:t>
                            </w:r>
                            <w:r>
                              <w:t xml:space="preserve"> 203</w:t>
                            </w:r>
                            <w:r w:rsidR="00746AC1">
                              <w:t>9</w:t>
                            </w:r>
                            <w:r w:rsidR="004C6341">
                              <w:t>/</w:t>
                            </w:r>
                            <w:r w:rsidR="00746AC1">
                              <w:t>40</w:t>
                            </w:r>
                            <w:r w:rsidR="004C6341">
                              <w:t>.</w:t>
                            </w:r>
                          </w:p>
                          <w:p w14:paraId="78293041" w14:textId="4EF9DD93" w:rsidR="004C6341" w:rsidRDefault="004C6341" w:rsidP="00C41208"/>
                          <w:p w14:paraId="632F5D80" w14:textId="04077DEF" w:rsidR="004C6341" w:rsidRDefault="004C6341" w:rsidP="00C41208">
                            <w:pPr>
                              <w:rPr>
                                <w:b/>
                                <w:bCs/>
                              </w:rPr>
                            </w:pPr>
                            <w:r w:rsidRPr="004C6341">
                              <w:rPr>
                                <w:b/>
                                <w:bCs/>
                              </w:rPr>
                              <w:t>Planned Programme:</w:t>
                            </w:r>
                            <w:r w:rsidR="00DE4AD7" w:rsidRPr="00DE4AD7">
                              <w:rPr>
                                <w:noProof/>
                              </w:rPr>
                              <w:t xml:space="preserve"> </w:t>
                            </w:r>
                          </w:p>
                          <w:p w14:paraId="17F2B6AA" w14:textId="4AFBCF37" w:rsidR="004C6341" w:rsidRDefault="004C6341" w:rsidP="00C41208">
                            <w:r>
                              <w:t xml:space="preserve">The planned </w:t>
                            </w:r>
                            <w:r w:rsidR="00746AC1">
                              <w:t>capital</w:t>
                            </w:r>
                            <w:r>
                              <w:t xml:space="preserve"> programme is extrapolated over the life of those assets. These will be fully funded by </w:t>
                            </w:r>
                            <w:r w:rsidR="004A50A9">
                              <w:t>MRP and reserves by 2043/44.</w:t>
                            </w:r>
                          </w:p>
                          <w:p w14:paraId="3CA0B6C0" w14:textId="77777777" w:rsidR="004A50A9" w:rsidRDefault="004A50A9" w:rsidP="00C41208"/>
                          <w:p w14:paraId="3251F10E" w14:textId="2210D3F7" w:rsidR="004A50A9" w:rsidRDefault="004A50A9" w:rsidP="00C41208">
                            <w:pPr>
                              <w:rPr>
                                <w:b/>
                                <w:bCs/>
                              </w:rPr>
                            </w:pPr>
                            <w:r w:rsidRPr="004A50A9">
                              <w:rPr>
                                <w:b/>
                                <w:bCs/>
                              </w:rPr>
                              <w:t>Borrowing:</w:t>
                            </w:r>
                            <w:r w:rsidR="006F3605">
                              <w:rPr>
                                <w:b/>
                                <w:bCs/>
                              </w:rPr>
                              <w:t xml:space="preserve"> </w:t>
                            </w:r>
                          </w:p>
                          <w:p w14:paraId="498BAB1E" w14:textId="32FF9807" w:rsidR="004A50A9" w:rsidRDefault="004A50A9" w:rsidP="00C41208">
                            <w:r>
                              <w:t xml:space="preserve">The graph shows existing borrowing only, </w:t>
                            </w:r>
                            <w:r w:rsidR="00EB57EE">
                              <w:t>to</w:t>
                            </w:r>
                            <w:r>
                              <w:t xml:space="preserve"> show the additional borrowing requirements</w:t>
                            </w:r>
                            <w:r w:rsidR="00E064E4">
                              <w:t>.</w:t>
                            </w:r>
                          </w:p>
                          <w:p w14:paraId="409EC626" w14:textId="425F063F" w:rsidR="00E064E4" w:rsidRDefault="00E064E4" w:rsidP="00C41208"/>
                          <w:p w14:paraId="00A1F824" w14:textId="6087FBCD" w:rsidR="00E064E4" w:rsidRDefault="00E064E4" w:rsidP="00C41208">
                            <w:pPr>
                              <w:rPr>
                                <w:b/>
                                <w:bCs/>
                              </w:rPr>
                            </w:pPr>
                            <w:r w:rsidRPr="00E064E4">
                              <w:rPr>
                                <w:b/>
                                <w:bCs/>
                              </w:rPr>
                              <w:t>Liability Benchmark:</w:t>
                            </w:r>
                            <w:r w:rsidR="002901ED" w:rsidRPr="002901ED">
                              <w:rPr>
                                <w:b/>
                                <w:bCs/>
                              </w:rPr>
                              <w:t xml:space="preserve"> </w:t>
                            </w:r>
                          </w:p>
                          <w:p w14:paraId="72846FFC" w14:textId="3AA725BB" w:rsidR="00E064E4" w:rsidRPr="0075389E" w:rsidRDefault="0075389E" w:rsidP="00C41208">
                            <w:r>
                              <w:t>This shows the suggested borrowing requirement of the Service</w:t>
                            </w:r>
                            <w:r w:rsidR="004E0E9C">
                              <w:t xml:space="preserve"> based on the factors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A29F0" id="_x0000_s1027" type="#_x0000_t202" style="position:absolute;left:0;text-align:left;margin-left:203.35pt;margin-top:8.65pt;width:254.55pt;height:387.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vCGgIAACY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" strokecolor="white [3212]">
                <v:textbox>
                  <w:txbxContent>
                    <w:p w14:paraId="78B75BFE" w14:textId="45C382E1" w:rsidR="00C41208" w:rsidRDefault="009B631A" w:rsidP="00C41208">
                      <w:pPr>
                        <w:rPr>
                          <w:b/>
                          <w:bCs/>
                        </w:rPr>
                      </w:pPr>
                      <w:r>
                        <w:rPr>
                          <w:b/>
                          <w:bCs/>
                        </w:rPr>
                        <w:t>CIPFA Guidance:</w:t>
                      </w:r>
                    </w:p>
                    <w:p w14:paraId="7F9603DE" w14:textId="14F3A6CD" w:rsidR="009B631A" w:rsidRDefault="005174E0" w:rsidP="00C41208">
                      <w:r>
                        <w:t xml:space="preserve">CIPFA recommends </w:t>
                      </w:r>
                      <w:r w:rsidR="0074565C">
                        <w:t>that the liability benchmark should be produced to cover the full debt maturity profile of the Service.</w:t>
                      </w:r>
                    </w:p>
                    <w:p w14:paraId="58C9FF50" w14:textId="77777777" w:rsidR="004420A8" w:rsidRDefault="004420A8" w:rsidP="00C41208"/>
                    <w:p w14:paraId="3DF78C05" w14:textId="5376D693" w:rsidR="004420A8" w:rsidRDefault="004420A8" w:rsidP="00C41208">
                      <w:r>
                        <w:t xml:space="preserve">The graph shows four </w:t>
                      </w:r>
                      <w:r w:rsidR="00A76F51">
                        <w:t>balances:</w:t>
                      </w:r>
                    </w:p>
                    <w:p w14:paraId="146DC870" w14:textId="77777777" w:rsidR="00A76F51" w:rsidRDefault="00A76F51" w:rsidP="00C41208"/>
                    <w:p w14:paraId="2483EB80" w14:textId="12E9B37E" w:rsidR="00A76F51" w:rsidRDefault="00A76F51" w:rsidP="00C41208">
                      <w:pPr>
                        <w:rPr>
                          <w:b/>
                          <w:bCs/>
                        </w:rPr>
                      </w:pPr>
                      <w:r w:rsidRPr="00A76F51">
                        <w:rPr>
                          <w:b/>
                          <w:bCs/>
                        </w:rPr>
                        <w:t xml:space="preserve">Existing </w:t>
                      </w:r>
                      <w:r w:rsidR="004C6341">
                        <w:rPr>
                          <w:b/>
                          <w:bCs/>
                        </w:rPr>
                        <w:t>A</w:t>
                      </w:r>
                      <w:r w:rsidRPr="00A76F51">
                        <w:rPr>
                          <w:b/>
                          <w:bCs/>
                        </w:rPr>
                        <w:t>ssets:</w:t>
                      </w:r>
                    </w:p>
                    <w:p w14:paraId="3C40C58F" w14:textId="22E3F268" w:rsidR="00A76F51" w:rsidRDefault="00A76F51" w:rsidP="00C41208">
                      <w:r>
                        <w:t xml:space="preserve">This shows the impact on CFR of our existing asset base. These assets will be fully funded by MRP </w:t>
                      </w:r>
                      <w:r w:rsidR="00746AC1">
                        <w:t>by</w:t>
                      </w:r>
                      <w:r>
                        <w:t xml:space="preserve"> 203</w:t>
                      </w:r>
                      <w:r w:rsidR="00746AC1">
                        <w:t>9</w:t>
                      </w:r>
                      <w:r w:rsidR="004C6341">
                        <w:t>/</w:t>
                      </w:r>
                      <w:r w:rsidR="00746AC1">
                        <w:t>40</w:t>
                      </w:r>
                      <w:r w:rsidR="004C6341">
                        <w:t>.</w:t>
                      </w:r>
                    </w:p>
                    <w:p w14:paraId="78293041" w14:textId="4EF9DD93" w:rsidR="004C6341" w:rsidRDefault="004C6341" w:rsidP="00C41208"/>
                    <w:p w14:paraId="632F5D80" w14:textId="04077DEF" w:rsidR="004C6341" w:rsidRDefault="004C6341" w:rsidP="00C41208">
                      <w:pPr>
                        <w:rPr>
                          <w:b/>
                          <w:bCs/>
                        </w:rPr>
                      </w:pPr>
                      <w:r w:rsidRPr="004C6341">
                        <w:rPr>
                          <w:b/>
                          <w:bCs/>
                        </w:rPr>
                        <w:t>Planned Programme:</w:t>
                      </w:r>
                      <w:r w:rsidR="00DE4AD7" w:rsidRPr="00DE4AD7">
                        <w:rPr>
                          <w:noProof/>
                        </w:rPr>
                        <w:t xml:space="preserve"> </w:t>
                      </w:r>
                    </w:p>
                    <w:p w14:paraId="17F2B6AA" w14:textId="4AFBCF37" w:rsidR="004C6341" w:rsidRDefault="004C6341" w:rsidP="00C41208">
                      <w:r>
                        <w:t xml:space="preserve">The planned </w:t>
                      </w:r>
                      <w:r w:rsidR="00746AC1">
                        <w:t>capital</w:t>
                      </w:r>
                      <w:r>
                        <w:t xml:space="preserve"> programme is extrapolated over the life of those assets. These will be fully funded by </w:t>
                      </w:r>
                      <w:r w:rsidR="004A50A9">
                        <w:t>MRP and reserves by 2043/44.</w:t>
                      </w:r>
                    </w:p>
                    <w:p w14:paraId="3CA0B6C0" w14:textId="77777777" w:rsidR="004A50A9" w:rsidRDefault="004A50A9" w:rsidP="00C41208"/>
                    <w:p w14:paraId="3251F10E" w14:textId="2210D3F7" w:rsidR="004A50A9" w:rsidRDefault="004A50A9" w:rsidP="00C41208">
                      <w:pPr>
                        <w:rPr>
                          <w:b/>
                          <w:bCs/>
                        </w:rPr>
                      </w:pPr>
                      <w:r w:rsidRPr="004A50A9">
                        <w:rPr>
                          <w:b/>
                          <w:bCs/>
                        </w:rPr>
                        <w:t>Borrowing:</w:t>
                      </w:r>
                      <w:r w:rsidR="006F3605">
                        <w:rPr>
                          <w:b/>
                          <w:bCs/>
                        </w:rPr>
                        <w:t xml:space="preserve"> </w:t>
                      </w:r>
                    </w:p>
                    <w:p w14:paraId="498BAB1E" w14:textId="32FF9807" w:rsidR="004A50A9" w:rsidRDefault="004A50A9" w:rsidP="00C41208">
                      <w:r>
                        <w:t xml:space="preserve">The graph shows existing borrowing only, </w:t>
                      </w:r>
                      <w:r w:rsidR="00EB57EE">
                        <w:t>to</w:t>
                      </w:r>
                      <w:r>
                        <w:t xml:space="preserve"> show the additional borrowing requirements</w:t>
                      </w:r>
                      <w:r w:rsidR="00E064E4">
                        <w:t>.</w:t>
                      </w:r>
                    </w:p>
                    <w:p w14:paraId="409EC626" w14:textId="425F063F" w:rsidR="00E064E4" w:rsidRDefault="00E064E4" w:rsidP="00C41208"/>
                    <w:p w14:paraId="00A1F824" w14:textId="6087FBCD" w:rsidR="00E064E4" w:rsidRDefault="00E064E4" w:rsidP="00C41208">
                      <w:pPr>
                        <w:rPr>
                          <w:b/>
                          <w:bCs/>
                        </w:rPr>
                      </w:pPr>
                      <w:r w:rsidRPr="00E064E4">
                        <w:rPr>
                          <w:b/>
                          <w:bCs/>
                        </w:rPr>
                        <w:t>Liability Benchmark:</w:t>
                      </w:r>
                      <w:r w:rsidR="002901ED" w:rsidRPr="002901ED">
                        <w:rPr>
                          <w:b/>
                          <w:bCs/>
                        </w:rPr>
                        <w:t xml:space="preserve"> </w:t>
                      </w:r>
                    </w:p>
                    <w:p w14:paraId="72846FFC" w14:textId="3AA725BB" w:rsidR="00E064E4" w:rsidRPr="0075389E" w:rsidRDefault="0075389E" w:rsidP="00C41208">
                      <w:r>
                        <w:t>This shows the suggested borrowing requirement of the Service</w:t>
                      </w:r>
                      <w:r w:rsidR="004E0E9C">
                        <w:t xml:space="preserve"> based on the factors above.</w:t>
                      </w:r>
                    </w:p>
                  </w:txbxContent>
                </v:textbox>
                <w10:wrap type="square" anchorx="margin"/>
              </v:shape>
            </w:pict>
          </mc:Fallback>
        </mc:AlternateContent>
      </w:r>
      <w:r w:rsidR="002E3F7B">
        <w:rPr>
          <w:noProof/>
        </w:rPr>
        <w:drawing>
          <wp:anchor distT="0" distB="0" distL="114300" distR="114300" simplePos="0" relativeHeight="251698176" behindDoc="1" locked="0" layoutInCell="1" allowOverlap="1" wp14:anchorId="3C605BBE" wp14:editId="1C65E302">
            <wp:simplePos x="0" y="0"/>
            <wp:positionH relativeFrom="column">
              <wp:posOffset>269875</wp:posOffset>
            </wp:positionH>
            <wp:positionV relativeFrom="paragraph">
              <wp:posOffset>635</wp:posOffset>
            </wp:positionV>
            <wp:extent cx="5864860" cy="3365500"/>
            <wp:effectExtent l="0" t="0" r="254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4860" cy="3365500"/>
                    </a:xfrm>
                    <a:prstGeom prst="rect">
                      <a:avLst/>
                    </a:prstGeom>
                    <a:noFill/>
                  </pic:spPr>
                </pic:pic>
              </a:graphicData>
            </a:graphic>
          </wp:anchor>
        </w:drawing>
      </w:r>
    </w:p>
    <w:p w14:paraId="54F45011" w14:textId="679BBD56" w:rsidR="00EA3939" w:rsidRDefault="00EA3939" w:rsidP="00FE351D">
      <w:pPr>
        <w:pStyle w:val="ListParagraph"/>
        <w:spacing w:after="240"/>
        <w:ind w:left="425"/>
        <w:jc w:val="both"/>
      </w:pPr>
    </w:p>
    <w:p w14:paraId="4457B1B4" w14:textId="1C841D54" w:rsidR="00864378" w:rsidRDefault="00864378" w:rsidP="00FE351D">
      <w:pPr>
        <w:pStyle w:val="ListParagraph"/>
        <w:spacing w:after="240"/>
        <w:ind w:left="425"/>
        <w:jc w:val="both"/>
      </w:pPr>
    </w:p>
    <w:p w14:paraId="4B0DE76C" w14:textId="021A1232" w:rsidR="00EA3939" w:rsidRDefault="00EA3939" w:rsidP="00FE351D">
      <w:pPr>
        <w:pStyle w:val="ListParagraph"/>
        <w:spacing w:after="240"/>
        <w:ind w:left="425"/>
        <w:jc w:val="both"/>
      </w:pPr>
    </w:p>
    <w:p w14:paraId="4E954C81" w14:textId="0F11503C" w:rsidR="00EA3939" w:rsidRDefault="00162E50" w:rsidP="00FE351D">
      <w:pPr>
        <w:pStyle w:val="ListParagraph"/>
        <w:spacing w:after="240"/>
        <w:ind w:left="425"/>
        <w:jc w:val="both"/>
      </w:pPr>
      <w:r>
        <w:rPr>
          <w:noProof/>
        </w:rPr>
        <mc:AlternateContent>
          <mc:Choice Requires="wps">
            <w:drawing>
              <wp:anchor distT="0" distB="0" distL="114300" distR="114300" simplePos="0" relativeHeight="251681792" behindDoc="0" locked="0" layoutInCell="1" allowOverlap="1" wp14:anchorId="263FCE16" wp14:editId="1E795FC7">
                <wp:simplePos x="0" y="0"/>
                <wp:positionH relativeFrom="column">
                  <wp:posOffset>7971155</wp:posOffset>
                </wp:positionH>
                <wp:positionV relativeFrom="paragraph">
                  <wp:posOffset>91440</wp:posOffset>
                </wp:positionV>
                <wp:extent cx="215153" cy="147918"/>
                <wp:effectExtent l="0" t="0" r="13970" b="24130"/>
                <wp:wrapNone/>
                <wp:docPr id="20" name="Rectangle 20"/>
                <wp:cNvGraphicFramePr/>
                <a:graphic xmlns:a="http://schemas.openxmlformats.org/drawingml/2006/main">
                  <a:graphicData uri="http://schemas.microsoft.com/office/word/2010/wordprocessingShape">
                    <wps:wsp>
                      <wps:cNvSpPr/>
                      <wps:spPr>
                        <a:xfrm>
                          <a:off x="0" y="0"/>
                          <a:ext cx="215153" cy="147918"/>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5B595" id="Rectangle 20" o:spid="_x0000_s1026" style="position:absolute;margin-left:627.65pt;margin-top:7.2pt;width:16.95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" fillcolor="#bfbfbf [2412]" strokecolor="black [3213]" strokeweight="1pt"/>
            </w:pict>
          </mc:Fallback>
        </mc:AlternateContent>
      </w:r>
      <w:r w:rsidR="00C41208">
        <w:rPr>
          <w:noProof/>
        </w:rPr>
        <mc:AlternateContent>
          <mc:Choice Requires="wps">
            <w:drawing>
              <wp:anchor distT="0" distB="0" distL="114300" distR="114300" simplePos="0" relativeHeight="251665408" behindDoc="0" locked="0" layoutInCell="1" allowOverlap="1" wp14:anchorId="7F096374" wp14:editId="06525950">
                <wp:simplePos x="0" y="0"/>
                <wp:positionH relativeFrom="column">
                  <wp:posOffset>2262504</wp:posOffset>
                </wp:positionH>
                <wp:positionV relativeFrom="paragraph">
                  <wp:posOffset>39369</wp:posOffset>
                </wp:positionV>
                <wp:extent cx="1400175" cy="2200275"/>
                <wp:effectExtent l="381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400175" cy="22002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DA96F" id="_x0000_t32" coordsize="21600,21600" o:spt="32" o:oned="t" path="m,l21600,21600e" filled="f">
                <v:path arrowok="t" fillok="f" o:connecttype="none"/>
                <o:lock v:ext="edit" shapetype="t"/>
              </v:shapetype>
              <v:shape id="Straight Arrow Connector 8" o:spid="_x0000_s1026" type="#_x0000_t32" style="position:absolute;margin-left:178.15pt;margin-top:3.1pt;width:110.25pt;height:173.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" strokecolor="black [3213]" strokeweight="1.75pt">
                <v:stroke endarrow="block" joinstyle="miter"/>
              </v:shape>
            </w:pict>
          </mc:Fallback>
        </mc:AlternateContent>
      </w:r>
    </w:p>
    <w:p w14:paraId="5E939AF5" w14:textId="02E6E8C9" w:rsidR="00EA3939" w:rsidRDefault="00C41208" w:rsidP="00FE351D">
      <w:pPr>
        <w:pStyle w:val="ListParagraph"/>
        <w:spacing w:after="240"/>
        <w:ind w:left="425"/>
        <w:jc w:val="both"/>
      </w:pPr>
      <w:r>
        <w:rPr>
          <w:noProof/>
        </w:rPr>
        <mc:AlternateContent>
          <mc:Choice Requires="wps">
            <w:drawing>
              <wp:anchor distT="0" distB="0" distL="114300" distR="114300" simplePos="0" relativeHeight="251663360" behindDoc="0" locked="0" layoutInCell="1" allowOverlap="1" wp14:anchorId="7A14F0A8" wp14:editId="7AC753FA">
                <wp:simplePos x="0" y="0"/>
                <wp:positionH relativeFrom="column">
                  <wp:posOffset>326796</wp:posOffset>
                </wp:positionH>
                <wp:positionV relativeFrom="paragraph">
                  <wp:posOffset>43484</wp:posOffset>
                </wp:positionV>
                <wp:extent cx="1062228" cy="2149145"/>
                <wp:effectExtent l="0" t="38100" r="62230" b="22860"/>
                <wp:wrapNone/>
                <wp:docPr id="7" name="Straight Arrow Connector 7"/>
                <wp:cNvGraphicFramePr/>
                <a:graphic xmlns:a="http://schemas.openxmlformats.org/drawingml/2006/main">
                  <a:graphicData uri="http://schemas.microsoft.com/office/word/2010/wordprocessingShape">
                    <wps:wsp>
                      <wps:cNvCnPr/>
                      <wps:spPr>
                        <a:xfrm flipV="1">
                          <a:off x="0" y="0"/>
                          <a:ext cx="1062228" cy="214914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0E39" id="Straight Arrow Connector 7" o:spid="_x0000_s1026" type="#_x0000_t32" style="position:absolute;margin-left:25.75pt;margin-top:3.4pt;width:83.65pt;height:169.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" strokecolor="black [3213]" strokeweight="1.75pt">
                <v:stroke endarrow="block" joinstyle="miter"/>
              </v:shape>
            </w:pict>
          </mc:Fallback>
        </mc:AlternateContent>
      </w:r>
    </w:p>
    <w:p w14:paraId="77D9AD80" w14:textId="18A2607F" w:rsidR="00EA3939" w:rsidRDefault="00CF2A33" w:rsidP="00FE351D">
      <w:pPr>
        <w:pStyle w:val="ListParagraph"/>
        <w:spacing w:after="240"/>
        <w:ind w:left="425"/>
        <w:jc w:val="both"/>
      </w:pPr>
      <w:r>
        <w:rPr>
          <w:noProof/>
        </w:rPr>
        <mc:AlternateContent>
          <mc:Choice Requires="wps">
            <w:drawing>
              <wp:anchor distT="0" distB="0" distL="114300" distR="114300" simplePos="0" relativeHeight="251682816" behindDoc="0" locked="0" layoutInCell="1" allowOverlap="1" wp14:anchorId="6B439C9E" wp14:editId="1A1AFF75">
                <wp:simplePos x="0" y="0"/>
                <wp:positionH relativeFrom="column">
                  <wp:posOffset>8314055</wp:posOffset>
                </wp:positionH>
                <wp:positionV relativeFrom="paragraph">
                  <wp:posOffset>313690</wp:posOffset>
                </wp:positionV>
                <wp:extent cx="215153" cy="154641"/>
                <wp:effectExtent l="0" t="0" r="13970" b="17145"/>
                <wp:wrapNone/>
                <wp:docPr id="23" name="Rectangle 23"/>
                <wp:cNvGraphicFramePr/>
                <a:graphic xmlns:a="http://schemas.openxmlformats.org/drawingml/2006/main">
                  <a:graphicData uri="http://schemas.microsoft.com/office/word/2010/wordprocessingShape">
                    <wps:wsp>
                      <wps:cNvSpPr/>
                      <wps:spPr>
                        <a:xfrm>
                          <a:off x="0" y="0"/>
                          <a:ext cx="215153" cy="154641"/>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FAC73" id="Rectangle 23" o:spid="_x0000_s1026" style="position:absolute;margin-left:654.65pt;margin-top:24.7pt;width:16.95pt;height:12.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" fillcolor="red" strokecolor="black [3213]" strokeweight="1pt"/>
            </w:pict>
          </mc:Fallback>
        </mc:AlternateContent>
      </w:r>
    </w:p>
    <w:p w14:paraId="717D2D88" w14:textId="45EC6318" w:rsidR="00B94DF4" w:rsidRDefault="00B94DF4" w:rsidP="00FE351D">
      <w:pPr>
        <w:pStyle w:val="ListParagraph"/>
        <w:spacing w:after="240"/>
        <w:ind w:left="425"/>
        <w:jc w:val="both"/>
      </w:pPr>
    </w:p>
    <w:p w14:paraId="5D4310DA" w14:textId="6EB4A044" w:rsidR="00B94DF4" w:rsidRDefault="00B94DF4" w:rsidP="00FE351D">
      <w:pPr>
        <w:pStyle w:val="ListParagraph"/>
        <w:spacing w:after="240"/>
        <w:ind w:left="425"/>
        <w:jc w:val="both"/>
      </w:pPr>
    </w:p>
    <w:p w14:paraId="699C02A1" w14:textId="55D41F6D" w:rsidR="00B94DF4" w:rsidRDefault="00B94DF4" w:rsidP="00FE351D">
      <w:pPr>
        <w:pStyle w:val="ListParagraph"/>
        <w:spacing w:after="240"/>
        <w:ind w:left="425"/>
        <w:jc w:val="both"/>
      </w:pPr>
    </w:p>
    <w:p w14:paraId="0D173B1F" w14:textId="04ADD51C" w:rsidR="00B94DF4" w:rsidRDefault="002901ED" w:rsidP="00FE351D">
      <w:pPr>
        <w:pStyle w:val="ListParagraph"/>
        <w:spacing w:after="240"/>
        <w:ind w:left="425"/>
        <w:jc w:val="both"/>
      </w:pPr>
      <w:r>
        <w:rPr>
          <w:noProof/>
        </w:rPr>
        <mc:AlternateContent>
          <mc:Choice Requires="wps">
            <w:drawing>
              <wp:anchor distT="0" distB="0" distL="114300" distR="114300" simplePos="0" relativeHeight="251694080" behindDoc="0" locked="0" layoutInCell="1" allowOverlap="1" wp14:anchorId="1BD55411" wp14:editId="10C01C72">
                <wp:simplePos x="0" y="0"/>
                <wp:positionH relativeFrom="column">
                  <wp:posOffset>7668653</wp:posOffset>
                </wp:positionH>
                <wp:positionV relativeFrom="paragraph">
                  <wp:posOffset>131360</wp:posOffset>
                </wp:positionV>
                <wp:extent cx="998969" cy="0"/>
                <wp:effectExtent l="0" t="19050" r="0" b="19050"/>
                <wp:wrapNone/>
                <wp:docPr id="10" name="Straight Connector 10"/>
                <wp:cNvGraphicFramePr/>
                <a:graphic xmlns:a="http://schemas.openxmlformats.org/drawingml/2006/main">
                  <a:graphicData uri="http://schemas.microsoft.com/office/word/2010/wordprocessingShape">
                    <wps:wsp>
                      <wps:cNvCnPr/>
                      <wps:spPr>
                        <a:xfrm flipV="1">
                          <a:off x="0" y="0"/>
                          <a:ext cx="998969"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3171C" id="Straight Connector 1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85pt,10.35pt" to="6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" strokecolor="#4472c4 [3204]" strokeweight="3pt">
                <v:stroke dashstyle="dash" joinstyle="miter"/>
              </v:line>
            </w:pict>
          </mc:Fallback>
        </mc:AlternateContent>
      </w:r>
      <w:r w:rsidR="00746AC1">
        <w:rPr>
          <w:noProof/>
        </w:rPr>
        <mc:AlternateContent>
          <mc:Choice Requires="wps">
            <w:drawing>
              <wp:anchor distT="45720" distB="45720" distL="114300" distR="114300" simplePos="0" relativeHeight="251699200" behindDoc="0" locked="0" layoutInCell="1" allowOverlap="1" wp14:anchorId="1E73FE1F" wp14:editId="5A846E45">
                <wp:simplePos x="0" y="0"/>
                <wp:positionH relativeFrom="margin">
                  <wp:posOffset>3112770</wp:posOffset>
                </wp:positionH>
                <wp:positionV relativeFrom="paragraph">
                  <wp:posOffset>272415</wp:posOffset>
                </wp:positionV>
                <wp:extent cx="3176270" cy="1384300"/>
                <wp:effectExtent l="0" t="0" r="2413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384300"/>
                        </a:xfrm>
                        <a:prstGeom prst="rect">
                          <a:avLst/>
                        </a:prstGeom>
                        <a:solidFill>
                          <a:srgbClr val="FFFFFF"/>
                        </a:solidFill>
                        <a:ln w="9525">
                          <a:solidFill>
                            <a:srgbClr val="000000"/>
                          </a:solidFill>
                          <a:miter lim="800000"/>
                          <a:headEnd/>
                          <a:tailEnd/>
                        </a:ln>
                      </wps:spPr>
                      <wps:txbx>
                        <w:txbxContent>
                          <w:p w14:paraId="42F1E400" w14:textId="77777777" w:rsidR="00C41208" w:rsidRPr="00C41208" w:rsidRDefault="00C41208" w:rsidP="00C41208">
                            <w:pPr>
                              <w:rPr>
                                <w:b/>
                                <w:bCs/>
                              </w:rPr>
                            </w:pPr>
                            <w:r w:rsidRPr="00C41208">
                              <w:rPr>
                                <w:b/>
                                <w:bCs/>
                              </w:rPr>
                              <w:t>Borrowing lower than liability benchmark:</w:t>
                            </w:r>
                          </w:p>
                          <w:p w14:paraId="5EA4A983" w14:textId="203EB7A7" w:rsidR="00E90DA3" w:rsidRDefault="00E90DA3" w:rsidP="00C41208">
                            <w:r>
                              <w:t xml:space="preserve">CFR increases in line with </w:t>
                            </w:r>
                            <w:r w:rsidR="007647D0">
                              <w:t>capital programme.</w:t>
                            </w:r>
                          </w:p>
                          <w:p w14:paraId="4452B2EB" w14:textId="77777777" w:rsidR="00E90DA3" w:rsidRDefault="00E90DA3" w:rsidP="00C41208"/>
                          <w:p w14:paraId="17C6DF42" w14:textId="211837C5" w:rsidR="00C41208" w:rsidRDefault="00C41208" w:rsidP="00C41208">
                            <w:r>
                              <w:t xml:space="preserve">The Service needs more debt to finance the capital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FE1F" id="_x0000_s1028" type="#_x0000_t202" style="position:absolute;left:0;text-align:left;margin-left:245.1pt;margin-top:21.45pt;width:250.1pt;height:10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">
                <v:textbox>
                  <w:txbxContent>
                    <w:p w14:paraId="42F1E400" w14:textId="77777777" w:rsidR="00C41208" w:rsidRPr="00C41208" w:rsidRDefault="00C41208" w:rsidP="00C41208">
                      <w:pPr>
                        <w:rPr>
                          <w:b/>
                          <w:bCs/>
                        </w:rPr>
                      </w:pPr>
                      <w:r w:rsidRPr="00C41208">
                        <w:rPr>
                          <w:b/>
                          <w:bCs/>
                        </w:rPr>
                        <w:t>Borrowing lower than liability benchmark:</w:t>
                      </w:r>
                    </w:p>
                    <w:p w14:paraId="5EA4A983" w14:textId="203EB7A7" w:rsidR="00E90DA3" w:rsidRDefault="00E90DA3" w:rsidP="00C41208">
                      <w:r>
                        <w:t xml:space="preserve">CFR increases in line with </w:t>
                      </w:r>
                      <w:r w:rsidR="007647D0">
                        <w:t>capital programme.</w:t>
                      </w:r>
                    </w:p>
                    <w:p w14:paraId="4452B2EB" w14:textId="77777777" w:rsidR="00E90DA3" w:rsidRDefault="00E90DA3" w:rsidP="00C41208"/>
                    <w:p w14:paraId="17C6DF42" w14:textId="211837C5" w:rsidR="00C41208" w:rsidRDefault="00C41208" w:rsidP="00C41208">
                      <w:r>
                        <w:t xml:space="preserve">The Service needs more debt to finance the capital programme. </w:t>
                      </w:r>
                    </w:p>
                  </w:txbxContent>
                </v:textbox>
                <w10:wrap type="square" anchorx="margin"/>
              </v:shape>
            </w:pict>
          </mc:Fallback>
        </mc:AlternateContent>
      </w:r>
    </w:p>
    <w:p w14:paraId="7538BC01" w14:textId="7EE86D82" w:rsidR="00B94DF4" w:rsidRDefault="002901ED" w:rsidP="00FE351D">
      <w:pPr>
        <w:pStyle w:val="ListParagraph"/>
        <w:spacing w:after="240"/>
        <w:ind w:left="425"/>
        <w:jc w:val="both"/>
      </w:pPr>
      <w:r>
        <w:rPr>
          <w:noProof/>
        </w:rPr>
        <mc:AlternateContent>
          <mc:Choice Requires="wps">
            <w:drawing>
              <wp:anchor distT="0" distB="0" distL="114300" distR="114300" simplePos="0" relativeHeight="251695104" behindDoc="0" locked="0" layoutInCell="1" allowOverlap="1" wp14:anchorId="35BE0286" wp14:editId="63D83D42">
                <wp:simplePos x="0" y="0"/>
                <wp:positionH relativeFrom="column">
                  <wp:posOffset>8340280</wp:posOffset>
                </wp:positionH>
                <wp:positionV relativeFrom="paragraph">
                  <wp:posOffset>505577</wp:posOffset>
                </wp:positionV>
                <wp:extent cx="919685" cy="0"/>
                <wp:effectExtent l="0" t="19050" r="33020" b="19050"/>
                <wp:wrapNone/>
                <wp:docPr id="16" name="Straight Connector 16"/>
                <wp:cNvGraphicFramePr/>
                <a:graphic xmlns:a="http://schemas.openxmlformats.org/drawingml/2006/main">
                  <a:graphicData uri="http://schemas.microsoft.com/office/word/2010/wordprocessingShape">
                    <wps:wsp>
                      <wps:cNvCnPr/>
                      <wps:spPr>
                        <a:xfrm>
                          <a:off x="0" y="0"/>
                          <a:ext cx="919685" cy="0"/>
                        </a:xfrm>
                        <a:prstGeom prst="line">
                          <a:avLst/>
                        </a:prstGeom>
                        <a:ln w="38100">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07C3A" id="Straight Connector 1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56.7pt,39.8pt" to="729.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" strokecolor="#fc0" strokeweight="3pt">
                <v:stroke joinstyle="miter"/>
              </v:line>
            </w:pict>
          </mc:Fallback>
        </mc:AlternateContent>
      </w:r>
      <w:r w:rsidR="00746AC1">
        <w:rPr>
          <w:noProof/>
        </w:rPr>
        <mc:AlternateContent>
          <mc:Choice Requires="wps">
            <w:drawing>
              <wp:anchor distT="45720" distB="45720" distL="114300" distR="114300" simplePos="0" relativeHeight="251700224" behindDoc="0" locked="0" layoutInCell="1" allowOverlap="1" wp14:anchorId="591646AF" wp14:editId="5089FA4F">
                <wp:simplePos x="0" y="0"/>
                <wp:positionH relativeFrom="column">
                  <wp:posOffset>316230</wp:posOffset>
                </wp:positionH>
                <wp:positionV relativeFrom="paragraph">
                  <wp:posOffset>225425</wp:posOffset>
                </wp:positionV>
                <wp:extent cx="2719070" cy="110363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103630"/>
                        </a:xfrm>
                        <a:prstGeom prst="rect">
                          <a:avLst/>
                        </a:prstGeom>
                        <a:solidFill>
                          <a:srgbClr val="FFFFFF"/>
                        </a:solidFill>
                        <a:ln w="9525">
                          <a:solidFill>
                            <a:srgbClr val="000000"/>
                          </a:solidFill>
                          <a:miter lim="800000"/>
                          <a:headEnd/>
                          <a:tailEnd/>
                        </a:ln>
                      </wps:spPr>
                      <wps:txbx>
                        <w:txbxContent>
                          <w:p w14:paraId="5B37CA78" w14:textId="77777777" w:rsidR="00C41208" w:rsidRPr="00C41208" w:rsidRDefault="00C41208">
                            <w:pPr>
                              <w:rPr>
                                <w:b/>
                                <w:bCs/>
                              </w:rPr>
                            </w:pPr>
                            <w:r w:rsidRPr="00C41208">
                              <w:rPr>
                                <w:b/>
                                <w:bCs/>
                              </w:rPr>
                              <w:t>Borrowing higher than liability benchmark:</w:t>
                            </w:r>
                          </w:p>
                          <w:p w14:paraId="132F4058" w14:textId="4064199F" w:rsidR="00C41208" w:rsidRDefault="00C41208">
                            <w:r>
                              <w:t>The Service has more debt that it requires, meaning excess cash is available to invest.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46AF" id="_x0000_s1029" type="#_x0000_t202" style="position:absolute;left:0;text-align:left;margin-left:24.9pt;margin-top:17.75pt;width:214.1pt;height:86.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">
                <v:textbox>
                  <w:txbxContent>
                    <w:p w14:paraId="5B37CA78" w14:textId="77777777" w:rsidR="00C41208" w:rsidRPr="00C41208" w:rsidRDefault="00C41208">
                      <w:pPr>
                        <w:rPr>
                          <w:b/>
                          <w:bCs/>
                        </w:rPr>
                      </w:pPr>
                      <w:r w:rsidRPr="00C41208">
                        <w:rPr>
                          <w:b/>
                          <w:bCs/>
                        </w:rPr>
                        <w:t>Borrowing higher than liability benchmark:</w:t>
                      </w:r>
                    </w:p>
                    <w:p w14:paraId="132F4058" w14:textId="4064199F" w:rsidR="00C41208" w:rsidRDefault="00C41208">
                      <w:r>
                        <w:t>The Service has more debt that it requires, meaning excess cash is available to invest.</w:t>
                      </w:r>
                    </w:p>
                  </w:txbxContent>
                </v:textbox>
                <w10:wrap type="square"/>
              </v:shape>
            </w:pict>
          </mc:Fallback>
        </mc:AlternateContent>
      </w:r>
    </w:p>
    <w:p w14:paraId="71C53197" w14:textId="4060AB3A" w:rsidR="007E570A" w:rsidRPr="0069258D" w:rsidRDefault="007E570A" w:rsidP="0004046D">
      <w:pPr>
        <w:spacing w:after="120"/>
        <w:ind w:left="426"/>
        <w:jc w:val="both"/>
        <w:rPr>
          <w:b/>
          <w:bCs/>
        </w:rPr>
      </w:pPr>
      <w:r w:rsidRPr="0069258D">
        <w:rPr>
          <w:b/>
          <w:bCs/>
        </w:rPr>
        <w:lastRenderedPageBreak/>
        <w:t>Table 3: Debt profile</w:t>
      </w:r>
      <w:r w:rsidR="00B805E3">
        <w:rPr>
          <w:b/>
          <w:bCs/>
        </w:rPr>
        <w:t xml:space="preserve"> as </w:t>
      </w:r>
      <w:proofErr w:type="gramStart"/>
      <w:r w:rsidR="00B805E3">
        <w:rPr>
          <w:b/>
          <w:bCs/>
        </w:rPr>
        <w:t>at</w:t>
      </w:r>
      <w:proofErr w:type="gramEnd"/>
      <w:r w:rsidR="00B805E3">
        <w:rPr>
          <w:b/>
          <w:bCs/>
        </w:rPr>
        <w:t xml:space="preserve"> 31</w:t>
      </w:r>
      <w:r w:rsidR="00B805E3" w:rsidRPr="00B805E3">
        <w:rPr>
          <w:b/>
          <w:bCs/>
          <w:vertAlign w:val="superscript"/>
        </w:rPr>
        <w:t>st</w:t>
      </w:r>
      <w:r w:rsidR="00B805E3">
        <w:rPr>
          <w:b/>
          <w:bCs/>
        </w:rPr>
        <w:t xml:space="preserve"> March 2022</w:t>
      </w:r>
    </w:p>
    <w:tbl>
      <w:tblPr>
        <w:tblW w:w="5131" w:type="dxa"/>
        <w:tblInd w:w="529" w:type="dxa"/>
        <w:tblLook w:val="04A0" w:firstRow="1" w:lastRow="0" w:firstColumn="1" w:lastColumn="0" w:noHBand="0" w:noVBand="1"/>
      </w:tblPr>
      <w:tblGrid>
        <w:gridCol w:w="3681"/>
        <w:gridCol w:w="1450"/>
      </w:tblGrid>
      <w:tr w:rsidR="007A1C21" w:rsidRPr="00C85289" w14:paraId="1DB33FD5" w14:textId="77777777" w:rsidTr="007A1C21">
        <w:trPr>
          <w:trHeight w:val="235"/>
        </w:trPr>
        <w:tc>
          <w:tcPr>
            <w:tcW w:w="3681" w:type="dxa"/>
            <w:tcBorders>
              <w:top w:val="single" w:sz="4" w:space="0" w:color="auto"/>
              <w:left w:val="single" w:sz="4" w:space="0" w:color="auto"/>
              <w:bottom w:val="nil"/>
              <w:right w:val="nil"/>
            </w:tcBorders>
            <w:shd w:val="clear" w:color="000000" w:fill="BDD7EE"/>
            <w:vAlign w:val="center"/>
          </w:tcPr>
          <w:p w14:paraId="15905754" w14:textId="615EE8DF" w:rsidR="007A1C21" w:rsidRPr="00C85289" w:rsidRDefault="007A1C21" w:rsidP="007A1C21">
            <w:pPr>
              <w:rPr>
                <w:b/>
                <w:bCs/>
                <w:sz w:val="22"/>
                <w:szCs w:val="22"/>
                <w:lang w:eastAsia="en-GB"/>
              </w:rPr>
            </w:pPr>
            <w:r>
              <w:rPr>
                <w:b/>
                <w:bCs/>
                <w:sz w:val="22"/>
                <w:szCs w:val="22"/>
              </w:rPr>
              <w:t>Total capital repayable</w:t>
            </w:r>
          </w:p>
        </w:tc>
        <w:tc>
          <w:tcPr>
            <w:tcW w:w="1450" w:type="dxa"/>
            <w:tcBorders>
              <w:top w:val="single" w:sz="4" w:space="0" w:color="auto"/>
              <w:left w:val="single" w:sz="4" w:space="0" w:color="auto"/>
              <w:bottom w:val="nil"/>
              <w:right w:val="single" w:sz="4" w:space="0" w:color="auto"/>
            </w:tcBorders>
            <w:shd w:val="clear" w:color="000000" w:fill="BDD7EE"/>
            <w:vAlign w:val="center"/>
          </w:tcPr>
          <w:p w14:paraId="5D72F1CD" w14:textId="0FA2C00F" w:rsidR="007A1C21" w:rsidRPr="00C85289" w:rsidRDefault="007A1C21" w:rsidP="007A1C21">
            <w:pPr>
              <w:jc w:val="center"/>
              <w:rPr>
                <w:b/>
                <w:bCs/>
                <w:sz w:val="22"/>
                <w:szCs w:val="22"/>
                <w:lang w:eastAsia="en-GB"/>
              </w:rPr>
            </w:pPr>
            <w:r>
              <w:rPr>
                <w:b/>
                <w:bCs/>
                <w:sz w:val="22"/>
                <w:szCs w:val="22"/>
              </w:rPr>
              <w:t>£m</w:t>
            </w:r>
            <w:r w:rsidR="00C14B83">
              <w:rPr>
                <w:b/>
                <w:bCs/>
                <w:sz w:val="22"/>
                <w:szCs w:val="22"/>
              </w:rPr>
              <w:t>illion</w:t>
            </w:r>
          </w:p>
        </w:tc>
      </w:tr>
      <w:tr w:rsidR="007A1C21" w:rsidRPr="00C85289" w14:paraId="0173502B" w14:textId="77777777" w:rsidTr="007A1C21">
        <w:trPr>
          <w:trHeight w:val="235"/>
        </w:trPr>
        <w:tc>
          <w:tcPr>
            <w:tcW w:w="3681" w:type="dxa"/>
            <w:tcBorders>
              <w:top w:val="single" w:sz="4" w:space="0" w:color="auto"/>
              <w:left w:val="single" w:sz="4" w:space="0" w:color="auto"/>
              <w:bottom w:val="single" w:sz="4" w:space="0" w:color="auto"/>
              <w:right w:val="nil"/>
            </w:tcBorders>
            <w:shd w:val="clear" w:color="auto" w:fill="auto"/>
            <w:noWrap/>
            <w:vAlign w:val="bottom"/>
          </w:tcPr>
          <w:p w14:paraId="00A4999C" w14:textId="776FFDE4" w:rsidR="007A1C21" w:rsidRPr="00C85289" w:rsidRDefault="007A1C21" w:rsidP="007A1C21">
            <w:pPr>
              <w:rPr>
                <w:color w:val="000000"/>
                <w:sz w:val="22"/>
                <w:szCs w:val="22"/>
                <w:lang w:eastAsia="en-GB"/>
              </w:rPr>
            </w:pPr>
            <w:r>
              <w:rPr>
                <w:rFonts w:ascii="Calibri" w:hAnsi="Calibri" w:cs="Calibri"/>
                <w:color w:val="000000"/>
                <w:sz w:val="22"/>
                <w:szCs w:val="22"/>
              </w:rPr>
              <w:t>Repayable within 1 year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5B73C" w14:textId="20C1628E" w:rsidR="007A1C21" w:rsidRPr="00C85289" w:rsidRDefault="007A1C21" w:rsidP="00C14B83">
            <w:pPr>
              <w:jc w:val="right"/>
              <w:rPr>
                <w:color w:val="000000"/>
                <w:sz w:val="22"/>
                <w:szCs w:val="22"/>
                <w:lang w:eastAsia="en-GB"/>
              </w:rPr>
            </w:pPr>
            <w:r>
              <w:rPr>
                <w:rFonts w:ascii="Calibri" w:hAnsi="Calibri" w:cs="Calibri"/>
                <w:color w:val="000000"/>
                <w:sz w:val="22"/>
                <w:szCs w:val="22"/>
              </w:rPr>
              <w:t>1</w:t>
            </w:r>
            <w:r w:rsidR="00B805E3">
              <w:rPr>
                <w:rFonts w:ascii="Calibri" w:hAnsi="Calibri" w:cs="Calibri"/>
                <w:color w:val="000000"/>
                <w:sz w:val="22"/>
                <w:szCs w:val="22"/>
              </w:rPr>
              <w:t>.0</w:t>
            </w:r>
          </w:p>
        </w:tc>
      </w:tr>
      <w:tr w:rsidR="007A1C21" w:rsidRPr="00C85289" w14:paraId="31952ED4" w14:textId="77777777" w:rsidTr="007A1C21">
        <w:trPr>
          <w:trHeight w:val="235"/>
        </w:trPr>
        <w:tc>
          <w:tcPr>
            <w:tcW w:w="3681" w:type="dxa"/>
            <w:tcBorders>
              <w:top w:val="nil"/>
              <w:left w:val="single" w:sz="4" w:space="0" w:color="auto"/>
              <w:bottom w:val="single" w:sz="4" w:space="0" w:color="auto"/>
              <w:right w:val="nil"/>
            </w:tcBorders>
            <w:shd w:val="clear" w:color="auto" w:fill="auto"/>
            <w:noWrap/>
            <w:vAlign w:val="bottom"/>
          </w:tcPr>
          <w:p w14:paraId="3FD7389E" w14:textId="3240D48D" w:rsidR="007A1C21" w:rsidRPr="00C85289" w:rsidRDefault="007A1C21" w:rsidP="007A1C21">
            <w:pPr>
              <w:rPr>
                <w:color w:val="000000"/>
                <w:sz w:val="22"/>
                <w:szCs w:val="22"/>
                <w:lang w:eastAsia="en-GB"/>
              </w:rPr>
            </w:pPr>
            <w:r>
              <w:rPr>
                <w:rFonts w:ascii="Calibri" w:hAnsi="Calibri" w:cs="Calibri"/>
                <w:color w:val="000000"/>
                <w:sz w:val="22"/>
                <w:szCs w:val="22"/>
              </w:rPr>
              <w:t>Repayable within 2-5 years</w:t>
            </w:r>
          </w:p>
        </w:tc>
        <w:tc>
          <w:tcPr>
            <w:tcW w:w="1450" w:type="dxa"/>
            <w:tcBorders>
              <w:top w:val="nil"/>
              <w:left w:val="single" w:sz="4" w:space="0" w:color="auto"/>
              <w:bottom w:val="single" w:sz="4" w:space="0" w:color="auto"/>
              <w:right w:val="single" w:sz="4" w:space="0" w:color="auto"/>
            </w:tcBorders>
            <w:shd w:val="clear" w:color="auto" w:fill="auto"/>
            <w:noWrap/>
            <w:vAlign w:val="bottom"/>
          </w:tcPr>
          <w:p w14:paraId="3EA3EBAD" w14:textId="2046110B" w:rsidR="007A1C21" w:rsidRPr="00C85289" w:rsidRDefault="007A1C21" w:rsidP="00C14B83">
            <w:pPr>
              <w:jc w:val="right"/>
              <w:rPr>
                <w:color w:val="000000"/>
                <w:sz w:val="22"/>
                <w:szCs w:val="22"/>
                <w:lang w:eastAsia="en-GB"/>
              </w:rPr>
            </w:pPr>
            <w:r>
              <w:rPr>
                <w:rFonts w:ascii="Calibri" w:hAnsi="Calibri" w:cs="Calibri"/>
                <w:color w:val="000000"/>
                <w:sz w:val="22"/>
                <w:szCs w:val="22"/>
              </w:rPr>
              <w:t>2</w:t>
            </w:r>
            <w:r w:rsidR="00B805E3">
              <w:rPr>
                <w:rFonts w:ascii="Calibri" w:hAnsi="Calibri" w:cs="Calibri"/>
                <w:color w:val="000000"/>
                <w:sz w:val="22"/>
                <w:szCs w:val="22"/>
              </w:rPr>
              <w:t>.0</w:t>
            </w:r>
          </w:p>
        </w:tc>
      </w:tr>
      <w:tr w:rsidR="007A1C21" w:rsidRPr="00C85289" w14:paraId="35F6B0C7" w14:textId="77777777" w:rsidTr="007A1C21">
        <w:trPr>
          <w:trHeight w:val="235"/>
        </w:trPr>
        <w:tc>
          <w:tcPr>
            <w:tcW w:w="3681" w:type="dxa"/>
            <w:tcBorders>
              <w:top w:val="nil"/>
              <w:left w:val="single" w:sz="4" w:space="0" w:color="auto"/>
              <w:bottom w:val="single" w:sz="4" w:space="0" w:color="auto"/>
              <w:right w:val="nil"/>
            </w:tcBorders>
            <w:shd w:val="clear" w:color="auto" w:fill="auto"/>
            <w:noWrap/>
            <w:vAlign w:val="bottom"/>
          </w:tcPr>
          <w:p w14:paraId="433252D5" w14:textId="7F6176FD" w:rsidR="007A1C21" w:rsidRPr="00C85289" w:rsidRDefault="007A1C21" w:rsidP="007A1C21">
            <w:pPr>
              <w:rPr>
                <w:color w:val="000000"/>
                <w:sz w:val="22"/>
                <w:szCs w:val="22"/>
                <w:lang w:eastAsia="en-GB"/>
              </w:rPr>
            </w:pPr>
            <w:r>
              <w:rPr>
                <w:rFonts w:ascii="Calibri" w:hAnsi="Calibri" w:cs="Calibri"/>
                <w:color w:val="000000"/>
                <w:sz w:val="22"/>
                <w:szCs w:val="22"/>
              </w:rPr>
              <w:t>Repayable within 5-10 years</w:t>
            </w:r>
          </w:p>
        </w:tc>
        <w:tc>
          <w:tcPr>
            <w:tcW w:w="1450" w:type="dxa"/>
            <w:tcBorders>
              <w:top w:val="nil"/>
              <w:left w:val="single" w:sz="4" w:space="0" w:color="auto"/>
              <w:bottom w:val="single" w:sz="4" w:space="0" w:color="auto"/>
              <w:right w:val="single" w:sz="4" w:space="0" w:color="auto"/>
            </w:tcBorders>
            <w:shd w:val="clear" w:color="auto" w:fill="auto"/>
            <w:noWrap/>
            <w:vAlign w:val="bottom"/>
          </w:tcPr>
          <w:p w14:paraId="7CA08AB8" w14:textId="37966555" w:rsidR="007A1C21" w:rsidRPr="00C85289" w:rsidRDefault="007A1C21" w:rsidP="00C14B83">
            <w:pPr>
              <w:jc w:val="right"/>
              <w:rPr>
                <w:color w:val="000000"/>
                <w:sz w:val="22"/>
                <w:szCs w:val="22"/>
                <w:lang w:eastAsia="en-GB"/>
              </w:rPr>
            </w:pPr>
            <w:r>
              <w:rPr>
                <w:rFonts w:ascii="Calibri" w:hAnsi="Calibri" w:cs="Calibri"/>
                <w:color w:val="000000"/>
                <w:sz w:val="22"/>
                <w:szCs w:val="22"/>
              </w:rPr>
              <w:t>17</w:t>
            </w:r>
            <w:r w:rsidR="00EC3361">
              <w:rPr>
                <w:rFonts w:ascii="Calibri" w:hAnsi="Calibri" w:cs="Calibri"/>
                <w:color w:val="000000"/>
                <w:sz w:val="22"/>
                <w:szCs w:val="22"/>
              </w:rPr>
              <w:t>.0</w:t>
            </w:r>
          </w:p>
        </w:tc>
      </w:tr>
      <w:tr w:rsidR="007A1C21" w:rsidRPr="00C85289" w14:paraId="0AE31D10" w14:textId="77777777" w:rsidTr="007A1C21">
        <w:trPr>
          <w:trHeight w:val="235"/>
        </w:trPr>
        <w:tc>
          <w:tcPr>
            <w:tcW w:w="3681" w:type="dxa"/>
            <w:tcBorders>
              <w:top w:val="nil"/>
              <w:left w:val="single" w:sz="4" w:space="0" w:color="auto"/>
              <w:bottom w:val="single" w:sz="4" w:space="0" w:color="auto"/>
              <w:right w:val="nil"/>
            </w:tcBorders>
            <w:shd w:val="clear" w:color="auto" w:fill="auto"/>
            <w:noWrap/>
            <w:vAlign w:val="bottom"/>
          </w:tcPr>
          <w:p w14:paraId="53E8868D" w14:textId="0D740C56" w:rsidR="007A1C21" w:rsidRPr="00C85289" w:rsidRDefault="007A1C21" w:rsidP="007A1C21">
            <w:pPr>
              <w:rPr>
                <w:color w:val="000000"/>
                <w:sz w:val="22"/>
                <w:szCs w:val="22"/>
                <w:lang w:eastAsia="en-GB"/>
              </w:rPr>
            </w:pPr>
            <w:r>
              <w:rPr>
                <w:rFonts w:ascii="Calibri" w:hAnsi="Calibri" w:cs="Calibri"/>
                <w:color w:val="000000"/>
                <w:sz w:val="22"/>
                <w:szCs w:val="22"/>
              </w:rPr>
              <w:t>Repayable within 10-15 years</w:t>
            </w:r>
          </w:p>
        </w:tc>
        <w:tc>
          <w:tcPr>
            <w:tcW w:w="1450" w:type="dxa"/>
            <w:tcBorders>
              <w:top w:val="nil"/>
              <w:left w:val="single" w:sz="4" w:space="0" w:color="auto"/>
              <w:bottom w:val="single" w:sz="4" w:space="0" w:color="auto"/>
              <w:right w:val="single" w:sz="4" w:space="0" w:color="auto"/>
            </w:tcBorders>
            <w:shd w:val="clear" w:color="auto" w:fill="auto"/>
            <w:noWrap/>
            <w:vAlign w:val="bottom"/>
          </w:tcPr>
          <w:p w14:paraId="1A7EBB46" w14:textId="3809FB7C" w:rsidR="007A1C21" w:rsidRPr="00C85289" w:rsidRDefault="007A1C21" w:rsidP="00C14B83">
            <w:pPr>
              <w:jc w:val="right"/>
              <w:rPr>
                <w:color w:val="000000"/>
                <w:sz w:val="22"/>
                <w:szCs w:val="22"/>
                <w:lang w:eastAsia="en-GB"/>
              </w:rPr>
            </w:pPr>
            <w:r>
              <w:rPr>
                <w:rFonts w:ascii="Calibri" w:hAnsi="Calibri" w:cs="Calibri"/>
                <w:color w:val="000000"/>
                <w:sz w:val="22"/>
                <w:szCs w:val="22"/>
              </w:rPr>
              <w:t>4.5</w:t>
            </w:r>
          </w:p>
        </w:tc>
      </w:tr>
      <w:tr w:rsidR="007A1C21" w:rsidRPr="00C85289" w14:paraId="2C6E336E" w14:textId="77777777" w:rsidTr="007A1C21">
        <w:trPr>
          <w:trHeight w:val="235"/>
        </w:trPr>
        <w:tc>
          <w:tcPr>
            <w:tcW w:w="3681" w:type="dxa"/>
            <w:tcBorders>
              <w:top w:val="nil"/>
              <w:left w:val="single" w:sz="4" w:space="0" w:color="auto"/>
              <w:bottom w:val="single" w:sz="4" w:space="0" w:color="auto"/>
              <w:right w:val="nil"/>
            </w:tcBorders>
            <w:shd w:val="clear" w:color="auto" w:fill="auto"/>
            <w:noWrap/>
            <w:vAlign w:val="bottom"/>
          </w:tcPr>
          <w:p w14:paraId="45DE9DDE" w14:textId="72019F62" w:rsidR="007A1C21" w:rsidRPr="00C85289" w:rsidRDefault="007A1C21" w:rsidP="007A1C21">
            <w:pPr>
              <w:rPr>
                <w:b/>
                <w:bCs/>
                <w:color w:val="000000"/>
                <w:sz w:val="22"/>
                <w:szCs w:val="22"/>
                <w:lang w:eastAsia="en-GB"/>
              </w:rPr>
            </w:pPr>
            <w:r>
              <w:rPr>
                <w:rFonts w:ascii="Calibri" w:hAnsi="Calibri" w:cs="Calibri"/>
                <w:b/>
                <w:bCs/>
                <w:color w:val="000000"/>
                <w:sz w:val="22"/>
                <w:szCs w:val="22"/>
              </w:rPr>
              <w:t>Total</w:t>
            </w:r>
          </w:p>
        </w:tc>
        <w:tc>
          <w:tcPr>
            <w:tcW w:w="1450" w:type="dxa"/>
            <w:tcBorders>
              <w:top w:val="nil"/>
              <w:left w:val="single" w:sz="4" w:space="0" w:color="auto"/>
              <w:bottom w:val="single" w:sz="4" w:space="0" w:color="auto"/>
              <w:right w:val="single" w:sz="4" w:space="0" w:color="auto"/>
            </w:tcBorders>
            <w:shd w:val="clear" w:color="auto" w:fill="auto"/>
            <w:noWrap/>
            <w:vAlign w:val="bottom"/>
          </w:tcPr>
          <w:p w14:paraId="085B2A30" w14:textId="434C5C8D" w:rsidR="007A1C21" w:rsidRPr="00C85289" w:rsidRDefault="007A1C21" w:rsidP="00C14B83">
            <w:pPr>
              <w:jc w:val="right"/>
              <w:rPr>
                <w:b/>
                <w:bCs/>
                <w:color w:val="000000"/>
                <w:sz w:val="22"/>
                <w:szCs w:val="22"/>
                <w:lang w:eastAsia="en-GB"/>
              </w:rPr>
            </w:pPr>
            <w:r>
              <w:rPr>
                <w:rFonts w:ascii="Calibri" w:hAnsi="Calibri" w:cs="Calibri"/>
                <w:b/>
                <w:bCs/>
                <w:color w:val="000000"/>
                <w:sz w:val="22"/>
                <w:szCs w:val="22"/>
              </w:rPr>
              <w:t>24.5</w:t>
            </w:r>
          </w:p>
        </w:tc>
      </w:tr>
    </w:tbl>
    <w:p w14:paraId="5A56F716" w14:textId="77777777" w:rsidR="00C85289" w:rsidRDefault="00C85289" w:rsidP="0069258D">
      <w:pPr>
        <w:rPr>
          <w:color w:val="000000" w:themeColor="text1"/>
        </w:rPr>
      </w:pPr>
    </w:p>
    <w:p w14:paraId="5143503E" w14:textId="526D51B0" w:rsidR="00B85B38" w:rsidRDefault="00EF3056" w:rsidP="00B85B38">
      <w:pPr>
        <w:spacing w:after="360"/>
        <w:ind w:left="425"/>
        <w:jc w:val="both"/>
        <w:rPr>
          <w:color w:val="000000" w:themeColor="text1"/>
        </w:rPr>
      </w:pPr>
      <w:r>
        <w:rPr>
          <w:color w:val="000000" w:themeColor="text1"/>
        </w:rPr>
        <w:t xml:space="preserve">The table above shows high debt </w:t>
      </w:r>
      <w:r w:rsidR="00DE0B99">
        <w:rPr>
          <w:color w:val="000000" w:themeColor="text1"/>
        </w:rPr>
        <w:t>expiry</w:t>
      </w:r>
      <w:r>
        <w:rPr>
          <w:color w:val="000000" w:themeColor="text1"/>
        </w:rPr>
        <w:t xml:space="preserve"> in </w:t>
      </w:r>
      <w:r w:rsidR="00DE0B99">
        <w:rPr>
          <w:color w:val="000000" w:themeColor="text1"/>
        </w:rPr>
        <w:t>5</w:t>
      </w:r>
      <w:r>
        <w:rPr>
          <w:color w:val="000000" w:themeColor="text1"/>
        </w:rPr>
        <w:t>-1</w:t>
      </w:r>
      <w:r w:rsidR="00DE0B99">
        <w:rPr>
          <w:color w:val="000000" w:themeColor="text1"/>
        </w:rPr>
        <w:t>0</w:t>
      </w:r>
      <w:r>
        <w:rPr>
          <w:color w:val="000000" w:themeColor="text1"/>
        </w:rPr>
        <w:t xml:space="preserve"> years</w:t>
      </w:r>
      <w:r w:rsidR="00DE0B99">
        <w:rPr>
          <w:color w:val="000000" w:themeColor="text1"/>
        </w:rPr>
        <w:t xml:space="preserve"> of £1</w:t>
      </w:r>
      <w:r w:rsidR="007A1C21">
        <w:rPr>
          <w:color w:val="000000" w:themeColor="text1"/>
        </w:rPr>
        <w:t>7</w:t>
      </w:r>
      <w:r w:rsidR="00DE0B99">
        <w:rPr>
          <w:color w:val="000000" w:themeColor="text1"/>
        </w:rPr>
        <w:t>m. The Authority will need to refinance to meet these repayments. The borrowing strategy is considered in the next section.</w:t>
      </w:r>
    </w:p>
    <w:p w14:paraId="461D79B8" w14:textId="77777777" w:rsidR="00544FC8" w:rsidRPr="0004046D" w:rsidRDefault="00544FC8" w:rsidP="0004046D">
      <w:pPr>
        <w:ind w:left="426"/>
        <w:rPr>
          <w:b/>
          <w:u w:val="single"/>
        </w:rPr>
      </w:pPr>
      <w:r w:rsidRPr="0004046D">
        <w:rPr>
          <w:b/>
          <w:u w:val="single"/>
        </w:rPr>
        <w:t>Related Strategies</w:t>
      </w:r>
    </w:p>
    <w:p w14:paraId="73D3510C" w14:textId="77777777" w:rsidR="00544FC8" w:rsidRPr="0004046D" w:rsidRDefault="00544FC8" w:rsidP="0004046D">
      <w:pPr>
        <w:ind w:left="426"/>
        <w:rPr>
          <w:rFonts w:asciiTheme="minorBidi" w:hAnsiTheme="minorBidi" w:cstheme="minorBidi"/>
        </w:rPr>
      </w:pPr>
      <w:r w:rsidRPr="0004046D">
        <w:rPr>
          <w:rFonts w:asciiTheme="minorBidi" w:hAnsiTheme="minorBidi" w:cstheme="minorBidi"/>
        </w:rPr>
        <w:t>The Treasury Management Strategy has been produced alongside several other key strategies of the Authority. These Strategies were prepared based on the same underlying forecasts and assumptions. These Strategies are:</w:t>
      </w:r>
    </w:p>
    <w:p w14:paraId="0CD93BF6"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Reserves Strategy</w:t>
      </w:r>
    </w:p>
    <w:p w14:paraId="04DE16ED"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Medium Term Financial Strategy</w:t>
      </w:r>
    </w:p>
    <w:p w14:paraId="57222B4F"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Capital Strategy and MRP Policy</w:t>
      </w:r>
    </w:p>
    <w:p w14:paraId="54E44BCA" w14:textId="77777777" w:rsidR="00544FC8" w:rsidRDefault="00544FC8" w:rsidP="00544FC8">
      <w:pPr>
        <w:rPr>
          <w:rFonts w:asciiTheme="minorBidi" w:hAnsiTheme="minorBidi" w:cstheme="minorBidi"/>
        </w:rPr>
      </w:pPr>
    </w:p>
    <w:p w14:paraId="7F0B7FB0" w14:textId="3CB04EC8" w:rsidR="00FE351D" w:rsidRDefault="00FE351D" w:rsidP="008D6803">
      <w:pPr>
        <w:spacing w:after="360"/>
        <w:ind w:left="425"/>
        <w:jc w:val="both"/>
        <w:rPr>
          <w:color w:val="000000" w:themeColor="text1"/>
        </w:rPr>
        <w:sectPr w:rsidR="00FE351D" w:rsidSect="00B70DBE">
          <w:footerReference w:type="default" r:id="rId23"/>
          <w:footerReference w:type="first" r:id="rId24"/>
          <w:pgSz w:w="16838" w:h="11906" w:orient="landscape" w:code="9"/>
          <w:pgMar w:top="1276" w:right="1134" w:bottom="1134" w:left="142" w:header="709" w:footer="709" w:gutter="0"/>
          <w:cols w:space="708"/>
          <w:titlePg/>
          <w:docGrid w:linePitch="360"/>
        </w:sectPr>
      </w:pPr>
    </w:p>
    <w:p w14:paraId="45253ABA" w14:textId="5D2048AE" w:rsidR="007E570A" w:rsidRPr="008D6803" w:rsidRDefault="007E570A" w:rsidP="00A5542D">
      <w:pPr>
        <w:pStyle w:val="Heading1"/>
        <w:numPr>
          <w:ilvl w:val="0"/>
          <w:numId w:val="13"/>
        </w:numPr>
        <w:spacing w:before="0" w:after="120"/>
        <w:ind w:left="851" w:hanging="425"/>
        <w:rPr>
          <w:rFonts w:asciiTheme="minorBidi" w:hAnsiTheme="minorBidi" w:cstheme="minorBidi"/>
          <w:sz w:val="28"/>
          <w:szCs w:val="28"/>
        </w:rPr>
      </w:pPr>
      <w:bookmarkStart w:id="9" w:name="_Toc73025261"/>
      <w:bookmarkStart w:id="10" w:name="_Toc130486352"/>
      <w:r w:rsidRPr="0069258D">
        <w:rPr>
          <w:rFonts w:asciiTheme="minorBidi" w:hAnsiTheme="minorBidi" w:cstheme="minorBidi"/>
          <w:sz w:val="28"/>
          <w:szCs w:val="28"/>
        </w:rPr>
        <w:lastRenderedPageBreak/>
        <w:t>Borrowing Strategy</w:t>
      </w:r>
      <w:bookmarkEnd w:id="9"/>
      <w:bookmarkEnd w:id="10"/>
    </w:p>
    <w:p w14:paraId="404ABE4C" w14:textId="147431B7" w:rsidR="007E570A" w:rsidRPr="0041076E" w:rsidRDefault="00FD7B27" w:rsidP="00711110">
      <w:pPr>
        <w:pStyle w:val="ListParagraph"/>
        <w:spacing w:after="240"/>
        <w:ind w:left="426"/>
        <w:jc w:val="both"/>
      </w:pPr>
      <w:r>
        <w:t>At the time of this report, t</w:t>
      </w:r>
      <w:r w:rsidR="007E570A" w:rsidRPr="0041076E">
        <w:t>he Authority holds £2</w:t>
      </w:r>
      <w:r w:rsidR="007E570A">
        <w:t>4.5</w:t>
      </w:r>
      <w:r w:rsidR="007E570A" w:rsidRPr="0041076E">
        <w:rPr>
          <w:color w:val="AF173B"/>
        </w:rPr>
        <w:t xml:space="preserve"> </w:t>
      </w:r>
      <w:r w:rsidR="007E570A" w:rsidRPr="0041076E">
        <w:t>million of loans as part of its strategy for funding previous years’ capital programmes. The balance sheet forecast in table 1 shows that the Authority does not</w:t>
      </w:r>
      <w:r w:rsidR="007E570A">
        <w:t xml:space="preserve"> expect to need to borrow in 202</w:t>
      </w:r>
      <w:r>
        <w:t>3</w:t>
      </w:r>
      <w:r w:rsidR="007E570A">
        <w:t>/2</w:t>
      </w:r>
      <w:r>
        <w:t>4</w:t>
      </w:r>
      <w:r w:rsidR="007E570A" w:rsidRPr="0041076E">
        <w:t>. The Authority may however borrow to pre-fund future years’ requirements, providing this does not exceed the authorised limit for borrowing of £40 million.</w:t>
      </w:r>
      <w:r w:rsidR="007E570A">
        <w:t xml:space="preserve">  </w:t>
      </w:r>
      <w:r w:rsidR="007E570A" w:rsidRPr="00DE0B99">
        <w:t xml:space="preserve">The liability benchmark shows that the Authority may need to borrow to </w:t>
      </w:r>
      <w:r w:rsidR="00DE0B99" w:rsidRPr="00DE0B99">
        <w:t>maintain minimum investments of £</w:t>
      </w:r>
      <w:r w:rsidR="00DE0B99" w:rsidRPr="00653E1B">
        <w:t>10m</w:t>
      </w:r>
      <w:r w:rsidR="007E570A" w:rsidRPr="00653E1B">
        <w:t xml:space="preserve">. </w:t>
      </w:r>
      <w:r w:rsidR="00295FE9" w:rsidRPr="00653E1B">
        <w:t>Th</w:t>
      </w:r>
      <w:r w:rsidR="00807613" w:rsidRPr="00653E1B">
        <w:t xml:space="preserve">e borrowing requirement in the current strategy is a result of </w:t>
      </w:r>
      <w:r w:rsidR="00A647EF" w:rsidRPr="00653E1B">
        <w:t xml:space="preserve">the </w:t>
      </w:r>
      <w:r w:rsidR="00653E1B">
        <w:t xml:space="preserve">planned </w:t>
      </w:r>
      <w:r w:rsidR="00A647EF" w:rsidRPr="00653E1B">
        <w:t>capital programme</w:t>
      </w:r>
      <w:r w:rsidR="00807613" w:rsidRPr="00653E1B">
        <w:t>. For further detail, please refer to the 202</w:t>
      </w:r>
      <w:r w:rsidR="00223B32">
        <w:t>3</w:t>
      </w:r>
      <w:r w:rsidR="00807613" w:rsidRPr="00653E1B">
        <w:t>/2</w:t>
      </w:r>
      <w:r w:rsidR="00223B32">
        <w:t>4</w:t>
      </w:r>
      <w:r w:rsidR="00807613" w:rsidRPr="00653E1B">
        <w:t xml:space="preserve"> Capital Strategy.</w:t>
      </w:r>
    </w:p>
    <w:p w14:paraId="58ED692A" w14:textId="1B9A042C" w:rsidR="007E570A" w:rsidRPr="008D6803" w:rsidRDefault="007E570A" w:rsidP="00711110">
      <w:pPr>
        <w:pStyle w:val="ListParagraph"/>
        <w:spacing w:after="240"/>
        <w:ind w:left="425"/>
        <w:jc w:val="both"/>
      </w:pPr>
      <w:r w:rsidRPr="0041076E">
        <w:rPr>
          <w:b/>
        </w:rPr>
        <w:t>Objectives:</w:t>
      </w:r>
      <w:r w:rsidRPr="0041076E">
        <w:t xml:space="preserve"> The Authority’s chief objective when borrowing money is to strike an appropriately low risk balance between securing low interest costs and achieving certainty of those costs over the period for which funds are required. The flexibility to renegotiate loans should the Authority’s long-term plans change is a secondary objective.</w:t>
      </w:r>
    </w:p>
    <w:p w14:paraId="3C748475" w14:textId="16ED8901" w:rsidR="007E570A" w:rsidRDefault="007E570A" w:rsidP="00711110">
      <w:pPr>
        <w:pStyle w:val="ListParagraph"/>
        <w:spacing w:after="240"/>
        <w:ind w:left="425"/>
        <w:jc w:val="both"/>
      </w:pPr>
      <w:r w:rsidRPr="0041076E">
        <w:rPr>
          <w:b/>
        </w:rPr>
        <w:t>Strategy:</w:t>
      </w:r>
      <w:r w:rsidRPr="0041076E">
        <w:t xml:space="preserve"> Given the significant cuts to public expenditure and </w:t>
      </w:r>
      <w:proofErr w:type="gramStart"/>
      <w:r w:rsidRPr="0041076E">
        <w:t>in particular to</w:t>
      </w:r>
      <w:proofErr w:type="gramEnd"/>
      <w:r w:rsidRPr="0041076E">
        <w:t xml:space="preserve"> local government funding, the Authority’s borrowing strategy continues to address the key issue of affordability without compromising the longer-term stability of the debt portfolio. </w:t>
      </w:r>
      <w:r w:rsidR="00F94337">
        <w:t xml:space="preserve"> </w:t>
      </w:r>
    </w:p>
    <w:p w14:paraId="6DD27ABA" w14:textId="61EC6691" w:rsidR="007E570A" w:rsidRPr="008D6803" w:rsidRDefault="007E570A" w:rsidP="002F2756">
      <w:pPr>
        <w:spacing w:after="240"/>
        <w:ind w:left="425"/>
        <w:jc w:val="both"/>
      </w:pPr>
      <w:r w:rsidRPr="0041076E">
        <w:t>By doing so, the Authority can reduce net borrowing costs (despite foregone investment income) and reduce overall treasury risk. The benefits of internal/short-term borrowing will be monitored regularly against the potential for incurring additional costs by deferring borrowing into future years when long-term borrowing rates are forecast to rise modestly. Its output may determine whether the Authority borrows additional sums at long</w:t>
      </w:r>
      <w:r>
        <w:t>-term fixed rates in 202</w:t>
      </w:r>
      <w:r w:rsidR="008B75FC">
        <w:t>3</w:t>
      </w:r>
      <w:r>
        <w:t>/2</w:t>
      </w:r>
      <w:r w:rsidR="008B75FC">
        <w:t>4</w:t>
      </w:r>
      <w:r>
        <w:t xml:space="preserve"> </w:t>
      </w:r>
      <w:r w:rsidRPr="0041076E">
        <w:t>with a view to keeping future interest costs low, even if this causes additional cost in the short-term.</w:t>
      </w:r>
      <w:r w:rsidR="002F2756">
        <w:t xml:space="preserve"> </w:t>
      </w:r>
      <w:r w:rsidRPr="0041076E">
        <w:t>In addition, the Authority may borrow short-term loans to cover unplanned cash flow shortages.</w:t>
      </w:r>
      <w:r w:rsidR="00CD4202">
        <w:t xml:space="preserve"> </w:t>
      </w:r>
      <w:r w:rsidR="00C1577E">
        <w:t xml:space="preserve">Future borrowing will be driven by business need, once Full Business Cases for key capital projects are available. </w:t>
      </w:r>
      <w:r w:rsidR="00CD4202">
        <w:t>The sources of borrowing available to the Authority are discussed below:</w:t>
      </w:r>
    </w:p>
    <w:p w14:paraId="3EBB2BDB" w14:textId="77777777" w:rsidR="007E570A" w:rsidRPr="0041076E" w:rsidRDefault="007E570A" w:rsidP="009D5371">
      <w:pPr>
        <w:pStyle w:val="ListParagraph"/>
        <w:ind w:left="425"/>
        <w:jc w:val="both"/>
      </w:pPr>
      <w:r w:rsidRPr="0041076E">
        <w:rPr>
          <w:b/>
        </w:rPr>
        <w:t>Sources of borrowing:</w:t>
      </w:r>
      <w:r w:rsidRPr="0041076E">
        <w:t xml:space="preserve"> The approved sources of long-term and short-term borrowing are:</w:t>
      </w:r>
    </w:p>
    <w:p w14:paraId="2D8E34D2" w14:textId="77777777" w:rsidR="007E570A" w:rsidRPr="0041076E" w:rsidRDefault="007E570A" w:rsidP="00191AA6">
      <w:pPr>
        <w:pStyle w:val="ListParagraph"/>
        <w:numPr>
          <w:ilvl w:val="0"/>
          <w:numId w:val="2"/>
        </w:numPr>
        <w:spacing w:after="200" w:line="276" w:lineRule="auto"/>
        <w:ind w:left="993" w:hanging="349"/>
        <w:contextualSpacing/>
        <w:jc w:val="both"/>
      </w:pPr>
      <w:r>
        <w:t>HM Treasury’s PWLB lending facility (formerly the Public Works Loan Board)</w:t>
      </w:r>
    </w:p>
    <w:p w14:paraId="438D21F9"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any institution approved for investments (see below)</w:t>
      </w:r>
    </w:p>
    <w:p w14:paraId="185D2474"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 xml:space="preserve">any other bank or building society authorised to operate in the </w:t>
      </w:r>
      <w:proofErr w:type="gramStart"/>
      <w:r w:rsidRPr="0041076E">
        <w:t>UK</w:t>
      </w:r>
      <w:proofErr w:type="gramEnd"/>
    </w:p>
    <w:p w14:paraId="484C2532"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any other UK public sector body</w:t>
      </w:r>
    </w:p>
    <w:p w14:paraId="2C3BCBB4"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 xml:space="preserve">UK public and private sector pension funds </w:t>
      </w:r>
    </w:p>
    <w:p w14:paraId="0D027862"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 xml:space="preserve">capital market bond </w:t>
      </w:r>
      <w:proofErr w:type="gramStart"/>
      <w:r w:rsidRPr="0041076E">
        <w:t>investors</w:t>
      </w:r>
      <w:proofErr w:type="gramEnd"/>
    </w:p>
    <w:p w14:paraId="16EF37EC" w14:textId="6AFBC3AD" w:rsidR="007E570A" w:rsidRDefault="007E570A" w:rsidP="00191AA6">
      <w:pPr>
        <w:pStyle w:val="ListParagraph"/>
        <w:numPr>
          <w:ilvl w:val="0"/>
          <w:numId w:val="2"/>
        </w:numPr>
        <w:spacing w:after="120"/>
        <w:ind w:left="993" w:hanging="352"/>
        <w:jc w:val="both"/>
      </w:pPr>
      <w:r w:rsidRPr="0041076E">
        <w:t xml:space="preserve">UK Municipal Bonds Agency plc and other special purpose companies created to enable local authority bond </w:t>
      </w:r>
      <w:proofErr w:type="gramStart"/>
      <w:r w:rsidRPr="0041076E">
        <w:t>issues</w:t>
      </w:r>
      <w:proofErr w:type="gramEnd"/>
    </w:p>
    <w:p w14:paraId="02B0F463" w14:textId="77777777" w:rsidR="00CF2A33" w:rsidRDefault="00CF2A33" w:rsidP="00CF2A33">
      <w:pPr>
        <w:spacing w:after="120"/>
        <w:jc w:val="both"/>
      </w:pPr>
    </w:p>
    <w:p w14:paraId="2621368C" w14:textId="77777777" w:rsidR="00CF2A33" w:rsidRPr="00FE351D" w:rsidRDefault="00CF2A33" w:rsidP="00CF2A33">
      <w:pPr>
        <w:spacing w:after="120"/>
        <w:jc w:val="both"/>
      </w:pPr>
    </w:p>
    <w:p w14:paraId="724118CC" w14:textId="10A5D8FC" w:rsidR="007E570A" w:rsidRPr="0041076E" w:rsidRDefault="007E570A" w:rsidP="008D6803">
      <w:pPr>
        <w:pStyle w:val="ListParagraph"/>
        <w:spacing w:after="120"/>
        <w:ind w:left="425"/>
        <w:jc w:val="both"/>
      </w:pPr>
      <w:r w:rsidRPr="0041076E">
        <w:rPr>
          <w:b/>
        </w:rPr>
        <w:lastRenderedPageBreak/>
        <w:t>Other sources of debt finance:</w:t>
      </w:r>
      <w:r w:rsidRPr="0041076E">
        <w:t xml:space="preserve"> In addition, capital finance may be raised by the following methods that are not borrowing, but may be classed as other debt liabilities:</w:t>
      </w:r>
    </w:p>
    <w:p w14:paraId="46612F90" w14:textId="77777777" w:rsidR="007E570A" w:rsidRPr="0041076E" w:rsidRDefault="007E570A" w:rsidP="00191AA6">
      <w:pPr>
        <w:pStyle w:val="ListParagraph"/>
        <w:numPr>
          <w:ilvl w:val="0"/>
          <w:numId w:val="2"/>
        </w:numPr>
        <w:spacing w:after="200" w:line="276" w:lineRule="auto"/>
        <w:ind w:left="993" w:hanging="352"/>
        <w:contextualSpacing/>
        <w:jc w:val="both"/>
      </w:pPr>
      <w:r>
        <w:t>L</w:t>
      </w:r>
      <w:r w:rsidRPr="0041076E">
        <w:t>easing</w:t>
      </w:r>
    </w:p>
    <w:p w14:paraId="196A7F0E" w14:textId="77777777" w:rsidR="007E570A" w:rsidRPr="0041076E" w:rsidRDefault="007E570A" w:rsidP="00191AA6">
      <w:pPr>
        <w:pStyle w:val="ListParagraph"/>
        <w:numPr>
          <w:ilvl w:val="0"/>
          <w:numId w:val="2"/>
        </w:numPr>
        <w:spacing w:after="200" w:line="276" w:lineRule="auto"/>
        <w:ind w:left="993" w:hanging="352"/>
        <w:contextualSpacing/>
        <w:jc w:val="both"/>
      </w:pPr>
      <w:r>
        <w:t>H</w:t>
      </w:r>
      <w:r w:rsidRPr="0041076E">
        <w:t xml:space="preserve">ire </w:t>
      </w:r>
      <w:proofErr w:type="gramStart"/>
      <w:r w:rsidRPr="0041076E">
        <w:t>purchase</w:t>
      </w:r>
      <w:proofErr w:type="gramEnd"/>
    </w:p>
    <w:p w14:paraId="25990A76" w14:textId="77777777" w:rsidR="007E570A" w:rsidRPr="0041076E" w:rsidRDefault="007E570A" w:rsidP="00191AA6">
      <w:pPr>
        <w:pStyle w:val="ListParagraph"/>
        <w:numPr>
          <w:ilvl w:val="0"/>
          <w:numId w:val="2"/>
        </w:numPr>
        <w:spacing w:after="200" w:line="276" w:lineRule="auto"/>
        <w:ind w:left="993" w:hanging="352"/>
        <w:contextualSpacing/>
        <w:jc w:val="both"/>
      </w:pPr>
      <w:r w:rsidRPr="0041076E">
        <w:t xml:space="preserve">Private Finance Initiative </w:t>
      </w:r>
    </w:p>
    <w:p w14:paraId="7B332A8E" w14:textId="77777777" w:rsidR="007E570A" w:rsidRPr="0041076E" w:rsidRDefault="007E570A" w:rsidP="00191AA6">
      <w:pPr>
        <w:pStyle w:val="ListParagraph"/>
        <w:numPr>
          <w:ilvl w:val="0"/>
          <w:numId w:val="2"/>
        </w:numPr>
        <w:spacing w:after="200" w:line="276" w:lineRule="auto"/>
        <w:ind w:left="993" w:hanging="349"/>
        <w:jc w:val="both"/>
      </w:pPr>
      <w:r>
        <w:t>S</w:t>
      </w:r>
      <w:r w:rsidRPr="0041076E">
        <w:t>ale and leaseback</w:t>
      </w:r>
    </w:p>
    <w:p w14:paraId="6106E234" w14:textId="6AC986F1" w:rsidR="007E570A" w:rsidRDefault="007E570A" w:rsidP="00FE351D">
      <w:pPr>
        <w:pStyle w:val="ListParagraph"/>
        <w:spacing w:after="240"/>
        <w:ind w:left="425"/>
        <w:jc w:val="both"/>
      </w:pPr>
      <w:r w:rsidRPr="0041076E">
        <w:t xml:space="preserve">The Authority has previously raised all of its long-term borrowing from the </w:t>
      </w:r>
      <w:proofErr w:type="gramStart"/>
      <w:r w:rsidRPr="0041076E">
        <w:t>PWLB</w:t>
      </w:r>
      <w:proofErr w:type="gramEnd"/>
      <w:r w:rsidRPr="0041076E">
        <w:t xml:space="preserve"> but it continues to investigate other sources of finance, such as local authority loans and bank loans that may be available at more favourable rates.</w:t>
      </w:r>
    </w:p>
    <w:p w14:paraId="38EE06F3" w14:textId="5072962C" w:rsidR="00DE24D6" w:rsidRDefault="00686A99" w:rsidP="00FE351D">
      <w:pPr>
        <w:pStyle w:val="ListParagraph"/>
        <w:spacing w:after="240"/>
        <w:ind w:left="425"/>
        <w:jc w:val="both"/>
      </w:pPr>
      <w:r>
        <w:t xml:space="preserve">The revised CIPFA Prudential Code for Capital Finance in Local Authorities was issued on </w:t>
      </w:r>
      <w:r w:rsidR="00BC7E22">
        <w:t xml:space="preserve">20 December 2021 and </w:t>
      </w:r>
      <w:r w:rsidR="00B5614B">
        <w:t>was</w:t>
      </w:r>
      <w:r w:rsidR="00BC7E22">
        <w:t xml:space="preserve"> effective from 1 April 2022. This</w:t>
      </w:r>
      <w:r>
        <w:t xml:space="preserve"> </w:t>
      </w:r>
      <w:r w:rsidR="00E7246D">
        <w:t>introduce</w:t>
      </w:r>
      <w:r w:rsidR="00BC7E22">
        <w:t>s</w:t>
      </w:r>
      <w:r w:rsidR="00E7246D">
        <w:t xml:space="preserve"> new rules for borrowing</w:t>
      </w:r>
      <w:r w:rsidR="0007646C">
        <w:t xml:space="preserve"> to fund the purchase of assets, primarily for </w:t>
      </w:r>
      <w:r w:rsidR="00DE04B7">
        <w:t>a return</w:t>
      </w:r>
      <w:r w:rsidR="00BC7E22">
        <w:t xml:space="preserve"> (</w:t>
      </w:r>
      <w:r w:rsidR="00323155">
        <w:t>investment properties)</w:t>
      </w:r>
      <w:r w:rsidR="0007646C">
        <w:t>.</w:t>
      </w:r>
      <w:r w:rsidR="00323155">
        <w:t xml:space="preserve"> The Service </w:t>
      </w:r>
      <w:r w:rsidR="00A33D0A">
        <w:t>is</w:t>
      </w:r>
      <w:r w:rsidR="00323155">
        <w:t xml:space="preserve"> fully compl</w:t>
      </w:r>
      <w:r w:rsidR="00857098">
        <w:t>iant</w:t>
      </w:r>
      <w:r w:rsidR="00323155">
        <w:t xml:space="preserve"> with this requirement</w:t>
      </w:r>
      <w:r w:rsidR="00DE04B7">
        <w:t>, and any future borrowing will be compliant with the Prudential Code.</w:t>
      </w:r>
      <w:r w:rsidR="0007646C">
        <w:t xml:space="preserve"> </w:t>
      </w:r>
    </w:p>
    <w:p w14:paraId="672A3099" w14:textId="7896FEF9" w:rsidR="007E570A" w:rsidRPr="008D6803" w:rsidRDefault="007E570A" w:rsidP="00FE351D">
      <w:pPr>
        <w:pStyle w:val="ListParagraph"/>
        <w:spacing w:after="240"/>
        <w:ind w:left="425"/>
        <w:jc w:val="both"/>
      </w:pPr>
      <w:r w:rsidRPr="0041076E">
        <w:rPr>
          <w:b/>
        </w:rPr>
        <w:t>Municipal Bonds Agency:</w:t>
      </w:r>
      <w:r w:rsidRPr="0041076E">
        <w:t xml:space="preserve"> UK Municipal Bonds Agency plc was established in 2014 by the Local Government Association as an alternative to the PWLB.  It issue</w:t>
      </w:r>
      <w:r>
        <w:t>s</w:t>
      </w:r>
      <w:r w:rsidRPr="0041076E">
        <w:t xml:space="preserve"> bonds on the capital markets and lend</w:t>
      </w:r>
      <w:r>
        <w:t>s</w:t>
      </w:r>
      <w:r w:rsidRPr="0041076E">
        <w:t xml:space="preserve"> the proceeds to local authorities.  This </w:t>
      </w:r>
      <w:r>
        <w:t xml:space="preserve">is </w:t>
      </w:r>
      <w:r w:rsidRPr="0041076E">
        <w:t xml:space="preserve">a more complicated source of finance than the PWLB for two reasons: borrowing authorities will be required to provide bond investors with a joint and several guarantee to refund their investment </w:t>
      </w:r>
      <w:proofErr w:type="gramStart"/>
      <w:r w:rsidRPr="0041076E">
        <w:t>in the event that</w:t>
      </w:r>
      <w:proofErr w:type="gramEnd"/>
      <w:r w:rsidRPr="0041076E">
        <w:t xml:space="preserve"> the agency is unable to for any reason; and there will be a lead time of several months between committing to borrow and knowing the interest rate payable. Any decision to borrow from the Agency will therefore be the subject of a separate report to the Commissioner.   </w:t>
      </w:r>
    </w:p>
    <w:p w14:paraId="3FB113D1" w14:textId="3EBE1C74" w:rsidR="007E570A" w:rsidRPr="008D6803" w:rsidRDefault="007E570A" w:rsidP="00FE351D">
      <w:pPr>
        <w:pStyle w:val="ListParagraph"/>
        <w:spacing w:after="240"/>
        <w:ind w:left="425"/>
        <w:jc w:val="both"/>
      </w:pPr>
      <w:r w:rsidRPr="0041076E">
        <w:rPr>
          <w:b/>
        </w:rPr>
        <w:t>Short-term and variable rate loans</w:t>
      </w:r>
      <w:r w:rsidRPr="0041076E">
        <w:t>: These loans leave the Authority exposed to the risk of short-term interest rate rises and are therefore subject to the interest rate exposure limits in the treasury management indicators below.</w:t>
      </w:r>
    </w:p>
    <w:p w14:paraId="08198C33" w14:textId="02874255" w:rsidR="00AE4FEB" w:rsidRPr="00AE4FEB" w:rsidRDefault="007E570A" w:rsidP="00AE4FEB">
      <w:pPr>
        <w:pStyle w:val="ListParagraph"/>
        <w:spacing w:after="360"/>
        <w:ind w:left="425"/>
        <w:jc w:val="both"/>
      </w:pPr>
      <w:r w:rsidRPr="0041076E">
        <w:rPr>
          <w:b/>
        </w:rPr>
        <w:t>Debt rescheduling:</w:t>
      </w:r>
      <w:r w:rsidRPr="0041076E">
        <w:t xml:space="preserve"> The PWLB allows authorities to repay loans before maturity</w:t>
      </w:r>
      <w:r w:rsidR="00DA190B">
        <w:t xml:space="preserve"> </w:t>
      </w:r>
      <w:r w:rsidR="00AE4FEB" w:rsidRPr="00AE4FEB">
        <w:t>and either pay a premium or receive a discount according to a set formula based on current interest rates. Other lenders may also be prepared to negotiate premature redemption terms. The Authority may take advantage of this and replace some loans with new loans, or repay loans without replacement, where this is expected to lead to an overall cost saving or a reduction in risk. The recent rise in interest rates means that more favourable debt rescheduling opportunities should arise than in previous years.</w:t>
      </w:r>
    </w:p>
    <w:p w14:paraId="075206C8" w14:textId="57244097" w:rsidR="007E570A" w:rsidRDefault="007E570A" w:rsidP="00711110">
      <w:pPr>
        <w:pStyle w:val="ListParagraph"/>
        <w:spacing w:after="360"/>
        <w:ind w:left="425"/>
        <w:jc w:val="both"/>
      </w:pPr>
    </w:p>
    <w:p w14:paraId="755C535B" w14:textId="70F2D247" w:rsidR="008007B4" w:rsidRDefault="008007B4" w:rsidP="00711110">
      <w:pPr>
        <w:pStyle w:val="ListParagraph"/>
        <w:spacing w:after="360"/>
        <w:ind w:left="425"/>
        <w:jc w:val="both"/>
      </w:pPr>
    </w:p>
    <w:p w14:paraId="506D9001" w14:textId="470C33B5" w:rsidR="00CC3232" w:rsidRPr="008D6803" w:rsidRDefault="007E570A" w:rsidP="00A5542D">
      <w:pPr>
        <w:pStyle w:val="Heading1"/>
        <w:numPr>
          <w:ilvl w:val="0"/>
          <w:numId w:val="13"/>
        </w:numPr>
        <w:spacing w:before="0" w:after="240"/>
        <w:ind w:left="851" w:hanging="425"/>
        <w:rPr>
          <w:rFonts w:asciiTheme="minorBidi" w:hAnsiTheme="minorBidi" w:cstheme="minorBidi"/>
          <w:sz w:val="28"/>
          <w:szCs w:val="28"/>
        </w:rPr>
      </w:pPr>
      <w:bookmarkStart w:id="11" w:name="_Toc73025262"/>
      <w:bookmarkStart w:id="12" w:name="_Toc130486353"/>
      <w:r w:rsidRPr="008D6803">
        <w:rPr>
          <w:rFonts w:asciiTheme="minorBidi" w:hAnsiTheme="minorBidi" w:cstheme="minorBidi"/>
          <w:sz w:val="28"/>
          <w:szCs w:val="28"/>
        </w:rPr>
        <w:lastRenderedPageBreak/>
        <w:t>Investment Strategy</w:t>
      </w:r>
      <w:bookmarkEnd w:id="11"/>
      <w:bookmarkEnd w:id="12"/>
    </w:p>
    <w:p w14:paraId="09ABEF55" w14:textId="5E24B664" w:rsidR="007E570A" w:rsidRDefault="007E570A" w:rsidP="00FE351D">
      <w:pPr>
        <w:pStyle w:val="ListParagraph"/>
        <w:spacing w:after="240"/>
        <w:ind w:left="426"/>
        <w:jc w:val="both"/>
      </w:pPr>
      <w:r w:rsidRPr="0041076E">
        <w:t xml:space="preserve">The Authority holds modest levels of invested funds, representing income received in advance of expenditure plus balances and reserves held. In the past 12 months, the Authority’s </w:t>
      </w:r>
      <w:r>
        <w:t xml:space="preserve">treasury </w:t>
      </w:r>
      <w:r w:rsidRPr="0041076E">
        <w:t>investment balance has ranged between £</w:t>
      </w:r>
      <w:r w:rsidR="009A34C2">
        <w:t>1</w:t>
      </w:r>
      <w:r w:rsidR="001A0D2A">
        <w:t>3</w:t>
      </w:r>
      <w:r w:rsidRPr="0041076E">
        <w:t xml:space="preserve"> and £</w:t>
      </w:r>
      <w:r w:rsidR="001A0D2A">
        <w:t>28</w:t>
      </w:r>
      <w:r w:rsidRPr="0041076E">
        <w:t xml:space="preserve"> million; however, levels are expected to fall going forward</w:t>
      </w:r>
      <w:r w:rsidR="00B765A4">
        <w:t xml:space="preserve"> due to</w:t>
      </w:r>
      <w:r w:rsidR="00827A9C">
        <w:t xml:space="preserve"> investment in</w:t>
      </w:r>
      <w:r w:rsidR="00B765A4">
        <w:t xml:space="preserve"> the Capital Programme</w:t>
      </w:r>
      <w:r w:rsidRPr="0041076E">
        <w:t>.</w:t>
      </w:r>
    </w:p>
    <w:p w14:paraId="23A729B2" w14:textId="34C123CB" w:rsidR="00882255" w:rsidRPr="00882255" w:rsidRDefault="00882255" w:rsidP="00FE351D">
      <w:pPr>
        <w:pStyle w:val="ListParagraph"/>
        <w:spacing w:after="240"/>
        <w:ind w:left="426"/>
        <w:jc w:val="both"/>
        <w:rPr>
          <w:b/>
          <w:bCs/>
        </w:rPr>
      </w:pPr>
      <w:r w:rsidRPr="00882255">
        <w:rPr>
          <w:b/>
          <w:bCs/>
        </w:rPr>
        <w:t>Investment</w:t>
      </w:r>
      <w:r w:rsidR="007906D5">
        <w:rPr>
          <w:b/>
          <w:bCs/>
        </w:rPr>
        <w:t>s</w:t>
      </w:r>
      <w:r w:rsidRPr="00882255">
        <w:rPr>
          <w:b/>
          <w:bCs/>
        </w:rPr>
        <w:t xml:space="preserve"> over the past twelve months</w:t>
      </w:r>
      <w:r w:rsidR="00214290">
        <w:rPr>
          <w:b/>
          <w:bCs/>
        </w:rPr>
        <w:t xml:space="preserve"> (</w:t>
      </w:r>
      <w:r w:rsidR="00F62DA7">
        <w:rPr>
          <w:b/>
          <w:bCs/>
        </w:rPr>
        <w:t>January</w:t>
      </w:r>
      <w:r w:rsidR="00214290">
        <w:rPr>
          <w:b/>
          <w:bCs/>
        </w:rPr>
        <w:t xml:space="preserve"> 202</w:t>
      </w:r>
      <w:r w:rsidR="00F62DA7">
        <w:rPr>
          <w:b/>
          <w:bCs/>
        </w:rPr>
        <w:t>2</w:t>
      </w:r>
      <w:r w:rsidR="00214290">
        <w:rPr>
          <w:b/>
          <w:bCs/>
        </w:rPr>
        <w:t xml:space="preserve"> to </w:t>
      </w:r>
      <w:r w:rsidR="00F62DA7">
        <w:rPr>
          <w:b/>
          <w:bCs/>
        </w:rPr>
        <w:t>December</w:t>
      </w:r>
      <w:r w:rsidR="00214290">
        <w:rPr>
          <w:b/>
          <w:bCs/>
        </w:rPr>
        <w:t xml:space="preserve"> 2022)</w:t>
      </w:r>
      <w:r w:rsidRPr="00882255">
        <w:rPr>
          <w:b/>
          <w:bCs/>
        </w:rPr>
        <w:t>:</w:t>
      </w:r>
    </w:p>
    <w:tbl>
      <w:tblPr>
        <w:tblW w:w="9538" w:type="dxa"/>
        <w:tblInd w:w="522" w:type="dxa"/>
        <w:tblLook w:val="04A0" w:firstRow="1" w:lastRow="0" w:firstColumn="1" w:lastColumn="0" w:noHBand="0" w:noVBand="1"/>
      </w:tblPr>
      <w:tblGrid>
        <w:gridCol w:w="2875"/>
        <w:gridCol w:w="2127"/>
        <w:gridCol w:w="1559"/>
        <w:gridCol w:w="1559"/>
        <w:gridCol w:w="1418"/>
      </w:tblGrid>
      <w:tr w:rsidR="009E1A13" w:rsidRPr="004270D7" w14:paraId="510BE673" w14:textId="446576F7" w:rsidTr="004E5DBD">
        <w:trPr>
          <w:trHeight w:val="403"/>
        </w:trPr>
        <w:tc>
          <w:tcPr>
            <w:tcW w:w="287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0F8348F0"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Investment</w:t>
            </w:r>
          </w:p>
        </w:tc>
        <w:tc>
          <w:tcPr>
            <w:tcW w:w="2127"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A91C5ED"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Category</w:t>
            </w:r>
          </w:p>
        </w:tc>
        <w:tc>
          <w:tcPr>
            <w:tcW w:w="155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0562EB6B"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Average Invested</w:t>
            </w:r>
          </w:p>
        </w:tc>
        <w:tc>
          <w:tcPr>
            <w:tcW w:w="155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3EEE24F0" w14:textId="5F616CB7" w:rsidR="009E1A13" w:rsidRPr="00A16071" w:rsidRDefault="009E1A13" w:rsidP="004270D7">
            <w:pPr>
              <w:jc w:val="center"/>
              <w:rPr>
                <w:b/>
                <w:bCs/>
                <w:color w:val="000000"/>
                <w:sz w:val="20"/>
                <w:szCs w:val="20"/>
                <w:lang w:eastAsia="en-GB"/>
              </w:rPr>
            </w:pPr>
            <w:r w:rsidRPr="00A16071">
              <w:rPr>
                <w:b/>
                <w:bCs/>
                <w:color w:val="000000"/>
                <w:sz w:val="20"/>
                <w:szCs w:val="20"/>
                <w:lang w:eastAsia="en-GB"/>
              </w:rPr>
              <w:t>Average Interest %</w:t>
            </w:r>
          </w:p>
        </w:tc>
        <w:tc>
          <w:tcPr>
            <w:tcW w:w="1418" w:type="dxa"/>
            <w:tcBorders>
              <w:top w:val="single" w:sz="4" w:space="0" w:color="auto"/>
              <w:left w:val="nil"/>
              <w:bottom w:val="single" w:sz="4" w:space="0" w:color="auto"/>
              <w:right w:val="single" w:sz="4" w:space="0" w:color="auto"/>
            </w:tcBorders>
            <w:shd w:val="clear" w:color="auto" w:fill="BDD6EE" w:themeFill="accent5" w:themeFillTint="66"/>
          </w:tcPr>
          <w:p w14:paraId="0391CA1C" w14:textId="5BBC42E5" w:rsidR="009E1A13" w:rsidRPr="00A16071" w:rsidRDefault="009E1A13" w:rsidP="004270D7">
            <w:pPr>
              <w:jc w:val="center"/>
              <w:rPr>
                <w:b/>
                <w:bCs/>
                <w:color w:val="000000"/>
                <w:sz w:val="20"/>
                <w:szCs w:val="20"/>
                <w:lang w:eastAsia="en-GB"/>
              </w:rPr>
            </w:pPr>
            <w:r w:rsidRPr="00A16071">
              <w:rPr>
                <w:b/>
                <w:bCs/>
                <w:color w:val="000000"/>
                <w:sz w:val="20"/>
                <w:szCs w:val="20"/>
                <w:lang w:eastAsia="en-GB"/>
              </w:rPr>
              <w:t>Interest Received</w:t>
            </w:r>
          </w:p>
        </w:tc>
      </w:tr>
      <w:tr w:rsidR="004E034D" w:rsidRPr="004270D7" w14:paraId="72EBF793" w14:textId="33BABCCA" w:rsidTr="004E5DBD">
        <w:trPr>
          <w:trHeight w:val="6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094ACC2" w14:textId="77777777" w:rsidR="004E034D" w:rsidRPr="00A16071" w:rsidRDefault="004E034D" w:rsidP="004E034D">
            <w:pPr>
              <w:rPr>
                <w:color w:val="000000"/>
                <w:sz w:val="20"/>
                <w:szCs w:val="20"/>
                <w:lang w:eastAsia="en-GB"/>
              </w:rPr>
            </w:pPr>
            <w:r w:rsidRPr="00A16071">
              <w:rPr>
                <w:color w:val="000000"/>
                <w:sz w:val="20"/>
                <w:szCs w:val="20"/>
                <w:lang w:eastAsia="en-GB"/>
              </w:rPr>
              <w:t>Morgan Stanley</w:t>
            </w:r>
          </w:p>
        </w:tc>
        <w:tc>
          <w:tcPr>
            <w:tcW w:w="2127" w:type="dxa"/>
            <w:tcBorders>
              <w:top w:val="nil"/>
              <w:left w:val="nil"/>
              <w:bottom w:val="single" w:sz="4" w:space="0" w:color="auto"/>
              <w:right w:val="single" w:sz="4" w:space="0" w:color="auto"/>
            </w:tcBorders>
            <w:shd w:val="clear" w:color="auto" w:fill="auto"/>
            <w:noWrap/>
            <w:vAlign w:val="bottom"/>
            <w:hideMark/>
          </w:tcPr>
          <w:p w14:paraId="72B4664A" w14:textId="77777777" w:rsidR="004E034D" w:rsidRPr="00A16071" w:rsidRDefault="004E034D" w:rsidP="004E034D">
            <w:pPr>
              <w:jc w:val="center"/>
              <w:rPr>
                <w:color w:val="000000"/>
                <w:sz w:val="20"/>
                <w:szCs w:val="20"/>
                <w:lang w:eastAsia="en-GB"/>
              </w:rPr>
            </w:pPr>
            <w:r w:rsidRPr="00A16071">
              <w:rPr>
                <w:color w:val="000000"/>
                <w:sz w:val="20"/>
                <w:szCs w:val="20"/>
                <w:lang w:eastAsia="en-GB"/>
              </w:rPr>
              <w:t>MMF</w:t>
            </w:r>
          </w:p>
        </w:tc>
        <w:tc>
          <w:tcPr>
            <w:tcW w:w="1559" w:type="dxa"/>
            <w:tcBorders>
              <w:top w:val="nil"/>
              <w:left w:val="nil"/>
              <w:bottom w:val="single" w:sz="4" w:space="0" w:color="auto"/>
              <w:right w:val="single" w:sz="4" w:space="0" w:color="auto"/>
            </w:tcBorders>
            <w:shd w:val="clear" w:color="auto" w:fill="auto"/>
            <w:noWrap/>
            <w:hideMark/>
          </w:tcPr>
          <w:p w14:paraId="0DC52098" w14:textId="7B93C175" w:rsidR="004E034D" w:rsidRPr="004E034D" w:rsidRDefault="004E034D" w:rsidP="004E034D">
            <w:pPr>
              <w:jc w:val="center"/>
              <w:rPr>
                <w:color w:val="000000"/>
                <w:sz w:val="20"/>
                <w:szCs w:val="20"/>
                <w:lang w:eastAsia="en-GB"/>
              </w:rPr>
            </w:pPr>
            <w:r w:rsidRPr="004E034D">
              <w:rPr>
                <w:sz w:val="20"/>
                <w:szCs w:val="20"/>
              </w:rPr>
              <w:t xml:space="preserve"> £3M </w:t>
            </w:r>
          </w:p>
        </w:tc>
        <w:tc>
          <w:tcPr>
            <w:tcW w:w="1559" w:type="dxa"/>
            <w:tcBorders>
              <w:top w:val="nil"/>
              <w:left w:val="nil"/>
              <w:bottom w:val="single" w:sz="4" w:space="0" w:color="auto"/>
              <w:right w:val="single" w:sz="4" w:space="0" w:color="auto"/>
            </w:tcBorders>
            <w:shd w:val="clear" w:color="auto" w:fill="auto"/>
            <w:noWrap/>
            <w:hideMark/>
          </w:tcPr>
          <w:p w14:paraId="5E80167F" w14:textId="163FE156" w:rsidR="004E034D" w:rsidRPr="004E034D" w:rsidRDefault="004E034D" w:rsidP="004E034D">
            <w:pPr>
              <w:jc w:val="center"/>
              <w:rPr>
                <w:color w:val="000000"/>
                <w:sz w:val="20"/>
                <w:szCs w:val="20"/>
                <w:lang w:eastAsia="en-GB"/>
              </w:rPr>
            </w:pPr>
            <w:r w:rsidRPr="004E034D">
              <w:rPr>
                <w:sz w:val="20"/>
                <w:szCs w:val="20"/>
              </w:rPr>
              <w:t>1.5%</w:t>
            </w:r>
          </w:p>
        </w:tc>
        <w:tc>
          <w:tcPr>
            <w:tcW w:w="1418" w:type="dxa"/>
            <w:tcBorders>
              <w:top w:val="nil"/>
              <w:left w:val="nil"/>
              <w:bottom w:val="single" w:sz="4" w:space="0" w:color="auto"/>
              <w:right w:val="single" w:sz="4" w:space="0" w:color="auto"/>
            </w:tcBorders>
          </w:tcPr>
          <w:p w14:paraId="1DE9647B" w14:textId="43CDDF8B" w:rsidR="004E034D" w:rsidRPr="004E034D" w:rsidRDefault="004E034D" w:rsidP="004E034D">
            <w:pPr>
              <w:jc w:val="right"/>
              <w:rPr>
                <w:color w:val="000000"/>
                <w:sz w:val="20"/>
                <w:szCs w:val="20"/>
                <w:highlight w:val="yellow"/>
                <w:lang w:eastAsia="en-GB"/>
              </w:rPr>
            </w:pPr>
            <w:r w:rsidRPr="004E034D">
              <w:rPr>
                <w:sz w:val="20"/>
                <w:szCs w:val="20"/>
              </w:rPr>
              <w:t xml:space="preserve"> £52.6K </w:t>
            </w:r>
          </w:p>
        </w:tc>
      </w:tr>
      <w:tr w:rsidR="004E034D" w:rsidRPr="004270D7" w14:paraId="49428B2E" w14:textId="2AA7A977" w:rsidTr="004E5DBD">
        <w:trPr>
          <w:trHeight w:val="6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185C2C1" w14:textId="77777777" w:rsidR="004E034D" w:rsidRPr="00A16071" w:rsidRDefault="004E034D" w:rsidP="004E034D">
            <w:pPr>
              <w:rPr>
                <w:color w:val="000000"/>
                <w:sz w:val="20"/>
                <w:szCs w:val="20"/>
                <w:lang w:eastAsia="en-GB"/>
              </w:rPr>
            </w:pPr>
            <w:r w:rsidRPr="00A16071">
              <w:rPr>
                <w:color w:val="000000"/>
                <w:sz w:val="20"/>
                <w:szCs w:val="20"/>
                <w:lang w:eastAsia="en-GB"/>
              </w:rPr>
              <w:t>Lloyds</w:t>
            </w:r>
          </w:p>
        </w:tc>
        <w:tc>
          <w:tcPr>
            <w:tcW w:w="2127" w:type="dxa"/>
            <w:tcBorders>
              <w:top w:val="nil"/>
              <w:left w:val="nil"/>
              <w:bottom w:val="single" w:sz="4" w:space="0" w:color="auto"/>
              <w:right w:val="single" w:sz="4" w:space="0" w:color="auto"/>
            </w:tcBorders>
            <w:shd w:val="clear" w:color="auto" w:fill="auto"/>
            <w:noWrap/>
            <w:vAlign w:val="bottom"/>
            <w:hideMark/>
          </w:tcPr>
          <w:p w14:paraId="638D45CB" w14:textId="77777777" w:rsidR="004E034D" w:rsidRPr="00A16071" w:rsidRDefault="004E034D" w:rsidP="004E034D">
            <w:pPr>
              <w:jc w:val="center"/>
              <w:rPr>
                <w:color w:val="000000"/>
                <w:sz w:val="20"/>
                <w:szCs w:val="20"/>
                <w:lang w:eastAsia="en-GB"/>
              </w:rPr>
            </w:pPr>
            <w:r w:rsidRPr="00A16071">
              <w:rPr>
                <w:color w:val="000000"/>
                <w:sz w:val="20"/>
                <w:szCs w:val="20"/>
                <w:lang w:eastAsia="en-GB"/>
              </w:rPr>
              <w:t>Bank (unsecured)</w:t>
            </w:r>
          </w:p>
        </w:tc>
        <w:tc>
          <w:tcPr>
            <w:tcW w:w="1559" w:type="dxa"/>
            <w:tcBorders>
              <w:top w:val="nil"/>
              <w:left w:val="nil"/>
              <w:bottom w:val="single" w:sz="4" w:space="0" w:color="auto"/>
              <w:right w:val="single" w:sz="4" w:space="0" w:color="auto"/>
            </w:tcBorders>
            <w:shd w:val="clear" w:color="auto" w:fill="auto"/>
            <w:noWrap/>
            <w:hideMark/>
          </w:tcPr>
          <w:p w14:paraId="3DBB7B3A" w14:textId="141D2323" w:rsidR="004E034D" w:rsidRPr="004E034D" w:rsidRDefault="004E034D" w:rsidP="004E034D">
            <w:pPr>
              <w:jc w:val="center"/>
              <w:rPr>
                <w:color w:val="000000"/>
                <w:sz w:val="20"/>
                <w:szCs w:val="20"/>
                <w:lang w:eastAsia="en-GB"/>
              </w:rPr>
            </w:pPr>
            <w:r w:rsidRPr="004E034D">
              <w:rPr>
                <w:sz w:val="20"/>
                <w:szCs w:val="20"/>
              </w:rPr>
              <w:t xml:space="preserve"> £1M </w:t>
            </w:r>
          </w:p>
        </w:tc>
        <w:tc>
          <w:tcPr>
            <w:tcW w:w="1559" w:type="dxa"/>
            <w:tcBorders>
              <w:top w:val="nil"/>
              <w:left w:val="nil"/>
              <w:bottom w:val="single" w:sz="4" w:space="0" w:color="auto"/>
              <w:right w:val="single" w:sz="4" w:space="0" w:color="auto"/>
            </w:tcBorders>
            <w:shd w:val="clear" w:color="auto" w:fill="auto"/>
            <w:noWrap/>
            <w:hideMark/>
          </w:tcPr>
          <w:p w14:paraId="5C732AEC" w14:textId="07A9728B" w:rsidR="004E034D" w:rsidRPr="004E034D" w:rsidRDefault="004E034D" w:rsidP="004E034D">
            <w:pPr>
              <w:jc w:val="center"/>
              <w:rPr>
                <w:color w:val="000000"/>
                <w:sz w:val="20"/>
                <w:szCs w:val="20"/>
                <w:lang w:eastAsia="en-GB"/>
              </w:rPr>
            </w:pPr>
            <w:r w:rsidRPr="004E034D">
              <w:rPr>
                <w:sz w:val="20"/>
                <w:szCs w:val="20"/>
              </w:rPr>
              <w:t>0.7%</w:t>
            </w:r>
          </w:p>
        </w:tc>
        <w:tc>
          <w:tcPr>
            <w:tcW w:w="1418" w:type="dxa"/>
            <w:tcBorders>
              <w:top w:val="nil"/>
              <w:left w:val="nil"/>
              <w:bottom w:val="single" w:sz="4" w:space="0" w:color="auto"/>
              <w:right w:val="single" w:sz="4" w:space="0" w:color="auto"/>
            </w:tcBorders>
          </w:tcPr>
          <w:p w14:paraId="7D1D102B" w14:textId="1A627D5B" w:rsidR="004E034D" w:rsidRPr="004E034D" w:rsidRDefault="004E034D" w:rsidP="004E034D">
            <w:pPr>
              <w:jc w:val="right"/>
              <w:rPr>
                <w:color w:val="000000"/>
                <w:sz w:val="20"/>
                <w:szCs w:val="20"/>
                <w:highlight w:val="yellow"/>
                <w:lang w:eastAsia="en-GB"/>
              </w:rPr>
            </w:pPr>
            <w:r w:rsidRPr="004E034D">
              <w:rPr>
                <w:sz w:val="20"/>
                <w:szCs w:val="20"/>
              </w:rPr>
              <w:t xml:space="preserve"> £0.5K </w:t>
            </w:r>
          </w:p>
        </w:tc>
      </w:tr>
      <w:tr w:rsidR="004E034D" w:rsidRPr="00256257" w14:paraId="6BF7E11B" w14:textId="36C82526" w:rsidTr="004E5DBD">
        <w:trPr>
          <w:trHeight w:val="6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8E24FAF" w14:textId="77777777" w:rsidR="004E034D" w:rsidRPr="00A16071" w:rsidRDefault="004E034D" w:rsidP="004E034D">
            <w:pPr>
              <w:rPr>
                <w:color w:val="000000"/>
                <w:sz w:val="20"/>
                <w:szCs w:val="20"/>
                <w:lang w:eastAsia="en-GB"/>
              </w:rPr>
            </w:pPr>
            <w:r w:rsidRPr="00A16071">
              <w:rPr>
                <w:color w:val="000000"/>
                <w:sz w:val="20"/>
                <w:szCs w:val="20"/>
                <w:lang w:eastAsia="en-GB"/>
              </w:rPr>
              <w:t>CCLA</w:t>
            </w:r>
          </w:p>
        </w:tc>
        <w:tc>
          <w:tcPr>
            <w:tcW w:w="2127" w:type="dxa"/>
            <w:tcBorders>
              <w:top w:val="nil"/>
              <w:left w:val="nil"/>
              <w:bottom w:val="single" w:sz="4" w:space="0" w:color="auto"/>
              <w:right w:val="single" w:sz="4" w:space="0" w:color="auto"/>
            </w:tcBorders>
            <w:shd w:val="clear" w:color="auto" w:fill="auto"/>
            <w:noWrap/>
            <w:vAlign w:val="bottom"/>
            <w:hideMark/>
          </w:tcPr>
          <w:p w14:paraId="3D17BC99" w14:textId="77777777" w:rsidR="004E034D" w:rsidRPr="00A16071" w:rsidRDefault="004E034D" w:rsidP="004E034D">
            <w:pPr>
              <w:jc w:val="center"/>
              <w:rPr>
                <w:color w:val="000000"/>
                <w:sz w:val="20"/>
                <w:szCs w:val="20"/>
                <w:lang w:eastAsia="en-GB"/>
              </w:rPr>
            </w:pPr>
            <w:r w:rsidRPr="00A16071">
              <w:rPr>
                <w:color w:val="000000"/>
                <w:sz w:val="20"/>
                <w:szCs w:val="20"/>
                <w:lang w:eastAsia="en-GB"/>
              </w:rPr>
              <w:t>MMF</w:t>
            </w:r>
          </w:p>
        </w:tc>
        <w:tc>
          <w:tcPr>
            <w:tcW w:w="1559" w:type="dxa"/>
            <w:tcBorders>
              <w:top w:val="nil"/>
              <w:left w:val="nil"/>
              <w:bottom w:val="single" w:sz="4" w:space="0" w:color="auto"/>
              <w:right w:val="single" w:sz="4" w:space="0" w:color="auto"/>
            </w:tcBorders>
            <w:shd w:val="clear" w:color="auto" w:fill="auto"/>
            <w:noWrap/>
            <w:hideMark/>
          </w:tcPr>
          <w:p w14:paraId="52AB131F" w14:textId="11B4072A" w:rsidR="004E034D" w:rsidRPr="004E034D" w:rsidRDefault="004E034D" w:rsidP="004E034D">
            <w:pPr>
              <w:jc w:val="center"/>
              <w:rPr>
                <w:color w:val="000000"/>
                <w:sz w:val="20"/>
                <w:szCs w:val="20"/>
                <w:lang w:eastAsia="en-GB"/>
              </w:rPr>
            </w:pPr>
            <w:r w:rsidRPr="004E034D">
              <w:rPr>
                <w:sz w:val="20"/>
                <w:szCs w:val="20"/>
              </w:rPr>
              <w:t xml:space="preserve"> £3M </w:t>
            </w:r>
          </w:p>
        </w:tc>
        <w:tc>
          <w:tcPr>
            <w:tcW w:w="1559" w:type="dxa"/>
            <w:tcBorders>
              <w:top w:val="nil"/>
              <w:left w:val="nil"/>
              <w:bottom w:val="single" w:sz="4" w:space="0" w:color="auto"/>
              <w:right w:val="single" w:sz="4" w:space="0" w:color="auto"/>
            </w:tcBorders>
            <w:shd w:val="clear" w:color="auto" w:fill="auto"/>
            <w:noWrap/>
            <w:hideMark/>
          </w:tcPr>
          <w:p w14:paraId="0809686D" w14:textId="49BB14D1" w:rsidR="004E034D" w:rsidRPr="004E034D" w:rsidRDefault="004E034D" w:rsidP="004E034D">
            <w:pPr>
              <w:jc w:val="center"/>
              <w:rPr>
                <w:color w:val="000000"/>
                <w:sz w:val="20"/>
                <w:szCs w:val="20"/>
                <w:lang w:eastAsia="en-GB"/>
              </w:rPr>
            </w:pPr>
            <w:r w:rsidRPr="004E034D">
              <w:rPr>
                <w:sz w:val="20"/>
                <w:szCs w:val="20"/>
              </w:rPr>
              <w:t>1.5%</w:t>
            </w:r>
          </w:p>
        </w:tc>
        <w:tc>
          <w:tcPr>
            <w:tcW w:w="1418" w:type="dxa"/>
            <w:tcBorders>
              <w:top w:val="nil"/>
              <w:left w:val="nil"/>
              <w:bottom w:val="single" w:sz="4" w:space="0" w:color="auto"/>
              <w:right w:val="single" w:sz="4" w:space="0" w:color="auto"/>
            </w:tcBorders>
            <w:shd w:val="clear" w:color="auto" w:fill="auto"/>
          </w:tcPr>
          <w:p w14:paraId="37460423" w14:textId="752A904A" w:rsidR="004E034D" w:rsidRPr="004E034D" w:rsidRDefault="004E034D" w:rsidP="004E034D">
            <w:pPr>
              <w:jc w:val="right"/>
              <w:rPr>
                <w:color w:val="000000"/>
                <w:sz w:val="20"/>
                <w:szCs w:val="20"/>
                <w:lang w:eastAsia="en-GB"/>
              </w:rPr>
            </w:pPr>
            <w:r w:rsidRPr="004E034D">
              <w:rPr>
                <w:sz w:val="20"/>
                <w:szCs w:val="20"/>
              </w:rPr>
              <w:t xml:space="preserve"> £62.9K </w:t>
            </w:r>
          </w:p>
        </w:tc>
      </w:tr>
      <w:tr w:rsidR="004E034D" w:rsidRPr="004270D7" w14:paraId="42B86593" w14:textId="59BA6719" w:rsidTr="004E5DBD">
        <w:trPr>
          <w:trHeight w:val="95"/>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F83BBE7" w14:textId="2486677C" w:rsidR="004E034D" w:rsidRPr="00A16071" w:rsidRDefault="00202462" w:rsidP="004E034D">
            <w:pPr>
              <w:rPr>
                <w:color w:val="000000"/>
                <w:sz w:val="20"/>
                <w:szCs w:val="20"/>
                <w:lang w:eastAsia="en-GB"/>
              </w:rPr>
            </w:pPr>
            <w:r>
              <w:rPr>
                <w:color w:val="000000"/>
                <w:sz w:val="20"/>
                <w:szCs w:val="20"/>
                <w:lang w:eastAsia="en-GB"/>
              </w:rPr>
              <w:t>UK Debt Management Office</w:t>
            </w:r>
          </w:p>
        </w:tc>
        <w:tc>
          <w:tcPr>
            <w:tcW w:w="2127" w:type="dxa"/>
            <w:tcBorders>
              <w:top w:val="nil"/>
              <w:left w:val="nil"/>
              <w:bottom w:val="single" w:sz="4" w:space="0" w:color="auto"/>
              <w:right w:val="single" w:sz="4" w:space="0" w:color="auto"/>
            </w:tcBorders>
            <w:shd w:val="clear" w:color="auto" w:fill="auto"/>
            <w:noWrap/>
            <w:vAlign w:val="bottom"/>
            <w:hideMark/>
          </w:tcPr>
          <w:p w14:paraId="1BCC4065" w14:textId="77777777" w:rsidR="004E034D" w:rsidRPr="00A16071" w:rsidRDefault="004E034D" w:rsidP="004E034D">
            <w:pPr>
              <w:jc w:val="center"/>
              <w:rPr>
                <w:color w:val="000000"/>
                <w:sz w:val="20"/>
                <w:szCs w:val="20"/>
                <w:lang w:eastAsia="en-GB"/>
              </w:rPr>
            </w:pPr>
            <w:r w:rsidRPr="00A16071">
              <w:rPr>
                <w:color w:val="000000"/>
                <w:sz w:val="20"/>
                <w:szCs w:val="20"/>
                <w:lang w:eastAsia="en-GB"/>
              </w:rPr>
              <w:t>UK government</w:t>
            </w:r>
          </w:p>
        </w:tc>
        <w:tc>
          <w:tcPr>
            <w:tcW w:w="1559" w:type="dxa"/>
            <w:tcBorders>
              <w:top w:val="nil"/>
              <w:left w:val="nil"/>
              <w:bottom w:val="single" w:sz="4" w:space="0" w:color="auto"/>
              <w:right w:val="single" w:sz="4" w:space="0" w:color="auto"/>
            </w:tcBorders>
            <w:shd w:val="clear" w:color="auto" w:fill="auto"/>
            <w:noWrap/>
            <w:hideMark/>
          </w:tcPr>
          <w:p w14:paraId="05CF345E" w14:textId="5CF07709" w:rsidR="004E034D" w:rsidRPr="004E034D" w:rsidRDefault="004E034D" w:rsidP="004E034D">
            <w:pPr>
              <w:jc w:val="center"/>
              <w:rPr>
                <w:color w:val="000000"/>
                <w:sz w:val="20"/>
                <w:szCs w:val="20"/>
                <w:lang w:eastAsia="en-GB"/>
              </w:rPr>
            </w:pPr>
            <w:r w:rsidRPr="004E034D">
              <w:rPr>
                <w:sz w:val="20"/>
                <w:szCs w:val="20"/>
              </w:rPr>
              <w:t xml:space="preserve"> £17M </w:t>
            </w:r>
          </w:p>
        </w:tc>
        <w:tc>
          <w:tcPr>
            <w:tcW w:w="1559" w:type="dxa"/>
            <w:tcBorders>
              <w:top w:val="nil"/>
              <w:left w:val="nil"/>
              <w:bottom w:val="single" w:sz="4" w:space="0" w:color="auto"/>
              <w:right w:val="single" w:sz="4" w:space="0" w:color="auto"/>
            </w:tcBorders>
            <w:shd w:val="clear" w:color="auto" w:fill="auto"/>
            <w:noWrap/>
            <w:hideMark/>
          </w:tcPr>
          <w:p w14:paraId="7918AD2C" w14:textId="58119033" w:rsidR="004E034D" w:rsidRPr="004E034D" w:rsidRDefault="004E034D" w:rsidP="004E034D">
            <w:pPr>
              <w:jc w:val="center"/>
              <w:rPr>
                <w:color w:val="000000"/>
                <w:sz w:val="20"/>
                <w:szCs w:val="20"/>
                <w:lang w:eastAsia="en-GB"/>
              </w:rPr>
            </w:pPr>
            <w:r w:rsidRPr="004E034D">
              <w:rPr>
                <w:sz w:val="20"/>
                <w:szCs w:val="20"/>
              </w:rPr>
              <w:t>1.4%</w:t>
            </w:r>
          </w:p>
        </w:tc>
        <w:tc>
          <w:tcPr>
            <w:tcW w:w="1418" w:type="dxa"/>
            <w:tcBorders>
              <w:top w:val="nil"/>
              <w:left w:val="nil"/>
              <w:bottom w:val="single" w:sz="4" w:space="0" w:color="auto"/>
              <w:right w:val="single" w:sz="4" w:space="0" w:color="auto"/>
            </w:tcBorders>
            <w:shd w:val="clear" w:color="auto" w:fill="auto"/>
          </w:tcPr>
          <w:p w14:paraId="5F12154E" w14:textId="0BA52371" w:rsidR="004E034D" w:rsidRPr="004E034D" w:rsidRDefault="004E034D" w:rsidP="004E034D">
            <w:pPr>
              <w:jc w:val="right"/>
              <w:rPr>
                <w:color w:val="000000"/>
                <w:sz w:val="20"/>
                <w:szCs w:val="20"/>
                <w:highlight w:val="yellow"/>
                <w:lang w:eastAsia="en-GB"/>
              </w:rPr>
            </w:pPr>
            <w:r w:rsidRPr="004E034D">
              <w:rPr>
                <w:sz w:val="20"/>
                <w:szCs w:val="20"/>
              </w:rPr>
              <w:t xml:space="preserve"> £123.5K </w:t>
            </w:r>
          </w:p>
        </w:tc>
      </w:tr>
    </w:tbl>
    <w:p w14:paraId="4F5D686B" w14:textId="77777777" w:rsidR="00882255" w:rsidRDefault="00882255" w:rsidP="00FE351D">
      <w:pPr>
        <w:pStyle w:val="ListParagraph"/>
        <w:spacing w:after="240"/>
        <w:ind w:left="426"/>
        <w:jc w:val="both"/>
      </w:pPr>
    </w:p>
    <w:p w14:paraId="1449D623" w14:textId="3E92D16E" w:rsidR="007E570A" w:rsidRPr="00FE351D" w:rsidRDefault="007E570A" w:rsidP="00FE351D">
      <w:pPr>
        <w:pStyle w:val="ListParagraph"/>
        <w:spacing w:after="240"/>
        <w:ind w:left="426"/>
        <w:jc w:val="both"/>
      </w:pPr>
      <w:r w:rsidRPr="0041076E">
        <w:rPr>
          <w:b/>
        </w:rPr>
        <w:t>Objectives:</w:t>
      </w:r>
      <w:r w:rsidRPr="0041076E">
        <w:t xml:space="preserve"> The CIPFA Code requires the Authority to invest its </w:t>
      </w:r>
      <w:r>
        <w:t xml:space="preserve">treasury </w:t>
      </w:r>
      <w:r w:rsidRPr="0041076E">
        <w:t xml:space="preserve">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of receiving unsuitably low investment income. Where balances are expected to be invested for more than one year, the Authority will aim to achieve a total return that is equal or higher than the prevailing rate of inflation, </w:t>
      </w:r>
      <w:proofErr w:type="gramStart"/>
      <w:r w:rsidRPr="0041076E">
        <w:t>in order to</w:t>
      </w:r>
      <w:proofErr w:type="gramEnd"/>
      <w:r w:rsidRPr="0041076E">
        <w:t xml:space="preserve"> maintain the spending power of the sum invested</w:t>
      </w:r>
      <w:r w:rsidR="00FE351D">
        <w:t>.</w:t>
      </w:r>
      <w:r w:rsidR="004942BA">
        <w:t xml:space="preserve"> </w:t>
      </w:r>
      <w:r w:rsidR="00B07ED5" w:rsidRPr="00B07ED5">
        <w:t>The Authority aims to be a responsible investor and will consider environmental, social and governance (ESG) issues when investing.</w:t>
      </w:r>
    </w:p>
    <w:p w14:paraId="24F8A980" w14:textId="7839FD87" w:rsidR="007E570A" w:rsidRPr="00FE351D" w:rsidRDefault="007E570A" w:rsidP="00FE351D">
      <w:pPr>
        <w:pStyle w:val="ListParagraph"/>
        <w:spacing w:after="240"/>
        <w:ind w:left="426"/>
        <w:jc w:val="both"/>
      </w:pPr>
      <w:r w:rsidRPr="0041076E">
        <w:rPr>
          <w:b/>
        </w:rPr>
        <w:t xml:space="preserve">Strategy: </w:t>
      </w:r>
      <w:r w:rsidRPr="0041076E">
        <w:t>Given that investment balances are projected to fall and then remain low, the Authority aims to maintain an investment portfolio of high credit</w:t>
      </w:r>
      <w:r>
        <w:t xml:space="preserve"> quality</w:t>
      </w:r>
      <w:r w:rsidRPr="0041076E">
        <w:t xml:space="preserve"> </w:t>
      </w:r>
      <w:r>
        <w:t xml:space="preserve">investments </w:t>
      </w:r>
      <w:r w:rsidRPr="0041076E">
        <w:t xml:space="preserve">with a liquid maturity profile. </w:t>
      </w:r>
      <w:r w:rsidR="00D14552" w:rsidRPr="0041076E">
        <w:t>All</w:t>
      </w:r>
      <w:r w:rsidRPr="0041076E">
        <w:t xml:space="preserve"> the Authority’s surplus cash is currently invested in money market funds</w:t>
      </w:r>
      <w:r w:rsidR="00B03C6C">
        <w:t>,</w:t>
      </w:r>
      <w:r w:rsidR="00D14552">
        <w:t xml:space="preserve"> UK Government </w:t>
      </w:r>
      <w:proofErr w:type="gramStart"/>
      <w:r w:rsidR="00D14552">
        <w:t>Investments</w:t>
      </w:r>
      <w:proofErr w:type="gramEnd"/>
      <w:r w:rsidR="00B03C6C">
        <w:t xml:space="preserve"> and fixed term deposits bank deposit</w:t>
      </w:r>
      <w:r w:rsidRPr="0041076E">
        <w:t xml:space="preserve">. </w:t>
      </w:r>
    </w:p>
    <w:p w14:paraId="7E67EFC8" w14:textId="6D11438A" w:rsidR="008417D6" w:rsidRPr="003F0474" w:rsidRDefault="008417D6" w:rsidP="0004046D">
      <w:pPr>
        <w:pStyle w:val="ListParagraph"/>
        <w:spacing w:after="240"/>
        <w:ind w:left="426"/>
        <w:jc w:val="both"/>
        <w:rPr>
          <w:bCs/>
        </w:rPr>
      </w:pPr>
      <w:r w:rsidRPr="001F6719">
        <w:rPr>
          <w:b/>
        </w:rPr>
        <w:t>ESG policy</w:t>
      </w:r>
      <w:r w:rsidRPr="003F0474">
        <w:rPr>
          <w:bCs/>
        </w:rPr>
        <w:t>: Environmental, social and governance (ESG) considerations are increasingly a factor in global investors’ decision making, but the framework for evaluating investment opportunities is still developing and therefore the Authority’s ESG policy does not currently include ESG scoring or other real-time ESG criteria at an individual investment level. When investing in banks and funds, the Authority will prioritise banks that are signatories to the UN Principles for Responsible Banking and funds operated by managers that are signatories to the UN Principles for Responsible Investment, the Net Zero Asset Managers Alliance and/or the UK Stewardship Code.</w:t>
      </w:r>
    </w:p>
    <w:p w14:paraId="6581E73B" w14:textId="1D987FB4" w:rsidR="007E570A" w:rsidRPr="0004046D" w:rsidRDefault="007E570A" w:rsidP="0004046D">
      <w:pPr>
        <w:pStyle w:val="ListParagraph"/>
        <w:spacing w:after="240"/>
        <w:ind w:left="426"/>
        <w:jc w:val="both"/>
        <w:rPr>
          <w:i/>
          <w:color w:val="AF173B"/>
        </w:rPr>
      </w:pPr>
      <w:r w:rsidRPr="0041076E">
        <w:rPr>
          <w:b/>
        </w:rPr>
        <w:lastRenderedPageBreak/>
        <w:t>Business models:</w:t>
      </w:r>
      <w:r>
        <w:t xml:space="preserve"> Under </w:t>
      </w:r>
      <w:r w:rsidRPr="0041076E">
        <w:t xml:space="preserve">IFRS 9, the accounting for certain investments depends on the Authority’s “business model” for managing them. The Authority aims to achieve value from its internally managed treasury investments by a business model of collecting the contractual cash flows and therefore, where other criteria are also met, these investments will continue to be accounted for at amortised cost. </w:t>
      </w:r>
    </w:p>
    <w:p w14:paraId="1F93E669" w14:textId="47A9A44A" w:rsidR="007E570A" w:rsidRDefault="007E570A" w:rsidP="00711110">
      <w:pPr>
        <w:pStyle w:val="ListParagraph"/>
        <w:spacing w:after="240"/>
        <w:ind w:left="426"/>
        <w:jc w:val="both"/>
      </w:pPr>
      <w:r w:rsidRPr="0041076E">
        <w:rPr>
          <w:b/>
        </w:rPr>
        <w:t>Approved counterparties:</w:t>
      </w:r>
      <w:r w:rsidRPr="0041076E">
        <w:t xml:space="preserve"> The Authority may invest its surplus funds with any of the counterparty </w:t>
      </w:r>
      <w:r w:rsidRPr="002A39BC">
        <w:t xml:space="preserve">types in table </w:t>
      </w:r>
      <w:r w:rsidR="002A39BC" w:rsidRPr="002A39BC">
        <w:t>4</w:t>
      </w:r>
      <w:r w:rsidRPr="002A39BC">
        <w:t xml:space="preserve"> below</w:t>
      </w:r>
      <w:r w:rsidRPr="0041076E">
        <w:t>, subject to the cash limits (per counterparty) and the time limits shown.</w:t>
      </w:r>
    </w:p>
    <w:p w14:paraId="3E60E2F7" w14:textId="1AEEAEA4" w:rsidR="007E570A" w:rsidRPr="00711110" w:rsidRDefault="007E570A" w:rsidP="0004046D">
      <w:pPr>
        <w:spacing w:after="120"/>
        <w:ind w:left="426"/>
        <w:jc w:val="both"/>
        <w:rPr>
          <w:b/>
          <w:bCs/>
        </w:rPr>
      </w:pPr>
      <w:r w:rsidRPr="00711110">
        <w:rPr>
          <w:b/>
          <w:bCs/>
        </w:rPr>
        <w:t>Table 4: Approved investment counterparties and limits</w:t>
      </w:r>
    </w:p>
    <w:tbl>
      <w:tblPr>
        <w:tblW w:w="906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794"/>
        <w:gridCol w:w="2329"/>
        <w:gridCol w:w="2683"/>
      </w:tblGrid>
      <w:tr w:rsidR="007E570A" w:rsidRPr="00E61562" w14:paraId="0C886E85" w14:textId="77777777" w:rsidTr="00A16071">
        <w:trPr>
          <w:trHeight w:val="397"/>
        </w:trPr>
        <w:tc>
          <w:tcPr>
            <w:tcW w:w="2261" w:type="dxa"/>
            <w:shd w:val="clear" w:color="auto" w:fill="BDD6EE" w:themeFill="accent5" w:themeFillTint="66"/>
            <w:vAlign w:val="center"/>
          </w:tcPr>
          <w:p w14:paraId="25EFF613" w14:textId="77777777" w:rsidR="007E570A" w:rsidRPr="00E61562" w:rsidRDefault="007E570A" w:rsidP="008D6803">
            <w:pPr>
              <w:pStyle w:val="ListParagraph"/>
              <w:ind w:left="426"/>
              <w:jc w:val="both"/>
              <w:rPr>
                <w:b/>
              </w:rPr>
            </w:pPr>
            <w:r w:rsidRPr="00E61562">
              <w:rPr>
                <w:b/>
              </w:rPr>
              <w:t>Sector</w:t>
            </w:r>
          </w:p>
        </w:tc>
        <w:tc>
          <w:tcPr>
            <w:tcW w:w="1794" w:type="dxa"/>
            <w:shd w:val="clear" w:color="auto" w:fill="BDD6EE" w:themeFill="accent5" w:themeFillTint="66"/>
            <w:vAlign w:val="center"/>
          </w:tcPr>
          <w:p w14:paraId="01BFF04D" w14:textId="77777777" w:rsidR="007E570A" w:rsidRPr="00E61562" w:rsidRDefault="007E570A" w:rsidP="008D6803">
            <w:pPr>
              <w:pStyle w:val="ListParagraph"/>
              <w:ind w:left="426"/>
              <w:jc w:val="both"/>
              <w:rPr>
                <w:b/>
              </w:rPr>
            </w:pPr>
            <w:r w:rsidRPr="00E61562">
              <w:rPr>
                <w:b/>
              </w:rPr>
              <w:t>Time limit</w:t>
            </w:r>
          </w:p>
        </w:tc>
        <w:tc>
          <w:tcPr>
            <w:tcW w:w="2329" w:type="dxa"/>
            <w:shd w:val="clear" w:color="auto" w:fill="BDD6EE" w:themeFill="accent5" w:themeFillTint="66"/>
            <w:vAlign w:val="center"/>
          </w:tcPr>
          <w:p w14:paraId="3B7272B2" w14:textId="77777777" w:rsidR="007E570A" w:rsidRPr="00E61562" w:rsidRDefault="007E570A" w:rsidP="008D6803">
            <w:pPr>
              <w:pStyle w:val="ListParagraph"/>
              <w:ind w:left="426"/>
              <w:jc w:val="both"/>
              <w:rPr>
                <w:b/>
              </w:rPr>
            </w:pPr>
            <w:r w:rsidRPr="00E61562">
              <w:rPr>
                <w:b/>
              </w:rPr>
              <w:t>Counterparty limit</w:t>
            </w:r>
          </w:p>
        </w:tc>
        <w:tc>
          <w:tcPr>
            <w:tcW w:w="2683" w:type="dxa"/>
            <w:shd w:val="clear" w:color="auto" w:fill="BDD6EE" w:themeFill="accent5" w:themeFillTint="66"/>
            <w:vAlign w:val="center"/>
          </w:tcPr>
          <w:p w14:paraId="30A6DD66" w14:textId="77777777" w:rsidR="007E570A" w:rsidRPr="00E61562" w:rsidRDefault="007E570A" w:rsidP="008D6803">
            <w:pPr>
              <w:pStyle w:val="ListParagraph"/>
              <w:ind w:left="426"/>
              <w:jc w:val="both"/>
              <w:rPr>
                <w:b/>
              </w:rPr>
            </w:pPr>
            <w:r w:rsidRPr="00E61562">
              <w:rPr>
                <w:b/>
              </w:rPr>
              <w:t>Sector limit</w:t>
            </w:r>
          </w:p>
        </w:tc>
      </w:tr>
      <w:tr w:rsidR="007E570A" w:rsidRPr="00E61562" w14:paraId="0788099C" w14:textId="77777777" w:rsidTr="0004046D">
        <w:trPr>
          <w:trHeight w:val="397"/>
        </w:trPr>
        <w:tc>
          <w:tcPr>
            <w:tcW w:w="2261" w:type="dxa"/>
            <w:shd w:val="clear" w:color="auto" w:fill="auto"/>
            <w:vAlign w:val="center"/>
          </w:tcPr>
          <w:p w14:paraId="69049D56" w14:textId="77777777" w:rsidR="007E570A" w:rsidRPr="00E61562" w:rsidRDefault="007E570A" w:rsidP="008D6803">
            <w:pPr>
              <w:pStyle w:val="ListParagraph"/>
              <w:ind w:left="426"/>
              <w:jc w:val="both"/>
            </w:pPr>
            <w:r w:rsidRPr="00E61562">
              <w:t>The UK Government</w:t>
            </w:r>
          </w:p>
        </w:tc>
        <w:tc>
          <w:tcPr>
            <w:tcW w:w="1794" w:type="dxa"/>
            <w:shd w:val="clear" w:color="auto" w:fill="auto"/>
            <w:vAlign w:val="center"/>
          </w:tcPr>
          <w:p w14:paraId="3F03A60B" w14:textId="4EAEDC87" w:rsidR="007E570A" w:rsidRDefault="007E570A" w:rsidP="008D6803">
            <w:pPr>
              <w:pStyle w:val="ListParagraph"/>
              <w:ind w:left="426"/>
              <w:jc w:val="both"/>
            </w:pPr>
          </w:p>
          <w:p w14:paraId="7114CED8" w14:textId="70CE697E" w:rsidR="00241C67" w:rsidRPr="00E61562" w:rsidRDefault="00241C67" w:rsidP="008D6803">
            <w:pPr>
              <w:pStyle w:val="ListParagraph"/>
              <w:ind w:left="426"/>
              <w:jc w:val="both"/>
            </w:pPr>
            <w:r>
              <w:t>10 years</w:t>
            </w:r>
          </w:p>
        </w:tc>
        <w:tc>
          <w:tcPr>
            <w:tcW w:w="2329" w:type="dxa"/>
            <w:shd w:val="clear" w:color="auto" w:fill="auto"/>
            <w:vAlign w:val="center"/>
          </w:tcPr>
          <w:p w14:paraId="4650362B" w14:textId="77777777" w:rsidR="007E570A" w:rsidRPr="00E61562" w:rsidRDefault="007E570A" w:rsidP="008D6803">
            <w:pPr>
              <w:pStyle w:val="ListParagraph"/>
              <w:ind w:left="426"/>
              <w:jc w:val="both"/>
            </w:pPr>
            <w:r w:rsidRPr="00E61562">
              <w:t>Unlimited</w:t>
            </w:r>
          </w:p>
        </w:tc>
        <w:tc>
          <w:tcPr>
            <w:tcW w:w="2683" w:type="dxa"/>
            <w:shd w:val="clear" w:color="auto" w:fill="auto"/>
            <w:vAlign w:val="center"/>
          </w:tcPr>
          <w:p w14:paraId="0E3AF9A6" w14:textId="254F0CCD" w:rsidR="007E570A" w:rsidRPr="00E61562" w:rsidRDefault="00E33253" w:rsidP="008D6803">
            <w:pPr>
              <w:pStyle w:val="ListParagraph"/>
              <w:ind w:left="426"/>
              <w:jc w:val="both"/>
            </w:pPr>
            <w:r w:rsidRPr="00E61562">
              <w:t>Unlimited</w:t>
            </w:r>
          </w:p>
        </w:tc>
      </w:tr>
      <w:tr w:rsidR="007E570A" w:rsidRPr="00E61562" w14:paraId="1913D622" w14:textId="77777777" w:rsidTr="0004046D">
        <w:trPr>
          <w:trHeight w:val="397"/>
        </w:trPr>
        <w:tc>
          <w:tcPr>
            <w:tcW w:w="2261" w:type="dxa"/>
            <w:shd w:val="clear" w:color="auto" w:fill="auto"/>
            <w:vAlign w:val="center"/>
          </w:tcPr>
          <w:p w14:paraId="08E550E9" w14:textId="77777777" w:rsidR="007E570A" w:rsidRPr="00E61562" w:rsidRDefault="007E570A" w:rsidP="008D6803">
            <w:pPr>
              <w:pStyle w:val="ListParagraph"/>
              <w:ind w:left="426"/>
              <w:jc w:val="both"/>
            </w:pPr>
            <w:r w:rsidRPr="00E61562">
              <w:t>Local authorities &amp; other government entities</w:t>
            </w:r>
          </w:p>
        </w:tc>
        <w:tc>
          <w:tcPr>
            <w:tcW w:w="1794" w:type="dxa"/>
            <w:shd w:val="clear" w:color="auto" w:fill="auto"/>
            <w:vAlign w:val="center"/>
          </w:tcPr>
          <w:p w14:paraId="16280944" w14:textId="64AAD236" w:rsidR="007E570A" w:rsidRDefault="007E570A" w:rsidP="008D6803">
            <w:pPr>
              <w:pStyle w:val="ListParagraph"/>
              <w:ind w:left="426"/>
              <w:jc w:val="both"/>
            </w:pPr>
          </w:p>
          <w:p w14:paraId="605DA6B3" w14:textId="316E1DDD" w:rsidR="002B6C64" w:rsidRPr="00E61562" w:rsidRDefault="002B6C64" w:rsidP="008D6803">
            <w:pPr>
              <w:pStyle w:val="ListParagraph"/>
              <w:ind w:left="426"/>
              <w:jc w:val="both"/>
            </w:pPr>
            <w:r>
              <w:t>5 years</w:t>
            </w:r>
          </w:p>
        </w:tc>
        <w:tc>
          <w:tcPr>
            <w:tcW w:w="2329" w:type="dxa"/>
            <w:shd w:val="clear" w:color="auto" w:fill="auto"/>
            <w:vAlign w:val="center"/>
          </w:tcPr>
          <w:p w14:paraId="03D119BE" w14:textId="30641A2B" w:rsidR="007E570A" w:rsidRPr="00E61562" w:rsidRDefault="007E570A" w:rsidP="008D6803">
            <w:pPr>
              <w:pStyle w:val="ListParagraph"/>
              <w:ind w:left="426"/>
              <w:jc w:val="both"/>
            </w:pPr>
            <w:r w:rsidRPr="00E61562">
              <w:t>£</w:t>
            </w:r>
            <w:r w:rsidR="0075010E">
              <w:t>2</w:t>
            </w:r>
            <w:r w:rsidRPr="00E61562">
              <w:t>m</w:t>
            </w:r>
          </w:p>
        </w:tc>
        <w:tc>
          <w:tcPr>
            <w:tcW w:w="2683" w:type="dxa"/>
            <w:shd w:val="clear" w:color="auto" w:fill="auto"/>
            <w:vAlign w:val="center"/>
          </w:tcPr>
          <w:p w14:paraId="07D5330B" w14:textId="77777777" w:rsidR="007E570A" w:rsidRPr="00E61562" w:rsidRDefault="007E570A" w:rsidP="008D6803">
            <w:pPr>
              <w:pStyle w:val="ListParagraph"/>
              <w:ind w:left="426"/>
              <w:jc w:val="both"/>
            </w:pPr>
            <w:r w:rsidRPr="00E61562">
              <w:t>Unlimited</w:t>
            </w:r>
          </w:p>
        </w:tc>
      </w:tr>
      <w:tr w:rsidR="007E570A" w:rsidRPr="00E61562" w14:paraId="71B98FEF" w14:textId="77777777" w:rsidTr="0004046D">
        <w:trPr>
          <w:trHeight w:val="397"/>
        </w:trPr>
        <w:tc>
          <w:tcPr>
            <w:tcW w:w="2261" w:type="dxa"/>
            <w:shd w:val="clear" w:color="auto" w:fill="auto"/>
            <w:vAlign w:val="center"/>
          </w:tcPr>
          <w:p w14:paraId="290AA57A" w14:textId="77777777" w:rsidR="007E570A" w:rsidRPr="00E61562" w:rsidRDefault="007E570A" w:rsidP="008D6803">
            <w:pPr>
              <w:pStyle w:val="ListParagraph"/>
              <w:ind w:left="426"/>
              <w:jc w:val="both"/>
            </w:pPr>
            <w:r w:rsidRPr="00E61562">
              <w:t>Secured investments *</w:t>
            </w:r>
          </w:p>
        </w:tc>
        <w:tc>
          <w:tcPr>
            <w:tcW w:w="1794" w:type="dxa"/>
            <w:shd w:val="clear" w:color="auto" w:fill="auto"/>
            <w:vAlign w:val="center"/>
          </w:tcPr>
          <w:p w14:paraId="647F1801" w14:textId="2ED8E720" w:rsidR="007E570A" w:rsidRDefault="007E570A" w:rsidP="008D6803">
            <w:pPr>
              <w:pStyle w:val="ListParagraph"/>
              <w:ind w:left="426"/>
              <w:jc w:val="both"/>
            </w:pPr>
          </w:p>
          <w:p w14:paraId="187B0BF8" w14:textId="565469B4" w:rsidR="002B6C64" w:rsidRPr="00E61562" w:rsidRDefault="002B6C64" w:rsidP="008D6803">
            <w:pPr>
              <w:pStyle w:val="ListParagraph"/>
              <w:ind w:left="426"/>
              <w:jc w:val="both"/>
            </w:pPr>
            <w:r>
              <w:t>6 months</w:t>
            </w:r>
          </w:p>
        </w:tc>
        <w:tc>
          <w:tcPr>
            <w:tcW w:w="2329" w:type="dxa"/>
            <w:shd w:val="clear" w:color="auto" w:fill="auto"/>
            <w:vAlign w:val="center"/>
          </w:tcPr>
          <w:p w14:paraId="4386E9FB" w14:textId="77777777" w:rsidR="007E570A" w:rsidRPr="00E61562" w:rsidRDefault="007E570A" w:rsidP="008D6803">
            <w:pPr>
              <w:pStyle w:val="ListParagraph"/>
              <w:ind w:left="426"/>
              <w:jc w:val="both"/>
            </w:pPr>
            <w:r w:rsidRPr="00E61562">
              <w:t>£</w:t>
            </w:r>
            <w:r>
              <w:t>2</w:t>
            </w:r>
            <w:r w:rsidRPr="00E61562">
              <w:t>m</w:t>
            </w:r>
          </w:p>
        </w:tc>
        <w:tc>
          <w:tcPr>
            <w:tcW w:w="2683" w:type="dxa"/>
            <w:shd w:val="clear" w:color="auto" w:fill="auto"/>
            <w:vAlign w:val="center"/>
          </w:tcPr>
          <w:p w14:paraId="29CB2790" w14:textId="77777777" w:rsidR="007E570A" w:rsidRPr="00E61562" w:rsidRDefault="007E570A" w:rsidP="008D6803">
            <w:pPr>
              <w:pStyle w:val="ListParagraph"/>
              <w:ind w:left="426"/>
              <w:jc w:val="both"/>
            </w:pPr>
            <w:r w:rsidRPr="00E61562">
              <w:t>Unlimited</w:t>
            </w:r>
          </w:p>
        </w:tc>
      </w:tr>
      <w:tr w:rsidR="007E570A" w:rsidRPr="00E61562" w14:paraId="1A99F6B7" w14:textId="77777777" w:rsidTr="0004046D">
        <w:trPr>
          <w:trHeight w:val="397"/>
        </w:trPr>
        <w:tc>
          <w:tcPr>
            <w:tcW w:w="2261" w:type="dxa"/>
            <w:shd w:val="clear" w:color="auto" w:fill="auto"/>
            <w:vAlign w:val="center"/>
          </w:tcPr>
          <w:p w14:paraId="76D3AEBE" w14:textId="77777777" w:rsidR="007E570A" w:rsidRPr="00CF0690" w:rsidRDefault="007E570A" w:rsidP="008D6803">
            <w:pPr>
              <w:pStyle w:val="ListParagraph"/>
              <w:ind w:left="426"/>
              <w:jc w:val="both"/>
            </w:pPr>
            <w:r w:rsidRPr="00CF0690">
              <w:t>Banks (unsecured) *</w:t>
            </w:r>
          </w:p>
        </w:tc>
        <w:tc>
          <w:tcPr>
            <w:tcW w:w="1794" w:type="dxa"/>
            <w:shd w:val="clear" w:color="auto" w:fill="auto"/>
            <w:vAlign w:val="center"/>
          </w:tcPr>
          <w:p w14:paraId="31E3B705" w14:textId="77777777" w:rsidR="007E570A" w:rsidRPr="00CF0690" w:rsidRDefault="007E570A" w:rsidP="008D6803">
            <w:pPr>
              <w:pStyle w:val="ListParagraph"/>
              <w:ind w:left="426"/>
              <w:jc w:val="both"/>
            </w:pPr>
            <w:r w:rsidRPr="00CF0690">
              <w:t>13 months</w:t>
            </w:r>
          </w:p>
        </w:tc>
        <w:tc>
          <w:tcPr>
            <w:tcW w:w="2329" w:type="dxa"/>
            <w:shd w:val="clear" w:color="auto" w:fill="auto"/>
            <w:vAlign w:val="center"/>
          </w:tcPr>
          <w:p w14:paraId="07F1085F" w14:textId="3D28B75D" w:rsidR="007E570A" w:rsidRPr="00CF0690" w:rsidRDefault="007E570A" w:rsidP="008D6803">
            <w:pPr>
              <w:pStyle w:val="ListParagraph"/>
              <w:ind w:left="426"/>
              <w:jc w:val="both"/>
            </w:pPr>
            <w:r w:rsidRPr="00CF0690">
              <w:t>£</w:t>
            </w:r>
            <w:r w:rsidR="00BD01DE">
              <w:t>1</w:t>
            </w:r>
            <w:r w:rsidRPr="00CF0690">
              <w:t>m</w:t>
            </w:r>
          </w:p>
        </w:tc>
        <w:tc>
          <w:tcPr>
            <w:tcW w:w="2683" w:type="dxa"/>
            <w:shd w:val="clear" w:color="auto" w:fill="auto"/>
            <w:vAlign w:val="center"/>
          </w:tcPr>
          <w:p w14:paraId="44DAD7EA" w14:textId="5122BBE3" w:rsidR="007E570A" w:rsidRPr="00CF0690" w:rsidRDefault="00D76189" w:rsidP="008D6803">
            <w:pPr>
              <w:pStyle w:val="ListParagraph"/>
              <w:ind w:left="426"/>
              <w:jc w:val="both"/>
            </w:pPr>
            <w:r>
              <w:t>£2m</w:t>
            </w:r>
          </w:p>
        </w:tc>
      </w:tr>
      <w:tr w:rsidR="007E570A" w:rsidRPr="00E61562" w14:paraId="0C0BEFCD" w14:textId="77777777" w:rsidTr="0004046D">
        <w:trPr>
          <w:trHeight w:val="397"/>
        </w:trPr>
        <w:tc>
          <w:tcPr>
            <w:tcW w:w="2261" w:type="dxa"/>
            <w:shd w:val="clear" w:color="auto" w:fill="auto"/>
            <w:vAlign w:val="center"/>
          </w:tcPr>
          <w:p w14:paraId="1F9A81A1" w14:textId="77777777" w:rsidR="007E570A" w:rsidRPr="00CF0690" w:rsidRDefault="007E570A" w:rsidP="008D6803">
            <w:pPr>
              <w:pStyle w:val="ListParagraph"/>
              <w:ind w:left="426"/>
              <w:jc w:val="both"/>
            </w:pPr>
            <w:r w:rsidRPr="00CF0690">
              <w:t>Building societies (unsecured) *</w:t>
            </w:r>
          </w:p>
        </w:tc>
        <w:tc>
          <w:tcPr>
            <w:tcW w:w="1794" w:type="dxa"/>
            <w:shd w:val="clear" w:color="auto" w:fill="auto"/>
            <w:vAlign w:val="center"/>
          </w:tcPr>
          <w:p w14:paraId="157E91F8" w14:textId="522792A3" w:rsidR="007E570A" w:rsidRDefault="007E570A" w:rsidP="008D6803">
            <w:pPr>
              <w:pStyle w:val="ListParagraph"/>
              <w:ind w:left="426"/>
              <w:jc w:val="both"/>
            </w:pPr>
          </w:p>
          <w:p w14:paraId="056BCB58" w14:textId="6F246FDE" w:rsidR="00785F87" w:rsidRPr="00CF0690" w:rsidRDefault="00785F87" w:rsidP="008D6803">
            <w:pPr>
              <w:pStyle w:val="ListParagraph"/>
              <w:ind w:left="426"/>
              <w:jc w:val="both"/>
            </w:pPr>
            <w:r>
              <w:t>6 months</w:t>
            </w:r>
          </w:p>
        </w:tc>
        <w:tc>
          <w:tcPr>
            <w:tcW w:w="2329" w:type="dxa"/>
            <w:shd w:val="clear" w:color="auto" w:fill="auto"/>
            <w:vAlign w:val="center"/>
          </w:tcPr>
          <w:p w14:paraId="136497E2" w14:textId="0C43EEBB" w:rsidR="007E570A" w:rsidRPr="00CF0690" w:rsidRDefault="007E570A" w:rsidP="008D6803">
            <w:pPr>
              <w:pStyle w:val="ListParagraph"/>
              <w:ind w:left="426"/>
              <w:jc w:val="both"/>
            </w:pPr>
            <w:r w:rsidRPr="00CF0690">
              <w:t>£</w:t>
            </w:r>
            <w:r w:rsidR="00BD01DE">
              <w:t>1</w:t>
            </w:r>
            <w:r w:rsidRPr="00CF0690">
              <w:t>m</w:t>
            </w:r>
          </w:p>
        </w:tc>
        <w:tc>
          <w:tcPr>
            <w:tcW w:w="2683" w:type="dxa"/>
            <w:shd w:val="clear" w:color="auto" w:fill="auto"/>
            <w:vAlign w:val="center"/>
          </w:tcPr>
          <w:p w14:paraId="15237353" w14:textId="7E326AC7" w:rsidR="007E570A" w:rsidRPr="00CF0690" w:rsidRDefault="00D76189" w:rsidP="008D6803">
            <w:pPr>
              <w:pStyle w:val="ListParagraph"/>
              <w:ind w:left="426"/>
              <w:jc w:val="both"/>
            </w:pPr>
            <w:r>
              <w:t>£4m</w:t>
            </w:r>
          </w:p>
        </w:tc>
      </w:tr>
      <w:tr w:rsidR="007E570A" w:rsidRPr="00E61562" w14:paraId="22B0709A" w14:textId="77777777" w:rsidTr="0004046D">
        <w:trPr>
          <w:trHeight w:val="397"/>
        </w:trPr>
        <w:tc>
          <w:tcPr>
            <w:tcW w:w="2261" w:type="dxa"/>
            <w:shd w:val="clear" w:color="auto" w:fill="auto"/>
            <w:vAlign w:val="center"/>
          </w:tcPr>
          <w:p w14:paraId="40FB4B3D" w14:textId="77777777" w:rsidR="007E570A" w:rsidRPr="00CF0690" w:rsidRDefault="007E570A" w:rsidP="008D6803">
            <w:pPr>
              <w:pStyle w:val="ListParagraph"/>
              <w:ind w:left="426"/>
              <w:jc w:val="both"/>
            </w:pPr>
            <w:r w:rsidRPr="00CF0690">
              <w:t>Registered providers (unsecured) *</w:t>
            </w:r>
          </w:p>
        </w:tc>
        <w:tc>
          <w:tcPr>
            <w:tcW w:w="1794" w:type="dxa"/>
            <w:shd w:val="clear" w:color="auto" w:fill="auto"/>
            <w:vAlign w:val="center"/>
          </w:tcPr>
          <w:p w14:paraId="6D5EB0D8" w14:textId="5059868D" w:rsidR="007E570A" w:rsidRDefault="007E570A" w:rsidP="008D6803">
            <w:pPr>
              <w:pStyle w:val="ListParagraph"/>
              <w:ind w:left="426"/>
              <w:jc w:val="both"/>
            </w:pPr>
          </w:p>
          <w:p w14:paraId="03822CBE" w14:textId="4AD05279" w:rsidR="00785F87" w:rsidRPr="00CF0690" w:rsidRDefault="00785F87" w:rsidP="008D6803">
            <w:pPr>
              <w:pStyle w:val="ListParagraph"/>
              <w:ind w:left="426"/>
              <w:jc w:val="both"/>
            </w:pPr>
            <w:r>
              <w:t>n/a</w:t>
            </w:r>
          </w:p>
        </w:tc>
        <w:tc>
          <w:tcPr>
            <w:tcW w:w="2329" w:type="dxa"/>
            <w:shd w:val="clear" w:color="auto" w:fill="auto"/>
            <w:vAlign w:val="center"/>
          </w:tcPr>
          <w:p w14:paraId="33FB36BD" w14:textId="77777777" w:rsidR="007E570A" w:rsidRPr="00CF0690" w:rsidRDefault="007E570A" w:rsidP="008D6803">
            <w:pPr>
              <w:pStyle w:val="ListParagraph"/>
              <w:ind w:left="426"/>
              <w:jc w:val="both"/>
            </w:pPr>
            <w:r w:rsidRPr="00CF0690">
              <w:t>£1m</w:t>
            </w:r>
          </w:p>
        </w:tc>
        <w:tc>
          <w:tcPr>
            <w:tcW w:w="2683" w:type="dxa"/>
            <w:shd w:val="clear" w:color="auto" w:fill="auto"/>
            <w:vAlign w:val="center"/>
          </w:tcPr>
          <w:p w14:paraId="476FAF9A" w14:textId="180A56F1" w:rsidR="007E570A" w:rsidRPr="00CF0690" w:rsidRDefault="008D05F0" w:rsidP="008D6803">
            <w:pPr>
              <w:pStyle w:val="ListParagraph"/>
              <w:ind w:left="426"/>
              <w:jc w:val="both"/>
            </w:pPr>
            <w:r w:rsidRPr="00CF0690">
              <w:t>Unlimited</w:t>
            </w:r>
          </w:p>
        </w:tc>
      </w:tr>
      <w:tr w:rsidR="007E570A" w:rsidRPr="00E61562" w14:paraId="14AC574C" w14:textId="77777777" w:rsidTr="0004046D">
        <w:trPr>
          <w:trHeight w:val="397"/>
        </w:trPr>
        <w:tc>
          <w:tcPr>
            <w:tcW w:w="2261" w:type="dxa"/>
            <w:shd w:val="clear" w:color="auto" w:fill="auto"/>
            <w:vAlign w:val="center"/>
          </w:tcPr>
          <w:p w14:paraId="65DC8CA0" w14:textId="77777777" w:rsidR="007E570A" w:rsidRPr="00CF0690" w:rsidRDefault="007E570A" w:rsidP="008D6803">
            <w:pPr>
              <w:pStyle w:val="ListParagraph"/>
              <w:ind w:left="426"/>
              <w:jc w:val="both"/>
            </w:pPr>
            <w:r w:rsidRPr="00CF0690">
              <w:t>Money market funds *</w:t>
            </w:r>
          </w:p>
        </w:tc>
        <w:tc>
          <w:tcPr>
            <w:tcW w:w="1794" w:type="dxa"/>
            <w:shd w:val="clear" w:color="auto" w:fill="auto"/>
            <w:vAlign w:val="center"/>
          </w:tcPr>
          <w:p w14:paraId="590BB74E" w14:textId="77777777" w:rsidR="007E570A" w:rsidRPr="00CF0690" w:rsidRDefault="007E570A" w:rsidP="008D6803">
            <w:pPr>
              <w:pStyle w:val="ListParagraph"/>
              <w:ind w:left="426"/>
              <w:jc w:val="both"/>
            </w:pPr>
            <w:r w:rsidRPr="00CF0690">
              <w:t>n/a</w:t>
            </w:r>
          </w:p>
        </w:tc>
        <w:tc>
          <w:tcPr>
            <w:tcW w:w="2329" w:type="dxa"/>
            <w:shd w:val="clear" w:color="auto" w:fill="auto"/>
            <w:vAlign w:val="center"/>
          </w:tcPr>
          <w:p w14:paraId="31841BBB" w14:textId="570B21EC" w:rsidR="007E570A" w:rsidRPr="00CF0690" w:rsidRDefault="007E570A" w:rsidP="008D6803">
            <w:pPr>
              <w:pStyle w:val="ListParagraph"/>
              <w:ind w:left="426"/>
              <w:jc w:val="both"/>
            </w:pPr>
            <w:r w:rsidRPr="00CF0690">
              <w:t>£</w:t>
            </w:r>
            <w:r w:rsidR="00FD03EA">
              <w:t>3</w:t>
            </w:r>
            <w:r w:rsidRPr="00CF0690">
              <w:t>m</w:t>
            </w:r>
          </w:p>
        </w:tc>
        <w:tc>
          <w:tcPr>
            <w:tcW w:w="2683" w:type="dxa"/>
            <w:shd w:val="clear" w:color="auto" w:fill="auto"/>
            <w:vAlign w:val="center"/>
          </w:tcPr>
          <w:p w14:paraId="34289A18" w14:textId="5FB60F66" w:rsidR="007E570A" w:rsidRPr="00CF0690" w:rsidRDefault="007465FB" w:rsidP="008D6803">
            <w:pPr>
              <w:pStyle w:val="ListParagraph"/>
              <w:ind w:left="426"/>
              <w:jc w:val="both"/>
            </w:pPr>
            <w:r>
              <w:t>Maximum 50% of total investments</w:t>
            </w:r>
          </w:p>
        </w:tc>
      </w:tr>
      <w:tr w:rsidR="007E570A" w:rsidRPr="00E61562" w14:paraId="344BCEF4" w14:textId="77777777" w:rsidTr="0004046D">
        <w:trPr>
          <w:trHeight w:val="397"/>
        </w:trPr>
        <w:tc>
          <w:tcPr>
            <w:tcW w:w="2261" w:type="dxa"/>
            <w:shd w:val="clear" w:color="auto" w:fill="auto"/>
            <w:vAlign w:val="center"/>
          </w:tcPr>
          <w:p w14:paraId="329DCA83" w14:textId="77777777" w:rsidR="007E570A" w:rsidRPr="00E61562" w:rsidRDefault="007E570A" w:rsidP="008D6803">
            <w:pPr>
              <w:pStyle w:val="ListParagraph"/>
              <w:ind w:left="426"/>
              <w:jc w:val="both"/>
            </w:pPr>
            <w:r w:rsidRPr="00E61562">
              <w:t>Strategic pooled funds</w:t>
            </w:r>
          </w:p>
        </w:tc>
        <w:tc>
          <w:tcPr>
            <w:tcW w:w="1794" w:type="dxa"/>
            <w:shd w:val="clear" w:color="auto" w:fill="auto"/>
            <w:vAlign w:val="center"/>
          </w:tcPr>
          <w:p w14:paraId="6A6EDD80" w14:textId="77777777" w:rsidR="007E570A" w:rsidRPr="00E61562" w:rsidRDefault="007E570A" w:rsidP="008D6803">
            <w:pPr>
              <w:pStyle w:val="ListParagraph"/>
              <w:ind w:left="426"/>
              <w:jc w:val="both"/>
            </w:pPr>
            <w:r w:rsidRPr="00E61562">
              <w:t>n/a</w:t>
            </w:r>
          </w:p>
        </w:tc>
        <w:tc>
          <w:tcPr>
            <w:tcW w:w="2329" w:type="dxa"/>
            <w:shd w:val="clear" w:color="auto" w:fill="auto"/>
            <w:vAlign w:val="center"/>
          </w:tcPr>
          <w:p w14:paraId="3A347681" w14:textId="77777777" w:rsidR="007E570A" w:rsidRPr="00E61562" w:rsidRDefault="007E570A" w:rsidP="008D6803">
            <w:pPr>
              <w:pStyle w:val="ListParagraph"/>
              <w:ind w:left="426"/>
              <w:jc w:val="both"/>
            </w:pPr>
            <w:r w:rsidRPr="00E61562">
              <w:t>£</w:t>
            </w:r>
            <w:r>
              <w:t>2</w:t>
            </w:r>
            <w:r w:rsidRPr="00E61562">
              <w:t>m</w:t>
            </w:r>
          </w:p>
        </w:tc>
        <w:tc>
          <w:tcPr>
            <w:tcW w:w="2683" w:type="dxa"/>
            <w:shd w:val="clear" w:color="auto" w:fill="auto"/>
            <w:vAlign w:val="center"/>
          </w:tcPr>
          <w:p w14:paraId="09B30823" w14:textId="3B21AA07" w:rsidR="007E570A" w:rsidRPr="00E61562" w:rsidRDefault="008D05F0" w:rsidP="008D6803">
            <w:pPr>
              <w:pStyle w:val="ListParagraph"/>
              <w:ind w:left="426"/>
              <w:jc w:val="both"/>
              <w:rPr>
                <w:b/>
              </w:rPr>
            </w:pPr>
            <w:r>
              <w:t>£</w:t>
            </w:r>
            <w:r w:rsidR="00F55048">
              <w:t>5</w:t>
            </w:r>
            <w:r>
              <w:t>m</w:t>
            </w:r>
          </w:p>
        </w:tc>
      </w:tr>
    </w:tbl>
    <w:p w14:paraId="31CF8FDD" w14:textId="77777777" w:rsidR="007E570A" w:rsidRDefault="007E570A" w:rsidP="008D6803">
      <w:pPr>
        <w:pStyle w:val="ListParagraph"/>
        <w:ind w:left="426"/>
        <w:jc w:val="both"/>
      </w:pPr>
    </w:p>
    <w:p w14:paraId="5572AF91" w14:textId="39399D84" w:rsidR="007E570A" w:rsidRPr="00711110" w:rsidRDefault="007E570A" w:rsidP="00711110">
      <w:pPr>
        <w:pStyle w:val="ListParagraph"/>
        <w:spacing w:after="240"/>
        <w:ind w:left="425"/>
        <w:jc w:val="both"/>
      </w:pPr>
      <w:r w:rsidRPr="0041076E">
        <w:t xml:space="preserve">This table must be read in conjunction with the notes </w:t>
      </w:r>
      <w:r w:rsidR="00A5542D">
        <w:t>overleaf</w:t>
      </w:r>
      <w:r>
        <w:t>.</w:t>
      </w:r>
    </w:p>
    <w:p w14:paraId="6BDE3C03" w14:textId="25671513" w:rsidR="007E570A" w:rsidRDefault="007E570A" w:rsidP="00711110">
      <w:pPr>
        <w:pStyle w:val="ListParagraph"/>
        <w:spacing w:after="240"/>
        <w:ind w:left="425"/>
        <w:jc w:val="both"/>
      </w:pPr>
      <w:r w:rsidRPr="0041076E">
        <w:rPr>
          <w:b/>
        </w:rPr>
        <w:lastRenderedPageBreak/>
        <w:t>Credit rating:</w:t>
      </w:r>
      <w:r w:rsidRPr="0041076E">
        <w:t xml:space="preserve"> Investment limits are set by reference to the lowest published long-term credit rating from a selection of external rating agencies. Where available, the credit rating relevant to the specific investment or class of investment is used, otherwise the counterparty credit rating is used. However, investment decisions are never made solely based on credit ratings, and all other relevant factors including external advice will be </w:t>
      </w:r>
      <w:proofErr w:type="gramStart"/>
      <w:r w:rsidRPr="0041076E">
        <w:t>taken into account</w:t>
      </w:r>
      <w:proofErr w:type="gramEnd"/>
      <w:r w:rsidRPr="0041076E">
        <w:t>.</w:t>
      </w:r>
    </w:p>
    <w:p w14:paraId="76432D13" w14:textId="177F94A6" w:rsidR="007E570A" w:rsidRPr="0073743B" w:rsidRDefault="007E570A" w:rsidP="00711110">
      <w:pPr>
        <w:pStyle w:val="ListParagraph"/>
        <w:spacing w:after="240"/>
        <w:ind w:left="425"/>
      </w:pPr>
      <w:r w:rsidRPr="0073743B">
        <w:rPr>
          <w:b/>
        </w:rPr>
        <w:t>* Minimum credit rating:</w:t>
      </w:r>
      <w:r w:rsidRPr="0073743B">
        <w:t xml:space="preserve"> Treasury investments in the sectors marked with an asterisk </w:t>
      </w:r>
      <w:r w:rsidRPr="00500F7A">
        <w:t xml:space="preserve">will only be made with entities whose lowest published long-term credit rating is no lower than A. Where available, the credit rating relevant to the specific investment or class of investment is used, otherwise the counterparty credit rating is used. However, investment decisions are never made solely based on credit ratings, and all other relevant factors including external advice will be </w:t>
      </w:r>
      <w:r w:rsidR="00E15905" w:rsidRPr="00500F7A">
        <w:t>considered</w:t>
      </w:r>
      <w:r w:rsidRPr="0073743B">
        <w:t>.</w:t>
      </w:r>
    </w:p>
    <w:p w14:paraId="0A25357B" w14:textId="74CE4265" w:rsidR="007E570A" w:rsidRPr="0073743B" w:rsidRDefault="007E570A" w:rsidP="00711110">
      <w:pPr>
        <w:pStyle w:val="ListParagraph"/>
        <w:spacing w:after="240"/>
        <w:ind w:left="425"/>
      </w:pPr>
      <w:r w:rsidRPr="0073743B">
        <w:t xml:space="preserve">For entities without published credit ratings, investments may be made either (a) where external advice indicates the entity to be of similar credit quality; or (b) to a maximum of </w:t>
      </w:r>
      <w:r w:rsidRPr="00EF3056">
        <w:t>£1m per counterparty</w:t>
      </w:r>
      <w:r w:rsidRPr="0073743B">
        <w:t xml:space="preserve"> as part of a diversified pool </w:t>
      </w:r>
      <w:r w:rsidR="00E15905" w:rsidRPr="0073743B">
        <w:t>e.g.,</w:t>
      </w:r>
      <w:r w:rsidRPr="0073743B">
        <w:t xml:space="preserve"> via a peer-to-peer platform.</w:t>
      </w:r>
    </w:p>
    <w:p w14:paraId="3CB76741" w14:textId="7DCCB6ED" w:rsidR="007E570A" w:rsidRDefault="007E570A" w:rsidP="00012E69">
      <w:pPr>
        <w:spacing w:after="240"/>
        <w:ind w:left="426"/>
        <w:jc w:val="both"/>
      </w:pPr>
      <w:r w:rsidRPr="00FE351D">
        <w:rPr>
          <w:b/>
        </w:rPr>
        <w:t>Banks unsecured</w:t>
      </w:r>
      <w:r w:rsidR="009338C9">
        <w:rPr>
          <w:b/>
        </w:rPr>
        <w:t>:</w:t>
      </w:r>
      <w:r w:rsidRPr="0041076E">
        <w:t xml:space="preserve"> Accounts, deposits, certificates of deposit and senior unsecured bonds with banks and building societies, other than multilateral development banks. These investments are subject to the risk of credit loss via a bail-in should the regulator determine that the bank is failing or likely to fail. See below for arrangements relating to operational bank accounts.</w:t>
      </w:r>
      <w:r w:rsidR="00445166">
        <w:t xml:space="preserve"> </w:t>
      </w:r>
    </w:p>
    <w:p w14:paraId="6A174899" w14:textId="44D0CA1B" w:rsidR="00280379" w:rsidRPr="00280379" w:rsidRDefault="00145858" w:rsidP="00012E69">
      <w:pPr>
        <w:spacing w:after="240"/>
        <w:ind w:left="426"/>
        <w:jc w:val="both"/>
        <w:rPr>
          <w:bCs/>
          <w:i/>
          <w:iCs/>
          <w:color w:val="0070C0"/>
        </w:rPr>
      </w:pPr>
      <w:r>
        <w:rPr>
          <w:bCs/>
          <w:i/>
          <w:iCs/>
          <w:color w:val="0070C0"/>
        </w:rPr>
        <w:t>The Service uses bank deposits to generate a return on short term investments.</w:t>
      </w:r>
      <w:r w:rsidR="0029711B">
        <w:rPr>
          <w:bCs/>
          <w:i/>
          <w:iCs/>
          <w:color w:val="0070C0"/>
        </w:rPr>
        <w:t xml:space="preserve"> </w:t>
      </w:r>
    </w:p>
    <w:p w14:paraId="35EAEECB" w14:textId="27F4FDE3" w:rsidR="007E570A" w:rsidRDefault="007E570A" w:rsidP="00FE351D">
      <w:pPr>
        <w:pStyle w:val="ListParagraph"/>
        <w:spacing w:after="240"/>
        <w:ind w:left="426"/>
        <w:jc w:val="both"/>
      </w:pPr>
      <w:r w:rsidRPr="0041076E">
        <w:rPr>
          <w:b/>
        </w:rPr>
        <w:t>Banks secured:</w:t>
      </w:r>
      <w:r w:rsidRPr="0041076E">
        <w:t xml:space="preserve"> Covered bonds, reverse repurchase agreements and other collateralised arrangements with banks and building societies. These investments are secured on the bank’s assets, which limits the potential losses in the unlikely event of insolvency, and means that they are exempt from bail-in. Where there is no investment specific credit rating, but the collateral upon which the investment is secured has a credit rating, the higher of the collateral credit rating and the counterparty credit rating will be used to determine cash and time limits. The combined secured and unsecured investments in any one bank will not exceed the cash limit for secured investments.</w:t>
      </w:r>
    </w:p>
    <w:p w14:paraId="6A0AE56A" w14:textId="566FAEA4" w:rsidR="00145858" w:rsidRPr="00145858" w:rsidRDefault="00145858" w:rsidP="00FE351D">
      <w:pPr>
        <w:pStyle w:val="ListParagraph"/>
        <w:spacing w:after="240"/>
        <w:ind w:left="426"/>
        <w:jc w:val="both"/>
        <w:rPr>
          <w:bCs/>
          <w:i/>
          <w:iCs/>
          <w:color w:val="0070C0"/>
        </w:rPr>
      </w:pPr>
      <w:r w:rsidRPr="00145858">
        <w:rPr>
          <w:bCs/>
          <w:i/>
          <w:iCs/>
          <w:color w:val="0070C0"/>
        </w:rPr>
        <w:t>The Service</w:t>
      </w:r>
      <w:r>
        <w:rPr>
          <w:bCs/>
          <w:i/>
          <w:iCs/>
          <w:color w:val="0070C0"/>
        </w:rPr>
        <w:t xml:space="preserve"> does not currently </w:t>
      </w:r>
      <w:r w:rsidR="00C12475">
        <w:rPr>
          <w:bCs/>
          <w:i/>
          <w:iCs/>
          <w:color w:val="0070C0"/>
        </w:rPr>
        <w:t>utilise secured bank investments.</w:t>
      </w:r>
    </w:p>
    <w:p w14:paraId="3BB50429" w14:textId="300630E7" w:rsidR="007E570A" w:rsidRDefault="007E570A" w:rsidP="00FE351D">
      <w:pPr>
        <w:pStyle w:val="ListParagraph"/>
        <w:spacing w:after="240"/>
        <w:ind w:left="426"/>
        <w:jc w:val="both"/>
      </w:pPr>
      <w:r w:rsidRPr="0041076E">
        <w:rPr>
          <w:b/>
        </w:rPr>
        <w:t>Government:</w:t>
      </w:r>
      <w:r w:rsidRPr="0041076E">
        <w:t xml:space="preserve"> Loans, bonds and bills issued or guaranteed by national governments, regional and local </w:t>
      </w:r>
      <w:proofErr w:type="gramStart"/>
      <w:r w:rsidRPr="0041076E">
        <w:t>authorities</w:t>
      </w:r>
      <w:proofErr w:type="gramEnd"/>
      <w:r w:rsidRPr="0041076E">
        <w:t xml:space="preserve"> and multilateral development banks. These investments are not subject to bail-in, and there is generally a lower risk of insolvency, although they are not zero risk. Investments with the UK Central Government </w:t>
      </w:r>
      <w:r w:rsidRPr="0073743B">
        <w:t xml:space="preserve">are deemed to be zero credit risk due to its ability to create additional currency and therefore </w:t>
      </w:r>
      <w:r w:rsidRPr="0041076E">
        <w:t xml:space="preserve">may be made in unlimited amounts for up to 50 years. </w:t>
      </w:r>
    </w:p>
    <w:p w14:paraId="2BDD70F4" w14:textId="03C98061" w:rsidR="00C12475" w:rsidRPr="00C12475" w:rsidRDefault="00C12475" w:rsidP="00FE351D">
      <w:pPr>
        <w:pStyle w:val="ListParagraph"/>
        <w:spacing w:after="240"/>
        <w:ind w:left="426"/>
        <w:jc w:val="both"/>
        <w:rPr>
          <w:i/>
          <w:iCs/>
          <w:color w:val="0070C0"/>
        </w:rPr>
      </w:pPr>
      <w:r w:rsidRPr="00C12475">
        <w:rPr>
          <w:i/>
          <w:iCs/>
          <w:color w:val="0070C0"/>
        </w:rPr>
        <w:t>The</w:t>
      </w:r>
      <w:r>
        <w:rPr>
          <w:i/>
          <w:iCs/>
          <w:color w:val="0070C0"/>
        </w:rPr>
        <w:t xml:space="preserve"> Service utilises Government investments to provide a </w:t>
      </w:r>
      <w:r w:rsidR="000F2AA6">
        <w:rPr>
          <w:i/>
          <w:iCs/>
          <w:color w:val="0070C0"/>
        </w:rPr>
        <w:t xml:space="preserve">guaranteed </w:t>
      </w:r>
      <w:r>
        <w:rPr>
          <w:i/>
          <w:iCs/>
          <w:color w:val="0070C0"/>
        </w:rPr>
        <w:t xml:space="preserve">return </w:t>
      </w:r>
      <w:r w:rsidR="00AC3B5B">
        <w:rPr>
          <w:i/>
          <w:iCs/>
          <w:color w:val="0070C0"/>
        </w:rPr>
        <w:t>over fixed periods (normally 1-6 months).</w:t>
      </w:r>
    </w:p>
    <w:p w14:paraId="4413C541" w14:textId="6F064639" w:rsidR="007E570A" w:rsidRPr="00FE351D" w:rsidRDefault="007E570A" w:rsidP="00FE351D">
      <w:pPr>
        <w:pStyle w:val="ListParagraph"/>
        <w:spacing w:after="240"/>
        <w:ind w:left="426"/>
        <w:jc w:val="both"/>
        <w:rPr>
          <w:b/>
        </w:rPr>
      </w:pPr>
      <w:r w:rsidRPr="0041076E">
        <w:rPr>
          <w:b/>
        </w:rPr>
        <w:lastRenderedPageBreak/>
        <w:t xml:space="preserve">Registered providers: </w:t>
      </w:r>
      <w:r w:rsidRPr="0041076E">
        <w:t xml:space="preserve">Loans and bonds issued by, guaranteed </w:t>
      </w:r>
      <w:proofErr w:type="gramStart"/>
      <w:r w:rsidRPr="0041076E">
        <w:t>by</w:t>
      </w:r>
      <w:proofErr w:type="gramEnd"/>
      <w:r w:rsidRPr="0041076E">
        <w:t xml:space="preserve"> or secured on the assets of registered providers of social housing and registered social landlords, formerly known as housing associations.  These bodies are regulated by the Regulator of Social Housing (in England), the Scottish Housing Regulator, the Welsh </w:t>
      </w:r>
      <w:proofErr w:type="gramStart"/>
      <w:r w:rsidRPr="0041076E">
        <w:t>Government</w:t>
      </w:r>
      <w:proofErr w:type="gramEnd"/>
      <w:r w:rsidRPr="0041076E">
        <w:t xml:space="preserve"> and the Department for Communities (in Northern Ireland). As providers of public services, they </w:t>
      </w:r>
      <w:r w:rsidRPr="00500F7A">
        <w:t>retain the likelihood of receiving government support if needed.</w:t>
      </w:r>
    </w:p>
    <w:p w14:paraId="2A2ACB18" w14:textId="6A7F8D91" w:rsidR="00127345" w:rsidRPr="00500F7A" w:rsidRDefault="007E570A" w:rsidP="00FE351D">
      <w:pPr>
        <w:pStyle w:val="ListParagraph"/>
        <w:spacing w:after="120"/>
        <w:ind w:left="426"/>
        <w:jc w:val="both"/>
      </w:pPr>
      <w:r w:rsidRPr="00500F7A">
        <w:rPr>
          <w:b/>
        </w:rPr>
        <w:t>Money market funds:</w:t>
      </w:r>
      <w:r w:rsidR="00127345" w:rsidRPr="00500F7A">
        <w:t xml:space="preserve"> Pooled funds that offer same-day or short notice liquidity and typically </w:t>
      </w:r>
      <w:proofErr w:type="gramStart"/>
      <w:r w:rsidR="00127345" w:rsidRPr="00500F7A">
        <w:t>low price</w:t>
      </w:r>
      <w:proofErr w:type="gramEnd"/>
      <w:r w:rsidR="00127345" w:rsidRPr="00500F7A">
        <w:t xml:space="preserve"> volatility by investing in short-term money markets. They have the advantage over bank accounts of providing wider diversification of investment risks, coupled with the services of a professional fund manager. These funds come under pressure during early 2020 as the demand for liquidity grew due to external factors, and significant withdrawals were required. As it remains unclear how much the Bank of England would be willing to support MMF market participants in future, as well as the potential for further regulations to be introduced, the 50% sector limit has been maintained. Therefore, whilst the investment guidance for money market funds (MMF) is set out in </w:t>
      </w:r>
      <w:r w:rsidR="00127345" w:rsidRPr="006B056B">
        <w:t xml:space="preserve">Table </w:t>
      </w:r>
      <w:r w:rsidR="006B056B" w:rsidRPr="006B056B">
        <w:t>4,</w:t>
      </w:r>
      <w:r w:rsidR="00127345" w:rsidRPr="006B056B">
        <w:t xml:space="preserve"> the</w:t>
      </w:r>
      <w:r w:rsidR="00127345" w:rsidRPr="00500F7A">
        <w:t xml:space="preserve"> guideline exposure for these funds will also incorporate the following:</w:t>
      </w:r>
    </w:p>
    <w:p w14:paraId="19449C96" w14:textId="669FD120" w:rsidR="00127345" w:rsidRPr="001D023C" w:rsidRDefault="00127345" w:rsidP="00191AA6">
      <w:pPr>
        <w:pStyle w:val="ListParagraph"/>
        <w:numPr>
          <w:ilvl w:val="0"/>
          <w:numId w:val="8"/>
        </w:numPr>
        <w:spacing w:after="120"/>
        <w:ind w:left="1134"/>
        <w:jc w:val="both"/>
      </w:pPr>
      <w:r w:rsidRPr="001D023C">
        <w:t>Investment exposure of no more than 0.5% of the total MMF (if a government MMF then this can be 2%).</w:t>
      </w:r>
    </w:p>
    <w:p w14:paraId="48570FA6" w14:textId="5BEE1C10" w:rsidR="007930A4" w:rsidRDefault="00127345" w:rsidP="00191AA6">
      <w:pPr>
        <w:pStyle w:val="ListParagraph"/>
        <w:numPr>
          <w:ilvl w:val="0"/>
          <w:numId w:val="8"/>
        </w:numPr>
        <w:spacing w:after="240"/>
        <w:ind w:left="1134" w:hanging="357"/>
        <w:jc w:val="both"/>
      </w:pPr>
      <w:r w:rsidRPr="001D023C">
        <w:t xml:space="preserve">Investment exposure is diversified, as far as practical, over multiple MMF’s, </w:t>
      </w:r>
      <w:r w:rsidR="007930A4" w:rsidRPr="001D023C">
        <w:t>with a maximum of £3m being invested in a specific fund.</w:t>
      </w:r>
    </w:p>
    <w:p w14:paraId="3935067A" w14:textId="324DA79A" w:rsidR="00AC3B5B" w:rsidRPr="00AC3B5B" w:rsidRDefault="00AC3B5B" w:rsidP="00AC3B5B">
      <w:pPr>
        <w:spacing w:after="240"/>
        <w:ind w:left="426"/>
        <w:jc w:val="both"/>
        <w:rPr>
          <w:i/>
          <w:iCs/>
          <w:color w:val="0070C0"/>
        </w:rPr>
      </w:pPr>
      <w:r>
        <w:rPr>
          <w:i/>
          <w:iCs/>
          <w:color w:val="0070C0"/>
        </w:rPr>
        <w:t>The Service utilises money market fund investments to generate a return</w:t>
      </w:r>
      <w:r w:rsidR="00EC329C">
        <w:rPr>
          <w:i/>
          <w:iCs/>
          <w:color w:val="0070C0"/>
        </w:rPr>
        <w:t xml:space="preserve"> while providing liquidity, as </w:t>
      </w:r>
      <w:r w:rsidR="00637556">
        <w:rPr>
          <w:i/>
          <w:iCs/>
          <w:color w:val="0070C0"/>
        </w:rPr>
        <w:t>funds can be returned on the same</w:t>
      </w:r>
      <w:r w:rsidR="00DE3186">
        <w:rPr>
          <w:i/>
          <w:iCs/>
          <w:color w:val="0070C0"/>
        </w:rPr>
        <w:t xml:space="preserve"> </w:t>
      </w:r>
      <w:r w:rsidR="00637556">
        <w:rPr>
          <w:i/>
          <w:iCs/>
          <w:color w:val="0070C0"/>
        </w:rPr>
        <w:t>day</w:t>
      </w:r>
      <w:r w:rsidR="00EC329C">
        <w:rPr>
          <w:i/>
          <w:iCs/>
          <w:color w:val="0070C0"/>
        </w:rPr>
        <w:t>.</w:t>
      </w:r>
    </w:p>
    <w:p w14:paraId="2D8A48EF" w14:textId="18A990F1" w:rsidR="007E570A" w:rsidRDefault="007E570A" w:rsidP="00FE351D">
      <w:pPr>
        <w:pStyle w:val="ListParagraph"/>
        <w:spacing w:after="240"/>
        <w:ind w:left="426"/>
        <w:jc w:val="both"/>
      </w:pPr>
      <w:r w:rsidRPr="00D6744D">
        <w:rPr>
          <w:b/>
          <w:bCs/>
        </w:rPr>
        <w:t>Strategic pooled funds:</w:t>
      </w:r>
      <w:r>
        <w:t xml:space="preserve"> </w:t>
      </w:r>
      <w:r w:rsidRPr="0041076E">
        <w:t>Bond, equity and property funds offer enhanced returns over the longer term but are more volatile in the short term.  These allow the Authority to diversify into asset classes other than cash without the need to own and manage the underlying investments. Because these funds have no defined maturity date, but are available for withdrawal after a notice period, their performance and continued suitability in meeting the Authority’s investment objectives will be monitored regularly.</w:t>
      </w:r>
    </w:p>
    <w:p w14:paraId="5D79A82D" w14:textId="42CB44DF" w:rsidR="00637556" w:rsidRPr="00637556" w:rsidRDefault="00637556" w:rsidP="00FE351D">
      <w:pPr>
        <w:pStyle w:val="ListParagraph"/>
        <w:spacing w:after="240"/>
        <w:ind w:left="426"/>
        <w:jc w:val="both"/>
        <w:rPr>
          <w:i/>
          <w:iCs/>
          <w:color w:val="0070C0"/>
        </w:rPr>
      </w:pPr>
      <w:r w:rsidRPr="00637556">
        <w:rPr>
          <w:i/>
          <w:iCs/>
          <w:color w:val="0070C0"/>
        </w:rPr>
        <w:t>The Service</w:t>
      </w:r>
      <w:r>
        <w:rPr>
          <w:i/>
          <w:iCs/>
          <w:color w:val="0070C0"/>
        </w:rPr>
        <w:t xml:space="preserve"> does not currently utilise Strategic Pooled Funds.</w:t>
      </w:r>
    </w:p>
    <w:p w14:paraId="3D9BCA37" w14:textId="5C422E1E" w:rsidR="007E570A" w:rsidRDefault="007E570A" w:rsidP="0004046D">
      <w:pPr>
        <w:pStyle w:val="ListParagraph"/>
        <w:spacing w:after="240"/>
        <w:ind w:left="425"/>
        <w:jc w:val="both"/>
      </w:pPr>
      <w:r w:rsidRPr="0041076E">
        <w:rPr>
          <w:b/>
        </w:rPr>
        <w:t>Real estate investment trusts:</w:t>
      </w:r>
      <w:r w:rsidRPr="0041076E">
        <w:t xml:space="preserve"> Shares in companies that invest mainly in real estate and pay </w:t>
      </w:r>
      <w:proofErr w:type="gramStart"/>
      <w:r w:rsidRPr="0041076E">
        <w:t>the majority of</w:t>
      </w:r>
      <w:proofErr w:type="gramEnd"/>
      <w:r w:rsidRPr="0041076E">
        <w:t xml:space="preserve"> their rental income to investors in a similar manner to pooled property funds. As with property funds, REITs offer enhanced returns over the longer term, but are more volatile especially as the share price reflects changing demand for the shares as well as changes in the value of the underlying properties.</w:t>
      </w:r>
    </w:p>
    <w:p w14:paraId="0F31BCB0" w14:textId="4AADAC21" w:rsidR="00A745BF" w:rsidRPr="00A745BF" w:rsidRDefault="00A745BF" w:rsidP="0004046D">
      <w:pPr>
        <w:pStyle w:val="ListParagraph"/>
        <w:spacing w:after="240"/>
        <w:ind w:left="425"/>
        <w:jc w:val="both"/>
        <w:rPr>
          <w:bCs/>
          <w:i/>
          <w:iCs/>
          <w:color w:val="0070C0"/>
        </w:rPr>
      </w:pPr>
      <w:r w:rsidRPr="00A745BF">
        <w:rPr>
          <w:bCs/>
          <w:i/>
          <w:iCs/>
          <w:color w:val="0070C0"/>
        </w:rPr>
        <w:t>The Service does not currently utilise real estate investment trusts.</w:t>
      </w:r>
    </w:p>
    <w:p w14:paraId="7114E8C6" w14:textId="77777777" w:rsidR="00A745BF" w:rsidRDefault="007E570A" w:rsidP="00A745BF">
      <w:pPr>
        <w:pStyle w:val="ListParagraph"/>
        <w:spacing w:after="240"/>
        <w:ind w:left="425"/>
        <w:jc w:val="both"/>
        <w:rPr>
          <w:b/>
        </w:rPr>
      </w:pPr>
      <w:r w:rsidRPr="0041076E">
        <w:rPr>
          <w:b/>
          <w:bCs/>
        </w:rPr>
        <w:t>Operational bank accounts:</w:t>
      </w:r>
      <w:r w:rsidRPr="0041076E">
        <w:rPr>
          <w:bCs/>
        </w:rPr>
        <w:t xml:space="preserve"> </w:t>
      </w:r>
      <w:r w:rsidR="00A745BF">
        <w:t xml:space="preserve">The Authority has an </w:t>
      </w:r>
      <w:r w:rsidR="00A745BF" w:rsidRPr="007C0AE3">
        <w:t>operational bank account with Lloyds, a</w:t>
      </w:r>
      <w:r w:rsidR="00A745BF">
        <w:t xml:space="preserve">nd an </w:t>
      </w:r>
      <w:r w:rsidR="00A745BF" w:rsidRPr="007C0AE3">
        <w:t>exception</w:t>
      </w:r>
      <w:r w:rsidR="00A745BF">
        <w:t xml:space="preserve"> </w:t>
      </w:r>
      <w:r w:rsidR="00A745BF" w:rsidRPr="007C0AE3">
        <w:t>applies where forecast cash outflows (</w:t>
      </w:r>
      <w:proofErr w:type="gramStart"/>
      <w:r w:rsidR="00A745BF" w:rsidRPr="007C0AE3">
        <w:t>e.g.</w:t>
      </w:r>
      <w:proofErr w:type="gramEnd"/>
      <w:r w:rsidR="00A745BF" w:rsidRPr="007C0AE3">
        <w:t xml:space="preserve"> salaries or supplier payments) necessitate additional funds being held. In these instances, a balance of up to £</w:t>
      </w:r>
      <w:r w:rsidR="00A745BF">
        <w:t>8</w:t>
      </w:r>
      <w:r w:rsidR="00A745BF" w:rsidRPr="007C0AE3">
        <w:t>m is permitted</w:t>
      </w:r>
      <w:r w:rsidR="00A745BF">
        <w:t>.</w:t>
      </w:r>
    </w:p>
    <w:p w14:paraId="08201B36" w14:textId="4A32F927" w:rsidR="00816912" w:rsidRPr="00FE351D" w:rsidRDefault="007E570A" w:rsidP="00C70D42">
      <w:pPr>
        <w:spacing w:after="240"/>
        <w:ind w:left="426"/>
        <w:jc w:val="both"/>
        <w:rPr>
          <w:bCs/>
        </w:rPr>
      </w:pPr>
      <w:r w:rsidRPr="0041076E">
        <w:rPr>
          <w:bCs/>
        </w:rPr>
        <w:lastRenderedPageBreak/>
        <w:t>The Authority may incur operational exposures, for example, th</w:t>
      </w:r>
      <w:r w:rsidR="004E74A6">
        <w:rPr>
          <w:bCs/>
        </w:rPr>
        <w:t>r</w:t>
      </w:r>
      <w:r w:rsidRPr="0041076E">
        <w:rPr>
          <w:bCs/>
        </w:rPr>
        <w:t>ough current accounts, collection accounts and merchant acquiring services, to any UK bank with credit ratings no lower than BBB- and with assets greater than £25 billion. These are not classed as investments but are still subject to the risk of a bank bail-in, and balances will therefore be kept</w:t>
      </w:r>
      <w:r w:rsidR="00CC237C">
        <w:rPr>
          <w:bCs/>
        </w:rPr>
        <w:t xml:space="preserve"> in accordance with </w:t>
      </w:r>
      <w:r w:rsidR="004D7758">
        <w:rPr>
          <w:bCs/>
        </w:rPr>
        <w:t xml:space="preserve">the criteria in </w:t>
      </w:r>
      <w:r w:rsidR="00CC237C">
        <w:rPr>
          <w:bCs/>
        </w:rPr>
        <w:t>Table 4</w:t>
      </w:r>
      <w:r w:rsidR="004D7758">
        <w:rPr>
          <w:bCs/>
        </w:rPr>
        <w:t>.</w:t>
      </w:r>
      <w:r w:rsidRPr="0041076E">
        <w:rPr>
          <w:bCs/>
        </w:rPr>
        <w:t xml:space="preserve">  The Bank of England has stated that in the event of failure, banks with assets greater than £25 billion are more likely to be bailed-in than made insolvent, increasing the chance of the Authority maintaining operational continuity. </w:t>
      </w:r>
    </w:p>
    <w:p w14:paraId="62461B13" w14:textId="77777777" w:rsidR="007E570A" w:rsidRPr="0041076E" w:rsidRDefault="007E570A" w:rsidP="00C70D42">
      <w:pPr>
        <w:spacing w:after="240"/>
        <w:ind w:left="426"/>
        <w:jc w:val="both"/>
      </w:pPr>
      <w:r w:rsidRPr="0041076E">
        <w:rPr>
          <w:b/>
        </w:rPr>
        <w:t>Risk assessment and credit ratings</w:t>
      </w:r>
      <w:r w:rsidRPr="0041076E">
        <w:t>: Credit ratings are obtained and monitored by the Authority’s treasury staff, who will notify changes in ratings as they occur. Where an entity has its credit rating downgraded so that it fails to meet the approved investment criteria then:</w:t>
      </w:r>
    </w:p>
    <w:p w14:paraId="36898830" w14:textId="77777777" w:rsidR="007E570A" w:rsidRPr="0041076E" w:rsidRDefault="007E570A" w:rsidP="00191AA6">
      <w:pPr>
        <w:pStyle w:val="ListParagraph"/>
        <w:numPr>
          <w:ilvl w:val="0"/>
          <w:numId w:val="3"/>
        </w:numPr>
        <w:spacing w:after="240" w:line="276" w:lineRule="auto"/>
        <w:ind w:left="851" w:hanging="352"/>
        <w:contextualSpacing/>
        <w:jc w:val="both"/>
      </w:pPr>
      <w:r w:rsidRPr="0041076E">
        <w:t>no new investments will be made,</w:t>
      </w:r>
    </w:p>
    <w:p w14:paraId="553A5C93" w14:textId="77777777" w:rsidR="007E570A" w:rsidRPr="0041076E" w:rsidRDefault="007E570A" w:rsidP="00191AA6">
      <w:pPr>
        <w:pStyle w:val="ListParagraph"/>
        <w:numPr>
          <w:ilvl w:val="0"/>
          <w:numId w:val="3"/>
        </w:numPr>
        <w:spacing w:after="240" w:line="276" w:lineRule="auto"/>
        <w:ind w:left="851" w:hanging="352"/>
        <w:contextualSpacing/>
        <w:jc w:val="both"/>
      </w:pPr>
      <w:r w:rsidRPr="0041076E">
        <w:t>any existing investments that can be recalled or sold at no cost will be, and</w:t>
      </w:r>
    </w:p>
    <w:p w14:paraId="3AFE43A7" w14:textId="77777777" w:rsidR="007E570A" w:rsidRPr="0041076E" w:rsidRDefault="007E570A" w:rsidP="00191AA6">
      <w:pPr>
        <w:pStyle w:val="ListParagraph"/>
        <w:numPr>
          <w:ilvl w:val="0"/>
          <w:numId w:val="3"/>
        </w:numPr>
        <w:spacing w:after="240" w:line="276" w:lineRule="auto"/>
        <w:ind w:left="851" w:hanging="349"/>
        <w:jc w:val="both"/>
      </w:pPr>
      <w:r w:rsidRPr="0041076E">
        <w:t>full consideration will be given to the recall or sale of all other existing investments with the affected counterparty.</w:t>
      </w:r>
    </w:p>
    <w:p w14:paraId="39F462AD" w14:textId="7CD923B5" w:rsidR="00012E69" w:rsidRDefault="007E570A" w:rsidP="0004046D">
      <w:pPr>
        <w:pStyle w:val="ListParagraph"/>
        <w:spacing w:after="240"/>
        <w:ind w:left="426"/>
        <w:jc w:val="both"/>
      </w:pPr>
      <w:r w:rsidRPr="0041076E">
        <w:t>Where a credit rating agency announces that a credit rating is on review for possible downgrade (also known as “rating watch negative” or “credit watch negative”) so that it may fall below the approved rating criteria, then only investments that can be withdrawn on the next working day will be made with that organisation until the outcome of the review is announced.  This policy will not apply to negative outlooks, which indicate a long-term direction of travel rather than an imminent change of rating.</w:t>
      </w:r>
    </w:p>
    <w:p w14:paraId="6159A115" w14:textId="1816B397" w:rsidR="007E570A" w:rsidRPr="0041076E" w:rsidRDefault="007E570A" w:rsidP="00C70D42">
      <w:pPr>
        <w:pStyle w:val="ListParagraph"/>
        <w:spacing w:after="240"/>
        <w:ind w:left="426"/>
        <w:jc w:val="both"/>
      </w:pPr>
      <w:r w:rsidRPr="0041076E">
        <w:rPr>
          <w:b/>
        </w:rPr>
        <w:t>Other information on the security of investments</w:t>
      </w:r>
      <w:r w:rsidRPr="0041076E">
        <w:t>: The Authority understands that credit ratings are good, but not perfect, predictors of investment default. Full regard will therefore be given to other available information on the credit quality of the organisations in which it invests, including credit default swap prices, financial statements, information on potential government support, reports in the quality financial press and analysis and advice from the Authority’s treasury management adviser.  No investments will be made with an organisation if there are substantive doubts about its credit quality, even though it may otherwise meet the above criteria.</w:t>
      </w:r>
    </w:p>
    <w:p w14:paraId="46858B61" w14:textId="77777777" w:rsidR="007E570A" w:rsidRDefault="007E570A" w:rsidP="00C70D42">
      <w:pPr>
        <w:pStyle w:val="ListParagraph"/>
        <w:spacing w:after="240"/>
        <w:ind w:left="426"/>
        <w:jc w:val="both"/>
      </w:pPr>
      <w:r w:rsidRPr="0041076E">
        <w:t>When deteriorating financial market conditions affect the creditworthiness of all organisations, as happened in 2008 and 20</w:t>
      </w:r>
      <w:r>
        <w:t>20</w:t>
      </w:r>
      <w:r w:rsidRPr="0041076E">
        <w:t xml:space="preserve">, this is not generally reflected in credit ratings, but can be seen in other market measures. In these circumstances, the Authority will restrict its investments to those organisations of higher credit quality and reduce the maximum duration of its investments to maintain the required level of security. The extent of these restrictions will be in line with prevailing financial market conditions. If these restrictions mean that insufficient commercial organisations of high credit quality are available to invest the Authority’s cash balances, then the surplus will be deposited with the UK Government via the Debt Management Office or invested in government treasury bills for example, or with other local authorities.  This will cause </w:t>
      </w:r>
      <w:r>
        <w:t xml:space="preserve">investment returns to fall </w:t>
      </w:r>
      <w:r w:rsidRPr="0041076E">
        <w:t>but will protect the principal sum invested.</w:t>
      </w:r>
    </w:p>
    <w:p w14:paraId="42CCF7FF" w14:textId="77777777" w:rsidR="00535832" w:rsidRPr="0041076E" w:rsidRDefault="00535832" w:rsidP="00C70D42">
      <w:pPr>
        <w:pStyle w:val="ListParagraph"/>
        <w:spacing w:after="240"/>
        <w:ind w:left="426"/>
        <w:jc w:val="both"/>
      </w:pPr>
    </w:p>
    <w:p w14:paraId="4740C24B" w14:textId="7905C0C1" w:rsidR="007E570A" w:rsidRDefault="007E570A" w:rsidP="00C70D42">
      <w:pPr>
        <w:spacing w:after="240"/>
        <w:ind w:left="426"/>
        <w:jc w:val="both"/>
      </w:pPr>
      <w:r w:rsidRPr="001D023C">
        <w:rPr>
          <w:b/>
        </w:rPr>
        <w:lastRenderedPageBreak/>
        <w:t>Investment limits</w:t>
      </w:r>
      <w:r w:rsidRPr="001D023C">
        <w:t>: The Authority’s revenue reserves available to cover investment losses are</w:t>
      </w:r>
      <w:r w:rsidR="003A745C">
        <w:t xml:space="preserve"> expected to be</w:t>
      </w:r>
      <w:r w:rsidRPr="001D023C">
        <w:t xml:space="preserve"> £1</w:t>
      </w:r>
      <w:r w:rsidR="000728F1">
        <w:t>5</w:t>
      </w:r>
      <w:r w:rsidR="008B79F5" w:rsidRPr="001D023C">
        <w:t>.</w:t>
      </w:r>
      <w:r w:rsidR="00595112">
        <w:t>4</w:t>
      </w:r>
      <w:r w:rsidRPr="001D023C">
        <w:t xml:space="preserve"> million </w:t>
      </w:r>
      <w:proofErr w:type="gramStart"/>
      <w:r w:rsidRPr="001D023C">
        <w:t>at</w:t>
      </w:r>
      <w:proofErr w:type="gramEnd"/>
      <w:r w:rsidRPr="001D023C">
        <w:t xml:space="preserve"> 31</w:t>
      </w:r>
      <w:r w:rsidRPr="001D023C">
        <w:rPr>
          <w:vertAlign w:val="superscript"/>
        </w:rPr>
        <w:t>st</w:t>
      </w:r>
      <w:r w:rsidRPr="001D023C">
        <w:t xml:space="preserve"> March 202</w:t>
      </w:r>
      <w:r w:rsidR="00B92208">
        <w:t>3</w:t>
      </w:r>
      <w:r w:rsidR="00215F29">
        <w:t xml:space="preserve"> and £</w:t>
      </w:r>
      <w:r w:rsidR="00FD27D4">
        <w:t>10</w:t>
      </w:r>
      <w:r w:rsidR="00215F29">
        <w:t xml:space="preserve"> million at 31</w:t>
      </w:r>
      <w:r w:rsidR="00215F29" w:rsidRPr="003F0474">
        <w:rPr>
          <w:vertAlign w:val="superscript"/>
        </w:rPr>
        <w:t>st</w:t>
      </w:r>
      <w:r w:rsidR="00215F29">
        <w:t xml:space="preserve"> March 2024</w:t>
      </w:r>
      <w:r w:rsidRPr="001D023C">
        <w:t xml:space="preserve">, being General plus Earmarked reserves. In order that no more than </w:t>
      </w:r>
      <w:r w:rsidR="008F0ABE">
        <w:t>20</w:t>
      </w:r>
      <w:r w:rsidRPr="001D023C">
        <w:t>% of available reserves will be put at risk in the case of a single default, the maximum that will be lent to any one organisation (other than the UK Government) will be £</w:t>
      </w:r>
      <w:r w:rsidR="008F0ABE">
        <w:t xml:space="preserve">3 </w:t>
      </w:r>
      <w:r w:rsidRPr="001D023C">
        <w:t>million.  A group</w:t>
      </w:r>
      <w:r w:rsidRPr="0041076E">
        <w:t xml:space="preserve"> of </w:t>
      </w:r>
      <w:r>
        <w:t xml:space="preserve">entities </w:t>
      </w:r>
      <w:r w:rsidRPr="0041076E">
        <w:t xml:space="preserve">under the same ownership will be treated as a single organisation for limit purposes. </w:t>
      </w:r>
    </w:p>
    <w:p w14:paraId="2D6F76E3" w14:textId="16456566" w:rsidR="00816912" w:rsidRPr="00DA5DA1" w:rsidRDefault="007E570A" w:rsidP="00C70D42">
      <w:pPr>
        <w:spacing w:after="240"/>
        <w:ind w:left="426"/>
        <w:jc w:val="both"/>
      </w:pPr>
      <w:r w:rsidRPr="0041076E">
        <w:t xml:space="preserve">Limits </w:t>
      </w:r>
      <w:r>
        <w:t>are</w:t>
      </w:r>
      <w:r w:rsidRPr="0041076E">
        <w:t xml:space="preserve"> also placed on fund managers, investments in brokers’ nominee accounts, foreign </w:t>
      </w:r>
      <w:r w:rsidR="002215E3" w:rsidRPr="0041076E">
        <w:t>countries,</w:t>
      </w:r>
      <w:r w:rsidRPr="0041076E">
        <w:t xml:space="preserve"> and industry sectors as below. Investments in pooled funds and multilateral development banks do not count against the limit for any single foreign </w:t>
      </w:r>
      <w:r w:rsidR="002215E3" w:rsidRPr="0041076E">
        <w:t>country since</w:t>
      </w:r>
      <w:r w:rsidRPr="0041076E">
        <w:t xml:space="preserve"> the risk is diversified over many countries.</w:t>
      </w:r>
    </w:p>
    <w:p w14:paraId="217BD6F3" w14:textId="3A72E074" w:rsidR="007E570A" w:rsidRPr="00711110" w:rsidRDefault="007E570A" w:rsidP="00C70D42">
      <w:pPr>
        <w:spacing w:after="120"/>
        <w:ind w:left="426"/>
        <w:rPr>
          <w:b/>
          <w:bCs/>
        </w:rPr>
      </w:pPr>
      <w:r w:rsidRPr="00711110">
        <w:rPr>
          <w:b/>
          <w:bCs/>
        </w:rPr>
        <w:t>Table 5: Investment limits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7E570A" w:rsidRPr="00224E32" w14:paraId="14F9DA2C" w14:textId="77777777" w:rsidTr="00A16071">
        <w:trPr>
          <w:trHeight w:val="340"/>
        </w:trPr>
        <w:tc>
          <w:tcPr>
            <w:tcW w:w="5670" w:type="dxa"/>
            <w:shd w:val="clear" w:color="auto" w:fill="BDD6EE" w:themeFill="accent5" w:themeFillTint="66"/>
            <w:vAlign w:val="center"/>
          </w:tcPr>
          <w:p w14:paraId="26F1EDBD" w14:textId="3BC839BA" w:rsidR="007E570A" w:rsidRPr="00D6744D" w:rsidRDefault="00A16071" w:rsidP="00C70D42">
            <w:pPr>
              <w:pStyle w:val="ListParagraph"/>
              <w:ind w:left="426"/>
              <w:jc w:val="both"/>
              <w:rPr>
                <w:b/>
                <w:iCs/>
              </w:rPr>
            </w:pPr>
            <w:r>
              <w:rPr>
                <w:b/>
                <w:iCs/>
              </w:rPr>
              <w:t>Investment Type</w:t>
            </w:r>
          </w:p>
        </w:tc>
        <w:tc>
          <w:tcPr>
            <w:tcW w:w="2693" w:type="dxa"/>
            <w:shd w:val="clear" w:color="auto" w:fill="BDD6EE" w:themeFill="accent5" w:themeFillTint="66"/>
            <w:vAlign w:val="center"/>
          </w:tcPr>
          <w:p w14:paraId="2A3A2DC0" w14:textId="77777777" w:rsidR="007E570A" w:rsidRPr="00D6744D" w:rsidRDefault="007E570A" w:rsidP="00C70D42">
            <w:pPr>
              <w:pStyle w:val="ListParagraph"/>
              <w:ind w:left="426"/>
              <w:jc w:val="both"/>
              <w:rPr>
                <w:b/>
                <w:iCs/>
              </w:rPr>
            </w:pPr>
            <w:r w:rsidRPr="00D6744D">
              <w:rPr>
                <w:b/>
                <w:iCs/>
              </w:rPr>
              <w:t>Cash limit</w:t>
            </w:r>
          </w:p>
        </w:tc>
      </w:tr>
      <w:tr w:rsidR="007E570A" w:rsidRPr="00224E32" w14:paraId="46B2DC3A" w14:textId="77777777" w:rsidTr="00D6744D">
        <w:trPr>
          <w:trHeight w:val="340"/>
        </w:trPr>
        <w:tc>
          <w:tcPr>
            <w:tcW w:w="5670" w:type="dxa"/>
            <w:shd w:val="clear" w:color="auto" w:fill="auto"/>
            <w:vAlign w:val="center"/>
          </w:tcPr>
          <w:p w14:paraId="50337F08" w14:textId="77777777" w:rsidR="007E570A" w:rsidRPr="00D6744D" w:rsidRDefault="007E570A" w:rsidP="00C70D42">
            <w:pPr>
              <w:pStyle w:val="ListParagraph"/>
              <w:ind w:left="426"/>
              <w:jc w:val="both"/>
              <w:rPr>
                <w:iCs/>
              </w:rPr>
            </w:pPr>
            <w:r w:rsidRPr="00D6744D">
              <w:rPr>
                <w:iCs/>
              </w:rPr>
              <w:t>Any group of pooled funds under the same management</w:t>
            </w:r>
          </w:p>
        </w:tc>
        <w:tc>
          <w:tcPr>
            <w:tcW w:w="2693" w:type="dxa"/>
            <w:shd w:val="clear" w:color="auto" w:fill="auto"/>
            <w:vAlign w:val="center"/>
          </w:tcPr>
          <w:p w14:paraId="629D46D2" w14:textId="77777777" w:rsidR="007E570A" w:rsidRPr="00F12F76" w:rsidRDefault="007E570A" w:rsidP="00C70D42">
            <w:pPr>
              <w:ind w:left="426"/>
              <w:jc w:val="center"/>
              <w:rPr>
                <w:iCs/>
              </w:rPr>
            </w:pPr>
            <w:r w:rsidRPr="00F12F76">
              <w:rPr>
                <w:iCs/>
              </w:rPr>
              <w:t>£2m</w:t>
            </w:r>
            <w:r w:rsidRPr="00F12F76" w:rsidDel="00724B97">
              <w:rPr>
                <w:iCs/>
              </w:rPr>
              <w:t xml:space="preserve"> </w:t>
            </w:r>
            <w:r w:rsidRPr="00F12F76">
              <w:rPr>
                <w:iCs/>
              </w:rPr>
              <w:t>per manager</w:t>
            </w:r>
          </w:p>
        </w:tc>
      </w:tr>
      <w:tr w:rsidR="007E570A" w:rsidRPr="00224E32" w14:paraId="19C14049" w14:textId="77777777" w:rsidTr="00D6744D">
        <w:trPr>
          <w:trHeight w:val="340"/>
        </w:trPr>
        <w:tc>
          <w:tcPr>
            <w:tcW w:w="5670" w:type="dxa"/>
            <w:shd w:val="clear" w:color="auto" w:fill="auto"/>
            <w:vAlign w:val="center"/>
          </w:tcPr>
          <w:p w14:paraId="56B77329" w14:textId="77777777" w:rsidR="007E570A" w:rsidRPr="00D6744D" w:rsidRDefault="007E570A" w:rsidP="00C70D42">
            <w:pPr>
              <w:pStyle w:val="ListParagraph"/>
              <w:ind w:left="426"/>
              <w:jc w:val="both"/>
              <w:rPr>
                <w:iCs/>
              </w:rPr>
            </w:pPr>
            <w:r w:rsidRPr="00D6744D">
              <w:rPr>
                <w:iCs/>
              </w:rPr>
              <w:t>Negotiable instruments held in a broker’s nominee account</w:t>
            </w:r>
          </w:p>
        </w:tc>
        <w:tc>
          <w:tcPr>
            <w:tcW w:w="2693" w:type="dxa"/>
            <w:shd w:val="clear" w:color="auto" w:fill="auto"/>
            <w:vAlign w:val="center"/>
          </w:tcPr>
          <w:p w14:paraId="56C9E0C8" w14:textId="77777777" w:rsidR="007E570A" w:rsidRPr="00F12F76" w:rsidRDefault="007E570A" w:rsidP="00C70D42">
            <w:pPr>
              <w:ind w:left="426"/>
              <w:jc w:val="center"/>
              <w:rPr>
                <w:iCs/>
              </w:rPr>
            </w:pPr>
            <w:r w:rsidRPr="00F12F76">
              <w:rPr>
                <w:iCs/>
              </w:rPr>
              <w:t>£2m per broker</w:t>
            </w:r>
          </w:p>
        </w:tc>
      </w:tr>
      <w:tr w:rsidR="007E570A" w:rsidRPr="00224E32" w14:paraId="37ED1564" w14:textId="77777777" w:rsidTr="00D6744D">
        <w:trPr>
          <w:trHeight w:val="340"/>
        </w:trPr>
        <w:tc>
          <w:tcPr>
            <w:tcW w:w="5670" w:type="dxa"/>
            <w:shd w:val="clear" w:color="auto" w:fill="auto"/>
            <w:vAlign w:val="center"/>
          </w:tcPr>
          <w:p w14:paraId="25CBEC04" w14:textId="77777777" w:rsidR="007E570A" w:rsidRPr="00D6744D" w:rsidRDefault="007E570A" w:rsidP="00C70D42">
            <w:pPr>
              <w:pStyle w:val="ListParagraph"/>
              <w:ind w:left="426"/>
              <w:jc w:val="both"/>
              <w:rPr>
                <w:iCs/>
              </w:rPr>
            </w:pPr>
            <w:r w:rsidRPr="00D6744D">
              <w:rPr>
                <w:iCs/>
              </w:rPr>
              <w:t>Foreign countries</w:t>
            </w:r>
          </w:p>
        </w:tc>
        <w:tc>
          <w:tcPr>
            <w:tcW w:w="2693" w:type="dxa"/>
            <w:shd w:val="clear" w:color="auto" w:fill="auto"/>
            <w:vAlign w:val="center"/>
          </w:tcPr>
          <w:p w14:paraId="1B2A1179" w14:textId="77777777" w:rsidR="007E570A" w:rsidRPr="00F12F76" w:rsidRDefault="007E570A" w:rsidP="00C70D42">
            <w:pPr>
              <w:ind w:left="426"/>
              <w:jc w:val="center"/>
              <w:rPr>
                <w:iCs/>
              </w:rPr>
            </w:pPr>
            <w:r w:rsidRPr="00F12F76">
              <w:rPr>
                <w:iCs/>
              </w:rPr>
              <w:t>£1m per country</w:t>
            </w:r>
          </w:p>
        </w:tc>
      </w:tr>
    </w:tbl>
    <w:p w14:paraId="6F4A9E4D" w14:textId="77777777" w:rsidR="00816912" w:rsidRDefault="00816912" w:rsidP="00C70D42">
      <w:pPr>
        <w:pStyle w:val="ListParagraph"/>
        <w:ind w:left="426"/>
        <w:jc w:val="both"/>
        <w:rPr>
          <w:b/>
        </w:rPr>
      </w:pPr>
    </w:p>
    <w:p w14:paraId="311F0F5D" w14:textId="774D4653" w:rsidR="007E570A" w:rsidRPr="002D122B" w:rsidRDefault="007E570A" w:rsidP="00C70D42">
      <w:pPr>
        <w:pStyle w:val="ListParagraph"/>
        <w:ind w:left="426"/>
        <w:jc w:val="both"/>
      </w:pPr>
      <w:r w:rsidRPr="0041076E">
        <w:rPr>
          <w:b/>
        </w:rPr>
        <w:t>Liquidity management</w:t>
      </w:r>
      <w:r w:rsidRPr="0041076E">
        <w:t xml:space="preserve">: The Authority uses Microsoft Excel spreadsheets for cash flow forecasting to determine the maximum period for which funds may prudently be committed.  The forecast is compiled on a prudent basis to minimise the risk of the Authority being forced to borrow on unfavourable terms to meet its </w:t>
      </w:r>
      <w:r w:rsidRPr="002D122B">
        <w:t xml:space="preserve">financial commitments. Limits on long-term investments are set by reference to the Authority’s medium-term financial </w:t>
      </w:r>
      <w:r w:rsidR="008B409C" w:rsidRPr="002D122B">
        <w:t>strategy</w:t>
      </w:r>
      <w:r w:rsidRPr="002D122B">
        <w:t xml:space="preserve"> and cash flow forecast.</w:t>
      </w:r>
    </w:p>
    <w:p w14:paraId="3748E66D" w14:textId="77777777" w:rsidR="008F494B" w:rsidRPr="002D122B" w:rsidRDefault="008F494B" w:rsidP="00C70D42">
      <w:pPr>
        <w:pStyle w:val="ListParagraph"/>
        <w:ind w:left="426"/>
        <w:jc w:val="both"/>
      </w:pPr>
    </w:p>
    <w:p w14:paraId="414CD133" w14:textId="74DA255E" w:rsidR="008F494B" w:rsidRPr="008F494B" w:rsidRDefault="008F494B" w:rsidP="008F494B">
      <w:pPr>
        <w:pStyle w:val="ListParagraph"/>
        <w:ind w:left="426"/>
        <w:rPr>
          <w:b/>
        </w:rPr>
      </w:pPr>
      <w:r w:rsidRPr="002D122B">
        <w:t xml:space="preserve">The Authority will spread its liquid cash over at least </w:t>
      </w:r>
      <w:r w:rsidRPr="002D122B">
        <w:rPr>
          <w:bCs/>
        </w:rPr>
        <w:t>four</w:t>
      </w:r>
      <w:r w:rsidRPr="002D122B">
        <w:t xml:space="preserve"> providers (</w:t>
      </w:r>
      <w:r w:rsidR="004E6BDD" w:rsidRPr="002D122B">
        <w:t>e.g.,</w:t>
      </w:r>
      <w:r w:rsidRPr="002D122B">
        <w:t xml:space="preserve"> bank accounts and money market funds) to ensure that access to cash is maintained in the event of operational difficulties at any one provider.</w:t>
      </w:r>
    </w:p>
    <w:p w14:paraId="3D67E78B" w14:textId="77777777" w:rsidR="008F494B" w:rsidRDefault="008F494B" w:rsidP="00C70D42">
      <w:pPr>
        <w:pStyle w:val="ListParagraph"/>
        <w:ind w:left="426"/>
        <w:jc w:val="both"/>
      </w:pPr>
    </w:p>
    <w:p w14:paraId="7CB5DDAE" w14:textId="77777777" w:rsidR="00606DB5" w:rsidRDefault="00606DB5" w:rsidP="00606DB5"/>
    <w:p w14:paraId="5CAB8908" w14:textId="77777777" w:rsidR="004E6BDD" w:rsidRDefault="004E6BDD" w:rsidP="00606DB5"/>
    <w:p w14:paraId="26EA2F81" w14:textId="77777777" w:rsidR="004E6BDD" w:rsidRDefault="004E6BDD" w:rsidP="00606DB5"/>
    <w:p w14:paraId="3C505554" w14:textId="77777777" w:rsidR="004E6BDD" w:rsidRDefault="004E6BDD" w:rsidP="00606DB5"/>
    <w:p w14:paraId="4C6A889C" w14:textId="77777777" w:rsidR="004E6BDD" w:rsidRDefault="004E6BDD" w:rsidP="00606DB5"/>
    <w:p w14:paraId="7922A888" w14:textId="77777777" w:rsidR="004E6BDD" w:rsidRDefault="004E6BDD" w:rsidP="00606DB5"/>
    <w:p w14:paraId="71EBB9D1" w14:textId="77777777" w:rsidR="004E6BDD" w:rsidRDefault="004E6BDD" w:rsidP="00606DB5"/>
    <w:p w14:paraId="5FBCDF34" w14:textId="3FAB4DFE" w:rsidR="006E2585" w:rsidRDefault="00606DB5" w:rsidP="006E2585">
      <w:pPr>
        <w:pStyle w:val="ListParagraph"/>
        <w:ind w:left="426"/>
        <w:jc w:val="both"/>
      </w:pPr>
      <w:r>
        <w:rPr>
          <w:b/>
        </w:rPr>
        <w:lastRenderedPageBreak/>
        <w:t xml:space="preserve">MiFID </w:t>
      </w:r>
      <w:r w:rsidR="00595D8C">
        <w:rPr>
          <w:b/>
        </w:rPr>
        <w:t>II</w:t>
      </w:r>
      <w:r w:rsidR="00557372">
        <w:rPr>
          <w:b/>
        </w:rPr>
        <w:t xml:space="preserve"> </w:t>
      </w:r>
      <w:r w:rsidR="003470BC">
        <w:rPr>
          <w:b/>
        </w:rPr>
        <w:t>Compliance</w:t>
      </w:r>
      <w:r w:rsidRPr="0041076E">
        <w:t xml:space="preserve">: </w:t>
      </w:r>
      <w:r w:rsidR="00C503FB" w:rsidRPr="00C503FB">
        <w:t>MiFID II is an EU regulatory framework designed to regulate financial markets and improve protections for investors. MiFID II aims to standardise practices throughout the EU and brings a larger number of firms under the supervision of an EU financial regulator</w:t>
      </w:r>
      <w:r w:rsidR="00FF7B39">
        <w:t xml:space="preserve">. </w:t>
      </w:r>
      <w:r w:rsidR="00D57ED9">
        <w:t xml:space="preserve">Local authorities are categorised as either “Retailer” or “Professional” investors – </w:t>
      </w:r>
      <w:r w:rsidR="00C8181B">
        <w:t xml:space="preserve">this categorisation give Local Authorities access to certain types of investments. </w:t>
      </w:r>
      <w:proofErr w:type="gramStart"/>
      <w:r w:rsidR="00C8181B">
        <w:t>In order to</w:t>
      </w:r>
      <w:proofErr w:type="gramEnd"/>
      <w:r w:rsidR="00C8181B">
        <w:t xml:space="preserve"> </w:t>
      </w:r>
      <w:r w:rsidR="00FB27E0">
        <w:t>qualify as “Professional”</w:t>
      </w:r>
      <w:r w:rsidR="006E2585">
        <w:t>, Local Authorities must meet the following criteria:</w:t>
      </w:r>
    </w:p>
    <w:p w14:paraId="3516D029" w14:textId="7F234161" w:rsidR="006E2585" w:rsidRPr="00595D7A" w:rsidRDefault="00B30656" w:rsidP="00B30656">
      <w:pPr>
        <w:pStyle w:val="ListParagraph"/>
        <w:numPr>
          <w:ilvl w:val="0"/>
          <w:numId w:val="17"/>
        </w:numPr>
        <w:jc w:val="both"/>
      </w:pPr>
      <w:r>
        <w:rPr>
          <w:bCs/>
        </w:rPr>
        <w:t xml:space="preserve">financial instrument portfolio including cash deposits and </w:t>
      </w:r>
      <w:r w:rsidR="00CF4043">
        <w:rPr>
          <w:bCs/>
        </w:rPr>
        <w:t>investments, must exceed £</w:t>
      </w:r>
      <w:proofErr w:type="gramStart"/>
      <w:r w:rsidR="00CF4043">
        <w:rPr>
          <w:bCs/>
        </w:rPr>
        <w:t>10</w:t>
      </w:r>
      <w:r w:rsidR="003470BC">
        <w:rPr>
          <w:bCs/>
        </w:rPr>
        <w:t>m</w:t>
      </w:r>
      <w:r w:rsidR="00595D7A">
        <w:rPr>
          <w:bCs/>
        </w:rPr>
        <w:t>;</w:t>
      </w:r>
      <w:proofErr w:type="gramEnd"/>
    </w:p>
    <w:p w14:paraId="457EE59A" w14:textId="3D9C425D" w:rsidR="00595D7A" w:rsidRDefault="00595D7A" w:rsidP="00595D7A">
      <w:pPr>
        <w:pStyle w:val="ListParagraph"/>
        <w:ind w:left="786"/>
        <w:jc w:val="both"/>
        <w:rPr>
          <w:bCs/>
        </w:rPr>
      </w:pPr>
      <w:r>
        <w:rPr>
          <w:bCs/>
        </w:rPr>
        <w:t>AND, either:</w:t>
      </w:r>
    </w:p>
    <w:p w14:paraId="6A250B84" w14:textId="78E776F7" w:rsidR="00595D7A" w:rsidRDefault="00595D7A" w:rsidP="00595D7A">
      <w:pPr>
        <w:pStyle w:val="ListParagraph"/>
        <w:numPr>
          <w:ilvl w:val="0"/>
          <w:numId w:val="17"/>
        </w:numPr>
        <w:jc w:val="both"/>
      </w:pPr>
      <w:r>
        <w:t xml:space="preserve">engage in investment transactions </w:t>
      </w:r>
      <w:r w:rsidR="00C0080D">
        <w:t xml:space="preserve">on average ten times per quarter, over the previous four </w:t>
      </w:r>
      <w:proofErr w:type="gramStart"/>
      <w:r w:rsidR="00C0080D">
        <w:t>quarters;</w:t>
      </w:r>
      <w:proofErr w:type="gramEnd"/>
      <w:r w:rsidR="00C0080D">
        <w:t xml:space="preserve"> OR</w:t>
      </w:r>
    </w:p>
    <w:p w14:paraId="40293C48" w14:textId="1F50A58B" w:rsidR="00C0080D" w:rsidRDefault="00C0080D" w:rsidP="00595D7A">
      <w:pPr>
        <w:pStyle w:val="ListParagraph"/>
        <w:numPr>
          <w:ilvl w:val="0"/>
          <w:numId w:val="17"/>
        </w:numPr>
        <w:jc w:val="both"/>
      </w:pPr>
      <w:r>
        <w:t>the authorised person to carry out transactions has worked in the financial sector</w:t>
      </w:r>
      <w:r w:rsidR="00FE7584">
        <w:t xml:space="preserve"> for at least one year in a professional capacity; OR</w:t>
      </w:r>
    </w:p>
    <w:p w14:paraId="55F1437C" w14:textId="77777777" w:rsidR="00606DB5" w:rsidRDefault="00606DB5" w:rsidP="00606DB5"/>
    <w:p w14:paraId="56B63ED7" w14:textId="533AC1D8" w:rsidR="00680551" w:rsidRDefault="003470BC" w:rsidP="003470BC">
      <w:pPr>
        <w:ind w:left="426"/>
      </w:pPr>
      <w:r>
        <w:t>The Authority held more than £10m in cash and investments of the previous twelve months, and</w:t>
      </w:r>
      <w:r w:rsidR="004D5888">
        <w:t xml:space="preserve"> members of the finance team hold professional qualifications with sufficient experience in financial services. Furthermore, the Authority</w:t>
      </w:r>
      <w:r>
        <w:t xml:space="preserve"> </w:t>
      </w:r>
      <w:r w:rsidR="000B7089">
        <w:t>has engaged with professional</w:t>
      </w:r>
      <w:r w:rsidR="004D5888">
        <w:t xml:space="preserve"> treasury management advisors</w:t>
      </w:r>
      <w:r w:rsidR="000B7089">
        <w:t xml:space="preserve"> </w:t>
      </w:r>
      <w:proofErr w:type="spellStart"/>
      <w:r w:rsidR="000B7089">
        <w:t>Arlingclose</w:t>
      </w:r>
      <w:proofErr w:type="spellEnd"/>
      <w:r w:rsidR="004D5888">
        <w:t xml:space="preserve"> for additional support. </w:t>
      </w:r>
    </w:p>
    <w:p w14:paraId="69240CFD" w14:textId="77777777" w:rsidR="00924C73" w:rsidRDefault="00924C73" w:rsidP="003470BC">
      <w:pPr>
        <w:ind w:left="426"/>
      </w:pPr>
    </w:p>
    <w:p w14:paraId="7C4F14BE" w14:textId="28959E77" w:rsidR="009914E6" w:rsidRDefault="009914E6" w:rsidP="003470BC">
      <w:pPr>
        <w:ind w:left="426"/>
      </w:pPr>
      <w:r>
        <w:t>The implications of dropping to ‘Retail’ status are:</w:t>
      </w:r>
    </w:p>
    <w:p w14:paraId="0B81E7B9" w14:textId="77777777" w:rsidR="00A07107" w:rsidRDefault="00A07107" w:rsidP="003470BC">
      <w:pPr>
        <w:ind w:left="426"/>
      </w:pPr>
    </w:p>
    <w:p w14:paraId="227DE6F4" w14:textId="36E919C7" w:rsidR="007D13E4" w:rsidRDefault="00637D00" w:rsidP="009914E6">
      <w:pPr>
        <w:pStyle w:val="ListParagraph"/>
        <w:numPr>
          <w:ilvl w:val="0"/>
          <w:numId w:val="18"/>
        </w:numPr>
      </w:pPr>
      <w:r>
        <w:t>The Authority engages with In</w:t>
      </w:r>
      <w:r w:rsidR="00D90880">
        <w:t xml:space="preserve">stitutional Cash Distributors Limited </w:t>
      </w:r>
      <w:r w:rsidR="008F31C0">
        <w:t xml:space="preserve">(ICD) </w:t>
      </w:r>
      <w:r w:rsidR="00D90880">
        <w:t>as a broker for its money market fund investments. I</w:t>
      </w:r>
      <w:r w:rsidR="008F31C0">
        <w:t xml:space="preserve">f the Authority is downgraded to ‘Retail’ status through a reduction in cash, </w:t>
      </w:r>
      <w:r w:rsidR="009914E6">
        <w:t>ICD would no longer be able to trade on our behalf. This would create a</w:t>
      </w:r>
      <w:r w:rsidR="0086535B">
        <w:t>n administrative burden on the Finance team, as investments would need to be placed manually</w:t>
      </w:r>
      <w:r w:rsidR="00470D7B">
        <w:t>.</w:t>
      </w:r>
      <w:r w:rsidR="00322D4E">
        <w:t xml:space="preserve"> The Authority may lose access to certain types of investment an</w:t>
      </w:r>
      <w:r w:rsidR="0046091B">
        <w:t>d preferential returns.</w:t>
      </w:r>
    </w:p>
    <w:p w14:paraId="1A3FB08F" w14:textId="77777777" w:rsidR="00470D7B" w:rsidRDefault="00470D7B" w:rsidP="00470D7B"/>
    <w:p w14:paraId="2E819B2F" w14:textId="155127BA" w:rsidR="00470D7B" w:rsidRDefault="00470D7B" w:rsidP="00470D7B">
      <w:pPr>
        <w:pStyle w:val="ListParagraph"/>
        <w:numPr>
          <w:ilvl w:val="0"/>
          <w:numId w:val="18"/>
        </w:numPr>
      </w:pPr>
      <w:r>
        <w:t xml:space="preserve">The </w:t>
      </w:r>
      <w:r w:rsidR="0061646B">
        <w:t xml:space="preserve">PWLB have confirmed </w:t>
      </w:r>
      <w:r w:rsidR="00523251">
        <w:t>that dropping to ‘Retail’ status would not impact our ability to borrow</w:t>
      </w:r>
      <w:r w:rsidR="00322D4E">
        <w:t>.</w:t>
      </w:r>
    </w:p>
    <w:p w14:paraId="3A7A6C97" w14:textId="77777777" w:rsidR="00322D4E" w:rsidRDefault="00322D4E" w:rsidP="00322D4E">
      <w:pPr>
        <w:pStyle w:val="ListParagraph"/>
      </w:pPr>
    </w:p>
    <w:p w14:paraId="4D2C6062" w14:textId="698FEDF1" w:rsidR="00322D4E" w:rsidRDefault="00322D4E" w:rsidP="00322D4E">
      <w:pPr>
        <w:ind w:firstLine="426"/>
      </w:pPr>
      <w:r>
        <w:t xml:space="preserve">Therefore, the Authority will aim to maintain </w:t>
      </w:r>
      <w:r w:rsidR="0046091B">
        <w:t xml:space="preserve">compliance with MiFID II </w:t>
      </w:r>
      <w:r w:rsidR="00973B3E">
        <w:t>for 2023/24</w:t>
      </w:r>
      <w:r w:rsidR="0046091B">
        <w:t>.</w:t>
      </w:r>
    </w:p>
    <w:p w14:paraId="1FACF282" w14:textId="77777777" w:rsidR="004E6BDD" w:rsidRDefault="004E6BDD" w:rsidP="00322D4E">
      <w:pPr>
        <w:ind w:firstLine="426"/>
      </w:pPr>
    </w:p>
    <w:p w14:paraId="5AA18639" w14:textId="77777777" w:rsidR="004E6BDD" w:rsidRDefault="004E6BDD" w:rsidP="00322D4E">
      <w:pPr>
        <w:ind w:firstLine="426"/>
      </w:pPr>
    </w:p>
    <w:p w14:paraId="01B03456" w14:textId="77777777" w:rsidR="004E6BDD" w:rsidRDefault="004E6BDD" w:rsidP="00322D4E">
      <w:pPr>
        <w:ind w:firstLine="426"/>
      </w:pPr>
    </w:p>
    <w:p w14:paraId="76635747" w14:textId="77777777" w:rsidR="004E6BDD" w:rsidRDefault="004E6BDD" w:rsidP="00322D4E">
      <w:pPr>
        <w:ind w:firstLine="426"/>
      </w:pPr>
    </w:p>
    <w:p w14:paraId="2860D7F5" w14:textId="77777777" w:rsidR="004E6BDD" w:rsidRDefault="004E6BDD" w:rsidP="00322D4E">
      <w:pPr>
        <w:ind w:firstLine="426"/>
      </w:pPr>
    </w:p>
    <w:p w14:paraId="6E41E977" w14:textId="77777777" w:rsidR="004E6BDD" w:rsidRDefault="004E6BDD" w:rsidP="00322D4E">
      <w:pPr>
        <w:ind w:firstLine="426"/>
      </w:pPr>
    </w:p>
    <w:p w14:paraId="4C82555F" w14:textId="77777777" w:rsidR="00D90880" w:rsidRDefault="00D90880" w:rsidP="004B0B56">
      <w:pPr>
        <w:ind w:left="426"/>
      </w:pPr>
    </w:p>
    <w:p w14:paraId="319388CD" w14:textId="77777777" w:rsidR="004B0B56" w:rsidRPr="00606DB5" w:rsidRDefault="004B0B56" w:rsidP="00606DB5"/>
    <w:p w14:paraId="51454DCB" w14:textId="2EB3C2A7" w:rsidR="00CC3232" w:rsidRPr="00C70D42" w:rsidRDefault="00C70D42" w:rsidP="00A5542D">
      <w:pPr>
        <w:pStyle w:val="Heading1"/>
        <w:numPr>
          <w:ilvl w:val="0"/>
          <w:numId w:val="20"/>
        </w:numPr>
        <w:spacing w:before="0" w:after="0"/>
        <w:rPr>
          <w:rFonts w:asciiTheme="minorBidi" w:hAnsiTheme="minorBidi" w:cstheme="minorBidi"/>
          <w:sz w:val="28"/>
          <w:szCs w:val="28"/>
        </w:rPr>
      </w:pPr>
      <w:bookmarkStart w:id="13" w:name="_Toc73025263"/>
      <w:bookmarkStart w:id="14" w:name="_Toc130486354"/>
      <w:r>
        <w:rPr>
          <w:rFonts w:asciiTheme="minorBidi" w:hAnsiTheme="minorBidi" w:cstheme="minorBidi"/>
          <w:sz w:val="28"/>
          <w:szCs w:val="28"/>
        </w:rPr>
        <w:lastRenderedPageBreak/>
        <w:t>T</w:t>
      </w:r>
      <w:r w:rsidR="00CC3232" w:rsidRPr="00C70D42">
        <w:rPr>
          <w:rFonts w:asciiTheme="minorBidi" w:hAnsiTheme="minorBidi" w:cstheme="minorBidi"/>
          <w:sz w:val="28"/>
          <w:szCs w:val="28"/>
        </w:rPr>
        <w:t>reasury Management</w:t>
      </w:r>
      <w:r w:rsidR="00C153B1">
        <w:rPr>
          <w:rFonts w:asciiTheme="minorBidi" w:hAnsiTheme="minorBidi" w:cstheme="minorBidi"/>
          <w:sz w:val="28"/>
          <w:szCs w:val="28"/>
        </w:rPr>
        <w:t xml:space="preserve"> Prudential</w:t>
      </w:r>
      <w:r w:rsidR="00CC3232" w:rsidRPr="00C70D42">
        <w:rPr>
          <w:rFonts w:asciiTheme="minorBidi" w:hAnsiTheme="minorBidi" w:cstheme="minorBidi"/>
          <w:sz w:val="28"/>
          <w:szCs w:val="28"/>
        </w:rPr>
        <w:t xml:space="preserve"> Indicators</w:t>
      </w:r>
      <w:bookmarkEnd w:id="13"/>
      <w:bookmarkEnd w:id="14"/>
    </w:p>
    <w:p w14:paraId="364A1330" w14:textId="7B7B7F71" w:rsidR="00CC3232" w:rsidRDefault="00CC3232" w:rsidP="0004046D">
      <w:pPr>
        <w:spacing w:after="240"/>
        <w:ind w:left="426"/>
        <w:jc w:val="both"/>
        <w:rPr>
          <w:bCs/>
        </w:rPr>
      </w:pPr>
      <w:r>
        <w:rPr>
          <w:bCs/>
        </w:rPr>
        <w:br/>
      </w:r>
      <w:r w:rsidRPr="0041076E">
        <w:rPr>
          <w:bCs/>
        </w:rPr>
        <w:t>The Authority measures and manages its exposures to treasury management risks using the following indicators</w:t>
      </w:r>
      <w:r>
        <w:rPr>
          <w:bCs/>
        </w:rPr>
        <w:t>:</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73"/>
      </w:tblGrid>
      <w:tr w:rsidR="004E6BDD" w:rsidRPr="0041076E" w14:paraId="69D53A54" w14:textId="77777777" w:rsidTr="004E6BDD">
        <w:trPr>
          <w:trHeight w:val="340"/>
        </w:trPr>
        <w:tc>
          <w:tcPr>
            <w:tcW w:w="4621" w:type="dxa"/>
            <w:shd w:val="clear" w:color="auto" w:fill="BDD6EE" w:themeFill="accent5" w:themeFillTint="66"/>
            <w:vAlign w:val="center"/>
          </w:tcPr>
          <w:p w14:paraId="6F1E06D0" w14:textId="77777777" w:rsidR="004E6BDD" w:rsidRPr="0041076E" w:rsidRDefault="004E6BDD" w:rsidP="004E6BDD">
            <w:pPr>
              <w:spacing w:after="240"/>
              <w:rPr>
                <w:b/>
                <w:bCs/>
              </w:rPr>
            </w:pPr>
            <w:r w:rsidRPr="0041076E">
              <w:rPr>
                <w:b/>
                <w:bCs/>
              </w:rPr>
              <w:t>Credit risk indicator</w:t>
            </w:r>
          </w:p>
        </w:tc>
        <w:tc>
          <w:tcPr>
            <w:tcW w:w="1773" w:type="dxa"/>
            <w:shd w:val="clear" w:color="auto" w:fill="BDD6EE" w:themeFill="accent5" w:themeFillTint="66"/>
            <w:vAlign w:val="center"/>
          </w:tcPr>
          <w:p w14:paraId="6DF84E00" w14:textId="77777777" w:rsidR="004E6BDD" w:rsidRPr="0041076E" w:rsidRDefault="004E6BDD" w:rsidP="004E6BDD">
            <w:pPr>
              <w:spacing w:after="240"/>
              <w:jc w:val="center"/>
              <w:rPr>
                <w:b/>
                <w:bCs/>
              </w:rPr>
            </w:pPr>
            <w:r w:rsidRPr="0041076E">
              <w:rPr>
                <w:b/>
                <w:bCs/>
              </w:rPr>
              <w:t>Target</w:t>
            </w:r>
          </w:p>
        </w:tc>
      </w:tr>
      <w:tr w:rsidR="004E6BDD" w:rsidRPr="0041076E" w14:paraId="32EE6914" w14:textId="77777777" w:rsidTr="004E6BDD">
        <w:trPr>
          <w:trHeight w:val="740"/>
        </w:trPr>
        <w:tc>
          <w:tcPr>
            <w:tcW w:w="4621" w:type="dxa"/>
            <w:shd w:val="clear" w:color="auto" w:fill="auto"/>
            <w:vAlign w:val="center"/>
          </w:tcPr>
          <w:p w14:paraId="342B8ABF" w14:textId="77777777" w:rsidR="004E6BDD" w:rsidRPr="0041076E" w:rsidRDefault="004E6BDD" w:rsidP="004E6BDD">
            <w:pPr>
              <w:spacing w:after="240"/>
              <w:rPr>
                <w:bCs/>
              </w:rPr>
            </w:pPr>
            <w:r w:rsidRPr="00803649">
              <w:rPr>
                <w:bCs/>
              </w:rPr>
              <w:t>Minimum credit rating</w:t>
            </w:r>
          </w:p>
        </w:tc>
        <w:tc>
          <w:tcPr>
            <w:tcW w:w="1773" w:type="dxa"/>
            <w:shd w:val="clear" w:color="auto" w:fill="auto"/>
            <w:vAlign w:val="center"/>
          </w:tcPr>
          <w:p w14:paraId="0576A040" w14:textId="77777777" w:rsidR="004E6BDD" w:rsidRPr="0041076E" w:rsidRDefault="004E6BDD" w:rsidP="004E6BDD">
            <w:pPr>
              <w:spacing w:after="240"/>
              <w:jc w:val="center"/>
              <w:rPr>
                <w:bCs/>
                <w:color w:val="AF173B"/>
              </w:rPr>
            </w:pPr>
            <w:r w:rsidRPr="0041076E">
              <w:rPr>
                <w:bCs/>
              </w:rPr>
              <w:t>A</w:t>
            </w:r>
          </w:p>
        </w:tc>
      </w:tr>
    </w:tbl>
    <w:p w14:paraId="64126EED" w14:textId="1CC8CCFA" w:rsidR="00CC3232" w:rsidRPr="0041076E" w:rsidRDefault="00CC3232" w:rsidP="0004046D">
      <w:pPr>
        <w:spacing w:after="240"/>
        <w:ind w:left="426"/>
        <w:jc w:val="both"/>
        <w:rPr>
          <w:bCs/>
        </w:rPr>
      </w:pPr>
      <w:r w:rsidRPr="0041076E">
        <w:rPr>
          <w:b/>
          <w:bCs/>
        </w:rPr>
        <w:t xml:space="preserve">Security: </w:t>
      </w:r>
      <w:r w:rsidRPr="0041076E">
        <w:rPr>
          <w:bCs/>
        </w:rPr>
        <w:t>The Authority has adopted a voluntary measure of its exposure to credit risk by monitoring the credit rating of its investment portfolio</w:t>
      </w:r>
      <w:r w:rsidR="00024817">
        <w:rPr>
          <w:bCs/>
        </w:rPr>
        <w:t xml:space="preserve">. This </w:t>
      </w:r>
      <w:r w:rsidR="00A34D04">
        <w:rPr>
          <w:bCs/>
        </w:rPr>
        <w:t>is</w:t>
      </w:r>
      <w:r w:rsidR="00024817">
        <w:rPr>
          <w:bCs/>
        </w:rPr>
        <w:t xml:space="preserve"> reported in the Finance Pack </w:t>
      </w:r>
      <w:proofErr w:type="gramStart"/>
      <w:r w:rsidR="00024817">
        <w:rPr>
          <w:bCs/>
        </w:rPr>
        <w:t>on a monthly basis</w:t>
      </w:r>
      <w:proofErr w:type="gramEnd"/>
      <w:r w:rsidRPr="0041076E">
        <w:rPr>
          <w:bCs/>
        </w:rPr>
        <w:t xml:space="preserve">. </w:t>
      </w:r>
    </w:p>
    <w:p w14:paraId="53A4B513" w14:textId="6485588C" w:rsidR="003F56B1" w:rsidRPr="00C70D42" w:rsidRDefault="003F56B1" w:rsidP="0004046D">
      <w:pPr>
        <w:spacing w:before="240" w:after="240"/>
        <w:ind w:left="426"/>
        <w:jc w:val="both"/>
        <w:rPr>
          <w:bCs/>
        </w:rPr>
      </w:pPr>
      <w:r w:rsidRPr="00500F7A">
        <w:rPr>
          <w:bCs/>
        </w:rPr>
        <w:t>Should the average portfolio credit rating falls below this measure, the Police, Fire and Crime Commissioner will be notified</w:t>
      </w:r>
      <w:r w:rsidR="007755E3">
        <w:rPr>
          <w:bCs/>
        </w:rPr>
        <w:t>.</w:t>
      </w: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73"/>
      </w:tblGrid>
      <w:tr w:rsidR="004E6BDD" w:rsidRPr="0041076E" w14:paraId="328C9DC6" w14:textId="77777777" w:rsidTr="004E6BDD">
        <w:trPr>
          <w:trHeight w:val="340"/>
        </w:trPr>
        <w:tc>
          <w:tcPr>
            <w:tcW w:w="4621" w:type="dxa"/>
            <w:shd w:val="clear" w:color="auto" w:fill="BDD6EE" w:themeFill="accent5" w:themeFillTint="66"/>
            <w:vAlign w:val="center"/>
          </w:tcPr>
          <w:p w14:paraId="17C4C5C7" w14:textId="77777777" w:rsidR="004E6BDD" w:rsidRPr="0041076E" w:rsidRDefault="004E6BDD" w:rsidP="004E6BDD">
            <w:pPr>
              <w:spacing w:after="240"/>
              <w:rPr>
                <w:bCs/>
              </w:rPr>
            </w:pPr>
            <w:r w:rsidRPr="0041076E">
              <w:rPr>
                <w:b/>
                <w:bCs/>
              </w:rPr>
              <w:t>Liquidity risk indicator</w:t>
            </w:r>
          </w:p>
        </w:tc>
        <w:tc>
          <w:tcPr>
            <w:tcW w:w="1773" w:type="dxa"/>
            <w:shd w:val="clear" w:color="auto" w:fill="BDD6EE" w:themeFill="accent5" w:themeFillTint="66"/>
            <w:vAlign w:val="center"/>
          </w:tcPr>
          <w:p w14:paraId="72E411D2" w14:textId="77777777" w:rsidR="004E6BDD" w:rsidRPr="0041076E" w:rsidRDefault="004E6BDD" w:rsidP="004E6BDD">
            <w:pPr>
              <w:spacing w:after="240"/>
              <w:jc w:val="center"/>
              <w:rPr>
                <w:b/>
                <w:bCs/>
              </w:rPr>
            </w:pPr>
            <w:r w:rsidRPr="0041076E">
              <w:rPr>
                <w:b/>
                <w:bCs/>
              </w:rPr>
              <w:t>Target</w:t>
            </w:r>
          </w:p>
        </w:tc>
      </w:tr>
      <w:tr w:rsidR="004E6BDD" w:rsidRPr="0041076E" w14:paraId="2F5CA22D" w14:textId="77777777" w:rsidTr="004E6BDD">
        <w:trPr>
          <w:trHeight w:val="748"/>
        </w:trPr>
        <w:tc>
          <w:tcPr>
            <w:tcW w:w="4621" w:type="dxa"/>
            <w:shd w:val="clear" w:color="auto" w:fill="auto"/>
            <w:vAlign w:val="center"/>
          </w:tcPr>
          <w:p w14:paraId="578D91C4" w14:textId="77777777" w:rsidR="004E6BDD" w:rsidRPr="0041076E" w:rsidRDefault="004E6BDD" w:rsidP="004E6BDD">
            <w:pPr>
              <w:spacing w:after="240"/>
              <w:rPr>
                <w:bCs/>
              </w:rPr>
            </w:pPr>
            <w:r w:rsidRPr="0041076E">
              <w:rPr>
                <w:bCs/>
              </w:rPr>
              <w:t>Total cash available within 3 months</w:t>
            </w:r>
          </w:p>
        </w:tc>
        <w:tc>
          <w:tcPr>
            <w:tcW w:w="1773" w:type="dxa"/>
            <w:shd w:val="clear" w:color="auto" w:fill="auto"/>
            <w:vAlign w:val="center"/>
          </w:tcPr>
          <w:p w14:paraId="6D1DE810" w14:textId="77777777" w:rsidR="004E6BDD" w:rsidRPr="0041076E" w:rsidRDefault="004E6BDD" w:rsidP="004E6BDD">
            <w:pPr>
              <w:spacing w:after="240"/>
              <w:jc w:val="center"/>
              <w:rPr>
                <w:bCs/>
                <w:color w:val="AF173B"/>
              </w:rPr>
            </w:pPr>
            <w:r w:rsidRPr="0041076E">
              <w:t>£8.5m</w:t>
            </w:r>
          </w:p>
        </w:tc>
      </w:tr>
    </w:tbl>
    <w:p w14:paraId="2C0975B5" w14:textId="5BF98358" w:rsidR="00CC3232" w:rsidRPr="0041076E" w:rsidRDefault="00CC3232" w:rsidP="0004046D">
      <w:pPr>
        <w:spacing w:after="240"/>
        <w:ind w:left="426"/>
        <w:jc w:val="both"/>
        <w:rPr>
          <w:bCs/>
        </w:rPr>
      </w:pPr>
      <w:r w:rsidRPr="0041076E">
        <w:rPr>
          <w:b/>
          <w:bCs/>
        </w:rPr>
        <w:t xml:space="preserve">Liquidity: </w:t>
      </w:r>
      <w:r w:rsidRPr="0041076E">
        <w:rPr>
          <w:bCs/>
        </w:rPr>
        <w:t>The Authority has adopted a voluntary measure of its exposure to liquidity risk by monitoring the amount of cash available to meet unexpected payments within a rolling three-month period, without additional borrowing.</w:t>
      </w:r>
      <w:r w:rsidR="00A34D04">
        <w:rPr>
          <w:bCs/>
        </w:rPr>
        <w:t xml:space="preserve"> This is reported in the Finance Pack </w:t>
      </w:r>
      <w:proofErr w:type="gramStart"/>
      <w:r w:rsidR="00A34D04">
        <w:rPr>
          <w:bCs/>
        </w:rPr>
        <w:t>on a monthly basis</w:t>
      </w:r>
      <w:proofErr w:type="gramEnd"/>
      <w:r w:rsidR="00A34D04" w:rsidRPr="0041076E">
        <w:rPr>
          <w:bCs/>
        </w:rPr>
        <w:t>.</w:t>
      </w:r>
    </w:p>
    <w:p w14:paraId="7A5F26BA" w14:textId="77777777" w:rsidR="00CC3232" w:rsidRPr="0041076E" w:rsidRDefault="00CC3232" w:rsidP="00C70D42">
      <w:pPr>
        <w:spacing w:after="240"/>
        <w:contextualSpacing/>
        <w:jc w:val="both"/>
        <w:rPr>
          <w:b/>
          <w:bCs/>
          <w:u w:val="single"/>
        </w:rPr>
      </w:pPr>
    </w:p>
    <w:p w14:paraId="344E3FCE" w14:textId="473BB828" w:rsidR="00CC3232" w:rsidRPr="0041076E" w:rsidRDefault="00CC3232" w:rsidP="0004046D">
      <w:pPr>
        <w:spacing w:after="240"/>
        <w:ind w:left="426"/>
        <w:jc w:val="both"/>
        <w:rPr>
          <w:bCs/>
        </w:rPr>
      </w:pPr>
      <w:r w:rsidRPr="0041076E">
        <w:rPr>
          <w:b/>
          <w:bCs/>
        </w:rPr>
        <w:t>Interest rate exposures</w:t>
      </w:r>
      <w:r w:rsidRPr="0041076E">
        <w:rPr>
          <w:bCs/>
        </w:rPr>
        <w:t>: This indicator is set to control the Authority’s exposure to interest rate risk.  The upper limits on the one-year revenue impact of a 1% rise or fall in interest rates will be:</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559"/>
      </w:tblGrid>
      <w:tr w:rsidR="00CC3232" w:rsidRPr="0041076E" w14:paraId="6FFAA035" w14:textId="77777777" w:rsidTr="004E6BDD">
        <w:trPr>
          <w:trHeight w:val="340"/>
        </w:trPr>
        <w:tc>
          <w:tcPr>
            <w:tcW w:w="6536" w:type="dxa"/>
            <w:shd w:val="clear" w:color="auto" w:fill="BDD6EE" w:themeFill="accent5" w:themeFillTint="66"/>
            <w:vAlign w:val="center"/>
          </w:tcPr>
          <w:p w14:paraId="38F281FA" w14:textId="77777777" w:rsidR="00CC3232" w:rsidRPr="0041076E" w:rsidRDefault="00CC3232" w:rsidP="00C70D42">
            <w:pPr>
              <w:spacing w:after="240"/>
              <w:rPr>
                <w:bCs/>
              </w:rPr>
            </w:pPr>
            <w:r w:rsidRPr="0041076E">
              <w:rPr>
                <w:b/>
                <w:bCs/>
              </w:rPr>
              <w:t>Interest rate risk indicator</w:t>
            </w:r>
          </w:p>
        </w:tc>
        <w:tc>
          <w:tcPr>
            <w:tcW w:w="1559" w:type="dxa"/>
            <w:shd w:val="clear" w:color="auto" w:fill="BDD6EE" w:themeFill="accent5" w:themeFillTint="66"/>
            <w:vAlign w:val="center"/>
          </w:tcPr>
          <w:p w14:paraId="4A7119E1" w14:textId="77777777" w:rsidR="00CC3232" w:rsidRPr="0041076E" w:rsidRDefault="00CC3232" w:rsidP="00C70D42">
            <w:pPr>
              <w:spacing w:after="240"/>
              <w:jc w:val="center"/>
              <w:rPr>
                <w:b/>
                <w:bCs/>
              </w:rPr>
            </w:pPr>
            <w:r w:rsidRPr="0041076E">
              <w:rPr>
                <w:b/>
                <w:bCs/>
              </w:rPr>
              <w:t>Limit</w:t>
            </w:r>
          </w:p>
        </w:tc>
      </w:tr>
      <w:tr w:rsidR="00CC3232" w:rsidRPr="0041076E" w14:paraId="7BDE5B33" w14:textId="77777777" w:rsidTr="004E6BDD">
        <w:trPr>
          <w:trHeight w:val="340"/>
        </w:trPr>
        <w:tc>
          <w:tcPr>
            <w:tcW w:w="6536" w:type="dxa"/>
            <w:shd w:val="clear" w:color="auto" w:fill="auto"/>
            <w:vAlign w:val="center"/>
          </w:tcPr>
          <w:p w14:paraId="7CE0F86D" w14:textId="77777777" w:rsidR="00CC3232" w:rsidRPr="0041076E" w:rsidRDefault="00CC3232" w:rsidP="00C70D42">
            <w:pPr>
              <w:spacing w:after="240"/>
              <w:rPr>
                <w:bCs/>
              </w:rPr>
            </w:pPr>
            <w:r w:rsidRPr="0041076E">
              <w:rPr>
                <w:bCs/>
              </w:rPr>
              <w:t xml:space="preserve">Upper limit on one-year revenue impact of a 1% </w:t>
            </w:r>
            <w:r w:rsidRPr="0041076E">
              <w:rPr>
                <w:bCs/>
                <w:u w:val="single"/>
              </w:rPr>
              <w:t>rise</w:t>
            </w:r>
            <w:r w:rsidRPr="0041076E">
              <w:rPr>
                <w:bCs/>
              </w:rPr>
              <w:t xml:space="preserve"> in interest rates</w:t>
            </w:r>
          </w:p>
        </w:tc>
        <w:tc>
          <w:tcPr>
            <w:tcW w:w="1559" w:type="dxa"/>
            <w:shd w:val="clear" w:color="auto" w:fill="auto"/>
            <w:vAlign w:val="center"/>
          </w:tcPr>
          <w:p w14:paraId="5DA77272" w14:textId="2CC91398" w:rsidR="00CC3232" w:rsidRPr="0041076E" w:rsidRDefault="00CC3232" w:rsidP="00C70D42">
            <w:pPr>
              <w:spacing w:after="240"/>
              <w:jc w:val="center"/>
            </w:pPr>
            <w:r w:rsidRPr="0041076E">
              <w:t>£</w:t>
            </w:r>
            <w:r>
              <w:t>1</w:t>
            </w:r>
            <w:r w:rsidR="00B26772">
              <w:t>12</w:t>
            </w:r>
            <w:r w:rsidRPr="0041076E">
              <w:t>,000</w:t>
            </w:r>
          </w:p>
        </w:tc>
      </w:tr>
      <w:tr w:rsidR="00CC3232" w:rsidRPr="0041076E" w14:paraId="6992E724" w14:textId="77777777" w:rsidTr="004E6BDD">
        <w:trPr>
          <w:trHeight w:val="340"/>
        </w:trPr>
        <w:tc>
          <w:tcPr>
            <w:tcW w:w="6536" w:type="dxa"/>
            <w:shd w:val="clear" w:color="auto" w:fill="auto"/>
            <w:vAlign w:val="center"/>
          </w:tcPr>
          <w:p w14:paraId="1C5DA0ED" w14:textId="77777777" w:rsidR="00CC3232" w:rsidRPr="0041076E" w:rsidRDefault="00CC3232" w:rsidP="00C70D42">
            <w:pPr>
              <w:spacing w:after="240"/>
              <w:rPr>
                <w:bCs/>
              </w:rPr>
            </w:pPr>
            <w:r w:rsidRPr="0041076E">
              <w:rPr>
                <w:bCs/>
              </w:rPr>
              <w:t xml:space="preserve">Upper limit on one-year revenue impact of a 1% </w:t>
            </w:r>
            <w:r w:rsidRPr="0041076E">
              <w:rPr>
                <w:bCs/>
                <w:u w:val="single"/>
              </w:rPr>
              <w:t>fall</w:t>
            </w:r>
            <w:r w:rsidRPr="0041076E">
              <w:rPr>
                <w:bCs/>
              </w:rPr>
              <w:t xml:space="preserve"> in interest rates</w:t>
            </w:r>
          </w:p>
        </w:tc>
        <w:tc>
          <w:tcPr>
            <w:tcW w:w="1559" w:type="dxa"/>
            <w:shd w:val="clear" w:color="auto" w:fill="auto"/>
            <w:vAlign w:val="center"/>
          </w:tcPr>
          <w:p w14:paraId="4EF35F11" w14:textId="0B127605" w:rsidR="00CC3232" w:rsidRPr="0041076E" w:rsidRDefault="00CC3232" w:rsidP="00C70D42">
            <w:pPr>
              <w:spacing w:after="240"/>
              <w:jc w:val="center"/>
              <w:rPr>
                <w:color w:val="AF173B"/>
              </w:rPr>
            </w:pPr>
            <w:r w:rsidRPr="0041076E">
              <w:t xml:space="preserve"> </w:t>
            </w:r>
            <w:r>
              <w:t>-</w:t>
            </w:r>
            <w:r w:rsidRPr="0041076E">
              <w:t>£</w:t>
            </w:r>
            <w:r>
              <w:t>1</w:t>
            </w:r>
            <w:r w:rsidR="00B26772">
              <w:t>12</w:t>
            </w:r>
            <w:r w:rsidRPr="0041076E">
              <w:t>,000</w:t>
            </w:r>
          </w:p>
        </w:tc>
      </w:tr>
    </w:tbl>
    <w:p w14:paraId="17EF139D" w14:textId="0921BA53" w:rsidR="00CC3232" w:rsidRDefault="00CC3232" w:rsidP="0004046D">
      <w:pPr>
        <w:spacing w:before="240" w:after="240"/>
        <w:ind w:left="426"/>
        <w:jc w:val="both"/>
        <w:rPr>
          <w:bCs/>
        </w:rPr>
      </w:pPr>
      <w:r w:rsidRPr="0041076E">
        <w:rPr>
          <w:bCs/>
        </w:rPr>
        <w:t xml:space="preserve">The impact of a change in interest rates is calculated on the assumption that maturing loans and investments will be replaced at </w:t>
      </w:r>
      <w:r w:rsidR="00C5646C">
        <w:rPr>
          <w:bCs/>
        </w:rPr>
        <w:t xml:space="preserve">new </w:t>
      </w:r>
      <w:r w:rsidR="004F02A9">
        <w:rPr>
          <w:bCs/>
        </w:rPr>
        <w:t>market rates</w:t>
      </w:r>
      <w:r w:rsidRPr="0041076E">
        <w:rPr>
          <w:bCs/>
        </w:rPr>
        <w:t>.</w:t>
      </w:r>
    </w:p>
    <w:p w14:paraId="2F790872" w14:textId="77777777" w:rsidR="004E6BDD" w:rsidRDefault="004E6BDD" w:rsidP="0004046D">
      <w:pPr>
        <w:spacing w:before="240" w:after="240"/>
        <w:ind w:left="426"/>
        <w:jc w:val="both"/>
        <w:rPr>
          <w:bCs/>
        </w:rPr>
      </w:pPr>
    </w:p>
    <w:p w14:paraId="08FB303C" w14:textId="70EAD917" w:rsidR="005777CC" w:rsidRDefault="005777CC" w:rsidP="0004046D">
      <w:pPr>
        <w:spacing w:before="240" w:after="240"/>
        <w:ind w:left="426"/>
        <w:jc w:val="both"/>
        <w:rPr>
          <w:bCs/>
        </w:rPr>
      </w:pPr>
      <w:r w:rsidRPr="00871DFB">
        <w:rPr>
          <w:b/>
        </w:rPr>
        <w:lastRenderedPageBreak/>
        <w:t xml:space="preserve">Expected </w:t>
      </w:r>
      <w:proofErr w:type="gramStart"/>
      <w:r w:rsidR="00871DFB" w:rsidRPr="00871DFB">
        <w:rPr>
          <w:b/>
        </w:rPr>
        <w:t>3 year</w:t>
      </w:r>
      <w:proofErr w:type="gramEnd"/>
      <w:r w:rsidR="00871DFB" w:rsidRPr="00871DFB">
        <w:rPr>
          <w:b/>
        </w:rPr>
        <w:t xml:space="preserve"> impact of a 1% change in interest rates:</w:t>
      </w:r>
      <w:r w:rsidR="00871DFB">
        <w:rPr>
          <w:b/>
        </w:rPr>
        <w:t xml:space="preserve"> </w:t>
      </w:r>
      <w:r w:rsidR="00381936">
        <w:rPr>
          <w:bCs/>
        </w:rPr>
        <w:t>The Service should understand the impact of a 1% rise of fall in interest rates</w:t>
      </w:r>
      <w:r w:rsidR="004A3D48">
        <w:rPr>
          <w:bCs/>
        </w:rPr>
        <w:t xml:space="preserve"> across the next 3 years, as suggested by the Treasury Management </w:t>
      </w:r>
      <w:r w:rsidR="004A3D48" w:rsidRPr="00DD6030">
        <w:rPr>
          <w:bCs/>
        </w:rPr>
        <w:t>Code. This is set out below:</w:t>
      </w:r>
    </w:p>
    <w:tbl>
      <w:tblPr>
        <w:tblpPr w:leftFromText="180" w:rightFromText="180" w:vertAnchor="text" w:horzAnchor="page" w:tblpX="556" w:tblpY="-26"/>
        <w:tblW w:w="7963" w:type="dxa"/>
        <w:tblLook w:val="04A0" w:firstRow="1" w:lastRow="0" w:firstColumn="1" w:lastColumn="0" w:noHBand="0" w:noVBand="1"/>
      </w:tblPr>
      <w:tblGrid>
        <w:gridCol w:w="3114"/>
        <w:gridCol w:w="1389"/>
        <w:gridCol w:w="1163"/>
        <w:gridCol w:w="1163"/>
        <w:gridCol w:w="1134"/>
      </w:tblGrid>
      <w:tr w:rsidR="008D5292" w:rsidRPr="008D5292" w14:paraId="36450A7A" w14:textId="77777777" w:rsidTr="008D5292">
        <w:trPr>
          <w:trHeight w:val="837"/>
        </w:trPr>
        <w:tc>
          <w:tcPr>
            <w:tcW w:w="3114" w:type="dxa"/>
            <w:tcBorders>
              <w:top w:val="single" w:sz="4" w:space="0" w:color="auto"/>
              <w:left w:val="single" w:sz="4" w:space="0" w:color="auto"/>
              <w:bottom w:val="single" w:sz="4" w:space="0" w:color="auto"/>
              <w:right w:val="nil"/>
            </w:tcBorders>
            <w:shd w:val="clear" w:color="000000" w:fill="BDD7EE"/>
            <w:noWrap/>
            <w:vAlign w:val="bottom"/>
            <w:hideMark/>
          </w:tcPr>
          <w:p w14:paraId="60CB6431" w14:textId="77777777" w:rsidR="008D5292" w:rsidRPr="00A5542D" w:rsidRDefault="008D5292" w:rsidP="008D5292">
            <w:pPr>
              <w:rPr>
                <w:b/>
                <w:bCs/>
                <w:color w:val="000000"/>
                <w:sz w:val="20"/>
                <w:szCs w:val="20"/>
                <w:lang w:eastAsia="en-GB"/>
              </w:rPr>
            </w:pPr>
            <w:r w:rsidRPr="00A5542D">
              <w:rPr>
                <w:b/>
                <w:bCs/>
                <w:color w:val="000000"/>
                <w:sz w:val="20"/>
                <w:szCs w:val="20"/>
                <w:lang w:eastAsia="en-GB"/>
              </w:rPr>
              <w:t>Expected Investments:</w:t>
            </w:r>
          </w:p>
        </w:tc>
        <w:tc>
          <w:tcPr>
            <w:tcW w:w="1389" w:type="dxa"/>
            <w:tcBorders>
              <w:top w:val="single" w:sz="4" w:space="0" w:color="auto"/>
              <w:left w:val="nil"/>
              <w:bottom w:val="single" w:sz="4" w:space="0" w:color="auto"/>
              <w:right w:val="nil"/>
            </w:tcBorders>
            <w:shd w:val="clear" w:color="000000" w:fill="BDD7EE"/>
            <w:vAlign w:val="bottom"/>
            <w:hideMark/>
          </w:tcPr>
          <w:p w14:paraId="75CF9CB7"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Actual</w:t>
            </w:r>
          </w:p>
          <w:p w14:paraId="38BC0E6B"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2022/23 £million</w:t>
            </w:r>
          </w:p>
        </w:tc>
        <w:tc>
          <w:tcPr>
            <w:tcW w:w="1163" w:type="dxa"/>
            <w:tcBorders>
              <w:top w:val="single" w:sz="4" w:space="0" w:color="auto"/>
              <w:left w:val="nil"/>
              <w:bottom w:val="single" w:sz="4" w:space="0" w:color="auto"/>
              <w:right w:val="nil"/>
            </w:tcBorders>
            <w:shd w:val="clear" w:color="000000" w:fill="BDD7EE"/>
            <w:vAlign w:val="bottom"/>
            <w:hideMark/>
          </w:tcPr>
          <w:p w14:paraId="2181F51E"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Forecast</w:t>
            </w:r>
          </w:p>
          <w:p w14:paraId="11A53600"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2023/24 £million</w:t>
            </w:r>
          </w:p>
        </w:tc>
        <w:tc>
          <w:tcPr>
            <w:tcW w:w="1163" w:type="dxa"/>
            <w:tcBorders>
              <w:top w:val="single" w:sz="4" w:space="0" w:color="auto"/>
              <w:left w:val="nil"/>
              <w:bottom w:val="single" w:sz="4" w:space="0" w:color="auto"/>
              <w:right w:val="nil"/>
            </w:tcBorders>
            <w:shd w:val="clear" w:color="000000" w:fill="BDD7EE"/>
            <w:vAlign w:val="bottom"/>
            <w:hideMark/>
          </w:tcPr>
          <w:p w14:paraId="0A155706"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Forecast</w:t>
            </w:r>
          </w:p>
          <w:p w14:paraId="6FB83D6B"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2024/25 £million</w:t>
            </w:r>
          </w:p>
        </w:tc>
        <w:tc>
          <w:tcPr>
            <w:tcW w:w="1134" w:type="dxa"/>
            <w:tcBorders>
              <w:top w:val="single" w:sz="4" w:space="0" w:color="auto"/>
              <w:left w:val="nil"/>
              <w:bottom w:val="single" w:sz="4" w:space="0" w:color="auto"/>
              <w:right w:val="single" w:sz="4" w:space="0" w:color="auto"/>
            </w:tcBorders>
            <w:shd w:val="clear" w:color="000000" w:fill="BDD7EE"/>
            <w:vAlign w:val="bottom"/>
            <w:hideMark/>
          </w:tcPr>
          <w:p w14:paraId="0A193393"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Forecast</w:t>
            </w:r>
          </w:p>
          <w:p w14:paraId="03DC5211" w14:textId="77777777" w:rsidR="008D5292" w:rsidRPr="00A5542D" w:rsidRDefault="008D5292" w:rsidP="008D5292">
            <w:pPr>
              <w:jc w:val="center"/>
              <w:rPr>
                <w:b/>
                <w:bCs/>
                <w:color w:val="000000"/>
                <w:sz w:val="20"/>
                <w:szCs w:val="20"/>
                <w:lang w:eastAsia="en-GB"/>
              </w:rPr>
            </w:pPr>
            <w:r w:rsidRPr="00A5542D">
              <w:rPr>
                <w:b/>
                <w:bCs/>
                <w:color w:val="000000"/>
                <w:sz w:val="20"/>
                <w:szCs w:val="20"/>
                <w:lang w:eastAsia="en-GB"/>
              </w:rPr>
              <w:t>2025/26 £million</w:t>
            </w:r>
          </w:p>
        </w:tc>
      </w:tr>
      <w:tr w:rsidR="008D5292" w:rsidRPr="008D5292" w14:paraId="720FEB40" w14:textId="77777777" w:rsidTr="008D5292">
        <w:trPr>
          <w:trHeight w:val="319"/>
        </w:trPr>
        <w:tc>
          <w:tcPr>
            <w:tcW w:w="3114" w:type="dxa"/>
            <w:tcBorders>
              <w:top w:val="nil"/>
              <w:left w:val="single" w:sz="4" w:space="0" w:color="auto"/>
              <w:bottom w:val="nil"/>
              <w:right w:val="nil"/>
            </w:tcBorders>
            <w:shd w:val="clear" w:color="000000" w:fill="FFFFFF"/>
            <w:noWrap/>
            <w:vAlign w:val="bottom"/>
            <w:hideMark/>
          </w:tcPr>
          <w:p w14:paraId="11AFBBEC" w14:textId="77777777" w:rsidR="008D5292" w:rsidRPr="00A5542D" w:rsidRDefault="008D5292" w:rsidP="008D5292">
            <w:pPr>
              <w:rPr>
                <w:color w:val="000000"/>
                <w:sz w:val="20"/>
                <w:szCs w:val="20"/>
                <w:lang w:eastAsia="en-GB"/>
              </w:rPr>
            </w:pPr>
            <w:r w:rsidRPr="00A5542D">
              <w:rPr>
                <w:color w:val="000000"/>
                <w:sz w:val="20"/>
                <w:szCs w:val="20"/>
                <w:lang w:eastAsia="en-GB"/>
              </w:rPr>
              <w:t>Money Market Funds</w:t>
            </w:r>
          </w:p>
        </w:tc>
        <w:tc>
          <w:tcPr>
            <w:tcW w:w="1389" w:type="dxa"/>
            <w:tcBorders>
              <w:top w:val="nil"/>
              <w:left w:val="nil"/>
              <w:bottom w:val="nil"/>
              <w:right w:val="nil"/>
            </w:tcBorders>
            <w:shd w:val="clear" w:color="000000" w:fill="FFFFFF"/>
            <w:noWrap/>
            <w:vAlign w:val="bottom"/>
            <w:hideMark/>
          </w:tcPr>
          <w:p w14:paraId="1DC8F8CB"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5.00 </w:t>
            </w:r>
          </w:p>
        </w:tc>
        <w:tc>
          <w:tcPr>
            <w:tcW w:w="1163" w:type="dxa"/>
            <w:tcBorders>
              <w:top w:val="nil"/>
              <w:left w:val="nil"/>
              <w:bottom w:val="nil"/>
              <w:right w:val="nil"/>
            </w:tcBorders>
            <w:shd w:val="clear" w:color="000000" w:fill="FFFFFF"/>
            <w:noWrap/>
            <w:vAlign w:val="bottom"/>
            <w:hideMark/>
          </w:tcPr>
          <w:p w14:paraId="41FD5618"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4.00 </w:t>
            </w:r>
          </w:p>
        </w:tc>
        <w:tc>
          <w:tcPr>
            <w:tcW w:w="1163" w:type="dxa"/>
            <w:tcBorders>
              <w:top w:val="nil"/>
              <w:left w:val="nil"/>
              <w:bottom w:val="nil"/>
              <w:right w:val="nil"/>
            </w:tcBorders>
            <w:shd w:val="clear" w:color="000000" w:fill="FFFFFF"/>
            <w:noWrap/>
            <w:vAlign w:val="bottom"/>
            <w:hideMark/>
          </w:tcPr>
          <w:p w14:paraId="2EDCA219"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1.00 </w:t>
            </w:r>
          </w:p>
        </w:tc>
        <w:tc>
          <w:tcPr>
            <w:tcW w:w="1134" w:type="dxa"/>
            <w:tcBorders>
              <w:top w:val="nil"/>
              <w:left w:val="nil"/>
              <w:bottom w:val="nil"/>
              <w:right w:val="single" w:sz="4" w:space="0" w:color="auto"/>
            </w:tcBorders>
            <w:shd w:val="clear" w:color="000000" w:fill="FFFFFF"/>
            <w:noWrap/>
            <w:vAlign w:val="bottom"/>
            <w:hideMark/>
          </w:tcPr>
          <w:p w14:paraId="61436894"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   </w:t>
            </w:r>
          </w:p>
        </w:tc>
      </w:tr>
      <w:tr w:rsidR="008D5292" w:rsidRPr="008D5292" w14:paraId="53A9E287" w14:textId="77777777" w:rsidTr="008D5292">
        <w:trPr>
          <w:trHeight w:val="319"/>
        </w:trPr>
        <w:tc>
          <w:tcPr>
            <w:tcW w:w="3114" w:type="dxa"/>
            <w:tcBorders>
              <w:top w:val="nil"/>
              <w:left w:val="single" w:sz="4" w:space="0" w:color="auto"/>
              <w:bottom w:val="nil"/>
              <w:right w:val="nil"/>
            </w:tcBorders>
            <w:shd w:val="clear" w:color="000000" w:fill="FFFFFF"/>
            <w:noWrap/>
            <w:vAlign w:val="bottom"/>
            <w:hideMark/>
          </w:tcPr>
          <w:p w14:paraId="67C0EF42" w14:textId="77777777" w:rsidR="008D5292" w:rsidRPr="00A5542D" w:rsidRDefault="008D5292" w:rsidP="008D5292">
            <w:pPr>
              <w:rPr>
                <w:color w:val="000000"/>
                <w:sz w:val="20"/>
                <w:szCs w:val="20"/>
                <w:lang w:eastAsia="en-GB"/>
              </w:rPr>
            </w:pPr>
            <w:r w:rsidRPr="00A5542D">
              <w:rPr>
                <w:color w:val="000000"/>
                <w:sz w:val="20"/>
                <w:szCs w:val="20"/>
                <w:lang w:eastAsia="en-GB"/>
              </w:rPr>
              <w:t>UK Government Investments</w:t>
            </w:r>
          </w:p>
        </w:tc>
        <w:tc>
          <w:tcPr>
            <w:tcW w:w="1389" w:type="dxa"/>
            <w:tcBorders>
              <w:top w:val="nil"/>
              <w:left w:val="nil"/>
              <w:bottom w:val="nil"/>
              <w:right w:val="nil"/>
            </w:tcBorders>
            <w:shd w:val="clear" w:color="000000" w:fill="FFFFFF"/>
            <w:noWrap/>
            <w:vAlign w:val="bottom"/>
            <w:hideMark/>
          </w:tcPr>
          <w:p w14:paraId="6FA79E4D"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7.00 </w:t>
            </w:r>
          </w:p>
        </w:tc>
        <w:tc>
          <w:tcPr>
            <w:tcW w:w="1163" w:type="dxa"/>
            <w:tcBorders>
              <w:top w:val="nil"/>
              <w:left w:val="nil"/>
              <w:bottom w:val="nil"/>
              <w:right w:val="nil"/>
            </w:tcBorders>
            <w:shd w:val="clear" w:color="000000" w:fill="FFFFFF"/>
            <w:noWrap/>
            <w:vAlign w:val="bottom"/>
            <w:hideMark/>
          </w:tcPr>
          <w:p w14:paraId="0C70DC53"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5.00 </w:t>
            </w:r>
          </w:p>
        </w:tc>
        <w:tc>
          <w:tcPr>
            <w:tcW w:w="1163" w:type="dxa"/>
            <w:tcBorders>
              <w:top w:val="nil"/>
              <w:left w:val="nil"/>
              <w:bottom w:val="nil"/>
              <w:right w:val="nil"/>
            </w:tcBorders>
            <w:shd w:val="clear" w:color="000000" w:fill="FFFFFF"/>
            <w:noWrap/>
            <w:vAlign w:val="bottom"/>
            <w:hideMark/>
          </w:tcPr>
          <w:p w14:paraId="60C10270"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1.00 </w:t>
            </w:r>
          </w:p>
        </w:tc>
        <w:tc>
          <w:tcPr>
            <w:tcW w:w="1134" w:type="dxa"/>
            <w:tcBorders>
              <w:top w:val="nil"/>
              <w:left w:val="nil"/>
              <w:bottom w:val="nil"/>
              <w:right w:val="single" w:sz="4" w:space="0" w:color="auto"/>
            </w:tcBorders>
            <w:shd w:val="clear" w:color="000000" w:fill="FFFFFF"/>
            <w:noWrap/>
            <w:vAlign w:val="bottom"/>
            <w:hideMark/>
          </w:tcPr>
          <w:p w14:paraId="67877BEB"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   </w:t>
            </w:r>
          </w:p>
        </w:tc>
      </w:tr>
      <w:tr w:rsidR="008D5292" w:rsidRPr="008D5292" w14:paraId="5AC35421" w14:textId="77777777" w:rsidTr="008D5292">
        <w:trPr>
          <w:trHeight w:val="319"/>
        </w:trPr>
        <w:tc>
          <w:tcPr>
            <w:tcW w:w="3114" w:type="dxa"/>
            <w:tcBorders>
              <w:top w:val="nil"/>
              <w:left w:val="single" w:sz="4" w:space="0" w:color="auto"/>
              <w:bottom w:val="nil"/>
              <w:right w:val="nil"/>
            </w:tcBorders>
            <w:shd w:val="clear" w:color="000000" w:fill="FFFFFF"/>
            <w:noWrap/>
            <w:vAlign w:val="bottom"/>
            <w:hideMark/>
          </w:tcPr>
          <w:p w14:paraId="37642E0F" w14:textId="77777777" w:rsidR="008D5292" w:rsidRPr="00A5542D" w:rsidRDefault="008D5292" w:rsidP="008D5292">
            <w:pPr>
              <w:rPr>
                <w:color w:val="000000"/>
                <w:sz w:val="20"/>
                <w:szCs w:val="20"/>
                <w:lang w:eastAsia="en-GB"/>
              </w:rPr>
            </w:pPr>
            <w:r w:rsidRPr="00A5542D">
              <w:rPr>
                <w:color w:val="000000"/>
                <w:sz w:val="20"/>
                <w:szCs w:val="20"/>
                <w:lang w:eastAsia="en-GB"/>
              </w:rPr>
              <w:t>Bank Deposits</w:t>
            </w:r>
          </w:p>
        </w:tc>
        <w:tc>
          <w:tcPr>
            <w:tcW w:w="1389" w:type="dxa"/>
            <w:tcBorders>
              <w:top w:val="nil"/>
              <w:left w:val="nil"/>
              <w:bottom w:val="nil"/>
              <w:right w:val="nil"/>
            </w:tcBorders>
            <w:shd w:val="clear" w:color="000000" w:fill="FFFFFF"/>
            <w:noWrap/>
            <w:vAlign w:val="bottom"/>
            <w:hideMark/>
          </w:tcPr>
          <w:p w14:paraId="1947C733"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1.00 </w:t>
            </w:r>
          </w:p>
        </w:tc>
        <w:tc>
          <w:tcPr>
            <w:tcW w:w="1163" w:type="dxa"/>
            <w:tcBorders>
              <w:top w:val="nil"/>
              <w:left w:val="nil"/>
              <w:bottom w:val="nil"/>
              <w:right w:val="nil"/>
            </w:tcBorders>
            <w:shd w:val="clear" w:color="000000" w:fill="FFFFFF"/>
            <w:noWrap/>
            <w:vAlign w:val="bottom"/>
            <w:hideMark/>
          </w:tcPr>
          <w:p w14:paraId="71B1A985"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1.00 </w:t>
            </w:r>
          </w:p>
        </w:tc>
        <w:tc>
          <w:tcPr>
            <w:tcW w:w="1163" w:type="dxa"/>
            <w:tcBorders>
              <w:top w:val="nil"/>
              <w:left w:val="nil"/>
              <w:bottom w:val="nil"/>
              <w:right w:val="nil"/>
            </w:tcBorders>
            <w:shd w:val="clear" w:color="000000" w:fill="FFFFFF"/>
            <w:noWrap/>
            <w:vAlign w:val="bottom"/>
            <w:hideMark/>
          </w:tcPr>
          <w:p w14:paraId="47C143C9"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1.00 </w:t>
            </w:r>
          </w:p>
        </w:tc>
        <w:tc>
          <w:tcPr>
            <w:tcW w:w="1134" w:type="dxa"/>
            <w:tcBorders>
              <w:top w:val="nil"/>
              <w:left w:val="nil"/>
              <w:bottom w:val="nil"/>
              <w:right w:val="single" w:sz="4" w:space="0" w:color="auto"/>
            </w:tcBorders>
            <w:shd w:val="clear" w:color="000000" w:fill="FFFFFF"/>
            <w:noWrap/>
            <w:vAlign w:val="bottom"/>
            <w:hideMark/>
          </w:tcPr>
          <w:p w14:paraId="5C524238"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   </w:t>
            </w:r>
          </w:p>
        </w:tc>
      </w:tr>
      <w:tr w:rsidR="008D5292" w:rsidRPr="008D5292" w14:paraId="2030AE86" w14:textId="77777777" w:rsidTr="008D5292">
        <w:trPr>
          <w:trHeight w:val="319"/>
        </w:trPr>
        <w:tc>
          <w:tcPr>
            <w:tcW w:w="3114" w:type="dxa"/>
            <w:tcBorders>
              <w:top w:val="nil"/>
              <w:left w:val="single" w:sz="4" w:space="0" w:color="auto"/>
              <w:bottom w:val="nil"/>
              <w:right w:val="nil"/>
            </w:tcBorders>
            <w:shd w:val="clear" w:color="000000" w:fill="FFFFFF"/>
            <w:noWrap/>
            <w:vAlign w:val="bottom"/>
            <w:hideMark/>
          </w:tcPr>
          <w:p w14:paraId="127F6483" w14:textId="77777777" w:rsidR="008D5292" w:rsidRPr="00A5542D" w:rsidRDefault="008D5292" w:rsidP="008D5292">
            <w:pPr>
              <w:rPr>
                <w:b/>
                <w:bCs/>
                <w:color w:val="000000"/>
                <w:sz w:val="20"/>
                <w:szCs w:val="20"/>
                <w:lang w:eastAsia="en-GB"/>
              </w:rPr>
            </w:pPr>
            <w:r w:rsidRPr="00A5542D">
              <w:rPr>
                <w:b/>
                <w:bCs/>
                <w:color w:val="000000"/>
                <w:sz w:val="20"/>
                <w:szCs w:val="20"/>
                <w:lang w:eastAsia="en-GB"/>
              </w:rPr>
              <w:t>Total Investments</w:t>
            </w:r>
          </w:p>
        </w:tc>
        <w:tc>
          <w:tcPr>
            <w:tcW w:w="1389" w:type="dxa"/>
            <w:tcBorders>
              <w:top w:val="nil"/>
              <w:left w:val="nil"/>
              <w:bottom w:val="nil"/>
              <w:right w:val="nil"/>
            </w:tcBorders>
            <w:shd w:val="clear" w:color="000000" w:fill="FFFFFF"/>
            <w:noWrap/>
            <w:vAlign w:val="bottom"/>
            <w:hideMark/>
          </w:tcPr>
          <w:p w14:paraId="3C3FA5FE"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13.00 </w:t>
            </w:r>
          </w:p>
        </w:tc>
        <w:tc>
          <w:tcPr>
            <w:tcW w:w="1163" w:type="dxa"/>
            <w:tcBorders>
              <w:top w:val="nil"/>
              <w:left w:val="nil"/>
              <w:bottom w:val="nil"/>
              <w:right w:val="nil"/>
            </w:tcBorders>
            <w:shd w:val="clear" w:color="000000" w:fill="FFFFFF"/>
            <w:noWrap/>
            <w:vAlign w:val="bottom"/>
            <w:hideMark/>
          </w:tcPr>
          <w:p w14:paraId="70CFE826"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10.00 </w:t>
            </w:r>
          </w:p>
        </w:tc>
        <w:tc>
          <w:tcPr>
            <w:tcW w:w="1163" w:type="dxa"/>
            <w:tcBorders>
              <w:top w:val="nil"/>
              <w:left w:val="nil"/>
              <w:bottom w:val="nil"/>
              <w:right w:val="nil"/>
            </w:tcBorders>
            <w:shd w:val="clear" w:color="000000" w:fill="FFFFFF"/>
            <w:noWrap/>
            <w:vAlign w:val="bottom"/>
            <w:hideMark/>
          </w:tcPr>
          <w:p w14:paraId="7309E2B4"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3.00 </w:t>
            </w:r>
          </w:p>
        </w:tc>
        <w:tc>
          <w:tcPr>
            <w:tcW w:w="1134" w:type="dxa"/>
            <w:tcBorders>
              <w:top w:val="nil"/>
              <w:left w:val="nil"/>
              <w:bottom w:val="nil"/>
              <w:right w:val="single" w:sz="4" w:space="0" w:color="auto"/>
            </w:tcBorders>
            <w:shd w:val="clear" w:color="000000" w:fill="FFFFFF"/>
            <w:noWrap/>
            <w:vAlign w:val="bottom"/>
            <w:hideMark/>
          </w:tcPr>
          <w:p w14:paraId="5D4AF89E"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   </w:t>
            </w:r>
          </w:p>
        </w:tc>
      </w:tr>
      <w:tr w:rsidR="008D5292" w:rsidRPr="008D5292" w14:paraId="3D2E44DD" w14:textId="77777777" w:rsidTr="008D5292">
        <w:trPr>
          <w:trHeight w:val="319"/>
        </w:trPr>
        <w:tc>
          <w:tcPr>
            <w:tcW w:w="3114" w:type="dxa"/>
            <w:tcBorders>
              <w:top w:val="single" w:sz="4" w:space="0" w:color="auto"/>
              <w:left w:val="single" w:sz="4" w:space="0" w:color="auto"/>
              <w:bottom w:val="single" w:sz="4" w:space="0" w:color="auto"/>
              <w:right w:val="nil"/>
            </w:tcBorders>
            <w:shd w:val="clear" w:color="000000" w:fill="FFFFFF"/>
            <w:noWrap/>
            <w:vAlign w:val="bottom"/>
            <w:hideMark/>
          </w:tcPr>
          <w:p w14:paraId="06A41E74" w14:textId="77777777" w:rsidR="008D5292" w:rsidRPr="00A5542D" w:rsidRDefault="008D5292" w:rsidP="008D5292">
            <w:pPr>
              <w:rPr>
                <w:b/>
                <w:bCs/>
                <w:color w:val="000000"/>
                <w:sz w:val="20"/>
                <w:szCs w:val="20"/>
                <w:lang w:eastAsia="en-GB"/>
              </w:rPr>
            </w:pPr>
            <w:r w:rsidRPr="00A5542D">
              <w:rPr>
                <w:b/>
                <w:bCs/>
                <w:color w:val="000000"/>
                <w:sz w:val="20"/>
                <w:szCs w:val="20"/>
                <w:lang w:eastAsia="en-GB"/>
              </w:rPr>
              <w:t>Expected Interest:</w:t>
            </w:r>
          </w:p>
        </w:tc>
        <w:tc>
          <w:tcPr>
            <w:tcW w:w="1389" w:type="dxa"/>
            <w:tcBorders>
              <w:top w:val="single" w:sz="4" w:space="0" w:color="auto"/>
              <w:left w:val="nil"/>
              <w:bottom w:val="single" w:sz="4" w:space="0" w:color="auto"/>
              <w:right w:val="nil"/>
            </w:tcBorders>
            <w:shd w:val="clear" w:color="000000" w:fill="FFFFFF"/>
            <w:noWrap/>
            <w:vAlign w:val="bottom"/>
            <w:hideMark/>
          </w:tcPr>
          <w:p w14:paraId="6130FE76"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0.34 </w:t>
            </w:r>
          </w:p>
        </w:tc>
        <w:tc>
          <w:tcPr>
            <w:tcW w:w="1163" w:type="dxa"/>
            <w:tcBorders>
              <w:top w:val="single" w:sz="4" w:space="0" w:color="auto"/>
              <w:left w:val="nil"/>
              <w:bottom w:val="single" w:sz="4" w:space="0" w:color="auto"/>
              <w:right w:val="nil"/>
            </w:tcBorders>
            <w:shd w:val="clear" w:color="000000" w:fill="FFFFFF"/>
            <w:noWrap/>
            <w:vAlign w:val="bottom"/>
            <w:hideMark/>
          </w:tcPr>
          <w:p w14:paraId="2F9EE928"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0.30 </w:t>
            </w:r>
          </w:p>
        </w:tc>
        <w:tc>
          <w:tcPr>
            <w:tcW w:w="1163" w:type="dxa"/>
            <w:tcBorders>
              <w:top w:val="single" w:sz="4" w:space="0" w:color="auto"/>
              <w:left w:val="nil"/>
              <w:bottom w:val="single" w:sz="4" w:space="0" w:color="auto"/>
              <w:right w:val="nil"/>
            </w:tcBorders>
            <w:shd w:val="clear" w:color="000000" w:fill="FFFFFF"/>
            <w:noWrap/>
            <w:vAlign w:val="bottom"/>
            <w:hideMark/>
          </w:tcPr>
          <w:p w14:paraId="7E6379C5"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0.09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9437D64" w14:textId="77777777" w:rsidR="008D5292" w:rsidRPr="00A5542D" w:rsidRDefault="008D5292" w:rsidP="008D5292">
            <w:pPr>
              <w:jc w:val="right"/>
              <w:rPr>
                <w:b/>
                <w:bCs/>
                <w:color w:val="000000"/>
                <w:sz w:val="20"/>
                <w:szCs w:val="20"/>
                <w:lang w:eastAsia="en-GB"/>
              </w:rPr>
            </w:pPr>
            <w:r w:rsidRPr="00A5542D">
              <w:rPr>
                <w:b/>
                <w:bCs/>
                <w:color w:val="000000"/>
                <w:sz w:val="20"/>
                <w:szCs w:val="20"/>
                <w:lang w:eastAsia="en-GB"/>
              </w:rPr>
              <w:t xml:space="preserve">          -   </w:t>
            </w:r>
          </w:p>
        </w:tc>
      </w:tr>
      <w:tr w:rsidR="008D5292" w:rsidRPr="008D5292" w14:paraId="582A2F2F" w14:textId="77777777" w:rsidTr="008D5292">
        <w:trPr>
          <w:trHeight w:val="319"/>
        </w:trPr>
        <w:tc>
          <w:tcPr>
            <w:tcW w:w="3114" w:type="dxa"/>
            <w:tcBorders>
              <w:top w:val="nil"/>
              <w:left w:val="single" w:sz="4" w:space="0" w:color="auto"/>
              <w:bottom w:val="nil"/>
              <w:right w:val="nil"/>
            </w:tcBorders>
            <w:shd w:val="clear" w:color="000000" w:fill="FFFFFF"/>
            <w:noWrap/>
            <w:vAlign w:val="bottom"/>
            <w:hideMark/>
          </w:tcPr>
          <w:p w14:paraId="33149C77" w14:textId="77777777" w:rsidR="008D5292" w:rsidRPr="00A5542D" w:rsidRDefault="008D5292" w:rsidP="008D5292">
            <w:pPr>
              <w:rPr>
                <w:color w:val="000000"/>
                <w:sz w:val="20"/>
                <w:szCs w:val="20"/>
                <w:lang w:eastAsia="en-GB"/>
              </w:rPr>
            </w:pPr>
            <w:r w:rsidRPr="00A5542D">
              <w:rPr>
                <w:color w:val="000000"/>
                <w:sz w:val="20"/>
                <w:szCs w:val="20"/>
                <w:lang w:eastAsia="en-GB"/>
              </w:rPr>
              <w:t>+1% Net Change in Interest</w:t>
            </w:r>
          </w:p>
        </w:tc>
        <w:tc>
          <w:tcPr>
            <w:tcW w:w="1389" w:type="dxa"/>
            <w:tcBorders>
              <w:top w:val="nil"/>
              <w:left w:val="nil"/>
              <w:bottom w:val="nil"/>
              <w:right w:val="nil"/>
            </w:tcBorders>
            <w:shd w:val="clear" w:color="000000" w:fill="FFFFFF"/>
            <w:noWrap/>
            <w:vAlign w:val="bottom"/>
            <w:hideMark/>
          </w:tcPr>
          <w:p w14:paraId="38C35454"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0.13 </w:t>
            </w:r>
          </w:p>
        </w:tc>
        <w:tc>
          <w:tcPr>
            <w:tcW w:w="1163" w:type="dxa"/>
            <w:tcBorders>
              <w:top w:val="nil"/>
              <w:left w:val="nil"/>
              <w:bottom w:val="nil"/>
              <w:right w:val="nil"/>
            </w:tcBorders>
            <w:shd w:val="clear" w:color="000000" w:fill="FFFFFF"/>
            <w:noWrap/>
            <w:vAlign w:val="bottom"/>
            <w:hideMark/>
          </w:tcPr>
          <w:p w14:paraId="3886DEDA"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0.10 </w:t>
            </w:r>
          </w:p>
        </w:tc>
        <w:tc>
          <w:tcPr>
            <w:tcW w:w="1163" w:type="dxa"/>
            <w:tcBorders>
              <w:top w:val="nil"/>
              <w:left w:val="nil"/>
              <w:bottom w:val="nil"/>
              <w:right w:val="nil"/>
            </w:tcBorders>
            <w:shd w:val="clear" w:color="000000" w:fill="FFFFFF"/>
            <w:noWrap/>
            <w:vAlign w:val="bottom"/>
            <w:hideMark/>
          </w:tcPr>
          <w:p w14:paraId="29201DD9"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0.03 </w:t>
            </w:r>
          </w:p>
        </w:tc>
        <w:tc>
          <w:tcPr>
            <w:tcW w:w="1134" w:type="dxa"/>
            <w:tcBorders>
              <w:top w:val="nil"/>
              <w:left w:val="nil"/>
              <w:bottom w:val="nil"/>
              <w:right w:val="single" w:sz="4" w:space="0" w:color="auto"/>
            </w:tcBorders>
            <w:shd w:val="clear" w:color="000000" w:fill="FFFFFF"/>
            <w:noWrap/>
            <w:vAlign w:val="bottom"/>
            <w:hideMark/>
          </w:tcPr>
          <w:p w14:paraId="5025E0B4"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   </w:t>
            </w:r>
          </w:p>
        </w:tc>
      </w:tr>
      <w:tr w:rsidR="008D5292" w:rsidRPr="008D5292" w14:paraId="3CD870AB" w14:textId="77777777" w:rsidTr="008D5292">
        <w:trPr>
          <w:trHeight w:val="319"/>
        </w:trPr>
        <w:tc>
          <w:tcPr>
            <w:tcW w:w="3114" w:type="dxa"/>
            <w:tcBorders>
              <w:top w:val="nil"/>
              <w:left w:val="single" w:sz="4" w:space="0" w:color="auto"/>
              <w:bottom w:val="single" w:sz="4" w:space="0" w:color="auto"/>
              <w:right w:val="nil"/>
            </w:tcBorders>
            <w:shd w:val="clear" w:color="000000" w:fill="FFFFFF"/>
            <w:noWrap/>
            <w:vAlign w:val="bottom"/>
            <w:hideMark/>
          </w:tcPr>
          <w:p w14:paraId="6560F716" w14:textId="77777777" w:rsidR="008D5292" w:rsidRPr="00A5542D" w:rsidRDefault="008D5292" w:rsidP="008D5292">
            <w:pPr>
              <w:rPr>
                <w:color w:val="000000"/>
                <w:sz w:val="20"/>
                <w:szCs w:val="20"/>
                <w:lang w:eastAsia="en-GB"/>
              </w:rPr>
            </w:pPr>
            <w:r w:rsidRPr="00A5542D">
              <w:rPr>
                <w:color w:val="000000"/>
                <w:sz w:val="20"/>
                <w:szCs w:val="20"/>
                <w:lang w:eastAsia="en-GB"/>
              </w:rPr>
              <w:t>-1% Net Change in Interest</w:t>
            </w:r>
          </w:p>
        </w:tc>
        <w:tc>
          <w:tcPr>
            <w:tcW w:w="1389" w:type="dxa"/>
            <w:tcBorders>
              <w:top w:val="nil"/>
              <w:left w:val="nil"/>
              <w:bottom w:val="single" w:sz="4" w:space="0" w:color="auto"/>
              <w:right w:val="nil"/>
            </w:tcBorders>
            <w:shd w:val="clear" w:color="000000" w:fill="FFFFFF"/>
            <w:noWrap/>
            <w:vAlign w:val="bottom"/>
            <w:hideMark/>
          </w:tcPr>
          <w:p w14:paraId="53F3FF1A"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(0.13)</w:t>
            </w:r>
          </w:p>
        </w:tc>
        <w:tc>
          <w:tcPr>
            <w:tcW w:w="1163" w:type="dxa"/>
            <w:tcBorders>
              <w:top w:val="nil"/>
              <w:left w:val="nil"/>
              <w:bottom w:val="single" w:sz="4" w:space="0" w:color="auto"/>
              <w:right w:val="nil"/>
            </w:tcBorders>
            <w:shd w:val="clear" w:color="000000" w:fill="FFFFFF"/>
            <w:noWrap/>
            <w:vAlign w:val="bottom"/>
            <w:hideMark/>
          </w:tcPr>
          <w:p w14:paraId="528E68CD"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(0.10)</w:t>
            </w:r>
          </w:p>
        </w:tc>
        <w:tc>
          <w:tcPr>
            <w:tcW w:w="1163" w:type="dxa"/>
            <w:tcBorders>
              <w:top w:val="nil"/>
              <w:left w:val="nil"/>
              <w:bottom w:val="single" w:sz="4" w:space="0" w:color="auto"/>
              <w:right w:val="nil"/>
            </w:tcBorders>
            <w:shd w:val="clear" w:color="000000" w:fill="FFFFFF"/>
            <w:noWrap/>
            <w:vAlign w:val="bottom"/>
            <w:hideMark/>
          </w:tcPr>
          <w:p w14:paraId="3C5770F1"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(0.03)</w:t>
            </w:r>
          </w:p>
        </w:tc>
        <w:tc>
          <w:tcPr>
            <w:tcW w:w="1134" w:type="dxa"/>
            <w:tcBorders>
              <w:top w:val="nil"/>
              <w:left w:val="nil"/>
              <w:bottom w:val="single" w:sz="4" w:space="0" w:color="auto"/>
              <w:right w:val="single" w:sz="4" w:space="0" w:color="auto"/>
            </w:tcBorders>
            <w:shd w:val="clear" w:color="000000" w:fill="FFFFFF"/>
            <w:noWrap/>
            <w:vAlign w:val="bottom"/>
            <w:hideMark/>
          </w:tcPr>
          <w:p w14:paraId="019499AF" w14:textId="77777777" w:rsidR="008D5292" w:rsidRPr="00A5542D" w:rsidRDefault="008D5292" w:rsidP="008D5292">
            <w:pPr>
              <w:jc w:val="right"/>
              <w:rPr>
                <w:color w:val="000000"/>
                <w:sz w:val="20"/>
                <w:szCs w:val="20"/>
                <w:lang w:eastAsia="en-GB"/>
              </w:rPr>
            </w:pPr>
            <w:r w:rsidRPr="00A5542D">
              <w:rPr>
                <w:color w:val="000000"/>
                <w:sz w:val="20"/>
                <w:szCs w:val="20"/>
                <w:lang w:eastAsia="en-GB"/>
              </w:rPr>
              <w:t xml:space="preserve">          -   </w:t>
            </w:r>
          </w:p>
        </w:tc>
      </w:tr>
    </w:tbl>
    <w:p w14:paraId="4BA22E7C" w14:textId="77777777" w:rsidR="00841085" w:rsidRDefault="00841085" w:rsidP="00F96BF4">
      <w:pPr>
        <w:ind w:left="426"/>
        <w:jc w:val="both"/>
        <w:rPr>
          <w:noProof/>
        </w:rPr>
      </w:pPr>
    </w:p>
    <w:p w14:paraId="6EFFD6C1" w14:textId="4447D398" w:rsidR="00057222" w:rsidRDefault="00841085" w:rsidP="00F96BF4">
      <w:pPr>
        <w:ind w:left="426"/>
        <w:jc w:val="both"/>
        <w:rPr>
          <w:rFonts w:ascii="Times New Roman" w:hAnsi="Times New Roman" w:cs="Times New Roman"/>
          <w:sz w:val="20"/>
          <w:szCs w:val="20"/>
          <w:lang w:eastAsia="en-GB"/>
        </w:rPr>
      </w:pPr>
      <w:r>
        <w:t xml:space="preserve">The Service holds </w:t>
      </w:r>
      <w:r w:rsidR="0096150E">
        <w:t>fixed rate deb</w:t>
      </w:r>
      <w:r w:rsidR="00E41EA1">
        <w:t xml:space="preserve">t which is not </w:t>
      </w:r>
      <w:r w:rsidR="0096150E">
        <w:t xml:space="preserve">impacted by </w:t>
      </w:r>
      <w:r w:rsidR="008B6FE8">
        <w:t xml:space="preserve">a change in interest rates. The table to the left shows the impact of a 1% rise or </w:t>
      </w:r>
      <w:r w:rsidR="00E41EA1">
        <w:t xml:space="preserve">fall in interest on the </w:t>
      </w:r>
      <w:r w:rsidR="00843573">
        <w:t xml:space="preserve">expected investments of the Service over the next three years. Note that the total investments </w:t>
      </w:r>
      <w:proofErr w:type="gramStart"/>
      <w:r w:rsidR="007A1E93">
        <w:t>equals</w:t>
      </w:r>
      <w:proofErr w:type="gramEnd"/>
      <w:r w:rsidR="007A1E93">
        <w:t xml:space="preserve"> the cash available to invest in Table 1, reducing over the next three years.</w:t>
      </w:r>
    </w:p>
    <w:p w14:paraId="7CC5F2A8" w14:textId="5FBB7C0D" w:rsidR="00222465" w:rsidRDefault="00DE3186" w:rsidP="00222465">
      <w:pPr>
        <w:ind w:left="426"/>
        <w:rPr>
          <w:rFonts w:ascii="Times New Roman" w:hAnsi="Times New Roman" w:cs="Times New Roman"/>
          <w:sz w:val="20"/>
          <w:szCs w:val="20"/>
          <w:lang w:eastAsia="en-GB"/>
        </w:rPr>
      </w:pPr>
      <w:r w:rsidRPr="00DE3186">
        <w:rPr>
          <w:bCs/>
        </w:rPr>
        <w:t xml:space="preserve"> </w:t>
      </w:r>
    </w:p>
    <w:p w14:paraId="4FE29460" w14:textId="77777777" w:rsidR="002972A4" w:rsidRDefault="002972A4" w:rsidP="00222465">
      <w:pPr>
        <w:ind w:left="426"/>
        <w:rPr>
          <w:bCs/>
        </w:rPr>
      </w:pPr>
    </w:p>
    <w:p w14:paraId="6B055F50" w14:textId="77777777" w:rsidR="002972A4" w:rsidRDefault="002972A4" w:rsidP="00222465">
      <w:pPr>
        <w:ind w:left="426"/>
        <w:rPr>
          <w:bCs/>
        </w:rPr>
      </w:pPr>
    </w:p>
    <w:p w14:paraId="5C5AAE3A" w14:textId="77777777" w:rsidR="008D5292" w:rsidRDefault="008D5292" w:rsidP="00222465">
      <w:pPr>
        <w:ind w:left="426"/>
        <w:rPr>
          <w:bCs/>
        </w:rPr>
      </w:pPr>
    </w:p>
    <w:p w14:paraId="36A4BE83" w14:textId="77777777" w:rsidR="008D5292" w:rsidRDefault="008D5292" w:rsidP="008D5292">
      <w:pPr>
        <w:rPr>
          <w:bCs/>
        </w:rPr>
      </w:pPr>
    </w:p>
    <w:tbl>
      <w:tblPr>
        <w:tblpPr w:leftFromText="180" w:rightFromText="180"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737"/>
        <w:gridCol w:w="1737"/>
      </w:tblGrid>
      <w:tr w:rsidR="008D5292" w:rsidRPr="0041076E" w14:paraId="4D708BC7" w14:textId="77777777" w:rsidTr="008D5292">
        <w:trPr>
          <w:trHeight w:val="340"/>
        </w:trPr>
        <w:tc>
          <w:tcPr>
            <w:tcW w:w="3638" w:type="dxa"/>
            <w:shd w:val="clear" w:color="auto" w:fill="BDD6EE" w:themeFill="accent5" w:themeFillTint="66"/>
            <w:vAlign w:val="center"/>
          </w:tcPr>
          <w:p w14:paraId="220B3FE6" w14:textId="77777777" w:rsidR="008D5292" w:rsidRPr="00A5542D" w:rsidRDefault="008D5292" w:rsidP="008D5292">
            <w:pPr>
              <w:rPr>
                <w:bCs/>
                <w:sz w:val="20"/>
                <w:szCs w:val="20"/>
              </w:rPr>
            </w:pPr>
            <w:r w:rsidRPr="00A5542D">
              <w:rPr>
                <w:b/>
                <w:bCs/>
                <w:sz w:val="20"/>
                <w:szCs w:val="20"/>
              </w:rPr>
              <w:t>Refinancing rate risk indicator</w:t>
            </w:r>
          </w:p>
        </w:tc>
        <w:tc>
          <w:tcPr>
            <w:tcW w:w="1737" w:type="dxa"/>
            <w:shd w:val="clear" w:color="auto" w:fill="BDD6EE" w:themeFill="accent5" w:themeFillTint="66"/>
            <w:vAlign w:val="center"/>
          </w:tcPr>
          <w:p w14:paraId="249F0C3C" w14:textId="77777777" w:rsidR="008D5292" w:rsidRPr="00A5542D" w:rsidRDefault="008D5292" w:rsidP="008D5292">
            <w:pPr>
              <w:jc w:val="center"/>
              <w:rPr>
                <w:b/>
                <w:bCs/>
                <w:sz w:val="20"/>
                <w:szCs w:val="20"/>
              </w:rPr>
            </w:pPr>
            <w:r w:rsidRPr="00A5542D">
              <w:rPr>
                <w:b/>
                <w:bCs/>
                <w:sz w:val="20"/>
                <w:szCs w:val="20"/>
              </w:rPr>
              <w:t>Upper limit</w:t>
            </w:r>
          </w:p>
        </w:tc>
        <w:tc>
          <w:tcPr>
            <w:tcW w:w="1737" w:type="dxa"/>
            <w:shd w:val="clear" w:color="auto" w:fill="BDD6EE" w:themeFill="accent5" w:themeFillTint="66"/>
            <w:vAlign w:val="center"/>
          </w:tcPr>
          <w:p w14:paraId="04A51DB0" w14:textId="77777777" w:rsidR="008D5292" w:rsidRPr="00A5542D" w:rsidRDefault="008D5292" w:rsidP="008D5292">
            <w:pPr>
              <w:jc w:val="center"/>
              <w:rPr>
                <w:b/>
                <w:bCs/>
                <w:sz w:val="20"/>
                <w:szCs w:val="20"/>
              </w:rPr>
            </w:pPr>
            <w:r w:rsidRPr="00A5542D">
              <w:rPr>
                <w:b/>
                <w:bCs/>
                <w:sz w:val="20"/>
                <w:szCs w:val="20"/>
              </w:rPr>
              <w:t>Lower limit</w:t>
            </w:r>
          </w:p>
        </w:tc>
      </w:tr>
      <w:tr w:rsidR="008D5292" w:rsidRPr="0041076E" w14:paraId="1AFAC331" w14:textId="77777777" w:rsidTr="008D5292">
        <w:trPr>
          <w:trHeight w:val="340"/>
        </w:trPr>
        <w:tc>
          <w:tcPr>
            <w:tcW w:w="3638" w:type="dxa"/>
            <w:shd w:val="clear" w:color="auto" w:fill="auto"/>
            <w:vAlign w:val="center"/>
          </w:tcPr>
          <w:p w14:paraId="71AF3CE3" w14:textId="77777777" w:rsidR="008D5292" w:rsidRPr="00A5542D" w:rsidRDefault="008D5292" w:rsidP="008D5292">
            <w:pPr>
              <w:rPr>
                <w:bCs/>
                <w:sz w:val="20"/>
                <w:szCs w:val="20"/>
              </w:rPr>
            </w:pPr>
            <w:r w:rsidRPr="00A5542D">
              <w:rPr>
                <w:bCs/>
                <w:sz w:val="20"/>
                <w:szCs w:val="20"/>
              </w:rPr>
              <w:t>Under 12 months</w:t>
            </w:r>
          </w:p>
        </w:tc>
        <w:tc>
          <w:tcPr>
            <w:tcW w:w="1737" w:type="dxa"/>
            <w:shd w:val="clear" w:color="auto" w:fill="auto"/>
            <w:vAlign w:val="center"/>
          </w:tcPr>
          <w:p w14:paraId="6ABFCA5F" w14:textId="77777777" w:rsidR="008D5292" w:rsidRPr="00A5542D" w:rsidRDefault="008D5292" w:rsidP="008D5292">
            <w:pPr>
              <w:jc w:val="center"/>
              <w:rPr>
                <w:sz w:val="20"/>
                <w:szCs w:val="20"/>
              </w:rPr>
            </w:pPr>
            <w:r w:rsidRPr="00A5542D">
              <w:rPr>
                <w:sz w:val="20"/>
                <w:szCs w:val="20"/>
              </w:rPr>
              <w:t>50%</w:t>
            </w:r>
          </w:p>
        </w:tc>
        <w:tc>
          <w:tcPr>
            <w:tcW w:w="1737" w:type="dxa"/>
            <w:shd w:val="clear" w:color="auto" w:fill="auto"/>
            <w:vAlign w:val="center"/>
          </w:tcPr>
          <w:p w14:paraId="5AC38CBB" w14:textId="77777777" w:rsidR="008D5292" w:rsidRPr="00A5542D" w:rsidRDefault="008D5292" w:rsidP="008D5292">
            <w:pPr>
              <w:jc w:val="center"/>
              <w:rPr>
                <w:sz w:val="20"/>
                <w:szCs w:val="20"/>
              </w:rPr>
            </w:pPr>
            <w:r w:rsidRPr="00A5542D">
              <w:rPr>
                <w:sz w:val="20"/>
                <w:szCs w:val="20"/>
              </w:rPr>
              <w:t>0%</w:t>
            </w:r>
          </w:p>
        </w:tc>
      </w:tr>
      <w:tr w:rsidR="008D5292" w:rsidRPr="0041076E" w14:paraId="04878EE1" w14:textId="77777777" w:rsidTr="008D5292">
        <w:trPr>
          <w:trHeight w:val="340"/>
        </w:trPr>
        <w:tc>
          <w:tcPr>
            <w:tcW w:w="3638" w:type="dxa"/>
            <w:shd w:val="clear" w:color="auto" w:fill="auto"/>
            <w:vAlign w:val="center"/>
          </w:tcPr>
          <w:p w14:paraId="211EFFCD" w14:textId="132C32C9" w:rsidR="008D5292" w:rsidRPr="00A5542D" w:rsidRDefault="008D5292" w:rsidP="008D5292">
            <w:pPr>
              <w:rPr>
                <w:bCs/>
                <w:sz w:val="20"/>
                <w:szCs w:val="20"/>
              </w:rPr>
            </w:pPr>
            <w:r w:rsidRPr="00A5542D">
              <w:rPr>
                <w:bCs/>
                <w:sz w:val="20"/>
                <w:szCs w:val="20"/>
              </w:rPr>
              <w:t>12 months to 24 months</w:t>
            </w:r>
          </w:p>
        </w:tc>
        <w:tc>
          <w:tcPr>
            <w:tcW w:w="1737" w:type="dxa"/>
            <w:shd w:val="clear" w:color="auto" w:fill="auto"/>
            <w:vAlign w:val="center"/>
          </w:tcPr>
          <w:p w14:paraId="3D481C83" w14:textId="77777777" w:rsidR="008D5292" w:rsidRPr="00A5542D" w:rsidRDefault="008D5292" w:rsidP="008D5292">
            <w:pPr>
              <w:jc w:val="center"/>
              <w:rPr>
                <w:sz w:val="20"/>
                <w:szCs w:val="20"/>
              </w:rPr>
            </w:pPr>
            <w:r w:rsidRPr="00A5542D">
              <w:rPr>
                <w:sz w:val="20"/>
                <w:szCs w:val="20"/>
              </w:rPr>
              <w:t>50%</w:t>
            </w:r>
          </w:p>
        </w:tc>
        <w:tc>
          <w:tcPr>
            <w:tcW w:w="1737" w:type="dxa"/>
            <w:shd w:val="clear" w:color="auto" w:fill="auto"/>
            <w:vAlign w:val="center"/>
          </w:tcPr>
          <w:p w14:paraId="127A9A8B" w14:textId="77777777" w:rsidR="008D5292" w:rsidRPr="00A5542D" w:rsidRDefault="008D5292" w:rsidP="008D5292">
            <w:pPr>
              <w:jc w:val="center"/>
              <w:rPr>
                <w:sz w:val="20"/>
                <w:szCs w:val="20"/>
              </w:rPr>
            </w:pPr>
            <w:r w:rsidRPr="00A5542D">
              <w:rPr>
                <w:sz w:val="20"/>
                <w:szCs w:val="20"/>
              </w:rPr>
              <w:t>0%</w:t>
            </w:r>
          </w:p>
        </w:tc>
      </w:tr>
      <w:tr w:rsidR="008D5292" w:rsidRPr="0041076E" w14:paraId="21ECCA03" w14:textId="77777777" w:rsidTr="008D5292">
        <w:trPr>
          <w:trHeight w:val="340"/>
        </w:trPr>
        <w:tc>
          <w:tcPr>
            <w:tcW w:w="3638" w:type="dxa"/>
            <w:shd w:val="clear" w:color="auto" w:fill="auto"/>
            <w:vAlign w:val="center"/>
          </w:tcPr>
          <w:p w14:paraId="5F81130C" w14:textId="77777777" w:rsidR="008D5292" w:rsidRPr="00A5542D" w:rsidRDefault="008D5292" w:rsidP="008D5292">
            <w:pPr>
              <w:rPr>
                <w:bCs/>
                <w:sz w:val="20"/>
                <w:szCs w:val="20"/>
              </w:rPr>
            </w:pPr>
            <w:r w:rsidRPr="00A5542D">
              <w:rPr>
                <w:bCs/>
                <w:sz w:val="20"/>
                <w:szCs w:val="20"/>
              </w:rPr>
              <w:t>24 months and within 5 years</w:t>
            </w:r>
          </w:p>
        </w:tc>
        <w:tc>
          <w:tcPr>
            <w:tcW w:w="1737" w:type="dxa"/>
            <w:shd w:val="clear" w:color="auto" w:fill="auto"/>
            <w:vAlign w:val="center"/>
          </w:tcPr>
          <w:p w14:paraId="75C48DDF" w14:textId="77777777" w:rsidR="008D5292" w:rsidRPr="00A5542D" w:rsidRDefault="008D5292" w:rsidP="008D5292">
            <w:pPr>
              <w:jc w:val="center"/>
              <w:rPr>
                <w:sz w:val="20"/>
                <w:szCs w:val="20"/>
              </w:rPr>
            </w:pPr>
            <w:r w:rsidRPr="00A5542D">
              <w:rPr>
                <w:sz w:val="20"/>
                <w:szCs w:val="20"/>
              </w:rPr>
              <w:t>75%</w:t>
            </w:r>
          </w:p>
        </w:tc>
        <w:tc>
          <w:tcPr>
            <w:tcW w:w="1737" w:type="dxa"/>
            <w:shd w:val="clear" w:color="auto" w:fill="auto"/>
            <w:vAlign w:val="center"/>
          </w:tcPr>
          <w:p w14:paraId="10838E0A" w14:textId="77777777" w:rsidR="008D5292" w:rsidRPr="00A5542D" w:rsidRDefault="008D5292" w:rsidP="008D5292">
            <w:pPr>
              <w:jc w:val="center"/>
              <w:rPr>
                <w:sz w:val="20"/>
                <w:szCs w:val="20"/>
              </w:rPr>
            </w:pPr>
            <w:r w:rsidRPr="00A5542D">
              <w:rPr>
                <w:sz w:val="20"/>
                <w:szCs w:val="20"/>
              </w:rPr>
              <w:t>0%</w:t>
            </w:r>
          </w:p>
        </w:tc>
      </w:tr>
      <w:tr w:rsidR="008D5292" w:rsidRPr="0041076E" w14:paraId="3898DAFC" w14:textId="77777777" w:rsidTr="008D5292">
        <w:trPr>
          <w:trHeight w:val="340"/>
        </w:trPr>
        <w:tc>
          <w:tcPr>
            <w:tcW w:w="3638" w:type="dxa"/>
            <w:shd w:val="clear" w:color="auto" w:fill="auto"/>
            <w:vAlign w:val="center"/>
          </w:tcPr>
          <w:p w14:paraId="140E874B" w14:textId="77777777" w:rsidR="008D5292" w:rsidRPr="00A5542D" w:rsidRDefault="008D5292" w:rsidP="008D5292">
            <w:pPr>
              <w:rPr>
                <w:bCs/>
                <w:sz w:val="20"/>
                <w:szCs w:val="20"/>
              </w:rPr>
            </w:pPr>
            <w:r w:rsidRPr="00A5542D">
              <w:rPr>
                <w:bCs/>
                <w:sz w:val="20"/>
                <w:szCs w:val="20"/>
              </w:rPr>
              <w:t>5 years and within 10 years</w:t>
            </w:r>
          </w:p>
        </w:tc>
        <w:tc>
          <w:tcPr>
            <w:tcW w:w="1737" w:type="dxa"/>
            <w:shd w:val="clear" w:color="auto" w:fill="auto"/>
            <w:vAlign w:val="center"/>
          </w:tcPr>
          <w:p w14:paraId="0C69168D" w14:textId="77777777" w:rsidR="008D5292" w:rsidRPr="00A5542D" w:rsidRDefault="008D5292" w:rsidP="008D5292">
            <w:pPr>
              <w:jc w:val="center"/>
              <w:rPr>
                <w:sz w:val="20"/>
                <w:szCs w:val="20"/>
              </w:rPr>
            </w:pPr>
            <w:r w:rsidRPr="00A5542D">
              <w:rPr>
                <w:sz w:val="20"/>
                <w:szCs w:val="20"/>
              </w:rPr>
              <w:t>75%</w:t>
            </w:r>
          </w:p>
        </w:tc>
        <w:tc>
          <w:tcPr>
            <w:tcW w:w="1737" w:type="dxa"/>
            <w:shd w:val="clear" w:color="auto" w:fill="auto"/>
            <w:vAlign w:val="center"/>
          </w:tcPr>
          <w:p w14:paraId="3692CB95" w14:textId="77777777" w:rsidR="008D5292" w:rsidRPr="00A5542D" w:rsidRDefault="008D5292" w:rsidP="008D5292">
            <w:pPr>
              <w:jc w:val="center"/>
              <w:rPr>
                <w:sz w:val="20"/>
                <w:szCs w:val="20"/>
              </w:rPr>
            </w:pPr>
            <w:r w:rsidRPr="00A5542D">
              <w:rPr>
                <w:sz w:val="20"/>
                <w:szCs w:val="20"/>
              </w:rPr>
              <w:t>0%</w:t>
            </w:r>
          </w:p>
        </w:tc>
      </w:tr>
      <w:tr w:rsidR="008D5292" w:rsidRPr="0041076E" w14:paraId="00BBA49D" w14:textId="77777777" w:rsidTr="008D5292">
        <w:trPr>
          <w:trHeight w:val="340"/>
        </w:trPr>
        <w:tc>
          <w:tcPr>
            <w:tcW w:w="3638" w:type="dxa"/>
            <w:shd w:val="clear" w:color="auto" w:fill="auto"/>
            <w:vAlign w:val="center"/>
          </w:tcPr>
          <w:p w14:paraId="5B15D6CD" w14:textId="77777777" w:rsidR="008D5292" w:rsidRPr="00A5542D" w:rsidRDefault="008D5292" w:rsidP="008D5292">
            <w:pPr>
              <w:rPr>
                <w:bCs/>
                <w:sz w:val="20"/>
                <w:szCs w:val="20"/>
              </w:rPr>
            </w:pPr>
            <w:r w:rsidRPr="00A5542D">
              <w:rPr>
                <w:bCs/>
                <w:sz w:val="20"/>
                <w:szCs w:val="20"/>
              </w:rPr>
              <w:t>10 years and within 15 years</w:t>
            </w:r>
          </w:p>
        </w:tc>
        <w:tc>
          <w:tcPr>
            <w:tcW w:w="1737" w:type="dxa"/>
            <w:shd w:val="clear" w:color="auto" w:fill="auto"/>
            <w:vAlign w:val="center"/>
          </w:tcPr>
          <w:p w14:paraId="6FDE6DD5" w14:textId="77777777" w:rsidR="008D5292" w:rsidRPr="00A5542D" w:rsidRDefault="008D5292" w:rsidP="008D5292">
            <w:pPr>
              <w:jc w:val="center"/>
              <w:rPr>
                <w:sz w:val="20"/>
                <w:szCs w:val="20"/>
              </w:rPr>
            </w:pPr>
            <w:r w:rsidRPr="00A5542D">
              <w:rPr>
                <w:sz w:val="20"/>
                <w:szCs w:val="20"/>
              </w:rPr>
              <w:t>100%</w:t>
            </w:r>
          </w:p>
        </w:tc>
        <w:tc>
          <w:tcPr>
            <w:tcW w:w="1737" w:type="dxa"/>
            <w:shd w:val="clear" w:color="auto" w:fill="auto"/>
            <w:vAlign w:val="center"/>
          </w:tcPr>
          <w:p w14:paraId="43286BC8" w14:textId="77777777" w:rsidR="008D5292" w:rsidRPr="00A5542D" w:rsidRDefault="008D5292" w:rsidP="008D5292">
            <w:pPr>
              <w:jc w:val="center"/>
              <w:rPr>
                <w:sz w:val="20"/>
                <w:szCs w:val="20"/>
              </w:rPr>
            </w:pPr>
            <w:r w:rsidRPr="00A5542D">
              <w:rPr>
                <w:sz w:val="20"/>
                <w:szCs w:val="20"/>
              </w:rPr>
              <w:t>0%</w:t>
            </w:r>
          </w:p>
        </w:tc>
      </w:tr>
      <w:tr w:rsidR="008D5292" w:rsidRPr="0041076E" w14:paraId="23016921" w14:textId="77777777" w:rsidTr="008D5292">
        <w:trPr>
          <w:trHeight w:val="340"/>
        </w:trPr>
        <w:tc>
          <w:tcPr>
            <w:tcW w:w="3638" w:type="dxa"/>
            <w:shd w:val="clear" w:color="auto" w:fill="auto"/>
            <w:vAlign w:val="center"/>
          </w:tcPr>
          <w:p w14:paraId="39A6BD0E" w14:textId="77777777" w:rsidR="008D5292" w:rsidRPr="00A5542D" w:rsidRDefault="008D5292" w:rsidP="008D5292">
            <w:pPr>
              <w:rPr>
                <w:bCs/>
                <w:sz w:val="20"/>
                <w:szCs w:val="20"/>
              </w:rPr>
            </w:pPr>
            <w:r w:rsidRPr="00A5542D">
              <w:rPr>
                <w:bCs/>
                <w:sz w:val="20"/>
                <w:szCs w:val="20"/>
              </w:rPr>
              <w:t xml:space="preserve">15 years and above </w:t>
            </w:r>
          </w:p>
        </w:tc>
        <w:tc>
          <w:tcPr>
            <w:tcW w:w="1737" w:type="dxa"/>
            <w:shd w:val="clear" w:color="auto" w:fill="auto"/>
            <w:vAlign w:val="center"/>
          </w:tcPr>
          <w:p w14:paraId="4CAF8765" w14:textId="77777777" w:rsidR="008D5292" w:rsidRPr="00A5542D" w:rsidRDefault="008D5292" w:rsidP="008D5292">
            <w:pPr>
              <w:jc w:val="center"/>
              <w:rPr>
                <w:color w:val="AF173B"/>
                <w:sz w:val="20"/>
                <w:szCs w:val="20"/>
              </w:rPr>
            </w:pPr>
            <w:r w:rsidRPr="00A5542D">
              <w:rPr>
                <w:sz w:val="20"/>
                <w:szCs w:val="20"/>
              </w:rPr>
              <w:t>100%</w:t>
            </w:r>
          </w:p>
        </w:tc>
        <w:tc>
          <w:tcPr>
            <w:tcW w:w="1737" w:type="dxa"/>
            <w:shd w:val="clear" w:color="auto" w:fill="auto"/>
            <w:vAlign w:val="center"/>
          </w:tcPr>
          <w:p w14:paraId="04EA13AC" w14:textId="77777777" w:rsidR="008D5292" w:rsidRPr="00A5542D" w:rsidRDefault="008D5292" w:rsidP="008D5292">
            <w:pPr>
              <w:jc w:val="center"/>
              <w:rPr>
                <w:color w:val="AF173B"/>
                <w:sz w:val="20"/>
                <w:szCs w:val="20"/>
              </w:rPr>
            </w:pPr>
            <w:r w:rsidRPr="00A5542D">
              <w:rPr>
                <w:sz w:val="20"/>
                <w:szCs w:val="20"/>
              </w:rPr>
              <w:t>0%</w:t>
            </w:r>
          </w:p>
        </w:tc>
      </w:tr>
    </w:tbl>
    <w:p w14:paraId="10176BB1" w14:textId="77777777" w:rsidR="00841085" w:rsidRDefault="00841085" w:rsidP="00222465">
      <w:pPr>
        <w:ind w:left="426"/>
        <w:rPr>
          <w:bCs/>
        </w:rPr>
      </w:pPr>
    </w:p>
    <w:p w14:paraId="1B16AECE" w14:textId="74251FD7" w:rsidR="0004046D" w:rsidRDefault="00CC3232" w:rsidP="008D5292">
      <w:pPr>
        <w:spacing w:after="240"/>
        <w:ind w:left="426"/>
        <w:jc w:val="both"/>
        <w:rPr>
          <w:bCs/>
        </w:rPr>
      </w:pPr>
      <w:r w:rsidRPr="0041076E">
        <w:rPr>
          <w:b/>
          <w:bCs/>
        </w:rPr>
        <w:t>Maturity structure of borrowing:</w:t>
      </w:r>
      <w:r w:rsidRPr="0041076E">
        <w:rPr>
          <w:bCs/>
        </w:rPr>
        <w:t xml:space="preserve"> This indicator is set to control the Authority’s exposure to refinancing risk. The upper and lower limits on the maturity structure of borrowing will be:</w:t>
      </w:r>
    </w:p>
    <w:p w14:paraId="1FBDF70B" w14:textId="62659F84" w:rsidR="008D5292" w:rsidRDefault="00CC3232" w:rsidP="00A5542D">
      <w:pPr>
        <w:ind w:left="426"/>
        <w:jc w:val="both"/>
        <w:rPr>
          <w:bCs/>
        </w:rPr>
      </w:pPr>
      <w:r w:rsidRPr="0041076E">
        <w:rPr>
          <w:bCs/>
        </w:rPr>
        <w:t>Time periods start on the first day of each financial year. The maturity date of borrowing is the earliest date on which the lender can demand repayment.</w:t>
      </w:r>
    </w:p>
    <w:p w14:paraId="6FA579D8" w14:textId="77777777" w:rsidR="00A5542D" w:rsidRPr="00A5542D" w:rsidRDefault="00A5542D" w:rsidP="00A5542D">
      <w:pPr>
        <w:ind w:left="426"/>
        <w:jc w:val="both"/>
        <w:rPr>
          <w:bCs/>
        </w:rPr>
      </w:pPr>
    </w:p>
    <w:p w14:paraId="69C650B8" w14:textId="77777777" w:rsidR="00A5542D" w:rsidRDefault="00A5542D" w:rsidP="0004046D">
      <w:pPr>
        <w:ind w:left="426"/>
        <w:jc w:val="both"/>
        <w:rPr>
          <w:b/>
          <w:bCs/>
        </w:rPr>
      </w:pPr>
    </w:p>
    <w:p w14:paraId="4FE9822B" w14:textId="4DDDB052" w:rsidR="00CC3232" w:rsidRDefault="00140DEA" w:rsidP="0004046D">
      <w:pPr>
        <w:ind w:left="426"/>
        <w:jc w:val="both"/>
        <w:rPr>
          <w:bCs/>
        </w:rPr>
      </w:pPr>
      <w:r>
        <w:rPr>
          <w:b/>
          <w:bCs/>
        </w:rPr>
        <w:t xml:space="preserve">Long-term </w:t>
      </w:r>
      <w:r w:rsidR="00426872">
        <w:rPr>
          <w:b/>
          <w:bCs/>
        </w:rPr>
        <w:t>treasury management investments</w:t>
      </w:r>
      <w:r w:rsidR="00CC3232" w:rsidRPr="0041076E">
        <w:rPr>
          <w:b/>
          <w:bCs/>
        </w:rPr>
        <w:t>:</w:t>
      </w:r>
      <w:r w:rsidR="00CC3232" w:rsidRPr="0041076E">
        <w:rPr>
          <w:bCs/>
        </w:rPr>
        <w:t xml:space="preserve"> The purpose of this indicator is to control the Authority’s exposure to the risk of incurring losses by seeking early repayment of its investments. The </w:t>
      </w:r>
      <w:r w:rsidR="00D16434">
        <w:rPr>
          <w:bCs/>
        </w:rPr>
        <w:t xml:space="preserve">prudential </w:t>
      </w:r>
      <w:r w:rsidR="00CC3232" w:rsidRPr="0041076E">
        <w:rPr>
          <w:bCs/>
        </w:rPr>
        <w:t>limits on the long-</w:t>
      </w:r>
      <w:r w:rsidR="00453F53" w:rsidRPr="0041076E">
        <w:rPr>
          <w:bCs/>
        </w:rPr>
        <w:t>term</w:t>
      </w:r>
      <w:r w:rsidR="00453F53">
        <w:rPr>
          <w:bCs/>
        </w:rPr>
        <w:t xml:space="preserve"> treasury management investments will be</w:t>
      </w:r>
      <w:r w:rsidR="00CC3232" w:rsidRPr="0041076E">
        <w:rPr>
          <w:bCs/>
        </w:rPr>
        <w:t>:</w:t>
      </w:r>
    </w:p>
    <w:p w14:paraId="4CC2126E" w14:textId="77777777" w:rsidR="00A5542D" w:rsidRDefault="00A5542D" w:rsidP="0004046D">
      <w:pPr>
        <w:ind w:left="426"/>
        <w:jc w:val="both"/>
        <w:rPr>
          <w:bCs/>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157"/>
        <w:gridCol w:w="1157"/>
        <w:gridCol w:w="1157"/>
        <w:gridCol w:w="1157"/>
      </w:tblGrid>
      <w:tr w:rsidR="00A5542D" w:rsidRPr="0041076E" w14:paraId="4B24248C" w14:textId="77777777" w:rsidTr="00AB3560">
        <w:trPr>
          <w:trHeight w:val="340"/>
        </w:trPr>
        <w:tc>
          <w:tcPr>
            <w:tcW w:w="4621" w:type="dxa"/>
            <w:shd w:val="clear" w:color="auto" w:fill="BDD6EE" w:themeFill="accent5" w:themeFillTint="66"/>
            <w:vAlign w:val="center"/>
          </w:tcPr>
          <w:p w14:paraId="5A15E80B" w14:textId="77777777" w:rsidR="00A5542D" w:rsidRPr="00A5542D" w:rsidRDefault="00A5542D" w:rsidP="00AB3560">
            <w:pPr>
              <w:rPr>
                <w:b/>
                <w:bCs/>
                <w:sz w:val="20"/>
                <w:szCs w:val="20"/>
              </w:rPr>
            </w:pPr>
            <w:r w:rsidRPr="00A5542D">
              <w:rPr>
                <w:b/>
                <w:bCs/>
                <w:sz w:val="20"/>
                <w:szCs w:val="20"/>
              </w:rPr>
              <w:t>Price risk indicator</w:t>
            </w:r>
          </w:p>
        </w:tc>
        <w:tc>
          <w:tcPr>
            <w:tcW w:w="1157" w:type="dxa"/>
            <w:shd w:val="clear" w:color="auto" w:fill="BDD6EE" w:themeFill="accent5" w:themeFillTint="66"/>
            <w:vAlign w:val="center"/>
          </w:tcPr>
          <w:p w14:paraId="1573C25E" w14:textId="77777777" w:rsidR="00A5542D" w:rsidRPr="00A5542D" w:rsidRDefault="00A5542D" w:rsidP="00AB3560">
            <w:pPr>
              <w:jc w:val="center"/>
              <w:rPr>
                <w:b/>
                <w:bCs/>
                <w:sz w:val="20"/>
                <w:szCs w:val="20"/>
              </w:rPr>
            </w:pPr>
            <w:r w:rsidRPr="00A5542D">
              <w:rPr>
                <w:b/>
                <w:bCs/>
                <w:sz w:val="20"/>
                <w:szCs w:val="20"/>
              </w:rPr>
              <w:t>2022/23</w:t>
            </w:r>
          </w:p>
        </w:tc>
        <w:tc>
          <w:tcPr>
            <w:tcW w:w="1157" w:type="dxa"/>
            <w:shd w:val="clear" w:color="auto" w:fill="BDD6EE" w:themeFill="accent5" w:themeFillTint="66"/>
            <w:vAlign w:val="center"/>
          </w:tcPr>
          <w:p w14:paraId="14F457DC" w14:textId="77777777" w:rsidR="00A5542D" w:rsidRPr="00A5542D" w:rsidRDefault="00A5542D" w:rsidP="00AB3560">
            <w:pPr>
              <w:jc w:val="center"/>
              <w:rPr>
                <w:b/>
                <w:bCs/>
                <w:sz w:val="20"/>
                <w:szCs w:val="20"/>
              </w:rPr>
            </w:pPr>
            <w:r w:rsidRPr="00A5542D">
              <w:rPr>
                <w:b/>
                <w:bCs/>
                <w:sz w:val="20"/>
                <w:szCs w:val="20"/>
              </w:rPr>
              <w:t>2023/24</w:t>
            </w:r>
          </w:p>
        </w:tc>
        <w:tc>
          <w:tcPr>
            <w:tcW w:w="1157" w:type="dxa"/>
            <w:shd w:val="clear" w:color="auto" w:fill="BDD6EE" w:themeFill="accent5" w:themeFillTint="66"/>
            <w:vAlign w:val="center"/>
          </w:tcPr>
          <w:p w14:paraId="7CDB3FE0" w14:textId="77777777" w:rsidR="00A5542D" w:rsidRPr="00A5542D" w:rsidRDefault="00A5542D" w:rsidP="00AB3560">
            <w:pPr>
              <w:jc w:val="center"/>
              <w:rPr>
                <w:b/>
                <w:bCs/>
                <w:sz w:val="20"/>
                <w:szCs w:val="20"/>
              </w:rPr>
            </w:pPr>
            <w:r w:rsidRPr="00A5542D">
              <w:rPr>
                <w:b/>
                <w:bCs/>
                <w:sz w:val="20"/>
                <w:szCs w:val="20"/>
              </w:rPr>
              <w:t>2024/25</w:t>
            </w:r>
          </w:p>
        </w:tc>
        <w:tc>
          <w:tcPr>
            <w:tcW w:w="1157" w:type="dxa"/>
            <w:shd w:val="clear" w:color="auto" w:fill="BDD6EE" w:themeFill="accent5" w:themeFillTint="66"/>
            <w:vAlign w:val="center"/>
          </w:tcPr>
          <w:p w14:paraId="022E73FB" w14:textId="77777777" w:rsidR="00A5542D" w:rsidRPr="00A5542D" w:rsidRDefault="00A5542D" w:rsidP="00AB3560">
            <w:pPr>
              <w:jc w:val="center"/>
              <w:rPr>
                <w:b/>
                <w:bCs/>
                <w:sz w:val="20"/>
                <w:szCs w:val="20"/>
              </w:rPr>
            </w:pPr>
            <w:r w:rsidRPr="00A5542D">
              <w:rPr>
                <w:b/>
                <w:bCs/>
                <w:sz w:val="20"/>
                <w:szCs w:val="20"/>
              </w:rPr>
              <w:t>No fixed date</w:t>
            </w:r>
          </w:p>
        </w:tc>
      </w:tr>
      <w:tr w:rsidR="00A5542D" w:rsidRPr="0041076E" w14:paraId="71330898" w14:textId="77777777" w:rsidTr="00AB3560">
        <w:trPr>
          <w:trHeight w:val="340"/>
        </w:trPr>
        <w:tc>
          <w:tcPr>
            <w:tcW w:w="4621" w:type="dxa"/>
            <w:shd w:val="clear" w:color="auto" w:fill="auto"/>
            <w:vAlign w:val="center"/>
          </w:tcPr>
          <w:p w14:paraId="449AE9D3" w14:textId="77777777" w:rsidR="00A5542D" w:rsidRPr="00A5542D" w:rsidRDefault="00A5542D" w:rsidP="00AB3560">
            <w:pPr>
              <w:rPr>
                <w:bCs/>
                <w:sz w:val="20"/>
                <w:szCs w:val="20"/>
              </w:rPr>
            </w:pPr>
            <w:r w:rsidRPr="00A5542D">
              <w:rPr>
                <w:bCs/>
                <w:sz w:val="20"/>
                <w:szCs w:val="20"/>
              </w:rPr>
              <w:t>Limit on principal invested beyond one year</w:t>
            </w:r>
          </w:p>
        </w:tc>
        <w:tc>
          <w:tcPr>
            <w:tcW w:w="1157" w:type="dxa"/>
            <w:shd w:val="clear" w:color="auto" w:fill="auto"/>
            <w:vAlign w:val="center"/>
          </w:tcPr>
          <w:p w14:paraId="060921C4" w14:textId="77777777" w:rsidR="00A5542D" w:rsidRPr="00A5542D" w:rsidRDefault="00A5542D" w:rsidP="00AB3560">
            <w:pPr>
              <w:jc w:val="center"/>
              <w:rPr>
                <w:bCs/>
                <w:color w:val="AF173B"/>
                <w:sz w:val="20"/>
                <w:szCs w:val="20"/>
              </w:rPr>
            </w:pPr>
            <w:r w:rsidRPr="00A5542D">
              <w:rPr>
                <w:sz w:val="20"/>
                <w:szCs w:val="20"/>
              </w:rPr>
              <w:t>£2m</w:t>
            </w:r>
          </w:p>
        </w:tc>
        <w:tc>
          <w:tcPr>
            <w:tcW w:w="1157" w:type="dxa"/>
            <w:shd w:val="clear" w:color="auto" w:fill="auto"/>
            <w:vAlign w:val="center"/>
          </w:tcPr>
          <w:p w14:paraId="27611513" w14:textId="77777777" w:rsidR="00A5542D" w:rsidRPr="00A5542D" w:rsidRDefault="00A5542D" w:rsidP="00AB3560">
            <w:pPr>
              <w:jc w:val="center"/>
              <w:rPr>
                <w:bCs/>
                <w:sz w:val="20"/>
                <w:szCs w:val="20"/>
              </w:rPr>
            </w:pPr>
            <w:r w:rsidRPr="00A5542D">
              <w:rPr>
                <w:sz w:val="20"/>
                <w:szCs w:val="20"/>
              </w:rPr>
              <w:t>£1m</w:t>
            </w:r>
          </w:p>
        </w:tc>
        <w:tc>
          <w:tcPr>
            <w:tcW w:w="1157" w:type="dxa"/>
            <w:shd w:val="clear" w:color="auto" w:fill="auto"/>
            <w:vAlign w:val="center"/>
          </w:tcPr>
          <w:p w14:paraId="52724E92" w14:textId="77777777" w:rsidR="00A5542D" w:rsidRPr="00A5542D" w:rsidRDefault="00A5542D" w:rsidP="00AB3560">
            <w:pPr>
              <w:jc w:val="center"/>
              <w:rPr>
                <w:sz w:val="20"/>
                <w:szCs w:val="20"/>
              </w:rPr>
            </w:pPr>
            <w:r w:rsidRPr="00A5542D">
              <w:rPr>
                <w:sz w:val="20"/>
                <w:szCs w:val="20"/>
              </w:rPr>
              <w:t>£1m</w:t>
            </w:r>
          </w:p>
        </w:tc>
        <w:tc>
          <w:tcPr>
            <w:tcW w:w="1157" w:type="dxa"/>
            <w:vAlign w:val="center"/>
          </w:tcPr>
          <w:p w14:paraId="063D1A9F" w14:textId="77777777" w:rsidR="00A5542D" w:rsidRPr="00A5542D" w:rsidRDefault="00A5542D" w:rsidP="00AB3560">
            <w:pPr>
              <w:jc w:val="center"/>
              <w:rPr>
                <w:sz w:val="20"/>
                <w:szCs w:val="20"/>
              </w:rPr>
            </w:pPr>
            <w:r w:rsidRPr="00A5542D">
              <w:rPr>
                <w:sz w:val="20"/>
                <w:szCs w:val="20"/>
              </w:rPr>
              <w:t>£2m</w:t>
            </w:r>
          </w:p>
        </w:tc>
      </w:tr>
    </w:tbl>
    <w:p w14:paraId="235F11F6" w14:textId="77777777" w:rsidR="00A5542D" w:rsidRDefault="00A5542D" w:rsidP="0004046D">
      <w:pPr>
        <w:ind w:left="426"/>
        <w:jc w:val="both"/>
        <w:rPr>
          <w:bCs/>
        </w:rPr>
      </w:pPr>
    </w:p>
    <w:p w14:paraId="4829D9AF" w14:textId="77777777" w:rsidR="00A5542D" w:rsidRPr="00A5542D" w:rsidRDefault="00A5542D" w:rsidP="00A5542D">
      <w:pPr>
        <w:ind w:left="426"/>
        <w:jc w:val="both"/>
        <w:rPr>
          <w:b/>
          <w:bCs/>
        </w:rPr>
      </w:pPr>
      <w:r w:rsidRPr="00A5542D">
        <w:rPr>
          <w:bCs/>
        </w:rPr>
        <w:t>Long-term investments with no fixed maturity date include strategic pooled funds and real estate investment trusts but exclude money market funds and bank accounts with no fixed maturity date as these are considered short-term.</w:t>
      </w:r>
    </w:p>
    <w:p w14:paraId="3FD9F450" w14:textId="039C1103" w:rsidR="00CC3232" w:rsidRPr="00094298" w:rsidRDefault="00CC3232" w:rsidP="00A5542D">
      <w:pPr>
        <w:pStyle w:val="Heading1"/>
        <w:numPr>
          <w:ilvl w:val="0"/>
          <w:numId w:val="20"/>
        </w:numPr>
        <w:spacing w:before="360" w:after="240"/>
        <w:ind w:left="851" w:hanging="426"/>
        <w:rPr>
          <w:rFonts w:asciiTheme="minorBidi" w:hAnsiTheme="minorBidi" w:cstheme="minorBidi"/>
          <w:sz w:val="28"/>
          <w:szCs w:val="28"/>
        </w:rPr>
      </w:pPr>
      <w:bookmarkStart w:id="15" w:name="_Toc73025264"/>
      <w:bookmarkStart w:id="16" w:name="_Toc130486355"/>
      <w:r w:rsidRPr="00094298">
        <w:rPr>
          <w:rFonts w:asciiTheme="minorBidi" w:hAnsiTheme="minorBidi" w:cstheme="minorBidi"/>
          <w:sz w:val="28"/>
          <w:szCs w:val="28"/>
        </w:rPr>
        <w:lastRenderedPageBreak/>
        <w:t>Related Matters</w:t>
      </w:r>
      <w:bookmarkEnd w:id="15"/>
      <w:bookmarkEnd w:id="16"/>
    </w:p>
    <w:p w14:paraId="3B54950C" w14:textId="294FFB6A" w:rsidR="00CC3232" w:rsidRDefault="00CC3232" w:rsidP="0004046D">
      <w:pPr>
        <w:pStyle w:val="ListParagraph"/>
        <w:spacing w:after="240"/>
        <w:ind w:left="426"/>
        <w:jc w:val="both"/>
      </w:pPr>
      <w:r w:rsidRPr="0041076E">
        <w:t>The CIPFA Code requires the Authority to include the following in its treasury management strategy.</w:t>
      </w:r>
    </w:p>
    <w:p w14:paraId="27743AE8" w14:textId="1BBDECC3" w:rsidR="00DB39D8" w:rsidRPr="00DB39D8" w:rsidRDefault="00DB39D8" w:rsidP="00DB39D8">
      <w:pPr>
        <w:pStyle w:val="ListParagraph"/>
        <w:spacing w:after="240"/>
        <w:ind w:left="426"/>
        <w:jc w:val="both"/>
      </w:pPr>
      <w:r>
        <w:rPr>
          <w:b/>
          <w:bCs/>
        </w:rPr>
        <w:t>Liquidity Management</w:t>
      </w:r>
      <w:r w:rsidRPr="0041076E">
        <w:rPr>
          <w:b/>
          <w:bCs/>
        </w:rPr>
        <w:t>:</w:t>
      </w:r>
      <w:r>
        <w:rPr>
          <w:b/>
          <w:bCs/>
        </w:rPr>
        <w:t xml:space="preserve"> </w:t>
      </w:r>
      <w:r>
        <w:t xml:space="preserve">The Authority </w:t>
      </w:r>
      <w:r w:rsidR="005C31A3">
        <w:t xml:space="preserve">prepares a rolling </w:t>
      </w:r>
      <w:r w:rsidR="00263919">
        <w:t>12-month</w:t>
      </w:r>
      <w:r w:rsidR="005C31A3">
        <w:t xml:space="preserve"> cashflow report which is presented as part of the Finance Pack </w:t>
      </w:r>
      <w:r w:rsidR="00BF3FA9">
        <w:t>monthly</w:t>
      </w:r>
      <w:r w:rsidR="005C31A3">
        <w:t>. The forecast is</w:t>
      </w:r>
      <w:r w:rsidR="00263919">
        <w:t xml:space="preserve"> reviewed daily to ensure short term fluctuations in cashflow are identified and mitigating plans are put in place.</w:t>
      </w:r>
      <w:r w:rsidR="00BF3FA9">
        <w:t xml:space="preserve"> The Authority holds an appropriate level of highly liquid investments</w:t>
      </w:r>
      <w:r w:rsidR="00433801">
        <w:t xml:space="preserve"> to mitigate liquidity risk.</w:t>
      </w:r>
    </w:p>
    <w:p w14:paraId="4BF97DC8" w14:textId="7C6CE041" w:rsidR="00CC3232" w:rsidRPr="009D5371" w:rsidRDefault="00CC3232" w:rsidP="0004046D">
      <w:pPr>
        <w:pStyle w:val="ListParagraph"/>
        <w:spacing w:after="240"/>
        <w:ind w:left="426"/>
        <w:jc w:val="both"/>
        <w:rPr>
          <w:bCs/>
        </w:rPr>
      </w:pPr>
      <w:r w:rsidRPr="0041076E">
        <w:rPr>
          <w:b/>
          <w:bCs/>
        </w:rPr>
        <w:t>Financial Derivatives:</w:t>
      </w:r>
      <w:r w:rsidRPr="0041076E">
        <w:rPr>
          <w:bCs/>
          <w:i/>
          <w:color w:val="AF173B"/>
        </w:rPr>
        <w:t xml:space="preserve"> </w:t>
      </w:r>
      <w:r w:rsidRPr="0041076E">
        <w:rPr>
          <w:bCs/>
        </w:rPr>
        <w:t xml:space="preserve">In the absence of any explicit legal power to do so, the Authority will not use standalone financial derivatives (such as swaps, forwards, </w:t>
      </w:r>
      <w:r w:rsidR="00732B27" w:rsidRPr="0041076E">
        <w:rPr>
          <w:bCs/>
        </w:rPr>
        <w:t>futures,</w:t>
      </w:r>
      <w:r w:rsidRPr="0041076E">
        <w:rPr>
          <w:bCs/>
        </w:rPr>
        <w:t xml:space="preserve"> and options).  Derivatives embedded into loans and investments, including pooled </w:t>
      </w:r>
      <w:r w:rsidR="00732B27" w:rsidRPr="0041076E">
        <w:rPr>
          <w:bCs/>
        </w:rPr>
        <w:t>funds,</w:t>
      </w:r>
      <w:r w:rsidRPr="0041076E">
        <w:rPr>
          <w:bCs/>
        </w:rPr>
        <w:t xml:space="preserve"> and forward starting transactions, may be used, and the risks that they present will be managed in line with the overall treasury risk management strategy.</w:t>
      </w:r>
    </w:p>
    <w:p w14:paraId="3D5B3115" w14:textId="02A00F61" w:rsidR="00CC3232" w:rsidRDefault="00CC3232" w:rsidP="0004046D">
      <w:pPr>
        <w:pStyle w:val="ListParagraph"/>
        <w:spacing w:after="240"/>
        <w:ind w:left="426"/>
        <w:jc w:val="both"/>
      </w:pPr>
      <w:r w:rsidRPr="0041076E">
        <w:rPr>
          <w:b/>
        </w:rPr>
        <w:t>Markets in Financial Instruments Directive</w:t>
      </w:r>
      <w:r w:rsidRPr="0041076E">
        <w:t xml:space="preserve">: The Authority has retained </w:t>
      </w:r>
      <w:r w:rsidR="008E1E82">
        <w:t>professional</w:t>
      </w:r>
      <w:r w:rsidR="008E1E82" w:rsidRPr="0041076E">
        <w:t xml:space="preserve"> </w:t>
      </w:r>
      <w:r w:rsidRPr="0041076E">
        <w:t xml:space="preserve">client status with its providers of financial services, including advisers, banks, </w:t>
      </w:r>
      <w:proofErr w:type="gramStart"/>
      <w:r w:rsidRPr="0041076E">
        <w:t>brokers</w:t>
      </w:r>
      <w:proofErr w:type="gramEnd"/>
      <w:r w:rsidRPr="0041076E">
        <w:t xml:space="preserve"> and fund managers, allowing it access to a</w:t>
      </w:r>
      <w:r w:rsidRPr="0041076E">
        <w:rPr>
          <w:color w:val="AF173B"/>
        </w:rPr>
        <w:t xml:space="preserve"> </w:t>
      </w:r>
      <w:r w:rsidRPr="0041076E">
        <w:t xml:space="preserve">smaller range of services but with the greater regulatory protections afforded to individuals and small companies. Given the size and range of the Authority’s treasury management activities, the </w:t>
      </w:r>
      <w:r w:rsidRPr="0041076E">
        <w:rPr>
          <w:bCs/>
        </w:rPr>
        <w:t xml:space="preserve">Chief Financial Officer </w:t>
      </w:r>
      <w:r w:rsidRPr="0041076E">
        <w:t>believes this to be the most appropriate status.</w:t>
      </w:r>
    </w:p>
    <w:p w14:paraId="6E76BAC8" w14:textId="77777777" w:rsidR="00CC3232" w:rsidRPr="0041076E" w:rsidRDefault="00CC3232" w:rsidP="0004046D">
      <w:pPr>
        <w:pStyle w:val="ListParagraph"/>
        <w:spacing w:before="400"/>
        <w:ind w:left="426"/>
        <w:jc w:val="both"/>
        <w:rPr>
          <w:b/>
          <w:u w:val="single"/>
        </w:rPr>
      </w:pPr>
      <w:r w:rsidRPr="0041076E">
        <w:rPr>
          <w:b/>
          <w:u w:val="single"/>
        </w:rPr>
        <w:t>Financial Implications</w:t>
      </w:r>
    </w:p>
    <w:p w14:paraId="5BE887C9" w14:textId="62242280" w:rsidR="00CC3232" w:rsidRDefault="00CC3232" w:rsidP="0004046D">
      <w:pPr>
        <w:pStyle w:val="ListParagraph"/>
        <w:ind w:left="426"/>
        <w:jc w:val="both"/>
      </w:pPr>
      <w:r w:rsidRPr="001D023C">
        <w:t>The forecast for investment income in 202</w:t>
      </w:r>
      <w:r w:rsidR="00433801">
        <w:t>3</w:t>
      </w:r>
      <w:r w:rsidRPr="001D023C">
        <w:t>/2</w:t>
      </w:r>
      <w:r w:rsidR="00433801">
        <w:t>4</w:t>
      </w:r>
      <w:r w:rsidRPr="001D023C">
        <w:t xml:space="preserve"> is £</w:t>
      </w:r>
      <w:r w:rsidR="00725BBC">
        <w:t>3</w:t>
      </w:r>
      <w:r w:rsidR="00D60DC8">
        <w:t>3</w:t>
      </w:r>
      <w:r w:rsidR="0073679E">
        <w:t>0</w:t>
      </w:r>
      <w:r w:rsidRPr="001D023C">
        <w:t>k, based on an average investment portfolio of £1</w:t>
      </w:r>
      <w:r w:rsidR="00D60DC8">
        <w:t>1</w:t>
      </w:r>
      <w:r w:rsidRPr="001D023C">
        <w:t xml:space="preserve"> million at an interest rate of </w:t>
      </w:r>
      <w:r w:rsidR="00D60DC8">
        <w:t>3</w:t>
      </w:r>
      <w:r w:rsidRPr="001D023C">
        <w:t>.</w:t>
      </w:r>
      <w:r w:rsidR="00D60DC8">
        <w:t>0</w:t>
      </w:r>
      <w:r w:rsidRPr="001D023C">
        <w:t>%. The forecast for debt interest paid in 202</w:t>
      </w:r>
      <w:r w:rsidR="0073679E">
        <w:t>3</w:t>
      </w:r>
      <w:r w:rsidRPr="001D023C">
        <w:t>/2</w:t>
      </w:r>
      <w:r w:rsidR="0073679E">
        <w:t>4</w:t>
      </w:r>
      <w:r w:rsidRPr="001D023C">
        <w:t xml:space="preserve"> is £1.1</w:t>
      </w:r>
      <w:r w:rsidR="008A4DF6">
        <w:t xml:space="preserve"> </w:t>
      </w:r>
      <w:r w:rsidRPr="001D023C">
        <w:t>million, based on an average debt portfolio of £2</w:t>
      </w:r>
      <w:r w:rsidR="0073679E">
        <w:t>3</w:t>
      </w:r>
      <w:r w:rsidRPr="001D023C">
        <w:t>.5 million at an average interest rate of 4.7%.  If actual levels of investments and borrowing, or actual interest rates, differ from those forecasts, performance against budget will be c</w:t>
      </w:r>
      <w:r w:rsidR="004E6BDD">
        <w:t>o</w:t>
      </w:r>
      <w:r w:rsidRPr="001D023C">
        <w:t>rrespondingly different.</w:t>
      </w:r>
    </w:p>
    <w:p w14:paraId="2FBFE50D" w14:textId="77777777" w:rsidR="004E6BDD" w:rsidRDefault="004E6BDD" w:rsidP="0004046D">
      <w:pPr>
        <w:pStyle w:val="ListParagraph"/>
        <w:ind w:left="426"/>
        <w:jc w:val="both"/>
      </w:pPr>
    </w:p>
    <w:p w14:paraId="3B9F48F2" w14:textId="77777777" w:rsidR="004E6BDD" w:rsidRDefault="004E6BDD" w:rsidP="0004046D">
      <w:pPr>
        <w:pStyle w:val="ListParagraph"/>
        <w:spacing w:after="240"/>
        <w:ind w:left="426"/>
        <w:jc w:val="both"/>
        <w:rPr>
          <w:b/>
          <w:u w:val="single"/>
        </w:rPr>
      </w:pPr>
    </w:p>
    <w:p w14:paraId="21F143D4" w14:textId="77777777" w:rsidR="004E6BDD" w:rsidRDefault="004E6BDD" w:rsidP="0004046D">
      <w:pPr>
        <w:pStyle w:val="ListParagraph"/>
        <w:spacing w:after="240"/>
        <w:ind w:left="426"/>
        <w:jc w:val="both"/>
        <w:rPr>
          <w:b/>
          <w:u w:val="single"/>
        </w:rPr>
      </w:pPr>
    </w:p>
    <w:p w14:paraId="5962DF42" w14:textId="77777777" w:rsidR="004E6BDD" w:rsidRDefault="004E6BDD" w:rsidP="0004046D">
      <w:pPr>
        <w:pStyle w:val="ListParagraph"/>
        <w:spacing w:after="240"/>
        <w:ind w:left="426"/>
        <w:jc w:val="both"/>
        <w:rPr>
          <w:b/>
          <w:u w:val="single"/>
        </w:rPr>
      </w:pPr>
    </w:p>
    <w:p w14:paraId="50700717" w14:textId="77777777" w:rsidR="00A5542D" w:rsidRDefault="00A5542D" w:rsidP="0004046D">
      <w:pPr>
        <w:pStyle w:val="ListParagraph"/>
        <w:spacing w:after="240"/>
        <w:ind w:left="426"/>
        <w:jc w:val="both"/>
        <w:rPr>
          <w:b/>
          <w:u w:val="single"/>
        </w:rPr>
        <w:sectPr w:rsidR="00A5542D" w:rsidSect="00B70DBE">
          <w:pgSz w:w="16838" w:h="11906" w:orient="landscape" w:code="9"/>
          <w:pgMar w:top="1276" w:right="1134" w:bottom="1134" w:left="142" w:header="709" w:footer="709" w:gutter="0"/>
          <w:cols w:space="708"/>
          <w:titlePg/>
          <w:docGrid w:linePitch="360"/>
        </w:sectPr>
      </w:pPr>
    </w:p>
    <w:p w14:paraId="02AE110D" w14:textId="68BE4EBE" w:rsidR="00CC3232" w:rsidRPr="0041076E" w:rsidRDefault="00CC3232" w:rsidP="0004046D">
      <w:pPr>
        <w:pStyle w:val="ListParagraph"/>
        <w:spacing w:after="240"/>
        <w:ind w:left="426"/>
        <w:jc w:val="both"/>
        <w:rPr>
          <w:b/>
          <w:u w:val="single"/>
        </w:rPr>
      </w:pPr>
      <w:r w:rsidRPr="0041076E">
        <w:rPr>
          <w:b/>
          <w:u w:val="single"/>
        </w:rPr>
        <w:lastRenderedPageBreak/>
        <w:t>Other Options Considered</w:t>
      </w:r>
    </w:p>
    <w:p w14:paraId="6AD0C9D4" w14:textId="77777777" w:rsidR="00CC3232" w:rsidRDefault="00CC3232" w:rsidP="0004046D">
      <w:pPr>
        <w:ind w:left="426"/>
        <w:jc w:val="both"/>
        <w:rPr>
          <w:bCs/>
        </w:rPr>
      </w:pPr>
      <w:r w:rsidRPr="0041076E">
        <w:rPr>
          <w:bCs/>
        </w:rPr>
        <w:t xml:space="preserve">The CIPFA Code does not prescribe any </w:t>
      </w:r>
      <w:proofErr w:type="gramStart"/>
      <w:r w:rsidRPr="0041076E">
        <w:rPr>
          <w:bCs/>
        </w:rPr>
        <w:t>particular treasury</w:t>
      </w:r>
      <w:proofErr w:type="gramEnd"/>
      <w:r w:rsidRPr="0041076E">
        <w:rPr>
          <w:bCs/>
        </w:rPr>
        <w:t xml:space="preserve"> management strategy for local authorities to adopt. The Chief Financial Officer, having consulted the Commissioner, believes that the above strategy represents an appropriate balance between risk management and cost effectiveness.  Some alternative strategies, with their financial and risk management implications, are listed below.</w:t>
      </w:r>
    </w:p>
    <w:p w14:paraId="5504BF1D" w14:textId="77777777" w:rsidR="00732B27" w:rsidRDefault="00732B27" w:rsidP="0004046D">
      <w:pPr>
        <w:ind w:left="426"/>
        <w:jc w:val="both"/>
        <w:rPr>
          <w:bCs/>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81"/>
        <w:gridCol w:w="3473"/>
      </w:tblGrid>
      <w:tr w:rsidR="00CC3232" w:rsidRPr="0041076E" w14:paraId="3009FBDC" w14:textId="77777777" w:rsidTr="001A5090">
        <w:tc>
          <w:tcPr>
            <w:tcW w:w="2659" w:type="dxa"/>
          </w:tcPr>
          <w:p w14:paraId="7D136B11" w14:textId="77777777" w:rsidR="00CC3232" w:rsidRPr="0041076E" w:rsidRDefault="00CC3232" w:rsidP="00D6744D">
            <w:pPr>
              <w:jc w:val="center"/>
              <w:rPr>
                <w:b/>
                <w:lang w:eastAsia="en-GB"/>
              </w:rPr>
            </w:pPr>
            <w:r w:rsidRPr="0041076E">
              <w:rPr>
                <w:b/>
                <w:lang w:eastAsia="en-GB"/>
              </w:rPr>
              <w:t>Alternative</w:t>
            </w:r>
          </w:p>
        </w:tc>
        <w:tc>
          <w:tcPr>
            <w:tcW w:w="3081" w:type="dxa"/>
          </w:tcPr>
          <w:p w14:paraId="6CFF745E" w14:textId="77777777" w:rsidR="00CC3232" w:rsidRPr="0041076E" w:rsidRDefault="00CC3232" w:rsidP="00D6744D">
            <w:pPr>
              <w:jc w:val="center"/>
              <w:rPr>
                <w:b/>
                <w:lang w:eastAsia="en-GB"/>
              </w:rPr>
            </w:pPr>
            <w:r w:rsidRPr="0041076E">
              <w:rPr>
                <w:b/>
                <w:lang w:eastAsia="en-GB"/>
              </w:rPr>
              <w:t>Impact on income and expenditure</w:t>
            </w:r>
          </w:p>
        </w:tc>
        <w:tc>
          <w:tcPr>
            <w:tcW w:w="3473" w:type="dxa"/>
          </w:tcPr>
          <w:p w14:paraId="1F202A78" w14:textId="77777777" w:rsidR="00CC3232" w:rsidRPr="0041076E" w:rsidRDefault="00CC3232" w:rsidP="00D6744D">
            <w:pPr>
              <w:jc w:val="center"/>
              <w:rPr>
                <w:b/>
                <w:lang w:eastAsia="en-GB"/>
              </w:rPr>
            </w:pPr>
            <w:r w:rsidRPr="0041076E">
              <w:rPr>
                <w:b/>
                <w:lang w:eastAsia="en-GB"/>
              </w:rPr>
              <w:t>Impact on risk management</w:t>
            </w:r>
          </w:p>
        </w:tc>
      </w:tr>
      <w:tr w:rsidR="00CC3232" w:rsidRPr="0041076E" w14:paraId="6E298187" w14:textId="77777777" w:rsidTr="001A5090">
        <w:tc>
          <w:tcPr>
            <w:tcW w:w="2659" w:type="dxa"/>
          </w:tcPr>
          <w:p w14:paraId="0A0FFE97" w14:textId="77777777" w:rsidR="00CC3232" w:rsidRPr="0041076E" w:rsidRDefault="00CC3232" w:rsidP="00D6744D">
            <w:pPr>
              <w:rPr>
                <w:lang w:eastAsia="en-GB"/>
              </w:rPr>
            </w:pPr>
            <w:r w:rsidRPr="0041076E">
              <w:rPr>
                <w:lang w:eastAsia="en-GB"/>
              </w:rPr>
              <w:t>Invest in a narrower range of counterparties and/or for shorter times</w:t>
            </w:r>
          </w:p>
        </w:tc>
        <w:tc>
          <w:tcPr>
            <w:tcW w:w="3081" w:type="dxa"/>
          </w:tcPr>
          <w:p w14:paraId="22A6AE44" w14:textId="77777777" w:rsidR="00CC3232" w:rsidRPr="0041076E" w:rsidRDefault="00CC3232" w:rsidP="00D6744D">
            <w:pPr>
              <w:rPr>
                <w:lang w:eastAsia="en-GB"/>
              </w:rPr>
            </w:pPr>
            <w:r w:rsidRPr="0041076E">
              <w:rPr>
                <w:lang w:eastAsia="en-GB"/>
              </w:rPr>
              <w:t>Interest income will be lower</w:t>
            </w:r>
          </w:p>
        </w:tc>
        <w:tc>
          <w:tcPr>
            <w:tcW w:w="3473" w:type="dxa"/>
          </w:tcPr>
          <w:p w14:paraId="6C0901E2" w14:textId="77777777" w:rsidR="00CC3232" w:rsidRDefault="00CC3232" w:rsidP="00D6744D">
            <w:pPr>
              <w:rPr>
                <w:lang w:eastAsia="en-GB"/>
              </w:rPr>
            </w:pPr>
            <w:r w:rsidRPr="0041076E">
              <w:rPr>
                <w:lang w:eastAsia="en-GB"/>
              </w:rPr>
              <w:t xml:space="preserve">Lower chance of losses from credit related defaults, but any such losses may be </w:t>
            </w:r>
            <w:proofErr w:type="gramStart"/>
            <w:r w:rsidRPr="0041076E">
              <w:rPr>
                <w:lang w:eastAsia="en-GB"/>
              </w:rPr>
              <w:t>greater</w:t>
            </w:r>
            <w:proofErr w:type="gramEnd"/>
          </w:p>
          <w:p w14:paraId="6F781E26" w14:textId="0B80ECCC" w:rsidR="0050744A" w:rsidRPr="0041076E" w:rsidRDefault="0050744A" w:rsidP="00D6744D">
            <w:pPr>
              <w:rPr>
                <w:lang w:eastAsia="en-GB"/>
              </w:rPr>
            </w:pPr>
          </w:p>
        </w:tc>
      </w:tr>
      <w:tr w:rsidR="00CC3232" w:rsidRPr="0041076E" w14:paraId="2AC88DBA" w14:textId="77777777" w:rsidTr="001A5090">
        <w:tc>
          <w:tcPr>
            <w:tcW w:w="2659" w:type="dxa"/>
          </w:tcPr>
          <w:p w14:paraId="495AFD45" w14:textId="77777777" w:rsidR="00CC3232" w:rsidRPr="0041076E" w:rsidRDefault="00CC3232" w:rsidP="00D6744D">
            <w:pPr>
              <w:rPr>
                <w:lang w:eastAsia="en-GB"/>
              </w:rPr>
            </w:pPr>
            <w:r w:rsidRPr="0041076E">
              <w:rPr>
                <w:lang w:eastAsia="en-GB"/>
              </w:rPr>
              <w:t>Invest in a wider range of counterparties and/or for longer times</w:t>
            </w:r>
          </w:p>
        </w:tc>
        <w:tc>
          <w:tcPr>
            <w:tcW w:w="3081" w:type="dxa"/>
          </w:tcPr>
          <w:p w14:paraId="42B32931" w14:textId="77777777" w:rsidR="00CC3232" w:rsidRPr="0041076E" w:rsidRDefault="00CC3232" w:rsidP="00D6744D">
            <w:pPr>
              <w:rPr>
                <w:lang w:eastAsia="en-GB"/>
              </w:rPr>
            </w:pPr>
            <w:r w:rsidRPr="0041076E">
              <w:rPr>
                <w:lang w:eastAsia="en-GB"/>
              </w:rPr>
              <w:t>Interest income will be higher</w:t>
            </w:r>
          </w:p>
        </w:tc>
        <w:tc>
          <w:tcPr>
            <w:tcW w:w="3473" w:type="dxa"/>
          </w:tcPr>
          <w:p w14:paraId="7A403011" w14:textId="77777777" w:rsidR="00CC3232" w:rsidRDefault="00CC3232" w:rsidP="00D6744D">
            <w:pPr>
              <w:rPr>
                <w:lang w:eastAsia="en-GB"/>
              </w:rPr>
            </w:pPr>
            <w:r w:rsidRPr="0041076E">
              <w:rPr>
                <w:lang w:eastAsia="en-GB"/>
              </w:rPr>
              <w:t xml:space="preserve">Increased risk of losses from credit related defaults, but any such losses may be </w:t>
            </w:r>
            <w:proofErr w:type="gramStart"/>
            <w:r w:rsidRPr="0041076E">
              <w:rPr>
                <w:lang w:eastAsia="en-GB"/>
              </w:rPr>
              <w:t>smaller</w:t>
            </w:r>
            <w:proofErr w:type="gramEnd"/>
          </w:p>
          <w:p w14:paraId="6E401091" w14:textId="3F35490C" w:rsidR="0050744A" w:rsidRPr="0041076E" w:rsidRDefault="0050744A" w:rsidP="00D6744D">
            <w:pPr>
              <w:rPr>
                <w:lang w:eastAsia="en-GB"/>
              </w:rPr>
            </w:pPr>
          </w:p>
        </w:tc>
      </w:tr>
      <w:tr w:rsidR="00CC3232" w:rsidRPr="0041076E" w14:paraId="21BA7F9E" w14:textId="77777777" w:rsidTr="001A5090">
        <w:tc>
          <w:tcPr>
            <w:tcW w:w="2659" w:type="dxa"/>
          </w:tcPr>
          <w:p w14:paraId="6AF1E692" w14:textId="77777777" w:rsidR="00CC3232" w:rsidRPr="0041076E" w:rsidRDefault="00CC3232" w:rsidP="00D6744D">
            <w:pPr>
              <w:rPr>
                <w:lang w:eastAsia="en-GB"/>
              </w:rPr>
            </w:pPr>
            <w:r w:rsidRPr="0041076E">
              <w:rPr>
                <w:lang w:eastAsia="en-GB"/>
              </w:rPr>
              <w:t>Borrow additional sums at long-term fixed interest rates</w:t>
            </w:r>
          </w:p>
        </w:tc>
        <w:tc>
          <w:tcPr>
            <w:tcW w:w="3081" w:type="dxa"/>
          </w:tcPr>
          <w:p w14:paraId="5D274C40" w14:textId="77777777" w:rsidR="00CC3232" w:rsidRPr="0041076E" w:rsidRDefault="00CC3232" w:rsidP="00D6744D">
            <w:pPr>
              <w:rPr>
                <w:lang w:eastAsia="en-GB"/>
              </w:rPr>
            </w:pPr>
            <w:r w:rsidRPr="0041076E">
              <w:rPr>
                <w:lang w:eastAsia="en-GB"/>
              </w:rPr>
              <w:t>Debt interest costs will rise; this is unlikely to be offset by higher investment income</w:t>
            </w:r>
          </w:p>
        </w:tc>
        <w:tc>
          <w:tcPr>
            <w:tcW w:w="3473" w:type="dxa"/>
          </w:tcPr>
          <w:p w14:paraId="695118AA" w14:textId="77777777" w:rsidR="00CC3232" w:rsidRDefault="00CC3232" w:rsidP="00D6744D">
            <w:pPr>
              <w:rPr>
                <w:lang w:eastAsia="en-GB"/>
              </w:rPr>
            </w:pPr>
            <w:r w:rsidRPr="0041076E">
              <w:rPr>
                <w:lang w:eastAsia="en-GB"/>
              </w:rPr>
              <w:t xml:space="preserve">Higher investment balance leading to a higher impact in the event of a default; however long-term interest costs may be more </w:t>
            </w:r>
            <w:proofErr w:type="gramStart"/>
            <w:r w:rsidRPr="0041076E">
              <w:rPr>
                <w:lang w:eastAsia="en-GB"/>
              </w:rPr>
              <w:t>certain</w:t>
            </w:r>
            <w:proofErr w:type="gramEnd"/>
          </w:p>
          <w:p w14:paraId="2A7E0291" w14:textId="77777777" w:rsidR="001162E6" w:rsidRDefault="001162E6" w:rsidP="00D6744D">
            <w:pPr>
              <w:rPr>
                <w:lang w:eastAsia="en-GB"/>
              </w:rPr>
            </w:pPr>
          </w:p>
          <w:p w14:paraId="47A50B97" w14:textId="02D46D9E" w:rsidR="0050744A" w:rsidRPr="0041076E" w:rsidRDefault="0050744A" w:rsidP="00D6744D">
            <w:pPr>
              <w:rPr>
                <w:lang w:eastAsia="en-GB"/>
              </w:rPr>
            </w:pPr>
          </w:p>
        </w:tc>
      </w:tr>
      <w:tr w:rsidR="00CC3232" w:rsidRPr="0041076E" w14:paraId="7B6ABD2A" w14:textId="77777777" w:rsidTr="001A5090">
        <w:tc>
          <w:tcPr>
            <w:tcW w:w="2659" w:type="dxa"/>
          </w:tcPr>
          <w:p w14:paraId="0ABE891F" w14:textId="77777777" w:rsidR="00CC3232" w:rsidRPr="0041076E" w:rsidRDefault="00CC3232" w:rsidP="00D6744D">
            <w:pPr>
              <w:rPr>
                <w:lang w:eastAsia="en-GB"/>
              </w:rPr>
            </w:pPr>
            <w:r w:rsidRPr="0041076E">
              <w:rPr>
                <w:lang w:eastAsia="en-GB"/>
              </w:rPr>
              <w:t>Borrow short-term or variable loans instead of long-term fixed rates</w:t>
            </w:r>
          </w:p>
        </w:tc>
        <w:tc>
          <w:tcPr>
            <w:tcW w:w="3081" w:type="dxa"/>
          </w:tcPr>
          <w:p w14:paraId="4A9F30FE" w14:textId="77777777" w:rsidR="00CC3232" w:rsidRPr="0041076E" w:rsidRDefault="00CC3232" w:rsidP="00D6744D">
            <w:pPr>
              <w:rPr>
                <w:lang w:eastAsia="en-GB"/>
              </w:rPr>
            </w:pPr>
            <w:r w:rsidRPr="0041076E">
              <w:rPr>
                <w:lang w:eastAsia="en-GB"/>
              </w:rPr>
              <w:t>Debt interest costs will initially be lower</w:t>
            </w:r>
          </w:p>
        </w:tc>
        <w:tc>
          <w:tcPr>
            <w:tcW w:w="3473" w:type="dxa"/>
          </w:tcPr>
          <w:p w14:paraId="58276C18" w14:textId="77777777" w:rsidR="00CC3232" w:rsidRPr="0041076E" w:rsidRDefault="00CC3232" w:rsidP="00D6744D">
            <w:pPr>
              <w:rPr>
                <w:lang w:eastAsia="en-GB"/>
              </w:rPr>
            </w:pPr>
            <w:r w:rsidRPr="0041076E">
              <w:rPr>
                <w:lang w:eastAsia="en-GB"/>
              </w:rPr>
              <w:t xml:space="preserve">Increases in debt interest costs will be broadly offset by rising investment income in the medium term, but long-term costs may be less certain </w:t>
            </w:r>
          </w:p>
        </w:tc>
      </w:tr>
      <w:tr w:rsidR="00CC3232" w:rsidRPr="0041076E" w14:paraId="4AD2D14A" w14:textId="77777777" w:rsidTr="001A5090">
        <w:tc>
          <w:tcPr>
            <w:tcW w:w="2659" w:type="dxa"/>
          </w:tcPr>
          <w:p w14:paraId="48E7FC67" w14:textId="77777777" w:rsidR="00CC3232" w:rsidRPr="0041076E" w:rsidRDefault="00CC3232" w:rsidP="00D6744D">
            <w:pPr>
              <w:rPr>
                <w:lang w:eastAsia="en-GB"/>
              </w:rPr>
            </w:pPr>
            <w:r w:rsidRPr="0041076E">
              <w:rPr>
                <w:lang w:eastAsia="en-GB"/>
              </w:rPr>
              <w:t xml:space="preserve">Reduce level of borrowing </w:t>
            </w:r>
          </w:p>
        </w:tc>
        <w:tc>
          <w:tcPr>
            <w:tcW w:w="3081" w:type="dxa"/>
          </w:tcPr>
          <w:p w14:paraId="06CAD6E9" w14:textId="77777777" w:rsidR="00CC3232" w:rsidRPr="0041076E" w:rsidRDefault="00CC3232" w:rsidP="00D6744D">
            <w:pPr>
              <w:rPr>
                <w:lang w:eastAsia="en-GB"/>
              </w:rPr>
            </w:pPr>
            <w:r w:rsidRPr="0041076E">
              <w:rPr>
                <w:lang w:eastAsia="en-GB"/>
              </w:rPr>
              <w:t>Saving on debt interest is likely to exceed lost investment income</w:t>
            </w:r>
          </w:p>
        </w:tc>
        <w:tc>
          <w:tcPr>
            <w:tcW w:w="3473" w:type="dxa"/>
          </w:tcPr>
          <w:p w14:paraId="2EA353CE" w14:textId="77777777" w:rsidR="00CC3232" w:rsidRPr="0041076E" w:rsidRDefault="00CC3232" w:rsidP="00D6744D">
            <w:pPr>
              <w:rPr>
                <w:lang w:eastAsia="en-GB"/>
              </w:rPr>
            </w:pPr>
            <w:r w:rsidRPr="0041076E">
              <w:rPr>
                <w:lang w:eastAsia="en-GB"/>
              </w:rPr>
              <w:t>Reduced investment balance leading to a lower impact in the event of a default; however long-term interest costs may be less certain</w:t>
            </w:r>
          </w:p>
        </w:tc>
      </w:tr>
    </w:tbl>
    <w:p w14:paraId="7BE6386B" w14:textId="720D2EEF" w:rsidR="0041128E" w:rsidRPr="0041128E" w:rsidRDefault="0041128E" w:rsidP="0041128E">
      <w:pPr>
        <w:rPr>
          <w:rFonts w:asciiTheme="minorBidi" w:hAnsiTheme="minorBidi" w:cstheme="minorBidi"/>
        </w:rPr>
        <w:sectPr w:rsidR="0041128E" w:rsidRPr="0041128E" w:rsidSect="00B70DBE">
          <w:pgSz w:w="16838" w:h="11906" w:orient="landscape" w:code="9"/>
          <w:pgMar w:top="1276" w:right="1134" w:bottom="1134" w:left="142" w:header="709" w:footer="709" w:gutter="0"/>
          <w:cols w:space="708"/>
          <w:titlePg/>
          <w:docGrid w:linePitch="360"/>
        </w:sectPr>
      </w:pPr>
    </w:p>
    <w:p w14:paraId="329ADB92" w14:textId="47013D73" w:rsidR="00CC3232" w:rsidRPr="00C70D42" w:rsidRDefault="001162E6" w:rsidP="00C70D42">
      <w:pPr>
        <w:pStyle w:val="Heading1"/>
        <w:spacing w:before="0" w:after="240"/>
        <w:rPr>
          <w:rFonts w:asciiTheme="minorBidi" w:hAnsiTheme="minorBidi" w:cstheme="minorBidi"/>
          <w:sz w:val="28"/>
          <w:szCs w:val="28"/>
        </w:rPr>
      </w:pPr>
      <w:bookmarkStart w:id="17" w:name="_Toc73025265"/>
      <w:bookmarkStart w:id="18" w:name="_Toc130486356"/>
      <w:r w:rsidRPr="00C70D42">
        <w:rPr>
          <w:rFonts w:asciiTheme="minorBidi" w:hAnsiTheme="minorBidi" w:cstheme="minorBidi"/>
          <w:sz w:val="28"/>
          <w:szCs w:val="28"/>
        </w:rPr>
        <w:lastRenderedPageBreak/>
        <w:t>A</w:t>
      </w:r>
      <w:r w:rsidR="00CC3232" w:rsidRPr="00C70D42">
        <w:rPr>
          <w:rFonts w:asciiTheme="minorBidi" w:hAnsiTheme="minorBidi" w:cstheme="minorBidi"/>
          <w:sz w:val="28"/>
          <w:szCs w:val="28"/>
        </w:rPr>
        <w:t xml:space="preserve">ppendix A – </w:t>
      </w:r>
      <w:proofErr w:type="spellStart"/>
      <w:r w:rsidR="00CC3232" w:rsidRPr="00C70D42">
        <w:rPr>
          <w:rFonts w:asciiTheme="minorBidi" w:hAnsiTheme="minorBidi" w:cstheme="minorBidi"/>
          <w:sz w:val="28"/>
          <w:szCs w:val="28"/>
        </w:rPr>
        <w:t>Arlingclose</w:t>
      </w:r>
      <w:proofErr w:type="spellEnd"/>
      <w:r w:rsidR="00CC3232" w:rsidRPr="00C70D42">
        <w:rPr>
          <w:rFonts w:asciiTheme="minorBidi" w:hAnsiTheme="minorBidi" w:cstheme="minorBidi"/>
          <w:sz w:val="28"/>
          <w:szCs w:val="28"/>
        </w:rPr>
        <w:t xml:space="preserve"> Economic &amp; Interest Rate Forecast –</w:t>
      </w:r>
      <w:r w:rsidR="00B57784">
        <w:rPr>
          <w:rFonts w:asciiTheme="minorBidi" w:hAnsiTheme="minorBidi" w:cstheme="minorBidi"/>
          <w:sz w:val="28"/>
          <w:szCs w:val="28"/>
        </w:rPr>
        <w:t>December 2022</w:t>
      </w:r>
      <w:bookmarkEnd w:id="18"/>
      <w:r w:rsidR="00B57784">
        <w:rPr>
          <w:rFonts w:asciiTheme="minorBidi" w:hAnsiTheme="minorBidi" w:cstheme="minorBidi"/>
          <w:sz w:val="28"/>
          <w:szCs w:val="28"/>
        </w:rPr>
        <w:t xml:space="preserve"> </w:t>
      </w:r>
      <w:bookmarkEnd w:id="17"/>
    </w:p>
    <w:p w14:paraId="7747A5FF" w14:textId="4ECB4F5F" w:rsidR="009C11B3" w:rsidRPr="004E6BDD" w:rsidRDefault="002D7DD7" w:rsidP="004E6BDD">
      <w:pPr>
        <w:jc w:val="both"/>
        <w:rPr>
          <w:b/>
        </w:rPr>
      </w:pPr>
      <w:r w:rsidRPr="002D7DD7">
        <w:rPr>
          <w:b/>
        </w:rPr>
        <w:t xml:space="preserve">Underlying assumptions: </w:t>
      </w:r>
    </w:p>
    <w:p w14:paraId="74E950EB" w14:textId="77777777" w:rsidR="002D7DD7" w:rsidRPr="0004046D" w:rsidRDefault="002D7DD7" w:rsidP="002D7DD7">
      <w:pPr>
        <w:jc w:val="both"/>
        <w:rPr>
          <w:bCs/>
        </w:rPr>
      </w:pPr>
    </w:p>
    <w:p w14:paraId="7A7018B8" w14:textId="77777777" w:rsidR="009C11B3" w:rsidRDefault="009C11B3" w:rsidP="009C11B3">
      <w:pPr>
        <w:numPr>
          <w:ilvl w:val="0"/>
          <w:numId w:val="5"/>
        </w:numPr>
        <w:jc w:val="both"/>
      </w:pPr>
      <w:r>
        <w:t xml:space="preserve">The influence of the </w:t>
      </w:r>
      <w:proofErr w:type="gramStart"/>
      <w:r>
        <w:t>mini-budget</w:t>
      </w:r>
      <w:proofErr w:type="gramEnd"/>
      <w:r>
        <w:t xml:space="preserve"> on rates and yields continues to wane following the more responsible approach shown by the new incumbents of Downing Street. </w:t>
      </w:r>
    </w:p>
    <w:p w14:paraId="39713E75" w14:textId="77777777" w:rsidR="009C11B3" w:rsidRDefault="009C11B3" w:rsidP="009C11B3">
      <w:pPr>
        <w:numPr>
          <w:ilvl w:val="0"/>
          <w:numId w:val="5"/>
        </w:numPr>
        <w:jc w:val="both"/>
      </w:pPr>
      <w:r>
        <w:t>Volatility in global markets continues, however, as investors seek the extent to which central banks are willing to tighten policy, as evidence of recessionary conditions builds. Investors have been more willing to price in the downturn in growth, easing financial conditions, to the displeasure of policymakers. This raises the risk that central banks will incur a policy error by tightening too much.</w:t>
      </w:r>
    </w:p>
    <w:p w14:paraId="4875F2D5" w14:textId="77777777" w:rsidR="009C11B3" w:rsidRDefault="009C11B3" w:rsidP="009C11B3">
      <w:pPr>
        <w:numPr>
          <w:ilvl w:val="0"/>
          <w:numId w:val="5"/>
        </w:numPr>
        <w:jc w:val="both"/>
      </w:pPr>
      <w:r>
        <w:t>The UK economy is already experiencing recessionary conditions and recent GDP and PMI data suggests the economy entered a technical recession in Q3 2022. The resilience shown by the economy has been surprising, despite the downturn in business activity and household spending. Lower demand should bear down on business pricing power – recent data suggests the UK has passed peak inflation.</w:t>
      </w:r>
    </w:p>
    <w:p w14:paraId="6FF1B788" w14:textId="77777777" w:rsidR="009C11B3" w:rsidRDefault="009C11B3" w:rsidP="009C11B3">
      <w:pPr>
        <w:numPr>
          <w:ilvl w:val="0"/>
          <w:numId w:val="5"/>
        </w:numPr>
        <w:jc w:val="both"/>
      </w:pPr>
      <w:r>
        <w:t xml:space="preserve">The lagged effect of the sharp tightening of monetary policy, and the lingering effects of the </w:t>
      </w:r>
      <w:proofErr w:type="gramStart"/>
      <w:r>
        <w:t>mini-budget</w:t>
      </w:r>
      <w:proofErr w:type="gramEnd"/>
      <w:r>
        <w:t xml:space="preserve"> on the housing market, widespread strike action, alongside high inflation, will continue to put pressure on household disposable income and wealth. The short- to medium-term outlook for the UK economy remains bleak.</w:t>
      </w:r>
    </w:p>
    <w:p w14:paraId="271ADAAA" w14:textId="77777777" w:rsidR="009C11B3" w:rsidRDefault="009C11B3" w:rsidP="009C11B3">
      <w:pPr>
        <w:numPr>
          <w:ilvl w:val="0"/>
          <w:numId w:val="5"/>
        </w:numPr>
        <w:jc w:val="both"/>
      </w:pPr>
      <w:r>
        <w:t>Demand for labour appears to be ebbing, but not quickly enough in the official data for most MPC policymakers. The labour market remains the bright spot in the economy and persisting employment strength may support activity, although there is a feeling of borrowed time. The MPC focus is on nominal wage growth, despite the huge real term pay cuts being experienced by the vast majority. Bank Rate will remain relatively high(er) until both inflation and wage growth declines.</w:t>
      </w:r>
    </w:p>
    <w:p w14:paraId="4C4361C8" w14:textId="77777777" w:rsidR="009C11B3" w:rsidRDefault="009C11B3" w:rsidP="009C11B3">
      <w:pPr>
        <w:numPr>
          <w:ilvl w:val="0"/>
          <w:numId w:val="5"/>
        </w:numPr>
        <w:jc w:val="both"/>
      </w:pPr>
      <w:r>
        <w:t xml:space="preserve">Global bond yields remain volatile as investors price in recessions even as central bankers push back on expectations for rate cuts in 2023. The US labour market remains </w:t>
      </w:r>
      <w:proofErr w:type="gramStart"/>
      <w:r>
        <w:t>tight</w:t>
      </w:r>
      <w:proofErr w:type="gramEnd"/>
      <w:r>
        <w:t xml:space="preserve"> and the Fed wants to see persistently higher policy rates, but the lagged effects of past hikes will depress activity more significantly to test the Fed’s resolve.</w:t>
      </w:r>
    </w:p>
    <w:p w14:paraId="500B0E12" w14:textId="77777777" w:rsidR="009C11B3" w:rsidRDefault="009C11B3" w:rsidP="009C11B3">
      <w:pPr>
        <w:numPr>
          <w:ilvl w:val="0"/>
          <w:numId w:val="5"/>
        </w:numPr>
        <w:jc w:val="both"/>
      </w:pPr>
      <w:r>
        <w:t xml:space="preserve">While the BoE appears to be somewhat more dovish given the weak outlook for the UK economy, the ECB seems to harbour (worryingly) few doubts about the </w:t>
      </w:r>
      <w:proofErr w:type="gramStart"/>
      <w:r>
        <w:t>short term</w:t>
      </w:r>
      <w:proofErr w:type="gramEnd"/>
      <w:r>
        <w:t xml:space="preserve"> direction of policy. Gilt yields will be broadly supported by both significant new bond supply and global rates expectations due to hawkish central bankers, offsetting the effects of declining inflation and growth.</w:t>
      </w:r>
    </w:p>
    <w:p w14:paraId="5327AF44" w14:textId="77777777" w:rsidR="009C11B3" w:rsidRDefault="009C11B3" w:rsidP="004E6BDD">
      <w:pPr>
        <w:ind w:left="720"/>
        <w:jc w:val="both"/>
      </w:pPr>
    </w:p>
    <w:p w14:paraId="347B9EAB" w14:textId="77777777" w:rsidR="009C11B3" w:rsidRDefault="009C11B3" w:rsidP="004E6BDD">
      <w:pPr>
        <w:jc w:val="both"/>
        <w:rPr>
          <w:b/>
          <w:bCs/>
        </w:rPr>
      </w:pPr>
      <w:r w:rsidRPr="004E6BDD">
        <w:rPr>
          <w:b/>
          <w:bCs/>
        </w:rPr>
        <w:t xml:space="preserve">Forecast: </w:t>
      </w:r>
    </w:p>
    <w:p w14:paraId="65599FC4" w14:textId="77777777" w:rsidR="004E6BDD" w:rsidRPr="004E6BDD" w:rsidRDefault="004E6BDD" w:rsidP="004E6BDD">
      <w:pPr>
        <w:jc w:val="both"/>
        <w:rPr>
          <w:b/>
          <w:bCs/>
        </w:rPr>
      </w:pPr>
    </w:p>
    <w:p w14:paraId="0582CD3B" w14:textId="77777777" w:rsidR="009C11B3" w:rsidRDefault="009C11B3" w:rsidP="009C11B3">
      <w:pPr>
        <w:numPr>
          <w:ilvl w:val="0"/>
          <w:numId w:val="5"/>
        </w:numPr>
        <w:jc w:val="both"/>
      </w:pPr>
      <w:r>
        <w:t xml:space="preserve">The MPC raised Bank Rate by 50bps to 3.5% in December as expected, with signs that some members believe that 3% is restrictive enough. However, a majority of members think further increases in Bank Rate might be required. </w:t>
      </w:r>
      <w:proofErr w:type="spellStart"/>
      <w:r>
        <w:t>Arlingclose</w:t>
      </w:r>
      <w:proofErr w:type="spellEnd"/>
      <w:r>
        <w:t xml:space="preserve"> continues to expect Bank Rate to peak at 4.25%, with further 25bps rises February, </w:t>
      </w:r>
      <w:proofErr w:type="gramStart"/>
      <w:r>
        <w:t>March</w:t>
      </w:r>
      <w:proofErr w:type="gramEnd"/>
      <w:r>
        <w:t xml:space="preserve"> and May 2023. </w:t>
      </w:r>
    </w:p>
    <w:p w14:paraId="06081260" w14:textId="77777777" w:rsidR="009C11B3" w:rsidRDefault="009C11B3" w:rsidP="009C11B3">
      <w:pPr>
        <w:numPr>
          <w:ilvl w:val="0"/>
          <w:numId w:val="5"/>
        </w:numPr>
        <w:jc w:val="both"/>
      </w:pPr>
      <w:r>
        <w:t xml:space="preserve">The MPC will cut rates in the medium term to stimulate a stuttering UK </w:t>
      </w:r>
      <w:proofErr w:type="gramStart"/>
      <w:r>
        <w:t>economy, but</w:t>
      </w:r>
      <w:proofErr w:type="gramEnd"/>
      <w:r>
        <w:t xml:space="preserve"> will be reluctant to do so until wage growth eases. We see rate cuts in the first half of 2024.</w:t>
      </w:r>
    </w:p>
    <w:p w14:paraId="7EB59A5A" w14:textId="77777777" w:rsidR="009C11B3" w:rsidRDefault="009C11B3" w:rsidP="009C11B3">
      <w:pPr>
        <w:numPr>
          <w:ilvl w:val="0"/>
          <w:numId w:val="5"/>
        </w:numPr>
        <w:jc w:val="both"/>
      </w:pPr>
      <w:proofErr w:type="spellStart"/>
      <w:r>
        <w:t>Arlingclose</w:t>
      </w:r>
      <w:proofErr w:type="spellEnd"/>
      <w:r>
        <w:t xml:space="preserve"> expects gilt yields to remain broadly steady over the medium term, although with continued volatility across shorter time periods. </w:t>
      </w:r>
    </w:p>
    <w:p w14:paraId="17EF78B7" w14:textId="77777777" w:rsidR="009C11B3" w:rsidRDefault="009C11B3" w:rsidP="009C11B3">
      <w:pPr>
        <w:numPr>
          <w:ilvl w:val="0"/>
          <w:numId w:val="5"/>
        </w:numPr>
        <w:jc w:val="both"/>
      </w:pPr>
      <w:r>
        <w:lastRenderedPageBreak/>
        <w:t>Gilt yields face pressures to both sides from hawkish US/EZ central bank policy on one hand to the weak global economic outlook on the other. BoE bond sales and high government borrowing will provide further underlying support for yields.</w:t>
      </w:r>
    </w:p>
    <w:p w14:paraId="74B9C059" w14:textId="77777777" w:rsidR="009C11B3" w:rsidRPr="00BE4658" w:rsidRDefault="009C11B3" w:rsidP="003F0474">
      <w:pPr>
        <w:ind w:left="720"/>
        <w:jc w:val="both"/>
        <w:rPr>
          <w:highlight w:val="yellow"/>
        </w:rPr>
      </w:pPr>
    </w:p>
    <w:p w14:paraId="47145ADA" w14:textId="77777777" w:rsidR="00F56AC8" w:rsidRPr="00F56AC8" w:rsidRDefault="00F56AC8" w:rsidP="00F56AC8">
      <w:pPr>
        <w:jc w:val="both"/>
        <w:rPr>
          <w:b/>
        </w:rPr>
      </w:pPr>
      <w:r w:rsidRPr="00F56AC8">
        <w:rPr>
          <w:b/>
          <w:noProof/>
        </w:rPr>
        <w:drawing>
          <wp:inline distT="0" distB="0" distL="0" distR="0" wp14:anchorId="2ABB7BE0" wp14:editId="758BFB44">
            <wp:extent cx="5704015" cy="3192780"/>
            <wp:effectExtent l="0" t="0" r="0" b="7620"/>
            <wp:docPr id="1" name="Picture 6">
              <a:extLst xmlns:a="http://schemas.openxmlformats.org/drawingml/2006/main">
                <a:ext uri="{FF2B5EF4-FFF2-40B4-BE49-F238E27FC236}">
                  <a16:creationId xmlns:a16="http://schemas.microsoft.com/office/drawing/2014/main" id="{1DA6FE1D-4F31-1E80-212B-51F770AA8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DA6FE1D-4F31-1E80-212B-51F770AA8260}"/>
                        </a:ext>
                      </a:extLst>
                    </pic:cNvPr>
                    <pic:cNvPicPr>
                      <a:picLocks noChangeAspect="1"/>
                    </pic:cNvPicPr>
                  </pic:nvPicPr>
                  <pic:blipFill>
                    <a:blip r:embed="rId25"/>
                    <a:stretch>
                      <a:fillRect/>
                    </a:stretch>
                  </pic:blipFill>
                  <pic:spPr>
                    <a:xfrm>
                      <a:off x="0" y="0"/>
                      <a:ext cx="5723756" cy="3203830"/>
                    </a:xfrm>
                    <a:prstGeom prst="rect">
                      <a:avLst/>
                    </a:prstGeom>
                  </pic:spPr>
                </pic:pic>
              </a:graphicData>
            </a:graphic>
          </wp:inline>
        </w:drawing>
      </w:r>
    </w:p>
    <w:p w14:paraId="72EE44D1" w14:textId="77777777" w:rsidR="00F56AC8" w:rsidRPr="00F56AC8" w:rsidRDefault="00F56AC8" w:rsidP="00F56AC8">
      <w:pPr>
        <w:jc w:val="both"/>
        <w:rPr>
          <w:b/>
        </w:rPr>
      </w:pPr>
    </w:p>
    <w:p w14:paraId="39D30E25" w14:textId="77777777" w:rsidR="00F56AC8" w:rsidRPr="00F56AC8" w:rsidRDefault="00F56AC8" w:rsidP="00F56AC8">
      <w:pPr>
        <w:jc w:val="both"/>
        <w:rPr>
          <w:b/>
        </w:rPr>
      </w:pPr>
      <w:r w:rsidRPr="00F56AC8">
        <w:rPr>
          <w:b/>
        </w:rPr>
        <w:t>PWLB Standard Rate (Maturity Loans) = Gilt yield + 1.00%</w:t>
      </w:r>
    </w:p>
    <w:p w14:paraId="70D283F8" w14:textId="77777777" w:rsidR="00F56AC8" w:rsidRPr="00F56AC8" w:rsidRDefault="00F56AC8" w:rsidP="00F56AC8">
      <w:pPr>
        <w:jc w:val="both"/>
        <w:rPr>
          <w:b/>
        </w:rPr>
      </w:pPr>
      <w:r w:rsidRPr="00F56AC8">
        <w:rPr>
          <w:b/>
        </w:rPr>
        <w:t>PWLB Certainty Rate (Maturity Loans) = Gilt yield + 0.80%</w:t>
      </w:r>
    </w:p>
    <w:p w14:paraId="15E9E268" w14:textId="571DBBD3" w:rsidR="00CC3232" w:rsidRPr="000B2D53" w:rsidRDefault="00F56AC8" w:rsidP="00F56AC8">
      <w:pPr>
        <w:jc w:val="both"/>
        <w:rPr>
          <w:b/>
        </w:rPr>
      </w:pPr>
      <w:r w:rsidRPr="00F56AC8">
        <w:rPr>
          <w:b/>
        </w:rPr>
        <w:t>UKIB Rate (Maturity Loans) = Gilt yield + 0.60%</w:t>
      </w:r>
      <w:r w:rsidR="00CC3232" w:rsidRPr="000B2D53">
        <w:rPr>
          <w:b/>
        </w:rPr>
        <w:br w:type="page"/>
      </w:r>
    </w:p>
    <w:p w14:paraId="2428A631" w14:textId="5CF40118" w:rsidR="00CC3232" w:rsidRPr="001A5090" w:rsidRDefault="00CC3232" w:rsidP="001A5090">
      <w:pPr>
        <w:pStyle w:val="Heading1"/>
        <w:spacing w:before="0" w:after="240"/>
        <w:rPr>
          <w:b w:val="0"/>
          <w:sz w:val="28"/>
          <w:szCs w:val="28"/>
        </w:rPr>
      </w:pPr>
      <w:bookmarkStart w:id="19" w:name="_Toc73025266"/>
      <w:bookmarkStart w:id="20" w:name="_Toc130486357"/>
      <w:r w:rsidRPr="00C70D42">
        <w:rPr>
          <w:rFonts w:asciiTheme="minorBidi" w:hAnsiTheme="minorBidi" w:cstheme="minorBidi"/>
          <w:sz w:val="28"/>
          <w:szCs w:val="28"/>
        </w:rPr>
        <w:lastRenderedPageBreak/>
        <w:t>Appendix B – Economic Background</w:t>
      </w:r>
      <w:bookmarkEnd w:id="19"/>
      <w:bookmarkEnd w:id="20"/>
    </w:p>
    <w:p w14:paraId="64785022" w14:textId="77777777" w:rsidR="00B013F2" w:rsidRDefault="00B013F2" w:rsidP="00436518">
      <w:pPr>
        <w:pStyle w:val="ListParagraph"/>
        <w:jc w:val="both"/>
      </w:pPr>
      <w:r w:rsidRPr="00B013F2">
        <w:t>The ongoing impact on the UK from the war in Ukraine, together with higher inflation, higher interest rates, uncertain government policy, and a deteriorating economic outlook, will be major influences on the Authority’s treasury management strategy for 2023/24.</w:t>
      </w:r>
    </w:p>
    <w:p w14:paraId="2202A577" w14:textId="77777777" w:rsidR="004E6BDD" w:rsidRPr="00B013F2" w:rsidRDefault="004E6BDD" w:rsidP="00436518">
      <w:pPr>
        <w:pStyle w:val="ListParagraph"/>
        <w:jc w:val="both"/>
      </w:pPr>
    </w:p>
    <w:p w14:paraId="76A70FF9" w14:textId="77777777" w:rsidR="00B013F2" w:rsidRDefault="00B013F2" w:rsidP="00436518">
      <w:pPr>
        <w:pStyle w:val="ListParagraph"/>
        <w:jc w:val="both"/>
      </w:pPr>
      <w:r w:rsidRPr="00B013F2">
        <w:t>The Bank of England (BoE) increased Bank Rate by 0.5% to 3.5% in December 2022. This followed a 0.75% rise in November which was the largest single rate hike since 1989 and the ninth successive rise since December 2021. The December decision was voted for by a 6</w:t>
      </w:r>
      <w:r w:rsidRPr="00B013F2">
        <w:noBreakHyphen/>
        <w:t>3 majority of the Monetary Policy Committee (MPC), with two dissenters voting for a no-change at 3% and one for a larger rise of 0.75%.</w:t>
      </w:r>
    </w:p>
    <w:p w14:paraId="232A9089" w14:textId="77777777" w:rsidR="004E6BDD" w:rsidRPr="00B013F2" w:rsidRDefault="004E6BDD" w:rsidP="00436518">
      <w:pPr>
        <w:pStyle w:val="ListParagraph"/>
        <w:jc w:val="both"/>
      </w:pPr>
    </w:p>
    <w:p w14:paraId="021CCBAE" w14:textId="11A31A4A" w:rsidR="00B013F2" w:rsidRPr="00B013F2" w:rsidRDefault="00B013F2" w:rsidP="00436518">
      <w:pPr>
        <w:pStyle w:val="ListParagraph"/>
        <w:jc w:val="both"/>
      </w:pPr>
      <w:r w:rsidRPr="00B013F2">
        <w:t>The November quarterly Monetary Policy Report (MPR) forecast a prolonged but shallow recession in the UK with CPI inflation remaining elevated at over 10% in the near-term. While the projected peak of inflation is lower than in the August report, due in part to the government’s support package for household energy costs, inflation is expected remain higher for longer over the forecast horizon and the economic outlook remains weak, with unemployment projected to start rising.</w:t>
      </w:r>
    </w:p>
    <w:p w14:paraId="25BE8E61" w14:textId="77777777" w:rsidR="00B013F2" w:rsidRDefault="00B013F2" w:rsidP="00436518">
      <w:pPr>
        <w:pStyle w:val="ListParagraph"/>
        <w:jc w:val="both"/>
      </w:pPr>
      <w:r w:rsidRPr="00B013F2">
        <w:t>The UK economy contracted by 0.3% between July and September 2022 according to the Office for National Statistics, and the BoE forecasts Gross Domestic Product (GDP) will decline 0.75% in the second half of the calendar year due to the squeeze on household income from higher energy costs and goods prices. Growth is then expected to continue to fall throughout 2023 and the first half of 2024.</w:t>
      </w:r>
    </w:p>
    <w:p w14:paraId="626B6A98" w14:textId="77777777" w:rsidR="004E6BDD" w:rsidRPr="00B013F2" w:rsidRDefault="004E6BDD" w:rsidP="00436518">
      <w:pPr>
        <w:pStyle w:val="ListParagraph"/>
        <w:jc w:val="both"/>
      </w:pPr>
    </w:p>
    <w:p w14:paraId="1A68F39D" w14:textId="77777777" w:rsidR="00B013F2" w:rsidRDefault="00B013F2" w:rsidP="00436518">
      <w:pPr>
        <w:pStyle w:val="ListParagraph"/>
        <w:jc w:val="both"/>
      </w:pPr>
      <w:r w:rsidRPr="00B013F2">
        <w:t>CPI inflation is expected to have peaked at around 11% in the last calendar quarter of 2022 and then fall sharply to 1.4%, below the 2% target, in two years’ time and to 0% in three years’ time if Bank Rate follows the path implied by financial markets at the time of the November MPR (a peak of 5.25%). However, the BoE stated it considered this path to be too high, suggesting that the peak in interest rates will be lower, reducing the risk of inflation falling too far below target. Market rates have fallen since the time of the November MPR.</w:t>
      </w:r>
    </w:p>
    <w:p w14:paraId="6C6A5201" w14:textId="77777777" w:rsidR="004E6BDD" w:rsidRPr="00B013F2" w:rsidRDefault="004E6BDD" w:rsidP="00436518">
      <w:pPr>
        <w:pStyle w:val="ListParagraph"/>
        <w:jc w:val="both"/>
      </w:pPr>
    </w:p>
    <w:p w14:paraId="47568662" w14:textId="77777777" w:rsidR="00B013F2" w:rsidRDefault="00B013F2" w:rsidP="00436518">
      <w:pPr>
        <w:pStyle w:val="ListParagraph"/>
        <w:jc w:val="both"/>
      </w:pPr>
      <w:r w:rsidRPr="00B013F2">
        <w:t>The labour market remains tight for now, with the most recent statistics showing the unemployment rate was 3.7%. Earnings were up strongly in nominal terms by 6.1% for both total pay and for regular pay but factoring in inflation means real pay for both measures was -2.7%. Looking forward, the November MPR shows the labour market weakening in response to the deteriorating outlook for growth, leading to the unemployment rate rising to around 6.5% in 2025.</w:t>
      </w:r>
    </w:p>
    <w:p w14:paraId="2C613591" w14:textId="77777777" w:rsidR="004E6BDD" w:rsidRPr="00B013F2" w:rsidRDefault="004E6BDD" w:rsidP="00436518">
      <w:pPr>
        <w:pStyle w:val="ListParagraph"/>
        <w:jc w:val="both"/>
      </w:pPr>
    </w:p>
    <w:p w14:paraId="5D6E27DB" w14:textId="77777777" w:rsidR="00B013F2" w:rsidRPr="00B013F2" w:rsidRDefault="00B013F2" w:rsidP="00436518">
      <w:pPr>
        <w:pStyle w:val="ListParagraph"/>
        <w:jc w:val="both"/>
      </w:pPr>
      <w:r w:rsidRPr="00B013F2">
        <w:t>Interest rates have also been rising sharply in the US, with the Federal Reserve increasing the range on its key interest rate by 0.5% in December 2022 to 4.25%-4.5%. This rise follows four successive 0.75% rises in a pace of tightening that has seen rates increase from 0.25%-0.50% in March 2022. Annual inflation has been slowing in the US but remains above 7%. GDP grew at an annualised rate of 3.2% (revised up from 2.9%) between July and September 2022, but with official interest rates expected to rise even further in the coming months, a recession in the region is widely expected at some point during 2023.</w:t>
      </w:r>
    </w:p>
    <w:p w14:paraId="65FBD69F" w14:textId="77777777" w:rsidR="00B013F2" w:rsidRPr="00B013F2" w:rsidRDefault="00B013F2" w:rsidP="00436518">
      <w:pPr>
        <w:pStyle w:val="ListParagraph"/>
        <w:jc w:val="both"/>
      </w:pPr>
    </w:p>
    <w:p w14:paraId="09657858" w14:textId="77777777" w:rsidR="00B013F2" w:rsidRPr="00B013F2" w:rsidRDefault="00B013F2" w:rsidP="00436518">
      <w:pPr>
        <w:pStyle w:val="ListParagraph"/>
        <w:jc w:val="both"/>
      </w:pPr>
      <w:r w:rsidRPr="00B013F2">
        <w:t xml:space="preserve">Inflation rose consistently in the Euro Zone since the start of the year, hitting a peak annual rate of 10.6% in October 2022, before declining to 10.1% in November. Economic growth has been weakening with an upwardly revised expansion of 0.3% </w:t>
      </w:r>
      <w:r w:rsidRPr="00B013F2">
        <w:lastRenderedPageBreak/>
        <w:t>(from 0.2%) in the three months to September 2022. As with the UK and US, the European Central Bank has been on an interest rate tightening cycle, pushing up its three key interest rates by 0.50% in December, following two consecutive 0.75% rises, taking its main refinancing rate to 2.5% and deposit facility rate to 2.0%.</w:t>
      </w:r>
    </w:p>
    <w:p w14:paraId="1C41F065" w14:textId="77777777" w:rsidR="00B013F2" w:rsidRDefault="00B013F2" w:rsidP="00436518">
      <w:pPr>
        <w:pStyle w:val="ListParagraph"/>
        <w:jc w:val="both"/>
        <w:rPr>
          <w:b/>
          <w:bCs/>
        </w:rPr>
      </w:pPr>
    </w:p>
    <w:p w14:paraId="14C66EA2" w14:textId="68B90000" w:rsidR="00B013F2" w:rsidRPr="00B013F2" w:rsidRDefault="00B013F2" w:rsidP="00436518">
      <w:pPr>
        <w:pStyle w:val="ListParagraph"/>
        <w:jc w:val="both"/>
        <w:rPr>
          <w:i/>
          <w:iCs/>
        </w:rPr>
      </w:pPr>
      <w:r w:rsidRPr="00B013F2">
        <w:rPr>
          <w:b/>
          <w:bCs/>
        </w:rPr>
        <w:t xml:space="preserve">Credit outlook: </w:t>
      </w:r>
    </w:p>
    <w:p w14:paraId="1B8F0C34" w14:textId="77777777" w:rsidR="00B013F2" w:rsidRDefault="00B013F2" w:rsidP="00436518">
      <w:pPr>
        <w:pStyle w:val="ListParagraph"/>
        <w:jc w:val="both"/>
      </w:pPr>
      <w:r w:rsidRPr="00B013F2">
        <w:t>Credit default swap (CDS) prices have generally followed an upward trend throughout 2022, indicating higher credit risk. They have been boosted by the war in Ukraine, increasing economic and political uncertainty and a weaker global and UK outlook, but remain well below the levels seen at the beginning of the Covid-19 pandemic.</w:t>
      </w:r>
    </w:p>
    <w:p w14:paraId="3FBD1EE5" w14:textId="77777777" w:rsidR="004E6BDD" w:rsidRPr="00B013F2" w:rsidRDefault="004E6BDD" w:rsidP="00436518">
      <w:pPr>
        <w:pStyle w:val="ListParagraph"/>
        <w:jc w:val="both"/>
      </w:pPr>
    </w:p>
    <w:p w14:paraId="59D3E814" w14:textId="77777777" w:rsidR="00B013F2" w:rsidRDefault="00B013F2" w:rsidP="00436518">
      <w:pPr>
        <w:pStyle w:val="ListParagraph"/>
        <w:jc w:val="both"/>
      </w:pPr>
      <w:r w:rsidRPr="00B013F2">
        <w:t>CDS price volatility was higher in 2022 compared to 2021 and the divergence in prices between ringfenced (retail) and non-ringfenced (investment) banking entities has emerged once again.</w:t>
      </w:r>
    </w:p>
    <w:p w14:paraId="0586307E" w14:textId="77777777" w:rsidR="004E6BDD" w:rsidRPr="00B013F2" w:rsidRDefault="004E6BDD" w:rsidP="00436518">
      <w:pPr>
        <w:pStyle w:val="ListParagraph"/>
        <w:jc w:val="both"/>
      </w:pPr>
    </w:p>
    <w:p w14:paraId="317B2228" w14:textId="77777777" w:rsidR="00B013F2" w:rsidRDefault="00B013F2" w:rsidP="00436518">
      <w:pPr>
        <w:pStyle w:val="ListParagraph"/>
        <w:jc w:val="both"/>
      </w:pPr>
      <w:r w:rsidRPr="00B013F2">
        <w:t>The weakening economic picture during 2022 led the credit rating agencies to reflect this in their assessment of the outlook for the UK sovereign as well as several local authorities and financial institutions, revising them from to negative from stable.</w:t>
      </w:r>
    </w:p>
    <w:p w14:paraId="5B87F04B" w14:textId="77777777" w:rsidR="004E6BDD" w:rsidRPr="00B013F2" w:rsidRDefault="004E6BDD" w:rsidP="00436518">
      <w:pPr>
        <w:pStyle w:val="ListParagraph"/>
        <w:jc w:val="both"/>
      </w:pPr>
    </w:p>
    <w:p w14:paraId="5BDA18AB" w14:textId="77777777" w:rsidR="00B013F2" w:rsidRDefault="00B013F2" w:rsidP="00436518">
      <w:pPr>
        <w:pStyle w:val="ListParagraph"/>
        <w:jc w:val="both"/>
      </w:pPr>
      <w:r w:rsidRPr="00B013F2">
        <w:t>There are competing tensions in the banking sector which could impact bank balance sheet strength going forward. The weakening economic outlook and likely recessions in many regions increase the possibility of a deterioration in the quality of banks’ assets, while higher interest rates provide a boost to net income and profitability.</w:t>
      </w:r>
    </w:p>
    <w:p w14:paraId="537022C5" w14:textId="77777777" w:rsidR="004E6BDD" w:rsidRPr="00B013F2" w:rsidRDefault="004E6BDD" w:rsidP="00436518">
      <w:pPr>
        <w:pStyle w:val="ListParagraph"/>
        <w:jc w:val="both"/>
      </w:pPr>
    </w:p>
    <w:p w14:paraId="58F1448B" w14:textId="77777777" w:rsidR="00B013F2" w:rsidRPr="00B013F2" w:rsidRDefault="00B013F2" w:rsidP="00436518">
      <w:pPr>
        <w:pStyle w:val="ListParagraph"/>
        <w:jc w:val="both"/>
      </w:pPr>
      <w:r w:rsidRPr="00B013F2">
        <w:t xml:space="preserve">However, the institutions on our adviser </w:t>
      </w:r>
      <w:proofErr w:type="spellStart"/>
      <w:r w:rsidRPr="00B013F2">
        <w:t>Arlingclose’s</w:t>
      </w:r>
      <w:proofErr w:type="spellEnd"/>
      <w:r w:rsidRPr="00B013F2">
        <w:t xml:space="preserve"> counterparty list remain well-capitalised and their counterparty advice on both recommended institutions and maximum duration remain under constant review and will continue to reflect economic conditions and the credit outlook.</w:t>
      </w:r>
    </w:p>
    <w:p w14:paraId="467C6723" w14:textId="77777777" w:rsidR="00CC3232" w:rsidRDefault="00CC3232" w:rsidP="009D5371">
      <w:pPr>
        <w:pStyle w:val="ListParagraph"/>
        <w:ind w:left="0"/>
        <w:jc w:val="both"/>
      </w:pPr>
    </w:p>
    <w:p w14:paraId="2A4062F6" w14:textId="77777777" w:rsidR="009D5371" w:rsidRDefault="009D5371" w:rsidP="00CC3232">
      <w:pPr>
        <w:pStyle w:val="ListParagraph"/>
        <w:ind w:left="0"/>
        <w:jc w:val="both"/>
        <w:rPr>
          <w:b/>
        </w:rPr>
        <w:sectPr w:rsidR="009D5371" w:rsidSect="006F0A8B">
          <w:pgSz w:w="11906" w:h="16838" w:code="9"/>
          <w:pgMar w:top="1134" w:right="1134" w:bottom="142" w:left="1276" w:header="709" w:footer="709" w:gutter="0"/>
          <w:cols w:space="708"/>
          <w:titlePg/>
          <w:docGrid w:linePitch="360"/>
        </w:sectPr>
      </w:pPr>
    </w:p>
    <w:p w14:paraId="766E6466" w14:textId="76761757" w:rsidR="00CC3232" w:rsidRPr="00C70D42" w:rsidRDefault="00CC3232" w:rsidP="00C70D42">
      <w:pPr>
        <w:pStyle w:val="Heading1"/>
        <w:spacing w:before="0" w:after="240"/>
        <w:rPr>
          <w:b w:val="0"/>
          <w:sz w:val="28"/>
          <w:szCs w:val="28"/>
        </w:rPr>
      </w:pPr>
      <w:bookmarkStart w:id="21" w:name="_Toc73025267"/>
      <w:bookmarkStart w:id="22" w:name="_Toc130486358"/>
      <w:r w:rsidRPr="00C70D42">
        <w:rPr>
          <w:rFonts w:asciiTheme="minorBidi" w:hAnsiTheme="minorBidi" w:cstheme="minorBidi"/>
          <w:sz w:val="28"/>
          <w:szCs w:val="28"/>
        </w:rPr>
        <w:lastRenderedPageBreak/>
        <w:t>Appendix C – Existing Investment &amp; Debt Portfolio Position</w:t>
      </w:r>
      <w:bookmarkEnd w:id="21"/>
      <w:bookmarkEnd w:id="22"/>
    </w:p>
    <w:p w14:paraId="216AE2C3" w14:textId="7EDFEEC7" w:rsidR="00CC3232" w:rsidRDefault="00CC3232" w:rsidP="00CC3232">
      <w:pPr>
        <w:pStyle w:val="ListParagraph"/>
        <w:ind w:left="0"/>
        <w:jc w:val="both"/>
        <w:rPr>
          <w:rFonts w:ascii="Times New Roman" w:hAnsi="Times New Roman" w:cs="Times New Roman"/>
          <w:sz w:val="20"/>
          <w:szCs w:val="20"/>
          <w:lang w:eastAsia="en-GB"/>
        </w:rPr>
      </w:pPr>
    </w:p>
    <w:tbl>
      <w:tblPr>
        <w:tblW w:w="7508" w:type="dxa"/>
        <w:tblLook w:val="04A0" w:firstRow="1" w:lastRow="0" w:firstColumn="1" w:lastColumn="0" w:noHBand="0" w:noVBand="1"/>
      </w:tblPr>
      <w:tblGrid>
        <w:gridCol w:w="4565"/>
        <w:gridCol w:w="1526"/>
        <w:gridCol w:w="1417"/>
      </w:tblGrid>
      <w:tr w:rsidR="00CC3232" w:rsidRPr="002543ED" w14:paraId="05CCA004" w14:textId="77777777" w:rsidTr="00FB1C37">
        <w:trPr>
          <w:trHeight w:val="313"/>
        </w:trPr>
        <w:tc>
          <w:tcPr>
            <w:tcW w:w="4565"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1C8A051F" w14:textId="77777777" w:rsidR="00CC3232" w:rsidRPr="00F12659" w:rsidRDefault="00CC3232" w:rsidP="00D6744D">
            <w:pPr>
              <w:jc w:val="center"/>
              <w:rPr>
                <w:color w:val="000000"/>
                <w:sz w:val="22"/>
                <w:szCs w:val="22"/>
                <w:lang w:eastAsia="en-GB"/>
              </w:rPr>
            </w:pPr>
            <w:r w:rsidRPr="00F12659">
              <w:rPr>
                <w:color w:val="000000"/>
                <w:sz w:val="22"/>
                <w:szCs w:val="22"/>
                <w:lang w:eastAsia="en-GB"/>
              </w:rPr>
              <w:t> </w:t>
            </w:r>
          </w:p>
        </w:tc>
        <w:tc>
          <w:tcPr>
            <w:tcW w:w="1526" w:type="dxa"/>
            <w:tcBorders>
              <w:top w:val="single" w:sz="4" w:space="0" w:color="auto"/>
              <w:left w:val="single" w:sz="4" w:space="0" w:color="auto"/>
              <w:bottom w:val="nil"/>
              <w:right w:val="single" w:sz="4" w:space="0" w:color="auto"/>
            </w:tcBorders>
            <w:shd w:val="clear" w:color="auto" w:fill="auto"/>
            <w:noWrap/>
            <w:vAlign w:val="bottom"/>
            <w:hideMark/>
          </w:tcPr>
          <w:p w14:paraId="75F3252A" w14:textId="5AA07628" w:rsidR="00CC3232" w:rsidRPr="00F12659" w:rsidRDefault="00CC3232" w:rsidP="00D6744D">
            <w:pPr>
              <w:jc w:val="center"/>
              <w:rPr>
                <w:b/>
                <w:bCs/>
                <w:color w:val="000000"/>
                <w:sz w:val="22"/>
                <w:szCs w:val="22"/>
                <w:lang w:eastAsia="en-GB"/>
              </w:rPr>
            </w:pPr>
            <w:r w:rsidRPr="00F12659">
              <w:rPr>
                <w:b/>
                <w:bCs/>
                <w:color w:val="000000"/>
                <w:sz w:val="22"/>
                <w:szCs w:val="22"/>
                <w:lang w:eastAsia="en-GB"/>
              </w:rPr>
              <w:t>31/03/202</w:t>
            </w:r>
            <w:r w:rsidR="006F0A8B">
              <w:rPr>
                <w:b/>
                <w:bCs/>
                <w:color w:val="000000"/>
                <w:sz w:val="22"/>
                <w:szCs w:val="22"/>
                <w:lang w:eastAsia="en-GB"/>
              </w:rPr>
              <w:t>2</w:t>
            </w:r>
          </w:p>
        </w:tc>
        <w:tc>
          <w:tcPr>
            <w:tcW w:w="1417" w:type="dxa"/>
            <w:tcBorders>
              <w:top w:val="single" w:sz="4" w:space="0" w:color="auto"/>
              <w:left w:val="nil"/>
              <w:bottom w:val="nil"/>
              <w:right w:val="single" w:sz="4" w:space="0" w:color="auto"/>
            </w:tcBorders>
            <w:shd w:val="clear" w:color="auto" w:fill="auto"/>
            <w:noWrap/>
            <w:vAlign w:val="bottom"/>
            <w:hideMark/>
          </w:tcPr>
          <w:p w14:paraId="0BE5B139" w14:textId="673D9F40" w:rsidR="00CC3232" w:rsidRPr="00F12659" w:rsidRDefault="00CC3232" w:rsidP="00D6744D">
            <w:pPr>
              <w:jc w:val="center"/>
              <w:rPr>
                <w:b/>
                <w:bCs/>
                <w:color w:val="000000"/>
                <w:sz w:val="22"/>
                <w:szCs w:val="22"/>
                <w:lang w:eastAsia="en-GB"/>
              </w:rPr>
            </w:pPr>
            <w:r w:rsidRPr="00F12659">
              <w:rPr>
                <w:b/>
                <w:bCs/>
                <w:color w:val="000000"/>
                <w:sz w:val="22"/>
                <w:szCs w:val="22"/>
                <w:lang w:eastAsia="en-GB"/>
              </w:rPr>
              <w:t>31/03/202</w:t>
            </w:r>
            <w:r w:rsidR="006F0A8B">
              <w:rPr>
                <w:b/>
                <w:bCs/>
                <w:color w:val="000000"/>
                <w:sz w:val="22"/>
                <w:szCs w:val="22"/>
                <w:lang w:eastAsia="en-GB"/>
              </w:rPr>
              <w:t>2</w:t>
            </w:r>
          </w:p>
        </w:tc>
      </w:tr>
      <w:tr w:rsidR="00CC3232" w:rsidRPr="002543ED" w14:paraId="405BB9A6" w14:textId="77777777" w:rsidTr="00FB1C37">
        <w:trPr>
          <w:trHeight w:val="627"/>
        </w:trPr>
        <w:tc>
          <w:tcPr>
            <w:tcW w:w="4565" w:type="dxa"/>
            <w:vMerge/>
            <w:tcBorders>
              <w:top w:val="single" w:sz="4" w:space="0" w:color="auto"/>
              <w:left w:val="single" w:sz="4" w:space="0" w:color="auto"/>
              <w:bottom w:val="single" w:sz="4" w:space="0" w:color="000000"/>
              <w:right w:val="nil"/>
            </w:tcBorders>
            <w:vAlign w:val="center"/>
            <w:hideMark/>
          </w:tcPr>
          <w:p w14:paraId="162377CC" w14:textId="77777777" w:rsidR="00CC3232" w:rsidRPr="00F12659" w:rsidRDefault="00CC3232" w:rsidP="00D6744D">
            <w:pPr>
              <w:rPr>
                <w:color w:val="000000"/>
                <w:sz w:val="22"/>
                <w:szCs w:val="22"/>
                <w:lang w:eastAsia="en-GB"/>
              </w:rPr>
            </w:pPr>
          </w:p>
        </w:tc>
        <w:tc>
          <w:tcPr>
            <w:tcW w:w="1526" w:type="dxa"/>
            <w:tcBorders>
              <w:top w:val="nil"/>
              <w:left w:val="single" w:sz="4" w:space="0" w:color="auto"/>
              <w:bottom w:val="single" w:sz="4" w:space="0" w:color="auto"/>
              <w:right w:val="single" w:sz="4" w:space="0" w:color="auto"/>
            </w:tcBorders>
            <w:shd w:val="clear" w:color="auto" w:fill="auto"/>
            <w:vAlign w:val="center"/>
            <w:hideMark/>
          </w:tcPr>
          <w:p w14:paraId="69B78561" w14:textId="77777777" w:rsidR="00CC3232" w:rsidRPr="00F12659" w:rsidRDefault="00CC3232" w:rsidP="00D6744D">
            <w:pPr>
              <w:jc w:val="center"/>
              <w:rPr>
                <w:b/>
                <w:bCs/>
                <w:color w:val="000000"/>
                <w:sz w:val="22"/>
                <w:szCs w:val="22"/>
                <w:lang w:eastAsia="en-GB"/>
              </w:rPr>
            </w:pPr>
            <w:r w:rsidRPr="00F12659">
              <w:rPr>
                <w:b/>
                <w:bCs/>
                <w:color w:val="000000"/>
                <w:sz w:val="22"/>
                <w:szCs w:val="22"/>
                <w:lang w:eastAsia="en-GB"/>
              </w:rPr>
              <w:t>Actual Portfolio £m</w:t>
            </w:r>
          </w:p>
        </w:tc>
        <w:tc>
          <w:tcPr>
            <w:tcW w:w="1417" w:type="dxa"/>
            <w:tcBorders>
              <w:top w:val="nil"/>
              <w:left w:val="nil"/>
              <w:bottom w:val="single" w:sz="4" w:space="0" w:color="auto"/>
              <w:right w:val="single" w:sz="4" w:space="0" w:color="auto"/>
            </w:tcBorders>
            <w:shd w:val="clear" w:color="auto" w:fill="auto"/>
            <w:vAlign w:val="bottom"/>
            <w:hideMark/>
          </w:tcPr>
          <w:p w14:paraId="4084C3E3" w14:textId="106DE968" w:rsidR="00CC3232" w:rsidRPr="00F12659" w:rsidRDefault="00682FBF" w:rsidP="00D6744D">
            <w:pPr>
              <w:jc w:val="center"/>
              <w:rPr>
                <w:b/>
                <w:bCs/>
                <w:color w:val="000000"/>
                <w:sz w:val="22"/>
                <w:szCs w:val="22"/>
                <w:lang w:eastAsia="en-GB"/>
              </w:rPr>
            </w:pPr>
            <w:r>
              <w:rPr>
                <w:b/>
                <w:bCs/>
                <w:color w:val="000000"/>
                <w:sz w:val="22"/>
                <w:szCs w:val="22"/>
                <w:lang w:eastAsia="en-GB"/>
              </w:rPr>
              <w:t xml:space="preserve">Year End </w:t>
            </w:r>
            <w:r w:rsidR="00CC3232" w:rsidRPr="00F12659">
              <w:rPr>
                <w:b/>
                <w:bCs/>
                <w:color w:val="000000"/>
                <w:sz w:val="22"/>
                <w:szCs w:val="22"/>
                <w:lang w:eastAsia="en-GB"/>
              </w:rPr>
              <w:t>Rate %</w:t>
            </w:r>
          </w:p>
        </w:tc>
      </w:tr>
      <w:tr w:rsidR="00CC3232" w:rsidRPr="002543ED" w14:paraId="325680C8"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19EDFB82" w14:textId="77777777" w:rsidR="00CC3232" w:rsidRPr="00F12659" w:rsidRDefault="00CC3232" w:rsidP="00D6744D">
            <w:pPr>
              <w:rPr>
                <w:b/>
                <w:bCs/>
                <w:color w:val="000000"/>
                <w:sz w:val="22"/>
                <w:szCs w:val="22"/>
                <w:lang w:eastAsia="en-GB"/>
              </w:rPr>
            </w:pPr>
            <w:r w:rsidRPr="00F12659">
              <w:rPr>
                <w:b/>
                <w:bCs/>
                <w:color w:val="000000"/>
                <w:sz w:val="22"/>
                <w:szCs w:val="22"/>
                <w:lang w:eastAsia="en-GB"/>
              </w:rPr>
              <w:t>External borrowing:</w:t>
            </w:r>
          </w:p>
        </w:tc>
        <w:tc>
          <w:tcPr>
            <w:tcW w:w="1526" w:type="dxa"/>
            <w:tcBorders>
              <w:top w:val="nil"/>
              <w:left w:val="single" w:sz="4" w:space="0" w:color="auto"/>
              <w:bottom w:val="nil"/>
              <w:right w:val="single" w:sz="4" w:space="0" w:color="auto"/>
            </w:tcBorders>
            <w:shd w:val="clear" w:color="auto" w:fill="auto"/>
            <w:noWrap/>
            <w:vAlign w:val="bottom"/>
            <w:hideMark/>
          </w:tcPr>
          <w:p w14:paraId="59D67AC6" w14:textId="77777777" w:rsidR="00CC3232" w:rsidRPr="00F12659" w:rsidRDefault="00CC3232" w:rsidP="00D6744D">
            <w:pPr>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1430E1E3" w14:textId="77777777" w:rsidR="00CC3232" w:rsidRPr="00F12659" w:rsidRDefault="00CC3232" w:rsidP="00D6744D">
            <w:pPr>
              <w:rPr>
                <w:color w:val="000000"/>
                <w:sz w:val="22"/>
                <w:szCs w:val="22"/>
                <w:lang w:eastAsia="en-GB"/>
              </w:rPr>
            </w:pPr>
            <w:r w:rsidRPr="00F12659">
              <w:rPr>
                <w:color w:val="000000"/>
                <w:sz w:val="22"/>
                <w:szCs w:val="22"/>
                <w:lang w:eastAsia="en-GB"/>
              </w:rPr>
              <w:t> </w:t>
            </w:r>
          </w:p>
        </w:tc>
      </w:tr>
      <w:tr w:rsidR="00CC3232" w:rsidRPr="002543ED" w14:paraId="47DBAAC1"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3B973ECA" w14:textId="77777777" w:rsidR="00CC3232" w:rsidRPr="00F12659" w:rsidRDefault="00CC3232" w:rsidP="00D6744D">
            <w:pPr>
              <w:rPr>
                <w:color w:val="000000"/>
                <w:sz w:val="22"/>
                <w:szCs w:val="22"/>
                <w:lang w:eastAsia="en-GB"/>
              </w:rPr>
            </w:pPr>
            <w:r w:rsidRPr="00F12659">
              <w:rPr>
                <w:color w:val="000000"/>
                <w:sz w:val="22"/>
                <w:szCs w:val="22"/>
                <w:lang w:eastAsia="en-GB"/>
              </w:rPr>
              <w:t>Public Works Loan Board</w:t>
            </w:r>
          </w:p>
        </w:tc>
        <w:tc>
          <w:tcPr>
            <w:tcW w:w="1526" w:type="dxa"/>
            <w:tcBorders>
              <w:top w:val="nil"/>
              <w:left w:val="single" w:sz="4" w:space="0" w:color="auto"/>
              <w:bottom w:val="nil"/>
              <w:right w:val="single" w:sz="4" w:space="0" w:color="auto"/>
            </w:tcBorders>
            <w:shd w:val="clear" w:color="auto" w:fill="auto"/>
            <w:noWrap/>
            <w:vAlign w:val="bottom"/>
            <w:hideMark/>
          </w:tcPr>
          <w:p w14:paraId="3450A5D3" w14:textId="4DB51285" w:rsidR="00CC3232" w:rsidRPr="00F12659" w:rsidRDefault="00CC3232" w:rsidP="00FB1C37">
            <w:pPr>
              <w:jc w:val="right"/>
              <w:rPr>
                <w:color w:val="000000"/>
                <w:sz w:val="22"/>
                <w:szCs w:val="22"/>
                <w:lang w:eastAsia="en-GB"/>
              </w:rPr>
            </w:pPr>
            <w:r w:rsidRPr="00F12659">
              <w:rPr>
                <w:color w:val="000000"/>
                <w:sz w:val="22"/>
                <w:szCs w:val="22"/>
                <w:lang w:eastAsia="en-GB"/>
              </w:rPr>
              <w:t>24.5</w:t>
            </w:r>
          </w:p>
        </w:tc>
        <w:tc>
          <w:tcPr>
            <w:tcW w:w="1417" w:type="dxa"/>
            <w:tcBorders>
              <w:top w:val="nil"/>
              <w:left w:val="nil"/>
              <w:bottom w:val="nil"/>
              <w:right w:val="single" w:sz="4" w:space="0" w:color="auto"/>
            </w:tcBorders>
            <w:shd w:val="clear" w:color="auto" w:fill="auto"/>
            <w:noWrap/>
            <w:vAlign w:val="bottom"/>
            <w:hideMark/>
          </w:tcPr>
          <w:p w14:paraId="14F64C59" w14:textId="5E81B72C" w:rsidR="00CC3232" w:rsidRPr="00F12659" w:rsidRDefault="00CC3232" w:rsidP="00FB1C37">
            <w:pPr>
              <w:jc w:val="right"/>
              <w:rPr>
                <w:color w:val="000000"/>
                <w:sz w:val="22"/>
                <w:szCs w:val="22"/>
                <w:lang w:eastAsia="en-GB"/>
              </w:rPr>
            </w:pPr>
            <w:r w:rsidRPr="00F12659">
              <w:rPr>
                <w:color w:val="000000"/>
                <w:sz w:val="22"/>
                <w:szCs w:val="22"/>
                <w:lang w:eastAsia="en-GB"/>
              </w:rPr>
              <w:t>4.</w:t>
            </w:r>
            <w:r w:rsidR="00432A6D" w:rsidRPr="00F12659">
              <w:rPr>
                <w:color w:val="000000"/>
                <w:sz w:val="22"/>
                <w:szCs w:val="22"/>
                <w:lang w:eastAsia="en-GB"/>
              </w:rPr>
              <w:t>7</w:t>
            </w:r>
          </w:p>
        </w:tc>
      </w:tr>
      <w:tr w:rsidR="00CC3232" w:rsidRPr="002543ED" w14:paraId="69347C0C"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51327F56" w14:textId="77777777" w:rsidR="00CC3232" w:rsidRPr="00F12659" w:rsidRDefault="00CC3232" w:rsidP="00D6744D">
            <w:pPr>
              <w:rPr>
                <w:color w:val="000000"/>
                <w:sz w:val="22"/>
                <w:szCs w:val="22"/>
                <w:lang w:eastAsia="en-GB"/>
              </w:rPr>
            </w:pPr>
            <w:r w:rsidRPr="00F12659">
              <w:rPr>
                <w:color w:val="000000"/>
                <w:sz w:val="22"/>
                <w:szCs w:val="22"/>
                <w:lang w:eastAsia="en-GB"/>
              </w:rPr>
              <w:t> </w:t>
            </w:r>
          </w:p>
        </w:tc>
        <w:tc>
          <w:tcPr>
            <w:tcW w:w="1526" w:type="dxa"/>
            <w:tcBorders>
              <w:top w:val="nil"/>
              <w:left w:val="single" w:sz="4" w:space="0" w:color="auto"/>
              <w:bottom w:val="nil"/>
              <w:right w:val="single" w:sz="4" w:space="0" w:color="auto"/>
            </w:tcBorders>
            <w:shd w:val="clear" w:color="auto" w:fill="auto"/>
            <w:noWrap/>
            <w:vAlign w:val="bottom"/>
            <w:hideMark/>
          </w:tcPr>
          <w:p w14:paraId="194BDC30"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0E4ADE07"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r>
      <w:tr w:rsidR="00CC3232" w:rsidRPr="002543ED" w14:paraId="70FEF269" w14:textId="77777777" w:rsidTr="00CA77EA">
        <w:trPr>
          <w:trHeight w:val="313"/>
        </w:trPr>
        <w:tc>
          <w:tcPr>
            <w:tcW w:w="4565" w:type="dxa"/>
            <w:tcBorders>
              <w:top w:val="nil"/>
              <w:left w:val="single" w:sz="4" w:space="0" w:color="auto"/>
              <w:bottom w:val="single" w:sz="4" w:space="0" w:color="auto"/>
              <w:right w:val="nil"/>
            </w:tcBorders>
            <w:shd w:val="clear" w:color="auto" w:fill="auto"/>
            <w:noWrap/>
            <w:vAlign w:val="bottom"/>
            <w:hideMark/>
          </w:tcPr>
          <w:p w14:paraId="1D87B978" w14:textId="77777777" w:rsidR="00CC3232" w:rsidRPr="00F12659" w:rsidRDefault="00CC3232" w:rsidP="00D6744D">
            <w:pPr>
              <w:rPr>
                <w:b/>
                <w:bCs/>
                <w:color w:val="000000"/>
                <w:sz w:val="22"/>
                <w:szCs w:val="22"/>
                <w:lang w:eastAsia="en-GB"/>
              </w:rPr>
            </w:pPr>
            <w:r w:rsidRPr="00F12659">
              <w:rPr>
                <w:b/>
                <w:bCs/>
                <w:color w:val="000000"/>
                <w:sz w:val="22"/>
                <w:szCs w:val="22"/>
                <w:lang w:eastAsia="en-GB"/>
              </w:rPr>
              <w:t>Total external borrowing</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AE2F3A7" w14:textId="36945C59" w:rsidR="00CC3232" w:rsidRPr="00F12659" w:rsidRDefault="00CC3232" w:rsidP="00FB1C37">
            <w:pPr>
              <w:jc w:val="right"/>
              <w:rPr>
                <w:color w:val="000000"/>
                <w:sz w:val="22"/>
                <w:szCs w:val="22"/>
                <w:lang w:eastAsia="en-GB"/>
              </w:rPr>
            </w:pPr>
            <w:r w:rsidRPr="00F12659">
              <w:rPr>
                <w:color w:val="000000"/>
                <w:sz w:val="22"/>
                <w:szCs w:val="22"/>
                <w:lang w:eastAsia="en-GB"/>
              </w:rPr>
              <w:t>24.5</w:t>
            </w:r>
          </w:p>
        </w:tc>
        <w:tc>
          <w:tcPr>
            <w:tcW w:w="1417" w:type="dxa"/>
            <w:tcBorders>
              <w:top w:val="nil"/>
              <w:left w:val="nil"/>
              <w:bottom w:val="single" w:sz="4" w:space="0" w:color="auto"/>
              <w:right w:val="single" w:sz="4" w:space="0" w:color="auto"/>
            </w:tcBorders>
            <w:shd w:val="clear" w:color="auto" w:fill="auto"/>
            <w:noWrap/>
            <w:vAlign w:val="bottom"/>
            <w:hideMark/>
          </w:tcPr>
          <w:p w14:paraId="6FAA3D4F" w14:textId="568B7A17" w:rsidR="00CC3232" w:rsidRPr="00F12659" w:rsidRDefault="00CC3232" w:rsidP="00FB1C37">
            <w:pPr>
              <w:jc w:val="right"/>
              <w:rPr>
                <w:color w:val="000000"/>
                <w:sz w:val="22"/>
                <w:szCs w:val="22"/>
                <w:lang w:eastAsia="en-GB"/>
              </w:rPr>
            </w:pPr>
            <w:r w:rsidRPr="00F12659">
              <w:rPr>
                <w:color w:val="000000"/>
                <w:sz w:val="22"/>
                <w:szCs w:val="22"/>
                <w:lang w:eastAsia="en-GB"/>
              </w:rPr>
              <w:t>4.</w:t>
            </w:r>
            <w:r w:rsidR="00432A6D" w:rsidRPr="00F12659">
              <w:rPr>
                <w:color w:val="000000"/>
                <w:sz w:val="22"/>
                <w:szCs w:val="22"/>
                <w:lang w:eastAsia="en-GB"/>
              </w:rPr>
              <w:t>7</w:t>
            </w:r>
          </w:p>
        </w:tc>
      </w:tr>
      <w:tr w:rsidR="00CC3232" w:rsidRPr="002543ED" w14:paraId="03DCB915"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63AB0829" w14:textId="77777777" w:rsidR="00CC3232" w:rsidRPr="00F12659" w:rsidRDefault="00CC3232" w:rsidP="00D6744D">
            <w:pPr>
              <w:rPr>
                <w:b/>
                <w:bCs/>
                <w:color w:val="000000"/>
                <w:sz w:val="22"/>
                <w:szCs w:val="22"/>
                <w:lang w:eastAsia="en-GB"/>
              </w:rPr>
            </w:pPr>
            <w:r w:rsidRPr="00F12659">
              <w:rPr>
                <w:b/>
                <w:bCs/>
                <w:color w:val="000000"/>
                <w:sz w:val="22"/>
                <w:szCs w:val="22"/>
                <w:lang w:eastAsia="en-GB"/>
              </w:rPr>
              <w:t>Treasury investments</w:t>
            </w:r>
          </w:p>
        </w:tc>
        <w:tc>
          <w:tcPr>
            <w:tcW w:w="1526" w:type="dxa"/>
            <w:tcBorders>
              <w:top w:val="nil"/>
              <w:left w:val="single" w:sz="4" w:space="0" w:color="auto"/>
              <w:bottom w:val="nil"/>
              <w:right w:val="single" w:sz="4" w:space="0" w:color="auto"/>
            </w:tcBorders>
            <w:shd w:val="clear" w:color="auto" w:fill="auto"/>
            <w:noWrap/>
            <w:vAlign w:val="bottom"/>
            <w:hideMark/>
          </w:tcPr>
          <w:p w14:paraId="3365047B"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4569B8A0"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r>
      <w:tr w:rsidR="00CC3232" w:rsidRPr="002543ED" w14:paraId="3B004DED" w14:textId="77777777" w:rsidTr="00CA77EA">
        <w:trPr>
          <w:trHeight w:val="313"/>
        </w:trPr>
        <w:tc>
          <w:tcPr>
            <w:tcW w:w="4565" w:type="dxa"/>
            <w:tcBorders>
              <w:top w:val="nil"/>
              <w:left w:val="single" w:sz="4" w:space="0" w:color="auto"/>
              <w:right w:val="nil"/>
            </w:tcBorders>
            <w:shd w:val="clear" w:color="auto" w:fill="auto"/>
            <w:noWrap/>
            <w:vAlign w:val="bottom"/>
            <w:hideMark/>
          </w:tcPr>
          <w:p w14:paraId="45B4FDC5" w14:textId="77777777" w:rsidR="00CC3232" w:rsidRPr="00F12659" w:rsidRDefault="00CC3232" w:rsidP="00D6744D">
            <w:pPr>
              <w:rPr>
                <w:color w:val="000000"/>
                <w:lang w:eastAsia="en-GB"/>
              </w:rPr>
            </w:pPr>
            <w:r w:rsidRPr="00F12659">
              <w:rPr>
                <w:color w:val="000000"/>
                <w:sz w:val="22"/>
                <w:szCs w:val="22"/>
                <w:lang w:eastAsia="en-GB"/>
              </w:rPr>
              <w:t>Money Market Funds</w:t>
            </w:r>
          </w:p>
        </w:tc>
        <w:tc>
          <w:tcPr>
            <w:tcW w:w="1526" w:type="dxa"/>
            <w:tcBorders>
              <w:top w:val="nil"/>
              <w:left w:val="single" w:sz="4" w:space="0" w:color="auto"/>
              <w:right w:val="single" w:sz="4" w:space="0" w:color="auto"/>
            </w:tcBorders>
            <w:shd w:val="clear" w:color="auto" w:fill="auto"/>
            <w:noWrap/>
            <w:vAlign w:val="bottom"/>
            <w:hideMark/>
          </w:tcPr>
          <w:p w14:paraId="4B784FAC" w14:textId="11E46FD4" w:rsidR="00CC3232" w:rsidRPr="00F12659" w:rsidRDefault="00CA77EA" w:rsidP="00FB1C37">
            <w:pPr>
              <w:jc w:val="right"/>
              <w:rPr>
                <w:color w:val="000000"/>
                <w:sz w:val="22"/>
                <w:szCs w:val="22"/>
                <w:lang w:eastAsia="en-GB"/>
              </w:rPr>
            </w:pPr>
            <w:r>
              <w:rPr>
                <w:color w:val="000000"/>
                <w:sz w:val="22"/>
                <w:szCs w:val="22"/>
                <w:lang w:eastAsia="en-GB"/>
              </w:rPr>
              <w:t>6</w:t>
            </w:r>
            <w:r w:rsidR="00CC3232" w:rsidRPr="00F12659">
              <w:rPr>
                <w:color w:val="000000"/>
                <w:sz w:val="22"/>
                <w:szCs w:val="22"/>
                <w:lang w:eastAsia="en-GB"/>
              </w:rPr>
              <w:t>.0</w:t>
            </w:r>
          </w:p>
        </w:tc>
        <w:tc>
          <w:tcPr>
            <w:tcW w:w="1417" w:type="dxa"/>
            <w:tcBorders>
              <w:top w:val="nil"/>
              <w:left w:val="nil"/>
              <w:right w:val="single" w:sz="4" w:space="0" w:color="auto"/>
            </w:tcBorders>
            <w:shd w:val="clear" w:color="auto" w:fill="auto"/>
            <w:noWrap/>
            <w:vAlign w:val="bottom"/>
            <w:hideMark/>
          </w:tcPr>
          <w:p w14:paraId="619562E8" w14:textId="24F9B846" w:rsidR="00CC3232" w:rsidRPr="00F12659" w:rsidRDefault="00CC3232" w:rsidP="00FB1C37">
            <w:pPr>
              <w:jc w:val="right"/>
              <w:rPr>
                <w:color w:val="000000"/>
                <w:sz w:val="22"/>
                <w:szCs w:val="22"/>
                <w:lang w:eastAsia="en-GB"/>
              </w:rPr>
            </w:pPr>
            <w:r w:rsidRPr="00F12659">
              <w:rPr>
                <w:color w:val="000000"/>
                <w:sz w:val="22"/>
                <w:szCs w:val="22"/>
                <w:lang w:eastAsia="en-GB"/>
              </w:rPr>
              <w:t>0.</w:t>
            </w:r>
            <w:r w:rsidR="00193978">
              <w:rPr>
                <w:color w:val="000000"/>
                <w:sz w:val="22"/>
                <w:szCs w:val="22"/>
                <w:lang w:eastAsia="en-GB"/>
              </w:rPr>
              <w:t>49</w:t>
            </w:r>
          </w:p>
        </w:tc>
      </w:tr>
      <w:tr w:rsidR="00CC3232" w:rsidRPr="002543ED" w14:paraId="664B6962" w14:textId="77777777" w:rsidTr="00CA77EA">
        <w:trPr>
          <w:trHeight w:val="313"/>
        </w:trPr>
        <w:tc>
          <w:tcPr>
            <w:tcW w:w="4565" w:type="dxa"/>
            <w:tcBorders>
              <w:top w:val="nil"/>
              <w:left w:val="single" w:sz="4" w:space="0" w:color="auto"/>
              <w:bottom w:val="nil"/>
              <w:right w:val="single" w:sz="4" w:space="0" w:color="auto"/>
            </w:tcBorders>
            <w:shd w:val="clear" w:color="auto" w:fill="auto"/>
            <w:noWrap/>
            <w:vAlign w:val="bottom"/>
            <w:hideMark/>
          </w:tcPr>
          <w:p w14:paraId="15BA494D" w14:textId="77777777" w:rsidR="00CC3232" w:rsidRPr="00F12659" w:rsidRDefault="00CC3232" w:rsidP="00D6744D">
            <w:pPr>
              <w:rPr>
                <w:color w:val="000000"/>
                <w:sz w:val="22"/>
                <w:szCs w:val="22"/>
                <w:lang w:eastAsia="en-GB"/>
              </w:rPr>
            </w:pPr>
            <w:r w:rsidRPr="00F12659">
              <w:rPr>
                <w:color w:val="000000"/>
                <w:sz w:val="22"/>
                <w:szCs w:val="22"/>
                <w:lang w:eastAsia="en-GB"/>
              </w:rPr>
              <w:t>Bank Accounts</w:t>
            </w:r>
          </w:p>
        </w:tc>
        <w:tc>
          <w:tcPr>
            <w:tcW w:w="1526" w:type="dxa"/>
            <w:tcBorders>
              <w:top w:val="nil"/>
              <w:left w:val="single" w:sz="4" w:space="0" w:color="auto"/>
              <w:bottom w:val="nil"/>
              <w:right w:val="single" w:sz="4" w:space="0" w:color="auto"/>
            </w:tcBorders>
            <w:shd w:val="clear" w:color="auto" w:fill="auto"/>
            <w:noWrap/>
            <w:vAlign w:val="bottom"/>
            <w:hideMark/>
          </w:tcPr>
          <w:p w14:paraId="269ADE66" w14:textId="1A9E6D55" w:rsidR="00CC3232" w:rsidRPr="00F12659" w:rsidRDefault="00CC3232" w:rsidP="00FB1C37">
            <w:pPr>
              <w:jc w:val="right"/>
              <w:rPr>
                <w:color w:val="000000"/>
                <w:sz w:val="22"/>
                <w:szCs w:val="22"/>
                <w:lang w:eastAsia="en-GB"/>
              </w:rPr>
            </w:pPr>
            <w:r w:rsidRPr="00F12659">
              <w:rPr>
                <w:color w:val="000000"/>
                <w:sz w:val="22"/>
                <w:szCs w:val="22"/>
                <w:lang w:eastAsia="en-GB"/>
              </w:rPr>
              <w:t> </w:t>
            </w:r>
            <w:r w:rsidR="00CA77EA">
              <w:rPr>
                <w:color w:val="000000"/>
                <w:sz w:val="22"/>
                <w:szCs w:val="22"/>
                <w:lang w:eastAsia="en-GB"/>
              </w:rPr>
              <w:t>1</w:t>
            </w:r>
            <w:r w:rsidRPr="00F12659">
              <w:rPr>
                <w:color w:val="000000"/>
                <w:sz w:val="22"/>
                <w:szCs w:val="22"/>
                <w:lang w:eastAsia="en-GB"/>
              </w:rPr>
              <w:t>.0</w:t>
            </w:r>
          </w:p>
        </w:tc>
        <w:tc>
          <w:tcPr>
            <w:tcW w:w="1417" w:type="dxa"/>
            <w:tcBorders>
              <w:top w:val="nil"/>
              <w:left w:val="single" w:sz="4" w:space="0" w:color="auto"/>
              <w:bottom w:val="nil"/>
              <w:right w:val="single" w:sz="4" w:space="0" w:color="auto"/>
            </w:tcBorders>
            <w:shd w:val="clear" w:color="auto" w:fill="auto"/>
            <w:noWrap/>
            <w:vAlign w:val="bottom"/>
            <w:hideMark/>
          </w:tcPr>
          <w:p w14:paraId="1E52B737" w14:textId="77777777" w:rsidR="00CC3232" w:rsidRPr="00F12659" w:rsidRDefault="00CC3232" w:rsidP="00FB1C37">
            <w:pPr>
              <w:jc w:val="right"/>
              <w:rPr>
                <w:color w:val="000000"/>
                <w:sz w:val="22"/>
                <w:szCs w:val="22"/>
                <w:lang w:eastAsia="en-GB"/>
              </w:rPr>
            </w:pPr>
            <w:r w:rsidRPr="00F12659">
              <w:rPr>
                <w:color w:val="000000"/>
                <w:sz w:val="22"/>
                <w:szCs w:val="22"/>
                <w:lang w:eastAsia="en-GB"/>
              </w:rPr>
              <w:t>0.02</w:t>
            </w:r>
          </w:p>
        </w:tc>
      </w:tr>
      <w:tr w:rsidR="00CC3232" w:rsidRPr="002543ED" w14:paraId="2DE86F17" w14:textId="77777777" w:rsidTr="00CA77EA">
        <w:trPr>
          <w:trHeight w:val="313"/>
        </w:trPr>
        <w:tc>
          <w:tcPr>
            <w:tcW w:w="4565" w:type="dxa"/>
            <w:tcBorders>
              <w:top w:val="nil"/>
              <w:left w:val="single" w:sz="4" w:space="0" w:color="auto"/>
              <w:right w:val="single" w:sz="4" w:space="0" w:color="auto"/>
            </w:tcBorders>
            <w:shd w:val="clear" w:color="auto" w:fill="auto"/>
            <w:noWrap/>
            <w:vAlign w:val="bottom"/>
          </w:tcPr>
          <w:p w14:paraId="7616BB7A" w14:textId="73209610" w:rsidR="00CC3232" w:rsidRPr="00CA77EA" w:rsidRDefault="00CA77EA" w:rsidP="00D6744D">
            <w:pPr>
              <w:rPr>
                <w:color w:val="000000"/>
                <w:sz w:val="22"/>
                <w:szCs w:val="22"/>
                <w:lang w:eastAsia="en-GB"/>
              </w:rPr>
            </w:pPr>
            <w:r>
              <w:rPr>
                <w:color w:val="000000"/>
                <w:sz w:val="22"/>
                <w:szCs w:val="22"/>
                <w:lang w:eastAsia="en-GB"/>
              </w:rPr>
              <w:t>UK Government Investments</w:t>
            </w:r>
          </w:p>
        </w:tc>
        <w:tc>
          <w:tcPr>
            <w:tcW w:w="1526" w:type="dxa"/>
            <w:tcBorders>
              <w:top w:val="nil"/>
              <w:left w:val="single" w:sz="4" w:space="0" w:color="auto"/>
              <w:right w:val="single" w:sz="4" w:space="0" w:color="auto"/>
            </w:tcBorders>
            <w:shd w:val="clear" w:color="auto" w:fill="auto"/>
            <w:noWrap/>
            <w:vAlign w:val="bottom"/>
          </w:tcPr>
          <w:p w14:paraId="61232038" w14:textId="052D9578" w:rsidR="00CC3232" w:rsidRPr="00F12659" w:rsidRDefault="00CA77EA" w:rsidP="00FB1C37">
            <w:pPr>
              <w:jc w:val="right"/>
              <w:rPr>
                <w:color w:val="000000"/>
                <w:sz w:val="22"/>
                <w:szCs w:val="22"/>
                <w:lang w:eastAsia="en-GB"/>
              </w:rPr>
            </w:pPr>
            <w:r>
              <w:rPr>
                <w:color w:val="000000"/>
                <w:sz w:val="22"/>
                <w:szCs w:val="22"/>
                <w:lang w:eastAsia="en-GB"/>
              </w:rPr>
              <w:t>6.0</w:t>
            </w:r>
          </w:p>
        </w:tc>
        <w:tc>
          <w:tcPr>
            <w:tcW w:w="1417" w:type="dxa"/>
            <w:tcBorders>
              <w:top w:val="nil"/>
              <w:left w:val="single" w:sz="4" w:space="0" w:color="auto"/>
              <w:right w:val="single" w:sz="4" w:space="0" w:color="auto"/>
            </w:tcBorders>
            <w:shd w:val="clear" w:color="auto" w:fill="auto"/>
            <w:noWrap/>
            <w:vAlign w:val="bottom"/>
          </w:tcPr>
          <w:p w14:paraId="1B97E993" w14:textId="0C6FCFBC" w:rsidR="00CC3232" w:rsidRPr="00F12659" w:rsidRDefault="00682FBF" w:rsidP="00FB1C37">
            <w:pPr>
              <w:jc w:val="right"/>
              <w:rPr>
                <w:color w:val="000000"/>
                <w:sz w:val="22"/>
                <w:szCs w:val="22"/>
                <w:lang w:eastAsia="en-GB"/>
              </w:rPr>
            </w:pPr>
            <w:r>
              <w:rPr>
                <w:color w:val="000000"/>
                <w:sz w:val="22"/>
                <w:szCs w:val="22"/>
                <w:lang w:eastAsia="en-GB"/>
              </w:rPr>
              <w:t>0.67</w:t>
            </w:r>
          </w:p>
        </w:tc>
      </w:tr>
      <w:tr w:rsidR="00CA77EA" w:rsidRPr="002543ED" w14:paraId="0F619635" w14:textId="77777777" w:rsidTr="00CA77EA">
        <w:trPr>
          <w:trHeight w:val="313"/>
        </w:trPr>
        <w:tc>
          <w:tcPr>
            <w:tcW w:w="4565" w:type="dxa"/>
            <w:tcBorders>
              <w:top w:val="nil"/>
              <w:left w:val="single" w:sz="4" w:space="0" w:color="auto"/>
              <w:bottom w:val="single" w:sz="4" w:space="0" w:color="auto"/>
              <w:right w:val="single" w:sz="4" w:space="0" w:color="auto"/>
            </w:tcBorders>
            <w:shd w:val="clear" w:color="auto" w:fill="auto"/>
            <w:noWrap/>
            <w:vAlign w:val="bottom"/>
          </w:tcPr>
          <w:p w14:paraId="6D6D3240" w14:textId="5B916426" w:rsidR="00CA77EA" w:rsidRPr="00F12659" w:rsidRDefault="00CA77EA" w:rsidP="00CA77EA">
            <w:pPr>
              <w:rPr>
                <w:b/>
                <w:bCs/>
                <w:color w:val="000000"/>
                <w:sz w:val="22"/>
                <w:szCs w:val="22"/>
                <w:lang w:eastAsia="en-GB"/>
              </w:rPr>
            </w:pPr>
            <w:r w:rsidRPr="00F12659">
              <w:rPr>
                <w:b/>
                <w:bCs/>
                <w:color w:val="000000"/>
                <w:sz w:val="22"/>
                <w:szCs w:val="22"/>
                <w:lang w:eastAsia="en-GB"/>
              </w:rPr>
              <w:t>Total treasury investments</w:t>
            </w: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112DA68E" w14:textId="68C8B3E1" w:rsidR="00CA77EA" w:rsidRPr="00F12659" w:rsidRDefault="00CA77EA" w:rsidP="00CA77EA">
            <w:pPr>
              <w:jc w:val="right"/>
              <w:rPr>
                <w:color w:val="000000"/>
                <w:sz w:val="22"/>
                <w:szCs w:val="22"/>
                <w:lang w:eastAsia="en-GB"/>
              </w:rPr>
            </w:pPr>
            <w:r w:rsidRPr="00F12659">
              <w:rPr>
                <w:color w:val="000000"/>
                <w:sz w:val="22"/>
                <w:szCs w:val="22"/>
                <w:lang w:eastAsia="en-GB"/>
              </w:rPr>
              <w:t>1</w:t>
            </w:r>
            <w:r>
              <w:rPr>
                <w:color w:val="000000"/>
                <w:sz w:val="22"/>
                <w:szCs w:val="22"/>
                <w:lang w:eastAsia="en-GB"/>
              </w:rPr>
              <w:t>3</w:t>
            </w:r>
            <w:r w:rsidRPr="00F12659">
              <w:rPr>
                <w:color w:val="000000"/>
                <w:sz w:val="22"/>
                <w:szCs w:val="22"/>
                <w:lang w:eastAsia="en-GB"/>
              </w:rPr>
              <w:t>.0</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F5B5F3E" w14:textId="30F1B76D" w:rsidR="00CA77EA" w:rsidRPr="00F12659" w:rsidRDefault="00CA77EA" w:rsidP="00CA77EA">
            <w:pPr>
              <w:jc w:val="right"/>
              <w:rPr>
                <w:color w:val="000000"/>
                <w:sz w:val="22"/>
                <w:szCs w:val="22"/>
                <w:lang w:eastAsia="en-GB"/>
              </w:rPr>
            </w:pPr>
          </w:p>
        </w:tc>
      </w:tr>
      <w:tr w:rsidR="00CA77EA" w:rsidRPr="002543ED" w14:paraId="5FC8E44B" w14:textId="77777777" w:rsidTr="00CA77EA">
        <w:trPr>
          <w:trHeight w:val="313"/>
        </w:trPr>
        <w:tc>
          <w:tcPr>
            <w:tcW w:w="4565" w:type="dxa"/>
            <w:tcBorders>
              <w:top w:val="single" w:sz="4" w:space="0" w:color="auto"/>
              <w:left w:val="single" w:sz="4" w:space="0" w:color="auto"/>
              <w:bottom w:val="single" w:sz="4" w:space="0" w:color="auto"/>
              <w:right w:val="nil"/>
            </w:tcBorders>
            <w:shd w:val="clear" w:color="auto" w:fill="auto"/>
            <w:noWrap/>
            <w:vAlign w:val="bottom"/>
            <w:hideMark/>
          </w:tcPr>
          <w:p w14:paraId="48FA9228" w14:textId="77777777" w:rsidR="00CA77EA" w:rsidRPr="00F12659" w:rsidRDefault="00CA77EA" w:rsidP="00CA77EA">
            <w:pPr>
              <w:rPr>
                <w:b/>
                <w:bCs/>
                <w:color w:val="000000"/>
                <w:sz w:val="22"/>
                <w:szCs w:val="22"/>
                <w:lang w:eastAsia="en-GB"/>
              </w:rPr>
            </w:pPr>
            <w:r w:rsidRPr="00F12659">
              <w:rPr>
                <w:b/>
                <w:bCs/>
                <w:color w:val="000000"/>
                <w:sz w:val="22"/>
                <w:szCs w:val="22"/>
                <w:lang w:eastAsia="en-GB"/>
              </w:rPr>
              <w:t>Net debt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E957" w14:textId="55301711" w:rsidR="00CA77EA" w:rsidRPr="00F12659" w:rsidRDefault="00CA77EA" w:rsidP="00CA77EA">
            <w:pPr>
              <w:jc w:val="right"/>
              <w:rPr>
                <w:b/>
                <w:bCs/>
                <w:color w:val="000000"/>
                <w:sz w:val="22"/>
                <w:szCs w:val="22"/>
                <w:lang w:eastAsia="en-GB"/>
              </w:rPr>
            </w:pPr>
            <w:r w:rsidRPr="00F12659">
              <w:rPr>
                <w:b/>
                <w:bCs/>
                <w:color w:val="000000"/>
                <w:sz w:val="22"/>
                <w:szCs w:val="22"/>
                <w:lang w:eastAsia="en-GB"/>
              </w:rPr>
              <w:t>1</w:t>
            </w:r>
            <w:r w:rsidR="00682FBF">
              <w:rPr>
                <w:b/>
                <w:bCs/>
                <w:color w:val="000000"/>
                <w:sz w:val="22"/>
                <w:szCs w:val="22"/>
                <w:lang w:eastAsia="en-GB"/>
              </w:rPr>
              <w:t>1</w:t>
            </w:r>
            <w:r w:rsidRPr="00F12659">
              <w:rPr>
                <w:b/>
                <w:bCs/>
                <w:color w:val="000000"/>
                <w:sz w:val="22"/>
                <w:szCs w:val="22"/>
                <w:lang w:eastAsia="en-GB"/>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957C27" w14:textId="42F12AFD" w:rsidR="00CA77EA" w:rsidRPr="00F12659" w:rsidRDefault="00CA77EA" w:rsidP="00CA77EA">
            <w:pPr>
              <w:jc w:val="right"/>
              <w:rPr>
                <w:color w:val="000000"/>
                <w:sz w:val="22"/>
                <w:szCs w:val="22"/>
                <w:lang w:eastAsia="en-GB"/>
              </w:rPr>
            </w:pPr>
          </w:p>
        </w:tc>
      </w:tr>
    </w:tbl>
    <w:p w14:paraId="38EB0277" w14:textId="6608E902" w:rsidR="00CC3232" w:rsidRPr="0041076E" w:rsidRDefault="00CC3232" w:rsidP="00CC3232">
      <w:pPr>
        <w:pStyle w:val="ListParagraph"/>
        <w:ind w:left="0"/>
        <w:jc w:val="both"/>
        <w:rPr>
          <w:b/>
        </w:rPr>
      </w:pPr>
    </w:p>
    <w:p w14:paraId="2ACA5451" w14:textId="39E2A21F" w:rsidR="00CC3232" w:rsidRDefault="00CC3232" w:rsidP="00CC3232">
      <w:pPr>
        <w:rPr>
          <w:b/>
        </w:rPr>
      </w:pPr>
      <w:r>
        <w:rPr>
          <w:b/>
        </w:rPr>
        <w:br w:type="page"/>
      </w:r>
    </w:p>
    <w:p w14:paraId="789B72D9" w14:textId="73DD4A7E" w:rsidR="00CC3232" w:rsidRPr="00C70D42" w:rsidRDefault="00CC3232" w:rsidP="00C70D42">
      <w:pPr>
        <w:pStyle w:val="Heading1"/>
        <w:spacing w:before="0" w:after="240"/>
        <w:rPr>
          <w:rFonts w:asciiTheme="minorBidi" w:hAnsiTheme="minorBidi" w:cstheme="minorBidi"/>
          <w:sz w:val="28"/>
          <w:szCs w:val="28"/>
        </w:rPr>
      </w:pPr>
      <w:bookmarkStart w:id="23" w:name="_Toc73025268"/>
      <w:bookmarkStart w:id="24" w:name="_Toc130486359"/>
      <w:r w:rsidRPr="00C70D42">
        <w:rPr>
          <w:rFonts w:asciiTheme="minorBidi" w:hAnsiTheme="minorBidi" w:cstheme="minorBidi"/>
          <w:sz w:val="28"/>
          <w:szCs w:val="28"/>
        </w:rPr>
        <w:lastRenderedPageBreak/>
        <w:t xml:space="preserve">Appendix D – Balance sheet analysis as </w:t>
      </w:r>
      <w:proofErr w:type="gramStart"/>
      <w:r w:rsidRPr="00C70D42">
        <w:rPr>
          <w:rFonts w:asciiTheme="minorBidi" w:hAnsiTheme="minorBidi" w:cstheme="minorBidi"/>
          <w:sz w:val="28"/>
          <w:szCs w:val="28"/>
        </w:rPr>
        <w:t>at</w:t>
      </w:r>
      <w:proofErr w:type="gramEnd"/>
      <w:r w:rsidRPr="00C70D42">
        <w:rPr>
          <w:rFonts w:asciiTheme="minorBidi" w:hAnsiTheme="minorBidi" w:cstheme="minorBidi"/>
          <w:sz w:val="28"/>
          <w:szCs w:val="28"/>
        </w:rPr>
        <w:t xml:space="preserve"> 31st </w:t>
      </w:r>
      <w:r w:rsidR="00602405">
        <w:rPr>
          <w:rFonts w:asciiTheme="minorBidi" w:hAnsiTheme="minorBidi" w:cstheme="minorBidi"/>
          <w:sz w:val="28"/>
          <w:szCs w:val="28"/>
        </w:rPr>
        <w:t>March</w:t>
      </w:r>
      <w:r w:rsidRPr="00C70D42">
        <w:rPr>
          <w:rFonts w:asciiTheme="minorBidi" w:hAnsiTheme="minorBidi" w:cstheme="minorBidi"/>
          <w:sz w:val="28"/>
          <w:szCs w:val="28"/>
        </w:rPr>
        <w:t xml:space="preserve"> 202</w:t>
      </w:r>
      <w:r w:rsidR="00200380">
        <w:rPr>
          <w:rFonts w:asciiTheme="minorBidi" w:hAnsiTheme="minorBidi" w:cstheme="minorBidi"/>
          <w:sz w:val="28"/>
          <w:szCs w:val="28"/>
        </w:rPr>
        <w:t>2</w:t>
      </w:r>
      <w:bookmarkEnd w:id="24"/>
      <w:r w:rsidRPr="00C70D42">
        <w:rPr>
          <w:rFonts w:asciiTheme="minorBidi" w:hAnsiTheme="minorBidi" w:cstheme="minorBidi"/>
          <w:sz w:val="28"/>
          <w:szCs w:val="28"/>
        </w:rPr>
        <w:t xml:space="preserve"> </w:t>
      </w:r>
      <w:bookmarkEnd w:id="23"/>
    </w:p>
    <w:p w14:paraId="7048BA9C" w14:textId="1D233E20" w:rsidR="00E66CA7" w:rsidRPr="00E66CA7" w:rsidRDefault="00E66CA7" w:rsidP="00E66CA7">
      <w:pPr>
        <w:rPr>
          <w:sz w:val="16"/>
          <w:szCs w:val="16"/>
        </w:rPr>
      </w:pPr>
      <w:r w:rsidRPr="00E66CA7">
        <w:rPr>
          <w:sz w:val="16"/>
          <w:szCs w:val="16"/>
        </w:rPr>
        <w:t xml:space="preserve">(Based on </w:t>
      </w:r>
      <w:r w:rsidR="00FF75D6">
        <w:rPr>
          <w:sz w:val="16"/>
          <w:szCs w:val="16"/>
        </w:rPr>
        <w:t>audited</w:t>
      </w:r>
      <w:r w:rsidRPr="00E66CA7">
        <w:rPr>
          <w:sz w:val="16"/>
          <w:szCs w:val="16"/>
        </w:rPr>
        <w:t xml:space="preserve"> financial statements)</w:t>
      </w:r>
    </w:p>
    <w:p w14:paraId="16383EF9" w14:textId="77777777" w:rsidR="00E66CA7" w:rsidRPr="00E66CA7" w:rsidRDefault="00E66CA7" w:rsidP="00E66CA7"/>
    <w:p w14:paraId="23ABE90A" w14:textId="471091AD" w:rsidR="00CC3232" w:rsidRPr="00CC3232" w:rsidRDefault="008732AE" w:rsidP="00CC3232">
      <w:pPr>
        <w:rPr>
          <w:rFonts w:asciiTheme="minorBidi" w:hAnsiTheme="minorBidi" w:cstheme="minorBidi"/>
        </w:rPr>
      </w:pPr>
      <w:r w:rsidRPr="008732AE">
        <w:rPr>
          <w:noProof/>
        </w:rPr>
        <w:drawing>
          <wp:inline distT="0" distB="0" distL="0" distR="0" wp14:anchorId="48A6853B" wp14:editId="020E1465">
            <wp:extent cx="6029960" cy="55549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9960" cy="5554980"/>
                    </a:xfrm>
                    <a:prstGeom prst="rect">
                      <a:avLst/>
                    </a:prstGeom>
                    <a:noFill/>
                    <a:ln>
                      <a:noFill/>
                    </a:ln>
                  </pic:spPr>
                </pic:pic>
              </a:graphicData>
            </a:graphic>
          </wp:inline>
        </w:drawing>
      </w:r>
    </w:p>
    <w:p w14:paraId="53090AF5" w14:textId="1CF64188" w:rsidR="00CC3232" w:rsidRPr="00CC3232" w:rsidRDefault="00CC3232" w:rsidP="00CC3232">
      <w:pPr>
        <w:rPr>
          <w:rFonts w:asciiTheme="minorBidi" w:hAnsiTheme="minorBidi" w:cstheme="minorBidi"/>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CC3232" w:rsidRPr="00DD5603" w14:paraId="002A7AD7" w14:textId="77777777" w:rsidTr="00D6744D">
        <w:tc>
          <w:tcPr>
            <w:tcW w:w="8954" w:type="dxa"/>
            <w:gridSpan w:val="2"/>
          </w:tcPr>
          <w:p w14:paraId="2138192C" w14:textId="4D108278"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LOCAL GOVERNMENT (ACCESS TO INFORMATION) ACT 1985</w:t>
            </w:r>
          </w:p>
        </w:tc>
      </w:tr>
      <w:tr w:rsidR="00CC3232" w:rsidRPr="00DD5603" w14:paraId="272D010A" w14:textId="77777777" w:rsidTr="00D6744D">
        <w:tc>
          <w:tcPr>
            <w:tcW w:w="8954" w:type="dxa"/>
            <w:gridSpan w:val="2"/>
          </w:tcPr>
          <w:p w14:paraId="78B73303"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List of background documents – none.</w:t>
            </w:r>
          </w:p>
        </w:tc>
      </w:tr>
      <w:tr w:rsidR="00CC3232" w:rsidRPr="00DD5603" w14:paraId="48CF71F6" w14:textId="77777777" w:rsidTr="00D6744D">
        <w:tc>
          <w:tcPr>
            <w:tcW w:w="8954" w:type="dxa"/>
            <w:gridSpan w:val="2"/>
          </w:tcPr>
          <w:p w14:paraId="048DA3BE"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p>
        </w:tc>
      </w:tr>
      <w:tr w:rsidR="00CC3232" w:rsidRPr="00DD5603" w14:paraId="46FEA43C" w14:textId="77777777" w:rsidTr="00D6744D">
        <w:trPr>
          <w:trHeight w:val="218"/>
        </w:trPr>
        <w:tc>
          <w:tcPr>
            <w:tcW w:w="1998" w:type="dxa"/>
          </w:tcPr>
          <w:p w14:paraId="5953BE36"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Proper Officer:</w:t>
            </w:r>
          </w:p>
        </w:tc>
        <w:tc>
          <w:tcPr>
            <w:tcW w:w="6956" w:type="dxa"/>
          </w:tcPr>
          <w:p w14:paraId="7CB50145"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Chief Financial Officer (S151)</w:t>
            </w:r>
          </w:p>
        </w:tc>
      </w:tr>
      <w:tr w:rsidR="00CC3232" w:rsidRPr="00DD5603" w14:paraId="30966E47" w14:textId="77777777" w:rsidTr="00D6744D">
        <w:trPr>
          <w:trHeight w:val="217"/>
        </w:trPr>
        <w:tc>
          <w:tcPr>
            <w:tcW w:w="1998" w:type="dxa"/>
            <w:tcBorders>
              <w:bottom w:val="single" w:sz="4" w:space="0" w:color="auto"/>
            </w:tcBorders>
          </w:tcPr>
          <w:p w14:paraId="31EF687D"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Contact Officer:</w:t>
            </w:r>
          </w:p>
        </w:tc>
        <w:tc>
          <w:tcPr>
            <w:tcW w:w="6956" w:type="dxa"/>
            <w:tcBorders>
              <w:bottom w:val="single" w:sz="4" w:space="0" w:color="auto"/>
            </w:tcBorders>
          </w:tcPr>
          <w:p w14:paraId="48886351"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Neil Cross</w:t>
            </w:r>
          </w:p>
          <w:p w14:paraId="33570773"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 xml:space="preserve">Essex County Fire </w:t>
            </w:r>
            <w:r>
              <w:rPr>
                <w:rFonts w:asciiTheme="minorBidi" w:hAnsiTheme="minorBidi" w:cstheme="minorBidi"/>
                <w:bCs/>
                <w:color w:val="000000"/>
              </w:rPr>
              <w:t>and</w:t>
            </w:r>
            <w:r w:rsidRPr="00DD5603">
              <w:rPr>
                <w:rFonts w:asciiTheme="minorBidi" w:hAnsiTheme="minorBidi" w:cstheme="minorBidi"/>
                <w:bCs/>
                <w:color w:val="000000"/>
              </w:rPr>
              <w:t xml:space="preserve"> Rescue Service, Kelvedon Park, London Road, </w:t>
            </w:r>
            <w:proofErr w:type="spellStart"/>
            <w:r w:rsidRPr="00DD5603">
              <w:rPr>
                <w:rFonts w:asciiTheme="minorBidi" w:hAnsiTheme="minorBidi" w:cstheme="minorBidi"/>
                <w:bCs/>
                <w:color w:val="000000"/>
              </w:rPr>
              <w:t>Rivenhall</w:t>
            </w:r>
            <w:proofErr w:type="spellEnd"/>
            <w:r w:rsidRPr="00DD5603">
              <w:rPr>
                <w:rFonts w:asciiTheme="minorBidi" w:hAnsiTheme="minorBidi" w:cstheme="minorBidi"/>
                <w:bCs/>
                <w:color w:val="000000"/>
              </w:rPr>
              <w:t>, Witham CM8 3HB</w:t>
            </w:r>
          </w:p>
          <w:p w14:paraId="2CC58545" w14:textId="77777777" w:rsidR="00CC3232" w:rsidRPr="00DD5603" w:rsidRDefault="00CC3232" w:rsidP="00D6744D">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Tel: 01376 576100</w:t>
            </w:r>
          </w:p>
        </w:tc>
      </w:tr>
    </w:tbl>
    <w:p w14:paraId="2E3CC0CB" w14:textId="77777777" w:rsidR="00CC3232" w:rsidRPr="00CC3232" w:rsidRDefault="00CC3232" w:rsidP="00CC3232">
      <w:pPr>
        <w:rPr>
          <w:rFonts w:asciiTheme="minorBidi" w:hAnsiTheme="minorBidi" w:cstheme="minorBidi"/>
        </w:rPr>
      </w:pPr>
    </w:p>
    <w:sectPr w:rsidR="00CC3232" w:rsidRPr="00CC3232" w:rsidSect="006F0A8B">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A410" w14:textId="77777777" w:rsidR="004163D4" w:rsidRDefault="004163D4">
      <w:r>
        <w:separator/>
      </w:r>
    </w:p>
  </w:endnote>
  <w:endnote w:type="continuationSeparator" w:id="0">
    <w:p w14:paraId="4A7FF048" w14:textId="77777777" w:rsidR="004163D4" w:rsidRDefault="004163D4">
      <w:r>
        <w:continuationSeparator/>
      </w:r>
    </w:p>
  </w:endnote>
  <w:endnote w:type="continuationNotice" w:id="1">
    <w:p w14:paraId="77F7CB4C" w14:textId="77777777" w:rsidR="004163D4" w:rsidRDefault="0041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F9B" w14:textId="4413FF97" w:rsidR="001A2B2C" w:rsidRDefault="001A2B2C">
    <w:pPr>
      <w:pStyle w:val="Footer"/>
    </w:pPr>
    <w:r>
      <w:rPr>
        <w:noProof/>
      </w:rPr>
      <mc:AlternateContent>
        <mc:Choice Requires="wps">
          <w:drawing>
            <wp:anchor distT="0" distB="0" distL="0" distR="0" simplePos="0" relativeHeight="251665408" behindDoc="0" locked="0" layoutInCell="1" allowOverlap="1" wp14:anchorId="4E410B1D" wp14:editId="2A7A40C9">
              <wp:simplePos x="635" y="635"/>
              <wp:positionH relativeFrom="column">
                <wp:align>center</wp:align>
              </wp:positionH>
              <wp:positionV relativeFrom="paragraph">
                <wp:posOffset>635</wp:posOffset>
              </wp:positionV>
              <wp:extent cx="443865" cy="443865"/>
              <wp:effectExtent l="0" t="0" r="9525" b="16510"/>
              <wp:wrapSquare wrapText="bothSides"/>
              <wp:docPr id="9" name="Text Box 9"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6E2DCA" w14:textId="09DF8783"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410B1D" id="_x0000_t202" coordsize="21600,21600" o:spt="202" path="m,l,21600r21600,l21600,xe">
              <v:stroke joinstyle="miter"/>
              <v:path gradientshapeok="t" o:connecttype="rect"/>
            </v:shapetype>
            <v:shape id="Text Box 9" o:spid="_x0000_s1031" type="#_x0000_t202" alt="OFFICIAL-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C6E2DCA" w14:textId="09DF8783"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95741"/>
      <w:docPartObj>
        <w:docPartGallery w:val="Page Numbers (Bottom of Page)"/>
        <w:docPartUnique/>
      </w:docPartObj>
    </w:sdtPr>
    <w:sdtEndPr>
      <w:rPr>
        <w:noProof/>
      </w:rPr>
    </w:sdtEndPr>
    <w:sdtContent>
      <w:p w14:paraId="7061AAD8" w14:textId="63EE766B"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5CB54" w14:textId="70BF6C44" w:rsidR="00986C52" w:rsidRDefault="00986C52" w:rsidP="00AA60E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45A0" w14:textId="3B4D63E3" w:rsidR="00986C52" w:rsidRDefault="00986C52" w:rsidP="00D133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243" w14:textId="3B521113" w:rsidR="001A2B2C" w:rsidRDefault="001A2B2C">
    <w:pPr>
      <w:pStyle w:val="Footer"/>
    </w:pPr>
    <w:r>
      <w:rPr>
        <w:noProof/>
      </w:rPr>
      <mc:AlternateContent>
        <mc:Choice Requires="wps">
          <w:drawing>
            <wp:anchor distT="0" distB="0" distL="0" distR="0" simplePos="0" relativeHeight="251668480" behindDoc="0" locked="0" layoutInCell="1" allowOverlap="1" wp14:anchorId="5665E6A2" wp14:editId="445DB689">
              <wp:simplePos x="635" y="635"/>
              <wp:positionH relativeFrom="column">
                <wp:align>center</wp:align>
              </wp:positionH>
              <wp:positionV relativeFrom="paragraph">
                <wp:posOffset>635</wp:posOffset>
              </wp:positionV>
              <wp:extent cx="443865" cy="443865"/>
              <wp:effectExtent l="0" t="0" r="9525" b="16510"/>
              <wp:wrapSquare wrapText="bothSides"/>
              <wp:docPr id="13" name="Text Box 13"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DDCF8" w14:textId="2F12D0C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65E6A2" id="_x0000_t202" coordsize="21600,21600" o:spt="202" path="m,l,21600r21600,l21600,xe">
              <v:stroke joinstyle="miter"/>
              <v:path gradientshapeok="t" o:connecttype="rect"/>
            </v:shapetype>
            <v:shape id="Text Box 13" o:spid="_x0000_s1033" type="#_x0000_t202" alt="OFFICIAL-SENSITIVE"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DFDDCF8" w14:textId="2F12D0C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23727"/>
      <w:docPartObj>
        <w:docPartGallery w:val="Page Numbers (Bottom of Page)"/>
        <w:docPartUnique/>
      </w:docPartObj>
    </w:sdtPr>
    <w:sdtEndPr>
      <w:rPr>
        <w:noProof/>
      </w:rPr>
    </w:sdtEndPr>
    <w:sdtContent>
      <w:p w14:paraId="19EFF2A2" w14:textId="0DD840D3"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990F9B">
          <w:rPr>
            <w:noProof/>
          </w:rPr>
          <w:t>27</w:t>
        </w:r>
      </w:p>
    </w:sdtContent>
  </w:sdt>
  <w:p w14:paraId="253C0286" w14:textId="77777777" w:rsidR="009D5371" w:rsidRDefault="009D5371" w:rsidP="00AA60E6">
    <w:pPr>
      <w:pStyle w:val="Footer"/>
      <w:jc w:val="cente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4584" w14:textId="08FB7DAA"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p>
  <w:p w14:paraId="4B1A6D57" w14:textId="683D5EE8" w:rsidR="00986C52" w:rsidRPr="005E6923" w:rsidRDefault="00986C52" w:rsidP="00D1337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92249"/>
      <w:docPartObj>
        <w:docPartGallery w:val="Page Numbers (Bottom of Page)"/>
        <w:docPartUnique/>
      </w:docPartObj>
    </w:sdtPr>
    <w:sdtEndPr>
      <w:rPr>
        <w:noProof/>
      </w:rPr>
    </w:sdtEndPr>
    <w:sdtContent>
      <w:p w14:paraId="0F8B93CA" w14:textId="077F00DF"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6F0A8B">
          <w:rPr>
            <w:noProof/>
          </w:rPr>
          <w:t>2</w:t>
        </w:r>
        <w:r w:rsidR="00A5542D">
          <w:rPr>
            <w:noProof/>
          </w:rPr>
          <w:t>5</w:t>
        </w:r>
      </w:p>
    </w:sdtContent>
  </w:sdt>
  <w:p w14:paraId="78B169A2" w14:textId="77777777" w:rsidR="009D5371" w:rsidRDefault="009D5371" w:rsidP="00AA60E6">
    <w:pPr>
      <w:pStyle w:val="Footer"/>
      <w:jc w:val="cente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2B2" w14:textId="0F35586A"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FF2147">
      <w:rPr>
        <w:noProof/>
      </w:rPr>
      <w:t>2</w:t>
    </w:r>
    <w:r w:rsidR="00A07107">
      <w:rPr>
        <w:noProof/>
      </w:rPr>
      <w:t>7</w:t>
    </w:r>
  </w:p>
  <w:p w14:paraId="2AFD0C4F" w14:textId="77777777" w:rsidR="009D5371" w:rsidRPr="005E6923" w:rsidRDefault="009D5371"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780D" w14:textId="77777777" w:rsidR="004163D4" w:rsidRDefault="004163D4">
      <w:r>
        <w:separator/>
      </w:r>
    </w:p>
  </w:footnote>
  <w:footnote w:type="continuationSeparator" w:id="0">
    <w:p w14:paraId="189B1D5E" w14:textId="77777777" w:rsidR="004163D4" w:rsidRDefault="004163D4">
      <w:r>
        <w:continuationSeparator/>
      </w:r>
    </w:p>
  </w:footnote>
  <w:footnote w:type="continuationNotice" w:id="1">
    <w:p w14:paraId="66A678C5" w14:textId="77777777" w:rsidR="004163D4" w:rsidRDefault="00416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75E6" w14:textId="0652894F" w:rsidR="001A2B2C" w:rsidRDefault="001A2B2C">
    <w:pPr>
      <w:pStyle w:val="Header"/>
    </w:pPr>
    <w:r>
      <w:rPr>
        <w:noProof/>
      </w:rPr>
      <mc:AlternateContent>
        <mc:Choice Requires="wps">
          <w:drawing>
            <wp:anchor distT="0" distB="0" distL="0" distR="0" simplePos="0" relativeHeight="251659264" behindDoc="0" locked="0" layoutInCell="1" allowOverlap="1" wp14:anchorId="276A44D6" wp14:editId="7C6F8071">
              <wp:simplePos x="635" y="635"/>
              <wp:positionH relativeFrom="column">
                <wp:align>center</wp:align>
              </wp:positionH>
              <wp:positionV relativeFrom="paragraph">
                <wp:posOffset>635</wp:posOffset>
              </wp:positionV>
              <wp:extent cx="443865" cy="443865"/>
              <wp:effectExtent l="0" t="0" r="9525" b="16510"/>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FB37F" w14:textId="3565F48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6A44D6" id="_x0000_t202" coordsize="21600,21600" o:spt="202" path="m,l,21600r21600,l21600,xe">
              <v:stroke joinstyle="miter"/>
              <v:path gradientshapeok="t" o:connecttype="rect"/>
            </v:shapetype>
            <v:shape id="_x0000_s1030"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0FB37F" w14:textId="3565F48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EA26" w14:textId="32246353" w:rsidR="001A2B2C" w:rsidRDefault="001A2B2C">
    <w:pPr>
      <w:pStyle w:val="Header"/>
    </w:pPr>
    <w:r>
      <w:rPr>
        <w:noProof/>
      </w:rPr>
      <mc:AlternateContent>
        <mc:Choice Requires="wps">
          <w:drawing>
            <wp:anchor distT="0" distB="0" distL="0" distR="0" simplePos="0" relativeHeight="251662336" behindDoc="0" locked="0" layoutInCell="1" allowOverlap="1" wp14:anchorId="39032C16" wp14:editId="45840C4D">
              <wp:simplePos x="635" y="635"/>
              <wp:positionH relativeFrom="column">
                <wp:align>center</wp:align>
              </wp:positionH>
              <wp:positionV relativeFrom="paragraph">
                <wp:posOffset>635</wp:posOffset>
              </wp:positionV>
              <wp:extent cx="443865" cy="443865"/>
              <wp:effectExtent l="0" t="0" r="9525" b="1651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287FD" w14:textId="3097D81E"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032C16" id="_x0000_t202" coordsize="21600,21600" o:spt="202" path="m,l,21600r21600,l21600,xe">
              <v:stroke joinstyle="miter"/>
              <v:path gradientshapeok="t" o:connecttype="rect"/>
            </v:shapetype>
            <v:shape id="Text Box 6" o:spid="_x0000_s1032"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F3287FD" w14:textId="3097D81E"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BFA6" w14:textId="486B2C28" w:rsidR="001A2B2C" w:rsidRDefault="001A2B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B027" w14:textId="7E182DB2" w:rsidR="001A2B2C" w:rsidRDefault="001A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F5"/>
    <w:multiLevelType w:val="hybridMultilevel"/>
    <w:tmpl w:val="8CE0F05E"/>
    <w:lvl w:ilvl="0" w:tplc="2E109A7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C3484"/>
    <w:multiLevelType w:val="hybridMultilevel"/>
    <w:tmpl w:val="C6228D9A"/>
    <w:lvl w:ilvl="0" w:tplc="BB94C9FC">
      <w:start w:val="1"/>
      <w:numFmt w:val="bullet"/>
      <w:lvlText w:val="•"/>
      <w:lvlJc w:val="left"/>
      <w:pPr>
        <w:tabs>
          <w:tab w:val="num" w:pos="720"/>
        </w:tabs>
        <w:ind w:left="720" w:hanging="360"/>
      </w:pPr>
      <w:rPr>
        <w:rFonts w:ascii="Arial" w:hAnsi="Arial" w:hint="default"/>
      </w:rPr>
    </w:lvl>
    <w:lvl w:ilvl="1" w:tplc="423EB19A" w:tentative="1">
      <w:start w:val="1"/>
      <w:numFmt w:val="bullet"/>
      <w:lvlText w:val="•"/>
      <w:lvlJc w:val="left"/>
      <w:pPr>
        <w:tabs>
          <w:tab w:val="num" w:pos="1440"/>
        </w:tabs>
        <w:ind w:left="1440" w:hanging="360"/>
      </w:pPr>
      <w:rPr>
        <w:rFonts w:ascii="Arial" w:hAnsi="Arial" w:hint="default"/>
      </w:rPr>
    </w:lvl>
    <w:lvl w:ilvl="2" w:tplc="E8B63CCA" w:tentative="1">
      <w:start w:val="1"/>
      <w:numFmt w:val="bullet"/>
      <w:lvlText w:val="•"/>
      <w:lvlJc w:val="left"/>
      <w:pPr>
        <w:tabs>
          <w:tab w:val="num" w:pos="2160"/>
        </w:tabs>
        <w:ind w:left="2160" w:hanging="360"/>
      </w:pPr>
      <w:rPr>
        <w:rFonts w:ascii="Arial" w:hAnsi="Arial" w:hint="default"/>
      </w:rPr>
    </w:lvl>
    <w:lvl w:ilvl="3" w:tplc="86807524" w:tentative="1">
      <w:start w:val="1"/>
      <w:numFmt w:val="bullet"/>
      <w:lvlText w:val="•"/>
      <w:lvlJc w:val="left"/>
      <w:pPr>
        <w:tabs>
          <w:tab w:val="num" w:pos="2880"/>
        </w:tabs>
        <w:ind w:left="2880" w:hanging="360"/>
      </w:pPr>
      <w:rPr>
        <w:rFonts w:ascii="Arial" w:hAnsi="Arial" w:hint="default"/>
      </w:rPr>
    </w:lvl>
    <w:lvl w:ilvl="4" w:tplc="6A4435B2" w:tentative="1">
      <w:start w:val="1"/>
      <w:numFmt w:val="bullet"/>
      <w:lvlText w:val="•"/>
      <w:lvlJc w:val="left"/>
      <w:pPr>
        <w:tabs>
          <w:tab w:val="num" w:pos="3600"/>
        </w:tabs>
        <w:ind w:left="3600" w:hanging="360"/>
      </w:pPr>
      <w:rPr>
        <w:rFonts w:ascii="Arial" w:hAnsi="Arial" w:hint="default"/>
      </w:rPr>
    </w:lvl>
    <w:lvl w:ilvl="5" w:tplc="61E62B6C" w:tentative="1">
      <w:start w:val="1"/>
      <w:numFmt w:val="bullet"/>
      <w:lvlText w:val="•"/>
      <w:lvlJc w:val="left"/>
      <w:pPr>
        <w:tabs>
          <w:tab w:val="num" w:pos="4320"/>
        </w:tabs>
        <w:ind w:left="4320" w:hanging="360"/>
      </w:pPr>
      <w:rPr>
        <w:rFonts w:ascii="Arial" w:hAnsi="Arial" w:hint="default"/>
      </w:rPr>
    </w:lvl>
    <w:lvl w:ilvl="6" w:tplc="1C8438D6" w:tentative="1">
      <w:start w:val="1"/>
      <w:numFmt w:val="bullet"/>
      <w:lvlText w:val="•"/>
      <w:lvlJc w:val="left"/>
      <w:pPr>
        <w:tabs>
          <w:tab w:val="num" w:pos="5040"/>
        </w:tabs>
        <w:ind w:left="5040" w:hanging="360"/>
      </w:pPr>
      <w:rPr>
        <w:rFonts w:ascii="Arial" w:hAnsi="Arial" w:hint="default"/>
      </w:rPr>
    </w:lvl>
    <w:lvl w:ilvl="7" w:tplc="F24AADE4" w:tentative="1">
      <w:start w:val="1"/>
      <w:numFmt w:val="bullet"/>
      <w:lvlText w:val="•"/>
      <w:lvlJc w:val="left"/>
      <w:pPr>
        <w:tabs>
          <w:tab w:val="num" w:pos="5760"/>
        </w:tabs>
        <w:ind w:left="5760" w:hanging="360"/>
      </w:pPr>
      <w:rPr>
        <w:rFonts w:ascii="Arial" w:hAnsi="Arial" w:hint="default"/>
      </w:rPr>
    </w:lvl>
    <w:lvl w:ilvl="8" w:tplc="875C71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36C14"/>
    <w:multiLevelType w:val="hybridMultilevel"/>
    <w:tmpl w:val="43BCEC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11C08C0"/>
    <w:multiLevelType w:val="hybridMultilevel"/>
    <w:tmpl w:val="96EEC5BC"/>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97783"/>
    <w:multiLevelType w:val="hybridMultilevel"/>
    <w:tmpl w:val="64D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5510E"/>
    <w:multiLevelType w:val="multilevel"/>
    <w:tmpl w:val="71C058AC"/>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7" w15:restartNumberingAfterBreak="0">
    <w:nsid w:val="416342D6"/>
    <w:multiLevelType w:val="hybridMultilevel"/>
    <w:tmpl w:val="85605926"/>
    <w:lvl w:ilvl="0" w:tplc="5BEE2938">
      <w:start w:val="1"/>
      <w:numFmt w:val="bullet"/>
      <w:lvlText w:val="•"/>
      <w:lvlJc w:val="left"/>
      <w:pPr>
        <w:tabs>
          <w:tab w:val="num" w:pos="720"/>
        </w:tabs>
        <w:ind w:left="720" w:hanging="360"/>
      </w:pPr>
      <w:rPr>
        <w:rFonts w:ascii="Arial" w:hAnsi="Arial" w:hint="default"/>
      </w:rPr>
    </w:lvl>
    <w:lvl w:ilvl="1" w:tplc="BA025DB4" w:tentative="1">
      <w:start w:val="1"/>
      <w:numFmt w:val="bullet"/>
      <w:lvlText w:val="•"/>
      <w:lvlJc w:val="left"/>
      <w:pPr>
        <w:tabs>
          <w:tab w:val="num" w:pos="1440"/>
        </w:tabs>
        <w:ind w:left="1440" w:hanging="360"/>
      </w:pPr>
      <w:rPr>
        <w:rFonts w:ascii="Arial" w:hAnsi="Arial" w:hint="default"/>
      </w:rPr>
    </w:lvl>
    <w:lvl w:ilvl="2" w:tplc="4816F5E2" w:tentative="1">
      <w:start w:val="1"/>
      <w:numFmt w:val="bullet"/>
      <w:lvlText w:val="•"/>
      <w:lvlJc w:val="left"/>
      <w:pPr>
        <w:tabs>
          <w:tab w:val="num" w:pos="2160"/>
        </w:tabs>
        <w:ind w:left="2160" w:hanging="360"/>
      </w:pPr>
      <w:rPr>
        <w:rFonts w:ascii="Arial" w:hAnsi="Arial" w:hint="default"/>
      </w:rPr>
    </w:lvl>
    <w:lvl w:ilvl="3" w:tplc="7C322CD8" w:tentative="1">
      <w:start w:val="1"/>
      <w:numFmt w:val="bullet"/>
      <w:lvlText w:val="•"/>
      <w:lvlJc w:val="left"/>
      <w:pPr>
        <w:tabs>
          <w:tab w:val="num" w:pos="2880"/>
        </w:tabs>
        <w:ind w:left="2880" w:hanging="360"/>
      </w:pPr>
      <w:rPr>
        <w:rFonts w:ascii="Arial" w:hAnsi="Arial" w:hint="default"/>
      </w:rPr>
    </w:lvl>
    <w:lvl w:ilvl="4" w:tplc="DD4089CC" w:tentative="1">
      <w:start w:val="1"/>
      <w:numFmt w:val="bullet"/>
      <w:lvlText w:val="•"/>
      <w:lvlJc w:val="left"/>
      <w:pPr>
        <w:tabs>
          <w:tab w:val="num" w:pos="3600"/>
        </w:tabs>
        <w:ind w:left="3600" w:hanging="360"/>
      </w:pPr>
      <w:rPr>
        <w:rFonts w:ascii="Arial" w:hAnsi="Arial" w:hint="default"/>
      </w:rPr>
    </w:lvl>
    <w:lvl w:ilvl="5" w:tplc="000AC8B2" w:tentative="1">
      <w:start w:val="1"/>
      <w:numFmt w:val="bullet"/>
      <w:lvlText w:val="•"/>
      <w:lvlJc w:val="left"/>
      <w:pPr>
        <w:tabs>
          <w:tab w:val="num" w:pos="4320"/>
        </w:tabs>
        <w:ind w:left="4320" w:hanging="360"/>
      </w:pPr>
      <w:rPr>
        <w:rFonts w:ascii="Arial" w:hAnsi="Arial" w:hint="default"/>
      </w:rPr>
    </w:lvl>
    <w:lvl w:ilvl="6" w:tplc="EB329F7E" w:tentative="1">
      <w:start w:val="1"/>
      <w:numFmt w:val="bullet"/>
      <w:lvlText w:val="•"/>
      <w:lvlJc w:val="left"/>
      <w:pPr>
        <w:tabs>
          <w:tab w:val="num" w:pos="5040"/>
        </w:tabs>
        <w:ind w:left="5040" w:hanging="360"/>
      </w:pPr>
      <w:rPr>
        <w:rFonts w:ascii="Arial" w:hAnsi="Arial" w:hint="default"/>
      </w:rPr>
    </w:lvl>
    <w:lvl w:ilvl="7" w:tplc="2B9A2EA4" w:tentative="1">
      <w:start w:val="1"/>
      <w:numFmt w:val="bullet"/>
      <w:lvlText w:val="•"/>
      <w:lvlJc w:val="left"/>
      <w:pPr>
        <w:tabs>
          <w:tab w:val="num" w:pos="5760"/>
        </w:tabs>
        <w:ind w:left="5760" w:hanging="360"/>
      </w:pPr>
      <w:rPr>
        <w:rFonts w:ascii="Arial" w:hAnsi="Arial" w:hint="default"/>
      </w:rPr>
    </w:lvl>
    <w:lvl w:ilvl="8" w:tplc="BFF0E6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356589"/>
    <w:multiLevelType w:val="hybridMultilevel"/>
    <w:tmpl w:val="FF225AEA"/>
    <w:lvl w:ilvl="0" w:tplc="5DFCF47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A0EBF"/>
    <w:multiLevelType w:val="multilevel"/>
    <w:tmpl w:val="8EC22C14"/>
    <w:lvl w:ilvl="0">
      <w:start w:val="6"/>
      <w:numFmt w:val="decimal"/>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1" w15:restartNumberingAfterBreak="0">
    <w:nsid w:val="543E280C"/>
    <w:multiLevelType w:val="hybridMultilevel"/>
    <w:tmpl w:val="2CA2C724"/>
    <w:lvl w:ilvl="0" w:tplc="CA14FA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77457"/>
    <w:multiLevelType w:val="hybridMultilevel"/>
    <w:tmpl w:val="0B562B94"/>
    <w:lvl w:ilvl="0" w:tplc="1416FF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44211"/>
    <w:multiLevelType w:val="hybridMultilevel"/>
    <w:tmpl w:val="B17455DC"/>
    <w:lvl w:ilvl="0" w:tplc="25B04030">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96486"/>
    <w:multiLevelType w:val="hybridMultilevel"/>
    <w:tmpl w:val="6276BF58"/>
    <w:lvl w:ilvl="0" w:tplc="B0C645C8">
      <w:start w:val="5"/>
      <w:numFmt w:val="bullet"/>
      <w:lvlText w:val="•"/>
      <w:lvlJc w:val="left"/>
      <w:pPr>
        <w:ind w:left="1080" w:hanging="720"/>
      </w:pPr>
      <w:rPr>
        <w:rFonts w:ascii="Trebuchet MS" w:eastAsia="Calibri" w:hAnsi="Trebuchet MS" w:cs="Times New Roman" w:hint="default"/>
      </w:rPr>
    </w:lvl>
    <w:lvl w:ilvl="1" w:tplc="0B2C1400">
      <w:numFmt w:val="bullet"/>
      <w:lvlText w:val=""/>
      <w:lvlJc w:val="left"/>
      <w:pPr>
        <w:ind w:left="1800" w:hanging="72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01E00"/>
    <w:multiLevelType w:val="multilevel"/>
    <w:tmpl w:val="32903C7E"/>
    <w:lvl w:ilvl="0">
      <w:start w:val="1"/>
      <w:numFmt w:val="lowerLetter"/>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6" w15:restartNumberingAfterBreak="0">
    <w:nsid w:val="60D64119"/>
    <w:multiLevelType w:val="hybridMultilevel"/>
    <w:tmpl w:val="96EEC5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CB718B"/>
    <w:multiLevelType w:val="multilevel"/>
    <w:tmpl w:val="42C6F5E8"/>
    <w:lvl w:ilvl="0">
      <w:start w:val="1"/>
      <w:numFmt w:val="lowerLetter"/>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17340F"/>
    <w:multiLevelType w:val="hybridMultilevel"/>
    <w:tmpl w:val="1CD8ED9C"/>
    <w:lvl w:ilvl="0" w:tplc="791C90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ACC3611"/>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739616">
    <w:abstractNumId w:val="5"/>
  </w:num>
  <w:num w:numId="2" w16cid:durableId="1450660669">
    <w:abstractNumId w:val="9"/>
  </w:num>
  <w:num w:numId="3" w16cid:durableId="1222793397">
    <w:abstractNumId w:val="14"/>
  </w:num>
  <w:num w:numId="4" w16cid:durableId="977759988">
    <w:abstractNumId w:val="1"/>
  </w:num>
  <w:num w:numId="5" w16cid:durableId="214660990">
    <w:abstractNumId w:val="7"/>
  </w:num>
  <w:num w:numId="6" w16cid:durableId="443576063">
    <w:abstractNumId w:val="19"/>
  </w:num>
  <w:num w:numId="7" w16cid:durableId="1569924833">
    <w:abstractNumId w:val="3"/>
  </w:num>
  <w:num w:numId="8" w16cid:durableId="1595896177">
    <w:abstractNumId w:val="16"/>
  </w:num>
  <w:num w:numId="9" w16cid:durableId="976187217">
    <w:abstractNumId w:val="12"/>
  </w:num>
  <w:num w:numId="10" w16cid:durableId="229849508">
    <w:abstractNumId w:val="11"/>
  </w:num>
  <w:num w:numId="11" w16cid:durableId="1237980563">
    <w:abstractNumId w:val="6"/>
  </w:num>
  <w:num w:numId="12" w16cid:durableId="1091198942">
    <w:abstractNumId w:val="4"/>
  </w:num>
  <w:num w:numId="13" w16cid:durableId="631401733">
    <w:abstractNumId w:val="10"/>
  </w:num>
  <w:num w:numId="14" w16cid:durableId="1058019114">
    <w:abstractNumId w:val="17"/>
  </w:num>
  <w:num w:numId="15" w16cid:durableId="1528328752">
    <w:abstractNumId w:val="15"/>
  </w:num>
  <w:num w:numId="16" w16cid:durableId="1480154041">
    <w:abstractNumId w:val="0"/>
  </w:num>
  <w:num w:numId="17" w16cid:durableId="1453551117">
    <w:abstractNumId w:val="18"/>
  </w:num>
  <w:num w:numId="18" w16cid:durableId="1398476084">
    <w:abstractNumId w:val="8"/>
  </w:num>
  <w:num w:numId="19" w16cid:durableId="1620064379">
    <w:abstractNumId w:val="2"/>
  </w:num>
  <w:num w:numId="20" w16cid:durableId="162503707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2C08"/>
    <w:rsid w:val="000035D1"/>
    <w:rsid w:val="0000484C"/>
    <w:rsid w:val="00004A80"/>
    <w:rsid w:val="00006A7C"/>
    <w:rsid w:val="00006B4F"/>
    <w:rsid w:val="00006C81"/>
    <w:rsid w:val="000077B8"/>
    <w:rsid w:val="00007F2F"/>
    <w:rsid w:val="00011553"/>
    <w:rsid w:val="000127D8"/>
    <w:rsid w:val="000127F2"/>
    <w:rsid w:val="000129FE"/>
    <w:rsid w:val="00012E69"/>
    <w:rsid w:val="00012FC3"/>
    <w:rsid w:val="00014B58"/>
    <w:rsid w:val="0001605A"/>
    <w:rsid w:val="00016E9E"/>
    <w:rsid w:val="000172A6"/>
    <w:rsid w:val="00017E73"/>
    <w:rsid w:val="000204C0"/>
    <w:rsid w:val="00020520"/>
    <w:rsid w:val="00020A49"/>
    <w:rsid w:val="000216AF"/>
    <w:rsid w:val="00021C6E"/>
    <w:rsid w:val="0002209D"/>
    <w:rsid w:val="00022849"/>
    <w:rsid w:val="000232BD"/>
    <w:rsid w:val="00023A84"/>
    <w:rsid w:val="00024490"/>
    <w:rsid w:val="00024588"/>
    <w:rsid w:val="00024817"/>
    <w:rsid w:val="00024D0E"/>
    <w:rsid w:val="00025C65"/>
    <w:rsid w:val="0002611E"/>
    <w:rsid w:val="00026CE5"/>
    <w:rsid w:val="000301F7"/>
    <w:rsid w:val="0003039A"/>
    <w:rsid w:val="00030818"/>
    <w:rsid w:val="00030D92"/>
    <w:rsid w:val="00031DE4"/>
    <w:rsid w:val="00031E35"/>
    <w:rsid w:val="0003296A"/>
    <w:rsid w:val="00032BE5"/>
    <w:rsid w:val="00032EE9"/>
    <w:rsid w:val="000340B9"/>
    <w:rsid w:val="00035151"/>
    <w:rsid w:val="000351C5"/>
    <w:rsid w:val="00035A87"/>
    <w:rsid w:val="00035B01"/>
    <w:rsid w:val="00036A9D"/>
    <w:rsid w:val="00037C5B"/>
    <w:rsid w:val="0004046D"/>
    <w:rsid w:val="0004073B"/>
    <w:rsid w:val="000424F1"/>
    <w:rsid w:val="00043235"/>
    <w:rsid w:val="00047123"/>
    <w:rsid w:val="000503F8"/>
    <w:rsid w:val="00050846"/>
    <w:rsid w:val="00050A61"/>
    <w:rsid w:val="00050FB5"/>
    <w:rsid w:val="00051866"/>
    <w:rsid w:val="000525DD"/>
    <w:rsid w:val="000550DB"/>
    <w:rsid w:val="000551D2"/>
    <w:rsid w:val="000562DA"/>
    <w:rsid w:val="00057222"/>
    <w:rsid w:val="00057E76"/>
    <w:rsid w:val="000609B3"/>
    <w:rsid w:val="00061F0C"/>
    <w:rsid w:val="00062A04"/>
    <w:rsid w:val="00062EB5"/>
    <w:rsid w:val="000632A5"/>
    <w:rsid w:val="00063A06"/>
    <w:rsid w:val="00063D17"/>
    <w:rsid w:val="000640F3"/>
    <w:rsid w:val="0006490C"/>
    <w:rsid w:val="000649BD"/>
    <w:rsid w:val="00064DAD"/>
    <w:rsid w:val="000651F2"/>
    <w:rsid w:val="000655B3"/>
    <w:rsid w:val="00066D52"/>
    <w:rsid w:val="00066F23"/>
    <w:rsid w:val="00067B17"/>
    <w:rsid w:val="000708BF"/>
    <w:rsid w:val="00071243"/>
    <w:rsid w:val="000719AD"/>
    <w:rsid w:val="000728F1"/>
    <w:rsid w:val="000735CA"/>
    <w:rsid w:val="00074824"/>
    <w:rsid w:val="00075A8F"/>
    <w:rsid w:val="0007646C"/>
    <w:rsid w:val="0007685A"/>
    <w:rsid w:val="0007715F"/>
    <w:rsid w:val="0007728B"/>
    <w:rsid w:val="0007733D"/>
    <w:rsid w:val="00077D61"/>
    <w:rsid w:val="000816CB"/>
    <w:rsid w:val="00081A13"/>
    <w:rsid w:val="00081BA2"/>
    <w:rsid w:val="00081F53"/>
    <w:rsid w:val="00082783"/>
    <w:rsid w:val="00082A0E"/>
    <w:rsid w:val="0008484A"/>
    <w:rsid w:val="00085616"/>
    <w:rsid w:val="00085D73"/>
    <w:rsid w:val="00085F5A"/>
    <w:rsid w:val="000860C5"/>
    <w:rsid w:val="00086F1C"/>
    <w:rsid w:val="000905C6"/>
    <w:rsid w:val="000906D9"/>
    <w:rsid w:val="00090DA3"/>
    <w:rsid w:val="00090F61"/>
    <w:rsid w:val="00091D64"/>
    <w:rsid w:val="00092187"/>
    <w:rsid w:val="00092822"/>
    <w:rsid w:val="00092D75"/>
    <w:rsid w:val="000931BD"/>
    <w:rsid w:val="00093B74"/>
    <w:rsid w:val="00094298"/>
    <w:rsid w:val="00094530"/>
    <w:rsid w:val="00094F71"/>
    <w:rsid w:val="000952E3"/>
    <w:rsid w:val="000961DD"/>
    <w:rsid w:val="00096D9B"/>
    <w:rsid w:val="00097190"/>
    <w:rsid w:val="000975FF"/>
    <w:rsid w:val="00097F2E"/>
    <w:rsid w:val="000A013A"/>
    <w:rsid w:val="000A1B5F"/>
    <w:rsid w:val="000A37AE"/>
    <w:rsid w:val="000A43FA"/>
    <w:rsid w:val="000A58C0"/>
    <w:rsid w:val="000A5CAE"/>
    <w:rsid w:val="000A5D6C"/>
    <w:rsid w:val="000A613E"/>
    <w:rsid w:val="000A63EB"/>
    <w:rsid w:val="000A68F1"/>
    <w:rsid w:val="000A77CF"/>
    <w:rsid w:val="000A78C6"/>
    <w:rsid w:val="000A7A2A"/>
    <w:rsid w:val="000A7C91"/>
    <w:rsid w:val="000B0FF6"/>
    <w:rsid w:val="000B2B3F"/>
    <w:rsid w:val="000B2D53"/>
    <w:rsid w:val="000B3154"/>
    <w:rsid w:val="000B3582"/>
    <w:rsid w:val="000B42D8"/>
    <w:rsid w:val="000B4447"/>
    <w:rsid w:val="000B4668"/>
    <w:rsid w:val="000B48BC"/>
    <w:rsid w:val="000B4DB5"/>
    <w:rsid w:val="000B61C8"/>
    <w:rsid w:val="000B7089"/>
    <w:rsid w:val="000B7218"/>
    <w:rsid w:val="000B72C8"/>
    <w:rsid w:val="000B7514"/>
    <w:rsid w:val="000B7DB2"/>
    <w:rsid w:val="000B7ECF"/>
    <w:rsid w:val="000C15EB"/>
    <w:rsid w:val="000C21A3"/>
    <w:rsid w:val="000C2F66"/>
    <w:rsid w:val="000C373C"/>
    <w:rsid w:val="000C3DB4"/>
    <w:rsid w:val="000C3E78"/>
    <w:rsid w:val="000C4119"/>
    <w:rsid w:val="000C427F"/>
    <w:rsid w:val="000C5169"/>
    <w:rsid w:val="000C530B"/>
    <w:rsid w:val="000C6226"/>
    <w:rsid w:val="000C6736"/>
    <w:rsid w:val="000C711F"/>
    <w:rsid w:val="000C72ED"/>
    <w:rsid w:val="000D0335"/>
    <w:rsid w:val="000D101B"/>
    <w:rsid w:val="000D2229"/>
    <w:rsid w:val="000D2281"/>
    <w:rsid w:val="000D28AC"/>
    <w:rsid w:val="000D2B69"/>
    <w:rsid w:val="000D2BAC"/>
    <w:rsid w:val="000D2EC4"/>
    <w:rsid w:val="000D34CF"/>
    <w:rsid w:val="000D49F1"/>
    <w:rsid w:val="000D4AC8"/>
    <w:rsid w:val="000D56A9"/>
    <w:rsid w:val="000D664C"/>
    <w:rsid w:val="000D765C"/>
    <w:rsid w:val="000D79E0"/>
    <w:rsid w:val="000E01B6"/>
    <w:rsid w:val="000E03E7"/>
    <w:rsid w:val="000E14D3"/>
    <w:rsid w:val="000E2A3B"/>
    <w:rsid w:val="000E2DBC"/>
    <w:rsid w:val="000E4CAB"/>
    <w:rsid w:val="000E51CA"/>
    <w:rsid w:val="000E6924"/>
    <w:rsid w:val="000E7F5F"/>
    <w:rsid w:val="000F049E"/>
    <w:rsid w:val="000F0530"/>
    <w:rsid w:val="000F079C"/>
    <w:rsid w:val="000F1BFE"/>
    <w:rsid w:val="000F24CB"/>
    <w:rsid w:val="000F2AA6"/>
    <w:rsid w:val="000F38B9"/>
    <w:rsid w:val="000F41F3"/>
    <w:rsid w:val="000F447C"/>
    <w:rsid w:val="000F47E4"/>
    <w:rsid w:val="000F54D5"/>
    <w:rsid w:val="000F65A2"/>
    <w:rsid w:val="000F7ACC"/>
    <w:rsid w:val="000F7C93"/>
    <w:rsid w:val="000F7D64"/>
    <w:rsid w:val="00100490"/>
    <w:rsid w:val="00100492"/>
    <w:rsid w:val="00100810"/>
    <w:rsid w:val="00101758"/>
    <w:rsid w:val="00103FA4"/>
    <w:rsid w:val="001041C9"/>
    <w:rsid w:val="00105054"/>
    <w:rsid w:val="001054E4"/>
    <w:rsid w:val="00105B43"/>
    <w:rsid w:val="001066FF"/>
    <w:rsid w:val="00106736"/>
    <w:rsid w:val="0010759D"/>
    <w:rsid w:val="00107D40"/>
    <w:rsid w:val="00110223"/>
    <w:rsid w:val="00110478"/>
    <w:rsid w:val="001122D6"/>
    <w:rsid w:val="001123A9"/>
    <w:rsid w:val="001126F0"/>
    <w:rsid w:val="0011396F"/>
    <w:rsid w:val="0011420E"/>
    <w:rsid w:val="0011463C"/>
    <w:rsid w:val="00115CBB"/>
    <w:rsid w:val="00115D0F"/>
    <w:rsid w:val="001160E8"/>
    <w:rsid w:val="001162E6"/>
    <w:rsid w:val="001167F8"/>
    <w:rsid w:val="00116860"/>
    <w:rsid w:val="00116F06"/>
    <w:rsid w:val="00117B78"/>
    <w:rsid w:val="00117DC8"/>
    <w:rsid w:val="00120C59"/>
    <w:rsid w:val="00120C6E"/>
    <w:rsid w:val="00121537"/>
    <w:rsid w:val="00121710"/>
    <w:rsid w:val="00121B4B"/>
    <w:rsid w:val="00121C63"/>
    <w:rsid w:val="00122D37"/>
    <w:rsid w:val="0012353E"/>
    <w:rsid w:val="00124DF5"/>
    <w:rsid w:val="00126B19"/>
    <w:rsid w:val="0012725A"/>
    <w:rsid w:val="00127345"/>
    <w:rsid w:val="00127A18"/>
    <w:rsid w:val="00127AA5"/>
    <w:rsid w:val="00127D18"/>
    <w:rsid w:val="00127ED9"/>
    <w:rsid w:val="00127F9D"/>
    <w:rsid w:val="001300B1"/>
    <w:rsid w:val="00131182"/>
    <w:rsid w:val="00131632"/>
    <w:rsid w:val="001323A9"/>
    <w:rsid w:val="00132917"/>
    <w:rsid w:val="00132C2E"/>
    <w:rsid w:val="00132FCA"/>
    <w:rsid w:val="001332BE"/>
    <w:rsid w:val="00133449"/>
    <w:rsid w:val="00133CC7"/>
    <w:rsid w:val="00134004"/>
    <w:rsid w:val="0013488E"/>
    <w:rsid w:val="00134C4A"/>
    <w:rsid w:val="00135538"/>
    <w:rsid w:val="001359B3"/>
    <w:rsid w:val="00136873"/>
    <w:rsid w:val="00136ED5"/>
    <w:rsid w:val="001377C8"/>
    <w:rsid w:val="00140DEA"/>
    <w:rsid w:val="00140F64"/>
    <w:rsid w:val="00141BA0"/>
    <w:rsid w:val="00141BAD"/>
    <w:rsid w:val="00141BD4"/>
    <w:rsid w:val="00141D9F"/>
    <w:rsid w:val="001422E0"/>
    <w:rsid w:val="00142A9A"/>
    <w:rsid w:val="001430F8"/>
    <w:rsid w:val="00145602"/>
    <w:rsid w:val="00145858"/>
    <w:rsid w:val="00145D29"/>
    <w:rsid w:val="00145D73"/>
    <w:rsid w:val="00145FE1"/>
    <w:rsid w:val="00146B4B"/>
    <w:rsid w:val="0014714B"/>
    <w:rsid w:val="00147725"/>
    <w:rsid w:val="00151327"/>
    <w:rsid w:val="00151607"/>
    <w:rsid w:val="00151645"/>
    <w:rsid w:val="0015287A"/>
    <w:rsid w:val="0015298B"/>
    <w:rsid w:val="001532FC"/>
    <w:rsid w:val="00153361"/>
    <w:rsid w:val="00153557"/>
    <w:rsid w:val="0015398D"/>
    <w:rsid w:val="0015497F"/>
    <w:rsid w:val="00154F7E"/>
    <w:rsid w:val="001552EF"/>
    <w:rsid w:val="00155CF6"/>
    <w:rsid w:val="00156221"/>
    <w:rsid w:val="00156454"/>
    <w:rsid w:val="00160A48"/>
    <w:rsid w:val="00160C32"/>
    <w:rsid w:val="001619B4"/>
    <w:rsid w:val="00162817"/>
    <w:rsid w:val="001629F5"/>
    <w:rsid w:val="00162E1F"/>
    <w:rsid w:val="00162E50"/>
    <w:rsid w:val="00163DA8"/>
    <w:rsid w:val="00164527"/>
    <w:rsid w:val="001666C0"/>
    <w:rsid w:val="0016676E"/>
    <w:rsid w:val="00166CB0"/>
    <w:rsid w:val="0016715E"/>
    <w:rsid w:val="00167E77"/>
    <w:rsid w:val="00167E80"/>
    <w:rsid w:val="0017052B"/>
    <w:rsid w:val="00171207"/>
    <w:rsid w:val="00171873"/>
    <w:rsid w:val="00171A73"/>
    <w:rsid w:val="00171B3F"/>
    <w:rsid w:val="00171E9D"/>
    <w:rsid w:val="001721F2"/>
    <w:rsid w:val="0017231F"/>
    <w:rsid w:val="00172383"/>
    <w:rsid w:val="00173C04"/>
    <w:rsid w:val="00175029"/>
    <w:rsid w:val="0017517B"/>
    <w:rsid w:val="0017524C"/>
    <w:rsid w:val="00176705"/>
    <w:rsid w:val="00176EF4"/>
    <w:rsid w:val="00177819"/>
    <w:rsid w:val="00177B90"/>
    <w:rsid w:val="00180328"/>
    <w:rsid w:val="00181604"/>
    <w:rsid w:val="00181851"/>
    <w:rsid w:val="0018191C"/>
    <w:rsid w:val="00182957"/>
    <w:rsid w:val="0018427B"/>
    <w:rsid w:val="001846AE"/>
    <w:rsid w:val="0018471A"/>
    <w:rsid w:val="0018517C"/>
    <w:rsid w:val="001857A6"/>
    <w:rsid w:val="00186320"/>
    <w:rsid w:val="001867E5"/>
    <w:rsid w:val="00186B3F"/>
    <w:rsid w:val="00187579"/>
    <w:rsid w:val="00187C47"/>
    <w:rsid w:val="00187FB1"/>
    <w:rsid w:val="00190784"/>
    <w:rsid w:val="00190BF5"/>
    <w:rsid w:val="00191AA6"/>
    <w:rsid w:val="00191D03"/>
    <w:rsid w:val="00191D89"/>
    <w:rsid w:val="0019293A"/>
    <w:rsid w:val="0019306B"/>
    <w:rsid w:val="00193978"/>
    <w:rsid w:val="0019481F"/>
    <w:rsid w:val="0019574C"/>
    <w:rsid w:val="00196CAA"/>
    <w:rsid w:val="001A013D"/>
    <w:rsid w:val="001A05AD"/>
    <w:rsid w:val="001A06E9"/>
    <w:rsid w:val="001A0754"/>
    <w:rsid w:val="001A07A4"/>
    <w:rsid w:val="001A0B58"/>
    <w:rsid w:val="001A0CB3"/>
    <w:rsid w:val="001A0D2A"/>
    <w:rsid w:val="001A2B1D"/>
    <w:rsid w:val="001A2B2C"/>
    <w:rsid w:val="001A4AC0"/>
    <w:rsid w:val="001A4CD9"/>
    <w:rsid w:val="001A4D55"/>
    <w:rsid w:val="001A5090"/>
    <w:rsid w:val="001A5103"/>
    <w:rsid w:val="001A561D"/>
    <w:rsid w:val="001A67CB"/>
    <w:rsid w:val="001A6A38"/>
    <w:rsid w:val="001A7735"/>
    <w:rsid w:val="001A7C3E"/>
    <w:rsid w:val="001A7FE4"/>
    <w:rsid w:val="001B11B8"/>
    <w:rsid w:val="001B1632"/>
    <w:rsid w:val="001B2635"/>
    <w:rsid w:val="001B28BD"/>
    <w:rsid w:val="001B2E8F"/>
    <w:rsid w:val="001B3C27"/>
    <w:rsid w:val="001B3DD4"/>
    <w:rsid w:val="001B4462"/>
    <w:rsid w:val="001B4A01"/>
    <w:rsid w:val="001B4C05"/>
    <w:rsid w:val="001B4F93"/>
    <w:rsid w:val="001B57EE"/>
    <w:rsid w:val="001B62EF"/>
    <w:rsid w:val="001B7629"/>
    <w:rsid w:val="001B7C5B"/>
    <w:rsid w:val="001B7C97"/>
    <w:rsid w:val="001C0EA8"/>
    <w:rsid w:val="001C2A15"/>
    <w:rsid w:val="001C302B"/>
    <w:rsid w:val="001C3213"/>
    <w:rsid w:val="001C38A3"/>
    <w:rsid w:val="001C474C"/>
    <w:rsid w:val="001C5063"/>
    <w:rsid w:val="001C52EF"/>
    <w:rsid w:val="001C5581"/>
    <w:rsid w:val="001C5FD5"/>
    <w:rsid w:val="001C6116"/>
    <w:rsid w:val="001C6A87"/>
    <w:rsid w:val="001C713F"/>
    <w:rsid w:val="001C71BF"/>
    <w:rsid w:val="001D023C"/>
    <w:rsid w:val="001D0EF3"/>
    <w:rsid w:val="001D21F4"/>
    <w:rsid w:val="001D2FD8"/>
    <w:rsid w:val="001D391E"/>
    <w:rsid w:val="001D3A5B"/>
    <w:rsid w:val="001D3CCE"/>
    <w:rsid w:val="001D3D95"/>
    <w:rsid w:val="001D555B"/>
    <w:rsid w:val="001D58E7"/>
    <w:rsid w:val="001D6166"/>
    <w:rsid w:val="001D63B7"/>
    <w:rsid w:val="001D66D7"/>
    <w:rsid w:val="001D6980"/>
    <w:rsid w:val="001E096C"/>
    <w:rsid w:val="001E0E83"/>
    <w:rsid w:val="001E0EA4"/>
    <w:rsid w:val="001E111E"/>
    <w:rsid w:val="001E14FC"/>
    <w:rsid w:val="001E1D30"/>
    <w:rsid w:val="001E1F44"/>
    <w:rsid w:val="001E3211"/>
    <w:rsid w:val="001E608C"/>
    <w:rsid w:val="001E67D0"/>
    <w:rsid w:val="001E6FA7"/>
    <w:rsid w:val="001E71C9"/>
    <w:rsid w:val="001E76E0"/>
    <w:rsid w:val="001E7C2B"/>
    <w:rsid w:val="001F133E"/>
    <w:rsid w:val="001F1937"/>
    <w:rsid w:val="001F2550"/>
    <w:rsid w:val="001F38C8"/>
    <w:rsid w:val="001F44D5"/>
    <w:rsid w:val="001F4842"/>
    <w:rsid w:val="001F48B9"/>
    <w:rsid w:val="001F4941"/>
    <w:rsid w:val="001F4CEA"/>
    <w:rsid w:val="001F61D1"/>
    <w:rsid w:val="001F623E"/>
    <w:rsid w:val="001F6719"/>
    <w:rsid w:val="001F6ACB"/>
    <w:rsid w:val="001F714F"/>
    <w:rsid w:val="001F7EE7"/>
    <w:rsid w:val="00200380"/>
    <w:rsid w:val="0020041F"/>
    <w:rsid w:val="00200911"/>
    <w:rsid w:val="00200C8D"/>
    <w:rsid w:val="0020144A"/>
    <w:rsid w:val="002018AB"/>
    <w:rsid w:val="002018BA"/>
    <w:rsid w:val="00202462"/>
    <w:rsid w:val="00203E7C"/>
    <w:rsid w:val="00203EB0"/>
    <w:rsid w:val="002051BD"/>
    <w:rsid w:val="0020595C"/>
    <w:rsid w:val="00205A78"/>
    <w:rsid w:val="00205FB6"/>
    <w:rsid w:val="00206247"/>
    <w:rsid w:val="00207E9E"/>
    <w:rsid w:val="00210056"/>
    <w:rsid w:val="002104EA"/>
    <w:rsid w:val="00210A9A"/>
    <w:rsid w:val="00210E71"/>
    <w:rsid w:val="00211179"/>
    <w:rsid w:val="00211330"/>
    <w:rsid w:val="00211A66"/>
    <w:rsid w:val="0021211D"/>
    <w:rsid w:val="002130B6"/>
    <w:rsid w:val="0021368E"/>
    <w:rsid w:val="00214290"/>
    <w:rsid w:val="0021521F"/>
    <w:rsid w:val="002156C7"/>
    <w:rsid w:val="00215D60"/>
    <w:rsid w:val="00215F29"/>
    <w:rsid w:val="00216527"/>
    <w:rsid w:val="002175AC"/>
    <w:rsid w:val="00217A2F"/>
    <w:rsid w:val="00217BA2"/>
    <w:rsid w:val="00217E03"/>
    <w:rsid w:val="002203A9"/>
    <w:rsid w:val="0022053D"/>
    <w:rsid w:val="002207C3"/>
    <w:rsid w:val="00220E7E"/>
    <w:rsid w:val="00221580"/>
    <w:rsid w:val="002215E3"/>
    <w:rsid w:val="00221F30"/>
    <w:rsid w:val="00222465"/>
    <w:rsid w:val="0022284E"/>
    <w:rsid w:val="00222F92"/>
    <w:rsid w:val="0022329A"/>
    <w:rsid w:val="002238F8"/>
    <w:rsid w:val="00223B32"/>
    <w:rsid w:val="00223C26"/>
    <w:rsid w:val="00223D52"/>
    <w:rsid w:val="00224260"/>
    <w:rsid w:val="0022498A"/>
    <w:rsid w:val="002249D3"/>
    <w:rsid w:val="00224A46"/>
    <w:rsid w:val="00224A56"/>
    <w:rsid w:val="00224F69"/>
    <w:rsid w:val="002251B2"/>
    <w:rsid w:val="002255B8"/>
    <w:rsid w:val="002265B5"/>
    <w:rsid w:val="00226E73"/>
    <w:rsid w:val="002273BB"/>
    <w:rsid w:val="0022794A"/>
    <w:rsid w:val="0022799E"/>
    <w:rsid w:val="00227A04"/>
    <w:rsid w:val="00227CE7"/>
    <w:rsid w:val="00230EFC"/>
    <w:rsid w:val="0023105D"/>
    <w:rsid w:val="00231574"/>
    <w:rsid w:val="002320AB"/>
    <w:rsid w:val="00232893"/>
    <w:rsid w:val="00232D46"/>
    <w:rsid w:val="002332EC"/>
    <w:rsid w:val="00233969"/>
    <w:rsid w:val="00233A2E"/>
    <w:rsid w:val="00234001"/>
    <w:rsid w:val="00234784"/>
    <w:rsid w:val="00234EEB"/>
    <w:rsid w:val="002354A2"/>
    <w:rsid w:val="00237E27"/>
    <w:rsid w:val="00241168"/>
    <w:rsid w:val="002414C2"/>
    <w:rsid w:val="0024178C"/>
    <w:rsid w:val="00241C67"/>
    <w:rsid w:val="00241F9B"/>
    <w:rsid w:val="0024223F"/>
    <w:rsid w:val="0024240D"/>
    <w:rsid w:val="00242845"/>
    <w:rsid w:val="00242BDE"/>
    <w:rsid w:val="00243CF7"/>
    <w:rsid w:val="0024430B"/>
    <w:rsid w:val="00244E14"/>
    <w:rsid w:val="00246581"/>
    <w:rsid w:val="002467FB"/>
    <w:rsid w:val="00246DA4"/>
    <w:rsid w:val="00246DBB"/>
    <w:rsid w:val="00246DE0"/>
    <w:rsid w:val="00247326"/>
    <w:rsid w:val="00247A49"/>
    <w:rsid w:val="002507E2"/>
    <w:rsid w:val="002515E4"/>
    <w:rsid w:val="00251B83"/>
    <w:rsid w:val="00251EC5"/>
    <w:rsid w:val="00252076"/>
    <w:rsid w:val="00252AA9"/>
    <w:rsid w:val="00252C75"/>
    <w:rsid w:val="0025315B"/>
    <w:rsid w:val="0025370F"/>
    <w:rsid w:val="00254127"/>
    <w:rsid w:val="00254554"/>
    <w:rsid w:val="00254F4B"/>
    <w:rsid w:val="002557BB"/>
    <w:rsid w:val="0025597B"/>
    <w:rsid w:val="00256257"/>
    <w:rsid w:val="00256991"/>
    <w:rsid w:val="002576B1"/>
    <w:rsid w:val="0026017D"/>
    <w:rsid w:val="002604C2"/>
    <w:rsid w:val="0026099E"/>
    <w:rsid w:val="00260C5B"/>
    <w:rsid w:val="00260E81"/>
    <w:rsid w:val="00261662"/>
    <w:rsid w:val="0026264D"/>
    <w:rsid w:val="00262E82"/>
    <w:rsid w:val="00262F92"/>
    <w:rsid w:val="002634F1"/>
    <w:rsid w:val="00263919"/>
    <w:rsid w:val="00263B8A"/>
    <w:rsid w:val="00263C85"/>
    <w:rsid w:val="00263D8D"/>
    <w:rsid w:val="00264ADA"/>
    <w:rsid w:val="00264DF5"/>
    <w:rsid w:val="00265301"/>
    <w:rsid w:val="002661B8"/>
    <w:rsid w:val="00266A44"/>
    <w:rsid w:val="00266FBA"/>
    <w:rsid w:val="00270789"/>
    <w:rsid w:val="00270F11"/>
    <w:rsid w:val="00271355"/>
    <w:rsid w:val="00271548"/>
    <w:rsid w:val="00271565"/>
    <w:rsid w:val="0027171A"/>
    <w:rsid w:val="00272039"/>
    <w:rsid w:val="0027399D"/>
    <w:rsid w:val="002745C8"/>
    <w:rsid w:val="002746DA"/>
    <w:rsid w:val="00274BB1"/>
    <w:rsid w:val="00274BF2"/>
    <w:rsid w:val="002751C4"/>
    <w:rsid w:val="00275A85"/>
    <w:rsid w:val="00276428"/>
    <w:rsid w:val="002764BA"/>
    <w:rsid w:val="002766D2"/>
    <w:rsid w:val="00276B9C"/>
    <w:rsid w:val="00277801"/>
    <w:rsid w:val="00280379"/>
    <w:rsid w:val="002803AC"/>
    <w:rsid w:val="0028061A"/>
    <w:rsid w:val="00280A2B"/>
    <w:rsid w:val="00280D92"/>
    <w:rsid w:val="00280DCB"/>
    <w:rsid w:val="00281A3E"/>
    <w:rsid w:val="00281CEE"/>
    <w:rsid w:val="00281EF4"/>
    <w:rsid w:val="0028236E"/>
    <w:rsid w:val="0028296D"/>
    <w:rsid w:val="00282F74"/>
    <w:rsid w:val="00283429"/>
    <w:rsid w:val="00283D27"/>
    <w:rsid w:val="00283D6E"/>
    <w:rsid w:val="002844D3"/>
    <w:rsid w:val="00284E11"/>
    <w:rsid w:val="00284E48"/>
    <w:rsid w:val="00285409"/>
    <w:rsid w:val="002856CD"/>
    <w:rsid w:val="00285B53"/>
    <w:rsid w:val="00286302"/>
    <w:rsid w:val="00286926"/>
    <w:rsid w:val="0028722A"/>
    <w:rsid w:val="00287627"/>
    <w:rsid w:val="00287AF0"/>
    <w:rsid w:val="00287CAC"/>
    <w:rsid w:val="00287F84"/>
    <w:rsid w:val="002901ED"/>
    <w:rsid w:val="00290508"/>
    <w:rsid w:val="00290856"/>
    <w:rsid w:val="0029107F"/>
    <w:rsid w:val="002911D7"/>
    <w:rsid w:val="00291508"/>
    <w:rsid w:val="002919BB"/>
    <w:rsid w:val="00291F69"/>
    <w:rsid w:val="00292719"/>
    <w:rsid w:val="00293084"/>
    <w:rsid w:val="00293174"/>
    <w:rsid w:val="00293E36"/>
    <w:rsid w:val="00295169"/>
    <w:rsid w:val="00295E24"/>
    <w:rsid w:val="00295FE9"/>
    <w:rsid w:val="0029711B"/>
    <w:rsid w:val="002972A4"/>
    <w:rsid w:val="002A0120"/>
    <w:rsid w:val="002A0452"/>
    <w:rsid w:val="002A0622"/>
    <w:rsid w:val="002A0EAC"/>
    <w:rsid w:val="002A10AF"/>
    <w:rsid w:val="002A2EC1"/>
    <w:rsid w:val="002A39BC"/>
    <w:rsid w:val="002A4CFC"/>
    <w:rsid w:val="002A567E"/>
    <w:rsid w:val="002A5BC9"/>
    <w:rsid w:val="002A6024"/>
    <w:rsid w:val="002A6854"/>
    <w:rsid w:val="002A7357"/>
    <w:rsid w:val="002A775C"/>
    <w:rsid w:val="002A78AE"/>
    <w:rsid w:val="002A7B7D"/>
    <w:rsid w:val="002B0E9D"/>
    <w:rsid w:val="002B14D7"/>
    <w:rsid w:val="002B14DD"/>
    <w:rsid w:val="002B2845"/>
    <w:rsid w:val="002B2A46"/>
    <w:rsid w:val="002B2C36"/>
    <w:rsid w:val="002B3411"/>
    <w:rsid w:val="002B3F4F"/>
    <w:rsid w:val="002B4988"/>
    <w:rsid w:val="002B61FB"/>
    <w:rsid w:val="002B631D"/>
    <w:rsid w:val="002B67B3"/>
    <w:rsid w:val="002B6C64"/>
    <w:rsid w:val="002B7DE4"/>
    <w:rsid w:val="002B7F25"/>
    <w:rsid w:val="002C037B"/>
    <w:rsid w:val="002C0FAA"/>
    <w:rsid w:val="002C1247"/>
    <w:rsid w:val="002C30F2"/>
    <w:rsid w:val="002C3628"/>
    <w:rsid w:val="002C3657"/>
    <w:rsid w:val="002C37E4"/>
    <w:rsid w:val="002C3DAB"/>
    <w:rsid w:val="002C4FDD"/>
    <w:rsid w:val="002C5DFB"/>
    <w:rsid w:val="002C6728"/>
    <w:rsid w:val="002C6C56"/>
    <w:rsid w:val="002C7BB1"/>
    <w:rsid w:val="002D0BFD"/>
    <w:rsid w:val="002D0C65"/>
    <w:rsid w:val="002D11B8"/>
    <w:rsid w:val="002D122B"/>
    <w:rsid w:val="002D1648"/>
    <w:rsid w:val="002D2162"/>
    <w:rsid w:val="002D24A7"/>
    <w:rsid w:val="002D2AAD"/>
    <w:rsid w:val="002D3D64"/>
    <w:rsid w:val="002D4ACF"/>
    <w:rsid w:val="002D560C"/>
    <w:rsid w:val="002D678D"/>
    <w:rsid w:val="002D6971"/>
    <w:rsid w:val="002D6A56"/>
    <w:rsid w:val="002D700B"/>
    <w:rsid w:val="002D7DD7"/>
    <w:rsid w:val="002E08E8"/>
    <w:rsid w:val="002E10B1"/>
    <w:rsid w:val="002E22AD"/>
    <w:rsid w:val="002E24CD"/>
    <w:rsid w:val="002E2693"/>
    <w:rsid w:val="002E30BF"/>
    <w:rsid w:val="002E33A3"/>
    <w:rsid w:val="002E36F8"/>
    <w:rsid w:val="002E3F7B"/>
    <w:rsid w:val="002E3FE1"/>
    <w:rsid w:val="002E49EB"/>
    <w:rsid w:val="002E4C9F"/>
    <w:rsid w:val="002E4FF7"/>
    <w:rsid w:val="002E6D94"/>
    <w:rsid w:val="002E6DCF"/>
    <w:rsid w:val="002E7974"/>
    <w:rsid w:val="002E7B4A"/>
    <w:rsid w:val="002F0392"/>
    <w:rsid w:val="002F0596"/>
    <w:rsid w:val="002F0617"/>
    <w:rsid w:val="002F0AF4"/>
    <w:rsid w:val="002F120B"/>
    <w:rsid w:val="002F1805"/>
    <w:rsid w:val="002F1861"/>
    <w:rsid w:val="002F19E9"/>
    <w:rsid w:val="002F24E3"/>
    <w:rsid w:val="002F2756"/>
    <w:rsid w:val="002F3F19"/>
    <w:rsid w:val="002F634D"/>
    <w:rsid w:val="002F6550"/>
    <w:rsid w:val="003022F1"/>
    <w:rsid w:val="0030271C"/>
    <w:rsid w:val="00303742"/>
    <w:rsid w:val="00303C4F"/>
    <w:rsid w:val="00304F86"/>
    <w:rsid w:val="0030519F"/>
    <w:rsid w:val="003052CC"/>
    <w:rsid w:val="00305FA1"/>
    <w:rsid w:val="00307E2F"/>
    <w:rsid w:val="00310994"/>
    <w:rsid w:val="00310FB4"/>
    <w:rsid w:val="003112E6"/>
    <w:rsid w:val="00311DE8"/>
    <w:rsid w:val="0031264D"/>
    <w:rsid w:val="00313226"/>
    <w:rsid w:val="00313AC9"/>
    <w:rsid w:val="00315108"/>
    <w:rsid w:val="00315810"/>
    <w:rsid w:val="0031608D"/>
    <w:rsid w:val="00317734"/>
    <w:rsid w:val="00320AFF"/>
    <w:rsid w:val="00320D6B"/>
    <w:rsid w:val="003213BF"/>
    <w:rsid w:val="00321BED"/>
    <w:rsid w:val="00322997"/>
    <w:rsid w:val="00322D4E"/>
    <w:rsid w:val="00322E3E"/>
    <w:rsid w:val="00322F46"/>
    <w:rsid w:val="00323155"/>
    <w:rsid w:val="003242F3"/>
    <w:rsid w:val="003243ED"/>
    <w:rsid w:val="00324549"/>
    <w:rsid w:val="003247D0"/>
    <w:rsid w:val="003257F9"/>
    <w:rsid w:val="00325B97"/>
    <w:rsid w:val="00326A29"/>
    <w:rsid w:val="00326EE8"/>
    <w:rsid w:val="00327063"/>
    <w:rsid w:val="00327281"/>
    <w:rsid w:val="0032754E"/>
    <w:rsid w:val="00330F33"/>
    <w:rsid w:val="0033144E"/>
    <w:rsid w:val="00331919"/>
    <w:rsid w:val="003341F9"/>
    <w:rsid w:val="00334A37"/>
    <w:rsid w:val="003362E3"/>
    <w:rsid w:val="00336613"/>
    <w:rsid w:val="003372DC"/>
    <w:rsid w:val="003373B5"/>
    <w:rsid w:val="0033767C"/>
    <w:rsid w:val="00337BFE"/>
    <w:rsid w:val="00337C3B"/>
    <w:rsid w:val="00337CBA"/>
    <w:rsid w:val="00337E0A"/>
    <w:rsid w:val="00342089"/>
    <w:rsid w:val="00343E69"/>
    <w:rsid w:val="003448E4"/>
    <w:rsid w:val="00345B4F"/>
    <w:rsid w:val="003469EF"/>
    <w:rsid w:val="00346F0C"/>
    <w:rsid w:val="003470BC"/>
    <w:rsid w:val="00347228"/>
    <w:rsid w:val="003476B2"/>
    <w:rsid w:val="00347FCD"/>
    <w:rsid w:val="00350E86"/>
    <w:rsid w:val="0035183B"/>
    <w:rsid w:val="0035185C"/>
    <w:rsid w:val="00351CEC"/>
    <w:rsid w:val="0035223F"/>
    <w:rsid w:val="003528A1"/>
    <w:rsid w:val="00353461"/>
    <w:rsid w:val="003534E6"/>
    <w:rsid w:val="00354228"/>
    <w:rsid w:val="00354DCE"/>
    <w:rsid w:val="003551A8"/>
    <w:rsid w:val="00356C2D"/>
    <w:rsid w:val="003570AC"/>
    <w:rsid w:val="00357F49"/>
    <w:rsid w:val="003606A2"/>
    <w:rsid w:val="00360A3A"/>
    <w:rsid w:val="00360AE3"/>
    <w:rsid w:val="00361341"/>
    <w:rsid w:val="0036149C"/>
    <w:rsid w:val="00362AC4"/>
    <w:rsid w:val="00362C87"/>
    <w:rsid w:val="0036300C"/>
    <w:rsid w:val="00364850"/>
    <w:rsid w:val="003650E4"/>
    <w:rsid w:val="00365148"/>
    <w:rsid w:val="00365321"/>
    <w:rsid w:val="00365FBE"/>
    <w:rsid w:val="003660C3"/>
    <w:rsid w:val="00366169"/>
    <w:rsid w:val="0036690C"/>
    <w:rsid w:val="00367B21"/>
    <w:rsid w:val="003703D3"/>
    <w:rsid w:val="00371213"/>
    <w:rsid w:val="00371DD3"/>
    <w:rsid w:val="003724D0"/>
    <w:rsid w:val="003727BC"/>
    <w:rsid w:val="003730EC"/>
    <w:rsid w:val="00373326"/>
    <w:rsid w:val="00374B46"/>
    <w:rsid w:val="0037510B"/>
    <w:rsid w:val="0037519D"/>
    <w:rsid w:val="0037618E"/>
    <w:rsid w:val="00377C53"/>
    <w:rsid w:val="003802C7"/>
    <w:rsid w:val="00380585"/>
    <w:rsid w:val="003806E5"/>
    <w:rsid w:val="00380A82"/>
    <w:rsid w:val="00380D24"/>
    <w:rsid w:val="00380FE4"/>
    <w:rsid w:val="003817E5"/>
    <w:rsid w:val="00381936"/>
    <w:rsid w:val="00382983"/>
    <w:rsid w:val="00382B0F"/>
    <w:rsid w:val="003836E9"/>
    <w:rsid w:val="00384247"/>
    <w:rsid w:val="003853EF"/>
    <w:rsid w:val="00387368"/>
    <w:rsid w:val="00387C8E"/>
    <w:rsid w:val="00391893"/>
    <w:rsid w:val="003920D3"/>
    <w:rsid w:val="00392683"/>
    <w:rsid w:val="0039269C"/>
    <w:rsid w:val="00392894"/>
    <w:rsid w:val="00392E6F"/>
    <w:rsid w:val="003935BC"/>
    <w:rsid w:val="003935F3"/>
    <w:rsid w:val="00393928"/>
    <w:rsid w:val="003941BD"/>
    <w:rsid w:val="003947DD"/>
    <w:rsid w:val="003950D8"/>
    <w:rsid w:val="0039577E"/>
    <w:rsid w:val="00395786"/>
    <w:rsid w:val="003957F2"/>
    <w:rsid w:val="00396119"/>
    <w:rsid w:val="00396E41"/>
    <w:rsid w:val="00397073"/>
    <w:rsid w:val="003974D8"/>
    <w:rsid w:val="00397CA2"/>
    <w:rsid w:val="003A00B9"/>
    <w:rsid w:val="003A04BF"/>
    <w:rsid w:val="003A07E0"/>
    <w:rsid w:val="003A1BF7"/>
    <w:rsid w:val="003A2929"/>
    <w:rsid w:val="003A2B71"/>
    <w:rsid w:val="003A53E0"/>
    <w:rsid w:val="003A5A2F"/>
    <w:rsid w:val="003A6118"/>
    <w:rsid w:val="003A6392"/>
    <w:rsid w:val="003A689D"/>
    <w:rsid w:val="003A6C45"/>
    <w:rsid w:val="003A6D01"/>
    <w:rsid w:val="003A745C"/>
    <w:rsid w:val="003A7548"/>
    <w:rsid w:val="003A7A3F"/>
    <w:rsid w:val="003A7E58"/>
    <w:rsid w:val="003A7F21"/>
    <w:rsid w:val="003B039E"/>
    <w:rsid w:val="003B0B0C"/>
    <w:rsid w:val="003B0ED4"/>
    <w:rsid w:val="003B12E2"/>
    <w:rsid w:val="003B30AF"/>
    <w:rsid w:val="003B415C"/>
    <w:rsid w:val="003B4C60"/>
    <w:rsid w:val="003B5119"/>
    <w:rsid w:val="003B5A72"/>
    <w:rsid w:val="003B5D9F"/>
    <w:rsid w:val="003B66FD"/>
    <w:rsid w:val="003B6B2E"/>
    <w:rsid w:val="003B7070"/>
    <w:rsid w:val="003B7201"/>
    <w:rsid w:val="003B73DA"/>
    <w:rsid w:val="003C03B5"/>
    <w:rsid w:val="003C06ED"/>
    <w:rsid w:val="003C07C3"/>
    <w:rsid w:val="003C1A2C"/>
    <w:rsid w:val="003C304F"/>
    <w:rsid w:val="003C3084"/>
    <w:rsid w:val="003C33C4"/>
    <w:rsid w:val="003C38AA"/>
    <w:rsid w:val="003C4815"/>
    <w:rsid w:val="003C603E"/>
    <w:rsid w:val="003C62FF"/>
    <w:rsid w:val="003C6904"/>
    <w:rsid w:val="003C6D6B"/>
    <w:rsid w:val="003C79B2"/>
    <w:rsid w:val="003C7E74"/>
    <w:rsid w:val="003D05C0"/>
    <w:rsid w:val="003D0970"/>
    <w:rsid w:val="003D0EAF"/>
    <w:rsid w:val="003D1796"/>
    <w:rsid w:val="003D22D1"/>
    <w:rsid w:val="003D2676"/>
    <w:rsid w:val="003D2754"/>
    <w:rsid w:val="003D2B6F"/>
    <w:rsid w:val="003D2BF1"/>
    <w:rsid w:val="003D3327"/>
    <w:rsid w:val="003D3504"/>
    <w:rsid w:val="003D4FD7"/>
    <w:rsid w:val="003D68B1"/>
    <w:rsid w:val="003E0237"/>
    <w:rsid w:val="003E0E9E"/>
    <w:rsid w:val="003E1A84"/>
    <w:rsid w:val="003E1EBA"/>
    <w:rsid w:val="003E23C5"/>
    <w:rsid w:val="003E2B63"/>
    <w:rsid w:val="003E2F14"/>
    <w:rsid w:val="003E33CC"/>
    <w:rsid w:val="003E3748"/>
    <w:rsid w:val="003E443D"/>
    <w:rsid w:val="003E4670"/>
    <w:rsid w:val="003E4DCE"/>
    <w:rsid w:val="003E5676"/>
    <w:rsid w:val="003E621F"/>
    <w:rsid w:val="003E6399"/>
    <w:rsid w:val="003E67C3"/>
    <w:rsid w:val="003E68E2"/>
    <w:rsid w:val="003E6955"/>
    <w:rsid w:val="003E707F"/>
    <w:rsid w:val="003E75C9"/>
    <w:rsid w:val="003E773C"/>
    <w:rsid w:val="003E7E2F"/>
    <w:rsid w:val="003F0474"/>
    <w:rsid w:val="003F1243"/>
    <w:rsid w:val="003F15B7"/>
    <w:rsid w:val="003F3081"/>
    <w:rsid w:val="003F3EDA"/>
    <w:rsid w:val="003F40D7"/>
    <w:rsid w:val="003F44A4"/>
    <w:rsid w:val="003F4A6B"/>
    <w:rsid w:val="003F4C81"/>
    <w:rsid w:val="003F56B1"/>
    <w:rsid w:val="003F5F7F"/>
    <w:rsid w:val="003F60A0"/>
    <w:rsid w:val="003F684E"/>
    <w:rsid w:val="003F6C0F"/>
    <w:rsid w:val="003F6FFB"/>
    <w:rsid w:val="004003A2"/>
    <w:rsid w:val="00400510"/>
    <w:rsid w:val="00403B35"/>
    <w:rsid w:val="00404002"/>
    <w:rsid w:val="00404B19"/>
    <w:rsid w:val="00405469"/>
    <w:rsid w:val="00405784"/>
    <w:rsid w:val="004067C8"/>
    <w:rsid w:val="00406B88"/>
    <w:rsid w:val="00406CE1"/>
    <w:rsid w:val="00407528"/>
    <w:rsid w:val="0040796F"/>
    <w:rsid w:val="00407BBF"/>
    <w:rsid w:val="0041075B"/>
    <w:rsid w:val="00410923"/>
    <w:rsid w:val="0041116E"/>
    <w:rsid w:val="004111C8"/>
    <w:rsid w:val="0041128E"/>
    <w:rsid w:val="0041154E"/>
    <w:rsid w:val="00411F90"/>
    <w:rsid w:val="00413B48"/>
    <w:rsid w:val="00414042"/>
    <w:rsid w:val="00414FE6"/>
    <w:rsid w:val="00415DE6"/>
    <w:rsid w:val="004163D4"/>
    <w:rsid w:val="00416883"/>
    <w:rsid w:val="004170FB"/>
    <w:rsid w:val="00420BDF"/>
    <w:rsid w:val="00420E2D"/>
    <w:rsid w:val="00420F52"/>
    <w:rsid w:val="004211EF"/>
    <w:rsid w:val="00421629"/>
    <w:rsid w:val="00421C26"/>
    <w:rsid w:val="00421E10"/>
    <w:rsid w:val="00421EE5"/>
    <w:rsid w:val="00422B49"/>
    <w:rsid w:val="00422DC2"/>
    <w:rsid w:val="00422E5F"/>
    <w:rsid w:val="004239D4"/>
    <w:rsid w:val="00424BB2"/>
    <w:rsid w:val="00425B53"/>
    <w:rsid w:val="00425C7D"/>
    <w:rsid w:val="004261E7"/>
    <w:rsid w:val="00426266"/>
    <w:rsid w:val="00426605"/>
    <w:rsid w:val="0042667E"/>
    <w:rsid w:val="00426872"/>
    <w:rsid w:val="004270D7"/>
    <w:rsid w:val="00427379"/>
    <w:rsid w:val="0043045B"/>
    <w:rsid w:val="00430830"/>
    <w:rsid w:val="004319B9"/>
    <w:rsid w:val="00431D30"/>
    <w:rsid w:val="00432A6D"/>
    <w:rsid w:val="00432D1D"/>
    <w:rsid w:val="00433283"/>
    <w:rsid w:val="00433768"/>
    <w:rsid w:val="00433801"/>
    <w:rsid w:val="00433AFA"/>
    <w:rsid w:val="00433D68"/>
    <w:rsid w:val="004340FE"/>
    <w:rsid w:val="00434D51"/>
    <w:rsid w:val="00435AAE"/>
    <w:rsid w:val="0043649A"/>
    <w:rsid w:val="00436518"/>
    <w:rsid w:val="0043708D"/>
    <w:rsid w:val="00437977"/>
    <w:rsid w:val="00437BF2"/>
    <w:rsid w:val="004401FD"/>
    <w:rsid w:val="00440CFC"/>
    <w:rsid w:val="0044109C"/>
    <w:rsid w:val="00441B7A"/>
    <w:rsid w:val="00441CE4"/>
    <w:rsid w:val="004420A8"/>
    <w:rsid w:val="00442176"/>
    <w:rsid w:val="00442368"/>
    <w:rsid w:val="0044279D"/>
    <w:rsid w:val="0044310F"/>
    <w:rsid w:val="004438D2"/>
    <w:rsid w:val="00444ED2"/>
    <w:rsid w:val="00445032"/>
    <w:rsid w:val="00445166"/>
    <w:rsid w:val="00445278"/>
    <w:rsid w:val="004462B2"/>
    <w:rsid w:val="00446904"/>
    <w:rsid w:val="00446BE6"/>
    <w:rsid w:val="004472C6"/>
    <w:rsid w:val="0044753E"/>
    <w:rsid w:val="00447ECF"/>
    <w:rsid w:val="0045146E"/>
    <w:rsid w:val="004521A1"/>
    <w:rsid w:val="004535DA"/>
    <w:rsid w:val="00453D5F"/>
    <w:rsid w:val="00453F53"/>
    <w:rsid w:val="00454963"/>
    <w:rsid w:val="00454A75"/>
    <w:rsid w:val="0045506D"/>
    <w:rsid w:val="004550A3"/>
    <w:rsid w:val="0045632A"/>
    <w:rsid w:val="00456D04"/>
    <w:rsid w:val="004576F0"/>
    <w:rsid w:val="00457FF3"/>
    <w:rsid w:val="00460210"/>
    <w:rsid w:val="0046091B"/>
    <w:rsid w:val="00461383"/>
    <w:rsid w:val="00461551"/>
    <w:rsid w:val="00463B5C"/>
    <w:rsid w:val="00463C77"/>
    <w:rsid w:val="00463C85"/>
    <w:rsid w:val="00464B78"/>
    <w:rsid w:val="00464C3C"/>
    <w:rsid w:val="00465927"/>
    <w:rsid w:val="00465BBB"/>
    <w:rsid w:val="00466B4D"/>
    <w:rsid w:val="00466D89"/>
    <w:rsid w:val="00467072"/>
    <w:rsid w:val="0046756B"/>
    <w:rsid w:val="004675DA"/>
    <w:rsid w:val="00467634"/>
    <w:rsid w:val="004677AE"/>
    <w:rsid w:val="004679FA"/>
    <w:rsid w:val="00467A80"/>
    <w:rsid w:val="00467CDC"/>
    <w:rsid w:val="00470211"/>
    <w:rsid w:val="00470D7B"/>
    <w:rsid w:val="00470E4B"/>
    <w:rsid w:val="00471E19"/>
    <w:rsid w:val="00472C2E"/>
    <w:rsid w:val="00472F8B"/>
    <w:rsid w:val="0047331C"/>
    <w:rsid w:val="00473409"/>
    <w:rsid w:val="00473927"/>
    <w:rsid w:val="004748E0"/>
    <w:rsid w:val="0047497A"/>
    <w:rsid w:val="00474F6A"/>
    <w:rsid w:val="00475AC3"/>
    <w:rsid w:val="00475CA4"/>
    <w:rsid w:val="004761D2"/>
    <w:rsid w:val="00476300"/>
    <w:rsid w:val="00476AD9"/>
    <w:rsid w:val="00477114"/>
    <w:rsid w:val="00480728"/>
    <w:rsid w:val="00480C49"/>
    <w:rsid w:val="00481134"/>
    <w:rsid w:val="004819E5"/>
    <w:rsid w:val="00481F9D"/>
    <w:rsid w:val="0048282B"/>
    <w:rsid w:val="004830B5"/>
    <w:rsid w:val="004831C5"/>
    <w:rsid w:val="00484012"/>
    <w:rsid w:val="00484B21"/>
    <w:rsid w:val="00485B59"/>
    <w:rsid w:val="00485C0A"/>
    <w:rsid w:val="00485D14"/>
    <w:rsid w:val="004861B2"/>
    <w:rsid w:val="0048662A"/>
    <w:rsid w:val="00486D35"/>
    <w:rsid w:val="00486EEC"/>
    <w:rsid w:val="00487199"/>
    <w:rsid w:val="004875C8"/>
    <w:rsid w:val="004914B7"/>
    <w:rsid w:val="0049194B"/>
    <w:rsid w:val="00491C6B"/>
    <w:rsid w:val="00492F49"/>
    <w:rsid w:val="004936A2"/>
    <w:rsid w:val="004936BD"/>
    <w:rsid w:val="004942BA"/>
    <w:rsid w:val="004944C6"/>
    <w:rsid w:val="00495F79"/>
    <w:rsid w:val="00496384"/>
    <w:rsid w:val="00496BF8"/>
    <w:rsid w:val="00496C27"/>
    <w:rsid w:val="00497525"/>
    <w:rsid w:val="004A0006"/>
    <w:rsid w:val="004A0F5A"/>
    <w:rsid w:val="004A11EB"/>
    <w:rsid w:val="004A2D27"/>
    <w:rsid w:val="004A31F7"/>
    <w:rsid w:val="004A323C"/>
    <w:rsid w:val="004A338F"/>
    <w:rsid w:val="004A3D48"/>
    <w:rsid w:val="004A50A9"/>
    <w:rsid w:val="004A54B0"/>
    <w:rsid w:val="004A62B2"/>
    <w:rsid w:val="004A675E"/>
    <w:rsid w:val="004A6964"/>
    <w:rsid w:val="004B0B56"/>
    <w:rsid w:val="004B0BA0"/>
    <w:rsid w:val="004B0C8C"/>
    <w:rsid w:val="004B0CFF"/>
    <w:rsid w:val="004B1AD0"/>
    <w:rsid w:val="004B2041"/>
    <w:rsid w:val="004B28AE"/>
    <w:rsid w:val="004B3393"/>
    <w:rsid w:val="004B357C"/>
    <w:rsid w:val="004B3587"/>
    <w:rsid w:val="004B4016"/>
    <w:rsid w:val="004B410F"/>
    <w:rsid w:val="004B43B6"/>
    <w:rsid w:val="004B4F48"/>
    <w:rsid w:val="004B5554"/>
    <w:rsid w:val="004B5D17"/>
    <w:rsid w:val="004B64D2"/>
    <w:rsid w:val="004B6551"/>
    <w:rsid w:val="004B6BFF"/>
    <w:rsid w:val="004C03DC"/>
    <w:rsid w:val="004C05DD"/>
    <w:rsid w:val="004C06DD"/>
    <w:rsid w:val="004C0840"/>
    <w:rsid w:val="004C0ACD"/>
    <w:rsid w:val="004C0BB5"/>
    <w:rsid w:val="004C1069"/>
    <w:rsid w:val="004C142C"/>
    <w:rsid w:val="004C1952"/>
    <w:rsid w:val="004C263C"/>
    <w:rsid w:val="004C28D0"/>
    <w:rsid w:val="004C35FD"/>
    <w:rsid w:val="004C3CA7"/>
    <w:rsid w:val="004C3F42"/>
    <w:rsid w:val="004C42A8"/>
    <w:rsid w:val="004C48B3"/>
    <w:rsid w:val="004C4D69"/>
    <w:rsid w:val="004C543A"/>
    <w:rsid w:val="004C55AE"/>
    <w:rsid w:val="004C60E0"/>
    <w:rsid w:val="004C6240"/>
    <w:rsid w:val="004C6341"/>
    <w:rsid w:val="004C67EA"/>
    <w:rsid w:val="004C7546"/>
    <w:rsid w:val="004D26F4"/>
    <w:rsid w:val="004D2B1A"/>
    <w:rsid w:val="004D3DC5"/>
    <w:rsid w:val="004D3FBF"/>
    <w:rsid w:val="004D43FF"/>
    <w:rsid w:val="004D5048"/>
    <w:rsid w:val="004D549F"/>
    <w:rsid w:val="004D5888"/>
    <w:rsid w:val="004D6709"/>
    <w:rsid w:val="004D69B7"/>
    <w:rsid w:val="004D6BCF"/>
    <w:rsid w:val="004D70D3"/>
    <w:rsid w:val="004D740F"/>
    <w:rsid w:val="004D742A"/>
    <w:rsid w:val="004D7758"/>
    <w:rsid w:val="004D7A05"/>
    <w:rsid w:val="004D7F3F"/>
    <w:rsid w:val="004E034D"/>
    <w:rsid w:val="004E0E9C"/>
    <w:rsid w:val="004E1222"/>
    <w:rsid w:val="004E1391"/>
    <w:rsid w:val="004E1651"/>
    <w:rsid w:val="004E2135"/>
    <w:rsid w:val="004E26BD"/>
    <w:rsid w:val="004E2D81"/>
    <w:rsid w:val="004E3764"/>
    <w:rsid w:val="004E3B1B"/>
    <w:rsid w:val="004E3DAC"/>
    <w:rsid w:val="004E4907"/>
    <w:rsid w:val="004E596B"/>
    <w:rsid w:val="004E5B83"/>
    <w:rsid w:val="004E5CAD"/>
    <w:rsid w:val="004E5DBD"/>
    <w:rsid w:val="004E60A8"/>
    <w:rsid w:val="004E6BDD"/>
    <w:rsid w:val="004E7218"/>
    <w:rsid w:val="004E74A6"/>
    <w:rsid w:val="004E7C6D"/>
    <w:rsid w:val="004E7E4F"/>
    <w:rsid w:val="004F012F"/>
    <w:rsid w:val="004F02A9"/>
    <w:rsid w:val="004F02E8"/>
    <w:rsid w:val="004F0919"/>
    <w:rsid w:val="004F0997"/>
    <w:rsid w:val="004F155F"/>
    <w:rsid w:val="004F19B9"/>
    <w:rsid w:val="004F19BD"/>
    <w:rsid w:val="004F23CA"/>
    <w:rsid w:val="004F2C41"/>
    <w:rsid w:val="004F338D"/>
    <w:rsid w:val="004F3A47"/>
    <w:rsid w:val="004F3F6A"/>
    <w:rsid w:val="004F4326"/>
    <w:rsid w:val="004F4605"/>
    <w:rsid w:val="004F48AD"/>
    <w:rsid w:val="004F550C"/>
    <w:rsid w:val="004F6EC8"/>
    <w:rsid w:val="004F7179"/>
    <w:rsid w:val="004F7ED7"/>
    <w:rsid w:val="00500754"/>
    <w:rsid w:val="00500F7A"/>
    <w:rsid w:val="00501771"/>
    <w:rsid w:val="00502356"/>
    <w:rsid w:val="0050277E"/>
    <w:rsid w:val="005029C4"/>
    <w:rsid w:val="00502ADB"/>
    <w:rsid w:val="00503364"/>
    <w:rsid w:val="00503D85"/>
    <w:rsid w:val="00505420"/>
    <w:rsid w:val="005054C7"/>
    <w:rsid w:val="005063F1"/>
    <w:rsid w:val="0050677A"/>
    <w:rsid w:val="0050744A"/>
    <w:rsid w:val="00507D91"/>
    <w:rsid w:val="005103A0"/>
    <w:rsid w:val="00510C59"/>
    <w:rsid w:val="00511043"/>
    <w:rsid w:val="005131D1"/>
    <w:rsid w:val="005139FD"/>
    <w:rsid w:val="00514997"/>
    <w:rsid w:val="00515DF7"/>
    <w:rsid w:val="0051689E"/>
    <w:rsid w:val="005168C8"/>
    <w:rsid w:val="005174E0"/>
    <w:rsid w:val="005203C7"/>
    <w:rsid w:val="00520A8B"/>
    <w:rsid w:val="00521BBE"/>
    <w:rsid w:val="00522269"/>
    <w:rsid w:val="00522697"/>
    <w:rsid w:val="00522EF3"/>
    <w:rsid w:val="00523251"/>
    <w:rsid w:val="005238A4"/>
    <w:rsid w:val="0052397C"/>
    <w:rsid w:val="00524676"/>
    <w:rsid w:val="00524BBE"/>
    <w:rsid w:val="00524D31"/>
    <w:rsid w:val="0052597D"/>
    <w:rsid w:val="00526681"/>
    <w:rsid w:val="00527690"/>
    <w:rsid w:val="005309E8"/>
    <w:rsid w:val="00531668"/>
    <w:rsid w:val="00531F74"/>
    <w:rsid w:val="005326DA"/>
    <w:rsid w:val="00533129"/>
    <w:rsid w:val="00534B30"/>
    <w:rsid w:val="00534B86"/>
    <w:rsid w:val="0053518A"/>
    <w:rsid w:val="005357B0"/>
    <w:rsid w:val="00535832"/>
    <w:rsid w:val="00535F5C"/>
    <w:rsid w:val="005361BF"/>
    <w:rsid w:val="00537D67"/>
    <w:rsid w:val="005420E8"/>
    <w:rsid w:val="005431F4"/>
    <w:rsid w:val="005432C2"/>
    <w:rsid w:val="00543651"/>
    <w:rsid w:val="005436ED"/>
    <w:rsid w:val="00543DC6"/>
    <w:rsid w:val="00544102"/>
    <w:rsid w:val="00544205"/>
    <w:rsid w:val="00544FC8"/>
    <w:rsid w:val="005461F6"/>
    <w:rsid w:val="0054622D"/>
    <w:rsid w:val="00546795"/>
    <w:rsid w:val="00546E80"/>
    <w:rsid w:val="00550384"/>
    <w:rsid w:val="005509FE"/>
    <w:rsid w:val="0055185B"/>
    <w:rsid w:val="005525B4"/>
    <w:rsid w:val="00552724"/>
    <w:rsid w:val="0055273B"/>
    <w:rsid w:val="00552EF2"/>
    <w:rsid w:val="00552FA4"/>
    <w:rsid w:val="00553928"/>
    <w:rsid w:val="00554F8D"/>
    <w:rsid w:val="00555B6A"/>
    <w:rsid w:val="00555BA5"/>
    <w:rsid w:val="00556B2D"/>
    <w:rsid w:val="00556D98"/>
    <w:rsid w:val="00557372"/>
    <w:rsid w:val="00562129"/>
    <w:rsid w:val="005647DD"/>
    <w:rsid w:val="00564DF5"/>
    <w:rsid w:val="00565B30"/>
    <w:rsid w:val="00565C29"/>
    <w:rsid w:val="00567022"/>
    <w:rsid w:val="0056780A"/>
    <w:rsid w:val="00567AB8"/>
    <w:rsid w:val="00567AD6"/>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3A1B"/>
    <w:rsid w:val="005745A3"/>
    <w:rsid w:val="005753C6"/>
    <w:rsid w:val="005754AF"/>
    <w:rsid w:val="005761E6"/>
    <w:rsid w:val="005761F4"/>
    <w:rsid w:val="00576820"/>
    <w:rsid w:val="005773CC"/>
    <w:rsid w:val="0057749B"/>
    <w:rsid w:val="005777CC"/>
    <w:rsid w:val="00577918"/>
    <w:rsid w:val="00577E0B"/>
    <w:rsid w:val="005800F4"/>
    <w:rsid w:val="00580692"/>
    <w:rsid w:val="005811F3"/>
    <w:rsid w:val="00582203"/>
    <w:rsid w:val="0058237F"/>
    <w:rsid w:val="0058240B"/>
    <w:rsid w:val="00582538"/>
    <w:rsid w:val="005825D2"/>
    <w:rsid w:val="0058284E"/>
    <w:rsid w:val="0058399E"/>
    <w:rsid w:val="005849EB"/>
    <w:rsid w:val="00585E38"/>
    <w:rsid w:val="00586041"/>
    <w:rsid w:val="00586840"/>
    <w:rsid w:val="005871BF"/>
    <w:rsid w:val="00587957"/>
    <w:rsid w:val="00591204"/>
    <w:rsid w:val="00591805"/>
    <w:rsid w:val="00591851"/>
    <w:rsid w:val="00591896"/>
    <w:rsid w:val="00591CBC"/>
    <w:rsid w:val="005925AF"/>
    <w:rsid w:val="00592A99"/>
    <w:rsid w:val="00592AD5"/>
    <w:rsid w:val="00593B2A"/>
    <w:rsid w:val="00594F72"/>
    <w:rsid w:val="00595112"/>
    <w:rsid w:val="005952C6"/>
    <w:rsid w:val="00595416"/>
    <w:rsid w:val="00595954"/>
    <w:rsid w:val="00595D7A"/>
    <w:rsid w:val="00595D8C"/>
    <w:rsid w:val="00597623"/>
    <w:rsid w:val="00597D74"/>
    <w:rsid w:val="005A0117"/>
    <w:rsid w:val="005A15CD"/>
    <w:rsid w:val="005A186C"/>
    <w:rsid w:val="005A2872"/>
    <w:rsid w:val="005A2C49"/>
    <w:rsid w:val="005A3A87"/>
    <w:rsid w:val="005A433F"/>
    <w:rsid w:val="005A4EA0"/>
    <w:rsid w:val="005A53DB"/>
    <w:rsid w:val="005A5448"/>
    <w:rsid w:val="005A5DBB"/>
    <w:rsid w:val="005A5EF6"/>
    <w:rsid w:val="005A66B3"/>
    <w:rsid w:val="005A6B7A"/>
    <w:rsid w:val="005A6FFA"/>
    <w:rsid w:val="005A7917"/>
    <w:rsid w:val="005A7A3C"/>
    <w:rsid w:val="005B0053"/>
    <w:rsid w:val="005B0195"/>
    <w:rsid w:val="005B0353"/>
    <w:rsid w:val="005B0A84"/>
    <w:rsid w:val="005B3085"/>
    <w:rsid w:val="005B3C72"/>
    <w:rsid w:val="005B55EA"/>
    <w:rsid w:val="005B58CC"/>
    <w:rsid w:val="005B5BDB"/>
    <w:rsid w:val="005B5D37"/>
    <w:rsid w:val="005B5F98"/>
    <w:rsid w:val="005B6366"/>
    <w:rsid w:val="005B7713"/>
    <w:rsid w:val="005C15FF"/>
    <w:rsid w:val="005C1EC5"/>
    <w:rsid w:val="005C23A4"/>
    <w:rsid w:val="005C31A3"/>
    <w:rsid w:val="005C3712"/>
    <w:rsid w:val="005C488E"/>
    <w:rsid w:val="005C547E"/>
    <w:rsid w:val="005C59E7"/>
    <w:rsid w:val="005C5FB1"/>
    <w:rsid w:val="005C6ACF"/>
    <w:rsid w:val="005C6BA6"/>
    <w:rsid w:val="005D00EC"/>
    <w:rsid w:val="005D088B"/>
    <w:rsid w:val="005D09DF"/>
    <w:rsid w:val="005D0A4D"/>
    <w:rsid w:val="005D0C3D"/>
    <w:rsid w:val="005D1386"/>
    <w:rsid w:val="005D1589"/>
    <w:rsid w:val="005D1595"/>
    <w:rsid w:val="005D1AE0"/>
    <w:rsid w:val="005D311B"/>
    <w:rsid w:val="005D41E9"/>
    <w:rsid w:val="005D433C"/>
    <w:rsid w:val="005D4B64"/>
    <w:rsid w:val="005D6A1B"/>
    <w:rsid w:val="005D70A8"/>
    <w:rsid w:val="005D74B8"/>
    <w:rsid w:val="005E0A36"/>
    <w:rsid w:val="005E0DB3"/>
    <w:rsid w:val="005E11F9"/>
    <w:rsid w:val="005E1ABF"/>
    <w:rsid w:val="005E1F87"/>
    <w:rsid w:val="005E24F2"/>
    <w:rsid w:val="005E289E"/>
    <w:rsid w:val="005E317F"/>
    <w:rsid w:val="005E360D"/>
    <w:rsid w:val="005E3C04"/>
    <w:rsid w:val="005E4038"/>
    <w:rsid w:val="005E41B0"/>
    <w:rsid w:val="005E539D"/>
    <w:rsid w:val="005E5B4A"/>
    <w:rsid w:val="005E6923"/>
    <w:rsid w:val="005E7B57"/>
    <w:rsid w:val="005E7BB0"/>
    <w:rsid w:val="005F06DF"/>
    <w:rsid w:val="005F0721"/>
    <w:rsid w:val="005F0F6E"/>
    <w:rsid w:val="005F1929"/>
    <w:rsid w:val="005F3BB6"/>
    <w:rsid w:val="005F4245"/>
    <w:rsid w:val="005F501C"/>
    <w:rsid w:val="005F50B7"/>
    <w:rsid w:val="005F588E"/>
    <w:rsid w:val="005F5B76"/>
    <w:rsid w:val="005F64B4"/>
    <w:rsid w:val="005F6851"/>
    <w:rsid w:val="005F6AEB"/>
    <w:rsid w:val="005F6D3C"/>
    <w:rsid w:val="005F7DDE"/>
    <w:rsid w:val="0060091C"/>
    <w:rsid w:val="00600FC8"/>
    <w:rsid w:val="006013F6"/>
    <w:rsid w:val="00602405"/>
    <w:rsid w:val="00602FFF"/>
    <w:rsid w:val="00603FD0"/>
    <w:rsid w:val="00604495"/>
    <w:rsid w:val="00604664"/>
    <w:rsid w:val="0060473C"/>
    <w:rsid w:val="00604C6F"/>
    <w:rsid w:val="0060581B"/>
    <w:rsid w:val="00606DB5"/>
    <w:rsid w:val="006071D7"/>
    <w:rsid w:val="0060767F"/>
    <w:rsid w:val="00607D64"/>
    <w:rsid w:val="00610B29"/>
    <w:rsid w:val="0061162A"/>
    <w:rsid w:val="00612012"/>
    <w:rsid w:val="00613206"/>
    <w:rsid w:val="006138CD"/>
    <w:rsid w:val="0061459E"/>
    <w:rsid w:val="006146B2"/>
    <w:rsid w:val="00614916"/>
    <w:rsid w:val="0061598E"/>
    <w:rsid w:val="00616391"/>
    <w:rsid w:val="0061646B"/>
    <w:rsid w:val="006167A7"/>
    <w:rsid w:val="00616E29"/>
    <w:rsid w:val="00617025"/>
    <w:rsid w:val="006211ED"/>
    <w:rsid w:val="006214EC"/>
    <w:rsid w:val="0062231E"/>
    <w:rsid w:val="006236EB"/>
    <w:rsid w:val="00624EFA"/>
    <w:rsid w:val="00626166"/>
    <w:rsid w:val="006265EC"/>
    <w:rsid w:val="006275AD"/>
    <w:rsid w:val="0062784C"/>
    <w:rsid w:val="006302CB"/>
    <w:rsid w:val="00630CF7"/>
    <w:rsid w:val="00630D71"/>
    <w:rsid w:val="00631D2C"/>
    <w:rsid w:val="00632688"/>
    <w:rsid w:val="00632B60"/>
    <w:rsid w:val="00633C11"/>
    <w:rsid w:val="006348BC"/>
    <w:rsid w:val="00635565"/>
    <w:rsid w:val="00635E10"/>
    <w:rsid w:val="0063619F"/>
    <w:rsid w:val="00636ADA"/>
    <w:rsid w:val="00637039"/>
    <w:rsid w:val="006371D5"/>
    <w:rsid w:val="00637556"/>
    <w:rsid w:val="00637D00"/>
    <w:rsid w:val="0064112D"/>
    <w:rsid w:val="00641795"/>
    <w:rsid w:val="006422FE"/>
    <w:rsid w:val="00642EC1"/>
    <w:rsid w:val="00643EFD"/>
    <w:rsid w:val="006441AB"/>
    <w:rsid w:val="0064446C"/>
    <w:rsid w:val="006447C3"/>
    <w:rsid w:val="006447E3"/>
    <w:rsid w:val="00644911"/>
    <w:rsid w:val="006455AE"/>
    <w:rsid w:val="0064613A"/>
    <w:rsid w:val="00646A4B"/>
    <w:rsid w:val="0064703B"/>
    <w:rsid w:val="006470F5"/>
    <w:rsid w:val="00647A05"/>
    <w:rsid w:val="0065014B"/>
    <w:rsid w:val="00650182"/>
    <w:rsid w:val="0065086D"/>
    <w:rsid w:val="00651C98"/>
    <w:rsid w:val="00651F0E"/>
    <w:rsid w:val="00652929"/>
    <w:rsid w:val="0065371F"/>
    <w:rsid w:val="00653C07"/>
    <w:rsid w:val="00653E1B"/>
    <w:rsid w:val="00653E4C"/>
    <w:rsid w:val="00654841"/>
    <w:rsid w:val="00655636"/>
    <w:rsid w:val="00655B3C"/>
    <w:rsid w:val="00655EF3"/>
    <w:rsid w:val="006560CD"/>
    <w:rsid w:val="00656368"/>
    <w:rsid w:val="0066026A"/>
    <w:rsid w:val="00660826"/>
    <w:rsid w:val="00660BD5"/>
    <w:rsid w:val="00662C69"/>
    <w:rsid w:val="00663A36"/>
    <w:rsid w:val="00663D4A"/>
    <w:rsid w:val="0066424A"/>
    <w:rsid w:val="006652F9"/>
    <w:rsid w:val="00665ED6"/>
    <w:rsid w:val="0066631D"/>
    <w:rsid w:val="006663C4"/>
    <w:rsid w:val="00666D7B"/>
    <w:rsid w:val="0066769F"/>
    <w:rsid w:val="00670235"/>
    <w:rsid w:val="0067032E"/>
    <w:rsid w:val="00670BC3"/>
    <w:rsid w:val="006712A1"/>
    <w:rsid w:val="006729AD"/>
    <w:rsid w:val="00673C16"/>
    <w:rsid w:val="00674926"/>
    <w:rsid w:val="00674F06"/>
    <w:rsid w:val="00675396"/>
    <w:rsid w:val="006759F4"/>
    <w:rsid w:val="00675C98"/>
    <w:rsid w:val="00675E9D"/>
    <w:rsid w:val="0067624F"/>
    <w:rsid w:val="00676C09"/>
    <w:rsid w:val="0067750B"/>
    <w:rsid w:val="0068042F"/>
    <w:rsid w:val="00680551"/>
    <w:rsid w:val="00680B9A"/>
    <w:rsid w:val="006810C5"/>
    <w:rsid w:val="006811AA"/>
    <w:rsid w:val="00682426"/>
    <w:rsid w:val="00682BD9"/>
    <w:rsid w:val="00682FBF"/>
    <w:rsid w:val="006839B0"/>
    <w:rsid w:val="00683BFD"/>
    <w:rsid w:val="006845B4"/>
    <w:rsid w:val="00684870"/>
    <w:rsid w:val="00684D13"/>
    <w:rsid w:val="0068506D"/>
    <w:rsid w:val="00685071"/>
    <w:rsid w:val="00686A99"/>
    <w:rsid w:val="00686D73"/>
    <w:rsid w:val="00686DAE"/>
    <w:rsid w:val="00690324"/>
    <w:rsid w:val="0069078A"/>
    <w:rsid w:val="006909E7"/>
    <w:rsid w:val="006914DC"/>
    <w:rsid w:val="00691A70"/>
    <w:rsid w:val="0069258D"/>
    <w:rsid w:val="00692E79"/>
    <w:rsid w:val="0069308F"/>
    <w:rsid w:val="00693ABE"/>
    <w:rsid w:val="00693C95"/>
    <w:rsid w:val="00693D23"/>
    <w:rsid w:val="00694EF5"/>
    <w:rsid w:val="00695D65"/>
    <w:rsid w:val="0069663F"/>
    <w:rsid w:val="00696A15"/>
    <w:rsid w:val="00697EE7"/>
    <w:rsid w:val="006A048B"/>
    <w:rsid w:val="006A05EA"/>
    <w:rsid w:val="006A063A"/>
    <w:rsid w:val="006A0DC2"/>
    <w:rsid w:val="006A10FC"/>
    <w:rsid w:val="006A147F"/>
    <w:rsid w:val="006A1C67"/>
    <w:rsid w:val="006A2B71"/>
    <w:rsid w:val="006A349C"/>
    <w:rsid w:val="006A3E36"/>
    <w:rsid w:val="006A4DED"/>
    <w:rsid w:val="006A5076"/>
    <w:rsid w:val="006A54CE"/>
    <w:rsid w:val="006A5D90"/>
    <w:rsid w:val="006A7058"/>
    <w:rsid w:val="006A7EAE"/>
    <w:rsid w:val="006A7F0D"/>
    <w:rsid w:val="006B0005"/>
    <w:rsid w:val="006B056B"/>
    <w:rsid w:val="006B0A82"/>
    <w:rsid w:val="006B0C26"/>
    <w:rsid w:val="006B0EB3"/>
    <w:rsid w:val="006B1890"/>
    <w:rsid w:val="006B18F1"/>
    <w:rsid w:val="006B2378"/>
    <w:rsid w:val="006B27CC"/>
    <w:rsid w:val="006B299A"/>
    <w:rsid w:val="006B29AC"/>
    <w:rsid w:val="006B2D2F"/>
    <w:rsid w:val="006B2DC7"/>
    <w:rsid w:val="006B2F88"/>
    <w:rsid w:val="006B303D"/>
    <w:rsid w:val="006B328C"/>
    <w:rsid w:val="006B333D"/>
    <w:rsid w:val="006B3633"/>
    <w:rsid w:val="006B3663"/>
    <w:rsid w:val="006B36BB"/>
    <w:rsid w:val="006B3F9B"/>
    <w:rsid w:val="006B4381"/>
    <w:rsid w:val="006B43D7"/>
    <w:rsid w:val="006B4E92"/>
    <w:rsid w:val="006B6514"/>
    <w:rsid w:val="006B66F6"/>
    <w:rsid w:val="006B682F"/>
    <w:rsid w:val="006B6DAD"/>
    <w:rsid w:val="006C0876"/>
    <w:rsid w:val="006C0AF4"/>
    <w:rsid w:val="006C1D11"/>
    <w:rsid w:val="006C2595"/>
    <w:rsid w:val="006C2B32"/>
    <w:rsid w:val="006C30F6"/>
    <w:rsid w:val="006C312B"/>
    <w:rsid w:val="006C32F8"/>
    <w:rsid w:val="006C3A34"/>
    <w:rsid w:val="006C42D1"/>
    <w:rsid w:val="006C4787"/>
    <w:rsid w:val="006C4A58"/>
    <w:rsid w:val="006C4B4D"/>
    <w:rsid w:val="006C4D93"/>
    <w:rsid w:val="006C4F42"/>
    <w:rsid w:val="006C797E"/>
    <w:rsid w:val="006C7AF5"/>
    <w:rsid w:val="006C7C78"/>
    <w:rsid w:val="006C7C80"/>
    <w:rsid w:val="006C7D76"/>
    <w:rsid w:val="006D1066"/>
    <w:rsid w:val="006D1EC8"/>
    <w:rsid w:val="006D2023"/>
    <w:rsid w:val="006D2AAA"/>
    <w:rsid w:val="006D339D"/>
    <w:rsid w:val="006D351B"/>
    <w:rsid w:val="006D388E"/>
    <w:rsid w:val="006D40F9"/>
    <w:rsid w:val="006D430F"/>
    <w:rsid w:val="006D50F9"/>
    <w:rsid w:val="006D5F45"/>
    <w:rsid w:val="006D6920"/>
    <w:rsid w:val="006D6C74"/>
    <w:rsid w:val="006D760A"/>
    <w:rsid w:val="006E0700"/>
    <w:rsid w:val="006E096D"/>
    <w:rsid w:val="006E0BE4"/>
    <w:rsid w:val="006E1139"/>
    <w:rsid w:val="006E16C8"/>
    <w:rsid w:val="006E2585"/>
    <w:rsid w:val="006E3206"/>
    <w:rsid w:val="006E33AA"/>
    <w:rsid w:val="006E3483"/>
    <w:rsid w:val="006E373F"/>
    <w:rsid w:val="006E3CFA"/>
    <w:rsid w:val="006E468E"/>
    <w:rsid w:val="006E4B7E"/>
    <w:rsid w:val="006E5213"/>
    <w:rsid w:val="006E6970"/>
    <w:rsid w:val="006E69AD"/>
    <w:rsid w:val="006E6C13"/>
    <w:rsid w:val="006E7D93"/>
    <w:rsid w:val="006F02AA"/>
    <w:rsid w:val="006F085D"/>
    <w:rsid w:val="006F0A8B"/>
    <w:rsid w:val="006F0BC2"/>
    <w:rsid w:val="006F0DB9"/>
    <w:rsid w:val="006F1131"/>
    <w:rsid w:val="006F12F1"/>
    <w:rsid w:val="006F13B1"/>
    <w:rsid w:val="006F2CEC"/>
    <w:rsid w:val="006F30A6"/>
    <w:rsid w:val="006F338E"/>
    <w:rsid w:val="006F3605"/>
    <w:rsid w:val="006F4997"/>
    <w:rsid w:val="006F4C3E"/>
    <w:rsid w:val="006F500D"/>
    <w:rsid w:val="006F5409"/>
    <w:rsid w:val="006F5426"/>
    <w:rsid w:val="006F5675"/>
    <w:rsid w:val="006F5BE0"/>
    <w:rsid w:val="006F5EDC"/>
    <w:rsid w:val="006F6AEE"/>
    <w:rsid w:val="006F720E"/>
    <w:rsid w:val="006F74CB"/>
    <w:rsid w:val="007000D1"/>
    <w:rsid w:val="007002F5"/>
    <w:rsid w:val="00700E5D"/>
    <w:rsid w:val="00700EF6"/>
    <w:rsid w:val="0070101F"/>
    <w:rsid w:val="0070298A"/>
    <w:rsid w:val="00702E2C"/>
    <w:rsid w:val="007035DA"/>
    <w:rsid w:val="00703E45"/>
    <w:rsid w:val="0070416E"/>
    <w:rsid w:val="0070471E"/>
    <w:rsid w:val="00705955"/>
    <w:rsid w:val="00705BE5"/>
    <w:rsid w:val="00705C52"/>
    <w:rsid w:val="00705D84"/>
    <w:rsid w:val="00705F22"/>
    <w:rsid w:val="00707001"/>
    <w:rsid w:val="007071D4"/>
    <w:rsid w:val="00707F93"/>
    <w:rsid w:val="007103E9"/>
    <w:rsid w:val="00710504"/>
    <w:rsid w:val="00711110"/>
    <w:rsid w:val="00711923"/>
    <w:rsid w:val="00711A4D"/>
    <w:rsid w:val="00711FA9"/>
    <w:rsid w:val="00712517"/>
    <w:rsid w:val="0071299E"/>
    <w:rsid w:val="007129E1"/>
    <w:rsid w:val="00712BE5"/>
    <w:rsid w:val="0071559B"/>
    <w:rsid w:val="00715C50"/>
    <w:rsid w:val="007164EB"/>
    <w:rsid w:val="00717E5D"/>
    <w:rsid w:val="0072041D"/>
    <w:rsid w:val="0072089A"/>
    <w:rsid w:val="007209AB"/>
    <w:rsid w:val="00720A8A"/>
    <w:rsid w:val="00720D86"/>
    <w:rsid w:val="00721519"/>
    <w:rsid w:val="00722830"/>
    <w:rsid w:val="00722BA5"/>
    <w:rsid w:val="00722CC1"/>
    <w:rsid w:val="00723498"/>
    <w:rsid w:val="007244B2"/>
    <w:rsid w:val="00725978"/>
    <w:rsid w:val="00725BBC"/>
    <w:rsid w:val="00725D49"/>
    <w:rsid w:val="00725F20"/>
    <w:rsid w:val="00726640"/>
    <w:rsid w:val="00727888"/>
    <w:rsid w:val="0073055D"/>
    <w:rsid w:val="00730BA7"/>
    <w:rsid w:val="00730CA1"/>
    <w:rsid w:val="00732032"/>
    <w:rsid w:val="007321AE"/>
    <w:rsid w:val="00732B27"/>
    <w:rsid w:val="00733585"/>
    <w:rsid w:val="007336BA"/>
    <w:rsid w:val="00734943"/>
    <w:rsid w:val="00734944"/>
    <w:rsid w:val="00734C70"/>
    <w:rsid w:val="00734DE7"/>
    <w:rsid w:val="00734FDD"/>
    <w:rsid w:val="00735300"/>
    <w:rsid w:val="007358B5"/>
    <w:rsid w:val="00735A3D"/>
    <w:rsid w:val="0073679E"/>
    <w:rsid w:val="007367D7"/>
    <w:rsid w:val="00737A86"/>
    <w:rsid w:val="00741C13"/>
    <w:rsid w:val="00742099"/>
    <w:rsid w:val="007420A0"/>
    <w:rsid w:val="00743170"/>
    <w:rsid w:val="007440E4"/>
    <w:rsid w:val="0074457A"/>
    <w:rsid w:val="00744B34"/>
    <w:rsid w:val="00744D56"/>
    <w:rsid w:val="00745173"/>
    <w:rsid w:val="00745276"/>
    <w:rsid w:val="007452B2"/>
    <w:rsid w:val="0074565C"/>
    <w:rsid w:val="007457CA"/>
    <w:rsid w:val="00745AB8"/>
    <w:rsid w:val="007465FB"/>
    <w:rsid w:val="007466A4"/>
    <w:rsid w:val="00746AC1"/>
    <w:rsid w:val="00747F33"/>
    <w:rsid w:val="0075010E"/>
    <w:rsid w:val="007509E1"/>
    <w:rsid w:val="00750C6A"/>
    <w:rsid w:val="00750E84"/>
    <w:rsid w:val="00751B64"/>
    <w:rsid w:val="00753020"/>
    <w:rsid w:val="007530AA"/>
    <w:rsid w:val="00753119"/>
    <w:rsid w:val="00753280"/>
    <w:rsid w:val="0075389E"/>
    <w:rsid w:val="00754481"/>
    <w:rsid w:val="00754AAF"/>
    <w:rsid w:val="00754FDD"/>
    <w:rsid w:val="0075540C"/>
    <w:rsid w:val="00755EC0"/>
    <w:rsid w:val="00755F67"/>
    <w:rsid w:val="00757835"/>
    <w:rsid w:val="00757DB2"/>
    <w:rsid w:val="00757F11"/>
    <w:rsid w:val="0076087E"/>
    <w:rsid w:val="00760CBC"/>
    <w:rsid w:val="00760E86"/>
    <w:rsid w:val="00761874"/>
    <w:rsid w:val="00761AB2"/>
    <w:rsid w:val="007632AE"/>
    <w:rsid w:val="007647D0"/>
    <w:rsid w:val="00766A0E"/>
    <w:rsid w:val="00766B4E"/>
    <w:rsid w:val="00767934"/>
    <w:rsid w:val="00767CDF"/>
    <w:rsid w:val="00767D50"/>
    <w:rsid w:val="00770833"/>
    <w:rsid w:val="00770C3D"/>
    <w:rsid w:val="007716EB"/>
    <w:rsid w:val="00772CDC"/>
    <w:rsid w:val="007733B8"/>
    <w:rsid w:val="00774844"/>
    <w:rsid w:val="007753CF"/>
    <w:rsid w:val="007755E3"/>
    <w:rsid w:val="00775C44"/>
    <w:rsid w:val="00775FAE"/>
    <w:rsid w:val="007765E2"/>
    <w:rsid w:val="0077734A"/>
    <w:rsid w:val="0077758E"/>
    <w:rsid w:val="00780752"/>
    <w:rsid w:val="00780B4A"/>
    <w:rsid w:val="00780E62"/>
    <w:rsid w:val="00781637"/>
    <w:rsid w:val="00781C17"/>
    <w:rsid w:val="007823A5"/>
    <w:rsid w:val="00782C29"/>
    <w:rsid w:val="00783632"/>
    <w:rsid w:val="00783655"/>
    <w:rsid w:val="007849C6"/>
    <w:rsid w:val="00784AA4"/>
    <w:rsid w:val="00785161"/>
    <w:rsid w:val="007852E5"/>
    <w:rsid w:val="00785949"/>
    <w:rsid w:val="00785BF4"/>
    <w:rsid w:val="00785F87"/>
    <w:rsid w:val="00786183"/>
    <w:rsid w:val="00786E9E"/>
    <w:rsid w:val="00787168"/>
    <w:rsid w:val="007901AB"/>
    <w:rsid w:val="007905E9"/>
    <w:rsid w:val="007906D5"/>
    <w:rsid w:val="007911BF"/>
    <w:rsid w:val="00791B80"/>
    <w:rsid w:val="00791D2D"/>
    <w:rsid w:val="00791FB8"/>
    <w:rsid w:val="0079239F"/>
    <w:rsid w:val="007923A6"/>
    <w:rsid w:val="007930A4"/>
    <w:rsid w:val="007939E0"/>
    <w:rsid w:val="00794CA4"/>
    <w:rsid w:val="0079524F"/>
    <w:rsid w:val="007955FB"/>
    <w:rsid w:val="00795673"/>
    <w:rsid w:val="0079680D"/>
    <w:rsid w:val="007977B8"/>
    <w:rsid w:val="007979CD"/>
    <w:rsid w:val="00797D5F"/>
    <w:rsid w:val="00797E5A"/>
    <w:rsid w:val="00797EC1"/>
    <w:rsid w:val="007A0064"/>
    <w:rsid w:val="007A0351"/>
    <w:rsid w:val="007A07C7"/>
    <w:rsid w:val="007A09DF"/>
    <w:rsid w:val="007A1C21"/>
    <w:rsid w:val="007A1E93"/>
    <w:rsid w:val="007A2E57"/>
    <w:rsid w:val="007A3566"/>
    <w:rsid w:val="007A41CD"/>
    <w:rsid w:val="007A49E0"/>
    <w:rsid w:val="007A5ECC"/>
    <w:rsid w:val="007A602E"/>
    <w:rsid w:val="007A6C0B"/>
    <w:rsid w:val="007A709C"/>
    <w:rsid w:val="007A71F2"/>
    <w:rsid w:val="007B0924"/>
    <w:rsid w:val="007B0EB2"/>
    <w:rsid w:val="007B1C55"/>
    <w:rsid w:val="007B2436"/>
    <w:rsid w:val="007B29A7"/>
    <w:rsid w:val="007B2D29"/>
    <w:rsid w:val="007B2E40"/>
    <w:rsid w:val="007B34F2"/>
    <w:rsid w:val="007B6331"/>
    <w:rsid w:val="007B6860"/>
    <w:rsid w:val="007B7A23"/>
    <w:rsid w:val="007B7B39"/>
    <w:rsid w:val="007C10DD"/>
    <w:rsid w:val="007C17D7"/>
    <w:rsid w:val="007C188D"/>
    <w:rsid w:val="007C262E"/>
    <w:rsid w:val="007C37CA"/>
    <w:rsid w:val="007C3AE4"/>
    <w:rsid w:val="007C401D"/>
    <w:rsid w:val="007C5650"/>
    <w:rsid w:val="007C5DF4"/>
    <w:rsid w:val="007C5F75"/>
    <w:rsid w:val="007C6161"/>
    <w:rsid w:val="007C6521"/>
    <w:rsid w:val="007C6BCD"/>
    <w:rsid w:val="007C71D3"/>
    <w:rsid w:val="007C74EB"/>
    <w:rsid w:val="007D00AF"/>
    <w:rsid w:val="007D0D07"/>
    <w:rsid w:val="007D13E4"/>
    <w:rsid w:val="007D1468"/>
    <w:rsid w:val="007D153A"/>
    <w:rsid w:val="007D15A0"/>
    <w:rsid w:val="007D1623"/>
    <w:rsid w:val="007D1A50"/>
    <w:rsid w:val="007D1D52"/>
    <w:rsid w:val="007D48E9"/>
    <w:rsid w:val="007D5451"/>
    <w:rsid w:val="007D5B93"/>
    <w:rsid w:val="007E047B"/>
    <w:rsid w:val="007E137D"/>
    <w:rsid w:val="007E14A5"/>
    <w:rsid w:val="007E261F"/>
    <w:rsid w:val="007E2890"/>
    <w:rsid w:val="007E3547"/>
    <w:rsid w:val="007E3809"/>
    <w:rsid w:val="007E3B90"/>
    <w:rsid w:val="007E4779"/>
    <w:rsid w:val="007E55EE"/>
    <w:rsid w:val="007E570A"/>
    <w:rsid w:val="007E6088"/>
    <w:rsid w:val="007E67A3"/>
    <w:rsid w:val="007E6E14"/>
    <w:rsid w:val="007E7265"/>
    <w:rsid w:val="007F08C1"/>
    <w:rsid w:val="007F0C47"/>
    <w:rsid w:val="007F107F"/>
    <w:rsid w:val="007F11E1"/>
    <w:rsid w:val="007F21E6"/>
    <w:rsid w:val="007F22B1"/>
    <w:rsid w:val="007F283D"/>
    <w:rsid w:val="007F2C6B"/>
    <w:rsid w:val="007F300D"/>
    <w:rsid w:val="007F320A"/>
    <w:rsid w:val="007F391B"/>
    <w:rsid w:val="007F6538"/>
    <w:rsid w:val="007F6648"/>
    <w:rsid w:val="007F6B3A"/>
    <w:rsid w:val="008007B4"/>
    <w:rsid w:val="00800CCA"/>
    <w:rsid w:val="0080243D"/>
    <w:rsid w:val="00802C20"/>
    <w:rsid w:val="00802EC1"/>
    <w:rsid w:val="00803594"/>
    <w:rsid w:val="00803649"/>
    <w:rsid w:val="00803C2F"/>
    <w:rsid w:val="00804806"/>
    <w:rsid w:val="00804AF8"/>
    <w:rsid w:val="00805EAE"/>
    <w:rsid w:val="00806198"/>
    <w:rsid w:val="0080624F"/>
    <w:rsid w:val="00806A15"/>
    <w:rsid w:val="00807613"/>
    <w:rsid w:val="008076DB"/>
    <w:rsid w:val="00807767"/>
    <w:rsid w:val="0080791A"/>
    <w:rsid w:val="00807BE2"/>
    <w:rsid w:val="00807CA6"/>
    <w:rsid w:val="008107FB"/>
    <w:rsid w:val="00810876"/>
    <w:rsid w:val="008108C0"/>
    <w:rsid w:val="00810AD2"/>
    <w:rsid w:val="00810E1C"/>
    <w:rsid w:val="008124C0"/>
    <w:rsid w:val="00813EB6"/>
    <w:rsid w:val="00815866"/>
    <w:rsid w:val="00815A6E"/>
    <w:rsid w:val="00815C39"/>
    <w:rsid w:val="00815FD5"/>
    <w:rsid w:val="00816105"/>
    <w:rsid w:val="00816912"/>
    <w:rsid w:val="008172C0"/>
    <w:rsid w:val="00817C9F"/>
    <w:rsid w:val="00817E10"/>
    <w:rsid w:val="00821E36"/>
    <w:rsid w:val="008221EF"/>
    <w:rsid w:val="00822BE4"/>
    <w:rsid w:val="00822FE6"/>
    <w:rsid w:val="0082306B"/>
    <w:rsid w:val="0082524E"/>
    <w:rsid w:val="00826291"/>
    <w:rsid w:val="00827A9C"/>
    <w:rsid w:val="008300EE"/>
    <w:rsid w:val="008304F4"/>
    <w:rsid w:val="00830CA9"/>
    <w:rsid w:val="00831847"/>
    <w:rsid w:val="0083198A"/>
    <w:rsid w:val="00832670"/>
    <w:rsid w:val="00832903"/>
    <w:rsid w:val="0083319B"/>
    <w:rsid w:val="00833819"/>
    <w:rsid w:val="00834CC3"/>
    <w:rsid w:val="00834FAF"/>
    <w:rsid w:val="008351DE"/>
    <w:rsid w:val="008354EA"/>
    <w:rsid w:val="00835DE0"/>
    <w:rsid w:val="00835F67"/>
    <w:rsid w:val="00836358"/>
    <w:rsid w:val="00836F31"/>
    <w:rsid w:val="00837329"/>
    <w:rsid w:val="0083734D"/>
    <w:rsid w:val="0083751F"/>
    <w:rsid w:val="0083793C"/>
    <w:rsid w:val="00840ABE"/>
    <w:rsid w:val="00841085"/>
    <w:rsid w:val="00841407"/>
    <w:rsid w:val="008417D6"/>
    <w:rsid w:val="00841BFA"/>
    <w:rsid w:val="00842260"/>
    <w:rsid w:val="00842368"/>
    <w:rsid w:val="00842CD0"/>
    <w:rsid w:val="00843573"/>
    <w:rsid w:val="0084430B"/>
    <w:rsid w:val="008453B8"/>
    <w:rsid w:val="0084586B"/>
    <w:rsid w:val="008458BE"/>
    <w:rsid w:val="00845FD2"/>
    <w:rsid w:val="008479C1"/>
    <w:rsid w:val="00847B4E"/>
    <w:rsid w:val="00847B7B"/>
    <w:rsid w:val="00847D0C"/>
    <w:rsid w:val="00850A0B"/>
    <w:rsid w:val="00850DF0"/>
    <w:rsid w:val="0085123F"/>
    <w:rsid w:val="008519FE"/>
    <w:rsid w:val="00851BCD"/>
    <w:rsid w:val="008525DB"/>
    <w:rsid w:val="00852CE0"/>
    <w:rsid w:val="008533EC"/>
    <w:rsid w:val="00853BCE"/>
    <w:rsid w:val="008545D0"/>
    <w:rsid w:val="008553DC"/>
    <w:rsid w:val="00855A08"/>
    <w:rsid w:val="00855A8A"/>
    <w:rsid w:val="008563E8"/>
    <w:rsid w:val="00857098"/>
    <w:rsid w:val="00857107"/>
    <w:rsid w:val="00860607"/>
    <w:rsid w:val="00860665"/>
    <w:rsid w:val="00861B70"/>
    <w:rsid w:val="00861CA9"/>
    <w:rsid w:val="008623B8"/>
    <w:rsid w:val="00862A58"/>
    <w:rsid w:val="00862D2D"/>
    <w:rsid w:val="00863127"/>
    <w:rsid w:val="00863323"/>
    <w:rsid w:val="00864378"/>
    <w:rsid w:val="0086481F"/>
    <w:rsid w:val="00864C4D"/>
    <w:rsid w:val="0086535B"/>
    <w:rsid w:val="00865829"/>
    <w:rsid w:val="00865992"/>
    <w:rsid w:val="00865C4F"/>
    <w:rsid w:val="008663A5"/>
    <w:rsid w:val="00866711"/>
    <w:rsid w:val="00866C48"/>
    <w:rsid w:val="00866FA7"/>
    <w:rsid w:val="008675C2"/>
    <w:rsid w:val="00871740"/>
    <w:rsid w:val="00871C9B"/>
    <w:rsid w:val="00871DFB"/>
    <w:rsid w:val="00872286"/>
    <w:rsid w:val="008732AE"/>
    <w:rsid w:val="00873B52"/>
    <w:rsid w:val="00873B81"/>
    <w:rsid w:val="00873C8B"/>
    <w:rsid w:val="0087404F"/>
    <w:rsid w:val="008740D6"/>
    <w:rsid w:val="00874C99"/>
    <w:rsid w:val="00875F21"/>
    <w:rsid w:val="0087716D"/>
    <w:rsid w:val="00877A8B"/>
    <w:rsid w:val="00877F83"/>
    <w:rsid w:val="008804AF"/>
    <w:rsid w:val="00880F19"/>
    <w:rsid w:val="008820A0"/>
    <w:rsid w:val="00882255"/>
    <w:rsid w:val="008837D2"/>
    <w:rsid w:val="008837FF"/>
    <w:rsid w:val="008846EC"/>
    <w:rsid w:val="0088500B"/>
    <w:rsid w:val="008858C0"/>
    <w:rsid w:val="00885E7A"/>
    <w:rsid w:val="00885FB0"/>
    <w:rsid w:val="0088623D"/>
    <w:rsid w:val="00887076"/>
    <w:rsid w:val="00887167"/>
    <w:rsid w:val="008872DB"/>
    <w:rsid w:val="00887997"/>
    <w:rsid w:val="008901A9"/>
    <w:rsid w:val="00890427"/>
    <w:rsid w:val="00890F99"/>
    <w:rsid w:val="00891097"/>
    <w:rsid w:val="0089129D"/>
    <w:rsid w:val="0089152E"/>
    <w:rsid w:val="008919ED"/>
    <w:rsid w:val="008920BB"/>
    <w:rsid w:val="0089216C"/>
    <w:rsid w:val="00892215"/>
    <w:rsid w:val="0089221E"/>
    <w:rsid w:val="00893343"/>
    <w:rsid w:val="00893CF1"/>
    <w:rsid w:val="0089414B"/>
    <w:rsid w:val="00894D8E"/>
    <w:rsid w:val="00894FC2"/>
    <w:rsid w:val="00895413"/>
    <w:rsid w:val="00895426"/>
    <w:rsid w:val="008A019A"/>
    <w:rsid w:val="008A046A"/>
    <w:rsid w:val="008A0DC1"/>
    <w:rsid w:val="008A183E"/>
    <w:rsid w:val="008A1DB9"/>
    <w:rsid w:val="008A1FAB"/>
    <w:rsid w:val="008A272A"/>
    <w:rsid w:val="008A37D4"/>
    <w:rsid w:val="008A3E79"/>
    <w:rsid w:val="008A407D"/>
    <w:rsid w:val="008A4DF6"/>
    <w:rsid w:val="008A6750"/>
    <w:rsid w:val="008A68D7"/>
    <w:rsid w:val="008A79C6"/>
    <w:rsid w:val="008A7E82"/>
    <w:rsid w:val="008B0C5C"/>
    <w:rsid w:val="008B2F5B"/>
    <w:rsid w:val="008B310E"/>
    <w:rsid w:val="008B3804"/>
    <w:rsid w:val="008B3A78"/>
    <w:rsid w:val="008B409C"/>
    <w:rsid w:val="008B4318"/>
    <w:rsid w:val="008B45AB"/>
    <w:rsid w:val="008B626D"/>
    <w:rsid w:val="008B63A6"/>
    <w:rsid w:val="008B6635"/>
    <w:rsid w:val="008B675C"/>
    <w:rsid w:val="008B6F0D"/>
    <w:rsid w:val="008B6FE8"/>
    <w:rsid w:val="008B75FC"/>
    <w:rsid w:val="008B79F5"/>
    <w:rsid w:val="008B7B36"/>
    <w:rsid w:val="008C133A"/>
    <w:rsid w:val="008C15AE"/>
    <w:rsid w:val="008C18EF"/>
    <w:rsid w:val="008C1E3A"/>
    <w:rsid w:val="008C1E74"/>
    <w:rsid w:val="008C2128"/>
    <w:rsid w:val="008C243A"/>
    <w:rsid w:val="008C29AB"/>
    <w:rsid w:val="008C2ACF"/>
    <w:rsid w:val="008C2C96"/>
    <w:rsid w:val="008C593A"/>
    <w:rsid w:val="008C5AF9"/>
    <w:rsid w:val="008C68E5"/>
    <w:rsid w:val="008C6A1D"/>
    <w:rsid w:val="008C7346"/>
    <w:rsid w:val="008C7D04"/>
    <w:rsid w:val="008D0111"/>
    <w:rsid w:val="008D05F0"/>
    <w:rsid w:val="008D0757"/>
    <w:rsid w:val="008D0984"/>
    <w:rsid w:val="008D1D73"/>
    <w:rsid w:val="008D2FCA"/>
    <w:rsid w:val="008D3578"/>
    <w:rsid w:val="008D3894"/>
    <w:rsid w:val="008D459A"/>
    <w:rsid w:val="008D4941"/>
    <w:rsid w:val="008D5292"/>
    <w:rsid w:val="008D6803"/>
    <w:rsid w:val="008D714D"/>
    <w:rsid w:val="008D75D8"/>
    <w:rsid w:val="008D7768"/>
    <w:rsid w:val="008D77EB"/>
    <w:rsid w:val="008D7CB4"/>
    <w:rsid w:val="008E0038"/>
    <w:rsid w:val="008E0747"/>
    <w:rsid w:val="008E08A1"/>
    <w:rsid w:val="008E0C98"/>
    <w:rsid w:val="008E14EA"/>
    <w:rsid w:val="008E1522"/>
    <w:rsid w:val="008E1D73"/>
    <w:rsid w:val="008E1E82"/>
    <w:rsid w:val="008E25B9"/>
    <w:rsid w:val="008E28C9"/>
    <w:rsid w:val="008E3A4D"/>
    <w:rsid w:val="008E40D7"/>
    <w:rsid w:val="008E41E2"/>
    <w:rsid w:val="008E4909"/>
    <w:rsid w:val="008E4DEB"/>
    <w:rsid w:val="008E53A5"/>
    <w:rsid w:val="008E56B7"/>
    <w:rsid w:val="008E5917"/>
    <w:rsid w:val="008E6FDE"/>
    <w:rsid w:val="008E7241"/>
    <w:rsid w:val="008E726B"/>
    <w:rsid w:val="008F024D"/>
    <w:rsid w:val="008F0ABE"/>
    <w:rsid w:val="008F0B3B"/>
    <w:rsid w:val="008F106B"/>
    <w:rsid w:val="008F1B8A"/>
    <w:rsid w:val="008F2FA9"/>
    <w:rsid w:val="008F3164"/>
    <w:rsid w:val="008F31C0"/>
    <w:rsid w:val="008F3607"/>
    <w:rsid w:val="008F47B0"/>
    <w:rsid w:val="008F494B"/>
    <w:rsid w:val="008F4F1B"/>
    <w:rsid w:val="008F6000"/>
    <w:rsid w:val="008F620F"/>
    <w:rsid w:val="008F6675"/>
    <w:rsid w:val="008F6BEB"/>
    <w:rsid w:val="00900500"/>
    <w:rsid w:val="00901202"/>
    <w:rsid w:val="00901672"/>
    <w:rsid w:val="00901BA9"/>
    <w:rsid w:val="009028C6"/>
    <w:rsid w:val="00902A7D"/>
    <w:rsid w:val="009033DD"/>
    <w:rsid w:val="009037D8"/>
    <w:rsid w:val="00904375"/>
    <w:rsid w:val="00904A0A"/>
    <w:rsid w:val="00904A25"/>
    <w:rsid w:val="00905391"/>
    <w:rsid w:val="00905560"/>
    <w:rsid w:val="0090584F"/>
    <w:rsid w:val="009066FF"/>
    <w:rsid w:val="00906D92"/>
    <w:rsid w:val="00907549"/>
    <w:rsid w:val="00907580"/>
    <w:rsid w:val="00907B1E"/>
    <w:rsid w:val="00910683"/>
    <w:rsid w:val="00910B15"/>
    <w:rsid w:val="00911209"/>
    <w:rsid w:val="0091143E"/>
    <w:rsid w:val="00911D99"/>
    <w:rsid w:val="009124ED"/>
    <w:rsid w:val="00912B69"/>
    <w:rsid w:val="00915416"/>
    <w:rsid w:val="0091584A"/>
    <w:rsid w:val="0091645A"/>
    <w:rsid w:val="009164AC"/>
    <w:rsid w:val="00916E2E"/>
    <w:rsid w:val="00916E87"/>
    <w:rsid w:val="00917678"/>
    <w:rsid w:val="00921C55"/>
    <w:rsid w:val="00921D85"/>
    <w:rsid w:val="00923C0A"/>
    <w:rsid w:val="00923EFB"/>
    <w:rsid w:val="00924146"/>
    <w:rsid w:val="00924450"/>
    <w:rsid w:val="0092446C"/>
    <w:rsid w:val="00924C73"/>
    <w:rsid w:val="00925043"/>
    <w:rsid w:val="009263A8"/>
    <w:rsid w:val="00926600"/>
    <w:rsid w:val="00926BDD"/>
    <w:rsid w:val="00927693"/>
    <w:rsid w:val="009278EF"/>
    <w:rsid w:val="00927A9D"/>
    <w:rsid w:val="00927FD4"/>
    <w:rsid w:val="00931CFF"/>
    <w:rsid w:val="009326FD"/>
    <w:rsid w:val="00932949"/>
    <w:rsid w:val="009338C9"/>
    <w:rsid w:val="00933B11"/>
    <w:rsid w:val="00933D7D"/>
    <w:rsid w:val="00933D8D"/>
    <w:rsid w:val="0093515C"/>
    <w:rsid w:val="00936CB8"/>
    <w:rsid w:val="009377C4"/>
    <w:rsid w:val="00937DF7"/>
    <w:rsid w:val="00937F2E"/>
    <w:rsid w:val="0094057A"/>
    <w:rsid w:val="00940B46"/>
    <w:rsid w:val="00940BC0"/>
    <w:rsid w:val="00940BD1"/>
    <w:rsid w:val="0094137E"/>
    <w:rsid w:val="00941F0F"/>
    <w:rsid w:val="0094425A"/>
    <w:rsid w:val="009445C8"/>
    <w:rsid w:val="009447E3"/>
    <w:rsid w:val="009456B3"/>
    <w:rsid w:val="00945D5D"/>
    <w:rsid w:val="00946073"/>
    <w:rsid w:val="009465C7"/>
    <w:rsid w:val="009467F1"/>
    <w:rsid w:val="00946ED3"/>
    <w:rsid w:val="00946F2A"/>
    <w:rsid w:val="00946F65"/>
    <w:rsid w:val="00947245"/>
    <w:rsid w:val="0094797F"/>
    <w:rsid w:val="00947F59"/>
    <w:rsid w:val="00950021"/>
    <w:rsid w:val="00950F46"/>
    <w:rsid w:val="00951565"/>
    <w:rsid w:val="00951D63"/>
    <w:rsid w:val="00951E09"/>
    <w:rsid w:val="00952CD8"/>
    <w:rsid w:val="00952CE8"/>
    <w:rsid w:val="00953214"/>
    <w:rsid w:val="00953F4C"/>
    <w:rsid w:val="009543F4"/>
    <w:rsid w:val="0095476B"/>
    <w:rsid w:val="0095507F"/>
    <w:rsid w:val="00955442"/>
    <w:rsid w:val="00955A8F"/>
    <w:rsid w:val="00956F60"/>
    <w:rsid w:val="0095724F"/>
    <w:rsid w:val="0095727A"/>
    <w:rsid w:val="0095741D"/>
    <w:rsid w:val="00957918"/>
    <w:rsid w:val="009579E8"/>
    <w:rsid w:val="00957AAC"/>
    <w:rsid w:val="00957B1F"/>
    <w:rsid w:val="00960096"/>
    <w:rsid w:val="0096150E"/>
    <w:rsid w:val="00961917"/>
    <w:rsid w:val="00961F27"/>
    <w:rsid w:val="00961FF4"/>
    <w:rsid w:val="009626BB"/>
    <w:rsid w:val="0096286A"/>
    <w:rsid w:val="009629EA"/>
    <w:rsid w:val="00963363"/>
    <w:rsid w:val="00963842"/>
    <w:rsid w:val="00963ACA"/>
    <w:rsid w:val="009641B2"/>
    <w:rsid w:val="009644AF"/>
    <w:rsid w:val="00965569"/>
    <w:rsid w:val="009709D7"/>
    <w:rsid w:val="009711D8"/>
    <w:rsid w:val="00971724"/>
    <w:rsid w:val="00971815"/>
    <w:rsid w:val="009719C0"/>
    <w:rsid w:val="00971A21"/>
    <w:rsid w:val="00972A3E"/>
    <w:rsid w:val="009738D2"/>
    <w:rsid w:val="00973B3E"/>
    <w:rsid w:val="00974110"/>
    <w:rsid w:val="009746B6"/>
    <w:rsid w:val="00974DF7"/>
    <w:rsid w:val="00975A8C"/>
    <w:rsid w:val="00975BEB"/>
    <w:rsid w:val="00977E78"/>
    <w:rsid w:val="009801E7"/>
    <w:rsid w:val="00980459"/>
    <w:rsid w:val="009805C6"/>
    <w:rsid w:val="00981293"/>
    <w:rsid w:val="009815D0"/>
    <w:rsid w:val="00981A18"/>
    <w:rsid w:val="009829E6"/>
    <w:rsid w:val="00982F32"/>
    <w:rsid w:val="009832CB"/>
    <w:rsid w:val="0098451E"/>
    <w:rsid w:val="00984A93"/>
    <w:rsid w:val="0098503B"/>
    <w:rsid w:val="00985413"/>
    <w:rsid w:val="00985838"/>
    <w:rsid w:val="00986B7F"/>
    <w:rsid w:val="00986C52"/>
    <w:rsid w:val="00987F49"/>
    <w:rsid w:val="0099000A"/>
    <w:rsid w:val="00990091"/>
    <w:rsid w:val="00990A19"/>
    <w:rsid w:val="00990F79"/>
    <w:rsid w:val="00990F9B"/>
    <w:rsid w:val="009914E6"/>
    <w:rsid w:val="00991861"/>
    <w:rsid w:val="009919E4"/>
    <w:rsid w:val="00991C96"/>
    <w:rsid w:val="00992672"/>
    <w:rsid w:val="0099318A"/>
    <w:rsid w:val="00993470"/>
    <w:rsid w:val="009945D8"/>
    <w:rsid w:val="00995BDD"/>
    <w:rsid w:val="00996440"/>
    <w:rsid w:val="00996DC2"/>
    <w:rsid w:val="00996FFD"/>
    <w:rsid w:val="009975E4"/>
    <w:rsid w:val="0099777D"/>
    <w:rsid w:val="00997BA9"/>
    <w:rsid w:val="009A0104"/>
    <w:rsid w:val="009A19B0"/>
    <w:rsid w:val="009A2250"/>
    <w:rsid w:val="009A2730"/>
    <w:rsid w:val="009A287E"/>
    <w:rsid w:val="009A2E95"/>
    <w:rsid w:val="009A323B"/>
    <w:rsid w:val="009A34C2"/>
    <w:rsid w:val="009A3E34"/>
    <w:rsid w:val="009A5716"/>
    <w:rsid w:val="009A6427"/>
    <w:rsid w:val="009A6E1E"/>
    <w:rsid w:val="009A73B1"/>
    <w:rsid w:val="009A7870"/>
    <w:rsid w:val="009A7AF7"/>
    <w:rsid w:val="009A7AFF"/>
    <w:rsid w:val="009B1171"/>
    <w:rsid w:val="009B12E2"/>
    <w:rsid w:val="009B15FC"/>
    <w:rsid w:val="009B17A8"/>
    <w:rsid w:val="009B2302"/>
    <w:rsid w:val="009B23FF"/>
    <w:rsid w:val="009B3167"/>
    <w:rsid w:val="009B34BA"/>
    <w:rsid w:val="009B3AF7"/>
    <w:rsid w:val="009B3F33"/>
    <w:rsid w:val="009B46CF"/>
    <w:rsid w:val="009B488D"/>
    <w:rsid w:val="009B48A9"/>
    <w:rsid w:val="009B4DD9"/>
    <w:rsid w:val="009B4E07"/>
    <w:rsid w:val="009B60B7"/>
    <w:rsid w:val="009B631A"/>
    <w:rsid w:val="009B63CC"/>
    <w:rsid w:val="009B6A46"/>
    <w:rsid w:val="009C0BF1"/>
    <w:rsid w:val="009C11B3"/>
    <w:rsid w:val="009C2780"/>
    <w:rsid w:val="009C2C6F"/>
    <w:rsid w:val="009C3017"/>
    <w:rsid w:val="009C31B4"/>
    <w:rsid w:val="009C39EA"/>
    <w:rsid w:val="009C41EF"/>
    <w:rsid w:val="009C4248"/>
    <w:rsid w:val="009C5433"/>
    <w:rsid w:val="009C56C1"/>
    <w:rsid w:val="009C68F3"/>
    <w:rsid w:val="009C70B2"/>
    <w:rsid w:val="009D17B6"/>
    <w:rsid w:val="009D1903"/>
    <w:rsid w:val="009D1BF6"/>
    <w:rsid w:val="009D20D7"/>
    <w:rsid w:val="009D23FE"/>
    <w:rsid w:val="009D2E7A"/>
    <w:rsid w:val="009D388F"/>
    <w:rsid w:val="009D4561"/>
    <w:rsid w:val="009D4EAA"/>
    <w:rsid w:val="009D5166"/>
    <w:rsid w:val="009D5371"/>
    <w:rsid w:val="009D5E08"/>
    <w:rsid w:val="009D5E8C"/>
    <w:rsid w:val="009D5ECE"/>
    <w:rsid w:val="009D5FA9"/>
    <w:rsid w:val="009D64A1"/>
    <w:rsid w:val="009D6D9C"/>
    <w:rsid w:val="009D6F73"/>
    <w:rsid w:val="009D7931"/>
    <w:rsid w:val="009D7B15"/>
    <w:rsid w:val="009E03BF"/>
    <w:rsid w:val="009E03FE"/>
    <w:rsid w:val="009E0539"/>
    <w:rsid w:val="009E0FCA"/>
    <w:rsid w:val="009E1473"/>
    <w:rsid w:val="009E153C"/>
    <w:rsid w:val="009E1A13"/>
    <w:rsid w:val="009E2690"/>
    <w:rsid w:val="009E2988"/>
    <w:rsid w:val="009E4212"/>
    <w:rsid w:val="009E5DEF"/>
    <w:rsid w:val="009E7261"/>
    <w:rsid w:val="009F0C9E"/>
    <w:rsid w:val="009F157D"/>
    <w:rsid w:val="009F2E78"/>
    <w:rsid w:val="009F31EE"/>
    <w:rsid w:val="009F31F3"/>
    <w:rsid w:val="009F33CE"/>
    <w:rsid w:val="009F3E43"/>
    <w:rsid w:val="009F4360"/>
    <w:rsid w:val="009F4387"/>
    <w:rsid w:val="009F5DB8"/>
    <w:rsid w:val="009F645B"/>
    <w:rsid w:val="009F6BD6"/>
    <w:rsid w:val="009F73AA"/>
    <w:rsid w:val="00A0023F"/>
    <w:rsid w:val="00A00847"/>
    <w:rsid w:val="00A00E80"/>
    <w:rsid w:val="00A01D71"/>
    <w:rsid w:val="00A02296"/>
    <w:rsid w:val="00A02889"/>
    <w:rsid w:val="00A03CB9"/>
    <w:rsid w:val="00A03DF4"/>
    <w:rsid w:val="00A040EF"/>
    <w:rsid w:val="00A04309"/>
    <w:rsid w:val="00A0447F"/>
    <w:rsid w:val="00A044D8"/>
    <w:rsid w:val="00A04680"/>
    <w:rsid w:val="00A04F81"/>
    <w:rsid w:val="00A063C6"/>
    <w:rsid w:val="00A06FC7"/>
    <w:rsid w:val="00A07107"/>
    <w:rsid w:val="00A07B99"/>
    <w:rsid w:val="00A10340"/>
    <w:rsid w:val="00A11222"/>
    <w:rsid w:val="00A118EC"/>
    <w:rsid w:val="00A11DA8"/>
    <w:rsid w:val="00A1212A"/>
    <w:rsid w:val="00A12468"/>
    <w:rsid w:val="00A12928"/>
    <w:rsid w:val="00A12EEA"/>
    <w:rsid w:val="00A135F9"/>
    <w:rsid w:val="00A1390A"/>
    <w:rsid w:val="00A155D9"/>
    <w:rsid w:val="00A15D23"/>
    <w:rsid w:val="00A16071"/>
    <w:rsid w:val="00A1720F"/>
    <w:rsid w:val="00A173CD"/>
    <w:rsid w:val="00A20E77"/>
    <w:rsid w:val="00A216A1"/>
    <w:rsid w:val="00A21772"/>
    <w:rsid w:val="00A21897"/>
    <w:rsid w:val="00A22118"/>
    <w:rsid w:val="00A22679"/>
    <w:rsid w:val="00A22783"/>
    <w:rsid w:val="00A24745"/>
    <w:rsid w:val="00A25A48"/>
    <w:rsid w:val="00A2626A"/>
    <w:rsid w:val="00A26366"/>
    <w:rsid w:val="00A278A2"/>
    <w:rsid w:val="00A27D6C"/>
    <w:rsid w:val="00A30508"/>
    <w:rsid w:val="00A30B57"/>
    <w:rsid w:val="00A30EF6"/>
    <w:rsid w:val="00A316AC"/>
    <w:rsid w:val="00A31B36"/>
    <w:rsid w:val="00A325A0"/>
    <w:rsid w:val="00A32CA2"/>
    <w:rsid w:val="00A32D73"/>
    <w:rsid w:val="00A331A4"/>
    <w:rsid w:val="00A333AB"/>
    <w:rsid w:val="00A33D0A"/>
    <w:rsid w:val="00A34D04"/>
    <w:rsid w:val="00A3512D"/>
    <w:rsid w:val="00A3536C"/>
    <w:rsid w:val="00A37435"/>
    <w:rsid w:val="00A378FA"/>
    <w:rsid w:val="00A40FA4"/>
    <w:rsid w:val="00A410B3"/>
    <w:rsid w:val="00A41586"/>
    <w:rsid w:val="00A41CF3"/>
    <w:rsid w:val="00A42230"/>
    <w:rsid w:val="00A4224E"/>
    <w:rsid w:val="00A4386F"/>
    <w:rsid w:val="00A43BDE"/>
    <w:rsid w:val="00A44647"/>
    <w:rsid w:val="00A44BE6"/>
    <w:rsid w:val="00A45AF5"/>
    <w:rsid w:val="00A47891"/>
    <w:rsid w:val="00A478F8"/>
    <w:rsid w:val="00A47C8B"/>
    <w:rsid w:val="00A47CFE"/>
    <w:rsid w:val="00A47E2B"/>
    <w:rsid w:val="00A501E8"/>
    <w:rsid w:val="00A504A6"/>
    <w:rsid w:val="00A509D0"/>
    <w:rsid w:val="00A50A19"/>
    <w:rsid w:val="00A50B43"/>
    <w:rsid w:val="00A519B7"/>
    <w:rsid w:val="00A519EB"/>
    <w:rsid w:val="00A51E1C"/>
    <w:rsid w:val="00A522B2"/>
    <w:rsid w:val="00A5238F"/>
    <w:rsid w:val="00A5483B"/>
    <w:rsid w:val="00A54AB2"/>
    <w:rsid w:val="00A54BAE"/>
    <w:rsid w:val="00A54D75"/>
    <w:rsid w:val="00A55147"/>
    <w:rsid w:val="00A5541A"/>
    <w:rsid w:val="00A5542D"/>
    <w:rsid w:val="00A55EDE"/>
    <w:rsid w:val="00A5794D"/>
    <w:rsid w:val="00A6023E"/>
    <w:rsid w:val="00A60CDC"/>
    <w:rsid w:val="00A62226"/>
    <w:rsid w:val="00A6268C"/>
    <w:rsid w:val="00A62692"/>
    <w:rsid w:val="00A62B55"/>
    <w:rsid w:val="00A63EE1"/>
    <w:rsid w:val="00A642B5"/>
    <w:rsid w:val="00A647EF"/>
    <w:rsid w:val="00A65285"/>
    <w:rsid w:val="00A65ED8"/>
    <w:rsid w:val="00A702D4"/>
    <w:rsid w:val="00A7207D"/>
    <w:rsid w:val="00A7226E"/>
    <w:rsid w:val="00A73C77"/>
    <w:rsid w:val="00A745BF"/>
    <w:rsid w:val="00A75354"/>
    <w:rsid w:val="00A75C19"/>
    <w:rsid w:val="00A7627D"/>
    <w:rsid w:val="00A76F51"/>
    <w:rsid w:val="00A77B55"/>
    <w:rsid w:val="00A77EB5"/>
    <w:rsid w:val="00A80706"/>
    <w:rsid w:val="00A80BA5"/>
    <w:rsid w:val="00A80F16"/>
    <w:rsid w:val="00A82004"/>
    <w:rsid w:val="00A82F4E"/>
    <w:rsid w:val="00A82F7D"/>
    <w:rsid w:val="00A83668"/>
    <w:rsid w:val="00A8394D"/>
    <w:rsid w:val="00A8465A"/>
    <w:rsid w:val="00A8506A"/>
    <w:rsid w:val="00A853E9"/>
    <w:rsid w:val="00A8564B"/>
    <w:rsid w:val="00A87002"/>
    <w:rsid w:val="00A87105"/>
    <w:rsid w:val="00A8717A"/>
    <w:rsid w:val="00A87558"/>
    <w:rsid w:val="00A906FD"/>
    <w:rsid w:val="00A9122B"/>
    <w:rsid w:val="00A91658"/>
    <w:rsid w:val="00A918BF"/>
    <w:rsid w:val="00A91DAA"/>
    <w:rsid w:val="00A91E9C"/>
    <w:rsid w:val="00A9269E"/>
    <w:rsid w:val="00A9290E"/>
    <w:rsid w:val="00A938F7"/>
    <w:rsid w:val="00A93979"/>
    <w:rsid w:val="00A93F61"/>
    <w:rsid w:val="00A94834"/>
    <w:rsid w:val="00A9499B"/>
    <w:rsid w:val="00A9519A"/>
    <w:rsid w:val="00A9573E"/>
    <w:rsid w:val="00A95DBC"/>
    <w:rsid w:val="00A95EC2"/>
    <w:rsid w:val="00A97CC7"/>
    <w:rsid w:val="00AA06A1"/>
    <w:rsid w:val="00AA0A63"/>
    <w:rsid w:val="00AA119A"/>
    <w:rsid w:val="00AA14A4"/>
    <w:rsid w:val="00AA221E"/>
    <w:rsid w:val="00AA297D"/>
    <w:rsid w:val="00AA2EF9"/>
    <w:rsid w:val="00AA316C"/>
    <w:rsid w:val="00AA387D"/>
    <w:rsid w:val="00AA3884"/>
    <w:rsid w:val="00AA4193"/>
    <w:rsid w:val="00AA4FD7"/>
    <w:rsid w:val="00AA55F8"/>
    <w:rsid w:val="00AA56D7"/>
    <w:rsid w:val="00AA60E6"/>
    <w:rsid w:val="00AA6201"/>
    <w:rsid w:val="00AA7578"/>
    <w:rsid w:val="00AA7D7C"/>
    <w:rsid w:val="00AB04EA"/>
    <w:rsid w:val="00AB0920"/>
    <w:rsid w:val="00AB0E95"/>
    <w:rsid w:val="00AB0FB0"/>
    <w:rsid w:val="00AB1894"/>
    <w:rsid w:val="00AB26DE"/>
    <w:rsid w:val="00AB462D"/>
    <w:rsid w:val="00AB4895"/>
    <w:rsid w:val="00AB4A5E"/>
    <w:rsid w:val="00AB51AD"/>
    <w:rsid w:val="00AB5A86"/>
    <w:rsid w:val="00AB5CD3"/>
    <w:rsid w:val="00AB5D0D"/>
    <w:rsid w:val="00AB6645"/>
    <w:rsid w:val="00AB6B22"/>
    <w:rsid w:val="00AB7DAF"/>
    <w:rsid w:val="00AC0ED5"/>
    <w:rsid w:val="00AC166C"/>
    <w:rsid w:val="00AC1AAE"/>
    <w:rsid w:val="00AC2DF2"/>
    <w:rsid w:val="00AC3B5B"/>
    <w:rsid w:val="00AC40A6"/>
    <w:rsid w:val="00AC44D4"/>
    <w:rsid w:val="00AC4640"/>
    <w:rsid w:val="00AC520F"/>
    <w:rsid w:val="00AC53F9"/>
    <w:rsid w:val="00AC5446"/>
    <w:rsid w:val="00AC5A6D"/>
    <w:rsid w:val="00AC5C28"/>
    <w:rsid w:val="00AC5EE8"/>
    <w:rsid w:val="00AC6169"/>
    <w:rsid w:val="00AC6F3D"/>
    <w:rsid w:val="00AC7306"/>
    <w:rsid w:val="00AC7428"/>
    <w:rsid w:val="00AC7620"/>
    <w:rsid w:val="00AC7E0F"/>
    <w:rsid w:val="00AD0635"/>
    <w:rsid w:val="00AD109C"/>
    <w:rsid w:val="00AD16F8"/>
    <w:rsid w:val="00AD17AC"/>
    <w:rsid w:val="00AD2475"/>
    <w:rsid w:val="00AD29CB"/>
    <w:rsid w:val="00AD312F"/>
    <w:rsid w:val="00AD40E5"/>
    <w:rsid w:val="00AD5398"/>
    <w:rsid w:val="00AD5BD0"/>
    <w:rsid w:val="00AD6293"/>
    <w:rsid w:val="00AE1616"/>
    <w:rsid w:val="00AE19C3"/>
    <w:rsid w:val="00AE1C7C"/>
    <w:rsid w:val="00AE1DC3"/>
    <w:rsid w:val="00AE22D6"/>
    <w:rsid w:val="00AE249F"/>
    <w:rsid w:val="00AE2728"/>
    <w:rsid w:val="00AE2A33"/>
    <w:rsid w:val="00AE3389"/>
    <w:rsid w:val="00AE494A"/>
    <w:rsid w:val="00AE4B91"/>
    <w:rsid w:val="00AE4CDB"/>
    <w:rsid w:val="00AE4FEB"/>
    <w:rsid w:val="00AE5807"/>
    <w:rsid w:val="00AE59C4"/>
    <w:rsid w:val="00AE5EF8"/>
    <w:rsid w:val="00AE7C90"/>
    <w:rsid w:val="00AE7E40"/>
    <w:rsid w:val="00AE7F9E"/>
    <w:rsid w:val="00AF048C"/>
    <w:rsid w:val="00AF07E6"/>
    <w:rsid w:val="00AF0DD8"/>
    <w:rsid w:val="00AF193A"/>
    <w:rsid w:val="00AF1C1B"/>
    <w:rsid w:val="00AF1F1D"/>
    <w:rsid w:val="00AF1FE8"/>
    <w:rsid w:val="00AF2472"/>
    <w:rsid w:val="00AF262D"/>
    <w:rsid w:val="00AF3A92"/>
    <w:rsid w:val="00AF3EDC"/>
    <w:rsid w:val="00AF45BC"/>
    <w:rsid w:val="00AF481D"/>
    <w:rsid w:val="00AF4972"/>
    <w:rsid w:val="00AF5357"/>
    <w:rsid w:val="00AF59ED"/>
    <w:rsid w:val="00AF6800"/>
    <w:rsid w:val="00AF7107"/>
    <w:rsid w:val="00AF7A5D"/>
    <w:rsid w:val="00AF7CDA"/>
    <w:rsid w:val="00B00998"/>
    <w:rsid w:val="00B013F2"/>
    <w:rsid w:val="00B014AA"/>
    <w:rsid w:val="00B01D9A"/>
    <w:rsid w:val="00B01DD2"/>
    <w:rsid w:val="00B01EEE"/>
    <w:rsid w:val="00B0340C"/>
    <w:rsid w:val="00B03BD2"/>
    <w:rsid w:val="00B03C6C"/>
    <w:rsid w:val="00B0528C"/>
    <w:rsid w:val="00B05EE9"/>
    <w:rsid w:val="00B07ED5"/>
    <w:rsid w:val="00B10534"/>
    <w:rsid w:val="00B1056E"/>
    <w:rsid w:val="00B11349"/>
    <w:rsid w:val="00B1135A"/>
    <w:rsid w:val="00B11F19"/>
    <w:rsid w:val="00B12528"/>
    <w:rsid w:val="00B12A65"/>
    <w:rsid w:val="00B12B28"/>
    <w:rsid w:val="00B14769"/>
    <w:rsid w:val="00B14CC2"/>
    <w:rsid w:val="00B153D1"/>
    <w:rsid w:val="00B15A85"/>
    <w:rsid w:val="00B16F44"/>
    <w:rsid w:val="00B17C9D"/>
    <w:rsid w:val="00B20EEE"/>
    <w:rsid w:val="00B20FDE"/>
    <w:rsid w:val="00B21980"/>
    <w:rsid w:val="00B21D92"/>
    <w:rsid w:val="00B2217F"/>
    <w:rsid w:val="00B22434"/>
    <w:rsid w:val="00B232FA"/>
    <w:rsid w:val="00B239AB"/>
    <w:rsid w:val="00B23D4C"/>
    <w:rsid w:val="00B24344"/>
    <w:rsid w:val="00B24804"/>
    <w:rsid w:val="00B2481F"/>
    <w:rsid w:val="00B24C81"/>
    <w:rsid w:val="00B25311"/>
    <w:rsid w:val="00B256D1"/>
    <w:rsid w:val="00B25924"/>
    <w:rsid w:val="00B25ABC"/>
    <w:rsid w:val="00B25C92"/>
    <w:rsid w:val="00B2618B"/>
    <w:rsid w:val="00B26772"/>
    <w:rsid w:val="00B3017C"/>
    <w:rsid w:val="00B30656"/>
    <w:rsid w:val="00B306D9"/>
    <w:rsid w:val="00B32939"/>
    <w:rsid w:val="00B339D9"/>
    <w:rsid w:val="00B343B9"/>
    <w:rsid w:val="00B34D63"/>
    <w:rsid w:val="00B35FE0"/>
    <w:rsid w:val="00B36513"/>
    <w:rsid w:val="00B369AB"/>
    <w:rsid w:val="00B37062"/>
    <w:rsid w:val="00B372C4"/>
    <w:rsid w:val="00B4042C"/>
    <w:rsid w:val="00B406B2"/>
    <w:rsid w:val="00B41B1F"/>
    <w:rsid w:val="00B42A84"/>
    <w:rsid w:val="00B440C5"/>
    <w:rsid w:val="00B441B0"/>
    <w:rsid w:val="00B4439A"/>
    <w:rsid w:val="00B44F0E"/>
    <w:rsid w:val="00B44F10"/>
    <w:rsid w:val="00B454F3"/>
    <w:rsid w:val="00B458BF"/>
    <w:rsid w:val="00B45FEF"/>
    <w:rsid w:val="00B46997"/>
    <w:rsid w:val="00B46D42"/>
    <w:rsid w:val="00B46F3A"/>
    <w:rsid w:val="00B478C0"/>
    <w:rsid w:val="00B47A03"/>
    <w:rsid w:val="00B50571"/>
    <w:rsid w:val="00B51938"/>
    <w:rsid w:val="00B5282A"/>
    <w:rsid w:val="00B530A6"/>
    <w:rsid w:val="00B55358"/>
    <w:rsid w:val="00B55CEF"/>
    <w:rsid w:val="00B560CA"/>
    <w:rsid w:val="00B5614B"/>
    <w:rsid w:val="00B565EC"/>
    <w:rsid w:val="00B56649"/>
    <w:rsid w:val="00B56A9E"/>
    <w:rsid w:val="00B57142"/>
    <w:rsid w:val="00B57784"/>
    <w:rsid w:val="00B607A6"/>
    <w:rsid w:val="00B60A73"/>
    <w:rsid w:val="00B60ED4"/>
    <w:rsid w:val="00B61783"/>
    <w:rsid w:val="00B61A4C"/>
    <w:rsid w:val="00B621C2"/>
    <w:rsid w:val="00B63223"/>
    <w:rsid w:val="00B6330A"/>
    <w:rsid w:val="00B6453C"/>
    <w:rsid w:val="00B6466E"/>
    <w:rsid w:val="00B64702"/>
    <w:rsid w:val="00B648ED"/>
    <w:rsid w:val="00B654B5"/>
    <w:rsid w:val="00B66470"/>
    <w:rsid w:val="00B67CE7"/>
    <w:rsid w:val="00B70DBE"/>
    <w:rsid w:val="00B70E1C"/>
    <w:rsid w:val="00B714BB"/>
    <w:rsid w:val="00B7248E"/>
    <w:rsid w:val="00B72BAD"/>
    <w:rsid w:val="00B73776"/>
    <w:rsid w:val="00B7380E"/>
    <w:rsid w:val="00B738AF"/>
    <w:rsid w:val="00B73972"/>
    <w:rsid w:val="00B754BA"/>
    <w:rsid w:val="00B75A53"/>
    <w:rsid w:val="00B762EC"/>
    <w:rsid w:val="00B765A4"/>
    <w:rsid w:val="00B775A2"/>
    <w:rsid w:val="00B77A5B"/>
    <w:rsid w:val="00B77C81"/>
    <w:rsid w:val="00B77F82"/>
    <w:rsid w:val="00B804DB"/>
    <w:rsid w:val="00B805E3"/>
    <w:rsid w:val="00B809D5"/>
    <w:rsid w:val="00B81A3C"/>
    <w:rsid w:val="00B81AD5"/>
    <w:rsid w:val="00B821B7"/>
    <w:rsid w:val="00B823D8"/>
    <w:rsid w:val="00B83AE3"/>
    <w:rsid w:val="00B83BD4"/>
    <w:rsid w:val="00B8434D"/>
    <w:rsid w:val="00B85264"/>
    <w:rsid w:val="00B8546A"/>
    <w:rsid w:val="00B85B38"/>
    <w:rsid w:val="00B86135"/>
    <w:rsid w:val="00B861CD"/>
    <w:rsid w:val="00B86596"/>
    <w:rsid w:val="00B8686C"/>
    <w:rsid w:val="00B87767"/>
    <w:rsid w:val="00B87E93"/>
    <w:rsid w:val="00B87FFE"/>
    <w:rsid w:val="00B907F9"/>
    <w:rsid w:val="00B90FC5"/>
    <w:rsid w:val="00B91291"/>
    <w:rsid w:val="00B913A3"/>
    <w:rsid w:val="00B91AE0"/>
    <w:rsid w:val="00B92208"/>
    <w:rsid w:val="00B92921"/>
    <w:rsid w:val="00B929F4"/>
    <w:rsid w:val="00B93569"/>
    <w:rsid w:val="00B948F9"/>
    <w:rsid w:val="00B94DF4"/>
    <w:rsid w:val="00B95499"/>
    <w:rsid w:val="00B95C18"/>
    <w:rsid w:val="00B96916"/>
    <w:rsid w:val="00BA0836"/>
    <w:rsid w:val="00BA0B22"/>
    <w:rsid w:val="00BA3D29"/>
    <w:rsid w:val="00BA45AB"/>
    <w:rsid w:val="00BA490D"/>
    <w:rsid w:val="00BA4E7E"/>
    <w:rsid w:val="00BA54E8"/>
    <w:rsid w:val="00BA58CA"/>
    <w:rsid w:val="00BA5C46"/>
    <w:rsid w:val="00BA60F8"/>
    <w:rsid w:val="00BA6811"/>
    <w:rsid w:val="00BA692F"/>
    <w:rsid w:val="00BA780A"/>
    <w:rsid w:val="00BB0C5A"/>
    <w:rsid w:val="00BB108D"/>
    <w:rsid w:val="00BB162A"/>
    <w:rsid w:val="00BB17A7"/>
    <w:rsid w:val="00BB1939"/>
    <w:rsid w:val="00BB205E"/>
    <w:rsid w:val="00BB2639"/>
    <w:rsid w:val="00BB274D"/>
    <w:rsid w:val="00BB2E60"/>
    <w:rsid w:val="00BB315C"/>
    <w:rsid w:val="00BB3C84"/>
    <w:rsid w:val="00BB3EDA"/>
    <w:rsid w:val="00BB49D2"/>
    <w:rsid w:val="00BB50C4"/>
    <w:rsid w:val="00BB5CCC"/>
    <w:rsid w:val="00BB7954"/>
    <w:rsid w:val="00BC009D"/>
    <w:rsid w:val="00BC04F2"/>
    <w:rsid w:val="00BC1211"/>
    <w:rsid w:val="00BC1902"/>
    <w:rsid w:val="00BC1B9A"/>
    <w:rsid w:val="00BC1DBB"/>
    <w:rsid w:val="00BC2713"/>
    <w:rsid w:val="00BC3242"/>
    <w:rsid w:val="00BC3F94"/>
    <w:rsid w:val="00BC426C"/>
    <w:rsid w:val="00BC46CD"/>
    <w:rsid w:val="00BC4FE7"/>
    <w:rsid w:val="00BC581D"/>
    <w:rsid w:val="00BC5B27"/>
    <w:rsid w:val="00BC63C8"/>
    <w:rsid w:val="00BC69EA"/>
    <w:rsid w:val="00BC727F"/>
    <w:rsid w:val="00BC7E22"/>
    <w:rsid w:val="00BD0163"/>
    <w:rsid w:val="00BD01DE"/>
    <w:rsid w:val="00BD090B"/>
    <w:rsid w:val="00BD0BB0"/>
    <w:rsid w:val="00BD0BE5"/>
    <w:rsid w:val="00BD119A"/>
    <w:rsid w:val="00BD11C5"/>
    <w:rsid w:val="00BD131B"/>
    <w:rsid w:val="00BD2672"/>
    <w:rsid w:val="00BD2F89"/>
    <w:rsid w:val="00BD4581"/>
    <w:rsid w:val="00BD521C"/>
    <w:rsid w:val="00BD5C3D"/>
    <w:rsid w:val="00BD5DF1"/>
    <w:rsid w:val="00BD6A52"/>
    <w:rsid w:val="00BD6D0E"/>
    <w:rsid w:val="00BD718F"/>
    <w:rsid w:val="00BE007E"/>
    <w:rsid w:val="00BE02C9"/>
    <w:rsid w:val="00BE0C59"/>
    <w:rsid w:val="00BE0F2D"/>
    <w:rsid w:val="00BE184A"/>
    <w:rsid w:val="00BE1DEB"/>
    <w:rsid w:val="00BE26E0"/>
    <w:rsid w:val="00BE27BE"/>
    <w:rsid w:val="00BE3115"/>
    <w:rsid w:val="00BE32AF"/>
    <w:rsid w:val="00BE3D17"/>
    <w:rsid w:val="00BE4658"/>
    <w:rsid w:val="00BE4DAE"/>
    <w:rsid w:val="00BE5665"/>
    <w:rsid w:val="00BE5CC5"/>
    <w:rsid w:val="00BE5FD3"/>
    <w:rsid w:val="00BE638A"/>
    <w:rsid w:val="00BE7588"/>
    <w:rsid w:val="00BE776D"/>
    <w:rsid w:val="00BE7B55"/>
    <w:rsid w:val="00BF00CA"/>
    <w:rsid w:val="00BF0BB2"/>
    <w:rsid w:val="00BF13C4"/>
    <w:rsid w:val="00BF142D"/>
    <w:rsid w:val="00BF18F1"/>
    <w:rsid w:val="00BF18F5"/>
    <w:rsid w:val="00BF1B22"/>
    <w:rsid w:val="00BF1D4E"/>
    <w:rsid w:val="00BF1E5F"/>
    <w:rsid w:val="00BF2749"/>
    <w:rsid w:val="00BF2B10"/>
    <w:rsid w:val="00BF2CB5"/>
    <w:rsid w:val="00BF2E62"/>
    <w:rsid w:val="00BF3FA9"/>
    <w:rsid w:val="00BF4092"/>
    <w:rsid w:val="00BF4361"/>
    <w:rsid w:val="00BF513B"/>
    <w:rsid w:val="00BF52D8"/>
    <w:rsid w:val="00BF5A51"/>
    <w:rsid w:val="00BF5DB5"/>
    <w:rsid w:val="00BF64C2"/>
    <w:rsid w:val="00BF68BB"/>
    <w:rsid w:val="00BF70E9"/>
    <w:rsid w:val="00BF7303"/>
    <w:rsid w:val="00BF7DAE"/>
    <w:rsid w:val="00C003D6"/>
    <w:rsid w:val="00C0080D"/>
    <w:rsid w:val="00C008F2"/>
    <w:rsid w:val="00C00947"/>
    <w:rsid w:val="00C01628"/>
    <w:rsid w:val="00C0205A"/>
    <w:rsid w:val="00C02F61"/>
    <w:rsid w:val="00C04CCF"/>
    <w:rsid w:val="00C05159"/>
    <w:rsid w:val="00C05500"/>
    <w:rsid w:val="00C0561B"/>
    <w:rsid w:val="00C063B4"/>
    <w:rsid w:val="00C07636"/>
    <w:rsid w:val="00C07706"/>
    <w:rsid w:val="00C10661"/>
    <w:rsid w:val="00C10F2C"/>
    <w:rsid w:val="00C113B9"/>
    <w:rsid w:val="00C12475"/>
    <w:rsid w:val="00C13C66"/>
    <w:rsid w:val="00C13C80"/>
    <w:rsid w:val="00C1477C"/>
    <w:rsid w:val="00C14B83"/>
    <w:rsid w:val="00C153B1"/>
    <w:rsid w:val="00C1577E"/>
    <w:rsid w:val="00C15D9E"/>
    <w:rsid w:val="00C20A32"/>
    <w:rsid w:val="00C20AE6"/>
    <w:rsid w:val="00C20BF4"/>
    <w:rsid w:val="00C211F0"/>
    <w:rsid w:val="00C222DA"/>
    <w:rsid w:val="00C22F67"/>
    <w:rsid w:val="00C2318C"/>
    <w:rsid w:val="00C24B29"/>
    <w:rsid w:val="00C26D14"/>
    <w:rsid w:val="00C26EBA"/>
    <w:rsid w:val="00C27053"/>
    <w:rsid w:val="00C270BB"/>
    <w:rsid w:val="00C27418"/>
    <w:rsid w:val="00C27454"/>
    <w:rsid w:val="00C27D7D"/>
    <w:rsid w:val="00C27FE9"/>
    <w:rsid w:val="00C305B3"/>
    <w:rsid w:val="00C3089D"/>
    <w:rsid w:val="00C311EF"/>
    <w:rsid w:val="00C31425"/>
    <w:rsid w:val="00C3165A"/>
    <w:rsid w:val="00C31AD5"/>
    <w:rsid w:val="00C31BD2"/>
    <w:rsid w:val="00C31E40"/>
    <w:rsid w:val="00C32CD1"/>
    <w:rsid w:val="00C341AC"/>
    <w:rsid w:val="00C34257"/>
    <w:rsid w:val="00C35555"/>
    <w:rsid w:val="00C357B1"/>
    <w:rsid w:val="00C359F1"/>
    <w:rsid w:val="00C35BB6"/>
    <w:rsid w:val="00C36300"/>
    <w:rsid w:val="00C36636"/>
    <w:rsid w:val="00C36E21"/>
    <w:rsid w:val="00C3718C"/>
    <w:rsid w:val="00C379B6"/>
    <w:rsid w:val="00C37D6A"/>
    <w:rsid w:val="00C409B5"/>
    <w:rsid w:val="00C40F26"/>
    <w:rsid w:val="00C41208"/>
    <w:rsid w:val="00C41D73"/>
    <w:rsid w:val="00C421BD"/>
    <w:rsid w:val="00C4233F"/>
    <w:rsid w:val="00C428BB"/>
    <w:rsid w:val="00C42CE9"/>
    <w:rsid w:val="00C43020"/>
    <w:rsid w:val="00C43031"/>
    <w:rsid w:val="00C43345"/>
    <w:rsid w:val="00C43C8B"/>
    <w:rsid w:val="00C4420C"/>
    <w:rsid w:val="00C444E7"/>
    <w:rsid w:val="00C44C9A"/>
    <w:rsid w:val="00C4608B"/>
    <w:rsid w:val="00C461A5"/>
    <w:rsid w:val="00C46F81"/>
    <w:rsid w:val="00C478C0"/>
    <w:rsid w:val="00C503FB"/>
    <w:rsid w:val="00C509DB"/>
    <w:rsid w:val="00C51318"/>
    <w:rsid w:val="00C517B6"/>
    <w:rsid w:val="00C52902"/>
    <w:rsid w:val="00C52977"/>
    <w:rsid w:val="00C52C63"/>
    <w:rsid w:val="00C54051"/>
    <w:rsid w:val="00C5433E"/>
    <w:rsid w:val="00C54620"/>
    <w:rsid w:val="00C55534"/>
    <w:rsid w:val="00C55D33"/>
    <w:rsid w:val="00C5646C"/>
    <w:rsid w:val="00C569E5"/>
    <w:rsid w:val="00C56B48"/>
    <w:rsid w:val="00C56BB8"/>
    <w:rsid w:val="00C57168"/>
    <w:rsid w:val="00C601DB"/>
    <w:rsid w:val="00C60A6F"/>
    <w:rsid w:val="00C611CC"/>
    <w:rsid w:val="00C6150B"/>
    <w:rsid w:val="00C627E4"/>
    <w:rsid w:val="00C63103"/>
    <w:rsid w:val="00C641CF"/>
    <w:rsid w:val="00C644D9"/>
    <w:rsid w:val="00C64C60"/>
    <w:rsid w:val="00C64F04"/>
    <w:rsid w:val="00C65004"/>
    <w:rsid w:val="00C6506C"/>
    <w:rsid w:val="00C6584F"/>
    <w:rsid w:val="00C658B8"/>
    <w:rsid w:val="00C65E58"/>
    <w:rsid w:val="00C66208"/>
    <w:rsid w:val="00C66495"/>
    <w:rsid w:val="00C66931"/>
    <w:rsid w:val="00C67084"/>
    <w:rsid w:val="00C67E75"/>
    <w:rsid w:val="00C70C13"/>
    <w:rsid w:val="00C70D42"/>
    <w:rsid w:val="00C7102F"/>
    <w:rsid w:val="00C71416"/>
    <w:rsid w:val="00C714DC"/>
    <w:rsid w:val="00C714F3"/>
    <w:rsid w:val="00C7267F"/>
    <w:rsid w:val="00C72ABA"/>
    <w:rsid w:val="00C740E7"/>
    <w:rsid w:val="00C74107"/>
    <w:rsid w:val="00C745DA"/>
    <w:rsid w:val="00C74FEC"/>
    <w:rsid w:val="00C75265"/>
    <w:rsid w:val="00C755C1"/>
    <w:rsid w:val="00C7565C"/>
    <w:rsid w:val="00C75910"/>
    <w:rsid w:val="00C76237"/>
    <w:rsid w:val="00C76441"/>
    <w:rsid w:val="00C76E2F"/>
    <w:rsid w:val="00C77B97"/>
    <w:rsid w:val="00C77C83"/>
    <w:rsid w:val="00C801D6"/>
    <w:rsid w:val="00C80554"/>
    <w:rsid w:val="00C81193"/>
    <w:rsid w:val="00C8181B"/>
    <w:rsid w:val="00C81A89"/>
    <w:rsid w:val="00C81E79"/>
    <w:rsid w:val="00C81EA5"/>
    <w:rsid w:val="00C833E6"/>
    <w:rsid w:val="00C839B4"/>
    <w:rsid w:val="00C83E1E"/>
    <w:rsid w:val="00C843DC"/>
    <w:rsid w:val="00C8447C"/>
    <w:rsid w:val="00C85192"/>
    <w:rsid w:val="00C85289"/>
    <w:rsid w:val="00C85952"/>
    <w:rsid w:val="00C86559"/>
    <w:rsid w:val="00C86A4E"/>
    <w:rsid w:val="00C86C6F"/>
    <w:rsid w:val="00C86FA6"/>
    <w:rsid w:val="00C87265"/>
    <w:rsid w:val="00C8741A"/>
    <w:rsid w:val="00C87910"/>
    <w:rsid w:val="00C87DF9"/>
    <w:rsid w:val="00C90DB8"/>
    <w:rsid w:val="00C90FA5"/>
    <w:rsid w:val="00C92C81"/>
    <w:rsid w:val="00C92F85"/>
    <w:rsid w:val="00C931B1"/>
    <w:rsid w:val="00C9355B"/>
    <w:rsid w:val="00C94270"/>
    <w:rsid w:val="00C942C9"/>
    <w:rsid w:val="00C946E6"/>
    <w:rsid w:val="00C947E9"/>
    <w:rsid w:val="00C94F06"/>
    <w:rsid w:val="00C94FD9"/>
    <w:rsid w:val="00C95726"/>
    <w:rsid w:val="00C95C4C"/>
    <w:rsid w:val="00C95CB5"/>
    <w:rsid w:val="00C963B7"/>
    <w:rsid w:val="00C97E6E"/>
    <w:rsid w:val="00CA0C8E"/>
    <w:rsid w:val="00CA11F2"/>
    <w:rsid w:val="00CA151C"/>
    <w:rsid w:val="00CA2D04"/>
    <w:rsid w:val="00CA2F8A"/>
    <w:rsid w:val="00CA3965"/>
    <w:rsid w:val="00CA3B8A"/>
    <w:rsid w:val="00CA3CB2"/>
    <w:rsid w:val="00CA415A"/>
    <w:rsid w:val="00CA4C8F"/>
    <w:rsid w:val="00CA4DDA"/>
    <w:rsid w:val="00CA514F"/>
    <w:rsid w:val="00CA5182"/>
    <w:rsid w:val="00CA7692"/>
    <w:rsid w:val="00CA77EA"/>
    <w:rsid w:val="00CA78E3"/>
    <w:rsid w:val="00CB00DF"/>
    <w:rsid w:val="00CB0EB9"/>
    <w:rsid w:val="00CB255B"/>
    <w:rsid w:val="00CB2A3A"/>
    <w:rsid w:val="00CB3934"/>
    <w:rsid w:val="00CB438C"/>
    <w:rsid w:val="00CB60CE"/>
    <w:rsid w:val="00CB6497"/>
    <w:rsid w:val="00CB6D8B"/>
    <w:rsid w:val="00CB6DA9"/>
    <w:rsid w:val="00CB72A5"/>
    <w:rsid w:val="00CC0109"/>
    <w:rsid w:val="00CC03B8"/>
    <w:rsid w:val="00CC12AE"/>
    <w:rsid w:val="00CC228C"/>
    <w:rsid w:val="00CC237C"/>
    <w:rsid w:val="00CC312A"/>
    <w:rsid w:val="00CC31E8"/>
    <w:rsid w:val="00CC3232"/>
    <w:rsid w:val="00CC41E8"/>
    <w:rsid w:val="00CC43B8"/>
    <w:rsid w:val="00CC4CB3"/>
    <w:rsid w:val="00CC5ABA"/>
    <w:rsid w:val="00CC6373"/>
    <w:rsid w:val="00CD0041"/>
    <w:rsid w:val="00CD07C2"/>
    <w:rsid w:val="00CD080A"/>
    <w:rsid w:val="00CD09D7"/>
    <w:rsid w:val="00CD1C47"/>
    <w:rsid w:val="00CD2864"/>
    <w:rsid w:val="00CD2A7C"/>
    <w:rsid w:val="00CD39E0"/>
    <w:rsid w:val="00CD3C37"/>
    <w:rsid w:val="00CD4202"/>
    <w:rsid w:val="00CD424C"/>
    <w:rsid w:val="00CD4DCA"/>
    <w:rsid w:val="00CD4E75"/>
    <w:rsid w:val="00CD50C9"/>
    <w:rsid w:val="00CD521C"/>
    <w:rsid w:val="00CD5379"/>
    <w:rsid w:val="00CD5768"/>
    <w:rsid w:val="00CD6A14"/>
    <w:rsid w:val="00CD7548"/>
    <w:rsid w:val="00CD7664"/>
    <w:rsid w:val="00CD7D52"/>
    <w:rsid w:val="00CE0900"/>
    <w:rsid w:val="00CE096F"/>
    <w:rsid w:val="00CE18CE"/>
    <w:rsid w:val="00CE1C06"/>
    <w:rsid w:val="00CE230E"/>
    <w:rsid w:val="00CE250E"/>
    <w:rsid w:val="00CE2E2E"/>
    <w:rsid w:val="00CE3039"/>
    <w:rsid w:val="00CE3146"/>
    <w:rsid w:val="00CE3481"/>
    <w:rsid w:val="00CE3BFE"/>
    <w:rsid w:val="00CE461E"/>
    <w:rsid w:val="00CE50BC"/>
    <w:rsid w:val="00CE56D2"/>
    <w:rsid w:val="00CE5C96"/>
    <w:rsid w:val="00CE6028"/>
    <w:rsid w:val="00CE6959"/>
    <w:rsid w:val="00CE6F0F"/>
    <w:rsid w:val="00CE7312"/>
    <w:rsid w:val="00CE7344"/>
    <w:rsid w:val="00CE7E27"/>
    <w:rsid w:val="00CE7ED4"/>
    <w:rsid w:val="00CF0690"/>
    <w:rsid w:val="00CF0BDA"/>
    <w:rsid w:val="00CF13C3"/>
    <w:rsid w:val="00CF26D3"/>
    <w:rsid w:val="00CF2A33"/>
    <w:rsid w:val="00CF2D80"/>
    <w:rsid w:val="00CF38C2"/>
    <w:rsid w:val="00CF3C99"/>
    <w:rsid w:val="00CF4043"/>
    <w:rsid w:val="00CF4F95"/>
    <w:rsid w:val="00CF6195"/>
    <w:rsid w:val="00CF66A9"/>
    <w:rsid w:val="00CF6A44"/>
    <w:rsid w:val="00CF7708"/>
    <w:rsid w:val="00CF7A87"/>
    <w:rsid w:val="00CF7DC0"/>
    <w:rsid w:val="00CF7E00"/>
    <w:rsid w:val="00D0172B"/>
    <w:rsid w:val="00D0268B"/>
    <w:rsid w:val="00D02944"/>
    <w:rsid w:val="00D04525"/>
    <w:rsid w:val="00D047FF"/>
    <w:rsid w:val="00D04893"/>
    <w:rsid w:val="00D049D3"/>
    <w:rsid w:val="00D04C69"/>
    <w:rsid w:val="00D04CD8"/>
    <w:rsid w:val="00D05A13"/>
    <w:rsid w:val="00D05E6C"/>
    <w:rsid w:val="00D063BB"/>
    <w:rsid w:val="00D066D4"/>
    <w:rsid w:val="00D06DEF"/>
    <w:rsid w:val="00D078AF"/>
    <w:rsid w:val="00D07A52"/>
    <w:rsid w:val="00D10417"/>
    <w:rsid w:val="00D10F39"/>
    <w:rsid w:val="00D11421"/>
    <w:rsid w:val="00D126E0"/>
    <w:rsid w:val="00D13372"/>
    <w:rsid w:val="00D13EDB"/>
    <w:rsid w:val="00D1453C"/>
    <w:rsid w:val="00D14552"/>
    <w:rsid w:val="00D14AA0"/>
    <w:rsid w:val="00D15184"/>
    <w:rsid w:val="00D152A1"/>
    <w:rsid w:val="00D15CF9"/>
    <w:rsid w:val="00D16025"/>
    <w:rsid w:val="00D162CB"/>
    <w:rsid w:val="00D1630E"/>
    <w:rsid w:val="00D16434"/>
    <w:rsid w:val="00D16FBF"/>
    <w:rsid w:val="00D2030C"/>
    <w:rsid w:val="00D206FD"/>
    <w:rsid w:val="00D208D4"/>
    <w:rsid w:val="00D21753"/>
    <w:rsid w:val="00D2175E"/>
    <w:rsid w:val="00D21DC6"/>
    <w:rsid w:val="00D220EB"/>
    <w:rsid w:val="00D22C40"/>
    <w:rsid w:val="00D23022"/>
    <w:rsid w:val="00D23485"/>
    <w:rsid w:val="00D244D6"/>
    <w:rsid w:val="00D24D6F"/>
    <w:rsid w:val="00D24E96"/>
    <w:rsid w:val="00D25377"/>
    <w:rsid w:val="00D26691"/>
    <w:rsid w:val="00D26703"/>
    <w:rsid w:val="00D26EBD"/>
    <w:rsid w:val="00D27313"/>
    <w:rsid w:val="00D2786E"/>
    <w:rsid w:val="00D27DDF"/>
    <w:rsid w:val="00D300C4"/>
    <w:rsid w:val="00D304AE"/>
    <w:rsid w:val="00D31BE9"/>
    <w:rsid w:val="00D31E0A"/>
    <w:rsid w:val="00D32361"/>
    <w:rsid w:val="00D342C9"/>
    <w:rsid w:val="00D34CCD"/>
    <w:rsid w:val="00D34F3C"/>
    <w:rsid w:val="00D36474"/>
    <w:rsid w:val="00D36E3A"/>
    <w:rsid w:val="00D36E4F"/>
    <w:rsid w:val="00D37CF1"/>
    <w:rsid w:val="00D37DB4"/>
    <w:rsid w:val="00D40694"/>
    <w:rsid w:val="00D4086E"/>
    <w:rsid w:val="00D42385"/>
    <w:rsid w:val="00D42EC6"/>
    <w:rsid w:val="00D4376F"/>
    <w:rsid w:val="00D44D72"/>
    <w:rsid w:val="00D45A4D"/>
    <w:rsid w:val="00D462D4"/>
    <w:rsid w:val="00D462E1"/>
    <w:rsid w:val="00D4686F"/>
    <w:rsid w:val="00D518EC"/>
    <w:rsid w:val="00D51962"/>
    <w:rsid w:val="00D51E0F"/>
    <w:rsid w:val="00D528B8"/>
    <w:rsid w:val="00D539B8"/>
    <w:rsid w:val="00D54008"/>
    <w:rsid w:val="00D542EC"/>
    <w:rsid w:val="00D54424"/>
    <w:rsid w:val="00D544AC"/>
    <w:rsid w:val="00D54B67"/>
    <w:rsid w:val="00D5524A"/>
    <w:rsid w:val="00D556EC"/>
    <w:rsid w:val="00D56329"/>
    <w:rsid w:val="00D56879"/>
    <w:rsid w:val="00D56E1F"/>
    <w:rsid w:val="00D5719C"/>
    <w:rsid w:val="00D575B9"/>
    <w:rsid w:val="00D57ED9"/>
    <w:rsid w:val="00D604B4"/>
    <w:rsid w:val="00D6090B"/>
    <w:rsid w:val="00D60916"/>
    <w:rsid w:val="00D60DC8"/>
    <w:rsid w:val="00D616AA"/>
    <w:rsid w:val="00D6237A"/>
    <w:rsid w:val="00D633B5"/>
    <w:rsid w:val="00D63DDB"/>
    <w:rsid w:val="00D63E6E"/>
    <w:rsid w:val="00D63F47"/>
    <w:rsid w:val="00D642E1"/>
    <w:rsid w:val="00D653F4"/>
    <w:rsid w:val="00D65BA4"/>
    <w:rsid w:val="00D65CD4"/>
    <w:rsid w:val="00D6611F"/>
    <w:rsid w:val="00D66669"/>
    <w:rsid w:val="00D66B24"/>
    <w:rsid w:val="00D6725E"/>
    <w:rsid w:val="00D67363"/>
    <w:rsid w:val="00D67AF3"/>
    <w:rsid w:val="00D70D6A"/>
    <w:rsid w:val="00D718B6"/>
    <w:rsid w:val="00D71F7C"/>
    <w:rsid w:val="00D72C2D"/>
    <w:rsid w:val="00D72D78"/>
    <w:rsid w:val="00D72EAE"/>
    <w:rsid w:val="00D73214"/>
    <w:rsid w:val="00D737DA"/>
    <w:rsid w:val="00D739F6"/>
    <w:rsid w:val="00D74037"/>
    <w:rsid w:val="00D743CF"/>
    <w:rsid w:val="00D74869"/>
    <w:rsid w:val="00D748A5"/>
    <w:rsid w:val="00D75F35"/>
    <w:rsid w:val="00D760A8"/>
    <w:rsid w:val="00D76189"/>
    <w:rsid w:val="00D76250"/>
    <w:rsid w:val="00D76743"/>
    <w:rsid w:val="00D76E7E"/>
    <w:rsid w:val="00D812DF"/>
    <w:rsid w:val="00D819D0"/>
    <w:rsid w:val="00D81B32"/>
    <w:rsid w:val="00D81B5D"/>
    <w:rsid w:val="00D83A12"/>
    <w:rsid w:val="00D842EA"/>
    <w:rsid w:val="00D84A95"/>
    <w:rsid w:val="00D84F02"/>
    <w:rsid w:val="00D8542A"/>
    <w:rsid w:val="00D854D0"/>
    <w:rsid w:val="00D85611"/>
    <w:rsid w:val="00D85F4A"/>
    <w:rsid w:val="00D8626D"/>
    <w:rsid w:val="00D8698F"/>
    <w:rsid w:val="00D86AA8"/>
    <w:rsid w:val="00D87015"/>
    <w:rsid w:val="00D90880"/>
    <w:rsid w:val="00D91115"/>
    <w:rsid w:val="00D91360"/>
    <w:rsid w:val="00D91D2C"/>
    <w:rsid w:val="00D924FB"/>
    <w:rsid w:val="00D92B28"/>
    <w:rsid w:val="00D9341A"/>
    <w:rsid w:val="00D939D5"/>
    <w:rsid w:val="00D95595"/>
    <w:rsid w:val="00D9695E"/>
    <w:rsid w:val="00DA0157"/>
    <w:rsid w:val="00DA0B19"/>
    <w:rsid w:val="00DA167F"/>
    <w:rsid w:val="00DA190B"/>
    <w:rsid w:val="00DA2A53"/>
    <w:rsid w:val="00DA2FB3"/>
    <w:rsid w:val="00DA36F6"/>
    <w:rsid w:val="00DA3B6D"/>
    <w:rsid w:val="00DA3BA5"/>
    <w:rsid w:val="00DA43AC"/>
    <w:rsid w:val="00DA45F3"/>
    <w:rsid w:val="00DA5472"/>
    <w:rsid w:val="00DA54EA"/>
    <w:rsid w:val="00DA57D2"/>
    <w:rsid w:val="00DA5DA1"/>
    <w:rsid w:val="00DA5F6F"/>
    <w:rsid w:val="00DA6BA8"/>
    <w:rsid w:val="00DA6ED8"/>
    <w:rsid w:val="00DA71BD"/>
    <w:rsid w:val="00DA74C4"/>
    <w:rsid w:val="00DA77D1"/>
    <w:rsid w:val="00DA78DA"/>
    <w:rsid w:val="00DB01E4"/>
    <w:rsid w:val="00DB0550"/>
    <w:rsid w:val="00DB07D3"/>
    <w:rsid w:val="00DB18F8"/>
    <w:rsid w:val="00DB1948"/>
    <w:rsid w:val="00DB1DEA"/>
    <w:rsid w:val="00DB2B29"/>
    <w:rsid w:val="00DB3518"/>
    <w:rsid w:val="00DB39AE"/>
    <w:rsid w:val="00DB39D8"/>
    <w:rsid w:val="00DB3BAF"/>
    <w:rsid w:val="00DB4168"/>
    <w:rsid w:val="00DB49BD"/>
    <w:rsid w:val="00DB5441"/>
    <w:rsid w:val="00DB547B"/>
    <w:rsid w:val="00DB5637"/>
    <w:rsid w:val="00DB5C19"/>
    <w:rsid w:val="00DB6294"/>
    <w:rsid w:val="00DB6E98"/>
    <w:rsid w:val="00DB71D1"/>
    <w:rsid w:val="00DB7D1D"/>
    <w:rsid w:val="00DB7D29"/>
    <w:rsid w:val="00DC1C1B"/>
    <w:rsid w:val="00DC2AF2"/>
    <w:rsid w:val="00DC2E46"/>
    <w:rsid w:val="00DC319B"/>
    <w:rsid w:val="00DC38FB"/>
    <w:rsid w:val="00DC3BC9"/>
    <w:rsid w:val="00DC413E"/>
    <w:rsid w:val="00DC49E0"/>
    <w:rsid w:val="00DC50CE"/>
    <w:rsid w:val="00DC52AC"/>
    <w:rsid w:val="00DC6357"/>
    <w:rsid w:val="00DC63B6"/>
    <w:rsid w:val="00DC65E9"/>
    <w:rsid w:val="00DC763D"/>
    <w:rsid w:val="00DD08A2"/>
    <w:rsid w:val="00DD1255"/>
    <w:rsid w:val="00DD1D3A"/>
    <w:rsid w:val="00DD2554"/>
    <w:rsid w:val="00DD27F1"/>
    <w:rsid w:val="00DD285B"/>
    <w:rsid w:val="00DD2A12"/>
    <w:rsid w:val="00DD2BAE"/>
    <w:rsid w:val="00DD2FF7"/>
    <w:rsid w:val="00DD385C"/>
    <w:rsid w:val="00DD4835"/>
    <w:rsid w:val="00DD4B85"/>
    <w:rsid w:val="00DD5603"/>
    <w:rsid w:val="00DD5B45"/>
    <w:rsid w:val="00DD6030"/>
    <w:rsid w:val="00DD608D"/>
    <w:rsid w:val="00DD6605"/>
    <w:rsid w:val="00DD6BC2"/>
    <w:rsid w:val="00DD6FEA"/>
    <w:rsid w:val="00DD7D0C"/>
    <w:rsid w:val="00DE030E"/>
    <w:rsid w:val="00DE04B7"/>
    <w:rsid w:val="00DE0B99"/>
    <w:rsid w:val="00DE24D6"/>
    <w:rsid w:val="00DE252F"/>
    <w:rsid w:val="00DE3186"/>
    <w:rsid w:val="00DE329B"/>
    <w:rsid w:val="00DE347F"/>
    <w:rsid w:val="00DE39ED"/>
    <w:rsid w:val="00DE3F36"/>
    <w:rsid w:val="00DE4351"/>
    <w:rsid w:val="00DE4A82"/>
    <w:rsid w:val="00DE4AD7"/>
    <w:rsid w:val="00DE4CBB"/>
    <w:rsid w:val="00DE5204"/>
    <w:rsid w:val="00DE5C6A"/>
    <w:rsid w:val="00DE682A"/>
    <w:rsid w:val="00DE6987"/>
    <w:rsid w:val="00DE6C9F"/>
    <w:rsid w:val="00DE6D6C"/>
    <w:rsid w:val="00DE6E89"/>
    <w:rsid w:val="00DE72A9"/>
    <w:rsid w:val="00DE7DAD"/>
    <w:rsid w:val="00DE7F55"/>
    <w:rsid w:val="00DF036C"/>
    <w:rsid w:val="00DF0C58"/>
    <w:rsid w:val="00DF0C6D"/>
    <w:rsid w:val="00DF0ED5"/>
    <w:rsid w:val="00DF1552"/>
    <w:rsid w:val="00DF2778"/>
    <w:rsid w:val="00DF2853"/>
    <w:rsid w:val="00DF45C4"/>
    <w:rsid w:val="00DF4D3C"/>
    <w:rsid w:val="00DF540B"/>
    <w:rsid w:val="00DF5644"/>
    <w:rsid w:val="00DF5756"/>
    <w:rsid w:val="00DF5A05"/>
    <w:rsid w:val="00DF5A59"/>
    <w:rsid w:val="00DF5F2B"/>
    <w:rsid w:val="00DF61B6"/>
    <w:rsid w:val="00DF726C"/>
    <w:rsid w:val="00DF7A46"/>
    <w:rsid w:val="00E015B6"/>
    <w:rsid w:val="00E01AA4"/>
    <w:rsid w:val="00E02CE5"/>
    <w:rsid w:val="00E03F1C"/>
    <w:rsid w:val="00E03F1D"/>
    <w:rsid w:val="00E04125"/>
    <w:rsid w:val="00E04668"/>
    <w:rsid w:val="00E048F7"/>
    <w:rsid w:val="00E0505E"/>
    <w:rsid w:val="00E05375"/>
    <w:rsid w:val="00E05813"/>
    <w:rsid w:val="00E06471"/>
    <w:rsid w:val="00E064E4"/>
    <w:rsid w:val="00E07562"/>
    <w:rsid w:val="00E07851"/>
    <w:rsid w:val="00E07B4F"/>
    <w:rsid w:val="00E07CCB"/>
    <w:rsid w:val="00E10049"/>
    <w:rsid w:val="00E105A9"/>
    <w:rsid w:val="00E10CCF"/>
    <w:rsid w:val="00E1186F"/>
    <w:rsid w:val="00E12037"/>
    <w:rsid w:val="00E12382"/>
    <w:rsid w:val="00E12C10"/>
    <w:rsid w:val="00E13193"/>
    <w:rsid w:val="00E13A7A"/>
    <w:rsid w:val="00E13B77"/>
    <w:rsid w:val="00E13E1F"/>
    <w:rsid w:val="00E13E79"/>
    <w:rsid w:val="00E13F00"/>
    <w:rsid w:val="00E1478B"/>
    <w:rsid w:val="00E1485F"/>
    <w:rsid w:val="00E14EEF"/>
    <w:rsid w:val="00E15905"/>
    <w:rsid w:val="00E163BA"/>
    <w:rsid w:val="00E16A7B"/>
    <w:rsid w:val="00E16AD6"/>
    <w:rsid w:val="00E16D49"/>
    <w:rsid w:val="00E1711B"/>
    <w:rsid w:val="00E178C7"/>
    <w:rsid w:val="00E209C3"/>
    <w:rsid w:val="00E211F6"/>
    <w:rsid w:val="00E21494"/>
    <w:rsid w:val="00E219DF"/>
    <w:rsid w:val="00E21E60"/>
    <w:rsid w:val="00E22D12"/>
    <w:rsid w:val="00E2306E"/>
    <w:rsid w:val="00E2357A"/>
    <w:rsid w:val="00E23EC1"/>
    <w:rsid w:val="00E24AB0"/>
    <w:rsid w:val="00E24BD8"/>
    <w:rsid w:val="00E253E4"/>
    <w:rsid w:val="00E2542A"/>
    <w:rsid w:val="00E2586D"/>
    <w:rsid w:val="00E265FC"/>
    <w:rsid w:val="00E271DF"/>
    <w:rsid w:val="00E2761E"/>
    <w:rsid w:val="00E306B7"/>
    <w:rsid w:val="00E308AD"/>
    <w:rsid w:val="00E30AA7"/>
    <w:rsid w:val="00E30F51"/>
    <w:rsid w:val="00E31F5D"/>
    <w:rsid w:val="00E328D7"/>
    <w:rsid w:val="00E33253"/>
    <w:rsid w:val="00E335B2"/>
    <w:rsid w:val="00E33B42"/>
    <w:rsid w:val="00E34C86"/>
    <w:rsid w:val="00E355DE"/>
    <w:rsid w:val="00E35602"/>
    <w:rsid w:val="00E361F6"/>
    <w:rsid w:val="00E36291"/>
    <w:rsid w:val="00E371EF"/>
    <w:rsid w:val="00E376B2"/>
    <w:rsid w:val="00E37FEE"/>
    <w:rsid w:val="00E37FF5"/>
    <w:rsid w:val="00E40A7D"/>
    <w:rsid w:val="00E4173D"/>
    <w:rsid w:val="00E41D09"/>
    <w:rsid w:val="00E41DEE"/>
    <w:rsid w:val="00E41EA1"/>
    <w:rsid w:val="00E42495"/>
    <w:rsid w:val="00E42A76"/>
    <w:rsid w:val="00E42B27"/>
    <w:rsid w:val="00E4303D"/>
    <w:rsid w:val="00E437A8"/>
    <w:rsid w:val="00E437DF"/>
    <w:rsid w:val="00E4437A"/>
    <w:rsid w:val="00E45312"/>
    <w:rsid w:val="00E45E5B"/>
    <w:rsid w:val="00E46C42"/>
    <w:rsid w:val="00E4719C"/>
    <w:rsid w:val="00E47909"/>
    <w:rsid w:val="00E47EEE"/>
    <w:rsid w:val="00E5009F"/>
    <w:rsid w:val="00E504D8"/>
    <w:rsid w:val="00E51102"/>
    <w:rsid w:val="00E52332"/>
    <w:rsid w:val="00E536CD"/>
    <w:rsid w:val="00E5415F"/>
    <w:rsid w:val="00E541DC"/>
    <w:rsid w:val="00E55050"/>
    <w:rsid w:val="00E5538B"/>
    <w:rsid w:val="00E55B4F"/>
    <w:rsid w:val="00E55C85"/>
    <w:rsid w:val="00E55E5C"/>
    <w:rsid w:val="00E56901"/>
    <w:rsid w:val="00E56A04"/>
    <w:rsid w:val="00E57059"/>
    <w:rsid w:val="00E60471"/>
    <w:rsid w:val="00E61076"/>
    <w:rsid w:val="00E616B7"/>
    <w:rsid w:val="00E6219D"/>
    <w:rsid w:val="00E629F4"/>
    <w:rsid w:val="00E630A6"/>
    <w:rsid w:val="00E64BA2"/>
    <w:rsid w:val="00E65867"/>
    <w:rsid w:val="00E6684E"/>
    <w:rsid w:val="00E6689D"/>
    <w:rsid w:val="00E66A97"/>
    <w:rsid w:val="00E66CA7"/>
    <w:rsid w:val="00E66D03"/>
    <w:rsid w:val="00E66FC3"/>
    <w:rsid w:val="00E67D5B"/>
    <w:rsid w:val="00E67DFC"/>
    <w:rsid w:val="00E7093F"/>
    <w:rsid w:val="00E70FDE"/>
    <w:rsid w:val="00E710CC"/>
    <w:rsid w:val="00E71818"/>
    <w:rsid w:val="00E71920"/>
    <w:rsid w:val="00E7246D"/>
    <w:rsid w:val="00E7291E"/>
    <w:rsid w:val="00E72EE3"/>
    <w:rsid w:val="00E73B08"/>
    <w:rsid w:val="00E73D5A"/>
    <w:rsid w:val="00E740A4"/>
    <w:rsid w:val="00E74846"/>
    <w:rsid w:val="00E74B2E"/>
    <w:rsid w:val="00E758A0"/>
    <w:rsid w:val="00E77555"/>
    <w:rsid w:val="00E7795A"/>
    <w:rsid w:val="00E77A48"/>
    <w:rsid w:val="00E77D3F"/>
    <w:rsid w:val="00E80482"/>
    <w:rsid w:val="00E8111B"/>
    <w:rsid w:val="00E81268"/>
    <w:rsid w:val="00E81703"/>
    <w:rsid w:val="00E817C8"/>
    <w:rsid w:val="00E8189C"/>
    <w:rsid w:val="00E81CF7"/>
    <w:rsid w:val="00E81E86"/>
    <w:rsid w:val="00E824C2"/>
    <w:rsid w:val="00E82FF7"/>
    <w:rsid w:val="00E83B00"/>
    <w:rsid w:val="00E83F52"/>
    <w:rsid w:val="00E83F6A"/>
    <w:rsid w:val="00E8448E"/>
    <w:rsid w:val="00E845E1"/>
    <w:rsid w:val="00E84D8B"/>
    <w:rsid w:val="00E8564B"/>
    <w:rsid w:val="00E856A7"/>
    <w:rsid w:val="00E85B54"/>
    <w:rsid w:val="00E85D35"/>
    <w:rsid w:val="00E85EB4"/>
    <w:rsid w:val="00E862C6"/>
    <w:rsid w:val="00E875A1"/>
    <w:rsid w:val="00E87734"/>
    <w:rsid w:val="00E900E0"/>
    <w:rsid w:val="00E90174"/>
    <w:rsid w:val="00E90DA3"/>
    <w:rsid w:val="00E914A2"/>
    <w:rsid w:val="00E9181A"/>
    <w:rsid w:val="00E91D9F"/>
    <w:rsid w:val="00E92C45"/>
    <w:rsid w:val="00E9396D"/>
    <w:rsid w:val="00E93CB7"/>
    <w:rsid w:val="00E9437C"/>
    <w:rsid w:val="00E945AA"/>
    <w:rsid w:val="00E94A9D"/>
    <w:rsid w:val="00E94FE1"/>
    <w:rsid w:val="00E9501B"/>
    <w:rsid w:val="00E95C4A"/>
    <w:rsid w:val="00E95F0E"/>
    <w:rsid w:val="00E95F50"/>
    <w:rsid w:val="00E966AF"/>
    <w:rsid w:val="00E96B44"/>
    <w:rsid w:val="00E9707F"/>
    <w:rsid w:val="00E972CE"/>
    <w:rsid w:val="00E97C54"/>
    <w:rsid w:val="00EA0238"/>
    <w:rsid w:val="00EA11D1"/>
    <w:rsid w:val="00EA177A"/>
    <w:rsid w:val="00EA2309"/>
    <w:rsid w:val="00EA2ABD"/>
    <w:rsid w:val="00EA2C4D"/>
    <w:rsid w:val="00EA2E00"/>
    <w:rsid w:val="00EA3103"/>
    <w:rsid w:val="00EA3736"/>
    <w:rsid w:val="00EA3939"/>
    <w:rsid w:val="00EA4466"/>
    <w:rsid w:val="00EA5409"/>
    <w:rsid w:val="00EA5804"/>
    <w:rsid w:val="00EA5924"/>
    <w:rsid w:val="00EA656C"/>
    <w:rsid w:val="00EA7F29"/>
    <w:rsid w:val="00EB054A"/>
    <w:rsid w:val="00EB0791"/>
    <w:rsid w:val="00EB08B4"/>
    <w:rsid w:val="00EB1A5A"/>
    <w:rsid w:val="00EB1AFB"/>
    <w:rsid w:val="00EB1ECE"/>
    <w:rsid w:val="00EB2590"/>
    <w:rsid w:val="00EB2961"/>
    <w:rsid w:val="00EB2DDE"/>
    <w:rsid w:val="00EB33A0"/>
    <w:rsid w:val="00EB3922"/>
    <w:rsid w:val="00EB4858"/>
    <w:rsid w:val="00EB4BC1"/>
    <w:rsid w:val="00EB5640"/>
    <w:rsid w:val="00EB57EE"/>
    <w:rsid w:val="00EB58F1"/>
    <w:rsid w:val="00EB5911"/>
    <w:rsid w:val="00EB5AB1"/>
    <w:rsid w:val="00EB5D04"/>
    <w:rsid w:val="00EB65AF"/>
    <w:rsid w:val="00EB679A"/>
    <w:rsid w:val="00EC2028"/>
    <w:rsid w:val="00EC22A3"/>
    <w:rsid w:val="00EC2477"/>
    <w:rsid w:val="00EC329C"/>
    <w:rsid w:val="00EC3361"/>
    <w:rsid w:val="00EC36AA"/>
    <w:rsid w:val="00EC373C"/>
    <w:rsid w:val="00EC3E60"/>
    <w:rsid w:val="00EC5B45"/>
    <w:rsid w:val="00EC5BF0"/>
    <w:rsid w:val="00EC652C"/>
    <w:rsid w:val="00EC67C8"/>
    <w:rsid w:val="00EC6ABE"/>
    <w:rsid w:val="00EC7BFD"/>
    <w:rsid w:val="00EC7C3F"/>
    <w:rsid w:val="00ED04C5"/>
    <w:rsid w:val="00ED118A"/>
    <w:rsid w:val="00ED124A"/>
    <w:rsid w:val="00ED2318"/>
    <w:rsid w:val="00ED2D6D"/>
    <w:rsid w:val="00ED313A"/>
    <w:rsid w:val="00ED3ABA"/>
    <w:rsid w:val="00ED3C47"/>
    <w:rsid w:val="00ED3D72"/>
    <w:rsid w:val="00ED5808"/>
    <w:rsid w:val="00ED6208"/>
    <w:rsid w:val="00ED6244"/>
    <w:rsid w:val="00ED66EC"/>
    <w:rsid w:val="00ED6AB8"/>
    <w:rsid w:val="00ED7E2C"/>
    <w:rsid w:val="00EE0677"/>
    <w:rsid w:val="00EE09C8"/>
    <w:rsid w:val="00EE0C03"/>
    <w:rsid w:val="00EE0DED"/>
    <w:rsid w:val="00EE1307"/>
    <w:rsid w:val="00EE197B"/>
    <w:rsid w:val="00EE2692"/>
    <w:rsid w:val="00EE2E1A"/>
    <w:rsid w:val="00EE355D"/>
    <w:rsid w:val="00EE3C72"/>
    <w:rsid w:val="00EE5E4B"/>
    <w:rsid w:val="00EE60F8"/>
    <w:rsid w:val="00EE7291"/>
    <w:rsid w:val="00EF0977"/>
    <w:rsid w:val="00EF156D"/>
    <w:rsid w:val="00EF1FF1"/>
    <w:rsid w:val="00EF24DB"/>
    <w:rsid w:val="00EF3056"/>
    <w:rsid w:val="00EF3AB3"/>
    <w:rsid w:val="00EF3D08"/>
    <w:rsid w:val="00EF49D9"/>
    <w:rsid w:val="00EF4B95"/>
    <w:rsid w:val="00EF4C06"/>
    <w:rsid w:val="00EF4C36"/>
    <w:rsid w:val="00EF586B"/>
    <w:rsid w:val="00EF7C9F"/>
    <w:rsid w:val="00F0027C"/>
    <w:rsid w:val="00F00D53"/>
    <w:rsid w:val="00F0161B"/>
    <w:rsid w:val="00F0183C"/>
    <w:rsid w:val="00F01843"/>
    <w:rsid w:val="00F02AB0"/>
    <w:rsid w:val="00F04083"/>
    <w:rsid w:val="00F0423C"/>
    <w:rsid w:val="00F04698"/>
    <w:rsid w:val="00F04D99"/>
    <w:rsid w:val="00F0591D"/>
    <w:rsid w:val="00F059AF"/>
    <w:rsid w:val="00F06218"/>
    <w:rsid w:val="00F064F7"/>
    <w:rsid w:val="00F06772"/>
    <w:rsid w:val="00F06BD8"/>
    <w:rsid w:val="00F06E03"/>
    <w:rsid w:val="00F078F5"/>
    <w:rsid w:val="00F07A88"/>
    <w:rsid w:val="00F07D10"/>
    <w:rsid w:val="00F07FEB"/>
    <w:rsid w:val="00F100A7"/>
    <w:rsid w:val="00F1054E"/>
    <w:rsid w:val="00F124DF"/>
    <w:rsid w:val="00F124F1"/>
    <w:rsid w:val="00F12659"/>
    <w:rsid w:val="00F12759"/>
    <w:rsid w:val="00F12FB2"/>
    <w:rsid w:val="00F13A89"/>
    <w:rsid w:val="00F14852"/>
    <w:rsid w:val="00F14CE9"/>
    <w:rsid w:val="00F14E45"/>
    <w:rsid w:val="00F1515A"/>
    <w:rsid w:val="00F15879"/>
    <w:rsid w:val="00F16083"/>
    <w:rsid w:val="00F16188"/>
    <w:rsid w:val="00F1640A"/>
    <w:rsid w:val="00F16781"/>
    <w:rsid w:val="00F16856"/>
    <w:rsid w:val="00F16A5D"/>
    <w:rsid w:val="00F16FAE"/>
    <w:rsid w:val="00F17473"/>
    <w:rsid w:val="00F235AD"/>
    <w:rsid w:val="00F23EA4"/>
    <w:rsid w:val="00F250F0"/>
    <w:rsid w:val="00F25533"/>
    <w:rsid w:val="00F25917"/>
    <w:rsid w:val="00F26627"/>
    <w:rsid w:val="00F2681F"/>
    <w:rsid w:val="00F26838"/>
    <w:rsid w:val="00F26854"/>
    <w:rsid w:val="00F26CF3"/>
    <w:rsid w:val="00F27766"/>
    <w:rsid w:val="00F27DF4"/>
    <w:rsid w:val="00F30F2B"/>
    <w:rsid w:val="00F313C3"/>
    <w:rsid w:val="00F3181E"/>
    <w:rsid w:val="00F31F42"/>
    <w:rsid w:val="00F320F2"/>
    <w:rsid w:val="00F3229A"/>
    <w:rsid w:val="00F32FD0"/>
    <w:rsid w:val="00F33954"/>
    <w:rsid w:val="00F33DCE"/>
    <w:rsid w:val="00F34A69"/>
    <w:rsid w:val="00F34AF1"/>
    <w:rsid w:val="00F357BF"/>
    <w:rsid w:val="00F35975"/>
    <w:rsid w:val="00F361AD"/>
    <w:rsid w:val="00F3635C"/>
    <w:rsid w:val="00F363D8"/>
    <w:rsid w:val="00F36A88"/>
    <w:rsid w:val="00F36C8E"/>
    <w:rsid w:val="00F3781B"/>
    <w:rsid w:val="00F400E9"/>
    <w:rsid w:val="00F407E3"/>
    <w:rsid w:val="00F41DD3"/>
    <w:rsid w:val="00F424BD"/>
    <w:rsid w:val="00F4348C"/>
    <w:rsid w:val="00F434B6"/>
    <w:rsid w:val="00F434B7"/>
    <w:rsid w:val="00F43DB1"/>
    <w:rsid w:val="00F444BE"/>
    <w:rsid w:val="00F447C8"/>
    <w:rsid w:val="00F44806"/>
    <w:rsid w:val="00F44D20"/>
    <w:rsid w:val="00F4500D"/>
    <w:rsid w:val="00F45515"/>
    <w:rsid w:val="00F46F88"/>
    <w:rsid w:val="00F47869"/>
    <w:rsid w:val="00F50246"/>
    <w:rsid w:val="00F50782"/>
    <w:rsid w:val="00F51423"/>
    <w:rsid w:val="00F51468"/>
    <w:rsid w:val="00F51486"/>
    <w:rsid w:val="00F51F63"/>
    <w:rsid w:val="00F52AD4"/>
    <w:rsid w:val="00F53274"/>
    <w:rsid w:val="00F53333"/>
    <w:rsid w:val="00F53789"/>
    <w:rsid w:val="00F539FF"/>
    <w:rsid w:val="00F53E6A"/>
    <w:rsid w:val="00F5462B"/>
    <w:rsid w:val="00F55048"/>
    <w:rsid w:val="00F5524A"/>
    <w:rsid w:val="00F56AC8"/>
    <w:rsid w:val="00F5705D"/>
    <w:rsid w:val="00F60A50"/>
    <w:rsid w:val="00F60FF2"/>
    <w:rsid w:val="00F6145A"/>
    <w:rsid w:val="00F618FB"/>
    <w:rsid w:val="00F624C4"/>
    <w:rsid w:val="00F62A5F"/>
    <w:rsid w:val="00F62DA7"/>
    <w:rsid w:val="00F63445"/>
    <w:rsid w:val="00F63DA8"/>
    <w:rsid w:val="00F641B7"/>
    <w:rsid w:val="00F654B6"/>
    <w:rsid w:val="00F6693C"/>
    <w:rsid w:val="00F67C77"/>
    <w:rsid w:val="00F706D2"/>
    <w:rsid w:val="00F71767"/>
    <w:rsid w:val="00F71821"/>
    <w:rsid w:val="00F73E4B"/>
    <w:rsid w:val="00F74D2C"/>
    <w:rsid w:val="00F74E37"/>
    <w:rsid w:val="00F75964"/>
    <w:rsid w:val="00F7679D"/>
    <w:rsid w:val="00F7727F"/>
    <w:rsid w:val="00F774D5"/>
    <w:rsid w:val="00F77EDF"/>
    <w:rsid w:val="00F80B6F"/>
    <w:rsid w:val="00F80F4C"/>
    <w:rsid w:val="00F8140B"/>
    <w:rsid w:val="00F818DD"/>
    <w:rsid w:val="00F81F3D"/>
    <w:rsid w:val="00F8234E"/>
    <w:rsid w:val="00F8343A"/>
    <w:rsid w:val="00F83450"/>
    <w:rsid w:val="00F83CB6"/>
    <w:rsid w:val="00F84A40"/>
    <w:rsid w:val="00F85995"/>
    <w:rsid w:val="00F85B3C"/>
    <w:rsid w:val="00F85E39"/>
    <w:rsid w:val="00F86A20"/>
    <w:rsid w:val="00F86C5A"/>
    <w:rsid w:val="00F86ED2"/>
    <w:rsid w:val="00F87485"/>
    <w:rsid w:val="00F90AB5"/>
    <w:rsid w:val="00F90B3E"/>
    <w:rsid w:val="00F90D8E"/>
    <w:rsid w:val="00F916A3"/>
    <w:rsid w:val="00F91C45"/>
    <w:rsid w:val="00F922E2"/>
    <w:rsid w:val="00F92BC7"/>
    <w:rsid w:val="00F936AC"/>
    <w:rsid w:val="00F94337"/>
    <w:rsid w:val="00F94757"/>
    <w:rsid w:val="00F95149"/>
    <w:rsid w:val="00F9520B"/>
    <w:rsid w:val="00F956C9"/>
    <w:rsid w:val="00F96BF4"/>
    <w:rsid w:val="00F96CCF"/>
    <w:rsid w:val="00FA0BA1"/>
    <w:rsid w:val="00FA152D"/>
    <w:rsid w:val="00FA1614"/>
    <w:rsid w:val="00FA1CAB"/>
    <w:rsid w:val="00FA2C40"/>
    <w:rsid w:val="00FA3891"/>
    <w:rsid w:val="00FA3B7C"/>
    <w:rsid w:val="00FA40A3"/>
    <w:rsid w:val="00FA4E4E"/>
    <w:rsid w:val="00FA50D9"/>
    <w:rsid w:val="00FA55F6"/>
    <w:rsid w:val="00FA5772"/>
    <w:rsid w:val="00FA5D7D"/>
    <w:rsid w:val="00FA61F8"/>
    <w:rsid w:val="00FA650E"/>
    <w:rsid w:val="00FA6CAE"/>
    <w:rsid w:val="00FA77BC"/>
    <w:rsid w:val="00FB031D"/>
    <w:rsid w:val="00FB059A"/>
    <w:rsid w:val="00FB0C79"/>
    <w:rsid w:val="00FB1779"/>
    <w:rsid w:val="00FB1B29"/>
    <w:rsid w:val="00FB1C37"/>
    <w:rsid w:val="00FB27E0"/>
    <w:rsid w:val="00FB2FE7"/>
    <w:rsid w:val="00FB3385"/>
    <w:rsid w:val="00FB3D49"/>
    <w:rsid w:val="00FB63D8"/>
    <w:rsid w:val="00FB6DE4"/>
    <w:rsid w:val="00FB6E3F"/>
    <w:rsid w:val="00FB71A7"/>
    <w:rsid w:val="00FB75C1"/>
    <w:rsid w:val="00FB7A49"/>
    <w:rsid w:val="00FC053C"/>
    <w:rsid w:val="00FC0670"/>
    <w:rsid w:val="00FC0B55"/>
    <w:rsid w:val="00FC0B6E"/>
    <w:rsid w:val="00FC1016"/>
    <w:rsid w:val="00FC1447"/>
    <w:rsid w:val="00FC165B"/>
    <w:rsid w:val="00FC1B03"/>
    <w:rsid w:val="00FC1D6B"/>
    <w:rsid w:val="00FC1FB0"/>
    <w:rsid w:val="00FC2410"/>
    <w:rsid w:val="00FC26B0"/>
    <w:rsid w:val="00FC2D2F"/>
    <w:rsid w:val="00FC3157"/>
    <w:rsid w:val="00FC321C"/>
    <w:rsid w:val="00FC3270"/>
    <w:rsid w:val="00FC34D4"/>
    <w:rsid w:val="00FC3C13"/>
    <w:rsid w:val="00FC485F"/>
    <w:rsid w:val="00FC553C"/>
    <w:rsid w:val="00FC584B"/>
    <w:rsid w:val="00FC5F71"/>
    <w:rsid w:val="00FC602C"/>
    <w:rsid w:val="00FC60C8"/>
    <w:rsid w:val="00FC6A79"/>
    <w:rsid w:val="00FC70ED"/>
    <w:rsid w:val="00FC75AB"/>
    <w:rsid w:val="00FC7855"/>
    <w:rsid w:val="00FC7F18"/>
    <w:rsid w:val="00FD03EA"/>
    <w:rsid w:val="00FD08D9"/>
    <w:rsid w:val="00FD19A7"/>
    <w:rsid w:val="00FD21AE"/>
    <w:rsid w:val="00FD26AE"/>
    <w:rsid w:val="00FD27D4"/>
    <w:rsid w:val="00FD350B"/>
    <w:rsid w:val="00FD37F5"/>
    <w:rsid w:val="00FD3FB0"/>
    <w:rsid w:val="00FD4213"/>
    <w:rsid w:val="00FD421D"/>
    <w:rsid w:val="00FD4505"/>
    <w:rsid w:val="00FD45D4"/>
    <w:rsid w:val="00FD4671"/>
    <w:rsid w:val="00FD4D9E"/>
    <w:rsid w:val="00FD4F53"/>
    <w:rsid w:val="00FD5F86"/>
    <w:rsid w:val="00FD77C7"/>
    <w:rsid w:val="00FD7B27"/>
    <w:rsid w:val="00FD7B7D"/>
    <w:rsid w:val="00FD7DB6"/>
    <w:rsid w:val="00FD7FAA"/>
    <w:rsid w:val="00FE09A3"/>
    <w:rsid w:val="00FE0AD2"/>
    <w:rsid w:val="00FE0E97"/>
    <w:rsid w:val="00FE1956"/>
    <w:rsid w:val="00FE1A33"/>
    <w:rsid w:val="00FE1AF1"/>
    <w:rsid w:val="00FE1EC6"/>
    <w:rsid w:val="00FE20A8"/>
    <w:rsid w:val="00FE218A"/>
    <w:rsid w:val="00FE2C20"/>
    <w:rsid w:val="00FE3231"/>
    <w:rsid w:val="00FE349E"/>
    <w:rsid w:val="00FE351D"/>
    <w:rsid w:val="00FE45C4"/>
    <w:rsid w:val="00FE4700"/>
    <w:rsid w:val="00FE4B8B"/>
    <w:rsid w:val="00FE5701"/>
    <w:rsid w:val="00FE58DE"/>
    <w:rsid w:val="00FE644E"/>
    <w:rsid w:val="00FE674D"/>
    <w:rsid w:val="00FE6E64"/>
    <w:rsid w:val="00FE7491"/>
    <w:rsid w:val="00FE7584"/>
    <w:rsid w:val="00FE7B52"/>
    <w:rsid w:val="00FE7EC2"/>
    <w:rsid w:val="00FF2147"/>
    <w:rsid w:val="00FF241C"/>
    <w:rsid w:val="00FF2473"/>
    <w:rsid w:val="00FF2E36"/>
    <w:rsid w:val="00FF3717"/>
    <w:rsid w:val="00FF3C98"/>
    <w:rsid w:val="00FF3E00"/>
    <w:rsid w:val="00FF43E2"/>
    <w:rsid w:val="00FF4FC8"/>
    <w:rsid w:val="00FF55C3"/>
    <w:rsid w:val="00FF7179"/>
    <w:rsid w:val="00FF75D6"/>
    <w:rsid w:val="00FF7B39"/>
    <w:rsid w:val="00FF7B79"/>
    <w:rsid w:val="189A2F47"/>
    <w:rsid w:val="18C8F331"/>
    <w:rsid w:val="22F76575"/>
    <w:rsid w:val="2837098D"/>
    <w:rsid w:val="291344ED"/>
    <w:rsid w:val="36AFA24D"/>
    <w:rsid w:val="3CA42CCD"/>
    <w:rsid w:val="3E58296C"/>
    <w:rsid w:val="4D710026"/>
    <w:rsid w:val="5280888E"/>
    <w:rsid w:val="576CB36C"/>
    <w:rsid w:val="5F078A34"/>
    <w:rsid w:val="6901E789"/>
    <w:rsid w:val="6E73E3FC"/>
    <w:rsid w:val="7AB044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DCEC3"/>
  <w15:chartTrackingRefBased/>
  <w15:docId w15:val="{2674638E-00F4-4750-8FBD-6EC9BFC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2F0596"/>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uiPriority w:val="99"/>
    <w:rsid w:val="0028236E"/>
    <w:rPr>
      <w:sz w:val="16"/>
      <w:szCs w:val="16"/>
    </w:rPr>
  </w:style>
  <w:style w:type="paragraph" w:styleId="CommentText">
    <w:name w:val="annotation text"/>
    <w:basedOn w:val="Normal"/>
    <w:link w:val="CommentTextChar"/>
    <w:uiPriority w:val="99"/>
    <w:rsid w:val="0028236E"/>
    <w:rPr>
      <w:sz w:val="20"/>
      <w:szCs w:val="20"/>
    </w:rPr>
  </w:style>
  <w:style w:type="character" w:customStyle="1" w:styleId="CommentTextChar">
    <w:name w:val="Comment Text Char"/>
    <w:link w:val="CommentText"/>
    <w:uiPriority w:val="99"/>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link w:val="Heading1"/>
    <w:rsid w:val="002F0596"/>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F0596"/>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rsid w:val="00D819D0"/>
    <w:pPr>
      <w:tabs>
        <w:tab w:val="right" w:leader="dot" w:pos="9486"/>
      </w:tabs>
    </w:pPr>
    <w:rPr>
      <w:rFonts w:asciiTheme="minorBidi" w:hAnsiTheme="minorBidi" w:cstheme="minorBidi"/>
      <w:b/>
      <w:bCs/>
    </w:rPr>
  </w:style>
  <w:style w:type="paragraph" w:styleId="TOC3">
    <w:name w:val="toc 3"/>
    <w:basedOn w:val="Normal"/>
    <w:next w:val="Normal"/>
    <w:autoRedefine/>
    <w:uiPriority w:val="39"/>
    <w:rsid w:val="002F0596"/>
    <w:pPr>
      <w:ind w:left="480"/>
    </w:pPr>
  </w:style>
  <w:style w:type="character" w:customStyle="1" w:styleId="normaltextrun">
    <w:name w:val="normaltextrun"/>
    <w:basedOn w:val="DefaultParagraphFont"/>
    <w:rsid w:val="00B44F0E"/>
  </w:style>
  <w:style w:type="paragraph" w:customStyle="1" w:styleId="NumbList3">
    <w:name w:val="NumbList3"/>
    <w:basedOn w:val="Normal"/>
    <w:rsid w:val="00BB2639"/>
  </w:style>
  <w:style w:type="character" w:customStyle="1" w:styleId="eop">
    <w:name w:val="eop"/>
    <w:basedOn w:val="DefaultParagraphFont"/>
    <w:rsid w:val="00B823D8"/>
  </w:style>
  <w:style w:type="character" w:customStyle="1" w:styleId="FooterChar">
    <w:name w:val="Footer Char"/>
    <w:basedOn w:val="DefaultParagraphFont"/>
    <w:link w:val="Footer"/>
    <w:uiPriority w:val="99"/>
    <w:rsid w:val="009D537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391">
      <w:bodyDiv w:val="1"/>
      <w:marLeft w:val="0"/>
      <w:marRight w:val="0"/>
      <w:marTop w:val="0"/>
      <w:marBottom w:val="0"/>
      <w:divBdr>
        <w:top w:val="none" w:sz="0" w:space="0" w:color="auto"/>
        <w:left w:val="none" w:sz="0" w:space="0" w:color="auto"/>
        <w:bottom w:val="none" w:sz="0" w:space="0" w:color="auto"/>
        <w:right w:val="none" w:sz="0" w:space="0" w:color="auto"/>
      </w:divBdr>
    </w:div>
    <w:div w:id="147750014">
      <w:bodyDiv w:val="1"/>
      <w:marLeft w:val="0"/>
      <w:marRight w:val="0"/>
      <w:marTop w:val="0"/>
      <w:marBottom w:val="0"/>
      <w:divBdr>
        <w:top w:val="none" w:sz="0" w:space="0" w:color="auto"/>
        <w:left w:val="none" w:sz="0" w:space="0" w:color="auto"/>
        <w:bottom w:val="none" w:sz="0" w:space="0" w:color="auto"/>
        <w:right w:val="none" w:sz="0" w:space="0" w:color="auto"/>
      </w:divBdr>
    </w:div>
    <w:div w:id="223222904">
      <w:bodyDiv w:val="1"/>
      <w:marLeft w:val="0"/>
      <w:marRight w:val="0"/>
      <w:marTop w:val="0"/>
      <w:marBottom w:val="0"/>
      <w:divBdr>
        <w:top w:val="none" w:sz="0" w:space="0" w:color="auto"/>
        <w:left w:val="none" w:sz="0" w:space="0" w:color="auto"/>
        <w:bottom w:val="none" w:sz="0" w:space="0" w:color="auto"/>
        <w:right w:val="none" w:sz="0" w:space="0" w:color="auto"/>
      </w:divBdr>
    </w:div>
    <w:div w:id="254480803">
      <w:bodyDiv w:val="1"/>
      <w:marLeft w:val="0"/>
      <w:marRight w:val="0"/>
      <w:marTop w:val="0"/>
      <w:marBottom w:val="0"/>
      <w:divBdr>
        <w:top w:val="none" w:sz="0" w:space="0" w:color="auto"/>
        <w:left w:val="none" w:sz="0" w:space="0" w:color="auto"/>
        <w:bottom w:val="none" w:sz="0" w:space="0" w:color="auto"/>
        <w:right w:val="none" w:sz="0" w:space="0" w:color="auto"/>
      </w:divBdr>
    </w:div>
    <w:div w:id="271285745">
      <w:bodyDiv w:val="1"/>
      <w:marLeft w:val="0"/>
      <w:marRight w:val="0"/>
      <w:marTop w:val="0"/>
      <w:marBottom w:val="0"/>
      <w:divBdr>
        <w:top w:val="none" w:sz="0" w:space="0" w:color="auto"/>
        <w:left w:val="none" w:sz="0" w:space="0" w:color="auto"/>
        <w:bottom w:val="none" w:sz="0" w:space="0" w:color="auto"/>
        <w:right w:val="none" w:sz="0" w:space="0" w:color="auto"/>
      </w:divBdr>
    </w:div>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60210316">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502669008">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512258690">
      <w:bodyDiv w:val="1"/>
      <w:marLeft w:val="0"/>
      <w:marRight w:val="0"/>
      <w:marTop w:val="0"/>
      <w:marBottom w:val="0"/>
      <w:divBdr>
        <w:top w:val="none" w:sz="0" w:space="0" w:color="auto"/>
        <w:left w:val="none" w:sz="0" w:space="0" w:color="auto"/>
        <w:bottom w:val="none" w:sz="0" w:space="0" w:color="auto"/>
        <w:right w:val="none" w:sz="0" w:space="0" w:color="auto"/>
      </w:divBdr>
    </w:div>
    <w:div w:id="654529607">
      <w:bodyDiv w:val="1"/>
      <w:marLeft w:val="0"/>
      <w:marRight w:val="0"/>
      <w:marTop w:val="0"/>
      <w:marBottom w:val="0"/>
      <w:divBdr>
        <w:top w:val="none" w:sz="0" w:space="0" w:color="auto"/>
        <w:left w:val="none" w:sz="0" w:space="0" w:color="auto"/>
        <w:bottom w:val="none" w:sz="0" w:space="0" w:color="auto"/>
        <w:right w:val="none" w:sz="0" w:space="0" w:color="auto"/>
      </w:divBdr>
    </w:div>
    <w:div w:id="738400328">
      <w:bodyDiv w:val="1"/>
      <w:marLeft w:val="0"/>
      <w:marRight w:val="0"/>
      <w:marTop w:val="0"/>
      <w:marBottom w:val="0"/>
      <w:divBdr>
        <w:top w:val="none" w:sz="0" w:space="0" w:color="auto"/>
        <w:left w:val="none" w:sz="0" w:space="0" w:color="auto"/>
        <w:bottom w:val="none" w:sz="0" w:space="0" w:color="auto"/>
        <w:right w:val="none" w:sz="0" w:space="0" w:color="auto"/>
      </w:divBdr>
    </w:div>
    <w:div w:id="884946692">
      <w:bodyDiv w:val="1"/>
      <w:marLeft w:val="0"/>
      <w:marRight w:val="0"/>
      <w:marTop w:val="0"/>
      <w:marBottom w:val="0"/>
      <w:divBdr>
        <w:top w:val="none" w:sz="0" w:space="0" w:color="auto"/>
        <w:left w:val="none" w:sz="0" w:space="0" w:color="auto"/>
        <w:bottom w:val="none" w:sz="0" w:space="0" w:color="auto"/>
        <w:right w:val="none" w:sz="0" w:space="0" w:color="auto"/>
      </w:divBdr>
    </w:div>
    <w:div w:id="911038949">
      <w:bodyDiv w:val="1"/>
      <w:marLeft w:val="0"/>
      <w:marRight w:val="0"/>
      <w:marTop w:val="0"/>
      <w:marBottom w:val="0"/>
      <w:divBdr>
        <w:top w:val="none" w:sz="0" w:space="0" w:color="auto"/>
        <w:left w:val="none" w:sz="0" w:space="0" w:color="auto"/>
        <w:bottom w:val="none" w:sz="0" w:space="0" w:color="auto"/>
        <w:right w:val="none" w:sz="0" w:space="0" w:color="auto"/>
      </w:divBdr>
    </w:div>
    <w:div w:id="922884202">
      <w:bodyDiv w:val="1"/>
      <w:marLeft w:val="0"/>
      <w:marRight w:val="0"/>
      <w:marTop w:val="0"/>
      <w:marBottom w:val="0"/>
      <w:divBdr>
        <w:top w:val="none" w:sz="0" w:space="0" w:color="auto"/>
        <w:left w:val="none" w:sz="0" w:space="0" w:color="auto"/>
        <w:bottom w:val="none" w:sz="0" w:space="0" w:color="auto"/>
        <w:right w:val="none" w:sz="0" w:space="0" w:color="auto"/>
      </w:divBdr>
    </w:div>
    <w:div w:id="926882166">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8878445">
      <w:bodyDiv w:val="1"/>
      <w:marLeft w:val="0"/>
      <w:marRight w:val="0"/>
      <w:marTop w:val="0"/>
      <w:marBottom w:val="0"/>
      <w:divBdr>
        <w:top w:val="none" w:sz="0" w:space="0" w:color="auto"/>
        <w:left w:val="none" w:sz="0" w:space="0" w:color="auto"/>
        <w:bottom w:val="none" w:sz="0" w:space="0" w:color="auto"/>
        <w:right w:val="none" w:sz="0" w:space="0" w:color="auto"/>
      </w:divBdr>
    </w:div>
    <w:div w:id="962535870">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56781278">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332563971">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362173211">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73994016">
      <w:bodyDiv w:val="1"/>
      <w:marLeft w:val="0"/>
      <w:marRight w:val="0"/>
      <w:marTop w:val="0"/>
      <w:marBottom w:val="0"/>
      <w:divBdr>
        <w:top w:val="none" w:sz="0" w:space="0" w:color="auto"/>
        <w:left w:val="none" w:sz="0" w:space="0" w:color="auto"/>
        <w:bottom w:val="none" w:sz="0" w:space="0" w:color="auto"/>
        <w:right w:val="none" w:sz="0" w:space="0" w:color="auto"/>
      </w:divBdr>
    </w:div>
    <w:div w:id="1839687195">
      <w:bodyDiv w:val="1"/>
      <w:marLeft w:val="0"/>
      <w:marRight w:val="0"/>
      <w:marTop w:val="0"/>
      <w:marBottom w:val="0"/>
      <w:divBdr>
        <w:top w:val="none" w:sz="0" w:space="0" w:color="auto"/>
        <w:left w:val="none" w:sz="0" w:space="0" w:color="auto"/>
        <w:bottom w:val="none" w:sz="0" w:space="0" w:color="auto"/>
        <w:right w:val="none" w:sz="0" w:space="0" w:color="auto"/>
      </w:divBdr>
    </w:div>
    <w:div w:id="2040080353">
      <w:bodyDiv w:val="1"/>
      <w:marLeft w:val="0"/>
      <w:marRight w:val="0"/>
      <w:marTop w:val="0"/>
      <w:marBottom w:val="0"/>
      <w:divBdr>
        <w:top w:val="none" w:sz="0" w:space="0" w:color="auto"/>
        <w:left w:val="none" w:sz="0" w:space="0" w:color="auto"/>
        <w:bottom w:val="none" w:sz="0" w:space="0" w:color="auto"/>
        <w:right w:val="none" w:sz="0" w:space="0" w:color="auto"/>
      </w:divBdr>
    </w:div>
    <w:div w:id="20917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lcf76f155ced4ddcb4097134ff3c332f xmlns="459aab71-75e7-44f4-b476-c54dc003ee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D8960-49A1-443E-AB50-4E5B8CDD6557}">
  <ds:schemaRefs>
    <ds:schemaRef ds:uri="http://schemas.microsoft.com/sharepoint/v3/contenttype/forms"/>
  </ds:schemaRefs>
</ds:datastoreItem>
</file>

<file path=customXml/itemProps2.xml><?xml version="1.0" encoding="utf-8"?>
<ds:datastoreItem xmlns:ds="http://schemas.openxmlformats.org/officeDocument/2006/customXml" ds:itemID="{5003040E-38FD-4009-A3D3-786D597E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05756-7125-49B9-B12C-B3E0F35ECFB7}">
  <ds:schemaRefs>
    <ds:schemaRef ds:uri="http://schemas.openxmlformats.org/officeDocument/2006/bibliography"/>
  </ds:schemaRefs>
</ds:datastoreItem>
</file>

<file path=customXml/itemProps4.xml><?xml version="1.0" encoding="utf-8"?>
<ds:datastoreItem xmlns:ds="http://schemas.openxmlformats.org/officeDocument/2006/customXml" ds:itemID="{4E4C3EB1-A67D-49D1-95A6-3643259C02CF}">
  <ds:schemaRefs>
    <ds:schemaRef ds:uri="http://schemas.microsoft.com/office/2006/metadata/properties"/>
    <ds:schemaRef ds:uri="http://schemas.microsoft.com/office/infopath/2007/PartnerControls"/>
    <ds:schemaRef ds:uri="6f0d0c61-922d-48b4-b62f-1ef0f8a428b6"/>
    <ds:schemaRef ds:uri="459aab71-75e7-44f4-b476-c54dc003ee8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7626</Words>
  <Characters>42607</Characters>
  <Application>Microsoft Office Word</Application>
  <DocSecurity>0</DocSecurity>
  <Lines>355</Lines>
  <Paragraphs>100</Paragraphs>
  <ScaleCrop>false</ScaleCrop>
  <Company>EssexFire</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2</cp:revision>
  <cp:lastPrinted>2019-09-11T09:01:00Z</cp:lastPrinted>
  <dcterms:created xsi:type="dcterms:W3CDTF">2023-03-23T17:54:00Z</dcterms:created>
  <dcterms:modified xsi:type="dcterms:W3CDTF">2023-03-23T17:54:00Z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ClassificationContentMarkingHeaderShapeIds">
    <vt:lpwstr>1,2,4,5,6,7</vt:lpwstr>
  </property>
  <property fmtid="{D5CDD505-2E9C-101B-9397-08002B2CF9AE}" pid="4" name="ClassificationContentMarkingHeaderFontProps">
    <vt:lpwstr>#000000,10,Calibri</vt:lpwstr>
  </property>
  <property fmtid="{D5CDD505-2E9C-101B-9397-08002B2CF9AE}" pid="5" name="ClassificationContentMarkingHeaderText">
    <vt:lpwstr>OFFICIAL-SENSITIVE</vt:lpwstr>
  </property>
  <property fmtid="{D5CDD505-2E9C-101B-9397-08002B2CF9AE}" pid="6" name="ClassificationContentMarkingFooterShapeIds">
    <vt:lpwstr>8,9,b,c,d,e</vt:lpwstr>
  </property>
  <property fmtid="{D5CDD505-2E9C-101B-9397-08002B2CF9AE}" pid="7" name="ClassificationContentMarkingFooterFontProps">
    <vt:lpwstr>#000000,10,Calibri</vt:lpwstr>
  </property>
  <property fmtid="{D5CDD505-2E9C-101B-9397-08002B2CF9AE}" pid="8" name="ClassificationContentMarkingFooterText">
    <vt:lpwstr>OFFICIAL-SENSITIVE</vt:lpwstr>
  </property>
  <property fmtid="{D5CDD505-2E9C-101B-9397-08002B2CF9AE}" pid="9" name="MSIP_Label_74be8931-9cf2-4b28-9e7a-7dabaadc249f_Enabled">
    <vt:lpwstr>true</vt:lpwstr>
  </property>
  <property fmtid="{D5CDD505-2E9C-101B-9397-08002B2CF9AE}" pid="10" name="MSIP_Label_74be8931-9cf2-4b28-9e7a-7dabaadc249f_SetDate">
    <vt:lpwstr>2022-01-28T08:45:43Z</vt:lpwstr>
  </property>
  <property fmtid="{D5CDD505-2E9C-101B-9397-08002B2CF9AE}" pid="11" name="MSIP_Label_74be8931-9cf2-4b28-9e7a-7dabaadc249f_Method">
    <vt:lpwstr>Privileged</vt:lpwstr>
  </property>
  <property fmtid="{D5CDD505-2E9C-101B-9397-08002B2CF9AE}" pid="12" name="MSIP_Label_74be8931-9cf2-4b28-9e7a-7dabaadc249f_Name">
    <vt:lpwstr>OFFICIAL-SENSITIVE</vt:lpwstr>
  </property>
  <property fmtid="{D5CDD505-2E9C-101B-9397-08002B2CF9AE}" pid="13" name="MSIP_Label_74be8931-9cf2-4b28-9e7a-7dabaadc249f_SiteId">
    <vt:lpwstr>ebb4b37b-40c4-4b17-825c-5dc692c18888</vt:lpwstr>
  </property>
  <property fmtid="{D5CDD505-2E9C-101B-9397-08002B2CF9AE}" pid="14" name="MSIP_Label_74be8931-9cf2-4b28-9e7a-7dabaadc249f_ActionId">
    <vt:lpwstr>3db08272-6c58-4370-a6d3-7f9c35e1ad6f</vt:lpwstr>
  </property>
  <property fmtid="{D5CDD505-2E9C-101B-9397-08002B2CF9AE}" pid="15" name="MSIP_Label_74be8931-9cf2-4b28-9e7a-7dabaadc249f_ContentBits">
    <vt:lpwstr>3</vt:lpwstr>
  </property>
  <property fmtid="{D5CDD505-2E9C-101B-9397-08002B2CF9AE}" pid="16" name="MediaServiceImageTags">
    <vt:lpwstr/>
  </property>
</Properties>
</file>