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71D8" w14:textId="77777777" w:rsidR="00B36BF5" w:rsidRDefault="00B36BF5" w:rsidP="00B36BF5">
      <w:pPr>
        <w:ind w:right="-1133"/>
        <w:sectPr w:rsidR="00B36BF5" w:rsidSect="008C4C72">
          <w:footerReference w:type="default" r:id="rId10"/>
          <w:headerReference w:type="first" r:id="rId11"/>
          <w:footerReference w:type="first" r:id="rId12"/>
          <w:pgSz w:w="11906" w:h="16838" w:code="9"/>
          <w:pgMar w:top="1021" w:right="1361" w:bottom="624" w:left="1304" w:header="709" w:footer="510" w:gutter="0"/>
          <w:pgNumType w:start="1"/>
          <w:cols w:space="708"/>
          <w:titlePg/>
          <w:docGrid w:linePitch="360"/>
        </w:sectPr>
      </w:pPr>
    </w:p>
    <w:p w14:paraId="741236D8" w14:textId="77777777" w:rsidR="00B36BF5" w:rsidRPr="00162459" w:rsidRDefault="00B36BF5" w:rsidP="00B36BF5">
      <w:pPr>
        <w:ind w:right="-1133"/>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3118"/>
        <w:gridCol w:w="1418"/>
        <w:gridCol w:w="1134"/>
        <w:gridCol w:w="992"/>
        <w:gridCol w:w="850"/>
      </w:tblGrid>
      <w:tr w:rsidR="00141B5B" w:rsidRPr="00162459" w14:paraId="65D3B4B3" w14:textId="77777777" w:rsidTr="00141B5B">
        <w:trPr>
          <w:trHeight w:val="621"/>
        </w:trPr>
        <w:tc>
          <w:tcPr>
            <w:tcW w:w="2119" w:type="dxa"/>
          </w:tcPr>
          <w:p w14:paraId="308551D4" w14:textId="77777777" w:rsidR="00141B5B" w:rsidRPr="00704325" w:rsidRDefault="00141B5B" w:rsidP="00685096">
            <w:pPr>
              <w:spacing w:before="60" w:after="60"/>
              <w:rPr>
                <w:b/>
              </w:rPr>
            </w:pPr>
            <w:r w:rsidRPr="00704325">
              <w:rPr>
                <w:b/>
              </w:rPr>
              <w:t>Classification</w:t>
            </w:r>
          </w:p>
        </w:tc>
        <w:tc>
          <w:tcPr>
            <w:tcW w:w="7512" w:type="dxa"/>
            <w:gridSpan w:val="5"/>
          </w:tcPr>
          <w:p w14:paraId="0EF19AFE" w14:textId="418C99BB" w:rsidR="00141B5B" w:rsidRPr="00704325" w:rsidRDefault="00141B5B" w:rsidP="00685096">
            <w:pPr>
              <w:spacing w:before="60" w:after="60"/>
              <w:rPr>
                <w:b/>
                <w:bCs/>
                <w:sz w:val="28"/>
                <w:szCs w:val="28"/>
              </w:rPr>
            </w:pPr>
            <w:r w:rsidRPr="00704325">
              <w:rPr>
                <w:b/>
              </w:rPr>
              <w:t xml:space="preserve">Official </w:t>
            </w:r>
            <w:r w:rsidR="00AE7DD2">
              <w:rPr>
                <w:b/>
              </w:rPr>
              <w:t>(Sensitive-</w:t>
            </w:r>
            <w:r w:rsidR="00A47BE5">
              <w:rPr>
                <w:b/>
              </w:rPr>
              <w:t xml:space="preserve"> </w:t>
            </w:r>
            <w:r w:rsidRPr="00704325">
              <w:rPr>
                <w:b/>
              </w:rPr>
              <w:t>Commercial</w:t>
            </w:r>
            <w:r w:rsidR="00AE7DD2">
              <w:rPr>
                <w:b/>
              </w:rPr>
              <w:t>)</w:t>
            </w:r>
          </w:p>
        </w:tc>
      </w:tr>
      <w:tr w:rsidR="00B36BF5" w:rsidRPr="00162459" w14:paraId="0F3F46BA" w14:textId="77777777" w:rsidTr="00E6560F">
        <w:trPr>
          <w:trHeight w:val="559"/>
        </w:trPr>
        <w:tc>
          <w:tcPr>
            <w:tcW w:w="2119" w:type="dxa"/>
          </w:tcPr>
          <w:p w14:paraId="79CEF254" w14:textId="77777777" w:rsidR="00B36BF5" w:rsidRPr="00162459" w:rsidRDefault="00B36BF5" w:rsidP="00CA70D7">
            <w:pPr>
              <w:spacing w:before="60" w:after="60"/>
              <w:rPr>
                <w:b/>
              </w:rPr>
            </w:pPr>
            <w:r w:rsidRPr="00162459">
              <w:rPr>
                <w:b/>
              </w:rPr>
              <w:t>Meeting</w:t>
            </w:r>
          </w:p>
        </w:tc>
        <w:tc>
          <w:tcPr>
            <w:tcW w:w="4536" w:type="dxa"/>
            <w:gridSpan w:val="2"/>
          </w:tcPr>
          <w:p w14:paraId="13337615" w14:textId="6A5B2B42" w:rsidR="00B36BF5" w:rsidRPr="00162459" w:rsidRDefault="00484F15" w:rsidP="00CA70D7">
            <w:pPr>
              <w:spacing w:before="60" w:after="60"/>
              <w:rPr>
                <w:b/>
              </w:rPr>
            </w:pPr>
            <w:r>
              <w:rPr>
                <w:b/>
              </w:rPr>
              <w:t xml:space="preserve">Strategic Board </w:t>
            </w:r>
          </w:p>
        </w:tc>
        <w:tc>
          <w:tcPr>
            <w:tcW w:w="2126" w:type="dxa"/>
            <w:gridSpan w:val="2"/>
          </w:tcPr>
          <w:p w14:paraId="3845B6F5" w14:textId="77777777" w:rsidR="00B36BF5" w:rsidRPr="003C04E9" w:rsidRDefault="00B36BF5" w:rsidP="00CA70D7">
            <w:pPr>
              <w:spacing w:before="60" w:after="60"/>
              <w:rPr>
                <w:b/>
                <w:strike/>
              </w:rPr>
            </w:pPr>
            <w:r>
              <w:rPr>
                <w:b/>
              </w:rPr>
              <w:t>Agenda no.</w:t>
            </w:r>
          </w:p>
          <w:p w14:paraId="658898BD" w14:textId="77777777" w:rsidR="00B36BF5" w:rsidRPr="003C04E9" w:rsidRDefault="00B36BF5" w:rsidP="00CA70D7">
            <w:pPr>
              <w:spacing w:before="60" w:after="60"/>
              <w:rPr>
                <w:b/>
                <w:strike/>
              </w:rPr>
            </w:pPr>
          </w:p>
        </w:tc>
        <w:tc>
          <w:tcPr>
            <w:tcW w:w="850" w:type="dxa"/>
          </w:tcPr>
          <w:p w14:paraId="44586C4B" w14:textId="06D7ECE7" w:rsidR="00B36BF5" w:rsidRPr="00DD6C3A" w:rsidRDefault="00484F15" w:rsidP="00CA70D7">
            <w:pPr>
              <w:spacing w:before="60" w:after="60"/>
              <w:rPr>
                <w:b/>
                <w:bCs/>
              </w:rPr>
            </w:pPr>
            <w:r>
              <w:rPr>
                <w:b/>
                <w:bCs/>
              </w:rPr>
              <w:t>17</w:t>
            </w:r>
          </w:p>
        </w:tc>
      </w:tr>
      <w:tr w:rsidR="00B36BF5" w:rsidRPr="00162459" w14:paraId="52571919" w14:textId="77777777" w:rsidTr="00CA70D7">
        <w:trPr>
          <w:trHeight w:val="553"/>
        </w:trPr>
        <w:tc>
          <w:tcPr>
            <w:tcW w:w="2119" w:type="dxa"/>
          </w:tcPr>
          <w:p w14:paraId="7A97EBA6" w14:textId="77777777" w:rsidR="00B36BF5" w:rsidRPr="00162459" w:rsidRDefault="00B36BF5" w:rsidP="00CA70D7">
            <w:pPr>
              <w:spacing w:before="60" w:after="60"/>
              <w:rPr>
                <w:b/>
              </w:rPr>
            </w:pPr>
            <w:r>
              <w:rPr>
                <w:b/>
              </w:rPr>
              <w:t>Meeting Date</w:t>
            </w:r>
          </w:p>
        </w:tc>
        <w:tc>
          <w:tcPr>
            <w:tcW w:w="7512" w:type="dxa"/>
            <w:gridSpan w:val="5"/>
          </w:tcPr>
          <w:p w14:paraId="313827AE" w14:textId="68A09EF6" w:rsidR="00B36BF5" w:rsidRPr="00162459" w:rsidRDefault="00484F15" w:rsidP="00CA70D7">
            <w:pPr>
              <w:spacing w:before="60"/>
              <w:rPr>
                <w:b/>
              </w:rPr>
            </w:pPr>
            <w:r>
              <w:rPr>
                <w:b/>
              </w:rPr>
              <w:t>16 March 2023</w:t>
            </w:r>
          </w:p>
        </w:tc>
      </w:tr>
      <w:tr w:rsidR="00B36BF5" w:rsidRPr="00BC31D9" w14:paraId="130EC3E2" w14:textId="77777777" w:rsidTr="00CA70D7">
        <w:tc>
          <w:tcPr>
            <w:tcW w:w="2119" w:type="dxa"/>
          </w:tcPr>
          <w:p w14:paraId="010AD35A" w14:textId="77777777" w:rsidR="00B36BF5" w:rsidRPr="00162459" w:rsidRDefault="00B36BF5" w:rsidP="00CA70D7">
            <w:pPr>
              <w:spacing w:before="60" w:after="60"/>
              <w:rPr>
                <w:b/>
              </w:rPr>
            </w:pPr>
            <w:r w:rsidRPr="00162459">
              <w:rPr>
                <w:b/>
              </w:rPr>
              <w:t>Report Author</w:t>
            </w:r>
            <w:r>
              <w:rPr>
                <w:b/>
              </w:rPr>
              <w:t>s</w:t>
            </w:r>
            <w:r w:rsidRPr="00162459">
              <w:rPr>
                <w:b/>
              </w:rPr>
              <w:t>:</w:t>
            </w:r>
          </w:p>
        </w:tc>
        <w:tc>
          <w:tcPr>
            <w:tcW w:w="7512" w:type="dxa"/>
            <w:gridSpan w:val="5"/>
          </w:tcPr>
          <w:p w14:paraId="175AD7A0" w14:textId="77777777" w:rsidR="00B36BF5" w:rsidRPr="00685096" w:rsidRDefault="00B36BF5" w:rsidP="00685096">
            <w:pPr>
              <w:spacing w:before="60" w:after="60"/>
              <w:rPr>
                <w:b/>
                <w:bCs/>
                <w:lang w:eastAsia="en-GB"/>
              </w:rPr>
            </w:pPr>
            <w:r w:rsidRPr="00685096">
              <w:rPr>
                <w:b/>
                <w:bCs/>
              </w:rPr>
              <w:t>Emily Cheyne</w:t>
            </w:r>
          </w:p>
        </w:tc>
      </w:tr>
      <w:tr w:rsidR="00B36BF5" w:rsidRPr="00BC31D9" w14:paraId="208E3804" w14:textId="77777777" w:rsidTr="00CA70D7">
        <w:tc>
          <w:tcPr>
            <w:tcW w:w="2119" w:type="dxa"/>
            <w:tcBorders>
              <w:top w:val="single" w:sz="6" w:space="0" w:color="auto"/>
              <w:left w:val="single" w:sz="6" w:space="0" w:color="auto"/>
              <w:bottom w:val="single" w:sz="6" w:space="0" w:color="auto"/>
              <w:right w:val="single" w:sz="6" w:space="0" w:color="auto"/>
            </w:tcBorders>
          </w:tcPr>
          <w:p w14:paraId="387D8144" w14:textId="77777777" w:rsidR="00B36BF5" w:rsidRPr="00162459" w:rsidRDefault="00B36BF5" w:rsidP="00CA70D7">
            <w:pPr>
              <w:spacing w:before="60" w:after="60"/>
              <w:rPr>
                <w:b/>
              </w:rPr>
            </w:pPr>
            <w:r w:rsidRPr="00162459">
              <w:rPr>
                <w:b/>
              </w:rPr>
              <w:t>Presented By</w:t>
            </w:r>
          </w:p>
        </w:tc>
        <w:tc>
          <w:tcPr>
            <w:tcW w:w="7512" w:type="dxa"/>
            <w:gridSpan w:val="5"/>
            <w:tcBorders>
              <w:top w:val="single" w:sz="6" w:space="0" w:color="auto"/>
              <w:left w:val="single" w:sz="6" w:space="0" w:color="auto"/>
              <w:bottom w:val="single" w:sz="6" w:space="0" w:color="auto"/>
              <w:right w:val="single" w:sz="6" w:space="0" w:color="auto"/>
            </w:tcBorders>
          </w:tcPr>
          <w:p w14:paraId="41D4ECD3" w14:textId="77777777" w:rsidR="00B36BF5" w:rsidRPr="00BC31D9" w:rsidRDefault="00B36BF5" w:rsidP="00CA70D7">
            <w:pPr>
              <w:spacing w:before="60" w:after="60"/>
              <w:rPr>
                <w:b/>
                <w:bCs/>
              </w:rPr>
            </w:pPr>
            <w:r>
              <w:rPr>
                <w:b/>
                <w:bCs/>
              </w:rPr>
              <w:t>Emily Cheyne</w:t>
            </w:r>
          </w:p>
        </w:tc>
      </w:tr>
      <w:tr w:rsidR="00B36BF5" w:rsidRPr="00162459" w14:paraId="58D36B97" w14:textId="77777777" w:rsidTr="00CA70D7">
        <w:tc>
          <w:tcPr>
            <w:tcW w:w="2119" w:type="dxa"/>
          </w:tcPr>
          <w:p w14:paraId="0B07B15F" w14:textId="77777777" w:rsidR="00B36BF5" w:rsidRPr="00162459" w:rsidRDefault="00B36BF5" w:rsidP="00CA70D7">
            <w:pPr>
              <w:spacing w:before="60" w:after="60"/>
              <w:rPr>
                <w:b/>
              </w:rPr>
            </w:pPr>
            <w:r w:rsidRPr="00162459">
              <w:rPr>
                <w:b/>
              </w:rPr>
              <w:t>Subject</w:t>
            </w:r>
          </w:p>
        </w:tc>
        <w:tc>
          <w:tcPr>
            <w:tcW w:w="7512" w:type="dxa"/>
            <w:gridSpan w:val="5"/>
          </w:tcPr>
          <w:p w14:paraId="412C3AAA" w14:textId="2EF7DED1" w:rsidR="00B36BF5" w:rsidRPr="00162459" w:rsidRDefault="00B36BF5" w:rsidP="00CA70D7">
            <w:pPr>
              <w:spacing w:before="60" w:after="60"/>
              <w:rPr>
                <w:b/>
              </w:rPr>
            </w:pPr>
            <w:r>
              <w:rPr>
                <w:b/>
              </w:rPr>
              <w:t xml:space="preserve">Public and </w:t>
            </w:r>
            <w:r w:rsidR="00E6560F">
              <w:rPr>
                <w:b/>
              </w:rPr>
              <w:t>P</w:t>
            </w:r>
            <w:r>
              <w:rPr>
                <w:b/>
              </w:rPr>
              <w:t xml:space="preserve">artner perception study </w:t>
            </w:r>
          </w:p>
        </w:tc>
      </w:tr>
      <w:tr w:rsidR="00B36BF5" w:rsidRPr="00162459" w14:paraId="2AA1CFD0" w14:textId="77777777" w:rsidTr="00CA70D7">
        <w:tc>
          <w:tcPr>
            <w:tcW w:w="2119" w:type="dxa"/>
          </w:tcPr>
          <w:p w14:paraId="41D365E8" w14:textId="77777777" w:rsidR="00B36BF5" w:rsidRPr="00162459" w:rsidRDefault="00B36BF5" w:rsidP="00CA70D7">
            <w:pPr>
              <w:spacing w:before="60" w:after="60"/>
              <w:rPr>
                <w:b/>
              </w:rPr>
            </w:pPr>
            <w:r w:rsidRPr="00162459">
              <w:rPr>
                <w:b/>
              </w:rPr>
              <w:t>Type of Report:</w:t>
            </w:r>
          </w:p>
        </w:tc>
        <w:tc>
          <w:tcPr>
            <w:tcW w:w="7512" w:type="dxa"/>
            <w:gridSpan w:val="5"/>
          </w:tcPr>
          <w:p w14:paraId="65F95E41" w14:textId="77777777" w:rsidR="00B36BF5" w:rsidRPr="00162459" w:rsidRDefault="00B36BF5" w:rsidP="00CA70D7">
            <w:pPr>
              <w:tabs>
                <w:tab w:val="num" w:pos="567"/>
              </w:tabs>
              <w:spacing w:before="60" w:after="60"/>
              <w:rPr>
                <w:b/>
                <w:bCs/>
              </w:rPr>
            </w:pPr>
            <w:r>
              <w:rPr>
                <w:b/>
                <w:bCs/>
              </w:rPr>
              <w:t>Decision</w:t>
            </w:r>
          </w:p>
        </w:tc>
      </w:tr>
      <w:tr w:rsidR="00B36BF5" w:rsidRPr="00162459" w14:paraId="1EEF917A" w14:textId="77777777" w:rsidTr="00CA70D7">
        <w:tc>
          <w:tcPr>
            <w:tcW w:w="2119" w:type="dxa"/>
          </w:tcPr>
          <w:p w14:paraId="1CAE1D21" w14:textId="77777777" w:rsidR="00B36BF5" w:rsidRPr="00162459" w:rsidRDefault="00B36BF5" w:rsidP="00CA70D7">
            <w:pPr>
              <w:spacing w:before="60" w:after="60"/>
              <w:rPr>
                <w:b/>
              </w:rPr>
            </w:pPr>
            <w:r w:rsidRPr="005872E3">
              <w:rPr>
                <w:b/>
              </w:rPr>
              <w:t>Action Point No.</w:t>
            </w:r>
          </w:p>
        </w:tc>
        <w:tc>
          <w:tcPr>
            <w:tcW w:w="3118" w:type="dxa"/>
          </w:tcPr>
          <w:p w14:paraId="5EA0482A" w14:textId="5F563A0E" w:rsidR="00B36BF5" w:rsidRPr="00162459" w:rsidRDefault="00484F15" w:rsidP="00CA70D7">
            <w:pPr>
              <w:tabs>
                <w:tab w:val="num" w:pos="567"/>
              </w:tabs>
              <w:spacing w:before="60" w:after="60"/>
              <w:rPr>
                <w:b/>
                <w:bCs/>
              </w:rPr>
            </w:pPr>
            <w:r>
              <w:rPr>
                <w:b/>
                <w:bCs/>
              </w:rPr>
              <w:t>N/A</w:t>
            </w:r>
          </w:p>
        </w:tc>
        <w:tc>
          <w:tcPr>
            <w:tcW w:w="2552" w:type="dxa"/>
            <w:gridSpan w:val="2"/>
          </w:tcPr>
          <w:p w14:paraId="45FD508B" w14:textId="77777777" w:rsidR="00B36BF5" w:rsidRPr="00F33FDC" w:rsidRDefault="00B36BF5" w:rsidP="00CA70D7">
            <w:pPr>
              <w:tabs>
                <w:tab w:val="num" w:pos="567"/>
              </w:tabs>
              <w:spacing w:before="60" w:after="60"/>
              <w:rPr>
                <w:b/>
                <w:bCs/>
              </w:rPr>
            </w:pPr>
            <w:r w:rsidRPr="00F33FDC">
              <w:rPr>
                <w:b/>
                <w:bCs/>
              </w:rPr>
              <w:t>For Publication</w:t>
            </w:r>
          </w:p>
        </w:tc>
        <w:tc>
          <w:tcPr>
            <w:tcW w:w="1842" w:type="dxa"/>
            <w:gridSpan w:val="2"/>
          </w:tcPr>
          <w:p w14:paraId="2207C3CF" w14:textId="4E5867EF" w:rsidR="00B36BF5" w:rsidRPr="00F33FDC" w:rsidRDefault="00AE7DD2" w:rsidP="00CA70D7">
            <w:pPr>
              <w:tabs>
                <w:tab w:val="num" w:pos="567"/>
              </w:tabs>
              <w:spacing w:before="60" w:after="60"/>
              <w:rPr>
                <w:b/>
                <w:bCs/>
              </w:rPr>
            </w:pPr>
            <w:r>
              <w:rPr>
                <w:b/>
                <w:bCs/>
              </w:rPr>
              <w:t>No</w:t>
            </w:r>
          </w:p>
        </w:tc>
      </w:tr>
    </w:tbl>
    <w:p w14:paraId="67ACAE6A" w14:textId="77777777" w:rsidR="00B36BF5" w:rsidRPr="00162459" w:rsidRDefault="00B36BF5" w:rsidP="00B36BF5"/>
    <w:p w14:paraId="66AC0214" w14:textId="77777777" w:rsidR="00B36BF5" w:rsidRPr="00162459" w:rsidRDefault="00B36BF5" w:rsidP="00B36BF5"/>
    <w:p w14:paraId="6FD8B6D8" w14:textId="77777777" w:rsidR="00B36BF5" w:rsidRPr="009643BA" w:rsidRDefault="00B36BF5" w:rsidP="00B36BF5">
      <w:pPr>
        <w:pStyle w:val="Heading1"/>
        <w:spacing w:after="120"/>
        <w:rPr>
          <w:rFonts w:cs="Arial"/>
          <w:szCs w:val="24"/>
        </w:rPr>
      </w:pPr>
      <w:r w:rsidRPr="009643BA">
        <w:rPr>
          <w:rFonts w:cs="Arial"/>
          <w:szCs w:val="24"/>
        </w:rPr>
        <w:t>Re</w:t>
      </w:r>
      <w:r>
        <w:rPr>
          <w:rFonts w:cs="Arial"/>
          <w:szCs w:val="24"/>
        </w:rPr>
        <w:t>commendations</w:t>
      </w:r>
    </w:p>
    <w:p w14:paraId="4CD349FE" w14:textId="2B39A81B" w:rsidR="00B36BF5" w:rsidRDefault="00B36BF5" w:rsidP="00B36BF5">
      <w:pPr>
        <w:pStyle w:val="ListParagraph"/>
        <w:numPr>
          <w:ilvl w:val="0"/>
          <w:numId w:val="1"/>
        </w:numPr>
        <w:ind w:left="360"/>
      </w:pPr>
      <w:r>
        <w:t xml:space="preserve">Members of the </w:t>
      </w:r>
      <w:r w:rsidR="00484F15">
        <w:t xml:space="preserve">Strategic Board </w:t>
      </w:r>
      <w:r>
        <w:t xml:space="preserve">are asked to review the report and agree to </w:t>
      </w:r>
      <w:r w:rsidR="006E7D30">
        <w:t>conducting a</w:t>
      </w:r>
      <w:r>
        <w:t xml:space="preserve"> public and partner perception s</w:t>
      </w:r>
      <w:r w:rsidR="00CA23DE">
        <w:t>tudy</w:t>
      </w:r>
      <w:r w:rsidR="005B755E">
        <w:t xml:space="preserve"> and workshops that reach our harder to reach communities</w:t>
      </w:r>
      <w:r w:rsidR="00506D07">
        <w:t xml:space="preserve"> (option three)</w:t>
      </w:r>
    </w:p>
    <w:p w14:paraId="4641FD51" w14:textId="39DE5035" w:rsidR="006C22F7" w:rsidRDefault="008C66BB" w:rsidP="00B36BF5">
      <w:pPr>
        <w:pStyle w:val="ListParagraph"/>
        <w:numPr>
          <w:ilvl w:val="0"/>
          <w:numId w:val="1"/>
        </w:numPr>
        <w:ind w:left="360"/>
      </w:pPr>
      <w:r>
        <w:t>If agreed, to</w:t>
      </w:r>
      <w:r w:rsidR="006C22F7">
        <w:t xml:space="preserve"> seek approval for the allocation of funds </w:t>
      </w:r>
      <w:r w:rsidR="00CA23DE">
        <w:t>to work with a social research organisation on</w:t>
      </w:r>
      <w:r w:rsidR="00CA0B06">
        <w:t xml:space="preserve"> a two-year contract, with option to extend</w:t>
      </w:r>
    </w:p>
    <w:p w14:paraId="3614F394" w14:textId="77777777" w:rsidR="00B36BF5" w:rsidRDefault="00B36BF5" w:rsidP="00B36BF5"/>
    <w:p w14:paraId="6E3A33A9" w14:textId="77777777" w:rsidR="00B36BF5" w:rsidRPr="00D92298" w:rsidRDefault="00B36BF5" w:rsidP="00B36BF5">
      <w:pPr>
        <w:pStyle w:val="Heading1"/>
        <w:spacing w:after="120"/>
        <w:rPr>
          <w:rFonts w:cs="Arial"/>
          <w:szCs w:val="24"/>
        </w:rPr>
      </w:pPr>
      <w:r>
        <w:rPr>
          <w:rFonts w:cs="Arial"/>
          <w:szCs w:val="24"/>
        </w:rPr>
        <w:t>executive summary</w:t>
      </w:r>
    </w:p>
    <w:p w14:paraId="0BD5DEB8" w14:textId="074B6AA4" w:rsidR="005B755E" w:rsidRDefault="00B36BF5" w:rsidP="00B36BF5">
      <w:pPr>
        <w:textAlignment w:val="baseline"/>
      </w:pPr>
      <w:r w:rsidRPr="00DD6C3A">
        <w:t>Our aim is to b</w:t>
      </w:r>
      <w:r w:rsidRPr="00210C28">
        <w:t xml:space="preserve">ecome one of the best fire and rescue services in the country. To be this we need to engage with our communities and our partners. </w:t>
      </w:r>
      <w:r w:rsidR="005B755E" w:rsidRPr="00210C28">
        <w:rPr>
          <w:color w:val="000000"/>
          <w:lang w:eastAsia="en-GB"/>
        </w:rPr>
        <w:t>Gathering data on public and partner views and experiences of ECFRS provides valuable insigh</w:t>
      </w:r>
      <w:r w:rsidR="005B755E">
        <w:rPr>
          <w:color w:val="000000"/>
          <w:lang w:eastAsia="en-GB"/>
        </w:rPr>
        <w:t xml:space="preserve">t, and </w:t>
      </w:r>
      <w:r w:rsidR="005B755E">
        <w:t xml:space="preserve">this </w:t>
      </w:r>
      <w:r w:rsidRPr="00210C28">
        <w:t>feedback will</w:t>
      </w:r>
      <w:r w:rsidR="005B755E">
        <w:t>:</w:t>
      </w:r>
      <w:r w:rsidRPr="00210C28">
        <w:t xml:space="preserve"> </w:t>
      </w:r>
      <w:r w:rsidR="00CA0B06">
        <w:br/>
      </w:r>
    </w:p>
    <w:p w14:paraId="02885BAD" w14:textId="16BB848B" w:rsidR="005B755E" w:rsidRDefault="005B755E" w:rsidP="00DD6C3A">
      <w:pPr>
        <w:pStyle w:val="ListParagraph"/>
        <w:numPr>
          <w:ilvl w:val="0"/>
          <w:numId w:val="15"/>
        </w:numPr>
        <w:textAlignment w:val="baseline"/>
      </w:pPr>
      <w:r>
        <w:t>S</w:t>
      </w:r>
      <w:r w:rsidR="00B36BF5" w:rsidRPr="00210C28">
        <w:t>hape our communication and engagement activities</w:t>
      </w:r>
    </w:p>
    <w:p w14:paraId="32D88CD5" w14:textId="45F7BF6C" w:rsidR="005B755E" w:rsidRDefault="005B755E" w:rsidP="00DD6C3A">
      <w:pPr>
        <w:pStyle w:val="ListParagraph"/>
        <w:numPr>
          <w:ilvl w:val="0"/>
          <w:numId w:val="15"/>
        </w:numPr>
        <w:textAlignment w:val="baseline"/>
      </w:pPr>
      <w:r>
        <w:t>Shape our community and partnership engagement activities</w:t>
      </w:r>
    </w:p>
    <w:p w14:paraId="754165B7" w14:textId="00E07CE3" w:rsidR="005B755E" w:rsidRDefault="005B755E" w:rsidP="00DD6C3A">
      <w:pPr>
        <w:pStyle w:val="ListParagraph"/>
        <w:numPr>
          <w:ilvl w:val="0"/>
          <w:numId w:val="15"/>
        </w:numPr>
        <w:textAlignment w:val="baseline"/>
      </w:pPr>
      <w:r>
        <w:t xml:space="preserve">Help inform our new community risk management plan </w:t>
      </w:r>
      <w:r w:rsidR="00CA0B06">
        <w:t xml:space="preserve">(CRMP) </w:t>
      </w:r>
      <w:r>
        <w:t>activities and planning</w:t>
      </w:r>
    </w:p>
    <w:p w14:paraId="49DCC205" w14:textId="2AC7234D" w:rsidR="00B36BF5" w:rsidRDefault="005B755E" w:rsidP="00DD6C3A">
      <w:pPr>
        <w:pStyle w:val="ListParagraph"/>
        <w:numPr>
          <w:ilvl w:val="0"/>
          <w:numId w:val="15"/>
        </w:numPr>
        <w:textAlignment w:val="baseline"/>
      </w:pPr>
      <w:r>
        <w:t xml:space="preserve">Give us a better understanding and insight into specific community risks </w:t>
      </w:r>
    </w:p>
    <w:p w14:paraId="34A1FC04" w14:textId="4D3D0090" w:rsidR="005B755E" w:rsidRPr="00210C28" w:rsidRDefault="005B755E" w:rsidP="00DD6C3A">
      <w:pPr>
        <w:pStyle w:val="ListParagraph"/>
        <w:numPr>
          <w:ilvl w:val="0"/>
          <w:numId w:val="15"/>
        </w:numPr>
        <w:textAlignment w:val="baseline"/>
      </w:pPr>
      <w:r>
        <w:t>Provide links to create relationships and contacts with harder to reach communities</w:t>
      </w:r>
    </w:p>
    <w:p w14:paraId="5EDFAFF8" w14:textId="77777777" w:rsidR="00B36BF5" w:rsidRPr="00210C28" w:rsidRDefault="00B36BF5" w:rsidP="00B36BF5">
      <w:pPr>
        <w:autoSpaceDE w:val="0"/>
        <w:autoSpaceDN w:val="0"/>
        <w:adjustRightInd w:val="0"/>
        <w:rPr>
          <w:color w:val="000000"/>
          <w:lang w:eastAsia="en-GB"/>
        </w:rPr>
      </w:pPr>
    </w:p>
    <w:p w14:paraId="466EB3C8" w14:textId="3216D343" w:rsidR="00B36BF5" w:rsidRPr="00210C28" w:rsidRDefault="00B36BF5" w:rsidP="00B36BF5">
      <w:pPr>
        <w:autoSpaceDE w:val="0"/>
        <w:autoSpaceDN w:val="0"/>
        <w:adjustRightInd w:val="0"/>
        <w:rPr>
          <w:color w:val="000000"/>
          <w:lang w:eastAsia="en-GB"/>
        </w:rPr>
      </w:pPr>
      <w:r w:rsidRPr="00210C28">
        <w:rPr>
          <w:color w:val="000000"/>
          <w:lang w:eastAsia="en-GB"/>
        </w:rPr>
        <w:t xml:space="preserve">We know that perception surveys could be a valuable tool to measure public and partner views and experiences of Essex County Fire and Rescue Service. It will also provide insight into the reasons and drivers of </w:t>
      </w:r>
      <w:r w:rsidR="006E7D30" w:rsidRPr="00210C28">
        <w:rPr>
          <w:color w:val="000000"/>
          <w:lang w:eastAsia="en-GB"/>
        </w:rPr>
        <w:t>views</w:t>
      </w:r>
      <w:r w:rsidRPr="00210C28">
        <w:rPr>
          <w:color w:val="000000"/>
          <w:lang w:eastAsia="en-GB"/>
        </w:rPr>
        <w:t xml:space="preserve"> and perceptions.</w:t>
      </w:r>
      <w:r w:rsidR="00506D07">
        <w:rPr>
          <w:color w:val="000000"/>
          <w:lang w:eastAsia="en-GB"/>
        </w:rPr>
        <w:t xml:space="preserve"> Additionally, it will help us to understand risk factors across our various and diverse </w:t>
      </w:r>
      <w:r w:rsidR="00DD6C3A">
        <w:rPr>
          <w:color w:val="000000"/>
          <w:lang w:eastAsia="en-GB"/>
        </w:rPr>
        <w:t>communities and</w:t>
      </w:r>
      <w:r w:rsidR="00506D07">
        <w:rPr>
          <w:color w:val="000000"/>
          <w:lang w:eastAsia="en-GB"/>
        </w:rPr>
        <w:t xml:space="preserve"> provide a route to reach and engage with our harder to reach communities.</w:t>
      </w:r>
    </w:p>
    <w:p w14:paraId="5FA1F10D" w14:textId="77777777" w:rsidR="00B36BF5" w:rsidRDefault="00B36BF5" w:rsidP="00B36BF5">
      <w:pPr>
        <w:pStyle w:val="Heading1"/>
        <w:spacing w:after="120"/>
        <w:rPr>
          <w:rFonts w:cs="Arial"/>
          <w:szCs w:val="24"/>
        </w:rPr>
      </w:pPr>
      <w:r w:rsidRPr="009643BA">
        <w:rPr>
          <w:rFonts w:cs="Arial"/>
          <w:szCs w:val="24"/>
        </w:rPr>
        <w:lastRenderedPageBreak/>
        <w:t>B</w:t>
      </w:r>
      <w:r>
        <w:rPr>
          <w:rFonts w:cs="Arial"/>
          <w:szCs w:val="24"/>
        </w:rPr>
        <w:t>ackground</w:t>
      </w:r>
    </w:p>
    <w:p w14:paraId="62A95F8E" w14:textId="0D8E12A5" w:rsidR="00B36BF5" w:rsidRPr="00210C28" w:rsidRDefault="00B36BF5" w:rsidP="00B36BF5">
      <w:pPr>
        <w:rPr>
          <w:rStyle w:val="normaltextrun"/>
          <w:color w:val="000000"/>
          <w:shd w:val="clear" w:color="auto" w:fill="FFFFFF"/>
        </w:rPr>
      </w:pPr>
      <w:r w:rsidRPr="00210C28">
        <w:rPr>
          <w:rStyle w:val="normaltextrun"/>
          <w:color w:val="000000"/>
          <w:shd w:val="clear" w:color="auto" w:fill="FFFFFF"/>
        </w:rPr>
        <w:t xml:space="preserve">To date we have conducted an external communications survey and have data from the HMICFRS public perception surveys. The feedback and audience led insight has helped to shape our communication plan and strategies. </w:t>
      </w:r>
    </w:p>
    <w:p w14:paraId="3F23FC46" w14:textId="16326B79" w:rsidR="006E7D30" w:rsidRPr="00210C28" w:rsidRDefault="006E7D30" w:rsidP="00B36BF5">
      <w:pPr>
        <w:rPr>
          <w:rStyle w:val="normaltextrun"/>
          <w:color w:val="000000"/>
          <w:shd w:val="clear" w:color="auto" w:fill="FFFFFF"/>
        </w:rPr>
      </w:pPr>
    </w:p>
    <w:p w14:paraId="253F4D48" w14:textId="64BEEF5B" w:rsidR="006E7D30" w:rsidRPr="00210C28" w:rsidRDefault="006E7D30" w:rsidP="006E7D30">
      <w:pPr>
        <w:rPr>
          <w:color w:val="000000"/>
          <w:lang w:eastAsia="en-GB"/>
        </w:rPr>
      </w:pPr>
      <w:r w:rsidRPr="00210C28">
        <w:rPr>
          <w:rStyle w:val="normaltextrun"/>
          <w:color w:val="000000"/>
          <w:shd w:val="clear" w:color="auto" w:fill="FFFFFF"/>
        </w:rPr>
        <w:t xml:space="preserve">In </w:t>
      </w:r>
      <w:r w:rsidR="006C22F7">
        <w:rPr>
          <w:rStyle w:val="normaltextrun"/>
          <w:color w:val="000000"/>
          <w:shd w:val="clear" w:color="auto" w:fill="FFFFFF"/>
        </w:rPr>
        <w:t>May 2022</w:t>
      </w:r>
      <w:r w:rsidRPr="00210C28">
        <w:rPr>
          <w:rStyle w:val="normaltextrun"/>
          <w:color w:val="000000"/>
          <w:shd w:val="clear" w:color="auto" w:fill="FFFFFF"/>
        </w:rPr>
        <w:t xml:space="preserve">, SLT agreed to a two-phase perception survey approach. This involved designing, </w:t>
      </w:r>
      <w:r w:rsidRPr="00210C28">
        <w:rPr>
          <w:color w:val="000000"/>
          <w:lang w:eastAsia="en-GB"/>
        </w:rPr>
        <w:t>developing, and delivering a marketing and communication campaign, improving the knowledge of our public and partners as to what the role of a modern fire and rescue service is (</w:t>
      </w:r>
      <w:r w:rsidRPr="00210C28">
        <w:rPr>
          <w:color w:val="202124"/>
          <w:shd w:val="clear" w:color="auto" w:fill="FFFFFF"/>
        </w:rPr>
        <w:t>#WeAreEssexFire)</w:t>
      </w:r>
      <w:r w:rsidR="00210C28">
        <w:rPr>
          <w:color w:val="202124"/>
          <w:shd w:val="clear" w:color="auto" w:fill="FFFFFF"/>
        </w:rPr>
        <w:t>.</w:t>
      </w:r>
    </w:p>
    <w:p w14:paraId="06F53E88" w14:textId="79932FDB" w:rsidR="006E7D30" w:rsidRDefault="006E7D30" w:rsidP="006E7D30">
      <w:pPr>
        <w:rPr>
          <w:color w:val="000000"/>
          <w:sz w:val="23"/>
          <w:szCs w:val="23"/>
          <w:lang w:eastAsia="en-GB"/>
        </w:rPr>
      </w:pPr>
    </w:p>
    <w:p w14:paraId="1E9FD4CE" w14:textId="74B39A34" w:rsidR="006E7D30" w:rsidRPr="006E7D30" w:rsidRDefault="006E7D30" w:rsidP="006E7D30">
      <w:pPr>
        <w:rPr>
          <w:b/>
          <w:bCs/>
          <w:color w:val="000000"/>
          <w:sz w:val="23"/>
          <w:szCs w:val="23"/>
          <w:lang w:eastAsia="en-GB"/>
        </w:rPr>
      </w:pPr>
      <w:r w:rsidRPr="006E7D30">
        <w:rPr>
          <w:b/>
          <w:bCs/>
          <w:color w:val="202124"/>
          <w:shd w:val="clear" w:color="auto" w:fill="FFFFFF"/>
        </w:rPr>
        <w:t>#WeAreEssexFire</w:t>
      </w:r>
    </w:p>
    <w:p w14:paraId="4DF862CE" w14:textId="4F7C6DC6" w:rsidR="006E7D30" w:rsidRPr="006E7D30" w:rsidRDefault="006E7D30" w:rsidP="006E7D30">
      <w:pPr>
        <w:rPr>
          <w:color w:val="000000"/>
          <w:lang w:eastAsia="en-GB"/>
        </w:rPr>
      </w:pPr>
      <w:r w:rsidRPr="006E7D30">
        <w:rPr>
          <w:color w:val="000000"/>
          <w:lang w:eastAsia="en-GB"/>
        </w:rPr>
        <w:t xml:space="preserve">The Service started using the hashtag #WeAreEssexFire in summer 2022. It launched alongside a video and press release detailing how our Service spreads resources across the county to make sure the right response reaches our communities in an emergency. </w:t>
      </w:r>
      <w:r w:rsidRPr="00210C28">
        <w:rPr>
          <w:color w:val="000000"/>
          <w:lang w:eastAsia="en-GB"/>
        </w:rPr>
        <w:t>The focus was to share with our partners and public the full spectrum and role of a modern-day fire and rescue service.</w:t>
      </w:r>
    </w:p>
    <w:p w14:paraId="4CF36927" w14:textId="77777777" w:rsidR="006E7D30" w:rsidRPr="006E7D30" w:rsidRDefault="006E7D30" w:rsidP="006E7D30">
      <w:pPr>
        <w:rPr>
          <w:color w:val="000000"/>
          <w:lang w:eastAsia="en-GB"/>
        </w:rPr>
      </w:pPr>
    </w:p>
    <w:p w14:paraId="3115E1B9" w14:textId="77777777" w:rsidR="006E7D30" w:rsidRPr="006E7D30" w:rsidRDefault="006E7D30" w:rsidP="006E7D30">
      <w:pPr>
        <w:rPr>
          <w:color w:val="000000"/>
          <w:lang w:eastAsia="en-GB"/>
        </w:rPr>
      </w:pPr>
      <w:r w:rsidRPr="006E7D30">
        <w:rPr>
          <w:color w:val="000000"/>
          <w:lang w:eastAsia="en-GB"/>
        </w:rPr>
        <w:t xml:space="preserve">This timing coincided with our busiest season on record. With everyone in the Service pulling together to keep fire engines available and push prevention messages out the idea was to create a sense of belonging. It was also a chance to continue to challenge outdated stereotypes of what our Service does by teaming the hashtag with a wide range of activities and people. </w:t>
      </w:r>
    </w:p>
    <w:p w14:paraId="2F8146E8" w14:textId="77777777" w:rsidR="006E7D30" w:rsidRPr="006E7D30" w:rsidRDefault="006E7D30" w:rsidP="006E7D30">
      <w:pPr>
        <w:rPr>
          <w:color w:val="000000"/>
          <w:lang w:eastAsia="en-GB"/>
        </w:rPr>
      </w:pPr>
    </w:p>
    <w:p w14:paraId="7022D664" w14:textId="2D36F815" w:rsidR="006E7D30" w:rsidRPr="00210C28" w:rsidRDefault="006E7D30" w:rsidP="006E7D30">
      <w:pPr>
        <w:rPr>
          <w:color w:val="000000"/>
          <w:lang w:eastAsia="en-GB"/>
        </w:rPr>
      </w:pPr>
      <w:r w:rsidRPr="006E7D30">
        <w:rPr>
          <w:color w:val="000000"/>
          <w:lang w:eastAsia="en-GB"/>
        </w:rPr>
        <w:t>We used the hashtag over 100</w:t>
      </w:r>
      <w:r w:rsidR="00210C28" w:rsidRPr="00210C28">
        <w:rPr>
          <w:color w:val="000000"/>
          <w:lang w:eastAsia="en-GB"/>
        </w:rPr>
        <w:t xml:space="preserve"> times</w:t>
      </w:r>
      <w:r w:rsidRPr="006E7D30">
        <w:rPr>
          <w:color w:val="000000"/>
          <w:lang w:eastAsia="en-GB"/>
        </w:rPr>
        <w:t xml:space="preserve"> across our social media channels throughout the summer and into autumn. </w:t>
      </w:r>
      <w:r w:rsidRPr="00210C28">
        <w:rPr>
          <w:color w:val="000000"/>
          <w:lang w:eastAsia="en-GB"/>
        </w:rPr>
        <w:t>Our people used the hashtag and backed the campaign, and through Essex Communications Group, our local councils and health trusts also used the campaign hashtag alongside safety messages.</w:t>
      </w:r>
    </w:p>
    <w:p w14:paraId="2AFD8BA3" w14:textId="101CA44D" w:rsidR="00B36BF5" w:rsidRDefault="00B36BF5" w:rsidP="00B36BF5">
      <w:pPr>
        <w:rPr>
          <w:rStyle w:val="normaltextrun"/>
          <w:color w:val="000000"/>
          <w:shd w:val="clear" w:color="auto" w:fill="FFFFFF"/>
        </w:rPr>
      </w:pPr>
    </w:p>
    <w:p w14:paraId="015E0012" w14:textId="77777777" w:rsidR="00B36BF5" w:rsidRPr="00AF528B" w:rsidRDefault="00B36BF5" w:rsidP="00B36BF5">
      <w:pPr>
        <w:pStyle w:val="Heading1"/>
        <w:spacing w:after="120"/>
        <w:rPr>
          <w:rStyle w:val="normaltextrun"/>
          <w:rFonts w:cs="Arial"/>
          <w:szCs w:val="24"/>
        </w:rPr>
      </w:pPr>
      <w:r w:rsidRPr="00D92298">
        <w:rPr>
          <w:rFonts w:cs="Arial"/>
          <w:szCs w:val="24"/>
        </w:rPr>
        <w:t>OPTIONS AND ANALYSIS</w:t>
      </w:r>
    </w:p>
    <w:p w14:paraId="31DC7606" w14:textId="77777777" w:rsidR="00B36BF5" w:rsidRPr="00C4695F" w:rsidRDefault="00B36BF5" w:rsidP="00B36BF5">
      <w:pPr>
        <w:rPr>
          <w:rStyle w:val="normaltextrun"/>
          <w:b/>
          <w:bCs/>
          <w:color w:val="000000"/>
          <w:shd w:val="clear" w:color="auto" w:fill="FFFFFF"/>
        </w:rPr>
      </w:pPr>
      <w:r w:rsidRPr="00C4695F">
        <w:rPr>
          <w:rStyle w:val="normaltextrun"/>
          <w:b/>
          <w:bCs/>
          <w:color w:val="000000"/>
          <w:shd w:val="clear" w:color="auto" w:fill="FFFFFF"/>
        </w:rPr>
        <w:t>Option 1</w:t>
      </w:r>
    </w:p>
    <w:p w14:paraId="71A892E4" w14:textId="76C46459" w:rsidR="00B36BF5" w:rsidRDefault="00210C28" w:rsidP="00210C28">
      <w:pPr>
        <w:tabs>
          <w:tab w:val="left" w:pos="9072"/>
        </w:tabs>
        <w:rPr>
          <w:rStyle w:val="normaltextrun"/>
          <w:color w:val="000000"/>
          <w:shd w:val="clear" w:color="auto" w:fill="FFFFFF"/>
        </w:rPr>
      </w:pPr>
      <w:r>
        <w:rPr>
          <w:rStyle w:val="normaltextrun"/>
          <w:color w:val="000000"/>
          <w:shd w:val="clear" w:color="auto" w:fill="FFFFFF"/>
        </w:rPr>
        <w:t xml:space="preserve">Following the </w:t>
      </w:r>
      <w:r>
        <w:rPr>
          <w:color w:val="202124"/>
          <w:shd w:val="clear" w:color="auto" w:fill="FFFFFF"/>
        </w:rPr>
        <w:t>#WeAreEssexFire</w:t>
      </w:r>
      <w:r>
        <w:rPr>
          <w:rStyle w:val="normaltextrun"/>
          <w:color w:val="000000"/>
          <w:shd w:val="clear" w:color="auto" w:fill="FFFFFF"/>
        </w:rPr>
        <w:t xml:space="preserve"> campaign, now d</w:t>
      </w:r>
      <w:r w:rsidR="00B36BF5">
        <w:rPr>
          <w:rStyle w:val="normaltextrun"/>
          <w:color w:val="000000"/>
          <w:shd w:val="clear" w:color="auto" w:fill="FFFFFF"/>
        </w:rPr>
        <w:t>o nothing</w:t>
      </w:r>
      <w:r>
        <w:rPr>
          <w:rStyle w:val="normaltextrun"/>
          <w:color w:val="000000"/>
          <w:shd w:val="clear" w:color="auto" w:fill="FFFFFF"/>
        </w:rPr>
        <w:t xml:space="preserve"> – do not check in with public and partners and do not conduct a perception survey</w:t>
      </w:r>
      <w:r w:rsidR="00B36BF5">
        <w:rPr>
          <w:rStyle w:val="normaltextrun"/>
          <w:color w:val="000000"/>
          <w:shd w:val="clear" w:color="auto" w:fill="FFFFFF"/>
        </w:rPr>
        <w:t>. Not advisable. Engaging with our public and partners increases satisfaction, helps inform strategies and improves reputation and our employer brand.</w:t>
      </w:r>
    </w:p>
    <w:p w14:paraId="6B181AB1" w14:textId="77777777" w:rsidR="00B36BF5" w:rsidRDefault="00B36BF5" w:rsidP="00B36BF5">
      <w:pPr>
        <w:rPr>
          <w:rStyle w:val="normaltextrun"/>
          <w:color w:val="000000"/>
          <w:shd w:val="clear" w:color="auto" w:fill="FFFFFF"/>
        </w:rPr>
      </w:pPr>
    </w:p>
    <w:p w14:paraId="16C4E314" w14:textId="77777777" w:rsidR="00B36BF5" w:rsidRPr="00766C73" w:rsidRDefault="00B36BF5" w:rsidP="00B36BF5">
      <w:pPr>
        <w:rPr>
          <w:rStyle w:val="normaltextrun"/>
          <w:b/>
          <w:bCs/>
          <w:color w:val="000000"/>
          <w:shd w:val="clear" w:color="auto" w:fill="FFFFFF"/>
        </w:rPr>
      </w:pPr>
      <w:r w:rsidRPr="00766C73">
        <w:rPr>
          <w:rStyle w:val="normaltextrun"/>
          <w:b/>
          <w:bCs/>
          <w:color w:val="000000"/>
          <w:shd w:val="clear" w:color="auto" w:fill="FFFFFF"/>
        </w:rPr>
        <w:t>Option 2</w:t>
      </w:r>
    </w:p>
    <w:p w14:paraId="004540CE" w14:textId="0BFAD767" w:rsidR="00210C28" w:rsidRDefault="00210C28" w:rsidP="00B36BF5">
      <w:pPr>
        <w:rPr>
          <w:rStyle w:val="normaltextrun"/>
          <w:color w:val="000000"/>
          <w:shd w:val="clear" w:color="auto" w:fill="FFFFFF"/>
        </w:rPr>
      </w:pPr>
      <w:r>
        <w:rPr>
          <w:rStyle w:val="normaltextrun"/>
          <w:color w:val="000000"/>
          <w:shd w:val="clear" w:color="auto" w:fill="FFFFFF"/>
        </w:rPr>
        <w:t>Conduct a perception survey “in-house”</w:t>
      </w:r>
      <w:r w:rsidR="00831A34">
        <w:rPr>
          <w:rStyle w:val="normaltextrun"/>
          <w:color w:val="000000"/>
          <w:shd w:val="clear" w:color="auto" w:fill="FFFFFF"/>
        </w:rPr>
        <w:t>. This will be managed internally by the corporate communications department and will not use an external provider. There will be resourcing implications, and the delivery will not be to the same scale/ specification as the external provider</w:t>
      </w:r>
      <w:r w:rsidR="00506D07">
        <w:rPr>
          <w:rStyle w:val="normaltextrun"/>
          <w:color w:val="000000"/>
          <w:shd w:val="clear" w:color="auto" w:fill="FFFFFF"/>
        </w:rPr>
        <w:t>.</w:t>
      </w:r>
      <w:r w:rsidR="00C348A9">
        <w:rPr>
          <w:rStyle w:val="normaltextrun"/>
          <w:color w:val="000000"/>
          <w:shd w:val="clear" w:color="auto" w:fill="FFFFFF"/>
        </w:rPr>
        <w:t xml:space="preserve"> (see option 3 specification).</w:t>
      </w:r>
      <w:r w:rsidR="00506D07">
        <w:rPr>
          <w:rStyle w:val="normaltextrun"/>
          <w:color w:val="000000"/>
          <w:shd w:val="clear" w:color="auto" w:fill="FFFFFF"/>
        </w:rPr>
        <w:t xml:space="preserve"> This option will only allow us to measure public views. It </w:t>
      </w:r>
      <w:r w:rsidR="00197991">
        <w:rPr>
          <w:rStyle w:val="normaltextrun"/>
          <w:color w:val="000000"/>
          <w:shd w:val="clear" w:color="auto" w:fill="FFFFFF"/>
        </w:rPr>
        <w:t>will not enable us to understand the risk factors across our more diverse communities.</w:t>
      </w:r>
    </w:p>
    <w:p w14:paraId="3CB980BD" w14:textId="338CA0F6" w:rsidR="00C348A9" w:rsidRDefault="00C348A9" w:rsidP="00B36BF5">
      <w:pPr>
        <w:rPr>
          <w:rStyle w:val="normaltextrun"/>
          <w:color w:val="000000"/>
          <w:shd w:val="clear" w:color="auto" w:fill="FFFFFF"/>
        </w:rPr>
      </w:pPr>
    </w:p>
    <w:p w14:paraId="3507D017" w14:textId="193B7556" w:rsidR="00C348A9" w:rsidRDefault="00C348A9" w:rsidP="00B36BF5">
      <w:pPr>
        <w:rPr>
          <w:rStyle w:val="normaltextrun"/>
          <w:color w:val="000000"/>
          <w:shd w:val="clear" w:color="auto" w:fill="FFFFFF"/>
        </w:rPr>
      </w:pPr>
      <w:r>
        <w:rPr>
          <w:rStyle w:val="normaltextrun"/>
          <w:color w:val="000000"/>
          <w:shd w:val="clear" w:color="auto" w:fill="FFFFFF"/>
        </w:rPr>
        <w:t>In-house offer:</w:t>
      </w:r>
    </w:p>
    <w:p w14:paraId="4DAA1211" w14:textId="77777777" w:rsidR="00C348A9" w:rsidRPr="00DD6C3A" w:rsidRDefault="00C348A9" w:rsidP="00DD6C3A">
      <w:pPr>
        <w:pStyle w:val="ListParagraph"/>
        <w:numPr>
          <w:ilvl w:val="0"/>
          <w:numId w:val="14"/>
        </w:numPr>
        <w:rPr>
          <w:rStyle w:val="normaltextrun"/>
          <w:color w:val="000000"/>
          <w:shd w:val="clear" w:color="auto" w:fill="FFFFFF"/>
        </w:rPr>
      </w:pPr>
      <w:r w:rsidRPr="00DD6C3A">
        <w:rPr>
          <w:rStyle w:val="normaltextrun"/>
          <w:color w:val="000000"/>
          <w:shd w:val="clear" w:color="auto" w:fill="FFFFFF"/>
        </w:rPr>
        <w:t>Campaign/ survey will run for three weeks</w:t>
      </w:r>
    </w:p>
    <w:p w14:paraId="19112582" w14:textId="27ADB29E" w:rsidR="00C348A9" w:rsidRPr="00DD6C3A" w:rsidRDefault="00C348A9" w:rsidP="00DD6C3A">
      <w:pPr>
        <w:pStyle w:val="ListParagraph"/>
        <w:numPr>
          <w:ilvl w:val="0"/>
          <w:numId w:val="14"/>
        </w:numPr>
        <w:rPr>
          <w:rStyle w:val="normaltextrun"/>
          <w:color w:val="000000"/>
          <w:shd w:val="clear" w:color="auto" w:fill="FFFFFF"/>
        </w:rPr>
      </w:pPr>
      <w:r w:rsidRPr="00DD6C3A">
        <w:rPr>
          <w:rStyle w:val="normaltextrun"/>
          <w:color w:val="000000"/>
          <w:shd w:val="clear" w:color="auto" w:fill="FFFFFF"/>
        </w:rPr>
        <w:t>Polls across social media channels</w:t>
      </w:r>
    </w:p>
    <w:p w14:paraId="55C7FBA7" w14:textId="7B83082E" w:rsidR="00C348A9" w:rsidRPr="00DD6C3A" w:rsidRDefault="00C348A9" w:rsidP="00DD6C3A">
      <w:pPr>
        <w:pStyle w:val="ListParagraph"/>
        <w:numPr>
          <w:ilvl w:val="0"/>
          <w:numId w:val="14"/>
        </w:numPr>
        <w:rPr>
          <w:rStyle w:val="normaltextrun"/>
          <w:color w:val="000000"/>
          <w:shd w:val="clear" w:color="auto" w:fill="FFFFFF"/>
        </w:rPr>
      </w:pPr>
      <w:r w:rsidRPr="00DD6C3A">
        <w:rPr>
          <w:rStyle w:val="normaltextrun"/>
          <w:color w:val="000000"/>
          <w:shd w:val="clear" w:color="auto" w:fill="FFFFFF"/>
        </w:rPr>
        <w:t>Partnership engagement</w:t>
      </w:r>
    </w:p>
    <w:p w14:paraId="6CDDD5E7" w14:textId="169259F5" w:rsidR="00C348A9" w:rsidRPr="00DD6C3A" w:rsidRDefault="00C348A9" w:rsidP="00DD6C3A">
      <w:pPr>
        <w:pStyle w:val="ListParagraph"/>
        <w:numPr>
          <w:ilvl w:val="0"/>
          <w:numId w:val="14"/>
        </w:numPr>
        <w:rPr>
          <w:rStyle w:val="normaltextrun"/>
          <w:color w:val="000000"/>
          <w:shd w:val="clear" w:color="auto" w:fill="FFFFFF"/>
        </w:rPr>
      </w:pPr>
      <w:r w:rsidRPr="00DD6C3A">
        <w:rPr>
          <w:rStyle w:val="normaltextrun"/>
          <w:color w:val="000000"/>
          <w:shd w:val="clear" w:color="auto" w:fill="FFFFFF"/>
        </w:rPr>
        <w:t>Integrated approach – digital and accessible/ paper based</w:t>
      </w:r>
    </w:p>
    <w:p w14:paraId="0791BF1C" w14:textId="7D5D4400" w:rsidR="00C348A9" w:rsidRDefault="00C348A9" w:rsidP="00DD6C3A">
      <w:pPr>
        <w:rPr>
          <w:rStyle w:val="normaltextrun"/>
          <w:color w:val="000000"/>
          <w:shd w:val="clear" w:color="auto" w:fill="FFFFFF"/>
        </w:rPr>
      </w:pPr>
    </w:p>
    <w:p w14:paraId="7E06A1FE" w14:textId="0DED199D" w:rsidR="00C348A9" w:rsidRPr="00DD6C3A" w:rsidRDefault="00C348A9" w:rsidP="00DD6C3A">
      <w:pPr>
        <w:rPr>
          <w:rStyle w:val="normaltextrun"/>
          <w:color w:val="000000"/>
          <w:shd w:val="clear" w:color="auto" w:fill="FFFFFF"/>
        </w:rPr>
      </w:pPr>
      <w:r w:rsidRPr="00DD6C3A">
        <w:rPr>
          <w:rStyle w:val="normaltextrun"/>
          <w:color w:val="000000"/>
          <w:shd w:val="clear" w:color="auto" w:fill="FFFFFF"/>
        </w:rPr>
        <w:t>Risk – cannot guarantee all demographics will be reached/ represented. Data won’t have the same level of scrutiny and interpretation.</w:t>
      </w:r>
      <w:r w:rsidR="00506D07" w:rsidRPr="00DD6C3A">
        <w:rPr>
          <w:rStyle w:val="normaltextrun"/>
          <w:color w:val="000000"/>
          <w:shd w:val="clear" w:color="auto" w:fill="FFFFFF"/>
        </w:rPr>
        <w:t xml:space="preserve"> Data will not be “statistically valid” and corroborated. </w:t>
      </w:r>
    </w:p>
    <w:p w14:paraId="2FA7203A" w14:textId="77777777" w:rsidR="00C348A9" w:rsidRDefault="00C348A9" w:rsidP="00B36BF5">
      <w:pPr>
        <w:rPr>
          <w:rStyle w:val="normaltextrun"/>
          <w:color w:val="000000"/>
          <w:shd w:val="clear" w:color="auto" w:fill="FFFFFF"/>
        </w:rPr>
      </w:pPr>
    </w:p>
    <w:p w14:paraId="738B305A" w14:textId="77777777" w:rsidR="00B36BF5" w:rsidRDefault="00B36BF5" w:rsidP="00B36BF5">
      <w:pPr>
        <w:rPr>
          <w:rStyle w:val="normaltextrun"/>
          <w:color w:val="000000"/>
          <w:shd w:val="clear" w:color="auto" w:fill="FFFFFF"/>
        </w:rPr>
      </w:pPr>
    </w:p>
    <w:p w14:paraId="3DCAF0B8" w14:textId="70D6BDF1" w:rsidR="00B36BF5" w:rsidRPr="00766C73" w:rsidRDefault="00B36BF5" w:rsidP="00B36BF5">
      <w:pPr>
        <w:rPr>
          <w:rStyle w:val="normaltextrun"/>
          <w:b/>
          <w:bCs/>
          <w:color w:val="000000"/>
          <w:shd w:val="clear" w:color="auto" w:fill="FFFFFF"/>
        </w:rPr>
      </w:pPr>
      <w:r w:rsidRPr="00766C73">
        <w:rPr>
          <w:rStyle w:val="normaltextrun"/>
          <w:b/>
          <w:bCs/>
          <w:color w:val="000000"/>
          <w:shd w:val="clear" w:color="auto" w:fill="FFFFFF"/>
        </w:rPr>
        <w:t xml:space="preserve">Option </w:t>
      </w:r>
      <w:r w:rsidR="00210C28">
        <w:rPr>
          <w:rStyle w:val="normaltextrun"/>
          <w:b/>
          <w:bCs/>
          <w:color w:val="000000"/>
          <w:shd w:val="clear" w:color="auto" w:fill="FFFFFF"/>
        </w:rPr>
        <w:t>3</w:t>
      </w:r>
      <w:r w:rsidR="00831A34">
        <w:rPr>
          <w:rStyle w:val="normaltextrun"/>
          <w:b/>
          <w:bCs/>
          <w:color w:val="000000"/>
          <w:shd w:val="clear" w:color="auto" w:fill="FFFFFF"/>
        </w:rPr>
        <w:t xml:space="preserve"> </w:t>
      </w:r>
    </w:p>
    <w:p w14:paraId="1ABE890C" w14:textId="3E8515CD" w:rsidR="00831A34" w:rsidRDefault="00B36BF5" w:rsidP="00B36BF5">
      <w:pPr>
        <w:rPr>
          <w:rStyle w:val="normaltextrun"/>
          <w:color w:val="000000"/>
          <w:shd w:val="clear" w:color="auto" w:fill="FFFFFF"/>
        </w:rPr>
      </w:pPr>
      <w:r>
        <w:rPr>
          <w:rStyle w:val="normaltextrun"/>
          <w:color w:val="000000"/>
          <w:shd w:val="clear" w:color="auto" w:fill="FFFFFF"/>
        </w:rPr>
        <w:t xml:space="preserve">To seek allocation of up to </w:t>
      </w:r>
      <w:r w:rsidR="00C348A9">
        <w:rPr>
          <w:rStyle w:val="normaltextrun"/>
          <w:color w:val="000000"/>
          <w:shd w:val="clear" w:color="auto" w:fill="FFFFFF"/>
        </w:rPr>
        <w:t xml:space="preserve">approx. </w:t>
      </w:r>
      <w:r>
        <w:rPr>
          <w:rStyle w:val="normaltextrun"/>
          <w:color w:val="000000"/>
          <w:shd w:val="clear" w:color="auto" w:fill="FFFFFF"/>
        </w:rPr>
        <w:t>£84,00</w:t>
      </w:r>
      <w:r w:rsidR="0099471C">
        <w:rPr>
          <w:rStyle w:val="normaltextrun"/>
          <w:color w:val="000000"/>
          <w:shd w:val="clear" w:color="auto" w:fill="FFFFFF"/>
        </w:rPr>
        <w:t>0</w:t>
      </w:r>
      <w:r>
        <w:rPr>
          <w:rStyle w:val="normaltextrun"/>
          <w:color w:val="000000"/>
          <w:shd w:val="clear" w:color="auto" w:fill="FFFFFF"/>
        </w:rPr>
        <w:t>* over two years (£41,000 per year) to</w:t>
      </w:r>
      <w:r w:rsidR="00831A34">
        <w:rPr>
          <w:rStyle w:val="normaltextrun"/>
          <w:color w:val="000000"/>
          <w:shd w:val="clear" w:color="auto" w:fill="FFFFFF"/>
        </w:rPr>
        <w:t xml:space="preserve"> </w:t>
      </w:r>
      <w:r w:rsidR="00C348A9">
        <w:rPr>
          <w:rStyle w:val="normaltextrun"/>
          <w:color w:val="000000"/>
          <w:shd w:val="clear" w:color="auto" w:fill="FFFFFF"/>
        </w:rPr>
        <w:t>use a</w:t>
      </w:r>
      <w:r w:rsidR="00831A34">
        <w:rPr>
          <w:rStyle w:val="normaltextrun"/>
          <w:color w:val="000000"/>
          <w:shd w:val="clear" w:color="auto" w:fill="FFFFFF"/>
        </w:rPr>
        <w:t xml:space="preserve"> social research agency.</w:t>
      </w:r>
    </w:p>
    <w:p w14:paraId="1D5B16A0" w14:textId="4A7FB318" w:rsidR="00197991" w:rsidRDefault="00197991" w:rsidP="00B36BF5">
      <w:pPr>
        <w:rPr>
          <w:rStyle w:val="normaltextrun"/>
          <w:color w:val="000000"/>
          <w:shd w:val="clear" w:color="auto" w:fill="FFFFFF"/>
        </w:rPr>
      </w:pPr>
    </w:p>
    <w:p w14:paraId="409D41A7" w14:textId="77777777" w:rsidR="00197991" w:rsidRDefault="00197991" w:rsidP="00B36BF5">
      <w:pPr>
        <w:rPr>
          <w:rStyle w:val="normaltextrun"/>
          <w:color w:val="000000"/>
          <w:shd w:val="clear" w:color="auto" w:fill="FFFFFF"/>
        </w:rPr>
      </w:pPr>
      <w:r>
        <w:rPr>
          <w:rStyle w:val="normaltextrun"/>
          <w:color w:val="000000"/>
          <w:shd w:val="clear" w:color="auto" w:fill="FFFFFF"/>
        </w:rPr>
        <w:t>Using the social research agency will allow us to measure public views, as well as engage with our harder to reach and more diverse communities – understanding their risks and needs.</w:t>
      </w:r>
    </w:p>
    <w:p w14:paraId="688F6D4E" w14:textId="77777777" w:rsidR="00197991" w:rsidRDefault="00197991" w:rsidP="00B36BF5">
      <w:pPr>
        <w:rPr>
          <w:rStyle w:val="normaltextrun"/>
          <w:color w:val="000000"/>
          <w:shd w:val="clear" w:color="auto" w:fill="FFFFFF"/>
        </w:rPr>
      </w:pPr>
    </w:p>
    <w:p w14:paraId="5A258691" w14:textId="0929DF7B" w:rsidR="00506D07" w:rsidRDefault="00197991" w:rsidP="00B36BF5">
      <w:pPr>
        <w:rPr>
          <w:rStyle w:val="normaltextrun"/>
          <w:color w:val="000000"/>
          <w:shd w:val="clear" w:color="auto" w:fill="FFFFFF"/>
        </w:rPr>
      </w:pPr>
      <w:r>
        <w:rPr>
          <w:rStyle w:val="normaltextrun"/>
          <w:color w:val="000000"/>
          <w:shd w:val="clear" w:color="auto" w:fill="FFFFFF"/>
        </w:rPr>
        <w:t xml:space="preserve">The social research agency engages with communities for 12 consecutive months, then the findings are reviewed, and then engages for an additional 12 months. This ensures the data is valid and reliable. </w:t>
      </w:r>
    </w:p>
    <w:p w14:paraId="5152380F" w14:textId="5A3D6812" w:rsidR="00506D07" w:rsidRDefault="00506D07" w:rsidP="00B36BF5">
      <w:pPr>
        <w:rPr>
          <w:rStyle w:val="normaltextrun"/>
          <w:color w:val="000000"/>
          <w:shd w:val="clear" w:color="auto" w:fill="FFFFFF"/>
        </w:rPr>
      </w:pPr>
    </w:p>
    <w:p w14:paraId="00CE6577" w14:textId="2EC220FF" w:rsidR="00506D07" w:rsidRDefault="00506D07" w:rsidP="00B36BF5">
      <w:pPr>
        <w:rPr>
          <w:rStyle w:val="normaltextrun"/>
          <w:color w:val="000000"/>
          <w:shd w:val="clear" w:color="auto" w:fill="FFFFFF"/>
        </w:rPr>
      </w:pPr>
      <w:r>
        <w:rPr>
          <w:rStyle w:val="normaltextrun"/>
          <w:color w:val="000000"/>
          <w:shd w:val="clear" w:color="auto" w:fill="FFFFFF"/>
        </w:rPr>
        <w:t>The social research agency will:</w:t>
      </w:r>
    </w:p>
    <w:p w14:paraId="1787A8D7" w14:textId="7A6A4960" w:rsidR="00506D07" w:rsidRPr="00C64B56" w:rsidRDefault="00506D07" w:rsidP="00C64B56">
      <w:pPr>
        <w:pStyle w:val="ListParagraph"/>
        <w:numPr>
          <w:ilvl w:val="0"/>
          <w:numId w:val="16"/>
        </w:numPr>
        <w:rPr>
          <w:rStyle w:val="normaltextrun"/>
          <w:color w:val="000000"/>
          <w:shd w:val="clear" w:color="auto" w:fill="FFFFFF"/>
        </w:rPr>
      </w:pPr>
      <w:r w:rsidRPr="00C64B56">
        <w:rPr>
          <w:rStyle w:val="normaltextrun"/>
          <w:color w:val="000000"/>
          <w:shd w:val="clear" w:color="auto" w:fill="FFFFFF"/>
        </w:rPr>
        <w:t>Ensure they reach and engage with at least 8,000 people over 12 months – to ensure that the data is statistically valid</w:t>
      </w:r>
    </w:p>
    <w:p w14:paraId="5A8DEAA0" w14:textId="7D58AACD" w:rsidR="00506D07" w:rsidRPr="00C64B56" w:rsidRDefault="00506D07" w:rsidP="00C64B56">
      <w:pPr>
        <w:pStyle w:val="ListParagraph"/>
        <w:numPr>
          <w:ilvl w:val="0"/>
          <w:numId w:val="16"/>
        </w:numPr>
        <w:rPr>
          <w:rStyle w:val="normaltextrun"/>
          <w:color w:val="000000"/>
          <w:shd w:val="clear" w:color="auto" w:fill="FFFFFF"/>
        </w:rPr>
      </w:pPr>
      <w:r w:rsidRPr="00C64B56">
        <w:rPr>
          <w:rStyle w:val="normaltextrun"/>
          <w:color w:val="000000"/>
          <w:shd w:val="clear" w:color="auto" w:fill="FFFFFF"/>
        </w:rPr>
        <w:t>Use several methods (telephone survey, digital, workshops, interviews) to engage with and reach the communities we specifically ask them to reach</w:t>
      </w:r>
    </w:p>
    <w:p w14:paraId="286A7530" w14:textId="2EADB569" w:rsidR="00506D07" w:rsidRPr="00C64B56" w:rsidRDefault="00506D07" w:rsidP="00C64B56">
      <w:pPr>
        <w:pStyle w:val="ListParagraph"/>
        <w:numPr>
          <w:ilvl w:val="0"/>
          <w:numId w:val="16"/>
        </w:numPr>
        <w:rPr>
          <w:rStyle w:val="normaltextrun"/>
          <w:color w:val="000000"/>
          <w:shd w:val="clear" w:color="auto" w:fill="FFFFFF"/>
        </w:rPr>
      </w:pPr>
      <w:r w:rsidRPr="00C64B56">
        <w:rPr>
          <w:rStyle w:val="normaltextrun"/>
          <w:color w:val="000000"/>
          <w:shd w:val="clear" w:color="auto" w:fill="FFFFFF"/>
        </w:rPr>
        <w:t>Provide headlines throughout the 12-month data collection period</w:t>
      </w:r>
    </w:p>
    <w:p w14:paraId="295C5C6E" w14:textId="6F691DEB" w:rsidR="00506D07" w:rsidRPr="00C64B56" w:rsidRDefault="00506D07" w:rsidP="00C64B56">
      <w:pPr>
        <w:pStyle w:val="ListParagraph"/>
        <w:numPr>
          <w:ilvl w:val="0"/>
          <w:numId w:val="16"/>
        </w:numPr>
        <w:rPr>
          <w:rStyle w:val="normaltextrun"/>
          <w:color w:val="000000"/>
          <w:shd w:val="clear" w:color="auto" w:fill="FFFFFF"/>
        </w:rPr>
      </w:pPr>
      <w:r w:rsidRPr="00C64B56">
        <w:rPr>
          <w:rStyle w:val="normaltextrun"/>
          <w:color w:val="000000"/>
          <w:shd w:val="clear" w:color="auto" w:fill="FFFFFF"/>
        </w:rPr>
        <w:t>Reach a representation of our communities across Greater Essex, including those groups and communities who we have little or no interaction with</w:t>
      </w:r>
    </w:p>
    <w:p w14:paraId="32149AB7" w14:textId="5B803300" w:rsidR="00506D07" w:rsidRDefault="00506D07" w:rsidP="00B36BF5">
      <w:pPr>
        <w:rPr>
          <w:rStyle w:val="normaltextrun"/>
          <w:color w:val="000000"/>
          <w:shd w:val="clear" w:color="auto" w:fill="FFFFFF"/>
        </w:rPr>
      </w:pPr>
    </w:p>
    <w:p w14:paraId="60BBF105" w14:textId="77777777" w:rsidR="00506D07" w:rsidRDefault="00506D07" w:rsidP="00506D07">
      <w:pPr>
        <w:rPr>
          <w:rStyle w:val="normaltextrun"/>
          <w:color w:val="000000"/>
          <w:shd w:val="clear" w:color="auto" w:fill="FFFFFF"/>
        </w:rPr>
      </w:pPr>
      <w:r>
        <w:rPr>
          <w:rStyle w:val="normaltextrun"/>
          <w:color w:val="000000"/>
          <w:shd w:val="clear" w:color="auto" w:fill="FFFFFF"/>
        </w:rPr>
        <w:t>Suggested specification for the survey provider:</w:t>
      </w:r>
    </w:p>
    <w:p w14:paraId="774F8C71" w14:textId="77777777" w:rsidR="00506D07" w:rsidRPr="00C64B56" w:rsidRDefault="00506D07" w:rsidP="00C64B56">
      <w:pPr>
        <w:pStyle w:val="ListParagraph"/>
        <w:numPr>
          <w:ilvl w:val="0"/>
          <w:numId w:val="17"/>
        </w:numPr>
        <w:autoSpaceDE w:val="0"/>
        <w:autoSpaceDN w:val="0"/>
        <w:adjustRightInd w:val="0"/>
        <w:spacing w:after="16"/>
        <w:rPr>
          <w:color w:val="000000"/>
          <w:lang w:eastAsia="en-GB"/>
        </w:rPr>
      </w:pPr>
      <w:r w:rsidRPr="00C64B56">
        <w:rPr>
          <w:color w:val="000000"/>
          <w:lang w:eastAsia="en-GB"/>
        </w:rPr>
        <w:t xml:space="preserve">An electronic version of the raw data allowing bespoke analysis and interrogation </w:t>
      </w:r>
    </w:p>
    <w:p w14:paraId="41CBC290" w14:textId="77777777" w:rsidR="00506D07" w:rsidRPr="00C64B56" w:rsidRDefault="00506D07" w:rsidP="00C64B56">
      <w:pPr>
        <w:pStyle w:val="ListParagraph"/>
        <w:numPr>
          <w:ilvl w:val="0"/>
          <w:numId w:val="17"/>
        </w:numPr>
        <w:autoSpaceDE w:val="0"/>
        <w:autoSpaceDN w:val="0"/>
        <w:adjustRightInd w:val="0"/>
        <w:spacing w:after="16"/>
        <w:rPr>
          <w:color w:val="000000"/>
          <w:lang w:eastAsia="en-GB"/>
        </w:rPr>
      </w:pPr>
      <w:r w:rsidRPr="00C64B56">
        <w:rPr>
          <w:color w:val="000000"/>
          <w:lang w:eastAsia="en-GB"/>
        </w:rPr>
        <w:t xml:space="preserve">Descriptive analysis of the results presented in an easily understood and accessible way </w:t>
      </w:r>
    </w:p>
    <w:p w14:paraId="40F3DD5D" w14:textId="77777777" w:rsidR="00506D07" w:rsidRPr="00C64B56" w:rsidRDefault="00506D07" w:rsidP="00C64B56">
      <w:pPr>
        <w:pStyle w:val="ListParagraph"/>
        <w:numPr>
          <w:ilvl w:val="0"/>
          <w:numId w:val="17"/>
        </w:numPr>
        <w:autoSpaceDE w:val="0"/>
        <w:autoSpaceDN w:val="0"/>
        <w:adjustRightInd w:val="0"/>
        <w:spacing w:after="16"/>
        <w:rPr>
          <w:color w:val="000000"/>
          <w:lang w:eastAsia="en-GB"/>
        </w:rPr>
      </w:pPr>
      <w:r w:rsidRPr="00C64B56">
        <w:rPr>
          <w:color w:val="000000"/>
          <w:lang w:eastAsia="en-GB"/>
        </w:rPr>
        <w:t>Results available and presented on a quarterly basis and analysed at a county and command group level (four areas)</w:t>
      </w:r>
    </w:p>
    <w:p w14:paraId="66800476" w14:textId="77777777" w:rsidR="00506D07" w:rsidRPr="00C64B56" w:rsidRDefault="00506D07" w:rsidP="00C64B56">
      <w:pPr>
        <w:pStyle w:val="ListParagraph"/>
        <w:numPr>
          <w:ilvl w:val="0"/>
          <w:numId w:val="17"/>
        </w:numPr>
        <w:autoSpaceDE w:val="0"/>
        <w:autoSpaceDN w:val="0"/>
        <w:adjustRightInd w:val="0"/>
        <w:spacing w:after="16"/>
        <w:rPr>
          <w:color w:val="000000"/>
          <w:lang w:eastAsia="en-GB"/>
        </w:rPr>
      </w:pPr>
      <w:r w:rsidRPr="00C64B56">
        <w:rPr>
          <w:color w:val="000000"/>
          <w:lang w:eastAsia="en-GB"/>
        </w:rPr>
        <w:t xml:space="preserve">Quarterly reports that are clearly presented in an easy-to-understand format and accessible and relevant to a range of senior stakeholders. Quarterly reports are to include: </w:t>
      </w:r>
    </w:p>
    <w:p w14:paraId="58380E3D" w14:textId="77777777" w:rsidR="00506D07" w:rsidRPr="00C64B56" w:rsidRDefault="00506D07" w:rsidP="00C64B56">
      <w:pPr>
        <w:pStyle w:val="ListParagraph"/>
        <w:numPr>
          <w:ilvl w:val="1"/>
          <w:numId w:val="17"/>
        </w:numPr>
        <w:autoSpaceDE w:val="0"/>
        <w:autoSpaceDN w:val="0"/>
        <w:adjustRightInd w:val="0"/>
        <w:spacing w:after="16"/>
        <w:rPr>
          <w:color w:val="000000"/>
          <w:lang w:eastAsia="en-GB"/>
        </w:rPr>
      </w:pPr>
      <w:r w:rsidRPr="00C64B56">
        <w:rPr>
          <w:color w:val="000000"/>
          <w:lang w:eastAsia="en-GB"/>
        </w:rPr>
        <w:t>A presentation of quantitative results</w:t>
      </w:r>
      <w:r w:rsidRPr="00C64B56">
        <w:rPr>
          <w:rFonts w:ascii="Courier New" w:hAnsi="Courier New" w:cs="Courier New"/>
          <w:color w:val="000000"/>
          <w:lang w:eastAsia="en-GB"/>
        </w:rPr>
        <w:t xml:space="preserve"> </w:t>
      </w:r>
    </w:p>
    <w:p w14:paraId="79871F29" w14:textId="77777777" w:rsidR="00506D07" w:rsidRPr="00C64B56" w:rsidRDefault="00506D07" w:rsidP="00C64B56">
      <w:pPr>
        <w:pStyle w:val="ListParagraph"/>
        <w:numPr>
          <w:ilvl w:val="1"/>
          <w:numId w:val="17"/>
        </w:numPr>
        <w:autoSpaceDE w:val="0"/>
        <w:autoSpaceDN w:val="0"/>
        <w:adjustRightInd w:val="0"/>
        <w:spacing w:after="16"/>
        <w:rPr>
          <w:color w:val="000000"/>
          <w:lang w:eastAsia="en-GB"/>
        </w:rPr>
      </w:pPr>
      <w:r w:rsidRPr="00C64B56">
        <w:rPr>
          <w:color w:val="000000"/>
          <w:lang w:eastAsia="en-GB"/>
        </w:rPr>
        <w:t xml:space="preserve">A presentation and visualisation of descriptive statistics including geographic or demographic variations and trends </w:t>
      </w:r>
    </w:p>
    <w:p w14:paraId="7CC2F056" w14:textId="77777777" w:rsidR="00B36BF5" w:rsidRDefault="00B36BF5" w:rsidP="00B36BF5">
      <w:pPr>
        <w:rPr>
          <w:rStyle w:val="normaltextrun"/>
          <w:color w:val="000000"/>
          <w:shd w:val="clear" w:color="auto" w:fill="FFFFFF"/>
        </w:rPr>
      </w:pPr>
    </w:p>
    <w:p w14:paraId="206FA6CF" w14:textId="11B80546" w:rsidR="008C66BB" w:rsidRPr="00197991" w:rsidRDefault="00B36BF5" w:rsidP="00B36BF5">
      <w:pPr>
        <w:rPr>
          <w:rStyle w:val="normaltextrun"/>
          <w:i/>
          <w:iCs/>
          <w:color w:val="000000"/>
          <w:shd w:val="clear" w:color="auto" w:fill="FFFFFF"/>
        </w:rPr>
      </w:pPr>
      <w:r w:rsidRPr="00197991">
        <w:rPr>
          <w:rStyle w:val="normaltextrun"/>
          <w:i/>
          <w:iCs/>
          <w:color w:val="000000"/>
          <w:shd w:val="clear" w:color="auto" w:fill="FFFFFF"/>
        </w:rPr>
        <w:t>* Anticipated/ predicted costs based on research</w:t>
      </w:r>
      <w:r w:rsidR="00C348A9" w:rsidRPr="00197991">
        <w:rPr>
          <w:rStyle w:val="normaltextrun"/>
          <w:i/>
          <w:iCs/>
          <w:color w:val="000000"/>
          <w:shd w:val="clear" w:color="auto" w:fill="FFFFFF"/>
        </w:rPr>
        <w:t xml:space="preserve"> and agency that PFCC and Essex police have commissioned previously, </w:t>
      </w:r>
      <w:r w:rsidRPr="00197991">
        <w:rPr>
          <w:rStyle w:val="normaltextrun"/>
          <w:i/>
          <w:iCs/>
          <w:color w:val="000000"/>
          <w:shd w:val="clear" w:color="auto" w:fill="FFFFFF"/>
        </w:rPr>
        <w:t xml:space="preserve">although it is recognised that a tender process will need to be put in place. </w:t>
      </w:r>
      <w:r w:rsidR="008C66BB" w:rsidRPr="00197991">
        <w:rPr>
          <w:rStyle w:val="normaltextrun"/>
          <w:i/>
          <w:iCs/>
          <w:color w:val="000000"/>
          <w:shd w:val="clear" w:color="auto" w:fill="FFFFFF"/>
        </w:rPr>
        <w:t>It is anticipated that OPFCC will fund 50% of the entire costs (approx. £167,200 over two years)</w:t>
      </w:r>
    </w:p>
    <w:p w14:paraId="2C746A1E" w14:textId="77777777" w:rsidR="00197991" w:rsidRDefault="00197991" w:rsidP="00B36BF5">
      <w:pPr>
        <w:autoSpaceDE w:val="0"/>
        <w:autoSpaceDN w:val="0"/>
        <w:adjustRightInd w:val="0"/>
        <w:rPr>
          <w:b/>
          <w:bCs/>
          <w:color w:val="000000"/>
          <w:sz w:val="23"/>
          <w:szCs w:val="23"/>
          <w:lang w:eastAsia="en-GB"/>
        </w:rPr>
      </w:pPr>
    </w:p>
    <w:p w14:paraId="29842E52" w14:textId="1A1ED8EB" w:rsidR="00B36BF5" w:rsidRPr="00C64B56" w:rsidRDefault="00B36BF5" w:rsidP="00B36BF5">
      <w:pPr>
        <w:autoSpaceDE w:val="0"/>
        <w:autoSpaceDN w:val="0"/>
        <w:adjustRightInd w:val="0"/>
        <w:rPr>
          <w:rStyle w:val="normaltextrun"/>
          <w:b/>
          <w:bCs/>
          <w:shd w:val="clear" w:color="auto" w:fill="FFFFFF"/>
        </w:rPr>
      </w:pPr>
      <w:r w:rsidRPr="00C64B56">
        <w:rPr>
          <w:rStyle w:val="normaltextrun"/>
          <w:b/>
          <w:bCs/>
          <w:shd w:val="clear" w:color="auto" w:fill="FFFFFF"/>
        </w:rPr>
        <w:t>Timelines</w:t>
      </w:r>
      <w:r w:rsidR="00506D07" w:rsidRPr="00C64B56">
        <w:rPr>
          <w:rStyle w:val="normaltextrun"/>
          <w:b/>
          <w:bCs/>
          <w:shd w:val="clear" w:color="auto" w:fill="FFFFFF"/>
        </w:rPr>
        <w:t xml:space="preserve"> and next steps</w:t>
      </w:r>
    </w:p>
    <w:p w14:paraId="2EF631BE" w14:textId="39F59565" w:rsidR="00197991" w:rsidRPr="00C64B56" w:rsidRDefault="00197991" w:rsidP="00B36BF5">
      <w:pPr>
        <w:rPr>
          <w:rStyle w:val="normaltextrun"/>
          <w:shd w:val="clear" w:color="auto" w:fill="FFFFFF"/>
        </w:rPr>
      </w:pPr>
      <w:r w:rsidRPr="00C64B56">
        <w:rPr>
          <w:rStyle w:val="normaltextrun"/>
          <w:shd w:val="clear" w:color="auto" w:fill="FFFFFF"/>
        </w:rPr>
        <w:t xml:space="preserve">Suggested to set up a workshop to finalise the questions we’ll look to </w:t>
      </w:r>
      <w:r w:rsidR="00C64B56" w:rsidRPr="00C64B56">
        <w:rPr>
          <w:rStyle w:val="normaltextrun"/>
          <w:shd w:val="clear" w:color="auto" w:fill="FFFFFF"/>
        </w:rPr>
        <w:t>set and</w:t>
      </w:r>
      <w:r w:rsidRPr="00C64B56">
        <w:rPr>
          <w:rStyle w:val="normaltextrun"/>
          <w:shd w:val="clear" w:color="auto" w:fill="FFFFFF"/>
        </w:rPr>
        <w:t xml:space="preserve"> define the problem we’re looking to solve. For example – measure public confidence, measure public understanding, understand how risk varies across different demographics and communities.</w:t>
      </w:r>
    </w:p>
    <w:p w14:paraId="4208DD51" w14:textId="73D5BEB7" w:rsidR="00E55CD0" w:rsidRDefault="00E55CD0">
      <w:pPr>
        <w:rPr>
          <w:rStyle w:val="normaltextrun"/>
          <w:shd w:val="clear" w:color="auto" w:fill="FFFFFF"/>
        </w:rPr>
      </w:pPr>
      <w:r>
        <w:rPr>
          <w:rStyle w:val="normaltextrun"/>
          <w:shd w:val="clear" w:color="auto" w:fill="FFFFFF"/>
        </w:rPr>
        <w:br w:type="page"/>
      </w:r>
    </w:p>
    <w:p w14:paraId="550451AD" w14:textId="4C323C68" w:rsidR="00197991" w:rsidRPr="00C64B56" w:rsidRDefault="00197991" w:rsidP="00B36BF5">
      <w:pPr>
        <w:rPr>
          <w:rStyle w:val="normaltextrun"/>
          <w:shd w:val="clear" w:color="auto" w:fill="FFFFFF"/>
        </w:rPr>
      </w:pPr>
      <w:r w:rsidRPr="00C64B56">
        <w:rPr>
          <w:rStyle w:val="normaltextrun"/>
          <w:shd w:val="clear" w:color="auto" w:fill="FFFFFF"/>
        </w:rPr>
        <w:lastRenderedPageBreak/>
        <w:t xml:space="preserve">Workshop suggested attendees: communications, group managers across the four commands, PFCC representative, data team, prevention, protection, and response. </w:t>
      </w:r>
    </w:p>
    <w:p w14:paraId="4974DCC3" w14:textId="77777777" w:rsidR="00197991" w:rsidRPr="00C64B56" w:rsidRDefault="00197991" w:rsidP="00B36BF5">
      <w:pPr>
        <w:rPr>
          <w:rStyle w:val="normaltextrun"/>
          <w:shd w:val="clear" w:color="auto" w:fill="FFFFFF"/>
        </w:rPr>
      </w:pPr>
    </w:p>
    <w:p w14:paraId="595836B1" w14:textId="5099E06E" w:rsidR="00B36BF5" w:rsidRPr="00C64B56" w:rsidRDefault="00197991" w:rsidP="00B36BF5">
      <w:pPr>
        <w:rPr>
          <w:rStyle w:val="normaltextrun"/>
          <w:shd w:val="clear" w:color="auto" w:fill="FFFFFF"/>
        </w:rPr>
      </w:pPr>
      <w:r w:rsidRPr="00C64B56">
        <w:rPr>
          <w:rStyle w:val="normaltextrun"/>
          <w:shd w:val="clear" w:color="auto" w:fill="FFFFFF"/>
        </w:rPr>
        <w:t>Procurement and tender process to start. Timelines for this to be brought back to SLT for information and update.</w:t>
      </w:r>
    </w:p>
    <w:p w14:paraId="3748C0F0" w14:textId="7D1E936C" w:rsidR="00FC2147" w:rsidRPr="00C64B56" w:rsidRDefault="00FC2147" w:rsidP="00B36BF5">
      <w:pPr>
        <w:rPr>
          <w:rStyle w:val="normaltextrun"/>
          <w:shd w:val="clear" w:color="auto" w:fill="FFFFFF"/>
        </w:rPr>
      </w:pPr>
    </w:p>
    <w:p w14:paraId="190A8714" w14:textId="2B7B1623" w:rsidR="00FC2147" w:rsidRDefault="00FC2147" w:rsidP="00B36BF5">
      <w:pPr>
        <w:rPr>
          <w:rStyle w:val="normaltextrun"/>
          <w:color w:val="000000"/>
          <w:shd w:val="clear" w:color="auto" w:fill="FFFFFF"/>
        </w:rPr>
      </w:pPr>
      <w:r w:rsidRPr="00C64B56">
        <w:rPr>
          <w:rStyle w:val="normaltextrun"/>
          <w:shd w:val="clear" w:color="auto" w:fill="FFFFFF"/>
        </w:rPr>
        <w:t>Formal agreement from OPFCC to fund 50%.</w:t>
      </w:r>
    </w:p>
    <w:p w14:paraId="737EB0C6" w14:textId="77777777" w:rsidR="00A21F1B" w:rsidRDefault="00A21F1B" w:rsidP="00B36BF5">
      <w:pPr>
        <w:pStyle w:val="Heading1"/>
        <w:spacing w:after="120"/>
        <w:rPr>
          <w:rFonts w:cs="Arial"/>
          <w:szCs w:val="24"/>
        </w:rPr>
      </w:pPr>
    </w:p>
    <w:p w14:paraId="04D4ABA3" w14:textId="39AE6C54" w:rsidR="00B36BF5" w:rsidRDefault="00B36BF5" w:rsidP="00B36BF5">
      <w:pPr>
        <w:pStyle w:val="Heading1"/>
        <w:spacing w:after="120"/>
        <w:rPr>
          <w:rFonts w:cs="Arial"/>
          <w:szCs w:val="24"/>
        </w:rPr>
      </w:pPr>
      <w:r>
        <w:rPr>
          <w:rFonts w:cs="Arial"/>
          <w:szCs w:val="24"/>
        </w:rPr>
        <w:t>risks and mitigations</w:t>
      </w:r>
    </w:p>
    <w:p w14:paraId="6DC94289" w14:textId="295F462E" w:rsidR="00B36BF5" w:rsidRPr="00E55CD0" w:rsidRDefault="00C348A9" w:rsidP="00E55CD0">
      <w:pPr>
        <w:pStyle w:val="ListParagraph"/>
        <w:numPr>
          <w:ilvl w:val="0"/>
          <w:numId w:val="18"/>
        </w:numPr>
        <w:textAlignment w:val="baseline"/>
        <w:rPr>
          <w:rStyle w:val="normaltextrun"/>
          <w:color w:val="000000"/>
          <w:shd w:val="clear" w:color="auto" w:fill="FFFFFF"/>
        </w:rPr>
      </w:pPr>
      <w:r w:rsidRPr="00E55CD0">
        <w:rPr>
          <w:rStyle w:val="normaltextrun"/>
          <w:color w:val="000000"/>
          <w:shd w:val="clear" w:color="auto" w:fill="FFFFFF"/>
        </w:rPr>
        <w:t xml:space="preserve">Timing of survey and risk of industrial action. </w:t>
      </w:r>
      <w:r w:rsidR="008C66BB" w:rsidRPr="00E55CD0">
        <w:rPr>
          <w:rStyle w:val="normaltextrun"/>
          <w:color w:val="000000"/>
          <w:shd w:val="clear" w:color="auto" w:fill="FFFFFF"/>
        </w:rPr>
        <w:t>This could potentially affect</w:t>
      </w:r>
      <w:r w:rsidRPr="00E55CD0">
        <w:rPr>
          <w:rStyle w:val="normaltextrun"/>
          <w:color w:val="000000"/>
          <w:shd w:val="clear" w:color="auto" w:fill="FFFFFF"/>
        </w:rPr>
        <w:t xml:space="preserve"> uptake and </w:t>
      </w:r>
      <w:r w:rsidR="00197991" w:rsidRPr="00E55CD0">
        <w:rPr>
          <w:rStyle w:val="normaltextrun"/>
          <w:color w:val="000000"/>
          <w:shd w:val="clear" w:color="auto" w:fill="FFFFFF"/>
        </w:rPr>
        <w:t>responses and</w:t>
      </w:r>
      <w:r w:rsidR="008C66BB" w:rsidRPr="00E55CD0">
        <w:rPr>
          <w:rStyle w:val="normaltextrun"/>
          <w:color w:val="000000"/>
          <w:shd w:val="clear" w:color="auto" w:fill="FFFFFF"/>
        </w:rPr>
        <w:t xml:space="preserve"> affect sentiment.</w:t>
      </w:r>
      <w:r w:rsidR="00197991" w:rsidRPr="00E55CD0">
        <w:rPr>
          <w:rStyle w:val="normaltextrun"/>
          <w:color w:val="000000"/>
          <w:shd w:val="clear" w:color="auto" w:fill="FFFFFF"/>
        </w:rPr>
        <w:t xml:space="preserve"> Mitigation – the survey will run for 12 consecutive months.</w:t>
      </w:r>
    </w:p>
    <w:p w14:paraId="60F87B64" w14:textId="0323A44B" w:rsidR="00C348A9" w:rsidRPr="00E55CD0" w:rsidRDefault="00C348A9" w:rsidP="00E55CD0">
      <w:pPr>
        <w:pStyle w:val="ListParagraph"/>
        <w:numPr>
          <w:ilvl w:val="0"/>
          <w:numId w:val="18"/>
        </w:numPr>
        <w:textAlignment w:val="baseline"/>
        <w:rPr>
          <w:rFonts w:asciiTheme="minorBidi" w:hAnsiTheme="minorBidi" w:cstheme="minorBidi"/>
          <w:lang w:eastAsia="en-GB"/>
        </w:rPr>
      </w:pPr>
      <w:r w:rsidRPr="00E55CD0">
        <w:rPr>
          <w:rStyle w:val="normaltextrun"/>
          <w:color w:val="000000"/>
          <w:shd w:val="clear" w:color="auto" w:fill="FFFFFF"/>
        </w:rPr>
        <w:t xml:space="preserve">Use of spending and </w:t>
      </w:r>
      <w:r w:rsidR="008C66BB" w:rsidRPr="00E55CD0">
        <w:rPr>
          <w:rStyle w:val="normaltextrun"/>
          <w:color w:val="000000"/>
          <w:shd w:val="clear" w:color="auto" w:fill="FFFFFF"/>
        </w:rPr>
        <w:t>current budget pressures – reputational issue regarding use of money.</w:t>
      </w:r>
      <w:r w:rsidR="00197991" w:rsidRPr="00E55CD0">
        <w:rPr>
          <w:rStyle w:val="normaltextrun"/>
          <w:color w:val="000000"/>
          <w:shd w:val="clear" w:color="auto" w:fill="FFFFFF"/>
        </w:rPr>
        <w:t xml:space="preserve"> Suggestion of 50% funding from the OPFCC. This is more than a survey, and helps us reach our hardest to reach communities, and will input into the CRMP work also.</w:t>
      </w:r>
    </w:p>
    <w:p w14:paraId="5D0A760F" w14:textId="77777777" w:rsidR="00B36BF5" w:rsidRDefault="00B36BF5" w:rsidP="00B36BF5">
      <w:pPr>
        <w:rPr>
          <w:rFonts w:asciiTheme="minorBidi" w:hAnsiTheme="minorBidi" w:cstheme="minorBidi"/>
          <w:i/>
          <w:iCs/>
          <w:lang w:eastAsia="en-GB"/>
        </w:rPr>
      </w:pPr>
    </w:p>
    <w:p w14:paraId="755FF3B0" w14:textId="77777777" w:rsidR="00B36BF5" w:rsidRDefault="00B36BF5" w:rsidP="00B36BF5"/>
    <w:p w14:paraId="7D14A9C2" w14:textId="77777777" w:rsidR="00B36BF5" w:rsidRPr="0043487E" w:rsidRDefault="00B36BF5" w:rsidP="00B36BF5">
      <w:pPr>
        <w:pStyle w:val="Heading1"/>
        <w:spacing w:after="120"/>
        <w:rPr>
          <w:rFonts w:cs="Arial"/>
          <w:szCs w:val="24"/>
        </w:rPr>
      </w:pPr>
      <w:r w:rsidRPr="0043487E">
        <w:rPr>
          <w:rFonts w:cs="Arial"/>
          <w:szCs w:val="24"/>
        </w:rPr>
        <w:t>LINKS TO FIRE AND RESCUE PLAN</w:t>
      </w:r>
    </w:p>
    <w:p w14:paraId="1CC17D60" w14:textId="77777777" w:rsidR="00B36BF5" w:rsidRDefault="00B36BF5" w:rsidP="00B36BF5">
      <w:pPr>
        <w:rPr>
          <w:lang w:eastAsia="en-GB"/>
        </w:rPr>
      </w:pPr>
      <w:r>
        <w:rPr>
          <w:lang w:eastAsia="en-GB"/>
        </w:rPr>
        <w:t>The proposal supports all the Fire and Rescue Plan priorities, plus will seek to support and inform the consultation for the next Fire and Rescue Plan.</w:t>
      </w:r>
    </w:p>
    <w:p w14:paraId="45F39621" w14:textId="77777777" w:rsidR="00B36BF5" w:rsidRDefault="00B36BF5" w:rsidP="00B36BF5">
      <w:pPr>
        <w:rPr>
          <w:lang w:eastAsia="en-GB"/>
        </w:rPr>
      </w:pPr>
    </w:p>
    <w:p w14:paraId="2CD34A0E" w14:textId="21CC7046" w:rsidR="00B36BF5" w:rsidRDefault="00B36BF5" w:rsidP="00E55CD0">
      <w:pPr>
        <w:pStyle w:val="ListParagraph"/>
        <w:numPr>
          <w:ilvl w:val="0"/>
          <w:numId w:val="19"/>
        </w:numPr>
        <w:rPr>
          <w:lang w:eastAsia="en-GB"/>
        </w:rPr>
      </w:pPr>
      <w:r>
        <w:rPr>
          <w:lang w:eastAsia="en-GB"/>
        </w:rPr>
        <w:t xml:space="preserve">Prevention, </w:t>
      </w:r>
      <w:r w:rsidR="00C348A9">
        <w:rPr>
          <w:lang w:eastAsia="en-GB"/>
        </w:rPr>
        <w:t>protection,</w:t>
      </w:r>
      <w:r>
        <w:rPr>
          <w:lang w:eastAsia="en-GB"/>
        </w:rPr>
        <w:t xml:space="preserve"> and response</w:t>
      </w:r>
    </w:p>
    <w:p w14:paraId="40CCBB4D" w14:textId="77777777" w:rsidR="00B36BF5" w:rsidRDefault="00B36BF5" w:rsidP="00E55CD0">
      <w:pPr>
        <w:pStyle w:val="ListParagraph"/>
        <w:numPr>
          <w:ilvl w:val="0"/>
          <w:numId w:val="19"/>
        </w:numPr>
        <w:rPr>
          <w:lang w:eastAsia="en-GB"/>
        </w:rPr>
      </w:pPr>
      <w:r>
        <w:rPr>
          <w:lang w:eastAsia="en-GB"/>
        </w:rPr>
        <w:t>Improve the safety on our roads</w:t>
      </w:r>
    </w:p>
    <w:p w14:paraId="093A4601" w14:textId="77777777" w:rsidR="00B36BF5" w:rsidRDefault="00B36BF5" w:rsidP="00E55CD0">
      <w:pPr>
        <w:pStyle w:val="ListParagraph"/>
        <w:numPr>
          <w:ilvl w:val="0"/>
          <w:numId w:val="19"/>
        </w:numPr>
        <w:rPr>
          <w:lang w:eastAsia="en-GB"/>
        </w:rPr>
      </w:pPr>
      <w:r>
        <w:rPr>
          <w:lang w:eastAsia="en-GB"/>
        </w:rPr>
        <w:t>Help the vulnerable stay safe</w:t>
      </w:r>
    </w:p>
    <w:p w14:paraId="1B9C3D5A" w14:textId="77777777" w:rsidR="00B36BF5" w:rsidRDefault="00B36BF5" w:rsidP="00E55CD0">
      <w:pPr>
        <w:pStyle w:val="ListParagraph"/>
        <w:numPr>
          <w:ilvl w:val="0"/>
          <w:numId w:val="19"/>
        </w:numPr>
        <w:rPr>
          <w:lang w:eastAsia="en-GB"/>
        </w:rPr>
      </w:pPr>
      <w:r>
        <w:rPr>
          <w:lang w:eastAsia="en-GB"/>
        </w:rPr>
        <w:t>Promote a positive culture in the workplace</w:t>
      </w:r>
    </w:p>
    <w:p w14:paraId="53EA66E2" w14:textId="77777777" w:rsidR="00B36BF5" w:rsidRDefault="00B36BF5" w:rsidP="00E55CD0">
      <w:pPr>
        <w:pStyle w:val="ListParagraph"/>
        <w:numPr>
          <w:ilvl w:val="0"/>
          <w:numId w:val="19"/>
        </w:numPr>
        <w:rPr>
          <w:lang w:eastAsia="en-GB"/>
        </w:rPr>
      </w:pPr>
      <w:r>
        <w:rPr>
          <w:lang w:eastAsia="en-GB"/>
        </w:rPr>
        <w:t>Develop and broaden the roles and range of activities undertaken by the Service</w:t>
      </w:r>
    </w:p>
    <w:p w14:paraId="6279C6FD" w14:textId="49453F90" w:rsidR="00B36BF5" w:rsidRDefault="00B36BF5" w:rsidP="00E55CD0">
      <w:pPr>
        <w:pStyle w:val="ListParagraph"/>
        <w:numPr>
          <w:ilvl w:val="0"/>
          <w:numId w:val="19"/>
        </w:numPr>
        <w:rPr>
          <w:lang w:eastAsia="en-GB"/>
        </w:rPr>
      </w:pPr>
      <w:r>
        <w:rPr>
          <w:lang w:eastAsia="en-GB"/>
        </w:rPr>
        <w:t xml:space="preserve">Be transparent, </w:t>
      </w:r>
      <w:r w:rsidR="005B755E">
        <w:rPr>
          <w:lang w:eastAsia="en-GB"/>
        </w:rPr>
        <w:t>open,</w:t>
      </w:r>
      <w:r>
        <w:rPr>
          <w:lang w:eastAsia="en-GB"/>
        </w:rPr>
        <w:t xml:space="preserve"> and accessible</w:t>
      </w:r>
    </w:p>
    <w:p w14:paraId="74D3BE69" w14:textId="77777777" w:rsidR="00B36BF5" w:rsidRDefault="00B36BF5" w:rsidP="00E55CD0">
      <w:pPr>
        <w:pStyle w:val="ListParagraph"/>
        <w:numPr>
          <w:ilvl w:val="0"/>
          <w:numId w:val="19"/>
        </w:numPr>
        <w:rPr>
          <w:lang w:eastAsia="en-GB"/>
        </w:rPr>
      </w:pPr>
      <w:r>
        <w:rPr>
          <w:lang w:eastAsia="en-GB"/>
        </w:rPr>
        <w:t>Collaborate with our partners</w:t>
      </w:r>
    </w:p>
    <w:p w14:paraId="7A3CAE90" w14:textId="77777777" w:rsidR="00B36BF5" w:rsidRDefault="00B36BF5" w:rsidP="00E55CD0">
      <w:pPr>
        <w:pStyle w:val="ListParagraph"/>
        <w:numPr>
          <w:ilvl w:val="0"/>
          <w:numId w:val="19"/>
        </w:numPr>
        <w:rPr>
          <w:lang w:eastAsia="en-GB"/>
        </w:rPr>
      </w:pPr>
      <w:r>
        <w:rPr>
          <w:lang w:eastAsia="en-GB"/>
        </w:rPr>
        <w:t>Make best use of our resources</w:t>
      </w:r>
    </w:p>
    <w:p w14:paraId="0501C43A" w14:textId="77777777" w:rsidR="00B36BF5" w:rsidRDefault="00B36BF5" w:rsidP="00B36BF5">
      <w:pPr>
        <w:rPr>
          <w:lang w:eastAsia="en-GB"/>
        </w:rPr>
      </w:pPr>
    </w:p>
    <w:p w14:paraId="2FD18691" w14:textId="77777777" w:rsidR="00B36BF5" w:rsidRDefault="00B36BF5" w:rsidP="00B36BF5"/>
    <w:p w14:paraId="49756909" w14:textId="7C06382E" w:rsidR="00B36BF5" w:rsidRPr="00C348A9" w:rsidRDefault="00B36BF5" w:rsidP="00C348A9">
      <w:pPr>
        <w:pStyle w:val="Heading1"/>
        <w:spacing w:after="120"/>
        <w:rPr>
          <w:rFonts w:cs="Arial"/>
          <w:szCs w:val="24"/>
        </w:rPr>
      </w:pPr>
      <w:r w:rsidRPr="009643BA">
        <w:rPr>
          <w:rFonts w:cs="Arial"/>
          <w:szCs w:val="24"/>
        </w:rPr>
        <w:t>Financial Implications</w:t>
      </w:r>
    </w:p>
    <w:p w14:paraId="384B65AC" w14:textId="117D8CF9" w:rsidR="00B36BF5" w:rsidRDefault="008C66BB" w:rsidP="00B36BF5">
      <w:r>
        <w:t>Budget to be sourced to use external provider. Anticipated that OPFCC will fund 50% of the entire cost - based on Essex Police model.</w:t>
      </w:r>
    </w:p>
    <w:p w14:paraId="1895D3F2" w14:textId="6D5CAF7D" w:rsidR="008C66BB" w:rsidRDefault="008C66BB" w:rsidP="00B36BF5"/>
    <w:p w14:paraId="17C53298" w14:textId="1DED8705" w:rsidR="008C66BB" w:rsidRDefault="008C66BB" w:rsidP="00B36BF5">
      <w:r>
        <w:t>It is assumed (based on research and previous contracts with Essex Police and OPFCC), that the full value of the contract is likely to be approx. £170,000. The costs will be split equally between ECFRS and PFCC.</w:t>
      </w:r>
    </w:p>
    <w:p w14:paraId="69B64511" w14:textId="77777777" w:rsidR="00B36BF5" w:rsidRDefault="00B36BF5" w:rsidP="00B36BF5"/>
    <w:p w14:paraId="108488DA" w14:textId="77777777" w:rsidR="00B36BF5" w:rsidRDefault="00B36BF5" w:rsidP="00B36BF5">
      <w:pPr>
        <w:pStyle w:val="Heading1"/>
        <w:spacing w:after="120"/>
        <w:rPr>
          <w:rFonts w:cs="Arial"/>
          <w:szCs w:val="24"/>
        </w:rPr>
      </w:pPr>
      <w:r w:rsidRPr="00E46F6E">
        <w:rPr>
          <w:rFonts w:cs="Arial"/>
          <w:szCs w:val="24"/>
        </w:rPr>
        <w:t>Legal ImplicationS</w:t>
      </w:r>
    </w:p>
    <w:p w14:paraId="7F2664FD" w14:textId="16D2A07F" w:rsidR="00B36BF5" w:rsidRDefault="008C66BB" w:rsidP="00B36BF5">
      <w:r>
        <w:t>Procurement will manage and advise against any contractual arrangements that need to be put in place</w:t>
      </w:r>
      <w:r w:rsidR="00197991">
        <w:t xml:space="preserve">. </w:t>
      </w:r>
    </w:p>
    <w:p w14:paraId="54644EEF" w14:textId="77777777" w:rsidR="00B36BF5" w:rsidRDefault="00B36BF5" w:rsidP="00B36BF5">
      <w:pPr>
        <w:pStyle w:val="Heading1"/>
        <w:spacing w:after="120"/>
        <w:rPr>
          <w:rFonts w:cs="Arial"/>
          <w:szCs w:val="24"/>
        </w:rPr>
      </w:pPr>
    </w:p>
    <w:p w14:paraId="27350742" w14:textId="77777777" w:rsidR="00B36BF5" w:rsidRPr="0043487E" w:rsidRDefault="00B36BF5" w:rsidP="00B36BF5">
      <w:pPr>
        <w:pStyle w:val="Heading1"/>
        <w:spacing w:after="120"/>
        <w:rPr>
          <w:rFonts w:cs="Arial"/>
          <w:szCs w:val="24"/>
        </w:rPr>
      </w:pPr>
      <w:r w:rsidRPr="0043487E">
        <w:rPr>
          <w:rFonts w:cs="Arial"/>
          <w:szCs w:val="24"/>
        </w:rPr>
        <w:t>Staffing Implications</w:t>
      </w:r>
    </w:p>
    <w:p w14:paraId="78F9FABA" w14:textId="3BA9937C" w:rsidR="00B36BF5" w:rsidRDefault="008C66BB" w:rsidP="00B36BF5">
      <w:r>
        <w:t>Procurement to support tender process – if applicable</w:t>
      </w:r>
    </w:p>
    <w:p w14:paraId="738BC0C1" w14:textId="7E2B2169" w:rsidR="008C66BB" w:rsidRDefault="008C66BB" w:rsidP="00B36BF5">
      <w:r>
        <w:t>Communications team – to manage survey agency – if applicable</w:t>
      </w:r>
    </w:p>
    <w:p w14:paraId="57ADAD35" w14:textId="312ACFAC" w:rsidR="008C66BB" w:rsidRDefault="008C66BB" w:rsidP="00B36BF5">
      <w:r>
        <w:t>Communications team to deliver “in-house” model – if applicable</w:t>
      </w:r>
    </w:p>
    <w:p w14:paraId="169D6A28" w14:textId="77777777" w:rsidR="00B36BF5" w:rsidRDefault="00B36BF5" w:rsidP="00B36BF5">
      <w:pPr>
        <w:pStyle w:val="Heading1"/>
        <w:spacing w:after="120"/>
        <w:rPr>
          <w:rFonts w:cs="Arial"/>
          <w:szCs w:val="24"/>
        </w:rPr>
      </w:pPr>
      <w:r w:rsidRPr="009643BA">
        <w:rPr>
          <w:rFonts w:cs="Arial"/>
          <w:szCs w:val="24"/>
        </w:rPr>
        <w:lastRenderedPageBreak/>
        <w:t>Equality and Diversity Implications</w:t>
      </w:r>
    </w:p>
    <w:p w14:paraId="2FFE4671" w14:textId="77777777" w:rsidR="00B36BF5" w:rsidRPr="008E4CC5" w:rsidRDefault="00B36BF5" w:rsidP="00B36BF5">
      <w:pPr>
        <w:rPr>
          <w:rStyle w:val="Emphasis"/>
          <w:rFonts w:asciiTheme="minorBidi" w:hAnsiTheme="minorBidi" w:cstheme="minorBidi"/>
          <w:i w:val="0"/>
          <w:iCs w:val="0"/>
          <w:color w:val="242424"/>
          <w:shd w:val="clear" w:color="auto" w:fill="FFFFFF"/>
        </w:rPr>
      </w:pPr>
      <w:r w:rsidRPr="005511E0">
        <w:t xml:space="preserve">We have considered whether individuals with protected </w:t>
      </w:r>
      <w:r w:rsidRPr="005511E0">
        <w:rPr>
          <w:i/>
          <w:iCs/>
        </w:rPr>
        <w:t>characteristics will be disadvantaged as a consequence of the actions being taken.  Due regard has also been given to whether there is impact on each of the following protected groups as defined within the Equality Act 2010</w:t>
      </w:r>
      <w:r w:rsidRPr="008E4CC5">
        <w:rPr>
          <w:rStyle w:val="Emphasis"/>
          <w:rFonts w:asciiTheme="minorBidi" w:hAnsiTheme="minorBidi" w:cstheme="minorBidi"/>
          <w:color w:val="242424"/>
          <w:shd w:val="clear" w:color="auto" w:fill="FFFFFF"/>
        </w:rPr>
        <w:t>:</w:t>
      </w:r>
    </w:p>
    <w:p w14:paraId="48E12296" w14:textId="77777777" w:rsidR="00B36BF5" w:rsidRDefault="00B36BF5" w:rsidP="00B36BF5">
      <w:pPr>
        <w:rPr>
          <w:i/>
          <w:iCs/>
        </w:rPr>
      </w:pPr>
    </w:p>
    <w:tbl>
      <w:tblPr>
        <w:tblStyle w:val="TableGrid"/>
        <w:tblW w:w="0" w:type="auto"/>
        <w:tblLook w:val="04A0" w:firstRow="1" w:lastRow="0" w:firstColumn="1" w:lastColumn="0" w:noHBand="0" w:noVBand="1"/>
      </w:tblPr>
      <w:tblGrid>
        <w:gridCol w:w="3539"/>
        <w:gridCol w:w="567"/>
        <w:gridCol w:w="3827"/>
        <w:gridCol w:w="567"/>
      </w:tblGrid>
      <w:tr w:rsidR="005511E0" w:rsidRPr="00C93940" w14:paraId="25721617" w14:textId="77777777" w:rsidTr="00CA70D7">
        <w:tc>
          <w:tcPr>
            <w:tcW w:w="3539" w:type="dxa"/>
            <w:tcBorders>
              <w:top w:val="single" w:sz="4" w:space="0" w:color="auto"/>
              <w:left w:val="single" w:sz="4" w:space="0" w:color="auto"/>
              <w:bottom w:val="single" w:sz="4" w:space="0" w:color="auto"/>
              <w:right w:val="single" w:sz="4" w:space="0" w:color="auto"/>
            </w:tcBorders>
            <w:hideMark/>
          </w:tcPr>
          <w:p w14:paraId="7FF89D8B" w14:textId="77777777" w:rsidR="005511E0" w:rsidRPr="00C93940" w:rsidRDefault="005511E0" w:rsidP="005511E0">
            <w:r w:rsidRPr="00C93940">
              <w:t>Race</w:t>
            </w:r>
          </w:p>
        </w:tc>
        <w:tc>
          <w:tcPr>
            <w:tcW w:w="567" w:type="dxa"/>
            <w:tcBorders>
              <w:top w:val="single" w:sz="4" w:space="0" w:color="auto"/>
              <w:left w:val="single" w:sz="4" w:space="0" w:color="auto"/>
              <w:bottom w:val="single" w:sz="4" w:space="0" w:color="auto"/>
              <w:right w:val="single" w:sz="4" w:space="0" w:color="auto"/>
            </w:tcBorders>
          </w:tcPr>
          <w:p w14:paraId="7FC0E184" w14:textId="39CCD2E5" w:rsidR="005511E0" w:rsidRPr="00C93940" w:rsidRDefault="005511E0" w:rsidP="005511E0">
            <w:r>
              <w:t>N</w:t>
            </w:r>
          </w:p>
        </w:tc>
        <w:tc>
          <w:tcPr>
            <w:tcW w:w="3827" w:type="dxa"/>
            <w:tcBorders>
              <w:top w:val="single" w:sz="4" w:space="0" w:color="auto"/>
              <w:left w:val="single" w:sz="4" w:space="0" w:color="auto"/>
              <w:bottom w:val="single" w:sz="4" w:space="0" w:color="auto"/>
              <w:right w:val="single" w:sz="4" w:space="0" w:color="auto"/>
            </w:tcBorders>
            <w:hideMark/>
          </w:tcPr>
          <w:p w14:paraId="25988741" w14:textId="77777777" w:rsidR="005511E0" w:rsidRPr="00C93940" w:rsidRDefault="005511E0" w:rsidP="005511E0">
            <w:r w:rsidRPr="00C93940">
              <w:t>Religion or belief</w:t>
            </w:r>
          </w:p>
        </w:tc>
        <w:tc>
          <w:tcPr>
            <w:tcW w:w="567" w:type="dxa"/>
            <w:tcBorders>
              <w:top w:val="single" w:sz="4" w:space="0" w:color="auto"/>
              <w:left w:val="single" w:sz="4" w:space="0" w:color="auto"/>
              <w:bottom w:val="single" w:sz="4" w:space="0" w:color="auto"/>
              <w:right w:val="single" w:sz="4" w:space="0" w:color="auto"/>
            </w:tcBorders>
          </w:tcPr>
          <w:p w14:paraId="67899DA8" w14:textId="51A4AAE2" w:rsidR="005511E0" w:rsidRPr="00C93940" w:rsidRDefault="005511E0" w:rsidP="005511E0">
            <w:r w:rsidRPr="00B37AEF">
              <w:t>N</w:t>
            </w:r>
          </w:p>
        </w:tc>
      </w:tr>
      <w:tr w:rsidR="005511E0" w:rsidRPr="00C93940" w14:paraId="2D561BB1" w14:textId="77777777" w:rsidTr="00CA70D7">
        <w:tc>
          <w:tcPr>
            <w:tcW w:w="3539" w:type="dxa"/>
            <w:tcBorders>
              <w:top w:val="single" w:sz="4" w:space="0" w:color="auto"/>
              <w:left w:val="single" w:sz="4" w:space="0" w:color="auto"/>
              <w:bottom w:val="single" w:sz="4" w:space="0" w:color="auto"/>
              <w:right w:val="single" w:sz="4" w:space="0" w:color="auto"/>
            </w:tcBorders>
            <w:hideMark/>
          </w:tcPr>
          <w:p w14:paraId="24C644F4" w14:textId="77777777" w:rsidR="005511E0" w:rsidRPr="00C93940" w:rsidRDefault="005511E0" w:rsidP="005511E0">
            <w:r w:rsidRPr="00C93940">
              <w:t>Sex</w:t>
            </w:r>
          </w:p>
        </w:tc>
        <w:tc>
          <w:tcPr>
            <w:tcW w:w="567" w:type="dxa"/>
            <w:tcBorders>
              <w:top w:val="single" w:sz="4" w:space="0" w:color="auto"/>
              <w:left w:val="single" w:sz="4" w:space="0" w:color="auto"/>
              <w:bottom w:val="single" w:sz="4" w:space="0" w:color="auto"/>
              <w:right w:val="single" w:sz="4" w:space="0" w:color="auto"/>
            </w:tcBorders>
          </w:tcPr>
          <w:p w14:paraId="654FFAE3" w14:textId="35605411" w:rsidR="005511E0" w:rsidRPr="00C93940" w:rsidRDefault="005511E0" w:rsidP="005511E0">
            <w:r w:rsidRPr="00AB41C6">
              <w:t>N</w:t>
            </w:r>
          </w:p>
        </w:tc>
        <w:tc>
          <w:tcPr>
            <w:tcW w:w="3827" w:type="dxa"/>
            <w:tcBorders>
              <w:top w:val="single" w:sz="4" w:space="0" w:color="auto"/>
              <w:left w:val="single" w:sz="4" w:space="0" w:color="auto"/>
              <w:bottom w:val="single" w:sz="4" w:space="0" w:color="auto"/>
              <w:right w:val="single" w:sz="4" w:space="0" w:color="auto"/>
            </w:tcBorders>
            <w:hideMark/>
          </w:tcPr>
          <w:p w14:paraId="4858C3C9" w14:textId="77777777" w:rsidR="005511E0" w:rsidRPr="00C93940" w:rsidRDefault="005511E0" w:rsidP="005511E0">
            <w:r w:rsidRPr="00C93940">
              <w:t xml:space="preserve">Gender reassignment </w:t>
            </w:r>
          </w:p>
        </w:tc>
        <w:tc>
          <w:tcPr>
            <w:tcW w:w="567" w:type="dxa"/>
            <w:tcBorders>
              <w:top w:val="single" w:sz="4" w:space="0" w:color="auto"/>
              <w:left w:val="single" w:sz="4" w:space="0" w:color="auto"/>
              <w:bottom w:val="single" w:sz="4" w:space="0" w:color="auto"/>
              <w:right w:val="single" w:sz="4" w:space="0" w:color="auto"/>
            </w:tcBorders>
          </w:tcPr>
          <w:p w14:paraId="105BD063" w14:textId="6C6F6099" w:rsidR="005511E0" w:rsidRPr="00C93940" w:rsidRDefault="005511E0" w:rsidP="005511E0">
            <w:r w:rsidRPr="00B37AEF">
              <w:t>N</w:t>
            </w:r>
          </w:p>
        </w:tc>
      </w:tr>
      <w:tr w:rsidR="005511E0" w:rsidRPr="00C93940" w14:paraId="088A55D1" w14:textId="77777777" w:rsidTr="00CA70D7">
        <w:tc>
          <w:tcPr>
            <w:tcW w:w="3539" w:type="dxa"/>
            <w:tcBorders>
              <w:top w:val="single" w:sz="4" w:space="0" w:color="auto"/>
              <w:left w:val="single" w:sz="4" w:space="0" w:color="auto"/>
              <w:bottom w:val="single" w:sz="4" w:space="0" w:color="auto"/>
              <w:right w:val="single" w:sz="4" w:space="0" w:color="auto"/>
            </w:tcBorders>
            <w:hideMark/>
          </w:tcPr>
          <w:p w14:paraId="5B7111D7" w14:textId="77777777" w:rsidR="005511E0" w:rsidRPr="00C93940" w:rsidRDefault="005511E0" w:rsidP="005511E0">
            <w:r w:rsidRPr="00C93940">
              <w:t>Age</w:t>
            </w:r>
          </w:p>
        </w:tc>
        <w:tc>
          <w:tcPr>
            <w:tcW w:w="567" w:type="dxa"/>
            <w:tcBorders>
              <w:top w:val="single" w:sz="4" w:space="0" w:color="auto"/>
              <w:left w:val="single" w:sz="4" w:space="0" w:color="auto"/>
              <w:bottom w:val="single" w:sz="4" w:space="0" w:color="auto"/>
              <w:right w:val="single" w:sz="4" w:space="0" w:color="auto"/>
            </w:tcBorders>
          </w:tcPr>
          <w:p w14:paraId="1BC65C52" w14:textId="69F9BDEF" w:rsidR="005511E0" w:rsidRPr="00C93940" w:rsidRDefault="005511E0" w:rsidP="005511E0">
            <w:r w:rsidRPr="00AB41C6">
              <w:t>N</w:t>
            </w:r>
          </w:p>
        </w:tc>
        <w:tc>
          <w:tcPr>
            <w:tcW w:w="3827" w:type="dxa"/>
            <w:tcBorders>
              <w:top w:val="single" w:sz="4" w:space="0" w:color="auto"/>
              <w:left w:val="single" w:sz="4" w:space="0" w:color="auto"/>
              <w:bottom w:val="single" w:sz="4" w:space="0" w:color="auto"/>
              <w:right w:val="single" w:sz="4" w:space="0" w:color="auto"/>
            </w:tcBorders>
            <w:hideMark/>
          </w:tcPr>
          <w:p w14:paraId="23D068E4" w14:textId="77777777" w:rsidR="005511E0" w:rsidRPr="00C93940" w:rsidRDefault="005511E0" w:rsidP="005511E0">
            <w:r w:rsidRPr="00C93940">
              <w:t>Pregnancy &amp; maternity</w:t>
            </w:r>
          </w:p>
        </w:tc>
        <w:tc>
          <w:tcPr>
            <w:tcW w:w="567" w:type="dxa"/>
            <w:tcBorders>
              <w:top w:val="single" w:sz="4" w:space="0" w:color="auto"/>
              <w:left w:val="single" w:sz="4" w:space="0" w:color="auto"/>
              <w:bottom w:val="single" w:sz="4" w:space="0" w:color="auto"/>
              <w:right w:val="single" w:sz="4" w:space="0" w:color="auto"/>
            </w:tcBorders>
          </w:tcPr>
          <w:p w14:paraId="0D54C806" w14:textId="499BAB0F" w:rsidR="005511E0" w:rsidRPr="00C93940" w:rsidRDefault="005511E0" w:rsidP="005511E0">
            <w:r w:rsidRPr="00B37AEF">
              <w:t>N</w:t>
            </w:r>
          </w:p>
        </w:tc>
      </w:tr>
      <w:tr w:rsidR="005511E0" w:rsidRPr="00C93940" w14:paraId="29366B5F" w14:textId="77777777" w:rsidTr="00CA70D7">
        <w:tc>
          <w:tcPr>
            <w:tcW w:w="3539" w:type="dxa"/>
            <w:tcBorders>
              <w:top w:val="single" w:sz="4" w:space="0" w:color="auto"/>
              <w:left w:val="single" w:sz="4" w:space="0" w:color="auto"/>
              <w:bottom w:val="single" w:sz="4" w:space="0" w:color="auto"/>
              <w:right w:val="single" w:sz="4" w:space="0" w:color="auto"/>
            </w:tcBorders>
            <w:hideMark/>
          </w:tcPr>
          <w:p w14:paraId="3E0AD8EA" w14:textId="77777777" w:rsidR="005511E0" w:rsidRPr="00C93940" w:rsidRDefault="005511E0" w:rsidP="005511E0">
            <w:r w:rsidRPr="00C93940">
              <w:t>Disability</w:t>
            </w:r>
          </w:p>
        </w:tc>
        <w:tc>
          <w:tcPr>
            <w:tcW w:w="567" w:type="dxa"/>
            <w:tcBorders>
              <w:top w:val="single" w:sz="4" w:space="0" w:color="auto"/>
              <w:left w:val="single" w:sz="4" w:space="0" w:color="auto"/>
              <w:bottom w:val="single" w:sz="4" w:space="0" w:color="auto"/>
              <w:right w:val="single" w:sz="4" w:space="0" w:color="auto"/>
            </w:tcBorders>
          </w:tcPr>
          <w:p w14:paraId="4130665E" w14:textId="53293351" w:rsidR="005511E0" w:rsidRPr="00C93940" w:rsidRDefault="005511E0" w:rsidP="005511E0">
            <w:r w:rsidRPr="00AB41C6">
              <w:t>N</w:t>
            </w:r>
          </w:p>
        </w:tc>
        <w:tc>
          <w:tcPr>
            <w:tcW w:w="3827" w:type="dxa"/>
            <w:tcBorders>
              <w:top w:val="single" w:sz="4" w:space="0" w:color="auto"/>
              <w:left w:val="single" w:sz="4" w:space="0" w:color="auto"/>
              <w:bottom w:val="single" w:sz="4" w:space="0" w:color="auto"/>
              <w:right w:val="single" w:sz="4" w:space="0" w:color="auto"/>
            </w:tcBorders>
            <w:hideMark/>
          </w:tcPr>
          <w:p w14:paraId="78D40A6C" w14:textId="77777777" w:rsidR="005511E0" w:rsidRPr="00C93940" w:rsidRDefault="005511E0" w:rsidP="005511E0">
            <w:r w:rsidRPr="00C93940">
              <w:t>Marriage and Civil Partnership</w:t>
            </w:r>
          </w:p>
        </w:tc>
        <w:tc>
          <w:tcPr>
            <w:tcW w:w="567" w:type="dxa"/>
            <w:tcBorders>
              <w:top w:val="single" w:sz="4" w:space="0" w:color="auto"/>
              <w:left w:val="single" w:sz="4" w:space="0" w:color="auto"/>
              <w:bottom w:val="single" w:sz="4" w:space="0" w:color="auto"/>
              <w:right w:val="single" w:sz="4" w:space="0" w:color="auto"/>
            </w:tcBorders>
          </w:tcPr>
          <w:p w14:paraId="79A0CF1C" w14:textId="7C299063" w:rsidR="005511E0" w:rsidRPr="00C93940" w:rsidRDefault="005511E0" w:rsidP="005511E0">
            <w:r w:rsidRPr="00B37AEF">
              <w:t>N</w:t>
            </w:r>
          </w:p>
        </w:tc>
      </w:tr>
      <w:tr w:rsidR="005511E0" w:rsidRPr="00C93940" w14:paraId="65000EC3" w14:textId="77777777" w:rsidTr="00CA70D7">
        <w:tc>
          <w:tcPr>
            <w:tcW w:w="3539" w:type="dxa"/>
            <w:tcBorders>
              <w:top w:val="single" w:sz="4" w:space="0" w:color="auto"/>
              <w:left w:val="single" w:sz="4" w:space="0" w:color="auto"/>
              <w:bottom w:val="single" w:sz="4" w:space="0" w:color="auto"/>
              <w:right w:val="single" w:sz="4" w:space="0" w:color="auto"/>
            </w:tcBorders>
            <w:hideMark/>
          </w:tcPr>
          <w:p w14:paraId="27C1DB47" w14:textId="77777777" w:rsidR="005511E0" w:rsidRPr="00C93940" w:rsidRDefault="005511E0" w:rsidP="005511E0">
            <w:r w:rsidRPr="00C93940">
              <w:t>Sexual orientation</w:t>
            </w:r>
          </w:p>
        </w:tc>
        <w:tc>
          <w:tcPr>
            <w:tcW w:w="567" w:type="dxa"/>
            <w:tcBorders>
              <w:top w:val="single" w:sz="4" w:space="0" w:color="auto"/>
              <w:left w:val="single" w:sz="4" w:space="0" w:color="auto"/>
              <w:bottom w:val="single" w:sz="4" w:space="0" w:color="auto"/>
              <w:right w:val="single" w:sz="4" w:space="0" w:color="auto"/>
            </w:tcBorders>
          </w:tcPr>
          <w:p w14:paraId="5305FC5F" w14:textId="6EFA90DE" w:rsidR="005511E0" w:rsidRPr="00C93940" w:rsidRDefault="005511E0" w:rsidP="005511E0">
            <w:r w:rsidRPr="00AB41C6">
              <w:t>N</w:t>
            </w:r>
          </w:p>
        </w:tc>
        <w:tc>
          <w:tcPr>
            <w:tcW w:w="3827" w:type="dxa"/>
            <w:tcBorders>
              <w:top w:val="single" w:sz="4" w:space="0" w:color="auto"/>
              <w:left w:val="single" w:sz="4" w:space="0" w:color="auto"/>
              <w:bottom w:val="single" w:sz="4" w:space="0" w:color="auto"/>
              <w:right w:val="single" w:sz="4" w:space="0" w:color="auto"/>
            </w:tcBorders>
          </w:tcPr>
          <w:p w14:paraId="27AFB097" w14:textId="77777777" w:rsidR="005511E0" w:rsidRPr="00C93940" w:rsidRDefault="005511E0" w:rsidP="005511E0"/>
        </w:tc>
        <w:tc>
          <w:tcPr>
            <w:tcW w:w="567" w:type="dxa"/>
            <w:tcBorders>
              <w:top w:val="single" w:sz="4" w:space="0" w:color="auto"/>
              <w:left w:val="single" w:sz="4" w:space="0" w:color="auto"/>
              <w:bottom w:val="single" w:sz="4" w:space="0" w:color="auto"/>
              <w:right w:val="single" w:sz="4" w:space="0" w:color="auto"/>
            </w:tcBorders>
          </w:tcPr>
          <w:p w14:paraId="1A164FCC" w14:textId="77777777" w:rsidR="005511E0" w:rsidRPr="00C93940" w:rsidRDefault="005511E0" w:rsidP="005511E0"/>
        </w:tc>
      </w:tr>
    </w:tbl>
    <w:p w14:paraId="4E433DE2" w14:textId="77777777" w:rsidR="00B36BF5" w:rsidRDefault="00B36BF5" w:rsidP="00B36BF5"/>
    <w:p w14:paraId="04A9E84A" w14:textId="3D158F2B" w:rsidR="00B36BF5" w:rsidRPr="005511E0" w:rsidRDefault="00B36BF5" w:rsidP="00B36BF5">
      <w:pPr>
        <w:autoSpaceDE w:val="0"/>
        <w:autoSpaceDN w:val="0"/>
        <w:adjustRightInd w:val="0"/>
        <w:spacing w:after="289"/>
      </w:pPr>
      <w:r w:rsidRPr="005511E0">
        <w:t>The proposal seeks to gain the views of Essex public and partners.</w:t>
      </w:r>
      <w:r w:rsidR="00197991" w:rsidRPr="005511E0">
        <w:t xml:space="preserve"> Protected characteristics will not be disadvantaged.</w:t>
      </w:r>
    </w:p>
    <w:p w14:paraId="0541028D" w14:textId="3C1E3A45" w:rsidR="00B36BF5" w:rsidRPr="005511E0" w:rsidRDefault="00B36BF5" w:rsidP="00B36BF5">
      <w:pPr>
        <w:autoSpaceDE w:val="0"/>
        <w:autoSpaceDN w:val="0"/>
        <w:adjustRightInd w:val="0"/>
      </w:pPr>
      <w:r w:rsidRPr="005511E0">
        <w:t xml:space="preserve">The external survey provider will engage a representative sample of the public of Essex. A representative sample includes but is not limited to: </w:t>
      </w:r>
    </w:p>
    <w:p w14:paraId="1B149C2E" w14:textId="77777777" w:rsidR="00B36BF5" w:rsidRPr="005511E0" w:rsidRDefault="00B36BF5" w:rsidP="00E65BFF">
      <w:pPr>
        <w:pStyle w:val="ListParagraph"/>
        <w:numPr>
          <w:ilvl w:val="0"/>
          <w:numId w:val="20"/>
        </w:numPr>
        <w:autoSpaceDE w:val="0"/>
        <w:autoSpaceDN w:val="0"/>
        <w:adjustRightInd w:val="0"/>
        <w:spacing w:after="17"/>
      </w:pPr>
      <w:r w:rsidRPr="005511E0">
        <w:t xml:space="preserve">Clear demographic and geographic representation of the landscape of Essex. </w:t>
      </w:r>
    </w:p>
    <w:p w14:paraId="00B85C9E" w14:textId="77777777" w:rsidR="00B36BF5" w:rsidRPr="005511E0" w:rsidRDefault="00B36BF5" w:rsidP="00E65BFF">
      <w:pPr>
        <w:pStyle w:val="ListParagraph"/>
        <w:numPr>
          <w:ilvl w:val="0"/>
          <w:numId w:val="20"/>
        </w:numPr>
        <w:autoSpaceDE w:val="0"/>
        <w:autoSpaceDN w:val="0"/>
        <w:adjustRightInd w:val="0"/>
      </w:pPr>
      <w:r w:rsidRPr="005511E0">
        <w:t>Traditionally less heard groups such as ethnic minorities, and those with disabilities (physical, learning, and sensory)</w:t>
      </w:r>
    </w:p>
    <w:p w14:paraId="3BC5CCF3" w14:textId="77777777" w:rsidR="00B36BF5" w:rsidRDefault="00B36BF5" w:rsidP="00B36BF5"/>
    <w:p w14:paraId="2E545EEC" w14:textId="77777777" w:rsidR="00B36BF5" w:rsidRPr="005511E0" w:rsidRDefault="00B36BF5" w:rsidP="00B36BF5">
      <w:r w:rsidRPr="005511E0">
        <w:t>The Core Code of Ethics Fire Standard has been fully considered and incorporated into the proposals outlined in this paper.</w:t>
      </w:r>
    </w:p>
    <w:p w14:paraId="75CA3E1A" w14:textId="77777777" w:rsidR="00B36BF5" w:rsidRDefault="00B36BF5" w:rsidP="00B36BF5"/>
    <w:p w14:paraId="7CF4D25C" w14:textId="77777777" w:rsidR="00B36BF5" w:rsidRPr="0043487E" w:rsidRDefault="00B36BF5" w:rsidP="00B36BF5">
      <w:pPr>
        <w:pStyle w:val="Heading1"/>
        <w:spacing w:after="120"/>
        <w:rPr>
          <w:rFonts w:cs="Arial"/>
          <w:szCs w:val="24"/>
        </w:rPr>
      </w:pPr>
      <w:r w:rsidRPr="0043487E">
        <w:rPr>
          <w:rFonts w:cs="Arial"/>
          <w:szCs w:val="24"/>
        </w:rPr>
        <w:t>Health and safety implications</w:t>
      </w:r>
    </w:p>
    <w:p w14:paraId="5737120D" w14:textId="6EAE3EB5" w:rsidR="00B36BF5" w:rsidRDefault="00B36BF5" w:rsidP="00B36BF5">
      <w:r>
        <w:t xml:space="preserve">None identified </w:t>
      </w:r>
    </w:p>
    <w:p w14:paraId="76BC55A9" w14:textId="77777777" w:rsidR="00B36BF5" w:rsidRPr="00E25007" w:rsidRDefault="00B36BF5" w:rsidP="00B36BF5"/>
    <w:p w14:paraId="322F258A" w14:textId="77777777" w:rsidR="00B36BF5" w:rsidRDefault="00B36BF5" w:rsidP="00B36BF5">
      <w:pPr>
        <w:pStyle w:val="Heading1"/>
        <w:spacing w:after="120"/>
        <w:rPr>
          <w:rFonts w:cs="Arial"/>
          <w:szCs w:val="24"/>
        </w:rPr>
      </w:pPr>
      <w:r>
        <w:rPr>
          <w:rFonts w:cs="Arial"/>
          <w:szCs w:val="24"/>
        </w:rPr>
        <w:t>consultation and</w:t>
      </w:r>
      <w:r w:rsidRPr="009643BA">
        <w:rPr>
          <w:rFonts w:cs="Arial"/>
          <w:szCs w:val="24"/>
        </w:rPr>
        <w:t xml:space="preserve"> Engagement</w:t>
      </w:r>
    </w:p>
    <w:p w14:paraId="55BFDD66" w14:textId="0D8A38A5" w:rsidR="00B36BF5" w:rsidRPr="00B56D23" w:rsidRDefault="008C66BB" w:rsidP="00B36BF5">
      <w:r>
        <w:rPr>
          <w:rStyle w:val="normaltextrun"/>
          <w:color w:val="000000"/>
          <w:shd w:val="clear" w:color="auto" w:fill="FFFFFF"/>
        </w:rPr>
        <w:t xml:space="preserve">This survey (whether in-house or through an agency) will be consultative in </w:t>
      </w:r>
      <w:r w:rsidR="00E65BFF">
        <w:rPr>
          <w:rStyle w:val="normaltextrun"/>
          <w:color w:val="000000"/>
          <w:shd w:val="clear" w:color="auto" w:fill="FFFFFF"/>
        </w:rPr>
        <w:t>approach and</w:t>
      </w:r>
      <w:r>
        <w:rPr>
          <w:rStyle w:val="normaltextrun"/>
          <w:color w:val="000000"/>
          <w:shd w:val="clear" w:color="auto" w:fill="FFFFFF"/>
        </w:rPr>
        <w:t xml:space="preserve"> engage with audiences across the county. </w:t>
      </w:r>
      <w:r w:rsidR="00B36BF5">
        <w:rPr>
          <w:rStyle w:val="normaltextrun"/>
          <w:color w:val="000000"/>
          <w:shd w:val="clear" w:color="auto" w:fill="FFFFFF"/>
        </w:rPr>
        <w:t>Those audiences will then be more informed when we consult on the Fire and Rescue Plan, and the Community Risk Management Plan.</w:t>
      </w:r>
    </w:p>
    <w:p w14:paraId="3C9D69B9" w14:textId="77777777" w:rsidR="00B36BF5" w:rsidRDefault="00B36BF5" w:rsidP="00B36BF5"/>
    <w:p w14:paraId="20F755D9" w14:textId="77777777" w:rsidR="00B36BF5" w:rsidRDefault="00B36BF5" w:rsidP="00B36BF5">
      <w:pPr>
        <w:pStyle w:val="Heading1"/>
        <w:spacing w:after="120"/>
        <w:rPr>
          <w:rFonts w:cs="Arial"/>
          <w:szCs w:val="24"/>
        </w:rPr>
      </w:pPr>
      <w:r>
        <w:rPr>
          <w:rFonts w:cs="Arial"/>
          <w:szCs w:val="24"/>
        </w:rPr>
        <w:t>future plans</w:t>
      </w:r>
    </w:p>
    <w:p w14:paraId="12B4B344" w14:textId="060D63BA" w:rsidR="00197991" w:rsidRDefault="00197991" w:rsidP="00B36BF5">
      <w:r>
        <w:t>The results will provide additional data regarding our communities, help shape our CRMP work.</w:t>
      </w:r>
      <w:r w:rsidR="00B055D8">
        <w:t xml:space="preserve"> </w:t>
      </w:r>
      <w:r>
        <w:rPr>
          <w:rStyle w:val="normaltextrun"/>
          <w:color w:val="000000"/>
          <w:shd w:val="clear" w:color="auto" w:fill="FFFFFF"/>
        </w:rPr>
        <w:t>Through procurement, it’s suggested that we look to have the option to extend the contract for a further 12-24 months (at the same rate/ fixed price). This could help inform the CRMP delivery and the fire and rescue plan.</w:t>
      </w:r>
    </w:p>
    <w:p w14:paraId="66059562" w14:textId="77777777" w:rsidR="00E65BFF" w:rsidRDefault="00E65BFF" w:rsidP="00B36BF5">
      <w:pPr>
        <w:pStyle w:val="Heading1"/>
        <w:spacing w:after="120"/>
        <w:rPr>
          <w:rFonts w:cs="Arial"/>
          <w:szCs w:val="24"/>
        </w:rPr>
      </w:pPr>
    </w:p>
    <w:p w14:paraId="3ABCD1B5" w14:textId="4BF3E0D8" w:rsidR="00B36BF5" w:rsidRDefault="00B36BF5" w:rsidP="00B36BF5">
      <w:pPr>
        <w:pStyle w:val="Heading1"/>
        <w:spacing w:after="120"/>
        <w:rPr>
          <w:rFonts w:cs="Arial"/>
          <w:szCs w:val="24"/>
        </w:rPr>
      </w:pPr>
      <w:r w:rsidRPr="00496D22">
        <w:rPr>
          <w:rFonts w:cs="Arial"/>
          <w:szCs w:val="24"/>
        </w:rPr>
        <w:t>List of background papers and appendices</w:t>
      </w:r>
    </w:p>
    <w:p w14:paraId="589FA43F" w14:textId="01E00B01" w:rsidR="00B36BF5" w:rsidRDefault="00B36BF5" w:rsidP="00B36BF5">
      <w:r>
        <w:t xml:space="preserve">Appendix A – </w:t>
      </w:r>
      <w:r w:rsidR="008C66BB">
        <w:t>Corporate Communications strategy 2022</w:t>
      </w:r>
    </w:p>
    <w:p w14:paraId="76BAF7E6" w14:textId="77777777" w:rsidR="00E65BFF" w:rsidRDefault="00E65BFF" w:rsidP="00B36BF5"/>
    <w:p w14:paraId="10D13E6A" w14:textId="77777777" w:rsidR="00B36BF5" w:rsidRDefault="00B36BF5" w:rsidP="00B36BF5">
      <w:r>
        <w:t>Appendix B – HMICFRS public perception survey 2021</w:t>
      </w:r>
    </w:p>
    <w:p w14:paraId="25DECBE8" w14:textId="77777777" w:rsidR="00B36BF5" w:rsidRDefault="00B36BF5" w:rsidP="00B36BF5"/>
    <w:p w14:paraId="6F41552D" w14:textId="568960F5" w:rsidR="00B36BF5" w:rsidRDefault="00B36BF5" w:rsidP="00B36BF5">
      <w:r>
        <w:t>Appendix C – HMICFRS public perception survey 2019</w:t>
      </w:r>
    </w:p>
    <w:p w14:paraId="5F6C2438" w14:textId="4C027168" w:rsidR="00B36BF5" w:rsidRDefault="00763E45">
      <w:hyperlink r:id="rId13" w:history="1">
        <w:r w:rsidR="00B36BF5" w:rsidRPr="004023FE">
          <w:rPr>
            <w:rStyle w:val="Hyperlink"/>
          </w:rPr>
          <w:t>https://www.justiceinspectorates.gov.uk/hmicfrs/wp-content/uploads/public-perceptions-of-frs-survey-data-2019.csv</w:t>
        </w:r>
      </w:hyperlink>
    </w:p>
    <w:sectPr w:rsidR="00B36BF5" w:rsidSect="0029079A">
      <w:headerReference w:type="default" r:id="rId14"/>
      <w:type w:val="continuous"/>
      <w:pgSz w:w="11906" w:h="16838" w:code="9"/>
      <w:pgMar w:top="1021" w:right="1361" w:bottom="680" w:left="130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22CE" w14:textId="77777777" w:rsidR="001B3AD3" w:rsidRDefault="001B3AD3" w:rsidP="00B36BF5">
      <w:r>
        <w:separator/>
      </w:r>
    </w:p>
  </w:endnote>
  <w:endnote w:type="continuationSeparator" w:id="0">
    <w:p w14:paraId="4AF8F892" w14:textId="77777777" w:rsidR="001B3AD3" w:rsidRDefault="001B3AD3" w:rsidP="00B36BF5">
      <w:r>
        <w:continuationSeparator/>
      </w:r>
    </w:p>
  </w:endnote>
  <w:endnote w:type="continuationNotice" w:id="1">
    <w:p w14:paraId="55C0D377" w14:textId="77777777" w:rsidR="001B3AD3" w:rsidRDefault="001B3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DF39" w14:textId="77777777" w:rsidR="00C348A9" w:rsidRDefault="00C348A9" w:rsidP="00935856">
    <w:pPr>
      <w:pStyle w:val="Footer"/>
      <w:jc w:val="center"/>
    </w:pPr>
  </w:p>
  <w:p w14:paraId="6A280FB6" w14:textId="5D04FEBF" w:rsidR="00B36BF5" w:rsidRDefault="00B36BF5" w:rsidP="00935856">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7A32" w14:textId="77777777" w:rsidR="00B36BF5" w:rsidRDefault="00B36BF5" w:rsidP="005679D4">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951D" w14:textId="77777777" w:rsidR="001B3AD3" w:rsidRDefault="001B3AD3" w:rsidP="00B36BF5">
      <w:r>
        <w:separator/>
      </w:r>
    </w:p>
  </w:footnote>
  <w:footnote w:type="continuationSeparator" w:id="0">
    <w:p w14:paraId="6B58727A" w14:textId="77777777" w:rsidR="001B3AD3" w:rsidRDefault="001B3AD3" w:rsidP="00B36BF5">
      <w:r>
        <w:continuationSeparator/>
      </w:r>
    </w:p>
  </w:footnote>
  <w:footnote w:type="continuationNotice" w:id="1">
    <w:p w14:paraId="38BBDF30" w14:textId="77777777" w:rsidR="001B3AD3" w:rsidRDefault="001B3A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3AA0" w14:textId="77777777" w:rsidR="00B36BF5" w:rsidRDefault="00B36BF5" w:rsidP="00495124">
    <w:pPr>
      <w:pStyle w:val="Header"/>
      <w:rPr>
        <w:rFonts w:ascii="Rockwell" w:hAnsi="Rockwell"/>
        <w:b/>
        <w:bCs/>
        <w:sz w:val="30"/>
        <w:szCs w:val="30"/>
      </w:rPr>
    </w:pPr>
    <w:r w:rsidRPr="002C60AD">
      <w:rPr>
        <w:rFonts w:ascii="Rockwell" w:hAnsi="Rockwell"/>
        <w:b/>
        <w:bCs/>
        <w:noProof/>
        <w:sz w:val="30"/>
        <w:szCs w:val="30"/>
        <w:lang w:eastAsia="en-GB"/>
      </w:rPr>
      <w:drawing>
        <wp:anchor distT="0" distB="0" distL="114300" distR="114300" simplePos="0" relativeHeight="251658240" behindDoc="0" locked="0" layoutInCell="1" allowOverlap="1" wp14:anchorId="2E541ECF" wp14:editId="6C2EAB56">
          <wp:simplePos x="0" y="0"/>
          <wp:positionH relativeFrom="margin">
            <wp:posOffset>5216079</wp:posOffset>
          </wp:positionH>
          <wp:positionV relativeFrom="paragraph">
            <wp:posOffset>-335772</wp:posOffset>
          </wp:positionV>
          <wp:extent cx="1181100" cy="1177900"/>
          <wp:effectExtent l="0" t="0" r="0" b="3810"/>
          <wp:wrapNone/>
          <wp:docPr id="1" name="Picture 1" descr="http://servicenet/_img/docs/png_1554468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enet/_img/docs/png_15544689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11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0AD">
      <w:rPr>
        <w:rFonts w:ascii="Rockwell" w:hAnsi="Rockwell"/>
        <w:b/>
        <w:bCs/>
        <w:sz w:val="30"/>
        <w:szCs w:val="30"/>
      </w:rPr>
      <w:t>ESSEX POLICE, FIRE AND CRIME COMMISSIONER</w:t>
    </w:r>
  </w:p>
  <w:p w14:paraId="4361BFE7" w14:textId="77777777" w:rsidR="00B36BF5" w:rsidRDefault="00B36BF5" w:rsidP="00495124">
    <w:pPr>
      <w:pStyle w:val="Header"/>
      <w:rPr>
        <w:rFonts w:ascii="Rockwell" w:hAnsi="Rockwell"/>
        <w:b/>
        <w:bCs/>
        <w:sz w:val="30"/>
        <w:szCs w:val="30"/>
      </w:rPr>
    </w:pPr>
    <w:r w:rsidRPr="002C60AD">
      <w:rPr>
        <w:rFonts w:ascii="Rockwell" w:hAnsi="Rockwell"/>
        <w:b/>
        <w:bCs/>
        <w:sz w:val="30"/>
        <w:szCs w:val="30"/>
      </w:rPr>
      <w:t>FIRE &amp; RESCUE AUTHORIT</w:t>
    </w:r>
    <w:r>
      <w:rPr>
        <w:rFonts w:ascii="Rockwell" w:hAnsi="Rockwell"/>
        <w:b/>
        <w:bCs/>
        <w:sz w:val="30"/>
        <w:szCs w:val="30"/>
      </w:rPr>
      <w:t>Y</w:t>
    </w:r>
  </w:p>
  <w:p w14:paraId="180BC81A" w14:textId="77777777" w:rsidR="00B36BF5" w:rsidRDefault="00B36BF5" w:rsidP="00495124">
    <w:pPr>
      <w:pStyle w:val="Header"/>
      <w:rPr>
        <w:rFonts w:ascii="Rockwell" w:hAnsi="Rockwell"/>
        <w:b/>
        <w:bCs/>
        <w:sz w:val="30"/>
        <w:szCs w:val="30"/>
      </w:rPr>
    </w:pPr>
    <w:r w:rsidRPr="002C60AD">
      <w:rPr>
        <w:rFonts w:ascii="Rockwell" w:hAnsi="Rockwell"/>
        <w:b/>
        <w:bCs/>
        <w:sz w:val="30"/>
        <w:szCs w:val="30"/>
      </w:rPr>
      <w:t>Essex County Fire &amp; Rescue Servic</w:t>
    </w:r>
    <w:r>
      <w:rPr>
        <w:rFonts w:ascii="Rockwell" w:hAnsi="Rockwell"/>
        <w:b/>
        <w:bCs/>
        <w:sz w:val="30"/>
        <w:szCs w:val="30"/>
      </w:rPr>
      <w:t>e</w:t>
    </w:r>
  </w:p>
  <w:p w14:paraId="1708565A" w14:textId="77777777" w:rsidR="00B36BF5" w:rsidRDefault="00B36BF5" w:rsidP="00495124">
    <w:pPr>
      <w:pStyle w:val="Header"/>
      <w:rPr>
        <w:rFonts w:ascii="Rockwell" w:hAnsi="Rockwell"/>
        <w:b/>
        <w:bCs/>
        <w:sz w:val="30"/>
        <w:szCs w:val="30"/>
      </w:rPr>
    </w:pPr>
  </w:p>
  <w:p w14:paraId="35E58A6C" w14:textId="77777777" w:rsidR="00B36BF5" w:rsidRPr="002C60AD" w:rsidRDefault="00B36BF5" w:rsidP="00495124">
    <w:pPr>
      <w:pStyle w:val="Header"/>
      <w:shd w:val="clear" w:color="auto" w:fill="C00000"/>
      <w:ind w:left="-851" w:righ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EEAA" w14:textId="77777777" w:rsidR="000B698B" w:rsidRDefault="00763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F2519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16260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87AB9"/>
    <w:multiLevelType w:val="hybridMultilevel"/>
    <w:tmpl w:val="C29A0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70B1E"/>
    <w:multiLevelType w:val="hybridMultilevel"/>
    <w:tmpl w:val="922620F8"/>
    <w:lvl w:ilvl="0" w:tplc="E1D6931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D067B3"/>
    <w:multiLevelType w:val="hybridMultilevel"/>
    <w:tmpl w:val="D166F1D8"/>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0755261"/>
    <w:multiLevelType w:val="hybridMultilevel"/>
    <w:tmpl w:val="46F6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CA15F4"/>
    <w:multiLevelType w:val="hybridMultilevel"/>
    <w:tmpl w:val="AB7EB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02532F"/>
    <w:multiLevelType w:val="hybridMultilevel"/>
    <w:tmpl w:val="F65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83324"/>
    <w:multiLevelType w:val="hybridMultilevel"/>
    <w:tmpl w:val="5F3AB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DD38D5"/>
    <w:multiLevelType w:val="hybridMultilevel"/>
    <w:tmpl w:val="08EA3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C925E1"/>
    <w:multiLevelType w:val="hybridMultilevel"/>
    <w:tmpl w:val="E9E4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2489E"/>
    <w:multiLevelType w:val="hybridMultilevel"/>
    <w:tmpl w:val="1CAC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323B2"/>
    <w:multiLevelType w:val="hybridMultilevel"/>
    <w:tmpl w:val="5DA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75E49"/>
    <w:multiLevelType w:val="hybridMultilevel"/>
    <w:tmpl w:val="BB5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A74FF"/>
    <w:multiLevelType w:val="hybridMultilevel"/>
    <w:tmpl w:val="3F92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061A0"/>
    <w:multiLevelType w:val="hybridMultilevel"/>
    <w:tmpl w:val="28E08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180E52"/>
    <w:multiLevelType w:val="hybridMultilevel"/>
    <w:tmpl w:val="052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20841"/>
    <w:multiLevelType w:val="hybridMultilevel"/>
    <w:tmpl w:val="C884F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4B4210"/>
    <w:multiLevelType w:val="hybridMultilevel"/>
    <w:tmpl w:val="4420E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B1B1D"/>
    <w:multiLevelType w:val="hybridMultilevel"/>
    <w:tmpl w:val="B8DEB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6310479">
    <w:abstractNumId w:val="7"/>
  </w:num>
  <w:num w:numId="2" w16cid:durableId="1450127492">
    <w:abstractNumId w:val="5"/>
  </w:num>
  <w:num w:numId="3" w16cid:durableId="1816100375">
    <w:abstractNumId w:val="3"/>
  </w:num>
  <w:num w:numId="4" w16cid:durableId="85008327">
    <w:abstractNumId w:val="8"/>
  </w:num>
  <w:num w:numId="5" w16cid:durableId="975334041">
    <w:abstractNumId w:val="2"/>
  </w:num>
  <w:num w:numId="6" w16cid:durableId="1285307601">
    <w:abstractNumId w:val="0"/>
  </w:num>
  <w:num w:numId="7" w16cid:durableId="1443724247">
    <w:abstractNumId w:val="4"/>
  </w:num>
  <w:num w:numId="8" w16cid:durableId="996349520">
    <w:abstractNumId w:val="17"/>
  </w:num>
  <w:num w:numId="9" w16cid:durableId="1035888572">
    <w:abstractNumId w:val="9"/>
  </w:num>
  <w:num w:numId="10" w16cid:durableId="975912756">
    <w:abstractNumId w:val="19"/>
  </w:num>
  <w:num w:numId="11" w16cid:durableId="470446472">
    <w:abstractNumId w:val="1"/>
  </w:num>
  <w:num w:numId="12" w16cid:durableId="1788305011">
    <w:abstractNumId w:val="6"/>
  </w:num>
  <w:num w:numId="13" w16cid:durableId="444733050">
    <w:abstractNumId w:val="15"/>
  </w:num>
  <w:num w:numId="14" w16cid:durableId="320816251">
    <w:abstractNumId w:val="11"/>
  </w:num>
  <w:num w:numId="15" w16cid:durableId="485632291">
    <w:abstractNumId w:val="10"/>
  </w:num>
  <w:num w:numId="16" w16cid:durableId="2068454844">
    <w:abstractNumId w:val="13"/>
  </w:num>
  <w:num w:numId="17" w16cid:durableId="1707875609">
    <w:abstractNumId w:val="18"/>
  </w:num>
  <w:num w:numId="18" w16cid:durableId="2133398421">
    <w:abstractNumId w:val="14"/>
  </w:num>
  <w:num w:numId="19" w16cid:durableId="138886750">
    <w:abstractNumId w:val="16"/>
  </w:num>
  <w:num w:numId="20" w16cid:durableId="16587982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F5"/>
    <w:rsid w:val="00017984"/>
    <w:rsid w:val="00097B94"/>
    <w:rsid w:val="00141B5B"/>
    <w:rsid w:val="00197991"/>
    <w:rsid w:val="001B3AD3"/>
    <w:rsid w:val="001E7E55"/>
    <w:rsid w:val="00210C28"/>
    <w:rsid w:val="00212125"/>
    <w:rsid w:val="003F0D31"/>
    <w:rsid w:val="00484F15"/>
    <w:rsid w:val="004F2DC1"/>
    <w:rsid w:val="00506D07"/>
    <w:rsid w:val="005511E0"/>
    <w:rsid w:val="005B755E"/>
    <w:rsid w:val="00685096"/>
    <w:rsid w:val="006C22F7"/>
    <w:rsid w:val="006E7D30"/>
    <w:rsid w:val="00763E45"/>
    <w:rsid w:val="007A626E"/>
    <w:rsid w:val="00811A85"/>
    <w:rsid w:val="00831A34"/>
    <w:rsid w:val="008C66BB"/>
    <w:rsid w:val="0099471C"/>
    <w:rsid w:val="00A12167"/>
    <w:rsid w:val="00A21F1B"/>
    <w:rsid w:val="00A47BE5"/>
    <w:rsid w:val="00A516AA"/>
    <w:rsid w:val="00AE7DD2"/>
    <w:rsid w:val="00B055D8"/>
    <w:rsid w:val="00B158A6"/>
    <w:rsid w:val="00B36BF5"/>
    <w:rsid w:val="00BB4692"/>
    <w:rsid w:val="00C334C0"/>
    <w:rsid w:val="00C348A9"/>
    <w:rsid w:val="00C5760E"/>
    <w:rsid w:val="00C64B56"/>
    <w:rsid w:val="00CA0B06"/>
    <w:rsid w:val="00CA23DE"/>
    <w:rsid w:val="00DD6C3A"/>
    <w:rsid w:val="00E55CD0"/>
    <w:rsid w:val="00E6560F"/>
    <w:rsid w:val="00E65BFF"/>
    <w:rsid w:val="00EE1EB0"/>
    <w:rsid w:val="00F33FDC"/>
    <w:rsid w:val="00FB06FD"/>
    <w:rsid w:val="00FC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3F7D"/>
  <w15:chartTrackingRefBased/>
  <w15:docId w15:val="{B4AC8A33-98CD-DF44-9DD1-63561418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F5"/>
    <w:rPr>
      <w:rFonts w:ascii="Arial" w:eastAsia="Times New Roman" w:hAnsi="Arial" w:cs="Arial"/>
    </w:rPr>
  </w:style>
  <w:style w:type="paragraph" w:styleId="Heading1">
    <w:name w:val="heading 1"/>
    <w:basedOn w:val="Normal"/>
    <w:next w:val="Normal"/>
    <w:link w:val="Heading1Char"/>
    <w:qFormat/>
    <w:rsid w:val="00B36BF5"/>
    <w:pPr>
      <w:keepNext/>
      <w:keepLines/>
      <w:spacing w:after="240"/>
      <w:outlineLvl w:val="0"/>
    </w:pPr>
    <w:rPr>
      <w:rFonts w:eastAsiaTheme="majorEastAsia" w:cstheme="majorBidi"/>
      <w:b/>
      <w:cap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6BF5"/>
    <w:pPr>
      <w:tabs>
        <w:tab w:val="center" w:pos="4513"/>
        <w:tab w:val="right" w:pos="9026"/>
      </w:tabs>
    </w:pPr>
  </w:style>
  <w:style w:type="character" w:customStyle="1" w:styleId="HeaderChar">
    <w:name w:val="Header Char"/>
    <w:basedOn w:val="DefaultParagraphFont"/>
    <w:link w:val="Header"/>
    <w:rsid w:val="00B36BF5"/>
  </w:style>
  <w:style w:type="paragraph" w:styleId="Footer">
    <w:name w:val="footer"/>
    <w:basedOn w:val="Normal"/>
    <w:link w:val="FooterChar"/>
    <w:unhideWhenUsed/>
    <w:rsid w:val="00B36BF5"/>
    <w:pPr>
      <w:tabs>
        <w:tab w:val="center" w:pos="4513"/>
        <w:tab w:val="right" w:pos="9026"/>
      </w:tabs>
    </w:pPr>
  </w:style>
  <w:style w:type="character" w:customStyle="1" w:styleId="FooterChar">
    <w:name w:val="Footer Char"/>
    <w:basedOn w:val="DefaultParagraphFont"/>
    <w:link w:val="Footer"/>
    <w:uiPriority w:val="99"/>
    <w:rsid w:val="00B36BF5"/>
  </w:style>
  <w:style w:type="character" w:customStyle="1" w:styleId="Heading1Char">
    <w:name w:val="Heading 1 Char"/>
    <w:basedOn w:val="DefaultParagraphFont"/>
    <w:link w:val="Heading1"/>
    <w:rsid w:val="00B36BF5"/>
    <w:rPr>
      <w:rFonts w:ascii="Arial" w:eastAsiaTheme="majorEastAsia" w:hAnsi="Arial" w:cstheme="majorBidi"/>
      <w:b/>
      <w:caps/>
      <w:color w:val="000000" w:themeColor="text1"/>
      <w:szCs w:val="32"/>
    </w:rPr>
  </w:style>
  <w:style w:type="paragraph" w:styleId="ListParagraph">
    <w:name w:val="List Paragraph"/>
    <w:aliases w:val="Outline List"/>
    <w:basedOn w:val="Normal"/>
    <w:uiPriority w:val="34"/>
    <w:qFormat/>
    <w:rsid w:val="00B36BF5"/>
    <w:pPr>
      <w:ind w:left="720"/>
    </w:pPr>
  </w:style>
  <w:style w:type="character" w:styleId="Hyperlink">
    <w:name w:val="Hyperlink"/>
    <w:rsid w:val="00B36BF5"/>
    <w:rPr>
      <w:color w:val="0000FF"/>
      <w:u w:val="single"/>
    </w:rPr>
  </w:style>
  <w:style w:type="table" w:styleId="TableGrid">
    <w:name w:val="Table Grid"/>
    <w:basedOn w:val="TableNormal"/>
    <w:uiPriority w:val="39"/>
    <w:rsid w:val="00B36BF5"/>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6BF5"/>
  </w:style>
  <w:style w:type="character" w:customStyle="1" w:styleId="eop">
    <w:name w:val="eop"/>
    <w:basedOn w:val="DefaultParagraphFont"/>
    <w:rsid w:val="00B36BF5"/>
  </w:style>
  <w:style w:type="character" w:styleId="Emphasis">
    <w:name w:val="Emphasis"/>
    <w:basedOn w:val="DefaultParagraphFont"/>
    <w:uiPriority w:val="20"/>
    <w:qFormat/>
    <w:rsid w:val="00B36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usticeinspectorates.gov.uk/hmicfrs/wp-content/uploads/public-perceptions-of-frs-survey-data-2019.cs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D3EEF8E9EDC46B478A4473E4323F7" ma:contentTypeVersion="21" ma:contentTypeDescription="Create a new document." ma:contentTypeScope="" ma:versionID="cc72c3bddfaca746f16fcfed7144e949">
  <xsd:schema xmlns:xsd="http://www.w3.org/2001/XMLSchema" xmlns:xs="http://www.w3.org/2001/XMLSchema" xmlns:p="http://schemas.microsoft.com/office/2006/metadata/properties" xmlns:ns2="459aab71-75e7-44f4-b476-c54dc003ee83" xmlns:ns3="a7d7d0a4-b144-46ba-b9a0-b872bbac920e" xmlns:ns4="6f0d0c61-922d-48b4-b62f-1ef0f8a428b6" targetNamespace="http://schemas.microsoft.com/office/2006/metadata/properties" ma:root="true" ma:fieldsID="cd040ff532bdedb8c63f697626bd51d6" ns2:_="" ns3:_="" ns4:_="">
    <xsd:import namespace="459aab71-75e7-44f4-b476-c54dc003ee83"/>
    <xsd:import namespace="a7d7d0a4-b144-46ba-b9a0-b872bbac920e"/>
    <xsd:import namespace="6f0d0c61-922d-48b4-b62f-1ef0f8a428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aab71-75e7-44f4-b476-c54dc003e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781236-037b-411b-a023-bd80484dbe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7d0a4-b144-46ba-b9a0-b872bbac92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0c61-922d-48b4-b62f-1ef0f8a428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f7828b3-aabe-463e-88b2-49c747b83558}" ma:internalName="TaxCatchAll" ma:showField="CatchAllData" ma:web="a7d7d0a4-b144-46ba-b9a0-b872bbac9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9aab71-75e7-44f4-b476-c54dc003ee83">
      <Terms xmlns="http://schemas.microsoft.com/office/infopath/2007/PartnerControls"/>
    </lcf76f155ced4ddcb4097134ff3c332f>
    <TaxCatchAll xmlns="6f0d0c61-922d-48b4-b62f-1ef0f8a428b6" xsi:nil="true"/>
  </documentManagement>
</p:properties>
</file>

<file path=customXml/itemProps1.xml><?xml version="1.0" encoding="utf-8"?>
<ds:datastoreItem xmlns:ds="http://schemas.openxmlformats.org/officeDocument/2006/customXml" ds:itemID="{B57E5107-A47B-4B2B-A875-D438699B8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aab71-75e7-44f4-b476-c54dc003ee83"/>
    <ds:schemaRef ds:uri="a7d7d0a4-b144-46ba-b9a0-b872bbac920e"/>
    <ds:schemaRef ds:uri="6f0d0c61-922d-48b4-b62f-1ef0f8a4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A5F59-01EC-4E50-82A6-C42D60B8C517}">
  <ds:schemaRefs>
    <ds:schemaRef ds:uri="http://schemas.microsoft.com/sharepoint/v3/contenttype/forms"/>
  </ds:schemaRefs>
</ds:datastoreItem>
</file>

<file path=customXml/itemProps3.xml><?xml version="1.0" encoding="utf-8"?>
<ds:datastoreItem xmlns:ds="http://schemas.openxmlformats.org/officeDocument/2006/customXml" ds:itemID="{8FBF37B7-69AA-41A9-ADBF-299365F1DB12}">
  <ds:schemaRefs>
    <ds:schemaRef ds:uri="http://schemas.microsoft.com/office/2006/metadata/properties"/>
    <ds:schemaRef ds:uri="http://schemas.microsoft.com/office/infopath/2007/PartnerControls"/>
    <ds:schemaRef ds:uri="459aab71-75e7-44f4-b476-c54dc003ee83"/>
    <ds:schemaRef ds:uri="6f0d0c61-922d-48b4-b62f-1ef0f8a428b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9235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Cheyne</dc:creator>
  <cp:keywords/>
  <dc:description/>
  <cp:lastModifiedBy>Phillipa Brent-Isherwood 42078923</cp:lastModifiedBy>
  <cp:revision>2</cp:revision>
  <cp:lastPrinted>2023-02-28T14:40:00Z</cp:lastPrinted>
  <dcterms:created xsi:type="dcterms:W3CDTF">2023-04-08T01:39:00Z</dcterms:created>
  <dcterms:modified xsi:type="dcterms:W3CDTF">2023-04-08T01:39:00Z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0x010100B46D3EEF8E9EDC46B478A4473E4323F7</vt:lpwstr>
  </property>
  <property fmtid="{D5CDD505-2E9C-101B-9397-08002B2CF9AE}" pid="3" name="MediaServiceImageTags">
    <vt:lpwstr/>
  </property>
  <property fmtid="{D5CDD505-2E9C-101B-9397-08002B2CF9AE}" pid="4" name="MSIP_Label_8f716d1d-13e1-4569-9dd0-bef6621415c1_Enabled">
    <vt:lpwstr>true</vt:lpwstr>
  </property>
  <property fmtid="{D5CDD505-2E9C-101B-9397-08002B2CF9AE}" pid="5" name="MSIP_Label_8f716d1d-13e1-4569-9dd0-bef6621415c1_SetDate">
    <vt:lpwstr>2023-04-08T01:39:14Z</vt:lpwstr>
  </property>
  <property fmtid="{D5CDD505-2E9C-101B-9397-08002B2CF9AE}" pid="6" name="MSIP_Label_8f716d1d-13e1-4569-9dd0-bef6621415c1_Method">
    <vt:lpwstr>Standard</vt:lpwstr>
  </property>
  <property fmtid="{D5CDD505-2E9C-101B-9397-08002B2CF9AE}" pid="7" name="MSIP_Label_8f716d1d-13e1-4569-9dd0-bef6621415c1_Name">
    <vt:lpwstr>OFFICIAL</vt:lpwstr>
  </property>
  <property fmtid="{D5CDD505-2E9C-101B-9397-08002B2CF9AE}" pid="8" name="MSIP_Label_8f716d1d-13e1-4569-9dd0-bef6621415c1_SiteId">
    <vt:lpwstr>f31b07f0-9cf9-40db-964d-6ff986a97e3d</vt:lpwstr>
  </property>
  <property fmtid="{D5CDD505-2E9C-101B-9397-08002B2CF9AE}" pid="9" name="MSIP_Label_8f716d1d-13e1-4569-9dd0-bef6621415c1_ActionId">
    <vt:lpwstr>a608d57f-a693-422b-b2f0-53ff9627da0e</vt:lpwstr>
  </property>
  <property fmtid="{D5CDD505-2E9C-101B-9397-08002B2CF9AE}" pid="10" name="MSIP_Label_8f716d1d-13e1-4569-9dd0-bef6621415c1_ContentBits">
    <vt:lpwstr>0</vt:lpwstr>
  </property>
</Properties>
</file>