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59D78" w14:textId="500EC59B" w:rsidR="004F62BB" w:rsidRPr="007408B4" w:rsidRDefault="00EE1E3A" w:rsidP="00773654">
      <w:pPr>
        <w:spacing w:after="0" w:line="240" w:lineRule="auto"/>
        <w:jc w:val="center"/>
        <w:rPr>
          <w:rFonts w:ascii="Arial" w:hAnsi="Arial" w:cs="Arial"/>
          <w:b/>
          <w:sz w:val="24"/>
          <w:szCs w:val="24"/>
        </w:rPr>
      </w:pPr>
      <w:bookmarkStart w:id="0" w:name="_GoBack"/>
      <w:bookmarkEnd w:id="0"/>
      <w:r w:rsidRPr="00E03E57">
        <w:rPr>
          <w:rFonts w:ascii="Arial" w:hAnsi="Arial" w:cs="Arial"/>
          <w:b/>
          <w:sz w:val="24"/>
          <w:szCs w:val="24"/>
        </w:rPr>
        <w:t>P</w:t>
      </w:r>
      <w:r w:rsidR="004F62BB" w:rsidRPr="007408B4">
        <w:rPr>
          <w:rFonts w:ascii="Arial" w:hAnsi="Arial" w:cs="Arial"/>
          <w:b/>
          <w:sz w:val="24"/>
          <w:szCs w:val="24"/>
        </w:rPr>
        <w:t>erformance and Resource</w:t>
      </w:r>
      <w:r w:rsidR="007D3E9B" w:rsidRPr="007408B4">
        <w:rPr>
          <w:rFonts w:ascii="Arial" w:hAnsi="Arial" w:cs="Arial"/>
          <w:b/>
          <w:sz w:val="24"/>
          <w:szCs w:val="24"/>
        </w:rPr>
        <w:t>s</w:t>
      </w:r>
      <w:r w:rsidR="004F62BB" w:rsidRPr="007408B4">
        <w:rPr>
          <w:rFonts w:ascii="Arial" w:hAnsi="Arial" w:cs="Arial"/>
          <w:b/>
          <w:sz w:val="24"/>
          <w:szCs w:val="24"/>
        </w:rPr>
        <w:t xml:space="preserve"> Scrutiny Programme 20</w:t>
      </w:r>
      <w:r w:rsidR="00BD6870">
        <w:rPr>
          <w:rFonts w:ascii="Arial" w:hAnsi="Arial" w:cs="Arial"/>
          <w:b/>
          <w:sz w:val="24"/>
          <w:szCs w:val="24"/>
        </w:rPr>
        <w:t>1</w:t>
      </w:r>
      <w:r w:rsidR="00E8276C">
        <w:rPr>
          <w:rFonts w:ascii="Arial" w:hAnsi="Arial" w:cs="Arial"/>
          <w:b/>
          <w:sz w:val="24"/>
          <w:szCs w:val="24"/>
        </w:rPr>
        <w:t>9</w:t>
      </w:r>
      <w:r w:rsidR="00BD6870">
        <w:rPr>
          <w:rFonts w:ascii="Arial" w:hAnsi="Arial" w:cs="Arial"/>
          <w:b/>
          <w:sz w:val="24"/>
          <w:szCs w:val="24"/>
        </w:rPr>
        <w:t>/</w:t>
      </w:r>
      <w:r w:rsidR="00E8276C">
        <w:rPr>
          <w:rFonts w:ascii="Arial" w:hAnsi="Arial" w:cs="Arial"/>
          <w:b/>
          <w:sz w:val="24"/>
          <w:szCs w:val="24"/>
        </w:rPr>
        <w:t>20</w:t>
      </w:r>
    </w:p>
    <w:p w14:paraId="4576E7E0" w14:textId="77777777" w:rsidR="001D5222" w:rsidRPr="007408B4" w:rsidRDefault="001D5222" w:rsidP="00773654">
      <w:pPr>
        <w:spacing w:after="0" w:line="240" w:lineRule="auto"/>
        <w:jc w:val="center"/>
        <w:rPr>
          <w:rFonts w:ascii="Arial" w:hAnsi="Arial" w:cs="Arial"/>
          <w:b/>
          <w:sz w:val="24"/>
          <w:szCs w:val="24"/>
        </w:rPr>
      </w:pPr>
    </w:p>
    <w:p w14:paraId="7DAA49C6" w14:textId="77777777" w:rsidR="004F62BB" w:rsidRPr="007408B4" w:rsidRDefault="004F62BB" w:rsidP="00773654">
      <w:pPr>
        <w:spacing w:after="0" w:line="240" w:lineRule="auto"/>
        <w:jc w:val="center"/>
        <w:rPr>
          <w:rFonts w:ascii="Arial" w:hAnsi="Arial" w:cs="Arial"/>
          <w:b/>
          <w:sz w:val="24"/>
          <w:szCs w:val="24"/>
        </w:rPr>
      </w:pPr>
      <w:r w:rsidRPr="007408B4">
        <w:rPr>
          <w:rFonts w:ascii="Arial" w:hAnsi="Arial" w:cs="Arial"/>
          <w:b/>
          <w:sz w:val="24"/>
          <w:szCs w:val="24"/>
        </w:rPr>
        <w:t>Report to: the Office of the Police</w:t>
      </w:r>
      <w:r w:rsidR="00AC1ABD" w:rsidRPr="007408B4">
        <w:rPr>
          <w:rFonts w:ascii="Arial" w:hAnsi="Arial" w:cs="Arial"/>
          <w:b/>
          <w:sz w:val="24"/>
          <w:szCs w:val="24"/>
        </w:rPr>
        <w:t>, Fire</w:t>
      </w:r>
      <w:r w:rsidRPr="007408B4">
        <w:rPr>
          <w:rFonts w:ascii="Arial" w:hAnsi="Arial" w:cs="Arial"/>
          <w:b/>
          <w:sz w:val="24"/>
          <w:szCs w:val="24"/>
        </w:rPr>
        <w:t xml:space="preserve"> and Crime Commissioner for Essex</w:t>
      </w:r>
    </w:p>
    <w:p w14:paraId="08DD2320" w14:textId="77777777" w:rsidR="001D5222" w:rsidRPr="007408B4" w:rsidRDefault="001D5222" w:rsidP="00773654">
      <w:pPr>
        <w:spacing w:after="0" w:line="240" w:lineRule="auto"/>
        <w:jc w:val="center"/>
        <w:rPr>
          <w:rFonts w:ascii="Arial" w:hAnsi="Arial" w:cs="Arial"/>
          <w:b/>
          <w:sz w:val="24"/>
          <w:szCs w:val="24"/>
        </w:rPr>
      </w:pPr>
    </w:p>
    <w:p w14:paraId="26992F36" w14:textId="77777777" w:rsidR="004F62BB" w:rsidRPr="007408B4"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D1739B" w14:paraId="6970C774" w14:textId="77777777" w:rsidTr="00773654">
        <w:tc>
          <w:tcPr>
            <w:tcW w:w="3260" w:type="dxa"/>
          </w:tcPr>
          <w:p w14:paraId="5DB4E103" w14:textId="77777777" w:rsidR="00773654" w:rsidRPr="00E92205" w:rsidRDefault="00652B9C" w:rsidP="00773654">
            <w:pPr>
              <w:spacing w:line="480" w:lineRule="auto"/>
              <w:rPr>
                <w:rFonts w:ascii="Arial" w:hAnsi="Arial" w:cs="Arial"/>
                <w:b/>
              </w:rPr>
            </w:pPr>
            <w:r w:rsidRPr="00E92205">
              <w:rPr>
                <w:rFonts w:ascii="Arial" w:hAnsi="Arial" w:cs="Arial"/>
                <w:b/>
              </w:rPr>
              <w:t>Title of Report:</w:t>
            </w:r>
          </w:p>
        </w:tc>
        <w:tc>
          <w:tcPr>
            <w:tcW w:w="5103" w:type="dxa"/>
          </w:tcPr>
          <w:p w14:paraId="7F292B58" w14:textId="77777777" w:rsidR="00652B9C" w:rsidRPr="00E92205" w:rsidRDefault="003B54D3" w:rsidP="00BB105B">
            <w:pPr>
              <w:spacing w:line="480" w:lineRule="auto"/>
              <w:rPr>
                <w:rFonts w:ascii="Arial" w:hAnsi="Arial" w:cs="Arial"/>
                <w:b/>
              </w:rPr>
            </w:pPr>
            <w:r w:rsidRPr="00E92205">
              <w:rPr>
                <w:rFonts w:ascii="Arial" w:hAnsi="Arial" w:cs="Arial"/>
                <w:b/>
              </w:rPr>
              <w:t>Future and Current Collaboration Activity</w:t>
            </w:r>
            <w:r w:rsidR="00AF0D6A" w:rsidRPr="00E92205">
              <w:rPr>
                <w:rFonts w:ascii="Arial" w:hAnsi="Arial" w:cs="Arial"/>
                <w:b/>
              </w:rPr>
              <w:t xml:space="preserve"> – quarterly u</w:t>
            </w:r>
            <w:r w:rsidR="00761D93" w:rsidRPr="00E92205">
              <w:rPr>
                <w:rFonts w:ascii="Arial" w:hAnsi="Arial" w:cs="Arial"/>
                <w:b/>
              </w:rPr>
              <w:t>pdate</w:t>
            </w:r>
          </w:p>
        </w:tc>
      </w:tr>
      <w:tr w:rsidR="00E92205" w:rsidRPr="00D1739B" w14:paraId="04CB6294" w14:textId="77777777" w:rsidTr="00773654">
        <w:tc>
          <w:tcPr>
            <w:tcW w:w="3260" w:type="dxa"/>
          </w:tcPr>
          <w:p w14:paraId="26A089FB" w14:textId="77777777" w:rsidR="00E92205" w:rsidRPr="00E92205" w:rsidRDefault="00E92205" w:rsidP="00773654">
            <w:pPr>
              <w:spacing w:line="480" w:lineRule="auto"/>
              <w:rPr>
                <w:rFonts w:ascii="Arial" w:hAnsi="Arial" w:cs="Arial"/>
                <w:b/>
              </w:rPr>
            </w:pPr>
            <w:r w:rsidRPr="00E92205">
              <w:rPr>
                <w:rFonts w:ascii="Arial" w:hAnsi="Arial" w:cs="Arial"/>
                <w:b/>
              </w:rPr>
              <w:t>Classification of Paper:</w:t>
            </w:r>
            <w:r w:rsidRPr="00E92205">
              <w:rPr>
                <w:rFonts w:ascii="Arial" w:hAnsi="Arial" w:cs="Arial"/>
                <w:b/>
              </w:rPr>
              <w:tab/>
            </w:r>
          </w:p>
        </w:tc>
        <w:tc>
          <w:tcPr>
            <w:tcW w:w="5103" w:type="dxa"/>
          </w:tcPr>
          <w:p w14:paraId="77DA17AE" w14:textId="77777777" w:rsidR="00E92205" w:rsidRPr="00E92205" w:rsidRDefault="00D54BC5" w:rsidP="00BB105B">
            <w:pPr>
              <w:spacing w:line="480" w:lineRule="auto"/>
              <w:rPr>
                <w:rFonts w:ascii="Arial" w:hAnsi="Arial" w:cs="Arial"/>
                <w:b/>
              </w:rPr>
            </w:pPr>
            <w:r>
              <w:rPr>
                <w:rFonts w:ascii="Arial" w:hAnsi="Arial" w:cs="Arial"/>
                <w:b/>
              </w:rPr>
              <w:t xml:space="preserve">Official </w:t>
            </w:r>
          </w:p>
        </w:tc>
      </w:tr>
      <w:tr w:rsidR="00E92205" w:rsidRPr="00D1739B" w14:paraId="3AF41D86" w14:textId="77777777" w:rsidTr="00773654">
        <w:tc>
          <w:tcPr>
            <w:tcW w:w="3260" w:type="dxa"/>
          </w:tcPr>
          <w:p w14:paraId="09917EB1" w14:textId="77777777" w:rsidR="00E92205" w:rsidRPr="00E92205" w:rsidRDefault="00E92205" w:rsidP="00773654">
            <w:pPr>
              <w:spacing w:line="480" w:lineRule="auto"/>
              <w:rPr>
                <w:rFonts w:ascii="Arial" w:hAnsi="Arial" w:cs="Arial"/>
                <w:b/>
              </w:rPr>
            </w:pPr>
            <w:r w:rsidRPr="00E92205">
              <w:rPr>
                <w:rFonts w:ascii="Arial" w:hAnsi="Arial" w:cs="Arial"/>
                <w:b/>
              </w:rPr>
              <w:t>Agenda Number:</w:t>
            </w:r>
          </w:p>
        </w:tc>
        <w:tc>
          <w:tcPr>
            <w:tcW w:w="5103" w:type="dxa"/>
          </w:tcPr>
          <w:p w14:paraId="2DB6053F" w14:textId="5509E77D" w:rsidR="00E92205" w:rsidRPr="00E92205" w:rsidRDefault="00E03E57" w:rsidP="00BB105B">
            <w:pPr>
              <w:spacing w:line="480" w:lineRule="auto"/>
              <w:rPr>
                <w:rFonts w:ascii="Arial" w:hAnsi="Arial" w:cs="Arial"/>
                <w:b/>
              </w:rPr>
            </w:pPr>
            <w:r>
              <w:rPr>
                <w:rFonts w:ascii="Arial" w:hAnsi="Arial" w:cs="Arial"/>
                <w:b/>
              </w:rPr>
              <w:t>9.0</w:t>
            </w:r>
          </w:p>
        </w:tc>
      </w:tr>
      <w:tr w:rsidR="00652B9C" w:rsidRPr="00D1739B" w14:paraId="14109B1A" w14:textId="77777777" w:rsidTr="00773654">
        <w:tc>
          <w:tcPr>
            <w:tcW w:w="3260" w:type="dxa"/>
          </w:tcPr>
          <w:p w14:paraId="421D7D23" w14:textId="77777777" w:rsidR="00773654" w:rsidRPr="00E92205" w:rsidRDefault="00517DD2" w:rsidP="00773654">
            <w:pPr>
              <w:spacing w:line="480" w:lineRule="auto"/>
              <w:rPr>
                <w:rFonts w:ascii="Arial" w:hAnsi="Arial" w:cs="Arial"/>
                <w:b/>
              </w:rPr>
            </w:pPr>
            <w:r w:rsidRPr="00E92205">
              <w:rPr>
                <w:rFonts w:ascii="Arial" w:hAnsi="Arial" w:cs="Arial"/>
                <w:b/>
              </w:rPr>
              <w:t>Chief Officer</w:t>
            </w:r>
            <w:r w:rsidR="00E92205" w:rsidRPr="00E92205">
              <w:rPr>
                <w:rFonts w:ascii="Arial" w:hAnsi="Arial" w:cs="Arial"/>
                <w:b/>
              </w:rPr>
              <w:t>:</w:t>
            </w:r>
          </w:p>
        </w:tc>
        <w:tc>
          <w:tcPr>
            <w:tcW w:w="5103" w:type="dxa"/>
          </w:tcPr>
          <w:p w14:paraId="0056914B" w14:textId="77777777" w:rsidR="00652B9C" w:rsidRPr="00E92205" w:rsidRDefault="0083121D" w:rsidP="00773654">
            <w:pPr>
              <w:spacing w:line="480" w:lineRule="auto"/>
              <w:rPr>
                <w:rFonts w:ascii="Arial" w:hAnsi="Arial" w:cs="Arial"/>
                <w:b/>
              </w:rPr>
            </w:pPr>
            <w:r w:rsidRPr="00E92205">
              <w:rPr>
                <w:rFonts w:ascii="Arial" w:hAnsi="Arial" w:cs="Arial"/>
                <w:b/>
              </w:rPr>
              <w:t>Dr Victoria Harrington</w:t>
            </w:r>
          </w:p>
        </w:tc>
      </w:tr>
      <w:tr w:rsidR="00591EB9" w:rsidRPr="00D1739B" w14:paraId="6FEC1056" w14:textId="77777777" w:rsidTr="00773654">
        <w:tc>
          <w:tcPr>
            <w:tcW w:w="3260" w:type="dxa"/>
          </w:tcPr>
          <w:p w14:paraId="5C1AF868" w14:textId="77777777" w:rsidR="00591EB9" w:rsidRPr="00E92205" w:rsidRDefault="00591EB9" w:rsidP="00773654">
            <w:pPr>
              <w:spacing w:line="480" w:lineRule="auto"/>
              <w:rPr>
                <w:rFonts w:ascii="Arial" w:hAnsi="Arial" w:cs="Arial"/>
                <w:b/>
              </w:rPr>
            </w:pPr>
            <w:r w:rsidRPr="00E92205">
              <w:rPr>
                <w:rFonts w:ascii="Arial" w:hAnsi="Arial" w:cs="Arial"/>
                <w:b/>
              </w:rPr>
              <w:t>Date Paper was Written</w:t>
            </w:r>
          </w:p>
        </w:tc>
        <w:tc>
          <w:tcPr>
            <w:tcW w:w="5103" w:type="dxa"/>
          </w:tcPr>
          <w:p w14:paraId="11B88C53" w14:textId="24BD23EB" w:rsidR="00591EB9" w:rsidRPr="00E92205" w:rsidRDefault="003801AA" w:rsidP="00631F55">
            <w:pPr>
              <w:spacing w:line="480" w:lineRule="auto"/>
              <w:rPr>
                <w:rFonts w:ascii="Arial" w:hAnsi="Arial" w:cs="Arial"/>
                <w:b/>
              </w:rPr>
            </w:pPr>
            <w:r>
              <w:rPr>
                <w:rFonts w:ascii="Arial" w:hAnsi="Arial" w:cs="Arial"/>
                <w:b/>
              </w:rPr>
              <w:t>19</w:t>
            </w:r>
            <w:r w:rsidRPr="003801AA">
              <w:rPr>
                <w:rFonts w:ascii="Arial" w:hAnsi="Arial" w:cs="Arial"/>
                <w:b/>
                <w:vertAlign w:val="superscript"/>
              </w:rPr>
              <w:t>th</w:t>
            </w:r>
            <w:r>
              <w:rPr>
                <w:rFonts w:ascii="Arial" w:hAnsi="Arial" w:cs="Arial"/>
                <w:b/>
              </w:rPr>
              <w:t xml:space="preserve"> November 2019</w:t>
            </w:r>
          </w:p>
        </w:tc>
      </w:tr>
      <w:tr w:rsidR="00591EB9" w:rsidRPr="00D1739B" w14:paraId="02AEBED6" w14:textId="77777777" w:rsidTr="00773654">
        <w:tc>
          <w:tcPr>
            <w:tcW w:w="3260" w:type="dxa"/>
          </w:tcPr>
          <w:p w14:paraId="4E3B9852" w14:textId="77777777" w:rsidR="00591EB9" w:rsidRPr="00E92205" w:rsidRDefault="00591EB9" w:rsidP="00773654">
            <w:pPr>
              <w:spacing w:line="480" w:lineRule="auto"/>
              <w:rPr>
                <w:rFonts w:ascii="Arial" w:hAnsi="Arial" w:cs="Arial"/>
                <w:b/>
              </w:rPr>
            </w:pPr>
            <w:r w:rsidRPr="00E92205">
              <w:rPr>
                <w:rFonts w:ascii="Arial" w:hAnsi="Arial" w:cs="Arial"/>
                <w:b/>
              </w:rPr>
              <w:t>Version Number</w:t>
            </w:r>
          </w:p>
        </w:tc>
        <w:tc>
          <w:tcPr>
            <w:tcW w:w="5103" w:type="dxa"/>
          </w:tcPr>
          <w:p w14:paraId="5F4F5CFA" w14:textId="2BACD8D1" w:rsidR="00591EB9" w:rsidRPr="00E92205" w:rsidRDefault="000C1EC1" w:rsidP="000C1EC1">
            <w:pPr>
              <w:spacing w:line="480" w:lineRule="auto"/>
              <w:rPr>
                <w:rFonts w:ascii="Arial" w:hAnsi="Arial" w:cs="Arial"/>
                <w:b/>
              </w:rPr>
            </w:pPr>
            <w:r>
              <w:rPr>
                <w:rFonts w:ascii="Arial" w:hAnsi="Arial" w:cs="Arial"/>
                <w:b/>
              </w:rPr>
              <w:t>1.0</w:t>
            </w:r>
          </w:p>
        </w:tc>
      </w:tr>
      <w:tr w:rsidR="00652B9C" w:rsidRPr="00D1739B" w14:paraId="31EB1FC7" w14:textId="77777777" w:rsidTr="00773654">
        <w:tc>
          <w:tcPr>
            <w:tcW w:w="3260" w:type="dxa"/>
          </w:tcPr>
          <w:p w14:paraId="04DBCD52" w14:textId="77777777" w:rsidR="00652B9C" w:rsidRPr="00E92205" w:rsidRDefault="00652B9C" w:rsidP="00773654">
            <w:pPr>
              <w:spacing w:line="480" w:lineRule="auto"/>
              <w:rPr>
                <w:rFonts w:ascii="Arial" w:hAnsi="Arial" w:cs="Arial"/>
                <w:b/>
              </w:rPr>
            </w:pPr>
            <w:r w:rsidRPr="00E92205">
              <w:rPr>
                <w:rFonts w:ascii="Arial" w:hAnsi="Arial" w:cs="Arial"/>
                <w:b/>
              </w:rPr>
              <w:t xml:space="preserve">Report from: </w:t>
            </w:r>
          </w:p>
        </w:tc>
        <w:tc>
          <w:tcPr>
            <w:tcW w:w="5103" w:type="dxa"/>
          </w:tcPr>
          <w:p w14:paraId="7F607165" w14:textId="77777777" w:rsidR="00652B9C" w:rsidRPr="00E92205" w:rsidRDefault="00773654" w:rsidP="00773654">
            <w:pPr>
              <w:spacing w:line="480" w:lineRule="auto"/>
              <w:rPr>
                <w:rFonts w:ascii="Arial" w:hAnsi="Arial" w:cs="Arial"/>
                <w:b/>
              </w:rPr>
            </w:pPr>
            <w:r w:rsidRPr="00E92205">
              <w:rPr>
                <w:rFonts w:ascii="Arial" w:hAnsi="Arial" w:cs="Arial"/>
                <w:b/>
              </w:rPr>
              <w:t>Essex Police</w:t>
            </w:r>
          </w:p>
        </w:tc>
      </w:tr>
      <w:tr w:rsidR="00652B9C" w:rsidRPr="00D1739B" w14:paraId="60A09986" w14:textId="77777777" w:rsidTr="00773654">
        <w:tc>
          <w:tcPr>
            <w:tcW w:w="3260" w:type="dxa"/>
          </w:tcPr>
          <w:p w14:paraId="242ED5CF" w14:textId="77777777" w:rsidR="00652B9C" w:rsidRPr="00E92205" w:rsidRDefault="00652B9C" w:rsidP="00773654">
            <w:pPr>
              <w:spacing w:line="480" w:lineRule="auto"/>
              <w:rPr>
                <w:rFonts w:ascii="Arial" w:hAnsi="Arial" w:cs="Arial"/>
                <w:b/>
              </w:rPr>
            </w:pPr>
            <w:r w:rsidRPr="00E92205">
              <w:rPr>
                <w:rFonts w:ascii="Arial" w:hAnsi="Arial" w:cs="Arial"/>
                <w:b/>
              </w:rPr>
              <w:t>Date of Meeting</w:t>
            </w:r>
            <w:r w:rsidR="00773654" w:rsidRPr="00E92205">
              <w:rPr>
                <w:rFonts w:ascii="Arial" w:hAnsi="Arial" w:cs="Arial"/>
                <w:b/>
              </w:rPr>
              <w:t>:</w:t>
            </w:r>
          </w:p>
        </w:tc>
        <w:tc>
          <w:tcPr>
            <w:tcW w:w="5103" w:type="dxa"/>
          </w:tcPr>
          <w:p w14:paraId="33CD28BD" w14:textId="79D5A211" w:rsidR="00652B9C" w:rsidRPr="00E92205" w:rsidRDefault="003801AA" w:rsidP="00AE5835">
            <w:pPr>
              <w:spacing w:line="480" w:lineRule="auto"/>
              <w:rPr>
                <w:rFonts w:ascii="Arial" w:hAnsi="Arial" w:cs="Arial"/>
                <w:b/>
              </w:rPr>
            </w:pPr>
            <w:r>
              <w:rPr>
                <w:rFonts w:ascii="Arial" w:hAnsi="Arial" w:cs="Arial"/>
                <w:b/>
              </w:rPr>
              <w:t>20</w:t>
            </w:r>
            <w:r w:rsidRPr="003801AA">
              <w:rPr>
                <w:rFonts w:ascii="Arial" w:hAnsi="Arial" w:cs="Arial"/>
                <w:b/>
                <w:vertAlign w:val="superscript"/>
              </w:rPr>
              <w:t>th</w:t>
            </w:r>
            <w:r>
              <w:rPr>
                <w:rFonts w:ascii="Arial" w:hAnsi="Arial" w:cs="Arial"/>
                <w:b/>
              </w:rPr>
              <w:t xml:space="preserve"> December 2019</w:t>
            </w:r>
          </w:p>
        </w:tc>
      </w:tr>
      <w:tr w:rsidR="00652B9C" w:rsidRPr="00D1739B" w14:paraId="6883F91A" w14:textId="77777777" w:rsidTr="00773654">
        <w:tc>
          <w:tcPr>
            <w:tcW w:w="3260" w:type="dxa"/>
          </w:tcPr>
          <w:p w14:paraId="0C2E92BC" w14:textId="77777777" w:rsidR="00652B9C" w:rsidRPr="00D1739B" w:rsidRDefault="00517DD2" w:rsidP="009F3263">
            <w:pPr>
              <w:spacing w:line="360" w:lineRule="auto"/>
              <w:rPr>
                <w:rFonts w:ascii="Arial" w:hAnsi="Arial" w:cs="Arial"/>
                <w:b/>
                <w:sz w:val="24"/>
                <w:szCs w:val="24"/>
              </w:rPr>
            </w:pPr>
            <w:r w:rsidRPr="00D1739B">
              <w:rPr>
                <w:rFonts w:ascii="Arial" w:hAnsi="Arial" w:cs="Arial"/>
                <w:b/>
                <w:sz w:val="24"/>
                <w:szCs w:val="24"/>
              </w:rPr>
              <w:t xml:space="preserve">Author on behalf of </w:t>
            </w:r>
            <w:r w:rsidR="00652B9C" w:rsidRPr="00D1739B">
              <w:rPr>
                <w:rFonts w:ascii="Arial" w:hAnsi="Arial" w:cs="Arial"/>
                <w:b/>
                <w:sz w:val="24"/>
                <w:szCs w:val="24"/>
              </w:rPr>
              <w:t>Chief Officer:</w:t>
            </w:r>
          </w:p>
        </w:tc>
        <w:tc>
          <w:tcPr>
            <w:tcW w:w="5103" w:type="dxa"/>
          </w:tcPr>
          <w:p w14:paraId="71BFDCBB" w14:textId="77777777" w:rsidR="00652B9C" w:rsidRPr="00D1739B" w:rsidRDefault="00761D93" w:rsidP="00761D93">
            <w:pPr>
              <w:spacing w:line="360" w:lineRule="auto"/>
              <w:rPr>
                <w:rFonts w:ascii="Arial" w:hAnsi="Arial" w:cs="Arial"/>
                <w:b/>
                <w:sz w:val="24"/>
                <w:szCs w:val="24"/>
              </w:rPr>
            </w:pPr>
            <w:r>
              <w:rPr>
                <w:rFonts w:ascii="Arial" w:hAnsi="Arial" w:cs="Arial"/>
                <w:b/>
                <w:sz w:val="24"/>
                <w:szCs w:val="24"/>
              </w:rPr>
              <w:t>Paul Nagle</w:t>
            </w:r>
          </w:p>
        </w:tc>
      </w:tr>
      <w:tr w:rsidR="00652B9C" w:rsidRPr="00D1739B" w14:paraId="5F7E7124" w14:textId="77777777" w:rsidTr="00773654">
        <w:tc>
          <w:tcPr>
            <w:tcW w:w="3260" w:type="dxa"/>
          </w:tcPr>
          <w:p w14:paraId="29F84E5C" w14:textId="77777777" w:rsidR="00652B9C" w:rsidRPr="00D1739B" w:rsidRDefault="00652B9C" w:rsidP="00773654">
            <w:pPr>
              <w:spacing w:line="480" w:lineRule="auto"/>
              <w:rPr>
                <w:rFonts w:ascii="Arial" w:hAnsi="Arial" w:cs="Arial"/>
                <w:b/>
                <w:sz w:val="24"/>
                <w:szCs w:val="24"/>
              </w:rPr>
            </w:pPr>
            <w:r w:rsidRPr="00D1739B">
              <w:rPr>
                <w:rFonts w:ascii="Arial" w:hAnsi="Arial" w:cs="Arial"/>
                <w:b/>
                <w:sz w:val="24"/>
                <w:szCs w:val="24"/>
              </w:rPr>
              <w:t>Date of Approval:</w:t>
            </w:r>
          </w:p>
        </w:tc>
        <w:tc>
          <w:tcPr>
            <w:tcW w:w="5103" w:type="dxa"/>
          </w:tcPr>
          <w:p w14:paraId="35E2F930" w14:textId="111C3F8D" w:rsidR="00652B9C" w:rsidRPr="00D1739B" w:rsidRDefault="000C1EC1" w:rsidP="00BC5706">
            <w:pPr>
              <w:spacing w:line="480" w:lineRule="auto"/>
              <w:rPr>
                <w:rFonts w:ascii="Arial" w:hAnsi="Arial" w:cs="Arial"/>
                <w:b/>
                <w:sz w:val="24"/>
                <w:szCs w:val="24"/>
              </w:rPr>
            </w:pPr>
            <w:r>
              <w:rPr>
                <w:rFonts w:ascii="Arial" w:hAnsi="Arial" w:cs="Arial"/>
                <w:b/>
                <w:sz w:val="24"/>
                <w:szCs w:val="24"/>
              </w:rPr>
              <w:t>11</w:t>
            </w:r>
            <w:r w:rsidRPr="000C1EC1">
              <w:rPr>
                <w:rFonts w:ascii="Arial" w:hAnsi="Arial" w:cs="Arial"/>
                <w:b/>
                <w:sz w:val="24"/>
                <w:szCs w:val="24"/>
                <w:vertAlign w:val="superscript"/>
              </w:rPr>
              <w:t>th</w:t>
            </w:r>
            <w:r>
              <w:rPr>
                <w:rFonts w:ascii="Arial" w:hAnsi="Arial" w:cs="Arial"/>
                <w:b/>
                <w:sz w:val="24"/>
                <w:szCs w:val="24"/>
              </w:rPr>
              <w:t xml:space="preserve"> December 2019</w:t>
            </w:r>
          </w:p>
        </w:tc>
      </w:tr>
    </w:tbl>
    <w:p w14:paraId="10C74F98" w14:textId="63B6DBE2" w:rsidR="004F62BB" w:rsidRPr="00D1739B" w:rsidRDefault="004F62BB" w:rsidP="00AF0D6A">
      <w:pPr>
        <w:pStyle w:val="NoSpacing"/>
        <w:rPr>
          <w:rFonts w:ascii="Arial" w:hAnsi="Arial" w:cs="Arial"/>
          <w:sz w:val="24"/>
          <w:szCs w:val="24"/>
        </w:rPr>
      </w:pPr>
    </w:p>
    <w:p w14:paraId="494521B5" w14:textId="77777777" w:rsidR="00665862" w:rsidRPr="00D1739B" w:rsidRDefault="00665862" w:rsidP="00AF4BD7">
      <w:pPr>
        <w:pStyle w:val="NoSpacing"/>
        <w:numPr>
          <w:ilvl w:val="0"/>
          <w:numId w:val="1"/>
        </w:numPr>
        <w:spacing w:line="259" w:lineRule="auto"/>
        <w:rPr>
          <w:rFonts w:ascii="Arial" w:hAnsi="Arial" w:cs="Arial"/>
          <w:b/>
          <w:sz w:val="24"/>
          <w:szCs w:val="24"/>
          <w:u w:val="single"/>
        </w:rPr>
      </w:pPr>
      <w:r w:rsidRPr="00D1739B">
        <w:rPr>
          <w:rFonts w:ascii="Arial" w:hAnsi="Arial" w:cs="Arial"/>
          <w:b/>
          <w:sz w:val="24"/>
          <w:szCs w:val="24"/>
          <w:u w:val="single"/>
        </w:rPr>
        <w:t>Purpose of Report</w:t>
      </w:r>
    </w:p>
    <w:p w14:paraId="7C2AEC06" w14:textId="77777777" w:rsidR="00652B9C" w:rsidRPr="00D1739B" w:rsidRDefault="00652B9C" w:rsidP="006D07B8">
      <w:pPr>
        <w:pStyle w:val="NoSpacing"/>
        <w:spacing w:line="259" w:lineRule="auto"/>
        <w:ind w:left="720"/>
        <w:rPr>
          <w:rFonts w:ascii="Arial" w:hAnsi="Arial" w:cs="Arial"/>
          <w:b/>
          <w:sz w:val="24"/>
          <w:szCs w:val="24"/>
          <w:u w:val="single"/>
        </w:rPr>
      </w:pPr>
    </w:p>
    <w:p w14:paraId="15ADA921" w14:textId="35814F1E" w:rsidR="00665862" w:rsidRPr="00552390" w:rsidRDefault="00CC50F9" w:rsidP="006D07B8">
      <w:pPr>
        <w:pStyle w:val="NoSpacing"/>
        <w:spacing w:line="259" w:lineRule="auto"/>
        <w:ind w:left="720"/>
        <w:rPr>
          <w:rFonts w:ascii="Arial" w:hAnsi="Arial" w:cs="Arial"/>
          <w:sz w:val="24"/>
          <w:szCs w:val="24"/>
        </w:rPr>
      </w:pPr>
      <w:r w:rsidRPr="00552390">
        <w:rPr>
          <w:rFonts w:ascii="Arial" w:hAnsi="Arial" w:cs="Arial"/>
          <w:sz w:val="24"/>
          <w:szCs w:val="24"/>
        </w:rPr>
        <w:t xml:space="preserve">The purpose of this paper is to </w:t>
      </w:r>
      <w:r w:rsidR="00761D93" w:rsidRPr="00552390">
        <w:rPr>
          <w:rFonts w:ascii="Arial" w:hAnsi="Arial" w:cs="Arial"/>
          <w:sz w:val="24"/>
          <w:szCs w:val="24"/>
        </w:rPr>
        <w:t xml:space="preserve">provide a quarterly update to the OPFCC on </w:t>
      </w:r>
      <w:r w:rsidRPr="00552390">
        <w:rPr>
          <w:rFonts w:ascii="Arial" w:hAnsi="Arial" w:cs="Arial"/>
          <w:sz w:val="24"/>
          <w:szCs w:val="24"/>
        </w:rPr>
        <w:t>future and current collaboration activity</w:t>
      </w:r>
      <w:r w:rsidR="00761D93" w:rsidRPr="00552390">
        <w:rPr>
          <w:rFonts w:ascii="Arial" w:hAnsi="Arial" w:cs="Arial"/>
          <w:sz w:val="24"/>
          <w:szCs w:val="24"/>
        </w:rPr>
        <w:t xml:space="preserve"> and expected benefits. </w:t>
      </w:r>
      <w:r w:rsidR="00C83A6D" w:rsidRPr="00552390">
        <w:rPr>
          <w:rFonts w:ascii="Arial" w:hAnsi="Arial" w:cs="Arial"/>
          <w:sz w:val="24"/>
          <w:szCs w:val="24"/>
        </w:rPr>
        <w:t xml:space="preserve">This is an update on the report provided to </w:t>
      </w:r>
      <w:r w:rsidR="0075044A">
        <w:rPr>
          <w:rFonts w:ascii="Arial" w:hAnsi="Arial" w:cs="Arial"/>
          <w:sz w:val="24"/>
          <w:szCs w:val="24"/>
        </w:rPr>
        <w:t xml:space="preserve">26th </w:t>
      </w:r>
      <w:r w:rsidR="003801AA">
        <w:rPr>
          <w:rFonts w:ascii="Arial" w:hAnsi="Arial" w:cs="Arial"/>
          <w:sz w:val="24"/>
          <w:szCs w:val="24"/>
        </w:rPr>
        <w:t>September 2019 Board</w:t>
      </w:r>
      <w:r w:rsidR="005D2800" w:rsidRPr="00552390">
        <w:rPr>
          <w:rFonts w:ascii="Arial" w:hAnsi="Arial" w:cs="Arial"/>
          <w:sz w:val="24"/>
          <w:szCs w:val="24"/>
        </w:rPr>
        <w:t>.</w:t>
      </w:r>
      <w:r w:rsidR="00A57D37" w:rsidRPr="00552390">
        <w:rPr>
          <w:rFonts w:ascii="Arial" w:hAnsi="Arial" w:cs="Arial"/>
          <w:sz w:val="24"/>
          <w:szCs w:val="24"/>
        </w:rPr>
        <w:t xml:space="preserve"> </w:t>
      </w:r>
    </w:p>
    <w:p w14:paraId="423E0FB6" w14:textId="77777777" w:rsidR="00761D93" w:rsidRPr="00552390" w:rsidRDefault="00761D93" w:rsidP="00761D93">
      <w:pPr>
        <w:pStyle w:val="NoSpacing"/>
        <w:spacing w:line="259" w:lineRule="auto"/>
        <w:ind w:left="720"/>
        <w:rPr>
          <w:rFonts w:ascii="Arial" w:hAnsi="Arial" w:cs="Arial"/>
          <w:b/>
          <w:sz w:val="24"/>
          <w:szCs w:val="24"/>
          <w:u w:val="single"/>
        </w:rPr>
      </w:pPr>
    </w:p>
    <w:p w14:paraId="61ED7FD9" w14:textId="77777777" w:rsidR="00665862" w:rsidRPr="00552390" w:rsidRDefault="00665862" w:rsidP="00AF4BD7">
      <w:pPr>
        <w:pStyle w:val="NoSpacing"/>
        <w:numPr>
          <w:ilvl w:val="0"/>
          <w:numId w:val="1"/>
        </w:numPr>
        <w:spacing w:line="259" w:lineRule="auto"/>
        <w:rPr>
          <w:rFonts w:ascii="Arial" w:hAnsi="Arial" w:cs="Arial"/>
          <w:b/>
          <w:sz w:val="24"/>
          <w:szCs w:val="24"/>
          <w:u w:val="single"/>
        </w:rPr>
      </w:pPr>
      <w:r w:rsidRPr="00552390">
        <w:rPr>
          <w:rFonts w:ascii="Arial" w:hAnsi="Arial" w:cs="Arial"/>
          <w:b/>
          <w:sz w:val="24"/>
          <w:szCs w:val="24"/>
          <w:u w:val="single"/>
        </w:rPr>
        <w:t>Recommendations</w:t>
      </w:r>
    </w:p>
    <w:p w14:paraId="6F4E93A7" w14:textId="77777777" w:rsidR="00652B9C" w:rsidRPr="00552390" w:rsidRDefault="00652B9C" w:rsidP="006D07B8">
      <w:pPr>
        <w:pStyle w:val="NoSpacing"/>
        <w:spacing w:line="259" w:lineRule="auto"/>
        <w:ind w:left="720"/>
        <w:rPr>
          <w:rFonts w:ascii="Arial" w:hAnsi="Arial" w:cs="Arial"/>
          <w:b/>
          <w:sz w:val="24"/>
          <w:szCs w:val="24"/>
          <w:u w:val="single"/>
        </w:rPr>
      </w:pPr>
    </w:p>
    <w:p w14:paraId="3483561E" w14:textId="3BA2074D" w:rsidR="00652B9C" w:rsidRPr="00552390" w:rsidRDefault="00F304D3" w:rsidP="006D07B8">
      <w:pPr>
        <w:pStyle w:val="NoSpacing"/>
        <w:spacing w:line="259" w:lineRule="auto"/>
        <w:ind w:left="720"/>
        <w:rPr>
          <w:rFonts w:ascii="Arial" w:hAnsi="Arial" w:cs="Arial"/>
          <w:sz w:val="24"/>
          <w:szCs w:val="24"/>
        </w:rPr>
      </w:pPr>
      <w:r w:rsidRPr="00552390">
        <w:rPr>
          <w:rFonts w:ascii="Arial" w:hAnsi="Arial" w:cs="Arial"/>
          <w:sz w:val="24"/>
          <w:szCs w:val="24"/>
        </w:rPr>
        <w:t>The report is for the Performance and Resources Scrutiny Board to note.</w:t>
      </w:r>
      <w:r w:rsidR="00BD7763">
        <w:rPr>
          <w:rFonts w:ascii="Arial" w:hAnsi="Arial" w:cs="Arial"/>
          <w:sz w:val="24"/>
          <w:szCs w:val="24"/>
        </w:rPr>
        <w:t xml:space="preserve"> No action required.</w:t>
      </w:r>
    </w:p>
    <w:p w14:paraId="2D8B9ED5" w14:textId="77777777" w:rsidR="00665862" w:rsidRPr="00552390" w:rsidRDefault="00665862" w:rsidP="006D07B8">
      <w:pPr>
        <w:pStyle w:val="NoSpacing"/>
        <w:spacing w:line="259" w:lineRule="auto"/>
        <w:ind w:left="720"/>
        <w:rPr>
          <w:rFonts w:ascii="Arial" w:hAnsi="Arial" w:cs="Arial"/>
          <w:b/>
          <w:sz w:val="24"/>
          <w:szCs w:val="24"/>
        </w:rPr>
      </w:pPr>
    </w:p>
    <w:p w14:paraId="6059145D" w14:textId="77777777" w:rsidR="00665862" w:rsidRPr="00552390" w:rsidRDefault="00665862" w:rsidP="00AF4BD7">
      <w:pPr>
        <w:pStyle w:val="NoSpacing"/>
        <w:numPr>
          <w:ilvl w:val="0"/>
          <w:numId w:val="1"/>
        </w:numPr>
        <w:spacing w:line="259" w:lineRule="auto"/>
        <w:rPr>
          <w:rFonts w:ascii="Arial" w:hAnsi="Arial" w:cs="Arial"/>
          <w:b/>
          <w:sz w:val="24"/>
          <w:szCs w:val="24"/>
          <w:u w:val="single"/>
        </w:rPr>
      </w:pPr>
      <w:r w:rsidRPr="00552390">
        <w:rPr>
          <w:rFonts w:ascii="Arial" w:hAnsi="Arial" w:cs="Arial"/>
          <w:b/>
          <w:sz w:val="24"/>
          <w:szCs w:val="24"/>
          <w:u w:val="single"/>
        </w:rPr>
        <w:t>Executive Summary</w:t>
      </w:r>
    </w:p>
    <w:p w14:paraId="546F1C76" w14:textId="77777777" w:rsidR="00652B9C" w:rsidRPr="00552390" w:rsidRDefault="00652B9C" w:rsidP="006D07B8">
      <w:pPr>
        <w:pStyle w:val="NoSpacing"/>
        <w:spacing w:line="259" w:lineRule="auto"/>
        <w:ind w:left="720"/>
        <w:rPr>
          <w:rFonts w:ascii="Arial" w:hAnsi="Arial" w:cs="Arial"/>
          <w:b/>
          <w:sz w:val="24"/>
          <w:szCs w:val="24"/>
          <w:u w:val="single"/>
        </w:rPr>
      </w:pPr>
    </w:p>
    <w:p w14:paraId="45A3AB31" w14:textId="755709DE" w:rsidR="00BB6DF4" w:rsidRPr="00552390" w:rsidRDefault="00516C1E" w:rsidP="00BB6DF4">
      <w:pPr>
        <w:pStyle w:val="NoSpacing"/>
        <w:spacing w:line="259" w:lineRule="auto"/>
        <w:ind w:left="720"/>
        <w:rPr>
          <w:rFonts w:ascii="Arial" w:eastAsia="Times New Roman" w:hAnsi="Arial" w:cs="Arial"/>
          <w:sz w:val="24"/>
          <w:szCs w:val="24"/>
          <w:lang w:eastAsia="en-GB"/>
        </w:rPr>
      </w:pPr>
      <w:r w:rsidRPr="00552390">
        <w:rPr>
          <w:rFonts w:ascii="Arial" w:eastAsia="Times New Roman" w:hAnsi="Arial" w:cs="Arial"/>
          <w:sz w:val="24"/>
          <w:szCs w:val="24"/>
          <w:lang w:eastAsia="en-GB"/>
        </w:rPr>
        <w:t xml:space="preserve">Collaboration permeates throughout the force and </w:t>
      </w:r>
      <w:r w:rsidR="007B0F40">
        <w:rPr>
          <w:rFonts w:ascii="Arial" w:eastAsia="Times New Roman" w:hAnsi="Arial" w:cs="Arial"/>
          <w:sz w:val="24"/>
          <w:szCs w:val="24"/>
          <w:lang w:eastAsia="en-GB"/>
        </w:rPr>
        <w:t>remains</w:t>
      </w:r>
      <w:r w:rsidRPr="00552390">
        <w:rPr>
          <w:rFonts w:ascii="Arial" w:eastAsia="Times New Roman" w:hAnsi="Arial" w:cs="Arial"/>
          <w:sz w:val="24"/>
          <w:szCs w:val="24"/>
          <w:lang w:eastAsia="en-GB"/>
        </w:rPr>
        <w:t xml:space="preserve"> fully embedded within our business planning strategy and delivery.</w:t>
      </w:r>
      <w:r w:rsidR="00BB6DF4" w:rsidRPr="00552390">
        <w:rPr>
          <w:rFonts w:ascii="Arial" w:eastAsia="Times New Roman" w:hAnsi="Arial" w:cs="Arial"/>
          <w:sz w:val="24"/>
          <w:szCs w:val="24"/>
          <w:lang w:eastAsia="en-GB"/>
        </w:rPr>
        <w:t xml:space="preserve"> </w:t>
      </w:r>
      <w:r w:rsidR="005D2800" w:rsidRPr="00552390">
        <w:rPr>
          <w:rFonts w:ascii="Arial" w:eastAsia="Times New Roman" w:hAnsi="Arial" w:cs="Arial"/>
          <w:sz w:val="24"/>
          <w:szCs w:val="24"/>
          <w:lang w:eastAsia="en-GB"/>
        </w:rPr>
        <w:t>Updates have been provided on the following areas:-</w:t>
      </w:r>
    </w:p>
    <w:p w14:paraId="32EB45DA" w14:textId="77777777" w:rsidR="00BB6DF4" w:rsidRPr="00552390" w:rsidRDefault="00BB6DF4" w:rsidP="00BB6DF4">
      <w:pPr>
        <w:pStyle w:val="NoSpacing"/>
        <w:spacing w:line="259" w:lineRule="auto"/>
        <w:ind w:left="720"/>
        <w:rPr>
          <w:rFonts w:ascii="Arial" w:eastAsia="Times New Roman" w:hAnsi="Arial" w:cs="Arial"/>
          <w:sz w:val="24"/>
          <w:szCs w:val="24"/>
          <w:lang w:eastAsia="en-GB"/>
        </w:rPr>
      </w:pPr>
    </w:p>
    <w:p w14:paraId="06E387E0" w14:textId="77777777" w:rsidR="005D2800" w:rsidRPr="00552390" w:rsidRDefault="005D2800" w:rsidP="00AF4BD7">
      <w:pPr>
        <w:pStyle w:val="NoSpacing"/>
        <w:numPr>
          <w:ilvl w:val="0"/>
          <w:numId w:val="5"/>
        </w:numPr>
        <w:spacing w:line="259" w:lineRule="auto"/>
        <w:rPr>
          <w:rFonts w:ascii="Arial" w:eastAsia="Times New Roman" w:hAnsi="Arial" w:cs="Arial"/>
          <w:sz w:val="24"/>
          <w:szCs w:val="24"/>
          <w:lang w:eastAsia="en-GB"/>
        </w:rPr>
      </w:pPr>
      <w:r w:rsidRPr="00552390">
        <w:rPr>
          <w:rFonts w:ascii="Arial" w:eastAsia="Times New Roman" w:hAnsi="Arial" w:cs="Arial"/>
          <w:sz w:val="24"/>
          <w:szCs w:val="24"/>
          <w:lang w:eastAsia="en-GB"/>
        </w:rPr>
        <w:t>Joint Serious Crime Directorate</w:t>
      </w:r>
    </w:p>
    <w:p w14:paraId="61E06162" w14:textId="77777777" w:rsidR="00C337C1" w:rsidRPr="00552390" w:rsidRDefault="00C337C1" w:rsidP="00AF4BD7">
      <w:pPr>
        <w:pStyle w:val="NoSpacing"/>
        <w:numPr>
          <w:ilvl w:val="0"/>
          <w:numId w:val="5"/>
        </w:numPr>
        <w:spacing w:line="259" w:lineRule="auto"/>
        <w:rPr>
          <w:rFonts w:ascii="Arial" w:eastAsia="Times New Roman" w:hAnsi="Arial" w:cs="Arial"/>
          <w:sz w:val="24"/>
          <w:szCs w:val="24"/>
          <w:lang w:eastAsia="en-GB"/>
        </w:rPr>
      </w:pPr>
      <w:r w:rsidRPr="00552390">
        <w:rPr>
          <w:rFonts w:ascii="Arial" w:eastAsia="Times New Roman" w:hAnsi="Arial" w:cs="Arial"/>
          <w:sz w:val="24"/>
          <w:szCs w:val="24"/>
          <w:lang w:eastAsia="en-GB"/>
        </w:rPr>
        <w:t>Joint Support Services Directorate</w:t>
      </w:r>
    </w:p>
    <w:p w14:paraId="7804D19A" w14:textId="77777777" w:rsidR="001A34F1" w:rsidRPr="00552390" w:rsidRDefault="001A34F1" w:rsidP="00AF4BD7">
      <w:pPr>
        <w:pStyle w:val="NoSpacing"/>
        <w:numPr>
          <w:ilvl w:val="0"/>
          <w:numId w:val="5"/>
        </w:numPr>
        <w:spacing w:line="259" w:lineRule="auto"/>
        <w:rPr>
          <w:rFonts w:ascii="Arial" w:eastAsia="Times New Roman" w:hAnsi="Arial" w:cs="Arial"/>
          <w:sz w:val="24"/>
          <w:szCs w:val="24"/>
          <w:lang w:eastAsia="en-GB"/>
        </w:rPr>
      </w:pPr>
      <w:r w:rsidRPr="00552390">
        <w:rPr>
          <w:rFonts w:ascii="Arial" w:eastAsia="Times New Roman" w:hAnsi="Arial" w:cs="Arial"/>
          <w:sz w:val="24"/>
          <w:szCs w:val="24"/>
          <w:lang w:eastAsia="en-GB"/>
        </w:rPr>
        <w:t>Essex/Kent Police Forces – Op Hexagon</w:t>
      </w:r>
    </w:p>
    <w:p w14:paraId="6BE9FB73" w14:textId="77777777" w:rsidR="001A34F1" w:rsidRPr="00552390" w:rsidRDefault="001A34F1" w:rsidP="00AF4BD7">
      <w:pPr>
        <w:pStyle w:val="NoSpacing"/>
        <w:numPr>
          <w:ilvl w:val="0"/>
          <w:numId w:val="5"/>
        </w:numPr>
        <w:spacing w:line="259" w:lineRule="auto"/>
        <w:rPr>
          <w:rFonts w:ascii="Arial" w:eastAsia="Times New Roman" w:hAnsi="Arial" w:cs="Arial"/>
          <w:sz w:val="24"/>
          <w:szCs w:val="24"/>
          <w:lang w:eastAsia="en-GB"/>
        </w:rPr>
      </w:pPr>
      <w:r w:rsidRPr="00552390">
        <w:rPr>
          <w:rFonts w:ascii="Arial" w:eastAsia="Times New Roman" w:hAnsi="Arial" w:cs="Arial"/>
          <w:sz w:val="24"/>
          <w:szCs w:val="24"/>
          <w:lang w:eastAsia="en-GB"/>
        </w:rPr>
        <w:lastRenderedPageBreak/>
        <w:t>7 Force Strategic Collaboration Programme</w:t>
      </w:r>
    </w:p>
    <w:p w14:paraId="0A606A62" w14:textId="77777777" w:rsidR="006772DB" w:rsidRDefault="006772DB" w:rsidP="00AF4BD7">
      <w:pPr>
        <w:pStyle w:val="NoSpacing"/>
        <w:numPr>
          <w:ilvl w:val="0"/>
          <w:numId w:val="5"/>
        </w:numPr>
        <w:spacing w:line="259" w:lineRule="auto"/>
        <w:rPr>
          <w:rFonts w:ascii="Arial" w:eastAsia="Times New Roman" w:hAnsi="Arial" w:cs="Arial"/>
          <w:sz w:val="24"/>
          <w:szCs w:val="24"/>
          <w:lang w:eastAsia="en-GB"/>
        </w:rPr>
      </w:pPr>
      <w:r>
        <w:rPr>
          <w:rFonts w:ascii="Arial" w:eastAsia="Times New Roman" w:hAnsi="Arial" w:cs="Arial"/>
          <w:sz w:val="24"/>
          <w:szCs w:val="24"/>
          <w:lang w:eastAsia="en-GB"/>
        </w:rPr>
        <w:t>Home Office – Digital Policing Portfolio</w:t>
      </w:r>
    </w:p>
    <w:p w14:paraId="2FDDF1F7" w14:textId="77777777" w:rsidR="00E543B9" w:rsidRPr="00552390" w:rsidRDefault="00E543B9" w:rsidP="00AF4BD7">
      <w:pPr>
        <w:pStyle w:val="NoSpacing"/>
        <w:numPr>
          <w:ilvl w:val="0"/>
          <w:numId w:val="5"/>
        </w:numPr>
        <w:spacing w:line="259" w:lineRule="auto"/>
        <w:rPr>
          <w:rFonts w:ascii="Arial" w:eastAsia="Times New Roman" w:hAnsi="Arial" w:cs="Arial"/>
          <w:sz w:val="24"/>
          <w:szCs w:val="24"/>
          <w:lang w:eastAsia="en-GB"/>
        </w:rPr>
      </w:pPr>
      <w:r w:rsidRPr="00552390">
        <w:rPr>
          <w:rFonts w:ascii="Arial" w:eastAsia="Times New Roman" w:hAnsi="Arial" w:cs="Arial"/>
          <w:sz w:val="24"/>
          <w:szCs w:val="24"/>
          <w:lang w:eastAsia="en-GB"/>
        </w:rPr>
        <w:t>Digital Public Contact – Single Online Home</w:t>
      </w:r>
    </w:p>
    <w:p w14:paraId="70986BB1" w14:textId="77777777" w:rsidR="00E543B9" w:rsidRPr="00552390" w:rsidRDefault="00E543B9" w:rsidP="00AF4BD7">
      <w:pPr>
        <w:pStyle w:val="NoSpacing"/>
        <w:numPr>
          <w:ilvl w:val="0"/>
          <w:numId w:val="5"/>
        </w:numPr>
        <w:spacing w:line="259" w:lineRule="auto"/>
        <w:rPr>
          <w:rFonts w:ascii="Arial" w:eastAsia="Times New Roman" w:hAnsi="Arial" w:cs="Arial"/>
          <w:sz w:val="24"/>
          <w:szCs w:val="24"/>
          <w:lang w:eastAsia="en-GB"/>
        </w:rPr>
      </w:pPr>
      <w:r w:rsidRPr="00552390">
        <w:rPr>
          <w:rFonts w:ascii="Arial" w:eastAsia="Times New Roman" w:hAnsi="Arial" w:cs="Arial"/>
          <w:sz w:val="24"/>
          <w:szCs w:val="24"/>
          <w:lang w:eastAsia="en-GB"/>
        </w:rPr>
        <w:t>Essex County Fire &amp; Rescue Service (ECFRS)</w:t>
      </w:r>
    </w:p>
    <w:p w14:paraId="226852C6" w14:textId="77777777" w:rsidR="00C337C1" w:rsidRPr="00552390" w:rsidRDefault="00C337C1" w:rsidP="00AF4BD7">
      <w:pPr>
        <w:pStyle w:val="NoSpacing"/>
        <w:numPr>
          <w:ilvl w:val="0"/>
          <w:numId w:val="5"/>
        </w:numPr>
        <w:spacing w:line="259" w:lineRule="auto"/>
        <w:rPr>
          <w:rFonts w:ascii="Arial" w:eastAsia="Times New Roman" w:hAnsi="Arial" w:cs="Arial"/>
          <w:sz w:val="24"/>
          <w:szCs w:val="24"/>
          <w:lang w:eastAsia="en-GB"/>
        </w:rPr>
      </w:pPr>
      <w:r w:rsidRPr="00552390">
        <w:rPr>
          <w:rFonts w:ascii="Arial" w:eastAsia="Times New Roman" w:hAnsi="Arial" w:cs="Arial"/>
          <w:sz w:val="24"/>
          <w:szCs w:val="24"/>
          <w:lang w:eastAsia="en-GB"/>
        </w:rPr>
        <w:t xml:space="preserve">Local crime reduction collaborations </w:t>
      </w:r>
    </w:p>
    <w:p w14:paraId="173C37F2" w14:textId="77777777" w:rsidR="001A674B" w:rsidRPr="00552390" w:rsidRDefault="001A674B" w:rsidP="00AF4BD7">
      <w:pPr>
        <w:pStyle w:val="NoSpacing"/>
        <w:numPr>
          <w:ilvl w:val="0"/>
          <w:numId w:val="5"/>
        </w:numPr>
        <w:spacing w:line="259" w:lineRule="auto"/>
        <w:rPr>
          <w:rFonts w:ascii="Arial" w:eastAsia="Times New Roman" w:hAnsi="Arial" w:cs="Arial"/>
          <w:sz w:val="24"/>
          <w:szCs w:val="24"/>
          <w:lang w:eastAsia="en-GB"/>
        </w:rPr>
      </w:pPr>
      <w:r w:rsidRPr="00552390">
        <w:rPr>
          <w:rFonts w:ascii="Arial" w:eastAsia="Times New Roman" w:hAnsi="Arial" w:cs="Arial"/>
          <w:sz w:val="24"/>
          <w:szCs w:val="24"/>
          <w:lang w:eastAsia="en-GB"/>
        </w:rPr>
        <w:t xml:space="preserve">Essex Centre for Data Analytics (ECDA) </w:t>
      </w:r>
    </w:p>
    <w:p w14:paraId="7C3AF35C" w14:textId="77777777" w:rsidR="001A674B" w:rsidRPr="00552390" w:rsidRDefault="001A674B" w:rsidP="00AF4BD7">
      <w:pPr>
        <w:pStyle w:val="NoSpacing"/>
        <w:numPr>
          <w:ilvl w:val="0"/>
          <w:numId w:val="5"/>
        </w:numPr>
        <w:spacing w:line="259" w:lineRule="auto"/>
        <w:rPr>
          <w:rFonts w:ascii="Arial" w:eastAsia="Times New Roman" w:hAnsi="Arial" w:cs="Arial"/>
          <w:sz w:val="24"/>
          <w:szCs w:val="24"/>
          <w:lang w:eastAsia="en-GB"/>
        </w:rPr>
      </w:pPr>
      <w:r w:rsidRPr="00552390">
        <w:rPr>
          <w:rFonts w:ascii="Arial" w:eastAsia="Times New Roman" w:hAnsi="Arial" w:cs="Arial"/>
          <w:sz w:val="24"/>
          <w:szCs w:val="24"/>
          <w:lang w:eastAsia="en-GB"/>
        </w:rPr>
        <w:t>Innovative Partnerships – BT Hothouse</w:t>
      </w:r>
    </w:p>
    <w:p w14:paraId="7C971651" w14:textId="77777777" w:rsidR="001A34F1" w:rsidRPr="00552390" w:rsidRDefault="001A34F1" w:rsidP="00AF4BD7">
      <w:pPr>
        <w:pStyle w:val="NoSpacing"/>
        <w:numPr>
          <w:ilvl w:val="0"/>
          <w:numId w:val="5"/>
        </w:numPr>
        <w:spacing w:line="259" w:lineRule="auto"/>
        <w:rPr>
          <w:rFonts w:ascii="Arial" w:eastAsia="Times New Roman" w:hAnsi="Arial" w:cs="Arial"/>
          <w:sz w:val="24"/>
          <w:szCs w:val="24"/>
          <w:lang w:eastAsia="en-GB"/>
        </w:rPr>
      </w:pPr>
      <w:r w:rsidRPr="00552390">
        <w:rPr>
          <w:rFonts w:ascii="Arial" w:eastAsia="Times New Roman" w:hAnsi="Arial" w:cs="Arial"/>
          <w:sz w:val="24"/>
          <w:szCs w:val="24"/>
          <w:lang w:eastAsia="en-GB"/>
        </w:rPr>
        <w:t>Anglia Ruskin University</w:t>
      </w:r>
    </w:p>
    <w:p w14:paraId="6267F921" w14:textId="25418233" w:rsidR="00204056" w:rsidRDefault="00204056" w:rsidP="00AF4BD7">
      <w:pPr>
        <w:pStyle w:val="NoSpacing"/>
        <w:numPr>
          <w:ilvl w:val="0"/>
          <w:numId w:val="5"/>
        </w:numPr>
        <w:spacing w:line="259" w:lineRule="auto"/>
        <w:rPr>
          <w:rFonts w:ascii="Arial" w:eastAsia="Times New Roman" w:hAnsi="Arial" w:cs="Arial"/>
          <w:sz w:val="24"/>
          <w:szCs w:val="24"/>
          <w:lang w:eastAsia="en-GB"/>
        </w:rPr>
      </w:pPr>
      <w:r>
        <w:rPr>
          <w:rFonts w:ascii="Arial" w:eastAsia="Times New Roman" w:hAnsi="Arial" w:cs="Arial"/>
          <w:sz w:val="24"/>
          <w:szCs w:val="24"/>
          <w:lang w:eastAsia="en-GB"/>
        </w:rPr>
        <w:t>Cyber Special</w:t>
      </w:r>
      <w:r w:rsidR="00853D82">
        <w:rPr>
          <w:rFonts w:ascii="Arial" w:eastAsia="Times New Roman" w:hAnsi="Arial" w:cs="Arial"/>
          <w:sz w:val="24"/>
          <w:szCs w:val="24"/>
          <w:lang w:eastAsia="en-GB"/>
        </w:rPr>
        <w:t>s</w:t>
      </w:r>
      <w:r>
        <w:rPr>
          <w:rFonts w:ascii="Arial" w:eastAsia="Times New Roman" w:hAnsi="Arial" w:cs="Arial"/>
          <w:sz w:val="24"/>
          <w:szCs w:val="24"/>
          <w:lang w:eastAsia="en-GB"/>
        </w:rPr>
        <w:t xml:space="preserve"> and Volunteers</w:t>
      </w:r>
    </w:p>
    <w:p w14:paraId="66EEA7E5" w14:textId="3CC514BB" w:rsidR="001A34F1" w:rsidRPr="0086050C" w:rsidRDefault="001A34F1" w:rsidP="00EE1E3A">
      <w:pPr>
        <w:pStyle w:val="NoSpacing"/>
        <w:numPr>
          <w:ilvl w:val="0"/>
          <w:numId w:val="5"/>
        </w:numPr>
        <w:spacing w:line="259" w:lineRule="auto"/>
        <w:rPr>
          <w:rFonts w:ascii="Arial" w:eastAsia="Times New Roman" w:hAnsi="Arial" w:cs="Arial"/>
          <w:sz w:val="24"/>
          <w:szCs w:val="24"/>
          <w:lang w:eastAsia="en-GB"/>
        </w:rPr>
      </w:pPr>
      <w:r w:rsidRPr="0086050C">
        <w:rPr>
          <w:rFonts w:ascii="Arial" w:eastAsia="Times New Roman" w:hAnsi="Arial" w:cs="Arial"/>
          <w:sz w:val="24"/>
          <w:szCs w:val="24"/>
          <w:lang w:eastAsia="en-GB"/>
        </w:rPr>
        <w:t>Durham University</w:t>
      </w:r>
    </w:p>
    <w:p w14:paraId="1A7A9D56" w14:textId="77777777" w:rsidR="005D2800" w:rsidRPr="00552390" w:rsidRDefault="005D2800" w:rsidP="005D2800">
      <w:pPr>
        <w:pStyle w:val="NoSpacing"/>
        <w:spacing w:line="259" w:lineRule="auto"/>
        <w:ind w:left="720"/>
        <w:rPr>
          <w:rFonts w:ascii="Arial" w:eastAsia="Times New Roman" w:hAnsi="Arial" w:cs="Arial"/>
          <w:sz w:val="24"/>
          <w:szCs w:val="24"/>
          <w:lang w:eastAsia="en-GB"/>
        </w:rPr>
      </w:pPr>
    </w:p>
    <w:p w14:paraId="6CF2A1D0" w14:textId="77777777" w:rsidR="00ED5F0C" w:rsidRPr="00552390" w:rsidRDefault="004F62BB" w:rsidP="00AF4BD7">
      <w:pPr>
        <w:pStyle w:val="NoSpacing"/>
        <w:numPr>
          <w:ilvl w:val="0"/>
          <w:numId w:val="1"/>
        </w:numPr>
        <w:spacing w:line="259" w:lineRule="auto"/>
        <w:rPr>
          <w:rFonts w:ascii="Arial" w:hAnsi="Arial" w:cs="Arial"/>
          <w:b/>
          <w:sz w:val="24"/>
          <w:szCs w:val="24"/>
          <w:u w:val="single"/>
        </w:rPr>
      </w:pPr>
      <w:r w:rsidRPr="00552390">
        <w:rPr>
          <w:rFonts w:ascii="Arial" w:hAnsi="Arial" w:cs="Arial"/>
          <w:b/>
          <w:sz w:val="24"/>
          <w:szCs w:val="24"/>
          <w:u w:val="single"/>
        </w:rPr>
        <w:t>Introduction</w:t>
      </w:r>
      <w:r w:rsidR="00E92E89" w:rsidRPr="00552390">
        <w:rPr>
          <w:rFonts w:ascii="Arial" w:hAnsi="Arial" w:cs="Arial"/>
          <w:b/>
          <w:sz w:val="24"/>
          <w:szCs w:val="24"/>
          <w:u w:val="single"/>
        </w:rPr>
        <w:t>/</w:t>
      </w:r>
      <w:r w:rsidR="001D5222" w:rsidRPr="00552390">
        <w:rPr>
          <w:rFonts w:ascii="Arial" w:hAnsi="Arial" w:cs="Arial"/>
          <w:b/>
          <w:sz w:val="24"/>
          <w:szCs w:val="24"/>
          <w:u w:val="single"/>
        </w:rPr>
        <w:t xml:space="preserve">Background </w:t>
      </w:r>
    </w:p>
    <w:p w14:paraId="3336A3E5" w14:textId="2A39F026" w:rsidR="00ED5F0C" w:rsidRPr="00552390" w:rsidRDefault="00ED5F0C" w:rsidP="006D07B8">
      <w:pPr>
        <w:pStyle w:val="NoSpacing"/>
        <w:spacing w:line="259" w:lineRule="auto"/>
        <w:ind w:left="720"/>
        <w:rPr>
          <w:rFonts w:ascii="Arial" w:hAnsi="Arial" w:cs="Arial"/>
          <w:sz w:val="24"/>
          <w:szCs w:val="24"/>
        </w:rPr>
      </w:pPr>
      <w:r w:rsidRPr="00552390">
        <w:rPr>
          <w:rFonts w:ascii="Arial" w:hAnsi="Arial" w:cs="Arial"/>
          <w:b/>
          <w:sz w:val="24"/>
          <w:szCs w:val="24"/>
          <w:u w:val="single"/>
        </w:rPr>
        <w:br/>
      </w:r>
      <w:r w:rsidRPr="00552390">
        <w:rPr>
          <w:rFonts w:ascii="Arial" w:hAnsi="Arial" w:cs="Arial"/>
          <w:sz w:val="24"/>
          <w:szCs w:val="24"/>
        </w:rPr>
        <w:t>Essex Police has developed over time significant collaborative arrangements with other police forces</w:t>
      </w:r>
      <w:r w:rsidR="00C73631" w:rsidRPr="00552390">
        <w:rPr>
          <w:rFonts w:ascii="Arial" w:hAnsi="Arial" w:cs="Arial"/>
          <w:sz w:val="24"/>
          <w:szCs w:val="24"/>
        </w:rPr>
        <w:t>, particularly over the last twelve</w:t>
      </w:r>
      <w:r w:rsidRPr="00552390">
        <w:rPr>
          <w:rFonts w:ascii="Arial" w:hAnsi="Arial" w:cs="Arial"/>
          <w:sz w:val="24"/>
          <w:szCs w:val="24"/>
        </w:rPr>
        <w:t xml:space="preserve"> years since the decision by the government not to proceed with compulsory mergers of forces in 2006. These were for the purpose of cost savings as well as looking to achieve efficiencies and maximising joint working with the overarching aim of delivering more effective policing. The main Police collaborations are:</w:t>
      </w:r>
    </w:p>
    <w:p w14:paraId="523A616E" w14:textId="77777777" w:rsidR="00ED5F0C" w:rsidRPr="00552390" w:rsidRDefault="00ED5F0C" w:rsidP="006D07B8">
      <w:pPr>
        <w:pStyle w:val="NoSpacing"/>
        <w:spacing w:line="259" w:lineRule="auto"/>
        <w:ind w:left="720"/>
        <w:rPr>
          <w:rFonts w:ascii="Arial" w:hAnsi="Arial" w:cs="Arial"/>
          <w:sz w:val="24"/>
          <w:szCs w:val="24"/>
        </w:rPr>
      </w:pPr>
    </w:p>
    <w:p w14:paraId="24B89F9D" w14:textId="77777777" w:rsidR="007408B4" w:rsidRPr="00552390" w:rsidRDefault="004D1BC0" w:rsidP="00AF4BD7">
      <w:pPr>
        <w:pStyle w:val="NoSpacing"/>
        <w:numPr>
          <w:ilvl w:val="0"/>
          <w:numId w:val="2"/>
        </w:numPr>
        <w:spacing w:line="259" w:lineRule="auto"/>
        <w:rPr>
          <w:rFonts w:ascii="Arial" w:hAnsi="Arial" w:cs="Arial"/>
          <w:sz w:val="24"/>
          <w:szCs w:val="24"/>
        </w:rPr>
      </w:pPr>
      <w:r w:rsidRPr="00552390">
        <w:rPr>
          <w:rFonts w:ascii="Arial" w:hAnsi="Arial" w:cs="Arial"/>
          <w:b/>
          <w:sz w:val="24"/>
          <w:szCs w:val="24"/>
        </w:rPr>
        <w:t>Essex/</w:t>
      </w:r>
      <w:r w:rsidR="00ED5F0C" w:rsidRPr="00552390">
        <w:rPr>
          <w:rFonts w:ascii="Arial" w:hAnsi="Arial" w:cs="Arial"/>
          <w:b/>
          <w:sz w:val="24"/>
          <w:szCs w:val="24"/>
        </w:rPr>
        <w:t>Kent police forces</w:t>
      </w:r>
    </w:p>
    <w:p w14:paraId="59D01E07" w14:textId="77777777" w:rsidR="00FD77E7" w:rsidRPr="00552390" w:rsidRDefault="00ED5F0C" w:rsidP="00EE1E3A">
      <w:pPr>
        <w:pStyle w:val="NoSpacing"/>
        <w:numPr>
          <w:ilvl w:val="1"/>
          <w:numId w:val="2"/>
        </w:numPr>
        <w:spacing w:line="259" w:lineRule="auto"/>
        <w:ind w:left="1797" w:hanging="357"/>
        <w:rPr>
          <w:rFonts w:ascii="Arial" w:hAnsi="Arial" w:cs="Arial"/>
          <w:sz w:val="24"/>
          <w:szCs w:val="24"/>
        </w:rPr>
      </w:pPr>
      <w:r w:rsidRPr="00552390">
        <w:rPr>
          <w:rFonts w:ascii="Arial" w:hAnsi="Arial" w:cs="Arial"/>
          <w:sz w:val="24"/>
          <w:szCs w:val="24"/>
        </w:rPr>
        <w:t>Joint Serious Crime Directorate (SCD)</w:t>
      </w:r>
    </w:p>
    <w:p w14:paraId="201CE423" w14:textId="77777777" w:rsidR="001A674B" w:rsidRPr="00552390" w:rsidRDefault="00ED5F0C" w:rsidP="00EE1E3A">
      <w:pPr>
        <w:pStyle w:val="NoSpacing"/>
        <w:numPr>
          <w:ilvl w:val="1"/>
          <w:numId w:val="2"/>
        </w:numPr>
        <w:spacing w:line="259" w:lineRule="auto"/>
        <w:ind w:left="1797" w:hanging="357"/>
        <w:rPr>
          <w:rFonts w:ascii="Arial" w:hAnsi="Arial" w:cs="Arial"/>
          <w:sz w:val="24"/>
          <w:szCs w:val="24"/>
        </w:rPr>
      </w:pPr>
      <w:r w:rsidRPr="00552390">
        <w:rPr>
          <w:rFonts w:ascii="Arial" w:hAnsi="Arial" w:cs="Arial"/>
          <w:sz w:val="24"/>
          <w:szCs w:val="24"/>
        </w:rPr>
        <w:t>Joint Support Services Directorate</w:t>
      </w:r>
      <w:r w:rsidR="004D4EF7" w:rsidRPr="00552390">
        <w:rPr>
          <w:rFonts w:ascii="Arial" w:hAnsi="Arial" w:cs="Arial"/>
          <w:sz w:val="24"/>
          <w:szCs w:val="24"/>
        </w:rPr>
        <w:t xml:space="preserve"> (SSD)</w:t>
      </w:r>
    </w:p>
    <w:p w14:paraId="0F68D448" w14:textId="77777777" w:rsidR="001973CB" w:rsidRPr="00552390" w:rsidRDefault="001A674B" w:rsidP="00EE1E3A">
      <w:pPr>
        <w:pStyle w:val="NoSpacing"/>
        <w:numPr>
          <w:ilvl w:val="1"/>
          <w:numId w:val="2"/>
        </w:numPr>
        <w:spacing w:line="259" w:lineRule="auto"/>
        <w:ind w:left="1797" w:hanging="357"/>
        <w:rPr>
          <w:rFonts w:ascii="Arial" w:hAnsi="Arial" w:cs="Arial"/>
          <w:sz w:val="24"/>
          <w:szCs w:val="24"/>
        </w:rPr>
      </w:pPr>
      <w:r w:rsidRPr="00552390">
        <w:rPr>
          <w:rFonts w:ascii="Arial" w:hAnsi="Arial" w:cs="Arial"/>
          <w:sz w:val="24"/>
          <w:szCs w:val="24"/>
        </w:rPr>
        <w:t>Joint Operational working Essex OPC/ Kent TAC OPS</w:t>
      </w:r>
      <w:r w:rsidR="003467EE" w:rsidRPr="00552390">
        <w:rPr>
          <w:rFonts w:ascii="Arial" w:hAnsi="Arial" w:cs="Arial"/>
          <w:sz w:val="24"/>
          <w:szCs w:val="24"/>
        </w:rPr>
        <w:br/>
      </w:r>
    </w:p>
    <w:p w14:paraId="43A47F29" w14:textId="77777777" w:rsidR="007408B4" w:rsidRPr="00552390" w:rsidRDefault="00ED5F0C" w:rsidP="00AF4BD7">
      <w:pPr>
        <w:pStyle w:val="NoSpacing"/>
        <w:numPr>
          <w:ilvl w:val="0"/>
          <w:numId w:val="2"/>
        </w:numPr>
        <w:spacing w:line="259" w:lineRule="auto"/>
        <w:rPr>
          <w:rFonts w:ascii="Arial" w:hAnsi="Arial" w:cs="Arial"/>
          <w:b/>
          <w:sz w:val="24"/>
          <w:szCs w:val="24"/>
        </w:rPr>
      </w:pPr>
      <w:r w:rsidRPr="00552390">
        <w:rPr>
          <w:rFonts w:ascii="Arial" w:hAnsi="Arial" w:cs="Arial"/>
          <w:b/>
          <w:sz w:val="24"/>
          <w:szCs w:val="24"/>
        </w:rPr>
        <w:t>Regional police collaboration</w:t>
      </w:r>
    </w:p>
    <w:p w14:paraId="18AF19CB" w14:textId="77777777" w:rsidR="00FD77E7" w:rsidRPr="00552390" w:rsidRDefault="00D00F2A" w:rsidP="00EE1E3A">
      <w:pPr>
        <w:pStyle w:val="NoSpacing"/>
        <w:numPr>
          <w:ilvl w:val="1"/>
          <w:numId w:val="2"/>
        </w:numPr>
        <w:spacing w:line="259" w:lineRule="auto"/>
        <w:ind w:left="1797" w:hanging="357"/>
        <w:rPr>
          <w:rFonts w:ascii="Arial" w:hAnsi="Arial" w:cs="Arial"/>
          <w:sz w:val="24"/>
          <w:szCs w:val="24"/>
        </w:rPr>
      </w:pPr>
      <w:r w:rsidRPr="00552390">
        <w:rPr>
          <w:rFonts w:ascii="Arial" w:eastAsia="Times New Roman" w:hAnsi="Arial" w:cs="Arial"/>
          <w:sz w:val="24"/>
          <w:szCs w:val="24"/>
          <w:lang w:eastAsia="en-GB"/>
        </w:rPr>
        <w:t>7 Force Strategic Collaboration Programme</w:t>
      </w:r>
      <w:r w:rsidR="00357A19" w:rsidRPr="00552390">
        <w:rPr>
          <w:rFonts w:ascii="Arial" w:eastAsia="Times New Roman" w:hAnsi="Arial" w:cs="Arial"/>
          <w:sz w:val="24"/>
          <w:szCs w:val="24"/>
          <w:lang w:eastAsia="en-GB"/>
        </w:rPr>
        <w:t>:</w:t>
      </w:r>
    </w:p>
    <w:p w14:paraId="107D48AE" w14:textId="77777777" w:rsidR="00FD77E7" w:rsidRPr="00552390" w:rsidRDefault="00ED5F0C" w:rsidP="00EE1E3A">
      <w:pPr>
        <w:pStyle w:val="NoSpacing"/>
        <w:numPr>
          <w:ilvl w:val="1"/>
          <w:numId w:val="2"/>
        </w:numPr>
        <w:spacing w:line="259" w:lineRule="auto"/>
        <w:ind w:left="1797" w:hanging="357"/>
        <w:rPr>
          <w:rFonts w:ascii="Arial" w:hAnsi="Arial" w:cs="Arial"/>
          <w:sz w:val="24"/>
          <w:szCs w:val="24"/>
        </w:rPr>
      </w:pPr>
      <w:r w:rsidRPr="00552390">
        <w:rPr>
          <w:rFonts w:ascii="Arial" w:eastAsia="Times New Roman" w:hAnsi="Arial" w:cs="Arial"/>
          <w:sz w:val="24"/>
          <w:szCs w:val="24"/>
          <w:lang w:eastAsia="en-GB"/>
        </w:rPr>
        <w:t>Athena IT Programme (nine forces)</w:t>
      </w:r>
      <w:r w:rsidR="00932B10" w:rsidRPr="00552390">
        <w:rPr>
          <w:rFonts w:ascii="Arial" w:eastAsia="Times New Roman" w:hAnsi="Arial" w:cs="Arial"/>
          <w:sz w:val="24"/>
          <w:szCs w:val="24"/>
          <w:lang w:eastAsia="en-GB"/>
        </w:rPr>
        <w:t>:</w:t>
      </w:r>
    </w:p>
    <w:p w14:paraId="3159FD13" w14:textId="77777777" w:rsidR="00FD77E7" w:rsidRPr="00552390" w:rsidRDefault="00ED5F0C" w:rsidP="00EE1E3A">
      <w:pPr>
        <w:pStyle w:val="NoSpacing"/>
        <w:numPr>
          <w:ilvl w:val="1"/>
          <w:numId w:val="2"/>
        </w:numPr>
        <w:spacing w:line="259" w:lineRule="auto"/>
        <w:ind w:left="1797" w:hanging="357"/>
        <w:rPr>
          <w:rFonts w:ascii="Arial" w:hAnsi="Arial" w:cs="Arial"/>
          <w:sz w:val="24"/>
          <w:szCs w:val="24"/>
        </w:rPr>
      </w:pPr>
      <w:r w:rsidRPr="00552390">
        <w:rPr>
          <w:rFonts w:ascii="Arial" w:eastAsia="Times New Roman" w:hAnsi="Arial" w:cs="Arial"/>
          <w:sz w:val="24"/>
          <w:szCs w:val="24"/>
          <w:lang w:eastAsia="en-GB"/>
        </w:rPr>
        <w:t>Eastern Region Special Operations Unit (ERSOU)</w:t>
      </w:r>
      <w:r w:rsidR="00102305" w:rsidRPr="00552390">
        <w:rPr>
          <w:rFonts w:ascii="Arial" w:eastAsia="Times New Roman" w:hAnsi="Arial" w:cs="Arial"/>
          <w:sz w:val="24"/>
          <w:szCs w:val="24"/>
          <w:lang w:eastAsia="en-GB"/>
        </w:rPr>
        <w:t>:</w:t>
      </w:r>
    </w:p>
    <w:p w14:paraId="644E8EC7" w14:textId="77777777" w:rsidR="00E43B6E" w:rsidRPr="00552390" w:rsidRDefault="00253C74" w:rsidP="00EE1E3A">
      <w:pPr>
        <w:pStyle w:val="NoSpacing"/>
        <w:numPr>
          <w:ilvl w:val="1"/>
          <w:numId w:val="2"/>
        </w:numPr>
        <w:spacing w:line="259" w:lineRule="auto"/>
        <w:ind w:left="1797" w:hanging="357"/>
        <w:rPr>
          <w:rFonts w:ascii="Arial" w:hAnsi="Arial" w:cs="Arial"/>
          <w:sz w:val="24"/>
          <w:szCs w:val="24"/>
        </w:rPr>
      </w:pPr>
      <w:r w:rsidRPr="00552390">
        <w:rPr>
          <w:rFonts w:ascii="Arial" w:hAnsi="Arial" w:cs="Arial"/>
          <w:sz w:val="24"/>
          <w:szCs w:val="24"/>
        </w:rPr>
        <w:t>Eastern Region Counter Terrorism Intelligence Unit (ECTIU</w:t>
      </w:r>
      <w:r w:rsidR="007408B4" w:rsidRPr="00552390">
        <w:rPr>
          <w:rFonts w:ascii="Arial" w:hAnsi="Arial" w:cs="Arial"/>
          <w:sz w:val="24"/>
          <w:szCs w:val="24"/>
        </w:rPr>
        <w:t>)</w:t>
      </w:r>
      <w:r w:rsidR="00570530" w:rsidRPr="00552390">
        <w:rPr>
          <w:rFonts w:ascii="Arial" w:hAnsi="Arial" w:cs="Arial"/>
          <w:sz w:val="24"/>
          <w:szCs w:val="24"/>
        </w:rPr>
        <w:t>:</w:t>
      </w:r>
      <w:r w:rsidR="00570530" w:rsidRPr="00552390">
        <w:rPr>
          <w:rFonts w:ascii="Arial" w:hAnsi="Arial" w:cs="Arial"/>
          <w:sz w:val="24"/>
          <w:szCs w:val="24"/>
        </w:rPr>
        <w:br/>
      </w:r>
    </w:p>
    <w:p w14:paraId="34C85012" w14:textId="77777777" w:rsidR="00FD77E7" w:rsidRPr="00552390" w:rsidRDefault="00E43B6E" w:rsidP="00AF4BD7">
      <w:pPr>
        <w:pStyle w:val="ListParagraph"/>
        <w:numPr>
          <w:ilvl w:val="0"/>
          <w:numId w:val="2"/>
        </w:numPr>
        <w:spacing w:before="0" w:beforeAutospacing="0" w:after="0" w:afterAutospacing="0" w:line="259" w:lineRule="auto"/>
        <w:rPr>
          <w:rFonts w:cs="Arial"/>
        </w:rPr>
      </w:pPr>
      <w:r w:rsidRPr="00552390">
        <w:rPr>
          <w:rFonts w:cs="Arial"/>
          <w:b/>
          <w:szCs w:val="24"/>
        </w:rPr>
        <w:t>National collaboration</w:t>
      </w:r>
      <w:r w:rsidRPr="00552390">
        <w:rPr>
          <w:rFonts w:cs="Arial"/>
          <w:szCs w:val="24"/>
        </w:rPr>
        <w:t xml:space="preserve"> – </w:t>
      </w:r>
    </w:p>
    <w:p w14:paraId="03B48BF9" w14:textId="77777777" w:rsidR="00FD77E7" w:rsidRPr="00552390" w:rsidRDefault="00E43B6E" w:rsidP="00EE1E3A">
      <w:pPr>
        <w:pStyle w:val="NoSpacing"/>
        <w:numPr>
          <w:ilvl w:val="1"/>
          <w:numId w:val="2"/>
        </w:numPr>
        <w:spacing w:line="259" w:lineRule="auto"/>
        <w:ind w:left="1797" w:hanging="357"/>
        <w:rPr>
          <w:rFonts w:ascii="Arial" w:eastAsia="Times New Roman" w:hAnsi="Arial" w:cs="Arial"/>
          <w:sz w:val="24"/>
          <w:szCs w:val="24"/>
          <w:lang w:eastAsia="en-GB"/>
        </w:rPr>
      </w:pPr>
      <w:r w:rsidRPr="00552390">
        <w:rPr>
          <w:rFonts w:ascii="Arial" w:eastAsia="Times New Roman" w:hAnsi="Arial" w:cs="Arial"/>
          <w:sz w:val="24"/>
          <w:szCs w:val="24"/>
          <w:lang w:eastAsia="en-GB"/>
        </w:rPr>
        <w:t>National Police Air Service (NPAS)</w:t>
      </w:r>
    </w:p>
    <w:p w14:paraId="406A833C" w14:textId="77777777" w:rsidR="00FD77E7" w:rsidRPr="00552390" w:rsidRDefault="00E43B6E" w:rsidP="00EE1E3A">
      <w:pPr>
        <w:pStyle w:val="NoSpacing"/>
        <w:numPr>
          <w:ilvl w:val="1"/>
          <w:numId w:val="2"/>
        </w:numPr>
        <w:spacing w:line="259" w:lineRule="auto"/>
        <w:ind w:left="1797" w:hanging="357"/>
        <w:rPr>
          <w:rFonts w:ascii="Arial" w:eastAsia="Times New Roman" w:hAnsi="Arial" w:cs="Arial"/>
          <w:sz w:val="24"/>
          <w:szCs w:val="24"/>
          <w:lang w:eastAsia="en-GB"/>
        </w:rPr>
      </w:pPr>
      <w:r w:rsidRPr="00552390">
        <w:rPr>
          <w:rFonts w:ascii="Arial" w:eastAsia="Times New Roman" w:hAnsi="Arial" w:cs="Arial"/>
          <w:sz w:val="24"/>
          <w:szCs w:val="24"/>
          <w:lang w:eastAsia="en-GB"/>
        </w:rPr>
        <w:t>Eastern Region Mobilisation Hub</w:t>
      </w:r>
    </w:p>
    <w:p w14:paraId="51395BFA" w14:textId="77777777" w:rsidR="00F12993" w:rsidRPr="00552390" w:rsidRDefault="00E43B6E" w:rsidP="00EE1E3A">
      <w:pPr>
        <w:pStyle w:val="NoSpacing"/>
        <w:numPr>
          <w:ilvl w:val="1"/>
          <w:numId w:val="2"/>
        </w:numPr>
        <w:spacing w:line="259" w:lineRule="auto"/>
        <w:ind w:left="1797" w:hanging="357"/>
        <w:rPr>
          <w:rFonts w:ascii="Arial" w:eastAsia="Times New Roman" w:hAnsi="Arial" w:cs="Arial"/>
          <w:sz w:val="24"/>
          <w:szCs w:val="24"/>
          <w:lang w:eastAsia="en-GB"/>
        </w:rPr>
      </w:pPr>
      <w:r w:rsidRPr="00552390">
        <w:rPr>
          <w:rFonts w:ascii="Arial" w:eastAsia="Times New Roman" w:hAnsi="Arial" w:cs="Arial"/>
          <w:sz w:val="24"/>
          <w:szCs w:val="24"/>
          <w:lang w:eastAsia="en-GB"/>
        </w:rPr>
        <w:t>Home Office IT Programme</w:t>
      </w:r>
    </w:p>
    <w:p w14:paraId="208A7517" w14:textId="77777777" w:rsidR="007408B4" w:rsidRPr="00552390" w:rsidRDefault="00F12993" w:rsidP="00EE1E3A">
      <w:pPr>
        <w:pStyle w:val="NoSpacing"/>
        <w:numPr>
          <w:ilvl w:val="1"/>
          <w:numId w:val="2"/>
        </w:numPr>
        <w:spacing w:line="259" w:lineRule="auto"/>
        <w:ind w:left="1797" w:hanging="357"/>
        <w:rPr>
          <w:rFonts w:ascii="Arial" w:eastAsia="Times New Roman" w:hAnsi="Arial" w:cs="Arial"/>
          <w:sz w:val="24"/>
          <w:szCs w:val="24"/>
          <w:lang w:eastAsia="en-GB"/>
        </w:rPr>
      </w:pPr>
      <w:r w:rsidRPr="00552390">
        <w:rPr>
          <w:rFonts w:ascii="Arial" w:eastAsia="Times New Roman" w:hAnsi="Arial" w:cs="Arial"/>
          <w:sz w:val="24"/>
          <w:szCs w:val="24"/>
          <w:lang w:eastAsia="en-GB"/>
        </w:rPr>
        <w:t>Home Office Digital Policing Portfolio</w:t>
      </w:r>
      <w:r w:rsidR="00E43B6E" w:rsidRPr="00552390">
        <w:rPr>
          <w:rFonts w:ascii="Arial" w:eastAsia="Times New Roman" w:hAnsi="Arial" w:cs="Arial"/>
          <w:sz w:val="24"/>
          <w:szCs w:val="24"/>
          <w:lang w:eastAsia="en-GB"/>
        </w:rPr>
        <w:br/>
      </w:r>
    </w:p>
    <w:p w14:paraId="7ABAC313" w14:textId="77777777" w:rsidR="00ED5F0C" w:rsidRPr="00552390" w:rsidRDefault="00FC22D8" w:rsidP="00AF4BD7">
      <w:pPr>
        <w:pStyle w:val="NoSpacing"/>
        <w:numPr>
          <w:ilvl w:val="0"/>
          <w:numId w:val="2"/>
        </w:numPr>
        <w:spacing w:line="259" w:lineRule="auto"/>
        <w:rPr>
          <w:rFonts w:ascii="Arial" w:hAnsi="Arial" w:cs="Arial"/>
          <w:b/>
          <w:sz w:val="24"/>
          <w:szCs w:val="24"/>
        </w:rPr>
      </w:pPr>
      <w:r w:rsidRPr="00552390">
        <w:rPr>
          <w:rFonts w:ascii="Arial" w:hAnsi="Arial" w:cs="Arial"/>
          <w:b/>
          <w:sz w:val="24"/>
          <w:szCs w:val="24"/>
        </w:rPr>
        <w:t>Local collaboration</w:t>
      </w:r>
    </w:p>
    <w:p w14:paraId="69DABA4B" w14:textId="77777777" w:rsidR="006D07B8" w:rsidRPr="00552390" w:rsidRDefault="00ED5F0C" w:rsidP="00AF4BD7">
      <w:pPr>
        <w:pStyle w:val="NoSpacing"/>
        <w:numPr>
          <w:ilvl w:val="1"/>
          <w:numId w:val="2"/>
        </w:numPr>
        <w:spacing w:line="259" w:lineRule="auto"/>
        <w:rPr>
          <w:rFonts w:ascii="Arial" w:hAnsi="Arial" w:cs="Arial"/>
          <w:sz w:val="24"/>
          <w:szCs w:val="24"/>
        </w:rPr>
      </w:pPr>
      <w:r w:rsidRPr="00552390">
        <w:rPr>
          <w:rFonts w:ascii="Arial" w:hAnsi="Arial" w:cs="Arial"/>
          <w:sz w:val="24"/>
          <w:szCs w:val="24"/>
        </w:rPr>
        <w:t>Essex County Fire &amp; Rescue Service (ECFRS)</w:t>
      </w:r>
    </w:p>
    <w:p w14:paraId="0729BBF9" w14:textId="0BBEB6B4" w:rsidR="00ED5F0C" w:rsidRPr="00552390" w:rsidRDefault="00243C35" w:rsidP="00AF4BD7">
      <w:pPr>
        <w:pStyle w:val="NoSpacing"/>
        <w:numPr>
          <w:ilvl w:val="1"/>
          <w:numId w:val="2"/>
        </w:numPr>
        <w:spacing w:line="259" w:lineRule="auto"/>
        <w:rPr>
          <w:rFonts w:ascii="Arial" w:hAnsi="Arial" w:cs="Arial"/>
          <w:sz w:val="24"/>
          <w:szCs w:val="24"/>
        </w:rPr>
      </w:pPr>
      <w:r w:rsidRPr="00552390">
        <w:rPr>
          <w:rFonts w:ascii="Arial" w:hAnsi="Arial" w:cs="Arial"/>
          <w:sz w:val="24"/>
          <w:szCs w:val="24"/>
        </w:rPr>
        <w:t>Local Crime reduction collaborations– e.g. community hubs</w:t>
      </w:r>
      <w:r w:rsidRPr="00552390" w:rsidDel="00243C35">
        <w:rPr>
          <w:rFonts w:ascii="Arial" w:hAnsi="Arial" w:cs="Arial"/>
          <w:sz w:val="24"/>
          <w:szCs w:val="24"/>
        </w:rPr>
        <w:t xml:space="preserve"> </w:t>
      </w:r>
      <w:r w:rsidR="00ED5F0C" w:rsidRPr="00552390">
        <w:rPr>
          <w:rFonts w:ascii="Arial" w:hAnsi="Arial" w:cs="Arial"/>
          <w:sz w:val="24"/>
          <w:szCs w:val="24"/>
        </w:rPr>
        <w:br/>
      </w:r>
    </w:p>
    <w:p w14:paraId="671CE212" w14:textId="2E73C326" w:rsidR="004D1BC0" w:rsidRPr="00552390" w:rsidRDefault="00ED5F0C" w:rsidP="00AF4BD7">
      <w:pPr>
        <w:pStyle w:val="NoSpacing"/>
        <w:numPr>
          <w:ilvl w:val="0"/>
          <w:numId w:val="2"/>
        </w:numPr>
        <w:spacing w:line="259" w:lineRule="auto"/>
        <w:rPr>
          <w:rFonts w:ascii="Arial" w:hAnsi="Arial" w:cs="Arial"/>
          <w:sz w:val="24"/>
          <w:szCs w:val="24"/>
        </w:rPr>
      </w:pPr>
      <w:r w:rsidRPr="00552390">
        <w:rPr>
          <w:rFonts w:ascii="Arial" w:hAnsi="Arial" w:cs="Arial"/>
          <w:b/>
          <w:sz w:val="24"/>
          <w:szCs w:val="24"/>
        </w:rPr>
        <w:t>External and innovative partnerships</w:t>
      </w:r>
      <w:r w:rsidR="004D1BC0" w:rsidRPr="00552390">
        <w:rPr>
          <w:rFonts w:ascii="Arial" w:hAnsi="Arial" w:cs="Arial"/>
          <w:sz w:val="24"/>
          <w:szCs w:val="24"/>
        </w:rPr>
        <w:br/>
        <w:t>These initiatives include:</w:t>
      </w:r>
      <w:r w:rsidR="0086050C">
        <w:rPr>
          <w:rFonts w:ascii="Arial" w:hAnsi="Arial" w:cs="Arial"/>
          <w:sz w:val="24"/>
          <w:szCs w:val="24"/>
        </w:rPr>
        <w:br/>
      </w:r>
    </w:p>
    <w:p w14:paraId="5A19C998" w14:textId="77777777" w:rsidR="00FD77E7" w:rsidRPr="00552390" w:rsidRDefault="004D1BC0">
      <w:pPr>
        <w:numPr>
          <w:ilvl w:val="0"/>
          <w:numId w:val="3"/>
        </w:numPr>
        <w:tabs>
          <w:tab w:val="left" w:pos="1843"/>
        </w:tabs>
        <w:spacing w:after="0" w:line="259" w:lineRule="auto"/>
        <w:ind w:left="1843" w:hanging="425"/>
        <w:contextualSpacing/>
        <w:rPr>
          <w:rFonts w:ascii="Arial" w:eastAsia="Times New Roman" w:hAnsi="Arial" w:cs="Arial"/>
          <w:sz w:val="24"/>
          <w:szCs w:val="24"/>
          <w:lang w:eastAsia="en-GB"/>
        </w:rPr>
      </w:pPr>
      <w:r w:rsidRPr="00552390">
        <w:rPr>
          <w:rFonts w:ascii="Arial" w:eastAsia="Times New Roman" w:hAnsi="Arial" w:cs="Arial"/>
          <w:sz w:val="24"/>
          <w:szCs w:val="24"/>
          <w:lang w:eastAsia="en-GB"/>
        </w:rPr>
        <w:t>Essex C</w:t>
      </w:r>
      <w:r w:rsidR="00552390">
        <w:rPr>
          <w:rFonts w:ascii="Arial" w:eastAsia="Times New Roman" w:hAnsi="Arial" w:cs="Arial"/>
          <w:sz w:val="24"/>
          <w:szCs w:val="24"/>
          <w:lang w:eastAsia="en-GB"/>
        </w:rPr>
        <w:t>entre for Data Analytics (ECDA)</w:t>
      </w:r>
    </w:p>
    <w:p w14:paraId="2A57AC21" w14:textId="77D7623F" w:rsidR="004D1BC0" w:rsidRPr="00552390" w:rsidRDefault="00552390">
      <w:pPr>
        <w:numPr>
          <w:ilvl w:val="0"/>
          <w:numId w:val="3"/>
        </w:numPr>
        <w:tabs>
          <w:tab w:val="left" w:pos="1843"/>
        </w:tabs>
        <w:spacing w:after="0" w:line="259" w:lineRule="auto"/>
        <w:ind w:left="1843" w:hanging="425"/>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BT Hothouse </w:t>
      </w:r>
    </w:p>
    <w:p w14:paraId="007334A6" w14:textId="77777777" w:rsidR="00272BCC" w:rsidRPr="00552390" w:rsidRDefault="00272BCC">
      <w:pPr>
        <w:numPr>
          <w:ilvl w:val="0"/>
          <w:numId w:val="3"/>
        </w:numPr>
        <w:tabs>
          <w:tab w:val="left" w:pos="1843"/>
        </w:tabs>
        <w:spacing w:after="0" w:line="259" w:lineRule="auto"/>
        <w:ind w:left="1843" w:hanging="425"/>
        <w:contextualSpacing/>
        <w:rPr>
          <w:rFonts w:ascii="Arial" w:eastAsia="Times New Roman" w:hAnsi="Arial" w:cs="Arial"/>
          <w:sz w:val="24"/>
          <w:szCs w:val="24"/>
          <w:lang w:eastAsia="en-GB"/>
        </w:rPr>
      </w:pPr>
      <w:r w:rsidRPr="00552390">
        <w:rPr>
          <w:rFonts w:ascii="Arial" w:eastAsia="Times New Roman" w:hAnsi="Arial" w:cs="Arial"/>
          <w:sz w:val="24"/>
          <w:szCs w:val="24"/>
          <w:lang w:eastAsia="en-GB"/>
        </w:rPr>
        <w:lastRenderedPageBreak/>
        <w:t>Essex Online Partnership (EOLP)</w:t>
      </w:r>
      <w:r w:rsidR="005B3924" w:rsidRPr="00552390">
        <w:rPr>
          <w:rFonts w:ascii="Arial" w:eastAsia="Times New Roman" w:hAnsi="Arial" w:cs="Arial"/>
          <w:sz w:val="24"/>
          <w:szCs w:val="24"/>
          <w:lang w:eastAsia="en-GB"/>
        </w:rPr>
        <w:t xml:space="preserve"> </w:t>
      </w:r>
    </w:p>
    <w:p w14:paraId="5EB782CB" w14:textId="77777777" w:rsidR="004D1BC0" w:rsidRPr="00552390" w:rsidRDefault="00272BCC">
      <w:pPr>
        <w:numPr>
          <w:ilvl w:val="0"/>
          <w:numId w:val="3"/>
        </w:numPr>
        <w:tabs>
          <w:tab w:val="left" w:pos="1843"/>
        </w:tabs>
        <w:spacing w:after="0" w:line="259" w:lineRule="auto"/>
        <w:ind w:left="1843" w:hanging="425"/>
        <w:contextualSpacing/>
        <w:rPr>
          <w:rFonts w:ascii="Arial" w:eastAsia="Times New Roman" w:hAnsi="Arial" w:cs="Arial"/>
          <w:sz w:val="24"/>
          <w:szCs w:val="24"/>
          <w:lang w:eastAsia="en-GB"/>
        </w:rPr>
      </w:pPr>
      <w:r w:rsidRPr="00552390">
        <w:rPr>
          <w:rFonts w:ascii="Arial" w:eastAsia="Times New Roman" w:hAnsi="Arial" w:cs="Arial"/>
          <w:sz w:val="24"/>
          <w:szCs w:val="24"/>
          <w:lang w:eastAsia="en-GB"/>
        </w:rPr>
        <w:t>Anglia Ruskin University (ARU)</w:t>
      </w:r>
      <w:r w:rsidR="005B3924" w:rsidRPr="00552390">
        <w:rPr>
          <w:rFonts w:ascii="Arial" w:eastAsia="Times New Roman" w:hAnsi="Arial" w:cs="Arial"/>
          <w:sz w:val="24"/>
          <w:szCs w:val="24"/>
          <w:lang w:eastAsia="en-GB"/>
        </w:rPr>
        <w:t xml:space="preserve"> </w:t>
      </w:r>
    </w:p>
    <w:p w14:paraId="41219252" w14:textId="77777777" w:rsidR="004D1BC0" w:rsidRPr="00552390" w:rsidRDefault="004D1BC0">
      <w:pPr>
        <w:numPr>
          <w:ilvl w:val="0"/>
          <w:numId w:val="3"/>
        </w:numPr>
        <w:tabs>
          <w:tab w:val="left" w:pos="1843"/>
        </w:tabs>
        <w:spacing w:after="0" w:line="259" w:lineRule="auto"/>
        <w:ind w:left="1843" w:hanging="425"/>
        <w:contextualSpacing/>
        <w:rPr>
          <w:rFonts w:ascii="Arial" w:eastAsia="Times New Roman" w:hAnsi="Arial" w:cs="Arial"/>
          <w:sz w:val="24"/>
          <w:szCs w:val="24"/>
          <w:lang w:eastAsia="en-GB"/>
        </w:rPr>
      </w:pPr>
      <w:r w:rsidRPr="00552390">
        <w:rPr>
          <w:rFonts w:ascii="Arial" w:eastAsia="Times New Roman" w:hAnsi="Arial" w:cs="Arial"/>
          <w:sz w:val="24"/>
          <w:szCs w:val="24"/>
          <w:lang w:eastAsia="en-GB"/>
        </w:rPr>
        <w:t>Open University Centre for Research and Learning</w:t>
      </w:r>
      <w:r w:rsidR="009837C1" w:rsidRPr="00552390">
        <w:rPr>
          <w:rFonts w:ascii="Arial" w:eastAsia="Times New Roman" w:hAnsi="Arial" w:cs="Arial"/>
          <w:sz w:val="24"/>
          <w:szCs w:val="24"/>
          <w:lang w:eastAsia="en-GB"/>
        </w:rPr>
        <w:t xml:space="preserve"> </w:t>
      </w:r>
    </w:p>
    <w:p w14:paraId="3FF71A4C" w14:textId="77777777" w:rsidR="0031562F" w:rsidRPr="00552390" w:rsidRDefault="004D1BC0">
      <w:pPr>
        <w:numPr>
          <w:ilvl w:val="0"/>
          <w:numId w:val="3"/>
        </w:numPr>
        <w:tabs>
          <w:tab w:val="left" w:pos="1843"/>
        </w:tabs>
        <w:spacing w:after="0" w:line="259" w:lineRule="auto"/>
        <w:contextualSpacing/>
        <w:rPr>
          <w:rFonts w:ascii="Arial" w:eastAsia="Times New Roman" w:hAnsi="Arial" w:cs="Arial"/>
          <w:sz w:val="24"/>
          <w:szCs w:val="24"/>
          <w:lang w:eastAsia="en-GB"/>
        </w:rPr>
      </w:pPr>
      <w:r w:rsidRPr="00552390">
        <w:rPr>
          <w:rFonts w:ascii="Arial" w:eastAsia="Times New Roman" w:hAnsi="Arial" w:cs="Arial"/>
          <w:sz w:val="24"/>
          <w:szCs w:val="24"/>
          <w:lang w:eastAsia="en-GB"/>
        </w:rPr>
        <w:t>Cyber Speci</w:t>
      </w:r>
      <w:r w:rsidR="00552390">
        <w:rPr>
          <w:rFonts w:ascii="Arial" w:eastAsia="Times New Roman" w:hAnsi="Arial" w:cs="Arial"/>
          <w:sz w:val="24"/>
          <w:szCs w:val="24"/>
          <w:lang w:eastAsia="en-GB"/>
        </w:rPr>
        <w:t>als and Cyber Volunteers (CSCV)</w:t>
      </w:r>
    </w:p>
    <w:p w14:paraId="18BF857F" w14:textId="2A1265A4" w:rsidR="00591EB9" w:rsidRPr="0086050C" w:rsidRDefault="0031562F" w:rsidP="00EE1E3A">
      <w:pPr>
        <w:numPr>
          <w:ilvl w:val="0"/>
          <w:numId w:val="3"/>
        </w:numPr>
        <w:tabs>
          <w:tab w:val="left" w:pos="1843"/>
        </w:tabs>
        <w:spacing w:after="0" w:line="259" w:lineRule="auto"/>
        <w:contextualSpacing/>
        <w:rPr>
          <w:rFonts w:ascii="Arial" w:hAnsi="Arial" w:cs="Arial"/>
          <w:sz w:val="24"/>
          <w:szCs w:val="24"/>
        </w:rPr>
      </w:pPr>
      <w:r w:rsidRPr="0086050C">
        <w:rPr>
          <w:rFonts w:ascii="Arial" w:eastAsia="Times New Roman" w:hAnsi="Arial" w:cs="Arial"/>
          <w:sz w:val="24"/>
          <w:szCs w:val="24"/>
          <w:lang w:eastAsia="en-GB"/>
        </w:rPr>
        <w:t>Durham University</w:t>
      </w:r>
      <w:r w:rsidR="005B3924" w:rsidRPr="0086050C">
        <w:rPr>
          <w:rFonts w:ascii="Arial" w:eastAsia="Times New Roman" w:hAnsi="Arial" w:cs="Arial"/>
          <w:sz w:val="24"/>
          <w:szCs w:val="24"/>
          <w:lang w:eastAsia="en-GB"/>
        </w:rPr>
        <w:t xml:space="preserve"> </w:t>
      </w:r>
    </w:p>
    <w:p w14:paraId="0671136F" w14:textId="77777777" w:rsidR="00297867" w:rsidRPr="00552390" w:rsidRDefault="00297867" w:rsidP="006D07B8">
      <w:pPr>
        <w:pStyle w:val="NoSpacing"/>
        <w:spacing w:line="259" w:lineRule="auto"/>
        <w:rPr>
          <w:rFonts w:ascii="Arial" w:hAnsi="Arial" w:cs="Arial"/>
          <w:sz w:val="24"/>
          <w:szCs w:val="24"/>
        </w:rPr>
      </w:pPr>
    </w:p>
    <w:p w14:paraId="3B0348F0" w14:textId="77777777" w:rsidR="00C654B8" w:rsidRPr="00552390" w:rsidRDefault="00E92E89" w:rsidP="006D07B8">
      <w:pPr>
        <w:pStyle w:val="NoSpacing"/>
        <w:spacing w:line="259" w:lineRule="auto"/>
        <w:rPr>
          <w:rFonts w:ascii="Arial" w:hAnsi="Arial" w:cs="Arial"/>
          <w:b/>
          <w:sz w:val="24"/>
          <w:szCs w:val="24"/>
          <w:u w:val="single"/>
        </w:rPr>
      </w:pPr>
      <w:r w:rsidRPr="00552390">
        <w:rPr>
          <w:rFonts w:ascii="Arial" w:hAnsi="Arial" w:cs="Arial"/>
          <w:b/>
          <w:sz w:val="24"/>
          <w:szCs w:val="24"/>
        </w:rPr>
        <w:t>5</w:t>
      </w:r>
      <w:r w:rsidR="00665862" w:rsidRPr="00552390">
        <w:rPr>
          <w:rFonts w:ascii="Arial" w:hAnsi="Arial" w:cs="Arial"/>
          <w:b/>
          <w:sz w:val="24"/>
          <w:szCs w:val="24"/>
        </w:rPr>
        <w:t>.0</w:t>
      </w:r>
      <w:r w:rsidR="00665862" w:rsidRPr="00552390">
        <w:rPr>
          <w:rFonts w:ascii="Arial" w:hAnsi="Arial" w:cs="Arial"/>
          <w:b/>
          <w:sz w:val="24"/>
          <w:szCs w:val="24"/>
        </w:rPr>
        <w:tab/>
      </w:r>
      <w:r w:rsidR="0031562F" w:rsidRPr="00552390">
        <w:rPr>
          <w:rFonts w:ascii="Arial" w:hAnsi="Arial" w:cs="Arial"/>
          <w:b/>
          <w:sz w:val="24"/>
          <w:szCs w:val="24"/>
          <w:u w:val="single"/>
        </w:rPr>
        <w:t>Update on Current Collaboration Work</w:t>
      </w:r>
    </w:p>
    <w:p w14:paraId="08120133" w14:textId="77777777" w:rsidR="00422583" w:rsidRPr="00552390" w:rsidRDefault="00422583" w:rsidP="006D07B8">
      <w:pPr>
        <w:pStyle w:val="NoSpacing"/>
        <w:spacing w:line="259" w:lineRule="auto"/>
        <w:rPr>
          <w:rFonts w:ascii="Arial" w:hAnsi="Arial" w:cs="Arial"/>
          <w:b/>
          <w:sz w:val="24"/>
          <w:szCs w:val="24"/>
          <w:u w:val="single"/>
        </w:rPr>
      </w:pPr>
    </w:p>
    <w:p w14:paraId="35C4A51F" w14:textId="77777777" w:rsidR="00E80BC6" w:rsidRPr="00552390" w:rsidRDefault="00E80BC6" w:rsidP="008F0D43">
      <w:pPr>
        <w:rPr>
          <w:rFonts w:ascii="Arial" w:hAnsi="Arial" w:cs="Arial"/>
          <w:b/>
          <w:sz w:val="24"/>
          <w:szCs w:val="24"/>
          <w:u w:val="single"/>
        </w:rPr>
      </w:pPr>
      <w:r w:rsidRPr="00552390">
        <w:rPr>
          <w:rFonts w:ascii="Arial" w:hAnsi="Arial" w:cs="Arial"/>
          <w:b/>
          <w:sz w:val="24"/>
          <w:szCs w:val="24"/>
          <w:u w:val="single"/>
        </w:rPr>
        <w:t>Essex/Kent Collaboration</w:t>
      </w:r>
    </w:p>
    <w:p w14:paraId="53FF5474" w14:textId="77777777" w:rsidR="007424E1" w:rsidRPr="00552390" w:rsidRDefault="008048AC" w:rsidP="008F0D43">
      <w:pPr>
        <w:rPr>
          <w:rFonts w:ascii="Arial" w:hAnsi="Arial" w:cs="Arial"/>
          <w:b/>
          <w:sz w:val="24"/>
          <w:szCs w:val="24"/>
          <w:u w:val="single"/>
        </w:rPr>
      </w:pPr>
      <w:r w:rsidRPr="00552390">
        <w:rPr>
          <w:rFonts w:ascii="Arial" w:hAnsi="Arial" w:cs="Arial"/>
          <w:b/>
          <w:sz w:val="24"/>
          <w:szCs w:val="24"/>
          <w:u w:val="single"/>
        </w:rPr>
        <w:t xml:space="preserve">Joint </w:t>
      </w:r>
      <w:r w:rsidR="00E80BC6" w:rsidRPr="00552390">
        <w:rPr>
          <w:rFonts w:ascii="Arial" w:hAnsi="Arial" w:cs="Arial"/>
          <w:b/>
          <w:sz w:val="24"/>
          <w:szCs w:val="24"/>
          <w:u w:val="single"/>
        </w:rPr>
        <w:t>Serious Crime Directorate</w:t>
      </w:r>
      <w:r w:rsidR="00BE619D" w:rsidRPr="00552390">
        <w:rPr>
          <w:rFonts w:ascii="Arial" w:hAnsi="Arial" w:cs="Arial"/>
          <w:b/>
          <w:sz w:val="24"/>
          <w:szCs w:val="24"/>
          <w:u w:val="single"/>
        </w:rPr>
        <w:t xml:space="preserve"> (SCD) </w:t>
      </w:r>
    </w:p>
    <w:tbl>
      <w:tblPr>
        <w:tblStyle w:val="TableGrid27"/>
        <w:tblpPr w:leftFromText="180" w:rightFromText="180" w:vertAnchor="text" w:horzAnchor="margin" w:tblpY="200"/>
        <w:tblW w:w="9351" w:type="dxa"/>
        <w:tblLook w:val="04A0" w:firstRow="1" w:lastRow="0" w:firstColumn="1" w:lastColumn="0" w:noHBand="0" w:noVBand="1"/>
      </w:tblPr>
      <w:tblGrid>
        <w:gridCol w:w="996"/>
        <w:gridCol w:w="938"/>
        <w:gridCol w:w="1001"/>
        <w:gridCol w:w="1040"/>
        <w:gridCol w:w="1002"/>
        <w:gridCol w:w="1067"/>
        <w:gridCol w:w="897"/>
        <w:gridCol w:w="1276"/>
        <w:gridCol w:w="1134"/>
      </w:tblGrid>
      <w:tr w:rsidR="007424E1" w:rsidRPr="008A42D5" w14:paraId="67F6DF3E" w14:textId="77777777" w:rsidTr="006B1BC2">
        <w:trPr>
          <w:trHeight w:val="1672"/>
        </w:trPr>
        <w:tc>
          <w:tcPr>
            <w:tcW w:w="996" w:type="dxa"/>
            <w:tcBorders>
              <w:top w:val="single" w:sz="12" w:space="0" w:color="auto"/>
              <w:bottom w:val="single" w:sz="12" w:space="0" w:color="auto"/>
            </w:tcBorders>
            <w:shd w:val="clear" w:color="auto" w:fill="92D050"/>
            <w:vAlign w:val="center"/>
          </w:tcPr>
          <w:p w14:paraId="0557B6D8" w14:textId="77777777" w:rsidR="007424E1" w:rsidRPr="00552390" w:rsidRDefault="007424E1" w:rsidP="00C337C1">
            <w:pPr>
              <w:jc w:val="center"/>
              <w:rPr>
                <w:rFonts w:ascii="Calibri" w:eastAsia="Calibri" w:hAnsi="Calibri" w:cs="Times New Roman"/>
                <w:sz w:val="14"/>
                <w:szCs w:val="15"/>
              </w:rPr>
            </w:pPr>
            <w:r w:rsidRPr="00552390">
              <w:rPr>
                <w:rFonts w:ascii="Calibri" w:eastAsia="Calibri" w:hAnsi="Calibri" w:cs="Times New Roman"/>
                <w:sz w:val="14"/>
                <w:szCs w:val="15"/>
              </w:rPr>
              <w:t>Overall RAG</w:t>
            </w:r>
          </w:p>
        </w:tc>
        <w:tc>
          <w:tcPr>
            <w:tcW w:w="938" w:type="dxa"/>
            <w:tcBorders>
              <w:top w:val="single" w:sz="4" w:space="0" w:color="auto"/>
              <w:bottom w:val="single" w:sz="4" w:space="0" w:color="auto"/>
            </w:tcBorders>
            <w:shd w:val="clear" w:color="auto" w:fill="FFFFFF"/>
            <w:vAlign w:val="center"/>
          </w:tcPr>
          <w:p w14:paraId="110E21A3" w14:textId="77777777" w:rsidR="007424E1" w:rsidRPr="00552390" w:rsidRDefault="007424E1" w:rsidP="00C337C1">
            <w:pPr>
              <w:pStyle w:val="NoSpacing"/>
              <w:spacing w:after="120" w:line="259" w:lineRule="auto"/>
              <w:jc w:val="center"/>
              <w:rPr>
                <w:color w:val="000000" w:themeColor="text1"/>
                <w:sz w:val="15"/>
                <w:szCs w:val="15"/>
              </w:rPr>
            </w:pPr>
            <w:r w:rsidRPr="00552390">
              <w:rPr>
                <w:color w:val="000000" w:themeColor="text1"/>
                <w:sz w:val="15"/>
                <w:szCs w:val="15"/>
              </w:rPr>
              <w:t>Time</w:t>
            </w:r>
          </w:p>
        </w:tc>
        <w:tc>
          <w:tcPr>
            <w:tcW w:w="1001" w:type="dxa"/>
            <w:tcBorders>
              <w:top w:val="single" w:sz="4" w:space="0" w:color="auto"/>
              <w:bottom w:val="single" w:sz="4" w:space="0" w:color="auto"/>
            </w:tcBorders>
            <w:shd w:val="clear" w:color="auto" w:fill="92D050"/>
            <w:vAlign w:val="center"/>
          </w:tcPr>
          <w:p w14:paraId="662D2149" w14:textId="77777777" w:rsidR="007424E1" w:rsidRPr="00542C69" w:rsidRDefault="00F128E0" w:rsidP="00C337C1">
            <w:pPr>
              <w:pStyle w:val="NoSpacing"/>
              <w:spacing w:after="120" w:line="259" w:lineRule="auto"/>
              <w:jc w:val="center"/>
              <w:rPr>
                <w:color w:val="000000" w:themeColor="text1"/>
                <w:sz w:val="15"/>
                <w:szCs w:val="15"/>
              </w:rPr>
            </w:pPr>
            <w:r>
              <w:rPr>
                <w:color w:val="000000" w:themeColor="text1"/>
                <w:sz w:val="15"/>
                <w:szCs w:val="15"/>
              </w:rPr>
              <w:t>G</w:t>
            </w:r>
          </w:p>
        </w:tc>
        <w:tc>
          <w:tcPr>
            <w:tcW w:w="1040" w:type="dxa"/>
            <w:tcBorders>
              <w:top w:val="single" w:sz="4" w:space="0" w:color="auto"/>
              <w:bottom w:val="single" w:sz="4" w:space="0" w:color="auto"/>
            </w:tcBorders>
            <w:shd w:val="clear" w:color="auto" w:fill="FFFFFF"/>
            <w:vAlign w:val="center"/>
          </w:tcPr>
          <w:p w14:paraId="6C62DAC3" w14:textId="77777777" w:rsidR="007424E1" w:rsidRPr="00542C69" w:rsidRDefault="007424E1" w:rsidP="00C337C1">
            <w:pPr>
              <w:pStyle w:val="NoSpacing"/>
              <w:spacing w:after="120" w:line="259" w:lineRule="auto"/>
              <w:jc w:val="center"/>
              <w:rPr>
                <w:color w:val="000000" w:themeColor="text1"/>
                <w:sz w:val="15"/>
                <w:szCs w:val="15"/>
              </w:rPr>
            </w:pPr>
            <w:r>
              <w:rPr>
                <w:color w:val="000000" w:themeColor="text1"/>
                <w:sz w:val="15"/>
                <w:szCs w:val="15"/>
              </w:rPr>
              <w:t>Costs</w:t>
            </w:r>
          </w:p>
        </w:tc>
        <w:tc>
          <w:tcPr>
            <w:tcW w:w="1002" w:type="dxa"/>
            <w:tcBorders>
              <w:top w:val="single" w:sz="4" w:space="0" w:color="auto"/>
              <w:bottom w:val="single" w:sz="4" w:space="0" w:color="auto"/>
            </w:tcBorders>
            <w:shd w:val="clear" w:color="auto" w:fill="92D050"/>
            <w:vAlign w:val="center"/>
          </w:tcPr>
          <w:p w14:paraId="276F649A" w14:textId="77777777" w:rsidR="007424E1" w:rsidRPr="00542C69" w:rsidRDefault="007424E1" w:rsidP="00C337C1">
            <w:pPr>
              <w:pStyle w:val="NoSpacing"/>
              <w:spacing w:after="120" w:line="259" w:lineRule="auto"/>
              <w:jc w:val="center"/>
              <w:rPr>
                <w:color w:val="000000" w:themeColor="text1"/>
                <w:sz w:val="15"/>
                <w:szCs w:val="15"/>
              </w:rPr>
            </w:pPr>
            <w:r>
              <w:rPr>
                <w:color w:val="000000" w:themeColor="text1"/>
                <w:sz w:val="15"/>
                <w:szCs w:val="15"/>
              </w:rPr>
              <w:t>G</w:t>
            </w:r>
          </w:p>
        </w:tc>
        <w:tc>
          <w:tcPr>
            <w:tcW w:w="1067" w:type="dxa"/>
            <w:tcBorders>
              <w:top w:val="single" w:sz="4" w:space="0" w:color="auto"/>
              <w:bottom w:val="single" w:sz="4" w:space="0" w:color="auto"/>
            </w:tcBorders>
            <w:shd w:val="clear" w:color="auto" w:fill="FFFFFF"/>
            <w:vAlign w:val="center"/>
          </w:tcPr>
          <w:p w14:paraId="777321DD" w14:textId="77777777" w:rsidR="006B1BC2" w:rsidRDefault="006B1BC2" w:rsidP="00C337C1">
            <w:pPr>
              <w:pStyle w:val="NoSpacing"/>
              <w:spacing w:after="120" w:line="259" w:lineRule="auto"/>
              <w:jc w:val="center"/>
              <w:rPr>
                <w:color w:val="000000" w:themeColor="text1"/>
                <w:sz w:val="15"/>
                <w:szCs w:val="15"/>
              </w:rPr>
            </w:pPr>
            <w:r>
              <w:rPr>
                <w:color w:val="000000" w:themeColor="text1"/>
                <w:sz w:val="15"/>
                <w:szCs w:val="15"/>
              </w:rPr>
              <w:t>Cashable</w:t>
            </w:r>
          </w:p>
          <w:p w14:paraId="16E704C9" w14:textId="77777777" w:rsidR="007424E1" w:rsidRDefault="007424E1" w:rsidP="00C337C1">
            <w:pPr>
              <w:pStyle w:val="NoSpacing"/>
              <w:spacing w:after="120" w:line="259" w:lineRule="auto"/>
              <w:jc w:val="center"/>
              <w:rPr>
                <w:color w:val="000000" w:themeColor="text1"/>
                <w:sz w:val="15"/>
                <w:szCs w:val="15"/>
              </w:rPr>
            </w:pPr>
            <w:r>
              <w:rPr>
                <w:color w:val="000000" w:themeColor="text1"/>
                <w:sz w:val="15"/>
                <w:szCs w:val="15"/>
              </w:rPr>
              <w:t>Savings</w:t>
            </w:r>
          </w:p>
          <w:p w14:paraId="37AF6345" w14:textId="77777777" w:rsidR="007424E1" w:rsidRPr="00542C69" w:rsidRDefault="006B1BC2" w:rsidP="00C337C1">
            <w:pPr>
              <w:pStyle w:val="NoSpacing"/>
              <w:spacing w:after="120" w:line="259" w:lineRule="auto"/>
              <w:jc w:val="center"/>
              <w:rPr>
                <w:color w:val="000000" w:themeColor="text1"/>
                <w:sz w:val="15"/>
                <w:szCs w:val="15"/>
              </w:rPr>
            </w:pPr>
            <w:r w:rsidRPr="00CB37A8">
              <w:rPr>
                <w:rFonts w:ascii="Calibri" w:eastAsia="Calibri" w:hAnsi="Calibri" w:cs="Times New Roman"/>
                <w:sz w:val="15"/>
                <w:szCs w:val="15"/>
              </w:rPr>
              <w:t>£1.62m</w:t>
            </w:r>
          </w:p>
        </w:tc>
        <w:tc>
          <w:tcPr>
            <w:tcW w:w="897" w:type="dxa"/>
            <w:tcBorders>
              <w:top w:val="single" w:sz="4" w:space="0" w:color="auto"/>
              <w:bottom w:val="single" w:sz="4" w:space="0" w:color="auto"/>
            </w:tcBorders>
            <w:shd w:val="clear" w:color="auto" w:fill="92D050"/>
          </w:tcPr>
          <w:p w14:paraId="5E801625" w14:textId="77777777" w:rsidR="007424E1" w:rsidRPr="006B1BC2" w:rsidRDefault="007424E1" w:rsidP="00C337C1">
            <w:pPr>
              <w:pStyle w:val="NoSpacing"/>
              <w:spacing w:after="120" w:line="259" w:lineRule="auto"/>
              <w:jc w:val="center"/>
              <w:rPr>
                <w:color w:val="000000" w:themeColor="text1"/>
                <w:sz w:val="15"/>
                <w:szCs w:val="15"/>
                <w:highlight w:val="green"/>
              </w:rPr>
            </w:pPr>
          </w:p>
          <w:p w14:paraId="72DE7F9A" w14:textId="77777777" w:rsidR="007424E1" w:rsidRPr="006B1BC2" w:rsidRDefault="007424E1" w:rsidP="00C337C1">
            <w:pPr>
              <w:pStyle w:val="NoSpacing"/>
              <w:spacing w:after="120" w:line="259" w:lineRule="auto"/>
              <w:jc w:val="center"/>
              <w:rPr>
                <w:color w:val="000000" w:themeColor="text1"/>
                <w:sz w:val="15"/>
                <w:szCs w:val="15"/>
                <w:highlight w:val="green"/>
              </w:rPr>
            </w:pPr>
          </w:p>
          <w:p w14:paraId="5CD221F1" w14:textId="77777777" w:rsidR="007424E1" w:rsidRPr="006B1BC2" w:rsidRDefault="006B1BC2" w:rsidP="00C337C1">
            <w:pPr>
              <w:pStyle w:val="NoSpacing"/>
              <w:spacing w:after="120" w:line="259" w:lineRule="auto"/>
              <w:jc w:val="center"/>
              <w:rPr>
                <w:color w:val="000000" w:themeColor="text1"/>
                <w:sz w:val="15"/>
                <w:szCs w:val="15"/>
                <w:highlight w:val="green"/>
              </w:rPr>
            </w:pPr>
            <w:r w:rsidRPr="006B1BC2">
              <w:rPr>
                <w:color w:val="000000" w:themeColor="text1"/>
                <w:sz w:val="15"/>
                <w:szCs w:val="15"/>
              </w:rPr>
              <w:t>G</w:t>
            </w:r>
            <w:r w:rsidR="007424E1" w:rsidRPr="006B1BC2">
              <w:rPr>
                <w:highlight w:val="green"/>
              </w:rPr>
              <w:t xml:space="preserve"> </w:t>
            </w:r>
          </w:p>
          <w:p w14:paraId="046D0314" w14:textId="77777777" w:rsidR="007424E1" w:rsidRPr="006B1BC2" w:rsidRDefault="007424E1" w:rsidP="00C337C1">
            <w:pPr>
              <w:pStyle w:val="NoSpacing"/>
              <w:spacing w:after="120" w:line="259" w:lineRule="auto"/>
              <w:jc w:val="center"/>
              <w:rPr>
                <w:color w:val="000000" w:themeColor="text1"/>
                <w:sz w:val="15"/>
                <w:szCs w:val="15"/>
                <w:highlight w:val="green"/>
              </w:rPr>
            </w:pPr>
          </w:p>
        </w:tc>
        <w:tc>
          <w:tcPr>
            <w:tcW w:w="1276" w:type="dxa"/>
            <w:tcBorders>
              <w:top w:val="single" w:sz="4" w:space="0" w:color="auto"/>
              <w:bottom w:val="single" w:sz="4" w:space="0" w:color="auto"/>
            </w:tcBorders>
            <w:shd w:val="clear" w:color="auto" w:fill="FFFFFF" w:themeFill="background1"/>
          </w:tcPr>
          <w:p w14:paraId="651BD8A6" w14:textId="77777777" w:rsidR="007424E1" w:rsidRDefault="007424E1" w:rsidP="00C337C1">
            <w:pPr>
              <w:pStyle w:val="NoSpacing"/>
              <w:spacing w:after="120" w:line="259" w:lineRule="auto"/>
              <w:jc w:val="center"/>
              <w:rPr>
                <w:color w:val="000000" w:themeColor="text1"/>
                <w:sz w:val="15"/>
                <w:szCs w:val="15"/>
              </w:rPr>
            </w:pPr>
          </w:p>
          <w:p w14:paraId="785355F5" w14:textId="77777777" w:rsidR="007424E1" w:rsidRDefault="007424E1" w:rsidP="00C337C1">
            <w:pPr>
              <w:pStyle w:val="NoSpacing"/>
              <w:spacing w:after="120" w:line="259" w:lineRule="auto"/>
              <w:jc w:val="center"/>
              <w:rPr>
                <w:color w:val="000000" w:themeColor="text1"/>
                <w:sz w:val="15"/>
                <w:szCs w:val="15"/>
              </w:rPr>
            </w:pPr>
          </w:p>
          <w:p w14:paraId="3015894C" w14:textId="77777777" w:rsidR="007424E1" w:rsidRDefault="007424E1" w:rsidP="00C337C1">
            <w:pPr>
              <w:pStyle w:val="NoSpacing"/>
              <w:spacing w:after="120" w:line="259" w:lineRule="auto"/>
              <w:jc w:val="center"/>
              <w:rPr>
                <w:color w:val="000000" w:themeColor="text1"/>
                <w:sz w:val="15"/>
                <w:szCs w:val="15"/>
              </w:rPr>
            </w:pPr>
            <w:r>
              <w:rPr>
                <w:color w:val="000000" w:themeColor="text1"/>
                <w:sz w:val="15"/>
                <w:szCs w:val="15"/>
              </w:rPr>
              <w:t>Benefits</w:t>
            </w:r>
          </w:p>
        </w:tc>
        <w:tc>
          <w:tcPr>
            <w:tcW w:w="1134" w:type="dxa"/>
            <w:tcBorders>
              <w:top w:val="single" w:sz="4" w:space="0" w:color="auto"/>
              <w:bottom w:val="single" w:sz="4" w:space="0" w:color="auto"/>
            </w:tcBorders>
            <w:shd w:val="clear" w:color="auto" w:fill="92D050"/>
            <w:vAlign w:val="center"/>
          </w:tcPr>
          <w:p w14:paraId="4540F4A9" w14:textId="77777777" w:rsidR="007424E1" w:rsidRPr="00542C69" w:rsidRDefault="007424E1" w:rsidP="00C337C1">
            <w:pPr>
              <w:pStyle w:val="NoSpacing"/>
              <w:spacing w:after="120" w:line="259" w:lineRule="auto"/>
              <w:jc w:val="center"/>
              <w:rPr>
                <w:color w:val="000000" w:themeColor="text1"/>
                <w:sz w:val="15"/>
                <w:szCs w:val="15"/>
              </w:rPr>
            </w:pPr>
            <w:r>
              <w:rPr>
                <w:color w:val="000000" w:themeColor="text1"/>
                <w:sz w:val="15"/>
                <w:szCs w:val="15"/>
              </w:rPr>
              <w:t>G</w:t>
            </w:r>
          </w:p>
        </w:tc>
      </w:tr>
    </w:tbl>
    <w:p w14:paraId="04DF444A" w14:textId="0AF07256" w:rsidR="008046F9" w:rsidRDefault="008046F9" w:rsidP="008F0D43">
      <w:pPr>
        <w:rPr>
          <w:rFonts w:ascii="Arial" w:hAnsi="Arial" w:cs="Arial"/>
          <w:sz w:val="24"/>
          <w:szCs w:val="24"/>
        </w:rPr>
      </w:pPr>
    </w:p>
    <w:p w14:paraId="455F0729" w14:textId="1ED22071" w:rsidR="007E41B5" w:rsidRDefault="007E41B5" w:rsidP="00810369">
      <w:pPr>
        <w:spacing w:after="160" w:line="259" w:lineRule="auto"/>
        <w:rPr>
          <w:rFonts w:ascii="Arial" w:hAnsi="Arial" w:cs="Arial"/>
          <w:sz w:val="24"/>
          <w:szCs w:val="24"/>
        </w:rPr>
      </w:pPr>
      <w:r>
        <w:rPr>
          <w:rFonts w:ascii="Arial" w:hAnsi="Arial" w:cs="Arial"/>
          <w:sz w:val="16"/>
          <w:szCs w:val="16"/>
        </w:rPr>
        <w:t xml:space="preserve">Note </w:t>
      </w:r>
      <w:r w:rsidRPr="005D4359">
        <w:rPr>
          <w:rFonts w:ascii="Arial" w:hAnsi="Arial" w:cs="Arial"/>
          <w:sz w:val="16"/>
          <w:szCs w:val="16"/>
        </w:rPr>
        <w:t>RAG assessment from SCCB pack except overall RAG</w:t>
      </w:r>
      <w:r>
        <w:rPr>
          <w:rFonts w:ascii="Arial" w:hAnsi="Arial" w:cs="Arial"/>
          <w:sz w:val="16"/>
          <w:szCs w:val="16"/>
        </w:rPr>
        <w:t xml:space="preserve"> which was determined for this report.</w:t>
      </w:r>
    </w:p>
    <w:p w14:paraId="044B7A8B" w14:textId="138598F0" w:rsidR="00E80BC6" w:rsidRPr="00552390" w:rsidRDefault="00631F55" w:rsidP="00631F55">
      <w:pPr>
        <w:ind w:firstLine="1"/>
        <w:rPr>
          <w:rFonts w:ascii="Arial" w:hAnsi="Arial" w:cs="Arial"/>
          <w:sz w:val="24"/>
          <w:szCs w:val="24"/>
        </w:rPr>
      </w:pPr>
      <w:r w:rsidRPr="001434B7">
        <w:rPr>
          <w:rFonts w:ascii="Arial" w:hAnsi="Arial" w:cs="Arial"/>
          <w:sz w:val="24"/>
          <w:szCs w:val="24"/>
        </w:rPr>
        <w:t>The</w:t>
      </w:r>
      <w:r w:rsidR="006911DD">
        <w:rPr>
          <w:rFonts w:ascii="Arial" w:hAnsi="Arial" w:cs="Arial"/>
          <w:sz w:val="24"/>
          <w:szCs w:val="24"/>
        </w:rPr>
        <w:t xml:space="preserve"> Serious Crime Directorate</w:t>
      </w:r>
      <w:r w:rsidRPr="001434B7">
        <w:rPr>
          <w:rFonts w:ascii="Arial" w:hAnsi="Arial" w:cs="Arial"/>
          <w:sz w:val="24"/>
          <w:szCs w:val="24"/>
        </w:rPr>
        <w:t xml:space="preserve"> </w:t>
      </w:r>
      <w:r w:rsidR="006911DD">
        <w:rPr>
          <w:rFonts w:ascii="Arial" w:hAnsi="Arial" w:cs="Arial"/>
          <w:sz w:val="24"/>
          <w:szCs w:val="24"/>
        </w:rPr>
        <w:t>(</w:t>
      </w:r>
      <w:r w:rsidRPr="001434B7">
        <w:rPr>
          <w:rFonts w:ascii="Arial" w:hAnsi="Arial" w:cs="Arial"/>
          <w:sz w:val="24"/>
          <w:szCs w:val="24"/>
        </w:rPr>
        <w:t>SC</w:t>
      </w:r>
      <w:r w:rsidR="006911DD">
        <w:rPr>
          <w:rFonts w:ascii="Arial" w:hAnsi="Arial" w:cs="Arial"/>
          <w:sz w:val="24"/>
          <w:szCs w:val="24"/>
        </w:rPr>
        <w:t>D)</w:t>
      </w:r>
      <w:r w:rsidRPr="001434B7">
        <w:rPr>
          <w:rFonts w:ascii="Arial" w:hAnsi="Arial" w:cs="Arial"/>
          <w:sz w:val="24"/>
          <w:szCs w:val="24"/>
        </w:rPr>
        <w:t xml:space="preserve"> programme of work includes restructuring of most areas of the Directorate with investment in the provision of new teams which include a Modern Day Slavery team and a serious crime prevention capability in both Forces. Whilst the SCD Review has made a number of significant changes to the directorate, the vast majority of which are in place, some are awaiting completion of estates work</w:t>
      </w:r>
      <w:r w:rsidR="00C71FDA">
        <w:rPr>
          <w:rFonts w:ascii="Arial" w:hAnsi="Arial" w:cs="Arial"/>
          <w:sz w:val="24"/>
          <w:szCs w:val="24"/>
        </w:rPr>
        <w:t xml:space="preserve"> at Rayleigh and Great Dunmow</w:t>
      </w:r>
      <w:r w:rsidRPr="001434B7">
        <w:rPr>
          <w:rFonts w:ascii="Arial" w:hAnsi="Arial" w:cs="Arial"/>
          <w:sz w:val="24"/>
          <w:szCs w:val="24"/>
        </w:rPr>
        <w:t xml:space="preserve"> before teams</w:t>
      </w:r>
      <w:r w:rsidR="006510D9">
        <w:rPr>
          <w:rFonts w:ascii="Arial" w:hAnsi="Arial" w:cs="Arial"/>
          <w:sz w:val="24"/>
          <w:szCs w:val="24"/>
        </w:rPr>
        <w:t xml:space="preserve"> </w:t>
      </w:r>
      <w:r w:rsidRPr="001434B7">
        <w:rPr>
          <w:rFonts w:ascii="Arial" w:hAnsi="Arial" w:cs="Arial"/>
          <w:sz w:val="24"/>
          <w:szCs w:val="24"/>
        </w:rPr>
        <w:t>can move to their new locations.</w:t>
      </w:r>
      <w:r w:rsidR="00CA1374">
        <w:rPr>
          <w:rFonts w:ascii="Arial" w:hAnsi="Arial" w:cs="Arial"/>
          <w:sz w:val="24"/>
          <w:szCs w:val="24"/>
        </w:rPr>
        <w:t xml:space="preserve"> All remaining SCD team moves into Rayleigh will be completed by the end of this year, with the relocation of SCD teams from Essex HQ to Great Dunmow expected to complete by February 2020. </w:t>
      </w:r>
      <w:r w:rsidR="00392A5C">
        <w:rPr>
          <w:rFonts w:ascii="Arial" w:hAnsi="Arial" w:cs="Arial"/>
          <w:sz w:val="24"/>
          <w:szCs w:val="24"/>
        </w:rPr>
        <w:t xml:space="preserve">A </w:t>
      </w:r>
      <w:r w:rsidR="00CA1374">
        <w:rPr>
          <w:rFonts w:ascii="Arial" w:hAnsi="Arial" w:cs="Arial"/>
          <w:sz w:val="24"/>
          <w:szCs w:val="24"/>
        </w:rPr>
        <w:t>Post Implementation Review</w:t>
      </w:r>
      <w:r w:rsidR="00392A5C">
        <w:rPr>
          <w:rFonts w:ascii="Arial" w:hAnsi="Arial" w:cs="Arial"/>
          <w:sz w:val="24"/>
          <w:szCs w:val="24"/>
        </w:rPr>
        <w:t xml:space="preserve"> (PIR) </w:t>
      </w:r>
      <w:r w:rsidR="00CA1374">
        <w:rPr>
          <w:rFonts w:ascii="Arial" w:hAnsi="Arial" w:cs="Arial"/>
          <w:sz w:val="24"/>
          <w:szCs w:val="24"/>
        </w:rPr>
        <w:t xml:space="preserve">of the SCD – Volume Fraud </w:t>
      </w:r>
      <w:r w:rsidR="00A156FA">
        <w:rPr>
          <w:rFonts w:ascii="Arial" w:hAnsi="Arial" w:cs="Arial"/>
          <w:sz w:val="24"/>
          <w:szCs w:val="24"/>
        </w:rPr>
        <w:t xml:space="preserve">Team </w:t>
      </w:r>
      <w:r w:rsidR="00FE6A4B">
        <w:rPr>
          <w:rFonts w:ascii="Arial" w:hAnsi="Arial" w:cs="Arial"/>
          <w:sz w:val="24"/>
          <w:szCs w:val="24"/>
        </w:rPr>
        <w:t>has been completed.</w:t>
      </w:r>
      <w:r w:rsidR="00A156FA">
        <w:rPr>
          <w:rFonts w:ascii="Arial" w:hAnsi="Arial" w:cs="Arial"/>
          <w:sz w:val="24"/>
          <w:szCs w:val="24"/>
        </w:rPr>
        <w:t xml:space="preserve"> </w:t>
      </w:r>
      <w:r w:rsidR="00FE6A4B">
        <w:rPr>
          <w:rFonts w:ascii="Arial" w:hAnsi="Arial" w:cs="Arial"/>
          <w:sz w:val="24"/>
          <w:szCs w:val="24"/>
        </w:rPr>
        <w:t>The PIR was</w:t>
      </w:r>
      <w:r w:rsidR="00A156FA">
        <w:rPr>
          <w:rFonts w:ascii="Arial" w:hAnsi="Arial" w:cs="Arial"/>
          <w:sz w:val="24"/>
          <w:szCs w:val="24"/>
        </w:rPr>
        <w:t xml:space="preserve"> discussed at </w:t>
      </w:r>
      <w:r w:rsidR="00FE6A4B">
        <w:rPr>
          <w:rFonts w:ascii="Arial" w:hAnsi="Arial" w:cs="Arial"/>
          <w:sz w:val="24"/>
          <w:szCs w:val="24"/>
        </w:rPr>
        <w:t xml:space="preserve">the </w:t>
      </w:r>
      <w:r w:rsidR="00A156FA">
        <w:rPr>
          <w:rFonts w:ascii="Arial" w:hAnsi="Arial" w:cs="Arial"/>
          <w:sz w:val="24"/>
          <w:szCs w:val="24"/>
        </w:rPr>
        <w:t>SCCB</w:t>
      </w:r>
      <w:r w:rsidR="00FE6A4B">
        <w:rPr>
          <w:rFonts w:ascii="Arial" w:hAnsi="Arial" w:cs="Arial"/>
          <w:sz w:val="24"/>
          <w:szCs w:val="24"/>
        </w:rPr>
        <w:t xml:space="preserve"> meeting</w:t>
      </w:r>
      <w:r w:rsidR="00A156FA">
        <w:rPr>
          <w:rFonts w:ascii="Arial" w:hAnsi="Arial" w:cs="Arial"/>
          <w:sz w:val="24"/>
          <w:szCs w:val="24"/>
        </w:rPr>
        <w:t xml:space="preserve"> on 7</w:t>
      </w:r>
      <w:r w:rsidR="00A156FA" w:rsidRPr="00204056">
        <w:rPr>
          <w:rFonts w:ascii="Arial" w:hAnsi="Arial" w:cs="Arial"/>
          <w:sz w:val="24"/>
          <w:szCs w:val="24"/>
          <w:vertAlign w:val="superscript"/>
        </w:rPr>
        <w:t>th</w:t>
      </w:r>
      <w:r w:rsidR="00A156FA">
        <w:rPr>
          <w:rFonts w:ascii="Arial" w:hAnsi="Arial" w:cs="Arial"/>
          <w:sz w:val="24"/>
          <w:szCs w:val="24"/>
        </w:rPr>
        <w:t xml:space="preserve"> October</w:t>
      </w:r>
      <w:r w:rsidR="00FE6A4B">
        <w:rPr>
          <w:rFonts w:ascii="Arial" w:hAnsi="Arial" w:cs="Arial"/>
          <w:sz w:val="24"/>
          <w:szCs w:val="24"/>
        </w:rPr>
        <w:t xml:space="preserve"> where it was confirmed that all recommendations have been accepted by the SCD Board</w:t>
      </w:r>
      <w:r w:rsidR="00A156FA">
        <w:rPr>
          <w:rFonts w:ascii="Arial" w:hAnsi="Arial" w:cs="Arial"/>
          <w:sz w:val="24"/>
          <w:szCs w:val="24"/>
        </w:rPr>
        <w:t>. A joint PIR of the other elements of the SCD Review is currently being scoped and planned and will be undertaken as a joint review by the Essex and Kent Change teams in the first part of 2020.</w:t>
      </w:r>
      <w:r w:rsidR="00CA1374">
        <w:rPr>
          <w:rFonts w:ascii="Arial" w:hAnsi="Arial" w:cs="Arial"/>
          <w:sz w:val="24"/>
          <w:szCs w:val="24"/>
        </w:rPr>
        <w:t xml:space="preserve">  </w:t>
      </w:r>
      <w:r w:rsidRPr="001434B7">
        <w:rPr>
          <w:rFonts w:ascii="Arial" w:hAnsi="Arial" w:cs="Arial"/>
          <w:sz w:val="24"/>
          <w:szCs w:val="24"/>
        </w:rPr>
        <w:t xml:space="preserve"> </w:t>
      </w:r>
    </w:p>
    <w:p w14:paraId="0BA60ADB" w14:textId="4361EAC8" w:rsidR="006911DD" w:rsidRDefault="0086050C" w:rsidP="008F0D43">
      <w:pPr>
        <w:rPr>
          <w:rFonts w:ascii="Arial" w:hAnsi="Arial" w:cs="Arial"/>
          <w:b/>
          <w:sz w:val="24"/>
          <w:szCs w:val="24"/>
          <w:u w:val="single"/>
        </w:rPr>
      </w:pPr>
      <w:r>
        <w:rPr>
          <w:rFonts w:ascii="Arial" w:hAnsi="Arial" w:cs="Arial"/>
          <w:b/>
          <w:sz w:val="24"/>
          <w:szCs w:val="24"/>
          <w:u w:val="single"/>
        </w:rPr>
        <w:br/>
      </w:r>
      <w:r w:rsidR="008048AC" w:rsidRPr="00552390">
        <w:rPr>
          <w:rFonts w:ascii="Arial" w:hAnsi="Arial" w:cs="Arial"/>
          <w:b/>
          <w:sz w:val="24"/>
          <w:szCs w:val="24"/>
          <w:u w:val="single"/>
        </w:rPr>
        <w:t>Joint Support Services Directorate</w:t>
      </w:r>
      <w:r w:rsidR="00EF59B6">
        <w:rPr>
          <w:rFonts w:ascii="Arial" w:hAnsi="Arial" w:cs="Arial"/>
          <w:b/>
          <w:sz w:val="24"/>
          <w:szCs w:val="24"/>
          <w:u w:val="single"/>
        </w:rPr>
        <w:t xml:space="preserve"> (SSD)</w:t>
      </w:r>
      <w:r w:rsidR="006B1BC2" w:rsidRPr="00552390">
        <w:rPr>
          <w:rFonts w:ascii="Arial" w:hAnsi="Arial" w:cs="Arial"/>
          <w:b/>
          <w:sz w:val="24"/>
          <w:szCs w:val="24"/>
          <w:u w:val="single"/>
        </w:rPr>
        <w:t xml:space="preserve"> </w:t>
      </w:r>
    </w:p>
    <w:tbl>
      <w:tblPr>
        <w:tblStyle w:val="TableGrid27"/>
        <w:tblpPr w:leftFromText="180" w:rightFromText="180" w:vertAnchor="text" w:horzAnchor="margin" w:tblpY="200"/>
        <w:tblW w:w="9351" w:type="dxa"/>
        <w:tblLook w:val="04A0" w:firstRow="1" w:lastRow="0" w:firstColumn="1" w:lastColumn="0" w:noHBand="0" w:noVBand="1"/>
      </w:tblPr>
      <w:tblGrid>
        <w:gridCol w:w="996"/>
        <w:gridCol w:w="938"/>
        <w:gridCol w:w="1001"/>
        <w:gridCol w:w="1040"/>
        <w:gridCol w:w="1002"/>
        <w:gridCol w:w="1067"/>
        <w:gridCol w:w="897"/>
        <w:gridCol w:w="1276"/>
        <w:gridCol w:w="1134"/>
      </w:tblGrid>
      <w:tr w:rsidR="006911DD" w:rsidRPr="00542C69" w14:paraId="43A9BF14" w14:textId="77777777" w:rsidTr="00844470">
        <w:trPr>
          <w:trHeight w:val="1672"/>
        </w:trPr>
        <w:tc>
          <w:tcPr>
            <w:tcW w:w="996" w:type="dxa"/>
            <w:tcBorders>
              <w:top w:val="single" w:sz="12" w:space="0" w:color="auto"/>
              <w:bottom w:val="single" w:sz="12" w:space="0" w:color="auto"/>
            </w:tcBorders>
            <w:shd w:val="clear" w:color="auto" w:fill="92D050"/>
            <w:vAlign w:val="center"/>
          </w:tcPr>
          <w:p w14:paraId="3F23EAC1" w14:textId="77777777" w:rsidR="006911DD" w:rsidRPr="00552390" w:rsidRDefault="006911DD" w:rsidP="00844470">
            <w:pPr>
              <w:jc w:val="center"/>
              <w:rPr>
                <w:rFonts w:ascii="Calibri" w:eastAsia="Calibri" w:hAnsi="Calibri" w:cs="Times New Roman"/>
                <w:sz w:val="14"/>
                <w:szCs w:val="15"/>
              </w:rPr>
            </w:pPr>
            <w:r w:rsidRPr="00552390">
              <w:rPr>
                <w:rFonts w:ascii="Calibri" w:eastAsia="Calibri" w:hAnsi="Calibri" w:cs="Times New Roman"/>
                <w:sz w:val="14"/>
                <w:szCs w:val="15"/>
              </w:rPr>
              <w:t>Overall RAG</w:t>
            </w:r>
          </w:p>
        </w:tc>
        <w:tc>
          <w:tcPr>
            <w:tcW w:w="938" w:type="dxa"/>
            <w:tcBorders>
              <w:top w:val="single" w:sz="4" w:space="0" w:color="auto"/>
              <w:bottom w:val="single" w:sz="4" w:space="0" w:color="auto"/>
            </w:tcBorders>
            <w:shd w:val="clear" w:color="auto" w:fill="FFFFFF"/>
            <w:vAlign w:val="center"/>
          </w:tcPr>
          <w:p w14:paraId="5FF1C614" w14:textId="77777777" w:rsidR="006911DD" w:rsidRPr="00552390" w:rsidRDefault="006911DD" w:rsidP="00844470">
            <w:pPr>
              <w:pStyle w:val="NoSpacing"/>
              <w:spacing w:after="120" w:line="259" w:lineRule="auto"/>
              <w:jc w:val="center"/>
              <w:rPr>
                <w:color w:val="000000" w:themeColor="text1"/>
                <w:sz w:val="15"/>
                <w:szCs w:val="15"/>
              </w:rPr>
            </w:pPr>
            <w:r w:rsidRPr="00552390">
              <w:rPr>
                <w:color w:val="000000" w:themeColor="text1"/>
                <w:sz w:val="15"/>
                <w:szCs w:val="15"/>
              </w:rPr>
              <w:t>Time</w:t>
            </w:r>
          </w:p>
        </w:tc>
        <w:tc>
          <w:tcPr>
            <w:tcW w:w="1001" w:type="dxa"/>
            <w:tcBorders>
              <w:top w:val="single" w:sz="4" w:space="0" w:color="auto"/>
              <w:bottom w:val="single" w:sz="4" w:space="0" w:color="auto"/>
            </w:tcBorders>
            <w:shd w:val="clear" w:color="auto" w:fill="92D050"/>
            <w:vAlign w:val="center"/>
          </w:tcPr>
          <w:p w14:paraId="5948D08B" w14:textId="77777777" w:rsidR="006911DD" w:rsidRPr="00542C69" w:rsidRDefault="006911DD" w:rsidP="00844470">
            <w:pPr>
              <w:pStyle w:val="NoSpacing"/>
              <w:spacing w:after="120" w:line="259" w:lineRule="auto"/>
              <w:jc w:val="center"/>
              <w:rPr>
                <w:color w:val="000000" w:themeColor="text1"/>
                <w:sz w:val="15"/>
                <w:szCs w:val="15"/>
              </w:rPr>
            </w:pPr>
            <w:r>
              <w:rPr>
                <w:color w:val="000000" w:themeColor="text1"/>
                <w:sz w:val="15"/>
                <w:szCs w:val="15"/>
              </w:rPr>
              <w:t>G</w:t>
            </w:r>
          </w:p>
        </w:tc>
        <w:tc>
          <w:tcPr>
            <w:tcW w:w="1040" w:type="dxa"/>
            <w:tcBorders>
              <w:top w:val="single" w:sz="4" w:space="0" w:color="auto"/>
              <w:bottom w:val="single" w:sz="4" w:space="0" w:color="auto"/>
            </w:tcBorders>
            <w:shd w:val="clear" w:color="auto" w:fill="FFFFFF"/>
            <w:vAlign w:val="center"/>
          </w:tcPr>
          <w:p w14:paraId="5975582F" w14:textId="77777777" w:rsidR="006911DD" w:rsidRPr="00542C69" w:rsidRDefault="006911DD" w:rsidP="00844470">
            <w:pPr>
              <w:pStyle w:val="NoSpacing"/>
              <w:spacing w:after="120" w:line="259" w:lineRule="auto"/>
              <w:jc w:val="center"/>
              <w:rPr>
                <w:color w:val="000000" w:themeColor="text1"/>
                <w:sz w:val="15"/>
                <w:szCs w:val="15"/>
              </w:rPr>
            </w:pPr>
            <w:r>
              <w:rPr>
                <w:color w:val="000000" w:themeColor="text1"/>
                <w:sz w:val="15"/>
                <w:szCs w:val="15"/>
              </w:rPr>
              <w:t>Costs</w:t>
            </w:r>
          </w:p>
        </w:tc>
        <w:tc>
          <w:tcPr>
            <w:tcW w:w="1002" w:type="dxa"/>
            <w:tcBorders>
              <w:top w:val="single" w:sz="4" w:space="0" w:color="auto"/>
              <w:bottom w:val="single" w:sz="4" w:space="0" w:color="auto"/>
            </w:tcBorders>
            <w:shd w:val="clear" w:color="auto" w:fill="92D050"/>
            <w:vAlign w:val="center"/>
          </w:tcPr>
          <w:p w14:paraId="05C4EE4D" w14:textId="77777777" w:rsidR="006911DD" w:rsidRPr="00542C69" w:rsidRDefault="006911DD" w:rsidP="00844470">
            <w:pPr>
              <w:pStyle w:val="NoSpacing"/>
              <w:spacing w:after="120" w:line="259" w:lineRule="auto"/>
              <w:jc w:val="center"/>
              <w:rPr>
                <w:color w:val="000000" w:themeColor="text1"/>
                <w:sz w:val="15"/>
                <w:szCs w:val="15"/>
              </w:rPr>
            </w:pPr>
            <w:r>
              <w:rPr>
                <w:color w:val="000000" w:themeColor="text1"/>
                <w:sz w:val="15"/>
                <w:szCs w:val="15"/>
              </w:rPr>
              <w:t>G</w:t>
            </w:r>
          </w:p>
        </w:tc>
        <w:tc>
          <w:tcPr>
            <w:tcW w:w="1067" w:type="dxa"/>
            <w:tcBorders>
              <w:top w:val="single" w:sz="4" w:space="0" w:color="auto"/>
              <w:bottom w:val="single" w:sz="4" w:space="0" w:color="auto"/>
            </w:tcBorders>
            <w:shd w:val="clear" w:color="auto" w:fill="FFFFFF"/>
            <w:vAlign w:val="center"/>
          </w:tcPr>
          <w:p w14:paraId="49A30B49" w14:textId="18877083" w:rsidR="006911DD" w:rsidRPr="00542C69" w:rsidRDefault="006911DD" w:rsidP="006911DD">
            <w:pPr>
              <w:pStyle w:val="NoSpacing"/>
              <w:spacing w:after="120" w:line="259" w:lineRule="auto"/>
              <w:jc w:val="center"/>
              <w:rPr>
                <w:color w:val="000000" w:themeColor="text1"/>
                <w:sz w:val="15"/>
                <w:szCs w:val="15"/>
              </w:rPr>
            </w:pPr>
            <w:r>
              <w:rPr>
                <w:color w:val="000000" w:themeColor="text1"/>
                <w:sz w:val="15"/>
                <w:szCs w:val="15"/>
              </w:rPr>
              <w:t>Savings</w:t>
            </w:r>
          </w:p>
        </w:tc>
        <w:tc>
          <w:tcPr>
            <w:tcW w:w="897" w:type="dxa"/>
            <w:tcBorders>
              <w:top w:val="single" w:sz="4" w:space="0" w:color="auto"/>
              <w:bottom w:val="single" w:sz="4" w:space="0" w:color="auto"/>
            </w:tcBorders>
            <w:shd w:val="clear" w:color="auto" w:fill="92D050"/>
          </w:tcPr>
          <w:p w14:paraId="0EF4DD38" w14:textId="77777777" w:rsidR="006911DD" w:rsidRPr="006B1BC2" w:rsidRDefault="006911DD" w:rsidP="00844470">
            <w:pPr>
              <w:pStyle w:val="NoSpacing"/>
              <w:spacing w:after="120" w:line="259" w:lineRule="auto"/>
              <w:jc w:val="center"/>
              <w:rPr>
                <w:color w:val="000000" w:themeColor="text1"/>
                <w:sz w:val="15"/>
                <w:szCs w:val="15"/>
                <w:highlight w:val="green"/>
              </w:rPr>
            </w:pPr>
          </w:p>
          <w:p w14:paraId="62D75DD2" w14:textId="77777777" w:rsidR="006911DD" w:rsidRPr="006B1BC2" w:rsidRDefault="006911DD" w:rsidP="00844470">
            <w:pPr>
              <w:pStyle w:val="NoSpacing"/>
              <w:spacing w:after="120" w:line="259" w:lineRule="auto"/>
              <w:jc w:val="center"/>
              <w:rPr>
                <w:color w:val="000000" w:themeColor="text1"/>
                <w:sz w:val="15"/>
                <w:szCs w:val="15"/>
                <w:highlight w:val="green"/>
              </w:rPr>
            </w:pPr>
          </w:p>
          <w:p w14:paraId="7B372F21" w14:textId="77777777" w:rsidR="006911DD" w:rsidRPr="006B1BC2" w:rsidRDefault="006911DD" w:rsidP="00844470">
            <w:pPr>
              <w:pStyle w:val="NoSpacing"/>
              <w:spacing w:after="120" w:line="259" w:lineRule="auto"/>
              <w:jc w:val="center"/>
              <w:rPr>
                <w:color w:val="000000" w:themeColor="text1"/>
                <w:sz w:val="15"/>
                <w:szCs w:val="15"/>
                <w:highlight w:val="green"/>
              </w:rPr>
            </w:pPr>
            <w:r w:rsidRPr="006B1BC2">
              <w:rPr>
                <w:color w:val="000000" w:themeColor="text1"/>
                <w:sz w:val="15"/>
                <w:szCs w:val="15"/>
              </w:rPr>
              <w:t>G</w:t>
            </w:r>
            <w:r w:rsidRPr="006B1BC2">
              <w:rPr>
                <w:highlight w:val="green"/>
              </w:rPr>
              <w:t xml:space="preserve"> </w:t>
            </w:r>
          </w:p>
          <w:p w14:paraId="0F181022" w14:textId="77777777" w:rsidR="006911DD" w:rsidRPr="006B1BC2" w:rsidRDefault="006911DD" w:rsidP="00844470">
            <w:pPr>
              <w:pStyle w:val="NoSpacing"/>
              <w:spacing w:after="120" w:line="259" w:lineRule="auto"/>
              <w:jc w:val="center"/>
              <w:rPr>
                <w:color w:val="000000" w:themeColor="text1"/>
                <w:sz w:val="15"/>
                <w:szCs w:val="15"/>
                <w:highlight w:val="green"/>
              </w:rPr>
            </w:pPr>
          </w:p>
        </w:tc>
        <w:tc>
          <w:tcPr>
            <w:tcW w:w="1276" w:type="dxa"/>
            <w:tcBorders>
              <w:top w:val="single" w:sz="4" w:space="0" w:color="auto"/>
              <w:bottom w:val="single" w:sz="4" w:space="0" w:color="auto"/>
            </w:tcBorders>
            <w:shd w:val="clear" w:color="auto" w:fill="FFFFFF" w:themeFill="background1"/>
          </w:tcPr>
          <w:p w14:paraId="292FA7AB" w14:textId="77777777" w:rsidR="006911DD" w:rsidRDefault="006911DD" w:rsidP="00844470">
            <w:pPr>
              <w:pStyle w:val="NoSpacing"/>
              <w:spacing w:after="120" w:line="259" w:lineRule="auto"/>
              <w:jc w:val="center"/>
              <w:rPr>
                <w:color w:val="000000" w:themeColor="text1"/>
                <w:sz w:val="15"/>
                <w:szCs w:val="15"/>
              </w:rPr>
            </w:pPr>
          </w:p>
          <w:p w14:paraId="24401142" w14:textId="77777777" w:rsidR="006911DD" w:rsidRDefault="006911DD" w:rsidP="00844470">
            <w:pPr>
              <w:pStyle w:val="NoSpacing"/>
              <w:spacing w:after="120" w:line="259" w:lineRule="auto"/>
              <w:jc w:val="center"/>
              <w:rPr>
                <w:color w:val="000000" w:themeColor="text1"/>
                <w:sz w:val="15"/>
                <w:szCs w:val="15"/>
              </w:rPr>
            </w:pPr>
          </w:p>
          <w:p w14:paraId="48E2C50D" w14:textId="77777777" w:rsidR="006911DD" w:rsidRDefault="006911DD" w:rsidP="00844470">
            <w:pPr>
              <w:pStyle w:val="NoSpacing"/>
              <w:spacing w:after="120" w:line="259" w:lineRule="auto"/>
              <w:jc w:val="center"/>
              <w:rPr>
                <w:color w:val="000000" w:themeColor="text1"/>
                <w:sz w:val="15"/>
                <w:szCs w:val="15"/>
              </w:rPr>
            </w:pPr>
            <w:r>
              <w:rPr>
                <w:color w:val="000000" w:themeColor="text1"/>
                <w:sz w:val="15"/>
                <w:szCs w:val="15"/>
              </w:rPr>
              <w:t>Benefits</w:t>
            </w:r>
          </w:p>
        </w:tc>
        <w:tc>
          <w:tcPr>
            <w:tcW w:w="1134" w:type="dxa"/>
            <w:tcBorders>
              <w:top w:val="single" w:sz="4" w:space="0" w:color="auto"/>
              <w:bottom w:val="single" w:sz="4" w:space="0" w:color="auto"/>
            </w:tcBorders>
            <w:shd w:val="clear" w:color="auto" w:fill="92D050"/>
            <w:vAlign w:val="center"/>
          </w:tcPr>
          <w:p w14:paraId="3EAE66C7" w14:textId="77777777" w:rsidR="006911DD" w:rsidRPr="00542C69" w:rsidRDefault="006911DD" w:rsidP="00844470">
            <w:pPr>
              <w:pStyle w:val="NoSpacing"/>
              <w:spacing w:after="120" w:line="259" w:lineRule="auto"/>
              <w:jc w:val="center"/>
              <w:rPr>
                <w:color w:val="000000" w:themeColor="text1"/>
                <w:sz w:val="15"/>
                <w:szCs w:val="15"/>
              </w:rPr>
            </w:pPr>
            <w:r>
              <w:rPr>
                <w:color w:val="000000" w:themeColor="text1"/>
                <w:sz w:val="15"/>
                <w:szCs w:val="15"/>
              </w:rPr>
              <w:t>G</w:t>
            </w:r>
          </w:p>
        </w:tc>
      </w:tr>
    </w:tbl>
    <w:p w14:paraId="73BBE137" w14:textId="77777777" w:rsidR="006911DD" w:rsidRPr="00552390" w:rsidRDefault="006911DD" w:rsidP="008F0D43">
      <w:pPr>
        <w:rPr>
          <w:rFonts w:ascii="Arial" w:hAnsi="Arial" w:cs="Arial"/>
          <w:b/>
          <w:sz w:val="24"/>
          <w:szCs w:val="24"/>
          <w:u w:val="single"/>
        </w:rPr>
      </w:pPr>
    </w:p>
    <w:p w14:paraId="6F260584" w14:textId="55FE10A2" w:rsidR="0099132F" w:rsidRDefault="0099132F" w:rsidP="00766930">
      <w:pPr>
        <w:tabs>
          <w:tab w:val="left" w:pos="1843"/>
        </w:tabs>
        <w:spacing w:after="0" w:line="259" w:lineRule="auto"/>
        <w:contextualSpacing/>
        <w:rPr>
          <w:rFonts w:ascii="Arial" w:hAnsi="Arial" w:cs="Arial"/>
          <w:b/>
          <w:sz w:val="16"/>
          <w:szCs w:val="16"/>
          <w:u w:val="single"/>
        </w:rPr>
      </w:pPr>
      <w:r>
        <w:rPr>
          <w:rFonts w:ascii="Arial" w:hAnsi="Arial" w:cs="Arial"/>
          <w:b/>
          <w:sz w:val="16"/>
          <w:szCs w:val="16"/>
          <w:u w:val="single"/>
        </w:rPr>
        <w:lastRenderedPageBreak/>
        <w:t xml:space="preserve">Note: </w:t>
      </w:r>
      <w:r w:rsidRPr="00F731DD">
        <w:rPr>
          <w:rFonts w:ascii="Arial" w:hAnsi="Arial" w:cs="Arial"/>
          <w:b/>
          <w:sz w:val="16"/>
          <w:szCs w:val="16"/>
          <w:u w:val="single"/>
        </w:rPr>
        <w:t>RAG assessment determined for this report.</w:t>
      </w:r>
    </w:p>
    <w:p w14:paraId="0ED0F604" w14:textId="77777777" w:rsidR="0099132F" w:rsidRDefault="0099132F" w:rsidP="00766930">
      <w:pPr>
        <w:tabs>
          <w:tab w:val="left" w:pos="1843"/>
        </w:tabs>
        <w:spacing w:after="0" w:line="259" w:lineRule="auto"/>
        <w:contextualSpacing/>
        <w:rPr>
          <w:rFonts w:ascii="Arial" w:hAnsi="Arial" w:cs="Arial"/>
          <w:sz w:val="24"/>
          <w:szCs w:val="24"/>
        </w:rPr>
      </w:pPr>
    </w:p>
    <w:p w14:paraId="1E480870" w14:textId="1CE0F2D1" w:rsidR="00766930" w:rsidRDefault="006510D9" w:rsidP="00766930">
      <w:pPr>
        <w:tabs>
          <w:tab w:val="left" w:pos="1843"/>
        </w:tabs>
        <w:spacing w:after="0" w:line="259" w:lineRule="auto"/>
        <w:contextualSpacing/>
        <w:rPr>
          <w:rFonts w:ascii="Arial" w:hAnsi="Arial" w:cs="Arial"/>
          <w:sz w:val="24"/>
          <w:szCs w:val="24"/>
        </w:rPr>
      </w:pPr>
      <w:r w:rsidRPr="006510D9">
        <w:rPr>
          <w:rFonts w:ascii="Arial" w:hAnsi="Arial" w:cs="Arial"/>
          <w:sz w:val="24"/>
          <w:szCs w:val="24"/>
        </w:rPr>
        <w:t xml:space="preserve">The joint </w:t>
      </w:r>
      <w:r w:rsidR="0095048C">
        <w:rPr>
          <w:rFonts w:ascii="Arial" w:hAnsi="Arial" w:cs="Arial"/>
          <w:sz w:val="24"/>
          <w:szCs w:val="24"/>
        </w:rPr>
        <w:t>Support Services Directorate (</w:t>
      </w:r>
      <w:r w:rsidRPr="006510D9">
        <w:rPr>
          <w:rFonts w:ascii="Arial" w:hAnsi="Arial" w:cs="Arial"/>
          <w:sz w:val="24"/>
          <w:szCs w:val="24"/>
        </w:rPr>
        <w:t>SSD</w:t>
      </w:r>
      <w:r w:rsidR="0095048C">
        <w:rPr>
          <w:rFonts w:ascii="Arial" w:hAnsi="Arial" w:cs="Arial"/>
          <w:sz w:val="24"/>
          <w:szCs w:val="24"/>
        </w:rPr>
        <w:t>)</w:t>
      </w:r>
      <w:r w:rsidRPr="006510D9">
        <w:rPr>
          <w:rFonts w:ascii="Arial" w:hAnsi="Arial" w:cs="Arial"/>
          <w:sz w:val="24"/>
          <w:szCs w:val="24"/>
        </w:rPr>
        <w:t xml:space="preserve"> has achieved considerable cashable savings objectives whilst maintaining service across both forces</w:t>
      </w:r>
      <w:r w:rsidR="00766930">
        <w:rPr>
          <w:rFonts w:ascii="Arial" w:hAnsi="Arial" w:cs="Arial"/>
          <w:sz w:val="24"/>
          <w:szCs w:val="24"/>
        </w:rPr>
        <w:t xml:space="preserve"> and continues to make the most significant contribution to the Essex Savings &amp; Efficiency plan. </w:t>
      </w:r>
      <w:r w:rsidRPr="006510D9">
        <w:rPr>
          <w:rFonts w:ascii="Arial" w:hAnsi="Arial" w:cs="Arial"/>
          <w:sz w:val="24"/>
          <w:szCs w:val="24"/>
        </w:rPr>
        <w:t>The collaborated business model is regularly reviewed as reflected in the current 7 Force – IT Convergence work streams</w:t>
      </w:r>
      <w:r>
        <w:rPr>
          <w:rFonts w:ascii="Arial" w:hAnsi="Arial" w:cs="Arial"/>
          <w:sz w:val="24"/>
          <w:szCs w:val="24"/>
        </w:rPr>
        <w:t xml:space="preserve"> and the </w:t>
      </w:r>
      <w:r w:rsidRPr="006510D9">
        <w:rPr>
          <w:rFonts w:ascii="Arial" w:hAnsi="Arial" w:cs="Arial"/>
          <w:sz w:val="24"/>
          <w:szCs w:val="24"/>
        </w:rPr>
        <w:t>introduction of 7 Force – Procurement function</w:t>
      </w:r>
      <w:r>
        <w:rPr>
          <w:rFonts w:ascii="Arial" w:hAnsi="Arial" w:cs="Arial"/>
          <w:sz w:val="24"/>
          <w:szCs w:val="24"/>
        </w:rPr>
        <w:t xml:space="preserve">, </w:t>
      </w:r>
      <w:r w:rsidR="00C22793">
        <w:rPr>
          <w:rFonts w:ascii="Arial" w:hAnsi="Arial" w:cs="Arial"/>
          <w:sz w:val="24"/>
          <w:szCs w:val="24"/>
        </w:rPr>
        <w:t xml:space="preserve">for which </w:t>
      </w:r>
      <w:r>
        <w:rPr>
          <w:rFonts w:ascii="Arial" w:hAnsi="Arial" w:cs="Arial"/>
          <w:sz w:val="24"/>
          <w:szCs w:val="24"/>
        </w:rPr>
        <w:t>staff consultation w</w:t>
      </w:r>
      <w:r w:rsidR="001D4D21">
        <w:rPr>
          <w:rFonts w:ascii="Arial" w:hAnsi="Arial" w:cs="Arial"/>
          <w:sz w:val="24"/>
          <w:szCs w:val="24"/>
        </w:rPr>
        <w:t>as</w:t>
      </w:r>
      <w:r>
        <w:rPr>
          <w:rFonts w:ascii="Arial" w:hAnsi="Arial" w:cs="Arial"/>
          <w:sz w:val="24"/>
          <w:szCs w:val="24"/>
        </w:rPr>
        <w:t xml:space="preserve"> completed in June 2019</w:t>
      </w:r>
      <w:r w:rsidR="00C23E9B">
        <w:rPr>
          <w:rFonts w:ascii="Arial" w:hAnsi="Arial" w:cs="Arial"/>
          <w:sz w:val="24"/>
          <w:szCs w:val="24"/>
        </w:rPr>
        <w:t xml:space="preserve"> and</w:t>
      </w:r>
      <w:r>
        <w:rPr>
          <w:rFonts w:ascii="Arial" w:hAnsi="Arial" w:cs="Arial"/>
          <w:sz w:val="24"/>
          <w:szCs w:val="24"/>
        </w:rPr>
        <w:t xml:space="preserve"> </w:t>
      </w:r>
      <w:r w:rsidRPr="00F731DD">
        <w:rPr>
          <w:rFonts w:ascii="Arial" w:hAnsi="Arial" w:cs="Arial"/>
          <w:sz w:val="24"/>
          <w:szCs w:val="24"/>
        </w:rPr>
        <w:t xml:space="preserve">go live of the </w:t>
      </w:r>
      <w:r w:rsidR="00C22793">
        <w:rPr>
          <w:rFonts w:ascii="Arial" w:hAnsi="Arial" w:cs="Arial"/>
          <w:sz w:val="24"/>
          <w:szCs w:val="24"/>
        </w:rPr>
        <w:t>g</w:t>
      </w:r>
      <w:r w:rsidRPr="00F731DD">
        <w:rPr>
          <w:rFonts w:ascii="Arial" w:hAnsi="Arial" w:cs="Arial"/>
          <w:sz w:val="24"/>
          <w:szCs w:val="24"/>
        </w:rPr>
        <w:t xml:space="preserve">overnance functions </w:t>
      </w:r>
      <w:r w:rsidR="001D4D21">
        <w:rPr>
          <w:rFonts w:ascii="Arial" w:hAnsi="Arial" w:cs="Arial"/>
          <w:sz w:val="24"/>
          <w:szCs w:val="24"/>
        </w:rPr>
        <w:t>followed in</w:t>
      </w:r>
      <w:r w:rsidRPr="00F731DD">
        <w:rPr>
          <w:rFonts w:ascii="Arial" w:hAnsi="Arial" w:cs="Arial"/>
          <w:sz w:val="24"/>
          <w:szCs w:val="24"/>
        </w:rPr>
        <w:t xml:space="preserve"> October 2019</w:t>
      </w:r>
      <w:r w:rsidR="00766930">
        <w:rPr>
          <w:rFonts w:ascii="Arial" w:hAnsi="Arial" w:cs="Arial"/>
          <w:sz w:val="24"/>
          <w:szCs w:val="24"/>
        </w:rPr>
        <w:t xml:space="preserve">. </w:t>
      </w:r>
      <w:r w:rsidR="00766930" w:rsidRPr="008C6DE3">
        <w:rPr>
          <w:rFonts w:ascii="Arial" w:hAnsi="Arial" w:cs="Arial"/>
          <w:sz w:val="24"/>
          <w:szCs w:val="24"/>
        </w:rPr>
        <w:t>The directorate is also working collaboratively with a number of projects within the Home Office Digital Policing Portfolio/Home Office Technology Programme which are outlined later in this report.</w:t>
      </w:r>
      <w:r w:rsidR="00766930" w:rsidRPr="00F731DD">
        <w:rPr>
          <w:rFonts w:ascii="Arial" w:hAnsi="Arial" w:cs="Arial"/>
          <w:sz w:val="24"/>
          <w:szCs w:val="24"/>
        </w:rPr>
        <w:t xml:space="preserve"> </w:t>
      </w:r>
      <w:r w:rsidR="0095048C">
        <w:rPr>
          <w:rFonts w:ascii="Arial" w:hAnsi="Arial" w:cs="Arial"/>
          <w:sz w:val="24"/>
          <w:szCs w:val="24"/>
        </w:rPr>
        <w:br/>
      </w:r>
    </w:p>
    <w:p w14:paraId="0C0196B0" w14:textId="75A619DD" w:rsidR="00BF4C2F" w:rsidRPr="00F731DD" w:rsidRDefault="005F27E9" w:rsidP="00EE1E3A">
      <w:pPr>
        <w:tabs>
          <w:tab w:val="left" w:pos="1843"/>
        </w:tabs>
        <w:spacing w:after="0" w:line="259" w:lineRule="auto"/>
        <w:contextualSpacing/>
        <w:rPr>
          <w:rFonts w:ascii="Arial" w:hAnsi="Arial" w:cs="Arial"/>
          <w:sz w:val="24"/>
          <w:szCs w:val="24"/>
        </w:rPr>
      </w:pPr>
      <w:r>
        <w:rPr>
          <w:rFonts w:ascii="Arial" w:hAnsi="Arial" w:cs="Arial"/>
          <w:sz w:val="24"/>
          <w:szCs w:val="24"/>
        </w:rPr>
        <w:t xml:space="preserve">Recently, changes in </w:t>
      </w:r>
      <w:r w:rsidR="00C23E9B">
        <w:rPr>
          <w:rFonts w:ascii="Arial" w:hAnsi="Arial" w:cs="Arial"/>
          <w:sz w:val="24"/>
          <w:szCs w:val="24"/>
        </w:rPr>
        <w:t>r</w:t>
      </w:r>
      <w:r>
        <w:rPr>
          <w:rFonts w:ascii="Arial" w:hAnsi="Arial" w:cs="Arial"/>
          <w:sz w:val="24"/>
          <w:szCs w:val="24"/>
        </w:rPr>
        <w:t xml:space="preserve">oles and </w:t>
      </w:r>
      <w:r w:rsidR="00C23E9B">
        <w:rPr>
          <w:rFonts w:ascii="Arial" w:hAnsi="Arial" w:cs="Arial"/>
          <w:sz w:val="24"/>
          <w:szCs w:val="24"/>
        </w:rPr>
        <w:t>r</w:t>
      </w:r>
      <w:r>
        <w:rPr>
          <w:rFonts w:ascii="Arial" w:hAnsi="Arial" w:cs="Arial"/>
          <w:sz w:val="24"/>
          <w:szCs w:val="24"/>
        </w:rPr>
        <w:t>esponsibilities have been announced for a defined</w:t>
      </w:r>
      <w:r w:rsidR="00C23E9B">
        <w:rPr>
          <w:rFonts w:ascii="Arial" w:hAnsi="Arial" w:cs="Arial"/>
          <w:sz w:val="24"/>
          <w:szCs w:val="24"/>
        </w:rPr>
        <w:t xml:space="preserve"> interim</w:t>
      </w:r>
      <w:r>
        <w:rPr>
          <w:rFonts w:ascii="Arial" w:hAnsi="Arial" w:cs="Arial"/>
          <w:sz w:val="24"/>
          <w:szCs w:val="24"/>
        </w:rPr>
        <w:t xml:space="preserve"> period, with Mark Gilmartin moving to the 7 Force Programme to lead the IT </w:t>
      </w:r>
      <w:r w:rsidR="00C23E9B">
        <w:rPr>
          <w:rFonts w:ascii="Arial" w:hAnsi="Arial" w:cs="Arial"/>
          <w:sz w:val="24"/>
          <w:szCs w:val="24"/>
        </w:rPr>
        <w:t xml:space="preserve">and procurement </w:t>
      </w:r>
      <w:r>
        <w:rPr>
          <w:rFonts w:ascii="Arial" w:hAnsi="Arial" w:cs="Arial"/>
          <w:sz w:val="24"/>
          <w:szCs w:val="24"/>
        </w:rPr>
        <w:t>elements of the 7 Force initiatives.</w:t>
      </w:r>
      <w:r w:rsidR="0086050C">
        <w:rPr>
          <w:rFonts w:ascii="Arial" w:hAnsi="Arial" w:cs="Arial"/>
          <w:sz w:val="24"/>
          <w:szCs w:val="24"/>
        </w:rPr>
        <w:br/>
      </w:r>
    </w:p>
    <w:p w14:paraId="7C2EFE0C" w14:textId="45BF77CA" w:rsidR="00766930" w:rsidRPr="00F731DD" w:rsidRDefault="008F0D43" w:rsidP="008F0D43">
      <w:pPr>
        <w:rPr>
          <w:rFonts w:ascii="Arial" w:hAnsi="Arial" w:cs="Arial"/>
          <w:b/>
          <w:sz w:val="24"/>
          <w:szCs w:val="24"/>
          <w:u w:val="single"/>
        </w:rPr>
      </w:pPr>
      <w:r w:rsidRPr="00552390">
        <w:rPr>
          <w:rFonts w:ascii="Arial" w:hAnsi="Arial" w:cs="Arial"/>
          <w:b/>
          <w:sz w:val="24"/>
          <w:szCs w:val="24"/>
          <w:u w:val="single"/>
        </w:rPr>
        <w:t>Op Hexagon</w:t>
      </w:r>
      <w:r w:rsidR="000E101C">
        <w:rPr>
          <w:rFonts w:ascii="Arial" w:hAnsi="Arial" w:cs="Arial"/>
          <w:b/>
          <w:sz w:val="24"/>
          <w:szCs w:val="24"/>
          <w:u w:val="single"/>
        </w:rPr>
        <w:t xml:space="preserve">   </w:t>
      </w:r>
    </w:p>
    <w:tbl>
      <w:tblPr>
        <w:tblStyle w:val="TableGrid27"/>
        <w:tblpPr w:leftFromText="180" w:rightFromText="180" w:vertAnchor="text" w:horzAnchor="margin" w:tblpY="200"/>
        <w:tblW w:w="8260" w:type="dxa"/>
        <w:tblLook w:val="04A0" w:firstRow="1" w:lastRow="0" w:firstColumn="1" w:lastColumn="0" w:noHBand="0" w:noVBand="1"/>
      </w:tblPr>
      <w:tblGrid>
        <w:gridCol w:w="939"/>
        <w:gridCol w:w="875"/>
        <w:gridCol w:w="896"/>
        <w:gridCol w:w="965"/>
        <w:gridCol w:w="898"/>
        <w:gridCol w:w="1040"/>
        <w:gridCol w:w="663"/>
        <w:gridCol w:w="850"/>
        <w:gridCol w:w="1134"/>
      </w:tblGrid>
      <w:tr w:rsidR="007B6212" w:rsidRPr="008A42D5" w14:paraId="62EA340F" w14:textId="77777777" w:rsidTr="007B6212">
        <w:trPr>
          <w:trHeight w:val="1068"/>
        </w:trPr>
        <w:tc>
          <w:tcPr>
            <w:tcW w:w="939" w:type="dxa"/>
            <w:vMerge w:val="restart"/>
            <w:tcBorders>
              <w:top w:val="single" w:sz="12" w:space="0" w:color="auto"/>
            </w:tcBorders>
            <w:shd w:val="clear" w:color="auto" w:fill="FFC000"/>
            <w:vAlign w:val="center"/>
          </w:tcPr>
          <w:p w14:paraId="494293FD" w14:textId="77777777" w:rsidR="007B6212" w:rsidRPr="00552390" w:rsidRDefault="007B6212" w:rsidP="00C337C1">
            <w:pPr>
              <w:jc w:val="center"/>
              <w:rPr>
                <w:rFonts w:ascii="Calibri" w:eastAsia="Calibri" w:hAnsi="Calibri" w:cs="Times New Roman"/>
                <w:sz w:val="14"/>
                <w:szCs w:val="15"/>
              </w:rPr>
            </w:pPr>
            <w:r w:rsidRPr="00552390">
              <w:rPr>
                <w:rFonts w:ascii="Calibri" w:eastAsia="Calibri" w:hAnsi="Calibri" w:cs="Times New Roman"/>
                <w:sz w:val="14"/>
                <w:szCs w:val="15"/>
              </w:rPr>
              <w:t>Overall RAG</w:t>
            </w:r>
          </w:p>
        </w:tc>
        <w:tc>
          <w:tcPr>
            <w:tcW w:w="875" w:type="dxa"/>
            <w:vMerge w:val="restart"/>
            <w:tcBorders>
              <w:top w:val="single" w:sz="4" w:space="0" w:color="auto"/>
            </w:tcBorders>
            <w:shd w:val="clear" w:color="auto" w:fill="FFFFFF"/>
            <w:vAlign w:val="center"/>
          </w:tcPr>
          <w:p w14:paraId="1A342BF3" w14:textId="77777777" w:rsidR="007B6212" w:rsidRPr="00552390" w:rsidRDefault="007B6212" w:rsidP="00C337C1">
            <w:pPr>
              <w:pStyle w:val="NoSpacing"/>
              <w:spacing w:after="120" w:line="259" w:lineRule="auto"/>
              <w:jc w:val="center"/>
              <w:rPr>
                <w:color w:val="000000" w:themeColor="text1"/>
                <w:sz w:val="15"/>
                <w:szCs w:val="15"/>
              </w:rPr>
            </w:pPr>
            <w:r w:rsidRPr="00552390">
              <w:rPr>
                <w:color w:val="000000" w:themeColor="text1"/>
                <w:sz w:val="15"/>
                <w:szCs w:val="15"/>
              </w:rPr>
              <w:t>Time</w:t>
            </w:r>
          </w:p>
        </w:tc>
        <w:tc>
          <w:tcPr>
            <w:tcW w:w="896" w:type="dxa"/>
            <w:vMerge w:val="restart"/>
            <w:tcBorders>
              <w:top w:val="single" w:sz="4" w:space="0" w:color="auto"/>
            </w:tcBorders>
            <w:shd w:val="clear" w:color="auto" w:fill="FFC000"/>
            <w:vAlign w:val="center"/>
          </w:tcPr>
          <w:p w14:paraId="5E86D75A" w14:textId="77777777" w:rsidR="007B6212" w:rsidRPr="00552390" w:rsidRDefault="007B6212" w:rsidP="00C337C1">
            <w:pPr>
              <w:pStyle w:val="NoSpacing"/>
              <w:spacing w:after="120" w:line="259" w:lineRule="auto"/>
              <w:jc w:val="center"/>
              <w:rPr>
                <w:color w:val="000000" w:themeColor="text1"/>
                <w:sz w:val="15"/>
                <w:szCs w:val="15"/>
              </w:rPr>
            </w:pPr>
            <w:r w:rsidRPr="00552390">
              <w:rPr>
                <w:color w:val="000000" w:themeColor="text1"/>
                <w:sz w:val="15"/>
                <w:szCs w:val="15"/>
              </w:rPr>
              <w:t>A</w:t>
            </w:r>
          </w:p>
        </w:tc>
        <w:tc>
          <w:tcPr>
            <w:tcW w:w="965" w:type="dxa"/>
            <w:vMerge w:val="restart"/>
            <w:tcBorders>
              <w:top w:val="single" w:sz="4" w:space="0" w:color="auto"/>
            </w:tcBorders>
            <w:shd w:val="clear" w:color="auto" w:fill="FFFFFF"/>
            <w:vAlign w:val="center"/>
          </w:tcPr>
          <w:p w14:paraId="76007BDF" w14:textId="77777777" w:rsidR="007B6212" w:rsidRPr="00552390" w:rsidRDefault="007B6212" w:rsidP="00C337C1">
            <w:pPr>
              <w:pStyle w:val="NoSpacing"/>
              <w:spacing w:after="120" w:line="259" w:lineRule="auto"/>
              <w:jc w:val="center"/>
              <w:rPr>
                <w:color w:val="000000" w:themeColor="text1"/>
                <w:sz w:val="15"/>
                <w:szCs w:val="15"/>
              </w:rPr>
            </w:pPr>
            <w:r w:rsidRPr="00552390">
              <w:rPr>
                <w:color w:val="000000" w:themeColor="text1"/>
                <w:sz w:val="15"/>
                <w:szCs w:val="15"/>
              </w:rPr>
              <w:t>Costs</w:t>
            </w:r>
          </w:p>
        </w:tc>
        <w:tc>
          <w:tcPr>
            <w:tcW w:w="898" w:type="dxa"/>
            <w:vMerge w:val="restart"/>
            <w:tcBorders>
              <w:top w:val="single" w:sz="4" w:space="0" w:color="auto"/>
            </w:tcBorders>
            <w:shd w:val="clear" w:color="auto" w:fill="92D050"/>
            <w:vAlign w:val="center"/>
          </w:tcPr>
          <w:p w14:paraId="0B9D1499" w14:textId="77777777" w:rsidR="007B6212" w:rsidRPr="00552390" w:rsidRDefault="007B6212" w:rsidP="00C337C1">
            <w:pPr>
              <w:pStyle w:val="NoSpacing"/>
              <w:spacing w:after="120" w:line="259" w:lineRule="auto"/>
              <w:jc w:val="center"/>
              <w:rPr>
                <w:color w:val="000000" w:themeColor="text1"/>
                <w:sz w:val="15"/>
                <w:szCs w:val="15"/>
              </w:rPr>
            </w:pPr>
            <w:r w:rsidRPr="00552390">
              <w:rPr>
                <w:color w:val="000000" w:themeColor="text1"/>
                <w:sz w:val="15"/>
                <w:szCs w:val="15"/>
              </w:rPr>
              <w:t>G</w:t>
            </w:r>
          </w:p>
        </w:tc>
        <w:tc>
          <w:tcPr>
            <w:tcW w:w="1040" w:type="dxa"/>
            <w:vMerge w:val="restart"/>
            <w:tcBorders>
              <w:top w:val="single" w:sz="4" w:space="0" w:color="auto"/>
            </w:tcBorders>
            <w:shd w:val="clear" w:color="auto" w:fill="FFFFFF"/>
            <w:vAlign w:val="center"/>
          </w:tcPr>
          <w:p w14:paraId="242BEB5B" w14:textId="77777777" w:rsidR="007B6212" w:rsidRPr="00552390" w:rsidRDefault="007B6212" w:rsidP="00C337C1">
            <w:pPr>
              <w:pStyle w:val="NoSpacing"/>
              <w:spacing w:after="120" w:line="259" w:lineRule="auto"/>
              <w:jc w:val="center"/>
              <w:rPr>
                <w:color w:val="000000" w:themeColor="text1"/>
                <w:sz w:val="15"/>
                <w:szCs w:val="15"/>
              </w:rPr>
            </w:pPr>
            <w:r w:rsidRPr="00552390">
              <w:rPr>
                <w:color w:val="000000" w:themeColor="text1"/>
                <w:sz w:val="15"/>
                <w:szCs w:val="15"/>
              </w:rPr>
              <w:t>Savings</w:t>
            </w:r>
          </w:p>
          <w:p w14:paraId="43F0B742" w14:textId="77777777" w:rsidR="007B6212" w:rsidRPr="00552390" w:rsidRDefault="007B6212" w:rsidP="00596A08">
            <w:pPr>
              <w:pStyle w:val="NoSpacing"/>
              <w:spacing w:after="120" w:line="259" w:lineRule="auto"/>
              <w:jc w:val="center"/>
              <w:rPr>
                <w:color w:val="000000" w:themeColor="text1"/>
                <w:sz w:val="15"/>
                <w:szCs w:val="15"/>
              </w:rPr>
            </w:pPr>
            <w:r w:rsidRPr="00552390">
              <w:rPr>
                <w:color w:val="000000" w:themeColor="text1"/>
                <w:sz w:val="15"/>
                <w:szCs w:val="15"/>
              </w:rPr>
              <w:t>18/19 - £10</w:t>
            </w:r>
            <w:r>
              <w:rPr>
                <w:color w:val="000000" w:themeColor="text1"/>
                <w:sz w:val="15"/>
                <w:szCs w:val="15"/>
              </w:rPr>
              <w:t>0</w:t>
            </w:r>
            <w:r w:rsidRPr="00552390">
              <w:rPr>
                <w:color w:val="000000" w:themeColor="text1"/>
                <w:sz w:val="15"/>
                <w:szCs w:val="15"/>
              </w:rPr>
              <w:t>k achieved.</w:t>
            </w:r>
          </w:p>
          <w:p w14:paraId="04B33779" w14:textId="7BB6EE1B" w:rsidR="007B6212" w:rsidRPr="00552390" w:rsidRDefault="007B6212" w:rsidP="0039610A">
            <w:pPr>
              <w:pStyle w:val="NoSpacing"/>
              <w:spacing w:after="120" w:line="259" w:lineRule="auto"/>
              <w:jc w:val="center"/>
              <w:rPr>
                <w:color w:val="000000" w:themeColor="text1"/>
                <w:sz w:val="15"/>
                <w:szCs w:val="15"/>
              </w:rPr>
            </w:pPr>
            <w:r w:rsidRPr="00552390">
              <w:rPr>
                <w:color w:val="000000" w:themeColor="text1"/>
                <w:sz w:val="15"/>
                <w:szCs w:val="15"/>
              </w:rPr>
              <w:t xml:space="preserve">19/20 </w:t>
            </w:r>
            <w:r>
              <w:rPr>
                <w:color w:val="000000" w:themeColor="text1"/>
                <w:sz w:val="15"/>
                <w:szCs w:val="15"/>
              </w:rPr>
              <w:t>–</w:t>
            </w:r>
            <w:r w:rsidRPr="00552390">
              <w:rPr>
                <w:color w:val="000000" w:themeColor="text1"/>
                <w:sz w:val="15"/>
                <w:szCs w:val="15"/>
              </w:rPr>
              <w:t xml:space="preserve"> </w:t>
            </w:r>
            <w:r>
              <w:rPr>
                <w:color w:val="000000" w:themeColor="text1"/>
                <w:sz w:val="15"/>
                <w:szCs w:val="15"/>
              </w:rPr>
              <w:t xml:space="preserve">was </w:t>
            </w:r>
            <w:r w:rsidRPr="00552390">
              <w:rPr>
                <w:color w:val="000000" w:themeColor="text1"/>
                <w:sz w:val="15"/>
                <w:szCs w:val="15"/>
              </w:rPr>
              <w:t>£250k</w:t>
            </w:r>
            <w:r>
              <w:rPr>
                <w:color w:val="000000" w:themeColor="text1"/>
                <w:sz w:val="15"/>
                <w:szCs w:val="15"/>
              </w:rPr>
              <w:t xml:space="preserve"> – now being re-considered for 20/21</w:t>
            </w:r>
          </w:p>
        </w:tc>
        <w:tc>
          <w:tcPr>
            <w:tcW w:w="663" w:type="dxa"/>
            <w:tcBorders>
              <w:top w:val="single" w:sz="4" w:space="0" w:color="auto"/>
              <w:bottom w:val="single" w:sz="4" w:space="0" w:color="auto"/>
            </w:tcBorders>
            <w:shd w:val="clear" w:color="auto" w:fill="92D050"/>
          </w:tcPr>
          <w:p w14:paraId="46D30CC7" w14:textId="77777777" w:rsidR="007B6212" w:rsidRDefault="007B6212" w:rsidP="0075534B">
            <w:pPr>
              <w:pStyle w:val="NoSpacing"/>
              <w:spacing w:after="120" w:line="259" w:lineRule="auto"/>
              <w:jc w:val="center"/>
              <w:rPr>
                <w:color w:val="000000" w:themeColor="text1"/>
                <w:sz w:val="15"/>
                <w:szCs w:val="15"/>
              </w:rPr>
            </w:pPr>
          </w:p>
          <w:p w14:paraId="628B8F82" w14:textId="299DF82D" w:rsidR="007B6212" w:rsidRPr="00552390" w:rsidRDefault="007B6212" w:rsidP="0075534B">
            <w:pPr>
              <w:pStyle w:val="NoSpacing"/>
              <w:spacing w:after="120" w:line="259" w:lineRule="auto"/>
              <w:jc w:val="center"/>
              <w:rPr>
                <w:color w:val="000000" w:themeColor="text1"/>
                <w:sz w:val="15"/>
                <w:szCs w:val="15"/>
              </w:rPr>
            </w:pPr>
            <w:r>
              <w:rPr>
                <w:color w:val="000000" w:themeColor="text1"/>
                <w:sz w:val="15"/>
                <w:szCs w:val="15"/>
              </w:rPr>
              <w:t>G</w:t>
            </w:r>
          </w:p>
        </w:tc>
        <w:tc>
          <w:tcPr>
            <w:tcW w:w="850" w:type="dxa"/>
            <w:vMerge w:val="restart"/>
            <w:tcBorders>
              <w:top w:val="single" w:sz="4" w:space="0" w:color="auto"/>
            </w:tcBorders>
            <w:shd w:val="clear" w:color="auto" w:fill="FFFFFF" w:themeFill="background1"/>
          </w:tcPr>
          <w:p w14:paraId="6CDE562D" w14:textId="5E46F0AA" w:rsidR="007B6212" w:rsidRPr="00552390" w:rsidRDefault="007B6212" w:rsidP="0075534B">
            <w:pPr>
              <w:pStyle w:val="NoSpacing"/>
              <w:spacing w:after="120" w:line="259" w:lineRule="auto"/>
              <w:jc w:val="center"/>
              <w:rPr>
                <w:color w:val="000000" w:themeColor="text1"/>
                <w:sz w:val="15"/>
                <w:szCs w:val="15"/>
              </w:rPr>
            </w:pPr>
          </w:p>
          <w:p w14:paraId="289CE1E1" w14:textId="77777777" w:rsidR="007B6212" w:rsidRPr="00552390" w:rsidRDefault="007B6212" w:rsidP="0075534B">
            <w:pPr>
              <w:pStyle w:val="NoSpacing"/>
              <w:spacing w:after="120" w:line="259" w:lineRule="auto"/>
              <w:jc w:val="center"/>
              <w:rPr>
                <w:color w:val="000000" w:themeColor="text1"/>
                <w:sz w:val="15"/>
                <w:szCs w:val="15"/>
              </w:rPr>
            </w:pPr>
          </w:p>
          <w:p w14:paraId="3F2222DC" w14:textId="77777777" w:rsidR="00915159" w:rsidRDefault="00915159" w:rsidP="0075534B">
            <w:pPr>
              <w:pStyle w:val="NoSpacing"/>
              <w:spacing w:after="120" w:line="259" w:lineRule="auto"/>
              <w:jc w:val="center"/>
              <w:rPr>
                <w:color w:val="000000" w:themeColor="text1"/>
                <w:sz w:val="15"/>
                <w:szCs w:val="15"/>
              </w:rPr>
            </w:pPr>
          </w:p>
          <w:p w14:paraId="25922D03" w14:textId="28542527" w:rsidR="007B6212" w:rsidRPr="00552390" w:rsidRDefault="007B6212" w:rsidP="0075534B">
            <w:pPr>
              <w:pStyle w:val="NoSpacing"/>
              <w:spacing w:after="120" w:line="259" w:lineRule="auto"/>
              <w:jc w:val="center"/>
              <w:rPr>
                <w:color w:val="000000" w:themeColor="text1"/>
                <w:sz w:val="15"/>
                <w:szCs w:val="15"/>
              </w:rPr>
            </w:pPr>
            <w:r w:rsidRPr="00552390">
              <w:rPr>
                <w:color w:val="000000" w:themeColor="text1"/>
                <w:sz w:val="15"/>
                <w:szCs w:val="15"/>
              </w:rPr>
              <w:t>Benefits</w:t>
            </w:r>
          </w:p>
        </w:tc>
        <w:tc>
          <w:tcPr>
            <w:tcW w:w="1134" w:type="dxa"/>
            <w:vMerge w:val="restart"/>
            <w:tcBorders>
              <w:top w:val="single" w:sz="4" w:space="0" w:color="auto"/>
            </w:tcBorders>
            <w:shd w:val="clear" w:color="auto" w:fill="FFC000"/>
            <w:vAlign w:val="center"/>
          </w:tcPr>
          <w:p w14:paraId="73D58F5F" w14:textId="6F8B8779" w:rsidR="007B6212" w:rsidRPr="00552390" w:rsidRDefault="007B6212" w:rsidP="00C337C1">
            <w:pPr>
              <w:pStyle w:val="NoSpacing"/>
              <w:spacing w:after="120" w:line="259" w:lineRule="auto"/>
              <w:jc w:val="center"/>
              <w:rPr>
                <w:color w:val="000000" w:themeColor="text1"/>
                <w:sz w:val="15"/>
                <w:szCs w:val="15"/>
              </w:rPr>
            </w:pPr>
            <w:r>
              <w:rPr>
                <w:color w:val="000000" w:themeColor="text1"/>
                <w:sz w:val="15"/>
                <w:szCs w:val="15"/>
              </w:rPr>
              <w:t>A</w:t>
            </w:r>
          </w:p>
        </w:tc>
      </w:tr>
      <w:tr w:rsidR="007B6212" w:rsidRPr="008A42D5" w14:paraId="4647E390" w14:textId="77777777" w:rsidTr="007B6212">
        <w:trPr>
          <w:trHeight w:val="1068"/>
        </w:trPr>
        <w:tc>
          <w:tcPr>
            <w:tcW w:w="939" w:type="dxa"/>
            <w:vMerge/>
            <w:shd w:val="clear" w:color="auto" w:fill="FFC000"/>
            <w:vAlign w:val="center"/>
          </w:tcPr>
          <w:p w14:paraId="577872FA" w14:textId="77777777" w:rsidR="007B6212" w:rsidRPr="00552390" w:rsidRDefault="007B6212" w:rsidP="00C337C1">
            <w:pPr>
              <w:jc w:val="center"/>
              <w:rPr>
                <w:rFonts w:ascii="Calibri" w:eastAsia="Calibri" w:hAnsi="Calibri" w:cs="Times New Roman"/>
                <w:sz w:val="14"/>
                <w:szCs w:val="15"/>
              </w:rPr>
            </w:pPr>
          </w:p>
        </w:tc>
        <w:tc>
          <w:tcPr>
            <w:tcW w:w="875" w:type="dxa"/>
            <w:vMerge/>
            <w:shd w:val="clear" w:color="auto" w:fill="FFFFFF"/>
            <w:vAlign w:val="center"/>
          </w:tcPr>
          <w:p w14:paraId="42DFC4A0" w14:textId="77777777" w:rsidR="007B6212" w:rsidRPr="00552390" w:rsidRDefault="007B6212" w:rsidP="00C337C1">
            <w:pPr>
              <w:pStyle w:val="NoSpacing"/>
              <w:spacing w:after="120" w:line="259" w:lineRule="auto"/>
              <w:jc w:val="center"/>
              <w:rPr>
                <w:color w:val="000000" w:themeColor="text1"/>
                <w:sz w:val="15"/>
                <w:szCs w:val="15"/>
              </w:rPr>
            </w:pPr>
          </w:p>
        </w:tc>
        <w:tc>
          <w:tcPr>
            <w:tcW w:w="896" w:type="dxa"/>
            <w:vMerge/>
            <w:shd w:val="clear" w:color="auto" w:fill="FFC000"/>
            <w:vAlign w:val="center"/>
          </w:tcPr>
          <w:p w14:paraId="1D8705DE" w14:textId="77777777" w:rsidR="007B6212" w:rsidRPr="00552390" w:rsidRDefault="007B6212" w:rsidP="00C337C1">
            <w:pPr>
              <w:pStyle w:val="NoSpacing"/>
              <w:spacing w:after="120" w:line="259" w:lineRule="auto"/>
              <w:jc w:val="center"/>
              <w:rPr>
                <w:color w:val="000000" w:themeColor="text1"/>
                <w:sz w:val="15"/>
                <w:szCs w:val="15"/>
              </w:rPr>
            </w:pPr>
          </w:p>
        </w:tc>
        <w:tc>
          <w:tcPr>
            <w:tcW w:w="965" w:type="dxa"/>
            <w:vMerge/>
            <w:shd w:val="clear" w:color="auto" w:fill="FFFFFF"/>
            <w:vAlign w:val="center"/>
          </w:tcPr>
          <w:p w14:paraId="5FF8E406" w14:textId="77777777" w:rsidR="007B6212" w:rsidRPr="00552390" w:rsidRDefault="007B6212" w:rsidP="00C337C1">
            <w:pPr>
              <w:pStyle w:val="NoSpacing"/>
              <w:spacing w:after="120" w:line="259" w:lineRule="auto"/>
              <w:jc w:val="center"/>
              <w:rPr>
                <w:color w:val="000000" w:themeColor="text1"/>
                <w:sz w:val="15"/>
                <w:szCs w:val="15"/>
              </w:rPr>
            </w:pPr>
          </w:p>
        </w:tc>
        <w:tc>
          <w:tcPr>
            <w:tcW w:w="898" w:type="dxa"/>
            <w:vMerge/>
            <w:shd w:val="clear" w:color="auto" w:fill="92D050"/>
            <w:vAlign w:val="center"/>
          </w:tcPr>
          <w:p w14:paraId="6A5093DE" w14:textId="77777777" w:rsidR="007B6212" w:rsidRPr="00552390" w:rsidRDefault="007B6212" w:rsidP="00C337C1">
            <w:pPr>
              <w:pStyle w:val="NoSpacing"/>
              <w:spacing w:after="120" w:line="259" w:lineRule="auto"/>
              <w:jc w:val="center"/>
              <w:rPr>
                <w:color w:val="000000" w:themeColor="text1"/>
                <w:sz w:val="15"/>
                <w:szCs w:val="15"/>
              </w:rPr>
            </w:pPr>
          </w:p>
        </w:tc>
        <w:tc>
          <w:tcPr>
            <w:tcW w:w="1040" w:type="dxa"/>
            <w:vMerge/>
            <w:shd w:val="clear" w:color="auto" w:fill="FFFFFF"/>
            <w:vAlign w:val="center"/>
          </w:tcPr>
          <w:p w14:paraId="304595C0" w14:textId="77777777" w:rsidR="007B6212" w:rsidRPr="00552390" w:rsidRDefault="007B6212" w:rsidP="00C337C1">
            <w:pPr>
              <w:pStyle w:val="NoSpacing"/>
              <w:spacing w:after="120" w:line="259" w:lineRule="auto"/>
              <w:jc w:val="center"/>
              <w:rPr>
                <w:color w:val="000000" w:themeColor="text1"/>
                <w:sz w:val="15"/>
                <w:szCs w:val="15"/>
              </w:rPr>
            </w:pPr>
          </w:p>
        </w:tc>
        <w:tc>
          <w:tcPr>
            <w:tcW w:w="663" w:type="dxa"/>
            <w:tcBorders>
              <w:top w:val="single" w:sz="4" w:space="0" w:color="auto"/>
            </w:tcBorders>
            <w:shd w:val="clear" w:color="auto" w:fill="FFC000"/>
          </w:tcPr>
          <w:p w14:paraId="29B1EEDC" w14:textId="77777777" w:rsidR="007B6212" w:rsidRDefault="007B6212" w:rsidP="0075534B">
            <w:pPr>
              <w:pStyle w:val="NoSpacing"/>
              <w:spacing w:after="120" w:line="259" w:lineRule="auto"/>
              <w:jc w:val="center"/>
              <w:rPr>
                <w:color w:val="000000" w:themeColor="text1"/>
                <w:sz w:val="15"/>
                <w:szCs w:val="15"/>
              </w:rPr>
            </w:pPr>
          </w:p>
          <w:p w14:paraId="788EA204" w14:textId="2A253914" w:rsidR="007B6212" w:rsidRPr="00552390" w:rsidRDefault="007B6212" w:rsidP="0075534B">
            <w:pPr>
              <w:pStyle w:val="NoSpacing"/>
              <w:spacing w:after="120" w:line="259" w:lineRule="auto"/>
              <w:jc w:val="center"/>
              <w:rPr>
                <w:color w:val="000000" w:themeColor="text1"/>
                <w:sz w:val="15"/>
                <w:szCs w:val="15"/>
              </w:rPr>
            </w:pPr>
            <w:r w:rsidRPr="007B6212">
              <w:rPr>
                <w:color w:val="000000" w:themeColor="text1"/>
                <w:sz w:val="15"/>
                <w:szCs w:val="15"/>
                <w:shd w:val="clear" w:color="auto" w:fill="FFC000"/>
              </w:rPr>
              <w:t>A</w:t>
            </w:r>
          </w:p>
        </w:tc>
        <w:tc>
          <w:tcPr>
            <w:tcW w:w="850" w:type="dxa"/>
            <w:vMerge/>
            <w:shd w:val="clear" w:color="auto" w:fill="FFFFFF" w:themeFill="background1"/>
          </w:tcPr>
          <w:p w14:paraId="12EA674C" w14:textId="77777777" w:rsidR="007B6212" w:rsidRPr="00552390" w:rsidRDefault="007B6212" w:rsidP="0075534B">
            <w:pPr>
              <w:pStyle w:val="NoSpacing"/>
              <w:spacing w:after="120" w:line="259" w:lineRule="auto"/>
              <w:jc w:val="center"/>
              <w:rPr>
                <w:color w:val="000000" w:themeColor="text1"/>
                <w:sz w:val="15"/>
                <w:szCs w:val="15"/>
              </w:rPr>
            </w:pPr>
          </w:p>
        </w:tc>
        <w:tc>
          <w:tcPr>
            <w:tcW w:w="1134" w:type="dxa"/>
            <w:vMerge/>
            <w:shd w:val="clear" w:color="auto" w:fill="FFC000"/>
            <w:vAlign w:val="center"/>
          </w:tcPr>
          <w:p w14:paraId="45897B31" w14:textId="77777777" w:rsidR="007B6212" w:rsidRDefault="007B6212" w:rsidP="00C337C1">
            <w:pPr>
              <w:pStyle w:val="NoSpacing"/>
              <w:spacing w:after="120" w:line="259" w:lineRule="auto"/>
              <w:jc w:val="center"/>
              <w:rPr>
                <w:color w:val="000000" w:themeColor="text1"/>
                <w:sz w:val="15"/>
                <w:szCs w:val="15"/>
              </w:rPr>
            </w:pPr>
          </w:p>
        </w:tc>
      </w:tr>
    </w:tbl>
    <w:p w14:paraId="61DBB89A" w14:textId="6CF686A6" w:rsidR="00766930" w:rsidRDefault="00766930" w:rsidP="008F0D43">
      <w:pPr>
        <w:spacing w:after="160" w:line="259" w:lineRule="auto"/>
        <w:rPr>
          <w:rFonts w:ascii="Arial" w:hAnsi="Arial" w:cs="Arial"/>
          <w:sz w:val="24"/>
          <w:szCs w:val="24"/>
        </w:rPr>
      </w:pPr>
    </w:p>
    <w:p w14:paraId="711BDB5B" w14:textId="56D91FBF" w:rsidR="00766930" w:rsidRDefault="007E41B5" w:rsidP="008F0D43">
      <w:pPr>
        <w:spacing w:after="160" w:line="259" w:lineRule="auto"/>
        <w:rPr>
          <w:rFonts w:ascii="Arial" w:hAnsi="Arial" w:cs="Arial"/>
          <w:sz w:val="24"/>
          <w:szCs w:val="24"/>
        </w:rPr>
      </w:pPr>
      <w:r>
        <w:rPr>
          <w:rFonts w:ascii="Arial" w:hAnsi="Arial" w:cs="Arial"/>
          <w:sz w:val="16"/>
          <w:szCs w:val="16"/>
        </w:rPr>
        <w:t xml:space="preserve">Note </w:t>
      </w:r>
      <w:r w:rsidRPr="005D4359">
        <w:rPr>
          <w:rFonts w:ascii="Arial" w:hAnsi="Arial" w:cs="Arial"/>
          <w:sz w:val="16"/>
          <w:szCs w:val="16"/>
        </w:rPr>
        <w:t>RAG assessment from SCCB pack except overall RAG</w:t>
      </w:r>
      <w:r>
        <w:rPr>
          <w:rFonts w:ascii="Arial" w:hAnsi="Arial" w:cs="Arial"/>
          <w:sz w:val="16"/>
          <w:szCs w:val="16"/>
        </w:rPr>
        <w:t xml:space="preserve"> which was determined for this report.</w:t>
      </w:r>
    </w:p>
    <w:p w14:paraId="6888C56D" w14:textId="77777777" w:rsidR="007B6212" w:rsidRDefault="007B6212" w:rsidP="00EE1E3A">
      <w:pPr>
        <w:spacing w:after="160" w:line="259" w:lineRule="auto"/>
        <w:rPr>
          <w:rFonts w:ascii="Arial" w:hAnsi="Arial" w:cs="Arial"/>
          <w:sz w:val="24"/>
          <w:szCs w:val="24"/>
        </w:rPr>
      </w:pPr>
    </w:p>
    <w:p w14:paraId="176D591B" w14:textId="77777777" w:rsidR="004F2AE6" w:rsidRDefault="004F2AE6" w:rsidP="004F2AE6">
      <w:pPr>
        <w:rPr>
          <w:rFonts w:ascii="Arial" w:hAnsi="Arial" w:cs="Arial"/>
          <w:sz w:val="24"/>
          <w:szCs w:val="24"/>
        </w:rPr>
      </w:pPr>
      <w:bookmarkStart w:id="1" w:name="_Hlk26515953"/>
    </w:p>
    <w:p w14:paraId="4B44C674" w14:textId="6FE3920D" w:rsidR="004F2AE6" w:rsidRPr="004F2AE6" w:rsidRDefault="004F2AE6" w:rsidP="004F2AE6">
      <w:pPr>
        <w:rPr>
          <w:rFonts w:ascii="Arial" w:hAnsi="Arial" w:cs="Arial"/>
          <w:sz w:val="24"/>
          <w:szCs w:val="24"/>
        </w:rPr>
      </w:pPr>
      <w:r w:rsidRPr="004F2AE6">
        <w:rPr>
          <w:rFonts w:ascii="Arial" w:hAnsi="Arial" w:cs="Arial"/>
          <w:sz w:val="24"/>
          <w:szCs w:val="24"/>
        </w:rPr>
        <w:t>Joint working between Essex and Kent Firearms Shotguns and Explosives Licensing (FSEL) has been discussed as a Hexagon efficiency workstream for some time</w:t>
      </w:r>
      <w:r>
        <w:rPr>
          <w:rFonts w:ascii="Arial" w:hAnsi="Arial" w:cs="Arial"/>
          <w:sz w:val="24"/>
          <w:szCs w:val="24"/>
        </w:rPr>
        <w:t>,</w:t>
      </w:r>
      <w:r w:rsidRPr="004F2AE6">
        <w:rPr>
          <w:rFonts w:ascii="Arial" w:hAnsi="Arial" w:cs="Arial"/>
          <w:sz w:val="24"/>
          <w:szCs w:val="24"/>
        </w:rPr>
        <w:t xml:space="preserve"> it was identified at an early stage that a joint IT platform is critical to that work. Kent and Essex Police FSEL team managers and Chief Inspectors met 8th October 2019 to refine an operating model that would lean towards greater convergence in the future. An agreed model was put before Essex COG on 23rd October 2019 for views prior to moving towards consultation and staff workshops. The model has also been considered at Kent Police COSM. The model confirmed that a single IT system was critical to allowing joint working. Essex Police FSEL use an IT system called Cyclops. </w:t>
      </w:r>
    </w:p>
    <w:p w14:paraId="287E30BA" w14:textId="4724D6BC" w:rsidR="004F2AE6" w:rsidRPr="004F2AE6" w:rsidRDefault="004F2AE6" w:rsidP="004F2AE6">
      <w:pPr>
        <w:rPr>
          <w:rFonts w:ascii="Arial" w:hAnsi="Arial" w:cs="Arial"/>
          <w:sz w:val="24"/>
          <w:szCs w:val="24"/>
        </w:rPr>
      </w:pPr>
      <w:r w:rsidRPr="004F2AE6">
        <w:rPr>
          <w:rFonts w:ascii="Arial" w:hAnsi="Arial" w:cs="Arial"/>
          <w:sz w:val="24"/>
          <w:szCs w:val="24"/>
        </w:rPr>
        <w:t>Both Chief Officer teams have agreed that until Kent FSEL have a date for Cyclops installation there remains a critical barrier to convergence, therefore to pause staffing convergence until the delivery of Cyclops in Kent is achieved. This is being considered by Kent COSM and IT services have indicated Kent Cyclops</w:t>
      </w:r>
      <w:r>
        <w:rPr>
          <w:rFonts w:ascii="Arial" w:hAnsi="Arial" w:cs="Arial"/>
          <w:sz w:val="24"/>
          <w:szCs w:val="24"/>
        </w:rPr>
        <w:t xml:space="preserve"> delivery</w:t>
      </w:r>
      <w:r w:rsidRPr="004F2AE6">
        <w:rPr>
          <w:rFonts w:ascii="Arial" w:hAnsi="Arial" w:cs="Arial"/>
          <w:sz w:val="24"/>
          <w:szCs w:val="24"/>
        </w:rPr>
        <w:t xml:space="preserve"> is likely to be in the 2020/21 Kent IT programme</w:t>
      </w:r>
      <w:r>
        <w:rPr>
          <w:rFonts w:ascii="Arial" w:hAnsi="Arial" w:cs="Arial"/>
          <w:sz w:val="24"/>
          <w:szCs w:val="24"/>
        </w:rPr>
        <w:t xml:space="preserve"> of work</w:t>
      </w:r>
      <w:r w:rsidRPr="004F2AE6">
        <w:rPr>
          <w:rFonts w:ascii="Arial" w:hAnsi="Arial" w:cs="Arial"/>
          <w:sz w:val="24"/>
          <w:szCs w:val="24"/>
        </w:rPr>
        <w:t>.</w:t>
      </w:r>
    </w:p>
    <w:p w14:paraId="0C200838" w14:textId="77777777" w:rsidR="004F2AE6" w:rsidRPr="004F2AE6" w:rsidRDefault="004F2AE6" w:rsidP="004F2AE6">
      <w:pPr>
        <w:rPr>
          <w:rFonts w:ascii="Arial" w:hAnsi="Arial" w:cs="Arial"/>
          <w:sz w:val="24"/>
          <w:szCs w:val="24"/>
        </w:rPr>
      </w:pPr>
      <w:r w:rsidRPr="004F2AE6">
        <w:rPr>
          <w:rFonts w:ascii="Arial" w:hAnsi="Arial" w:cs="Arial"/>
          <w:sz w:val="24"/>
          <w:szCs w:val="24"/>
        </w:rPr>
        <w:t xml:space="preserve">The £250k Op Hexagon savings included within the approved 2019/20 Savings &amp; Efficiency Plan were reviewed at 4th September 2019 Efficiency &amp; Savings Board. It was agreed following the update to JCOG on the FSEL Op Hexagon Business Case (and the projected </w:t>
      </w:r>
      <w:r w:rsidRPr="004F2AE6">
        <w:rPr>
          <w:rFonts w:ascii="Arial" w:hAnsi="Arial" w:cs="Arial"/>
          <w:sz w:val="24"/>
          <w:szCs w:val="24"/>
        </w:rPr>
        <w:lastRenderedPageBreak/>
        <w:t>delay to convergence whilst the Kent Police move to Cyclops) that the £250k 2019 /20 savings forecast be reduced to nil, with the anticipated savings from this business case being re-considered for 2020/21.</w:t>
      </w:r>
    </w:p>
    <w:p w14:paraId="43E80C1C" w14:textId="2530E967" w:rsidR="004F2AE6" w:rsidRPr="004F2AE6" w:rsidRDefault="004F2AE6" w:rsidP="004F2AE6">
      <w:pPr>
        <w:rPr>
          <w:rFonts w:ascii="Arial" w:hAnsi="Arial" w:cs="Arial"/>
          <w:sz w:val="24"/>
          <w:szCs w:val="24"/>
        </w:rPr>
      </w:pPr>
      <w:r w:rsidRPr="004F2AE6">
        <w:rPr>
          <w:rFonts w:ascii="Arial" w:hAnsi="Arial" w:cs="Arial"/>
          <w:sz w:val="24"/>
          <w:szCs w:val="24"/>
        </w:rPr>
        <w:t xml:space="preserve">Other FSEL convergence work on administrative processes continues. A paper went to Essex COG on 23rd October, with Risk Based renewals, medical screening and delegated authorities all being agreed. Delegate authorities and medical screening align Essex with Kent. Kent are looking at Risk Based renewals to consider taking this forward. Medical screening for new grants went live 1st November 2019, for renewals it will go live 1st February 2020 (due to 12 </w:t>
      </w:r>
      <w:r w:rsidR="00C35BC9" w:rsidRPr="004F2AE6">
        <w:rPr>
          <w:rFonts w:ascii="Arial" w:hAnsi="Arial" w:cs="Arial"/>
          <w:sz w:val="24"/>
          <w:szCs w:val="24"/>
        </w:rPr>
        <w:t>weeks</w:t>
      </w:r>
      <w:r w:rsidRPr="004F2AE6">
        <w:rPr>
          <w:rFonts w:ascii="Arial" w:hAnsi="Arial" w:cs="Arial"/>
          <w:sz w:val="24"/>
          <w:szCs w:val="24"/>
        </w:rPr>
        <w:t xml:space="preserve"> notice period requirements for renewals). Risk based renewals will start 1st February 2020 to coincide with medical screening, which is part of the decision-making process used.</w:t>
      </w:r>
    </w:p>
    <w:p w14:paraId="17A99F36" w14:textId="262CAD8B" w:rsidR="008F0D43" w:rsidRPr="00552390" w:rsidRDefault="00FC4786" w:rsidP="008F0D43">
      <w:pPr>
        <w:rPr>
          <w:rFonts w:ascii="Arial" w:hAnsi="Arial" w:cs="Arial"/>
          <w:b/>
          <w:sz w:val="24"/>
          <w:szCs w:val="24"/>
          <w:u w:val="single"/>
        </w:rPr>
      </w:pPr>
      <w:r>
        <w:rPr>
          <w:rFonts w:ascii="Arial" w:hAnsi="Arial" w:cs="Arial"/>
          <w:b/>
          <w:sz w:val="24"/>
          <w:szCs w:val="24"/>
          <w:u w:val="single"/>
        </w:rPr>
        <w:br/>
      </w:r>
      <w:bookmarkEnd w:id="1"/>
      <w:r w:rsidR="0086050C">
        <w:rPr>
          <w:rFonts w:ascii="Arial" w:hAnsi="Arial" w:cs="Arial"/>
          <w:b/>
          <w:sz w:val="24"/>
          <w:szCs w:val="24"/>
          <w:u w:val="single"/>
        </w:rPr>
        <w:br/>
      </w:r>
      <w:r w:rsidR="008F0D43" w:rsidRPr="00552390">
        <w:rPr>
          <w:rFonts w:ascii="Arial" w:hAnsi="Arial" w:cs="Arial"/>
          <w:b/>
          <w:sz w:val="24"/>
          <w:szCs w:val="24"/>
          <w:u w:val="single"/>
        </w:rPr>
        <w:t>7 Force Strategic Collaboration Programme:</w:t>
      </w:r>
      <w:r w:rsidR="00265F1A" w:rsidRPr="00552390">
        <w:rPr>
          <w:rFonts w:ascii="Arial" w:hAnsi="Arial" w:cs="Arial"/>
          <w:b/>
          <w:sz w:val="24"/>
          <w:szCs w:val="24"/>
          <w:u w:val="single"/>
        </w:rPr>
        <w:t xml:space="preserve"> </w:t>
      </w:r>
    </w:p>
    <w:p w14:paraId="3BC13E47" w14:textId="0978CD88" w:rsidR="00C501CD" w:rsidRPr="008B438F" w:rsidRDefault="008F0D43" w:rsidP="008B438F">
      <w:pPr>
        <w:numPr>
          <w:ilvl w:val="0"/>
          <w:numId w:val="7"/>
        </w:numPr>
        <w:autoSpaceDE w:val="0"/>
        <w:autoSpaceDN w:val="0"/>
        <w:adjustRightInd w:val="0"/>
        <w:spacing w:after="0" w:line="240" w:lineRule="auto"/>
        <w:textAlignment w:val="center"/>
        <w:rPr>
          <w:rFonts w:ascii="Arial" w:hAnsi="Arial" w:cs="Arial"/>
        </w:rPr>
      </w:pPr>
      <w:r w:rsidRPr="008B438F">
        <w:rPr>
          <w:rFonts w:ascii="Arial" w:hAnsi="Arial" w:cs="Arial"/>
          <w:b/>
          <w:sz w:val="24"/>
          <w:szCs w:val="24"/>
        </w:rPr>
        <w:t>PEQF</w:t>
      </w:r>
      <w:r w:rsidR="00A76944" w:rsidRPr="008B438F">
        <w:rPr>
          <w:rFonts w:ascii="Arial" w:hAnsi="Arial" w:cs="Arial"/>
          <w:b/>
          <w:sz w:val="24"/>
          <w:szCs w:val="24"/>
        </w:rPr>
        <w:t xml:space="preserve"> </w:t>
      </w:r>
      <w:r w:rsidR="00265F1A" w:rsidRPr="008B438F">
        <w:rPr>
          <w:rFonts w:ascii="Arial" w:hAnsi="Arial" w:cs="Arial"/>
          <w:b/>
          <w:sz w:val="24"/>
          <w:szCs w:val="24"/>
        </w:rPr>
        <w:t xml:space="preserve">(Overall RAG </w:t>
      </w:r>
      <w:r w:rsidR="009A68F1" w:rsidRPr="008B438F">
        <w:rPr>
          <w:rFonts w:ascii="Arial" w:hAnsi="Arial" w:cs="Arial"/>
          <w:b/>
          <w:sz w:val="24"/>
          <w:szCs w:val="24"/>
        </w:rPr>
        <w:t>Amber</w:t>
      </w:r>
      <w:r w:rsidR="00265F1A" w:rsidRPr="008B438F">
        <w:rPr>
          <w:rFonts w:ascii="Arial" w:hAnsi="Arial" w:cs="Arial"/>
          <w:b/>
          <w:sz w:val="24"/>
          <w:szCs w:val="24"/>
        </w:rPr>
        <w:t xml:space="preserve">) </w:t>
      </w:r>
      <w:r w:rsidR="00A76944" w:rsidRPr="008B438F">
        <w:rPr>
          <w:rFonts w:ascii="Arial" w:hAnsi="Arial" w:cs="Arial"/>
          <w:b/>
          <w:sz w:val="24"/>
          <w:szCs w:val="24"/>
        </w:rPr>
        <w:t>–</w:t>
      </w:r>
      <w:r w:rsidR="00265F1A" w:rsidRPr="008B438F">
        <w:rPr>
          <w:rFonts w:ascii="Arial" w:hAnsi="Arial" w:cs="Arial"/>
          <w:b/>
          <w:sz w:val="24"/>
          <w:szCs w:val="24"/>
        </w:rPr>
        <w:t xml:space="preserve"> </w:t>
      </w:r>
      <w:r w:rsidR="00A76944" w:rsidRPr="008B438F">
        <w:rPr>
          <w:rFonts w:ascii="Arial" w:hAnsi="Arial" w:cs="Arial"/>
          <w:sz w:val="24"/>
          <w:szCs w:val="24"/>
        </w:rPr>
        <w:t xml:space="preserve">The Policing Education Qualifications Framework (PEQF) remains a significant focus for all forces. The 7F Programme are leading on the procurement aspect of PEQF; defining and procuring the services of the Higher Education Institution's to deliver police apprenticeships. </w:t>
      </w:r>
      <w:r w:rsidR="00B66C9F" w:rsidRPr="008B438F">
        <w:rPr>
          <w:rFonts w:ascii="Arial" w:hAnsi="Arial" w:cs="Arial"/>
          <w:sz w:val="24"/>
          <w:szCs w:val="24"/>
        </w:rPr>
        <w:t>The t</w:t>
      </w:r>
      <w:r w:rsidR="00A76944" w:rsidRPr="008B438F">
        <w:rPr>
          <w:rFonts w:ascii="Arial" w:hAnsi="Arial" w:cs="Arial"/>
          <w:sz w:val="24"/>
          <w:szCs w:val="24"/>
        </w:rPr>
        <w:t xml:space="preserve">ender </w:t>
      </w:r>
      <w:r w:rsidR="00B66C9F" w:rsidRPr="008B438F">
        <w:rPr>
          <w:rFonts w:ascii="Arial" w:hAnsi="Arial" w:cs="Arial"/>
          <w:sz w:val="24"/>
          <w:szCs w:val="24"/>
        </w:rPr>
        <w:t xml:space="preserve">process </w:t>
      </w:r>
      <w:r w:rsidR="00A76944" w:rsidRPr="008B438F">
        <w:rPr>
          <w:rFonts w:ascii="Arial" w:hAnsi="Arial" w:cs="Arial"/>
          <w:sz w:val="24"/>
          <w:szCs w:val="24"/>
        </w:rPr>
        <w:t>was launched on 4th February 2019</w:t>
      </w:r>
      <w:r w:rsidR="00FA03D6" w:rsidRPr="008B438F">
        <w:rPr>
          <w:rFonts w:ascii="Arial" w:hAnsi="Arial" w:cs="Arial"/>
          <w:sz w:val="24"/>
          <w:szCs w:val="24"/>
        </w:rPr>
        <w:t xml:space="preserve"> and the stage one tender process for PEQF </w:t>
      </w:r>
      <w:r w:rsidR="009A68F1" w:rsidRPr="008B438F">
        <w:rPr>
          <w:rFonts w:ascii="Arial" w:hAnsi="Arial" w:cs="Arial"/>
          <w:sz w:val="24"/>
          <w:szCs w:val="24"/>
        </w:rPr>
        <w:t>was</w:t>
      </w:r>
      <w:r w:rsidR="00FA03D6" w:rsidRPr="008B438F">
        <w:rPr>
          <w:rFonts w:ascii="Arial" w:hAnsi="Arial" w:cs="Arial"/>
          <w:sz w:val="24"/>
          <w:szCs w:val="24"/>
        </w:rPr>
        <w:t xml:space="preserve"> concluded</w:t>
      </w:r>
      <w:r w:rsidR="009A68F1" w:rsidRPr="008B438F">
        <w:rPr>
          <w:rFonts w:ascii="Arial" w:hAnsi="Arial" w:cs="Arial"/>
          <w:sz w:val="24"/>
          <w:szCs w:val="24"/>
        </w:rPr>
        <w:t>.</w:t>
      </w:r>
      <w:r w:rsidR="00BC5706" w:rsidRPr="008B438F">
        <w:rPr>
          <w:rFonts w:ascii="Arial" w:hAnsi="Arial" w:cs="Arial"/>
          <w:sz w:val="24"/>
          <w:szCs w:val="24"/>
        </w:rPr>
        <w:t xml:space="preserve"> </w:t>
      </w:r>
      <w:r w:rsidR="0099132F" w:rsidRPr="008B438F">
        <w:rPr>
          <w:rFonts w:ascii="Arial" w:hAnsi="Arial" w:cs="Arial"/>
          <w:sz w:val="24"/>
          <w:szCs w:val="24"/>
        </w:rPr>
        <w:t xml:space="preserve"> All of the Strategic Due Diligence meetings with 7 Chief Constables and PCC/PFCC have now been completed and reassurance has been provided. The draft Stage 1 Version 1 report was completed for the PEQF SROs to consider whilst extended due diligence is completed to ensure the business can develop a revised implementation/ milestone plan which will protect and safeguard forces. The anticipated final award of contract is now expected in April 2020. Next steps are for completion of the implementation and milestone plan and reviews with the HEI. The business will also identify local governance boards for sign off dates to close due diligence. Drafting of the Stage 2 final report will commence with an updated implementation and milestone plan.</w:t>
      </w:r>
    </w:p>
    <w:p w14:paraId="2D3CF9C7" w14:textId="77777777" w:rsidR="008F7C4F" w:rsidRPr="008B438F" w:rsidRDefault="008F7C4F">
      <w:pPr>
        <w:pStyle w:val="Default"/>
        <w:ind w:left="426"/>
        <w:rPr>
          <w:rFonts w:ascii="Arial" w:hAnsi="Arial" w:cs="Arial"/>
        </w:rPr>
      </w:pPr>
    </w:p>
    <w:p w14:paraId="5A8D1C00" w14:textId="3B64C9FE" w:rsidR="0039610A" w:rsidRDefault="00A76944" w:rsidP="00923BAA">
      <w:pPr>
        <w:numPr>
          <w:ilvl w:val="0"/>
          <w:numId w:val="7"/>
        </w:numPr>
        <w:autoSpaceDE w:val="0"/>
        <w:autoSpaceDN w:val="0"/>
        <w:adjustRightInd w:val="0"/>
        <w:spacing w:after="0" w:line="240" w:lineRule="auto"/>
        <w:textAlignment w:val="center"/>
        <w:rPr>
          <w:rFonts w:ascii="Arial" w:hAnsi="Arial" w:cs="Arial"/>
          <w:sz w:val="24"/>
          <w:szCs w:val="24"/>
        </w:rPr>
      </w:pPr>
      <w:r w:rsidRPr="00A07F34">
        <w:rPr>
          <w:rFonts w:ascii="Arial" w:hAnsi="Arial" w:cs="Arial"/>
          <w:b/>
          <w:sz w:val="24"/>
          <w:szCs w:val="24"/>
        </w:rPr>
        <w:t>Procurement</w:t>
      </w:r>
      <w:r w:rsidRPr="00A07F34">
        <w:rPr>
          <w:rFonts w:ascii="Arial" w:hAnsi="Arial" w:cs="Arial"/>
          <w:sz w:val="24"/>
          <w:szCs w:val="24"/>
        </w:rPr>
        <w:t xml:space="preserve"> </w:t>
      </w:r>
      <w:r w:rsidR="00265F1A" w:rsidRPr="00A07F34">
        <w:rPr>
          <w:rFonts w:ascii="Arial" w:hAnsi="Arial" w:cs="Arial"/>
          <w:b/>
          <w:sz w:val="24"/>
          <w:szCs w:val="24"/>
        </w:rPr>
        <w:t xml:space="preserve">(Overall RAG Green) </w:t>
      </w:r>
      <w:r w:rsidRPr="00A07F34">
        <w:rPr>
          <w:rFonts w:ascii="Arial" w:hAnsi="Arial" w:cs="Arial"/>
          <w:sz w:val="24"/>
          <w:szCs w:val="24"/>
        </w:rPr>
        <w:t>-</w:t>
      </w:r>
      <w:r w:rsidR="00D876CF" w:rsidRPr="00A07F34">
        <w:rPr>
          <w:rFonts w:ascii="Arial" w:hAnsi="Arial" w:cs="Arial"/>
          <w:sz w:val="24"/>
          <w:szCs w:val="24"/>
        </w:rPr>
        <w:t xml:space="preserve"> </w:t>
      </w:r>
      <w:r w:rsidR="00E852E8">
        <w:rPr>
          <w:rFonts w:ascii="Arial" w:hAnsi="Arial" w:cs="Arial"/>
          <w:sz w:val="24"/>
          <w:szCs w:val="24"/>
        </w:rPr>
        <w:t>The 7F Head of Strategic Procurement is now in post. This</w:t>
      </w:r>
      <w:r w:rsidR="00993B19">
        <w:rPr>
          <w:rFonts w:ascii="Arial" w:hAnsi="Arial" w:cs="Arial"/>
          <w:sz w:val="24"/>
          <w:szCs w:val="24"/>
        </w:rPr>
        <w:t xml:space="preserve"> appointment comes at a key time with 7F P</w:t>
      </w:r>
      <w:r w:rsidR="00553A2D">
        <w:rPr>
          <w:rFonts w:ascii="Arial" w:hAnsi="Arial" w:cs="Arial"/>
          <w:sz w:val="24"/>
          <w:szCs w:val="24"/>
        </w:rPr>
        <w:t xml:space="preserve">rogramme working towards the implementation of the 7F Single Procurement Function. An appointment has been made to the vacant post of 7F Head of Category Management, with a start date </w:t>
      </w:r>
      <w:r w:rsidR="00923BAA">
        <w:rPr>
          <w:rFonts w:ascii="Arial" w:hAnsi="Arial" w:cs="Arial"/>
          <w:sz w:val="24"/>
          <w:szCs w:val="24"/>
        </w:rPr>
        <w:t>of 4</w:t>
      </w:r>
      <w:r w:rsidR="00923BAA" w:rsidRPr="00923BAA">
        <w:rPr>
          <w:rFonts w:ascii="Arial" w:hAnsi="Arial" w:cs="Arial"/>
          <w:sz w:val="24"/>
          <w:szCs w:val="24"/>
          <w:vertAlign w:val="superscript"/>
        </w:rPr>
        <w:t>th</w:t>
      </w:r>
      <w:r w:rsidR="00923BAA">
        <w:rPr>
          <w:rFonts w:ascii="Arial" w:hAnsi="Arial" w:cs="Arial"/>
          <w:sz w:val="24"/>
          <w:szCs w:val="24"/>
        </w:rPr>
        <w:t xml:space="preserve"> November.</w:t>
      </w:r>
      <w:r w:rsidR="00553A2D">
        <w:rPr>
          <w:rFonts w:ascii="Arial" w:hAnsi="Arial" w:cs="Arial"/>
          <w:sz w:val="24"/>
          <w:szCs w:val="24"/>
        </w:rPr>
        <w:t xml:space="preserve"> The 7F Procurement Project Team has been mobilised and have started information gathering exercises. The Project Team will look to produce the 7F procurement processes, templates and workflows to enable the 7F operation model to be developed. In the coming months, the vacant posts will be advertised following completion of the appeals process. Joint HR and Finance workshops will also be held to develop the processes and principles for how HR and Finance are going to support Business as Usual for the single 7F procurement function. </w:t>
      </w:r>
      <w:r w:rsidR="00923BAA">
        <w:rPr>
          <w:rFonts w:ascii="Arial" w:hAnsi="Arial" w:cs="Arial"/>
          <w:sz w:val="24"/>
          <w:szCs w:val="24"/>
        </w:rPr>
        <w:t>The go-live of the Category Management function was originally scheduled for 31</w:t>
      </w:r>
      <w:r w:rsidR="00923BAA" w:rsidRPr="00923BAA">
        <w:rPr>
          <w:rFonts w:ascii="Arial" w:hAnsi="Arial" w:cs="Arial"/>
          <w:sz w:val="24"/>
          <w:szCs w:val="24"/>
        </w:rPr>
        <w:t>st</w:t>
      </w:r>
      <w:r w:rsidR="00923BAA">
        <w:rPr>
          <w:rFonts w:ascii="Arial" w:hAnsi="Arial" w:cs="Arial"/>
          <w:sz w:val="24"/>
          <w:szCs w:val="24"/>
        </w:rPr>
        <w:t xml:space="preserve"> March 2020, however it has now been agreed to bring this forward to 6</w:t>
      </w:r>
      <w:r w:rsidR="00923BAA" w:rsidRPr="00923BAA">
        <w:rPr>
          <w:rFonts w:ascii="Arial" w:hAnsi="Arial" w:cs="Arial"/>
          <w:sz w:val="24"/>
          <w:szCs w:val="24"/>
          <w:vertAlign w:val="superscript"/>
        </w:rPr>
        <w:t>th</w:t>
      </w:r>
      <w:r w:rsidR="00923BAA">
        <w:rPr>
          <w:rFonts w:ascii="Arial" w:hAnsi="Arial" w:cs="Arial"/>
          <w:sz w:val="24"/>
          <w:szCs w:val="24"/>
        </w:rPr>
        <w:t xml:space="preserve"> January 2020.</w:t>
      </w:r>
      <w:r w:rsidR="006F6822" w:rsidRPr="006F6822">
        <w:t xml:space="preserve"> </w:t>
      </w:r>
      <w:r w:rsidR="006F6822" w:rsidRPr="006F6822">
        <w:rPr>
          <w:rFonts w:ascii="Arial" w:hAnsi="Arial" w:cs="Arial"/>
          <w:sz w:val="24"/>
          <w:szCs w:val="24"/>
        </w:rPr>
        <w:t>Category Management is a strategic approach, which organises spend and resources by specific areas or ‘</w:t>
      </w:r>
      <w:r w:rsidR="006F6822">
        <w:rPr>
          <w:rFonts w:ascii="Arial" w:hAnsi="Arial" w:cs="Arial"/>
          <w:sz w:val="24"/>
          <w:szCs w:val="24"/>
        </w:rPr>
        <w:t>c</w:t>
      </w:r>
      <w:r w:rsidR="006F6822" w:rsidRPr="006F6822">
        <w:rPr>
          <w:rFonts w:ascii="Arial" w:hAnsi="Arial" w:cs="Arial"/>
          <w:sz w:val="24"/>
          <w:szCs w:val="24"/>
        </w:rPr>
        <w:t xml:space="preserve">ategories’ of spend, typically in line with </w:t>
      </w:r>
      <w:r w:rsidR="006F6822">
        <w:rPr>
          <w:rFonts w:ascii="Arial" w:hAnsi="Arial" w:cs="Arial"/>
          <w:sz w:val="24"/>
          <w:szCs w:val="24"/>
        </w:rPr>
        <w:t>s</w:t>
      </w:r>
      <w:r w:rsidR="006F6822" w:rsidRPr="006F6822">
        <w:rPr>
          <w:rFonts w:ascii="Arial" w:hAnsi="Arial" w:cs="Arial"/>
          <w:sz w:val="24"/>
          <w:szCs w:val="24"/>
        </w:rPr>
        <w:t>upply markets</w:t>
      </w:r>
      <w:r w:rsidR="006F6822">
        <w:rPr>
          <w:rFonts w:ascii="Arial" w:hAnsi="Arial" w:cs="Arial"/>
          <w:sz w:val="24"/>
          <w:szCs w:val="24"/>
        </w:rPr>
        <w:t xml:space="preserve"> e.g. Technology and sub categories e.g. End User Devices</w:t>
      </w:r>
    </w:p>
    <w:p w14:paraId="40DB1050" w14:textId="77777777" w:rsidR="007E0A45" w:rsidRPr="00A07F34" w:rsidRDefault="007E0A45" w:rsidP="00204056">
      <w:pPr>
        <w:autoSpaceDE w:val="0"/>
        <w:autoSpaceDN w:val="0"/>
        <w:adjustRightInd w:val="0"/>
        <w:spacing w:after="0" w:line="240" w:lineRule="auto"/>
        <w:ind w:left="360"/>
        <w:textAlignment w:val="center"/>
        <w:rPr>
          <w:rFonts w:ascii="Arial" w:hAnsi="Arial" w:cs="Arial"/>
          <w:sz w:val="24"/>
          <w:szCs w:val="24"/>
        </w:rPr>
      </w:pPr>
    </w:p>
    <w:p w14:paraId="5802170D" w14:textId="0B6BAD60" w:rsidR="00C501CD" w:rsidRPr="008B438F" w:rsidRDefault="00A76944" w:rsidP="008B438F">
      <w:pPr>
        <w:numPr>
          <w:ilvl w:val="0"/>
          <w:numId w:val="7"/>
        </w:numPr>
        <w:autoSpaceDE w:val="0"/>
        <w:autoSpaceDN w:val="0"/>
        <w:adjustRightInd w:val="0"/>
        <w:spacing w:after="0" w:line="240" w:lineRule="auto"/>
        <w:textAlignment w:val="center"/>
        <w:rPr>
          <w:rFonts w:ascii="Arial" w:hAnsi="Arial" w:cs="Arial"/>
          <w:sz w:val="24"/>
          <w:szCs w:val="24"/>
        </w:rPr>
      </w:pPr>
      <w:r w:rsidRPr="00A07F34">
        <w:rPr>
          <w:rFonts w:ascii="Arial" w:hAnsi="Arial" w:cs="Arial"/>
          <w:b/>
          <w:sz w:val="24"/>
          <w:szCs w:val="24"/>
        </w:rPr>
        <w:lastRenderedPageBreak/>
        <w:t>Armed Policing (Training &amp; Governance)</w:t>
      </w:r>
      <w:r w:rsidR="00265F1A" w:rsidRPr="00A07F34">
        <w:rPr>
          <w:rFonts w:ascii="Arial" w:hAnsi="Arial" w:cs="Arial"/>
          <w:b/>
          <w:sz w:val="24"/>
          <w:szCs w:val="24"/>
        </w:rPr>
        <w:t xml:space="preserve"> (Overall RAG </w:t>
      </w:r>
      <w:r w:rsidR="007E0A45" w:rsidRPr="00A07F34">
        <w:rPr>
          <w:rFonts w:ascii="Arial" w:hAnsi="Arial" w:cs="Arial"/>
          <w:b/>
          <w:sz w:val="24"/>
          <w:szCs w:val="24"/>
        </w:rPr>
        <w:t>Amber</w:t>
      </w:r>
      <w:r w:rsidR="00265F1A" w:rsidRPr="00E852E8">
        <w:rPr>
          <w:rFonts w:ascii="Arial" w:hAnsi="Arial" w:cs="Arial"/>
          <w:b/>
          <w:sz w:val="24"/>
          <w:szCs w:val="24"/>
        </w:rPr>
        <w:t xml:space="preserve">) </w:t>
      </w:r>
      <w:r w:rsidRPr="008B438F">
        <w:rPr>
          <w:rFonts w:ascii="Arial" w:hAnsi="Arial" w:cs="Arial"/>
          <w:b/>
          <w:sz w:val="24"/>
          <w:szCs w:val="24"/>
        </w:rPr>
        <w:t xml:space="preserve"> </w:t>
      </w:r>
      <w:r w:rsidR="00D876CF" w:rsidRPr="008B438F">
        <w:rPr>
          <w:rFonts w:ascii="Arial" w:hAnsi="Arial" w:cs="Arial"/>
          <w:b/>
          <w:sz w:val="24"/>
          <w:szCs w:val="24"/>
        </w:rPr>
        <w:t xml:space="preserve">- </w:t>
      </w:r>
      <w:r w:rsidRPr="00E664BA">
        <w:rPr>
          <w:rFonts w:ascii="Arial" w:hAnsi="Arial" w:cs="Arial"/>
          <w:sz w:val="24"/>
          <w:szCs w:val="24"/>
        </w:rPr>
        <w:t>7F Armed Policing is working to develop fully interoperable operational armed resources which can deploy seamlessly across the seven forces, with the same capability, training, equipment and operational understanding.</w:t>
      </w:r>
      <w:r w:rsidR="00D876CF" w:rsidRPr="00E664BA">
        <w:rPr>
          <w:rFonts w:ascii="Arial" w:hAnsi="Arial" w:cs="Arial"/>
          <w:sz w:val="24"/>
          <w:szCs w:val="24"/>
        </w:rPr>
        <w:t xml:space="preserve"> </w:t>
      </w:r>
      <w:r w:rsidR="00700B50" w:rsidRPr="00E664BA">
        <w:rPr>
          <w:rFonts w:ascii="Arial" w:hAnsi="Arial" w:cs="Arial"/>
          <w:sz w:val="24"/>
          <w:szCs w:val="24"/>
        </w:rPr>
        <w:t>From April 2019 the 7 Forces moved to a single interim 7 Force Firearms Licence structure with all four delivery centres now aligned. Essex and Kent are now part of the 7F Structure</w:t>
      </w:r>
      <w:r w:rsidR="00BC5585" w:rsidRPr="00E664BA">
        <w:rPr>
          <w:rFonts w:ascii="Arial" w:hAnsi="Arial" w:cs="Arial"/>
          <w:sz w:val="24"/>
          <w:szCs w:val="24"/>
        </w:rPr>
        <w:t xml:space="preserve">. </w:t>
      </w:r>
      <w:r w:rsidR="00BC5585" w:rsidRPr="008B438F">
        <w:rPr>
          <w:rFonts w:ascii="Arial" w:hAnsi="Arial" w:cs="Arial"/>
          <w:sz w:val="24"/>
          <w:szCs w:val="24"/>
        </w:rPr>
        <w:t xml:space="preserve">The Training Delivery Manager (TDM) role profile was revised following agreement by the 7F ACC's to civilianise the role following two unsuccessful internal officer recruitment attempts. There was a requirement for the revisions to be considered and evaluated by the 7F HR partners. This evaluation process has now been concluded and </w:t>
      </w:r>
      <w:r w:rsidR="0011480A">
        <w:rPr>
          <w:rFonts w:ascii="Arial" w:hAnsi="Arial" w:cs="Arial"/>
          <w:sz w:val="24"/>
          <w:szCs w:val="24"/>
        </w:rPr>
        <w:t>the 7F team</w:t>
      </w:r>
      <w:r w:rsidR="00BC5585" w:rsidRPr="008B438F">
        <w:rPr>
          <w:rFonts w:ascii="Arial" w:hAnsi="Arial" w:cs="Arial"/>
          <w:sz w:val="24"/>
          <w:szCs w:val="24"/>
        </w:rPr>
        <w:t xml:space="preserve"> now seek the support of the 7F HR partners to</w:t>
      </w:r>
      <w:r w:rsidR="003412CD">
        <w:rPr>
          <w:rFonts w:ascii="Arial" w:hAnsi="Arial" w:cs="Arial"/>
          <w:sz w:val="24"/>
          <w:szCs w:val="24"/>
        </w:rPr>
        <w:t xml:space="preserve"> recruit to</w:t>
      </w:r>
      <w:r w:rsidR="00BC5585" w:rsidRPr="008B438F">
        <w:rPr>
          <w:rFonts w:ascii="Arial" w:hAnsi="Arial" w:cs="Arial"/>
          <w:sz w:val="24"/>
          <w:szCs w:val="24"/>
        </w:rPr>
        <w:t xml:space="preserve"> the role </w:t>
      </w:r>
      <w:r w:rsidR="00067402" w:rsidRPr="008B438F">
        <w:rPr>
          <w:rFonts w:ascii="Arial" w:hAnsi="Arial" w:cs="Arial"/>
          <w:sz w:val="24"/>
          <w:szCs w:val="24"/>
        </w:rPr>
        <w:t>as this role is a key dependency for the move to 7F Firearms accreditation.</w:t>
      </w:r>
      <w:r w:rsidR="003412CD">
        <w:rPr>
          <w:rFonts w:ascii="Arial" w:hAnsi="Arial" w:cs="Arial"/>
          <w:sz w:val="24"/>
          <w:szCs w:val="24"/>
        </w:rPr>
        <w:t xml:space="preserve"> The TDM role has been advertised</w:t>
      </w:r>
      <w:r w:rsidR="00BB7E17">
        <w:rPr>
          <w:rFonts w:ascii="Arial" w:hAnsi="Arial" w:cs="Arial"/>
          <w:sz w:val="24"/>
          <w:szCs w:val="24"/>
        </w:rPr>
        <w:t xml:space="preserve"> across the forces</w:t>
      </w:r>
      <w:r w:rsidR="003412CD">
        <w:rPr>
          <w:rFonts w:ascii="Arial" w:hAnsi="Arial" w:cs="Arial"/>
          <w:sz w:val="24"/>
          <w:szCs w:val="24"/>
        </w:rPr>
        <w:t xml:space="preserve"> with a closing date of the end of December 2019.</w:t>
      </w:r>
    </w:p>
    <w:p w14:paraId="36C4585F" w14:textId="6BA29A30" w:rsidR="00BC5585" w:rsidRDefault="00067402" w:rsidP="008B438F">
      <w:pPr>
        <w:pStyle w:val="Default"/>
        <w:rPr>
          <w:rFonts w:ascii="Arial" w:hAnsi="Arial" w:cs="Arial"/>
        </w:rPr>
      </w:pPr>
      <w:r w:rsidRPr="00067402">
        <w:rPr>
          <w:sz w:val="22"/>
          <w:szCs w:val="22"/>
        </w:rPr>
        <w:t xml:space="preserve"> </w:t>
      </w:r>
      <w:r w:rsidR="00BC5585" w:rsidRPr="008B438F">
        <w:rPr>
          <w:rFonts w:ascii="Arial" w:hAnsi="Arial" w:cs="Arial"/>
        </w:rPr>
        <w:t xml:space="preserve"> </w:t>
      </w:r>
    </w:p>
    <w:p w14:paraId="75993898" w14:textId="4ACDD292" w:rsidR="00BC5585" w:rsidRDefault="00A76944" w:rsidP="00923BAA">
      <w:pPr>
        <w:pStyle w:val="Default"/>
        <w:numPr>
          <w:ilvl w:val="0"/>
          <w:numId w:val="7"/>
        </w:numPr>
        <w:rPr>
          <w:rFonts w:ascii="Arial" w:hAnsi="Arial" w:cs="Arial"/>
          <w:color w:val="auto"/>
        </w:rPr>
      </w:pPr>
      <w:r w:rsidRPr="00E852E8">
        <w:rPr>
          <w:rFonts w:ascii="Arial" w:hAnsi="Arial" w:cs="Arial"/>
          <w:b/>
          <w:color w:val="auto"/>
        </w:rPr>
        <w:t>Forensics</w:t>
      </w:r>
      <w:r w:rsidR="00265F1A" w:rsidRPr="00E852E8">
        <w:rPr>
          <w:rFonts w:ascii="Arial" w:hAnsi="Arial" w:cs="Arial"/>
          <w:b/>
          <w:color w:val="auto"/>
        </w:rPr>
        <w:t xml:space="preserve"> (Overall RAG </w:t>
      </w:r>
      <w:r w:rsidR="0084540D">
        <w:rPr>
          <w:rFonts w:ascii="Arial" w:hAnsi="Arial" w:cs="Arial"/>
          <w:b/>
          <w:color w:val="auto"/>
        </w:rPr>
        <w:t>Amber</w:t>
      </w:r>
      <w:r w:rsidR="00265F1A" w:rsidRPr="00E852E8">
        <w:rPr>
          <w:rFonts w:ascii="Arial" w:hAnsi="Arial" w:cs="Arial"/>
          <w:b/>
          <w:color w:val="auto"/>
        </w:rPr>
        <w:t>)</w:t>
      </w:r>
      <w:r w:rsidRPr="00E852E8">
        <w:rPr>
          <w:rFonts w:ascii="Arial" w:hAnsi="Arial" w:cs="Arial"/>
          <w:b/>
          <w:color w:val="auto"/>
        </w:rPr>
        <w:t xml:space="preserve"> </w:t>
      </w:r>
      <w:r w:rsidR="008048AC" w:rsidRPr="00E852E8">
        <w:rPr>
          <w:rFonts w:ascii="Arial" w:hAnsi="Arial" w:cs="Arial"/>
          <w:b/>
          <w:color w:val="auto"/>
        </w:rPr>
        <w:t>-</w:t>
      </w:r>
      <w:r w:rsidR="008048AC" w:rsidRPr="00E852E8">
        <w:rPr>
          <w:b/>
          <w:bCs/>
        </w:rPr>
        <w:t xml:space="preserve"> </w:t>
      </w:r>
      <w:r w:rsidRPr="00E852E8">
        <w:rPr>
          <w:rFonts w:ascii="Arial" w:hAnsi="Arial" w:cs="Arial"/>
          <w:color w:val="auto"/>
        </w:rPr>
        <w:t xml:space="preserve">The 7F Programme are in the early stages of exploring potential 7F opportunities in Forensics. </w:t>
      </w:r>
      <w:r w:rsidR="009A68F1" w:rsidRPr="00E852E8">
        <w:rPr>
          <w:rFonts w:ascii="Arial" w:hAnsi="Arial" w:cs="Arial"/>
          <w:color w:val="auto"/>
        </w:rPr>
        <w:t>A work plan has been completed for the procurement key milestones.</w:t>
      </w:r>
      <w:r w:rsidR="009A3E41">
        <w:rPr>
          <w:rFonts w:ascii="Arial" w:hAnsi="Arial" w:cs="Arial"/>
          <w:color w:val="auto"/>
        </w:rPr>
        <w:t xml:space="preserve"> The first draft of the business user requirements is developed. A DPIA</w:t>
      </w:r>
      <w:r w:rsidR="0039610A">
        <w:rPr>
          <w:rFonts w:ascii="Arial" w:hAnsi="Arial" w:cs="Arial"/>
          <w:color w:val="auto"/>
        </w:rPr>
        <w:t xml:space="preserve"> (Data Protection Impact Assessment) </w:t>
      </w:r>
      <w:r w:rsidR="009A3E41">
        <w:rPr>
          <w:rFonts w:ascii="Arial" w:hAnsi="Arial" w:cs="Arial"/>
          <w:color w:val="auto"/>
        </w:rPr>
        <w:t>workshop was held on 30</w:t>
      </w:r>
      <w:r w:rsidR="009A3E41" w:rsidRPr="009A3E41">
        <w:rPr>
          <w:rFonts w:ascii="Arial" w:hAnsi="Arial" w:cs="Arial"/>
          <w:color w:val="auto"/>
          <w:vertAlign w:val="superscript"/>
        </w:rPr>
        <w:t>th</w:t>
      </w:r>
      <w:r w:rsidR="009A3E41">
        <w:rPr>
          <w:rFonts w:ascii="Arial" w:hAnsi="Arial" w:cs="Arial"/>
          <w:color w:val="auto"/>
        </w:rPr>
        <w:t xml:space="preserve"> August 2019, with two further dates scheduled for follow up workshops. The FSP (Forensic Science Provider) contract risks have been described in a report and shared with Chief Finance Officers who have supported the extension option. The Forensic Collision Investigation Unit</w:t>
      </w:r>
      <w:r w:rsidR="00B671E4">
        <w:rPr>
          <w:rFonts w:ascii="Arial" w:hAnsi="Arial" w:cs="Arial"/>
          <w:color w:val="auto"/>
        </w:rPr>
        <w:t xml:space="preserve"> Specialist Capabilities Review </w:t>
      </w:r>
      <w:r w:rsidR="009A3E41">
        <w:rPr>
          <w:rFonts w:ascii="Arial" w:hAnsi="Arial" w:cs="Arial"/>
          <w:color w:val="auto"/>
        </w:rPr>
        <w:t>(FCIU</w:t>
      </w:r>
      <w:r w:rsidR="00B671E4">
        <w:rPr>
          <w:rFonts w:ascii="Arial" w:hAnsi="Arial" w:cs="Arial"/>
          <w:color w:val="auto"/>
        </w:rPr>
        <w:t>- SCR</w:t>
      </w:r>
      <w:r w:rsidR="009A3E41">
        <w:rPr>
          <w:rFonts w:ascii="Arial" w:hAnsi="Arial" w:cs="Arial"/>
          <w:color w:val="auto"/>
        </w:rPr>
        <w:t>) business case to create a Forensics Collision Investigation Network (FCIN) was supported by 7F Chief Constables</w:t>
      </w:r>
      <w:r w:rsidR="002E6BD0">
        <w:rPr>
          <w:rFonts w:ascii="Arial" w:hAnsi="Arial" w:cs="Arial"/>
          <w:color w:val="auto"/>
        </w:rPr>
        <w:t>.</w:t>
      </w:r>
      <w:r w:rsidR="00B47A13">
        <w:rPr>
          <w:rFonts w:ascii="Arial" w:hAnsi="Arial" w:cs="Arial"/>
          <w:color w:val="auto"/>
        </w:rPr>
        <w:t xml:space="preserve"> </w:t>
      </w:r>
    </w:p>
    <w:p w14:paraId="0A68DFF8" w14:textId="77777777" w:rsidR="00BC5585" w:rsidRDefault="00BC5585" w:rsidP="00BC5585">
      <w:pPr>
        <w:autoSpaceDE w:val="0"/>
        <w:autoSpaceDN w:val="0"/>
        <w:adjustRightInd w:val="0"/>
        <w:spacing w:after="0" w:line="240" w:lineRule="auto"/>
        <w:rPr>
          <w:rFonts w:ascii="Calibri" w:hAnsi="Calibri" w:cs="Calibri"/>
          <w:color w:val="000000"/>
        </w:rPr>
      </w:pPr>
    </w:p>
    <w:p w14:paraId="4018137D" w14:textId="2B2D6B1F" w:rsidR="00BC5585" w:rsidRPr="008B438F" w:rsidRDefault="00BC5585" w:rsidP="008B438F">
      <w:pPr>
        <w:autoSpaceDE w:val="0"/>
        <w:autoSpaceDN w:val="0"/>
        <w:adjustRightInd w:val="0"/>
        <w:spacing w:after="0" w:line="240" w:lineRule="auto"/>
        <w:ind w:left="360"/>
        <w:rPr>
          <w:rFonts w:ascii="Arial" w:hAnsi="Arial" w:cs="Arial"/>
          <w:sz w:val="24"/>
          <w:szCs w:val="24"/>
        </w:rPr>
      </w:pPr>
      <w:r w:rsidRPr="008B438F">
        <w:rPr>
          <w:rFonts w:ascii="Arial" w:hAnsi="Arial" w:cs="Arial"/>
          <w:sz w:val="24"/>
          <w:szCs w:val="24"/>
        </w:rPr>
        <w:t xml:space="preserve">Two workshops with Forensics Managers took place on 15th and 19th November 2019 to re-draft the business user requirements. Further work identified in these workshops will now be undertaken. A DPIA review has been completed and this has been shared with the Heads of Information Management for the 7 Forces. Information Security requirements have now been agreed for the ITT. Pre-market engagement supplier returns have been received and reviewed. A </w:t>
      </w:r>
      <w:r w:rsidR="00067402">
        <w:rPr>
          <w:rFonts w:ascii="Arial" w:hAnsi="Arial" w:cs="Arial"/>
          <w:sz w:val="24"/>
          <w:szCs w:val="24"/>
        </w:rPr>
        <w:t>r</w:t>
      </w:r>
      <w:r w:rsidRPr="008B438F">
        <w:rPr>
          <w:rFonts w:ascii="Arial" w:hAnsi="Arial" w:cs="Arial"/>
          <w:sz w:val="24"/>
          <w:szCs w:val="24"/>
        </w:rPr>
        <w:t xml:space="preserve">eport of indicative costs based on the returns is currently in progress. </w:t>
      </w:r>
    </w:p>
    <w:p w14:paraId="1AC91A1C" w14:textId="77777777" w:rsidR="00067402" w:rsidRDefault="00067402" w:rsidP="008B438F">
      <w:pPr>
        <w:pStyle w:val="Default"/>
        <w:ind w:left="720"/>
        <w:rPr>
          <w:rFonts w:ascii="Arial" w:hAnsi="Arial" w:cs="Arial"/>
          <w:color w:val="auto"/>
        </w:rPr>
      </w:pPr>
    </w:p>
    <w:p w14:paraId="47FC5C03" w14:textId="4E973CAE" w:rsidR="00BC5585" w:rsidRDefault="00BC5585" w:rsidP="00BC5585">
      <w:pPr>
        <w:pStyle w:val="Default"/>
        <w:numPr>
          <w:ilvl w:val="0"/>
          <w:numId w:val="7"/>
        </w:numPr>
        <w:rPr>
          <w:rFonts w:ascii="Arial" w:hAnsi="Arial" w:cs="Arial"/>
          <w:color w:val="auto"/>
        </w:rPr>
      </w:pPr>
      <w:r w:rsidRPr="008B438F">
        <w:rPr>
          <w:rFonts w:ascii="Arial" w:hAnsi="Arial" w:cs="Arial"/>
          <w:color w:val="auto"/>
        </w:rPr>
        <w:t>Forensic Collision Investigation Unit</w:t>
      </w:r>
      <w:r w:rsidR="00B671E4">
        <w:rPr>
          <w:rFonts w:ascii="Arial" w:hAnsi="Arial" w:cs="Arial"/>
          <w:color w:val="auto"/>
        </w:rPr>
        <w:t xml:space="preserve"> </w:t>
      </w:r>
      <w:r w:rsidRPr="008B438F">
        <w:rPr>
          <w:rFonts w:ascii="Arial" w:hAnsi="Arial" w:cs="Arial"/>
          <w:color w:val="auto"/>
        </w:rPr>
        <w:t xml:space="preserve">- The </w:t>
      </w:r>
      <w:r w:rsidR="00B671E4">
        <w:rPr>
          <w:rFonts w:ascii="Arial" w:hAnsi="Arial" w:cs="Arial"/>
          <w:color w:val="auto"/>
        </w:rPr>
        <w:t xml:space="preserve">Specialist Capabilities Review </w:t>
      </w:r>
      <w:r w:rsidRPr="008B438F">
        <w:rPr>
          <w:rFonts w:ascii="Arial" w:hAnsi="Arial" w:cs="Arial"/>
          <w:color w:val="auto"/>
        </w:rPr>
        <w:t>national team have appointed an implementation manager and a workshop is being planned for December 2019 to discuss the requirements for the s22a agreement.</w:t>
      </w:r>
    </w:p>
    <w:p w14:paraId="49BF5308" w14:textId="77777777" w:rsidR="00BC5585" w:rsidRDefault="00BC5585" w:rsidP="008B438F">
      <w:pPr>
        <w:pStyle w:val="Default"/>
        <w:ind w:left="360"/>
        <w:rPr>
          <w:rFonts w:ascii="Arial" w:hAnsi="Arial" w:cs="Arial"/>
          <w:color w:val="auto"/>
        </w:rPr>
      </w:pPr>
    </w:p>
    <w:p w14:paraId="63B0F78F" w14:textId="1AFFBB73" w:rsidR="006D135B" w:rsidRPr="008B438F" w:rsidRDefault="00700B50" w:rsidP="008B438F">
      <w:pPr>
        <w:numPr>
          <w:ilvl w:val="0"/>
          <w:numId w:val="7"/>
        </w:numPr>
        <w:autoSpaceDE w:val="0"/>
        <w:autoSpaceDN w:val="0"/>
        <w:adjustRightInd w:val="0"/>
        <w:spacing w:after="0" w:line="240" w:lineRule="auto"/>
        <w:textAlignment w:val="center"/>
        <w:rPr>
          <w:rFonts w:ascii="Arial" w:hAnsi="Arial" w:cs="Arial"/>
          <w:b/>
        </w:rPr>
      </w:pPr>
      <w:r w:rsidRPr="008B438F">
        <w:rPr>
          <w:rFonts w:ascii="Arial" w:hAnsi="Arial" w:cs="Arial"/>
          <w:b/>
          <w:sz w:val="24"/>
          <w:szCs w:val="24"/>
        </w:rPr>
        <w:t xml:space="preserve">Vetting (Overall RAG </w:t>
      </w:r>
      <w:r w:rsidR="00B723C9" w:rsidRPr="008B438F">
        <w:rPr>
          <w:rFonts w:ascii="Arial" w:hAnsi="Arial" w:cs="Arial"/>
          <w:b/>
          <w:sz w:val="24"/>
          <w:szCs w:val="24"/>
        </w:rPr>
        <w:t>Amber</w:t>
      </w:r>
      <w:r w:rsidRPr="008B438F">
        <w:rPr>
          <w:rFonts w:ascii="Arial" w:hAnsi="Arial" w:cs="Arial"/>
          <w:b/>
          <w:sz w:val="24"/>
          <w:szCs w:val="24"/>
        </w:rPr>
        <w:t xml:space="preserve">) - </w:t>
      </w:r>
      <w:r w:rsidRPr="00E664BA">
        <w:rPr>
          <w:rFonts w:ascii="Arial" w:hAnsi="Arial" w:cs="Arial"/>
          <w:sz w:val="24"/>
          <w:szCs w:val="24"/>
        </w:rPr>
        <w:t>The 7F Programme are exploring the potential opportunities for Vetting across the seven forces. It has been agreed that DCC Kearton, Suffolk will be the Executive Business Lead for this Vetting. A Strategic Delivery Group consisting of Senior Business Owners of the Vetting Units will now be formed. The project will remain part of the 7F Programme and the responsibility of the Programme SRO Karen Georgiou.</w:t>
      </w:r>
      <w:r w:rsidR="00D16759" w:rsidRPr="00E664BA">
        <w:rPr>
          <w:rFonts w:ascii="Arial" w:hAnsi="Arial" w:cs="Arial"/>
          <w:sz w:val="24"/>
          <w:szCs w:val="24"/>
        </w:rPr>
        <w:t xml:space="preserve"> Following the appointment of a Project Manager, a full review of the Outline Business Case (OBC) has been completed. A revised work plan has been agreed to develop a fully “Green Book” compliant business case. </w:t>
      </w:r>
      <w:r w:rsidR="00BC5585" w:rsidRPr="008B438F">
        <w:rPr>
          <w:rFonts w:ascii="Arial" w:hAnsi="Arial" w:cs="Arial"/>
          <w:sz w:val="24"/>
          <w:szCs w:val="24"/>
        </w:rPr>
        <w:t xml:space="preserve">On the 5th November 2019, the Tactical Delivery Group met and worked through the benefits and risks of the preferred options for the OBC, the results of which have been fed into the development of the OBC. The Project Board met on the 14th November 2019. A number of critical assumptions were agreed for the calculation of benefits within the OBC. Work will continue on the development </w:t>
      </w:r>
      <w:r w:rsidR="001333CA">
        <w:rPr>
          <w:rFonts w:ascii="Arial" w:hAnsi="Arial" w:cs="Arial"/>
          <w:sz w:val="24"/>
          <w:szCs w:val="24"/>
        </w:rPr>
        <w:t xml:space="preserve">of </w:t>
      </w:r>
      <w:r w:rsidR="00BC5585" w:rsidRPr="008B438F">
        <w:rPr>
          <w:rFonts w:ascii="Arial" w:hAnsi="Arial" w:cs="Arial"/>
          <w:sz w:val="24"/>
          <w:szCs w:val="24"/>
        </w:rPr>
        <w:t xml:space="preserve">the OBC which will then be socialised amongst all </w:t>
      </w:r>
      <w:r w:rsidR="00BC5585" w:rsidRPr="008B438F">
        <w:rPr>
          <w:rFonts w:ascii="Arial" w:hAnsi="Arial" w:cs="Arial"/>
          <w:sz w:val="24"/>
          <w:szCs w:val="24"/>
        </w:rPr>
        <w:lastRenderedPageBreak/>
        <w:t>stakeholders prior to submission to the 7F Chief Constables meeting o</w:t>
      </w:r>
      <w:r w:rsidR="001333CA">
        <w:rPr>
          <w:rFonts w:ascii="Arial" w:hAnsi="Arial" w:cs="Arial"/>
          <w:sz w:val="24"/>
          <w:szCs w:val="24"/>
        </w:rPr>
        <w:t>n</w:t>
      </w:r>
      <w:r w:rsidR="00BC5585" w:rsidRPr="008B438F">
        <w:rPr>
          <w:rFonts w:ascii="Arial" w:hAnsi="Arial" w:cs="Arial"/>
          <w:sz w:val="24"/>
          <w:szCs w:val="24"/>
        </w:rPr>
        <w:t xml:space="preserve"> 7 January 2020 and 7F Summit meeting.</w:t>
      </w:r>
      <w:r w:rsidR="006D135B" w:rsidRPr="00E664BA">
        <w:rPr>
          <w:rFonts w:ascii="Arial" w:hAnsi="Arial" w:cs="Arial"/>
          <w:sz w:val="24"/>
          <w:szCs w:val="24"/>
        </w:rPr>
        <w:br/>
      </w:r>
    </w:p>
    <w:p w14:paraId="3665707A" w14:textId="0A575E80" w:rsidR="00E664BA" w:rsidRPr="0068698E" w:rsidRDefault="006D135B" w:rsidP="001A4033">
      <w:pPr>
        <w:numPr>
          <w:ilvl w:val="0"/>
          <w:numId w:val="7"/>
        </w:numPr>
        <w:autoSpaceDE w:val="0"/>
        <w:autoSpaceDN w:val="0"/>
        <w:adjustRightInd w:val="0"/>
        <w:spacing w:after="0" w:line="240" w:lineRule="auto"/>
        <w:textAlignment w:val="center"/>
        <w:rPr>
          <w:rFonts w:ascii="Arial" w:hAnsi="Arial" w:cs="Arial"/>
          <w:color w:val="000000"/>
          <w:sz w:val="24"/>
          <w:szCs w:val="24"/>
        </w:rPr>
      </w:pPr>
      <w:r w:rsidRPr="00E664BA">
        <w:rPr>
          <w:rFonts w:ascii="Arial" w:hAnsi="Arial" w:cs="Arial"/>
          <w:b/>
          <w:color w:val="000000"/>
          <w:sz w:val="24"/>
          <w:szCs w:val="24"/>
        </w:rPr>
        <w:t>Driver Management Module</w:t>
      </w:r>
      <w:r w:rsidR="008931B4" w:rsidRPr="008B438F">
        <w:rPr>
          <w:rFonts w:ascii="Arial" w:hAnsi="Arial" w:cs="Arial"/>
          <w:b/>
          <w:color w:val="000000"/>
          <w:sz w:val="24"/>
          <w:szCs w:val="24"/>
        </w:rPr>
        <w:t xml:space="preserve"> (Overall RAG </w:t>
      </w:r>
      <w:r w:rsidR="00B671E4">
        <w:rPr>
          <w:rFonts w:ascii="Arial" w:hAnsi="Arial" w:cs="Arial"/>
          <w:b/>
          <w:color w:val="000000"/>
          <w:sz w:val="24"/>
          <w:szCs w:val="24"/>
        </w:rPr>
        <w:t>Amber</w:t>
      </w:r>
      <w:r w:rsidR="008931B4" w:rsidRPr="008B438F">
        <w:rPr>
          <w:rFonts w:ascii="Arial" w:hAnsi="Arial" w:cs="Arial"/>
          <w:b/>
          <w:color w:val="000000"/>
          <w:sz w:val="24"/>
          <w:szCs w:val="24"/>
        </w:rPr>
        <w:t xml:space="preserve">) </w:t>
      </w:r>
      <w:r w:rsidR="008931B4" w:rsidRPr="00E664BA">
        <w:rPr>
          <w:rFonts w:ascii="Arial" w:hAnsi="Arial" w:cs="Arial"/>
          <w:color w:val="000000"/>
          <w:sz w:val="24"/>
          <w:szCs w:val="24"/>
        </w:rPr>
        <w:t>– Aims to deliver the Chronicle Driver Management Module across the 7F Forces to ensure we are compliant with the insurer’s requirements</w:t>
      </w:r>
      <w:r w:rsidR="001F34EF" w:rsidRPr="00E664BA">
        <w:rPr>
          <w:rFonts w:ascii="Arial" w:hAnsi="Arial" w:cs="Arial"/>
          <w:color w:val="000000"/>
          <w:sz w:val="24"/>
          <w:szCs w:val="24"/>
        </w:rPr>
        <w:t xml:space="preserve"> with a </w:t>
      </w:r>
      <w:r w:rsidR="002304F7" w:rsidRPr="00E664BA">
        <w:rPr>
          <w:rFonts w:ascii="Arial" w:hAnsi="Arial" w:cs="Arial"/>
          <w:color w:val="000000"/>
          <w:sz w:val="24"/>
          <w:szCs w:val="24"/>
        </w:rPr>
        <w:t xml:space="preserve">delivery </w:t>
      </w:r>
      <w:r w:rsidR="001F34EF" w:rsidRPr="00E664BA">
        <w:rPr>
          <w:rFonts w:ascii="Arial" w:hAnsi="Arial" w:cs="Arial"/>
          <w:color w:val="000000"/>
          <w:sz w:val="24"/>
          <w:szCs w:val="24"/>
        </w:rPr>
        <w:t>deadline</w:t>
      </w:r>
      <w:r w:rsidR="002304F7" w:rsidRPr="00E664BA">
        <w:rPr>
          <w:rFonts w:ascii="Arial" w:hAnsi="Arial" w:cs="Arial"/>
          <w:color w:val="000000"/>
          <w:sz w:val="24"/>
          <w:szCs w:val="24"/>
        </w:rPr>
        <w:t xml:space="preserve"> for compliance</w:t>
      </w:r>
      <w:r w:rsidR="001F34EF" w:rsidRPr="00E664BA">
        <w:rPr>
          <w:rFonts w:ascii="Arial" w:hAnsi="Arial" w:cs="Arial"/>
          <w:color w:val="000000"/>
          <w:sz w:val="24"/>
          <w:szCs w:val="24"/>
        </w:rPr>
        <w:t xml:space="preserve"> of </w:t>
      </w:r>
      <w:r w:rsidR="002304F7" w:rsidRPr="00E664BA">
        <w:rPr>
          <w:rFonts w:ascii="Arial" w:hAnsi="Arial" w:cs="Arial"/>
          <w:color w:val="000000"/>
          <w:sz w:val="24"/>
          <w:szCs w:val="24"/>
        </w:rPr>
        <w:t>end of December</w:t>
      </w:r>
      <w:r w:rsidR="001F34EF" w:rsidRPr="00E664BA">
        <w:rPr>
          <w:rFonts w:ascii="Arial" w:hAnsi="Arial" w:cs="Arial"/>
          <w:color w:val="000000"/>
          <w:sz w:val="24"/>
          <w:szCs w:val="24"/>
        </w:rPr>
        <w:t xml:space="preserve"> 2019</w:t>
      </w:r>
      <w:r w:rsidR="008931B4" w:rsidRPr="00E664BA">
        <w:rPr>
          <w:rFonts w:ascii="Arial" w:hAnsi="Arial" w:cs="Arial"/>
          <w:color w:val="000000"/>
          <w:sz w:val="24"/>
          <w:szCs w:val="24"/>
        </w:rPr>
        <w:t xml:space="preserve">. Further revisions of the ICT Design Document have been priced and shared with ICT SPOCs and the Regional Technical Design Authority (RTDA). </w:t>
      </w:r>
      <w:r w:rsidR="00BC5585" w:rsidRPr="008B438F">
        <w:rPr>
          <w:rFonts w:ascii="Arial" w:hAnsi="Arial" w:cs="Arial"/>
          <w:color w:val="000000"/>
          <w:sz w:val="24"/>
          <w:szCs w:val="24"/>
        </w:rPr>
        <w:t>An exception Report was provided to 7F DCCs on local capacity to meet timelines for go-live</w:t>
      </w:r>
      <w:r w:rsidR="00067402" w:rsidRPr="00E664BA">
        <w:rPr>
          <w:rFonts w:ascii="Arial" w:hAnsi="Arial" w:cs="Arial"/>
          <w:color w:val="000000"/>
          <w:sz w:val="24"/>
          <w:szCs w:val="24"/>
        </w:rPr>
        <w:t>.</w:t>
      </w:r>
      <w:r w:rsidR="00BC5585" w:rsidRPr="008B438F">
        <w:rPr>
          <w:rFonts w:ascii="Arial" w:hAnsi="Arial" w:cs="Arial"/>
          <w:color w:val="000000"/>
          <w:sz w:val="24"/>
          <w:szCs w:val="24"/>
        </w:rPr>
        <w:t xml:space="preserve"> </w:t>
      </w:r>
      <w:r w:rsidR="001A4033" w:rsidRPr="001A4033">
        <w:rPr>
          <w:rFonts w:ascii="Arial" w:hAnsi="Arial" w:cs="Arial"/>
          <w:color w:val="000000"/>
          <w:sz w:val="24"/>
          <w:szCs w:val="24"/>
        </w:rPr>
        <w:t xml:space="preserve">A new timeline for go-live date of 31 March 2020 has now been agreed with the Insurer Edison and the 7F team advise that this will not impact adversely on insurance premiums. </w:t>
      </w:r>
      <w:r w:rsidR="00BC5585" w:rsidRPr="008B438F">
        <w:rPr>
          <w:rFonts w:ascii="Arial" w:hAnsi="Arial" w:cs="Arial"/>
          <w:color w:val="000000"/>
          <w:sz w:val="24"/>
          <w:szCs w:val="24"/>
        </w:rPr>
        <w:t>The Chronicle Live system was updated to V3.13.1. The technical implementation plan from delivery of interface to go-live has been agreed</w:t>
      </w:r>
      <w:r w:rsidR="00E664BA" w:rsidRPr="0068698E">
        <w:rPr>
          <w:rFonts w:ascii="Arial" w:hAnsi="Arial" w:cs="Arial"/>
          <w:color w:val="000000"/>
          <w:sz w:val="24"/>
          <w:szCs w:val="24"/>
        </w:rPr>
        <w:t xml:space="preserve">. </w:t>
      </w:r>
    </w:p>
    <w:p w14:paraId="55186D64" w14:textId="77777777" w:rsidR="00E664BA" w:rsidRPr="00E664BA" w:rsidRDefault="00E664BA" w:rsidP="008B438F">
      <w:pPr>
        <w:pStyle w:val="Default"/>
        <w:ind w:left="360"/>
        <w:textAlignment w:val="center"/>
        <w:rPr>
          <w:rFonts w:ascii="Arial" w:hAnsi="Arial" w:cs="Arial"/>
          <w:color w:val="auto"/>
        </w:rPr>
      </w:pPr>
    </w:p>
    <w:p w14:paraId="5CB2A254" w14:textId="77777777" w:rsidR="004A2F50" w:rsidRPr="008B438F" w:rsidRDefault="004A2F50" w:rsidP="00700B50">
      <w:pPr>
        <w:pStyle w:val="Default"/>
        <w:rPr>
          <w:rFonts w:ascii="Arial" w:eastAsia="Times New Roman" w:hAnsi="Arial" w:cs="Arial"/>
          <w:i/>
          <w:sz w:val="20"/>
          <w:szCs w:val="20"/>
          <w:lang w:eastAsia="en-GB"/>
        </w:rPr>
      </w:pPr>
    </w:p>
    <w:p w14:paraId="1A520D9C" w14:textId="77777777" w:rsidR="00504146" w:rsidRPr="00552390" w:rsidRDefault="00504146" w:rsidP="00504146">
      <w:pPr>
        <w:tabs>
          <w:tab w:val="left" w:pos="1843"/>
        </w:tabs>
        <w:spacing w:after="0" w:line="259" w:lineRule="auto"/>
        <w:contextualSpacing/>
        <w:rPr>
          <w:rFonts w:ascii="Arial" w:eastAsia="Times New Roman" w:hAnsi="Arial" w:cs="Arial"/>
          <w:b/>
          <w:sz w:val="24"/>
          <w:szCs w:val="24"/>
          <w:u w:val="single"/>
          <w:lang w:eastAsia="en-GB"/>
        </w:rPr>
      </w:pPr>
      <w:bookmarkStart w:id="2" w:name="_Hlk26518390"/>
      <w:r w:rsidRPr="00552390">
        <w:rPr>
          <w:rFonts w:ascii="Arial" w:eastAsia="Times New Roman" w:hAnsi="Arial" w:cs="Arial"/>
          <w:b/>
          <w:sz w:val="24"/>
          <w:szCs w:val="24"/>
          <w:u w:val="single"/>
          <w:lang w:eastAsia="en-GB"/>
        </w:rPr>
        <w:t>Digital Policing Portfolio</w:t>
      </w:r>
      <w:r>
        <w:rPr>
          <w:rFonts w:ascii="Arial" w:eastAsia="Times New Roman" w:hAnsi="Arial" w:cs="Arial"/>
          <w:b/>
          <w:sz w:val="24"/>
          <w:szCs w:val="24"/>
          <w:u w:val="single"/>
          <w:lang w:eastAsia="en-GB"/>
        </w:rPr>
        <w:t xml:space="preserve"> (DPP) </w:t>
      </w:r>
      <w:r w:rsidRPr="00552390">
        <w:rPr>
          <w:rFonts w:ascii="Arial" w:eastAsia="Times New Roman" w:hAnsi="Arial" w:cs="Arial"/>
          <w:b/>
          <w:sz w:val="24"/>
          <w:szCs w:val="24"/>
          <w:u w:val="single"/>
          <w:lang w:eastAsia="en-GB"/>
        </w:rPr>
        <w:t>/</w:t>
      </w:r>
      <w:r>
        <w:rPr>
          <w:rFonts w:ascii="Arial" w:eastAsia="Times New Roman" w:hAnsi="Arial" w:cs="Arial"/>
          <w:b/>
          <w:sz w:val="24"/>
          <w:szCs w:val="24"/>
          <w:u w:val="single"/>
          <w:lang w:eastAsia="en-GB"/>
        </w:rPr>
        <w:t xml:space="preserve"> </w:t>
      </w:r>
      <w:r w:rsidRPr="00552390">
        <w:rPr>
          <w:rFonts w:ascii="Arial" w:eastAsia="Times New Roman" w:hAnsi="Arial" w:cs="Arial"/>
          <w:b/>
          <w:sz w:val="24"/>
          <w:szCs w:val="24"/>
          <w:u w:val="single"/>
          <w:lang w:eastAsia="en-GB"/>
        </w:rPr>
        <w:t xml:space="preserve">Home Office Technology Programme </w:t>
      </w:r>
    </w:p>
    <w:p w14:paraId="58E0EB1E" w14:textId="77777777" w:rsidR="00504146" w:rsidRPr="00552390" w:rsidRDefault="00504146" w:rsidP="00504146">
      <w:pPr>
        <w:tabs>
          <w:tab w:val="left" w:pos="1843"/>
        </w:tabs>
        <w:spacing w:after="0" w:line="259" w:lineRule="auto"/>
        <w:contextualSpacing/>
        <w:rPr>
          <w:rFonts w:ascii="Arial" w:eastAsia="Times New Roman" w:hAnsi="Arial" w:cs="Arial"/>
          <w:b/>
          <w:sz w:val="24"/>
          <w:szCs w:val="24"/>
          <w:u w:val="single"/>
          <w:lang w:eastAsia="en-GB"/>
        </w:rPr>
      </w:pPr>
    </w:p>
    <w:tbl>
      <w:tblPr>
        <w:tblStyle w:val="TableGrid27"/>
        <w:tblpPr w:leftFromText="180" w:rightFromText="180" w:vertAnchor="text" w:horzAnchor="margin" w:tblpY="200"/>
        <w:tblW w:w="9351" w:type="dxa"/>
        <w:tblLook w:val="04A0" w:firstRow="1" w:lastRow="0" w:firstColumn="1" w:lastColumn="0" w:noHBand="0" w:noVBand="1"/>
      </w:tblPr>
      <w:tblGrid>
        <w:gridCol w:w="996"/>
        <w:gridCol w:w="938"/>
        <w:gridCol w:w="1001"/>
        <w:gridCol w:w="1040"/>
        <w:gridCol w:w="1002"/>
        <w:gridCol w:w="1067"/>
        <w:gridCol w:w="897"/>
        <w:gridCol w:w="1276"/>
        <w:gridCol w:w="1134"/>
      </w:tblGrid>
      <w:tr w:rsidR="00504146" w:rsidRPr="008A42D5" w14:paraId="0001803B" w14:textId="77777777" w:rsidTr="008E734F">
        <w:trPr>
          <w:trHeight w:val="396"/>
        </w:trPr>
        <w:tc>
          <w:tcPr>
            <w:tcW w:w="996" w:type="dxa"/>
            <w:tcBorders>
              <w:top w:val="single" w:sz="12" w:space="0" w:color="auto"/>
              <w:bottom w:val="single" w:sz="12" w:space="0" w:color="auto"/>
            </w:tcBorders>
            <w:shd w:val="clear" w:color="auto" w:fill="FFC000"/>
            <w:vAlign w:val="center"/>
          </w:tcPr>
          <w:p w14:paraId="47A8D43F" w14:textId="77777777" w:rsidR="00504146" w:rsidRPr="00552390" w:rsidRDefault="00504146" w:rsidP="008E734F">
            <w:pPr>
              <w:jc w:val="center"/>
              <w:rPr>
                <w:rFonts w:ascii="Calibri" w:eastAsia="Calibri" w:hAnsi="Calibri" w:cs="Times New Roman"/>
                <w:b/>
                <w:sz w:val="14"/>
                <w:szCs w:val="15"/>
              </w:rPr>
            </w:pPr>
            <w:r w:rsidRPr="00552390">
              <w:rPr>
                <w:rFonts w:ascii="Calibri" w:eastAsia="Calibri" w:hAnsi="Calibri" w:cs="Times New Roman"/>
                <w:b/>
                <w:sz w:val="14"/>
                <w:szCs w:val="15"/>
              </w:rPr>
              <w:t>Overall RAG</w:t>
            </w:r>
          </w:p>
          <w:p w14:paraId="32E35E16" w14:textId="77777777" w:rsidR="00504146" w:rsidRPr="00552390" w:rsidRDefault="00504146" w:rsidP="008E734F">
            <w:pPr>
              <w:jc w:val="center"/>
              <w:rPr>
                <w:rFonts w:ascii="Calibri" w:eastAsia="Calibri" w:hAnsi="Calibri" w:cs="Times New Roman"/>
                <w:b/>
                <w:sz w:val="14"/>
                <w:szCs w:val="15"/>
              </w:rPr>
            </w:pPr>
            <w:r w:rsidRPr="00552390">
              <w:rPr>
                <w:rFonts w:ascii="Calibri" w:eastAsia="Calibri" w:hAnsi="Calibri" w:cs="Times New Roman"/>
                <w:b/>
                <w:sz w:val="14"/>
                <w:szCs w:val="15"/>
              </w:rPr>
              <w:t>Amber</w:t>
            </w:r>
          </w:p>
        </w:tc>
        <w:tc>
          <w:tcPr>
            <w:tcW w:w="938" w:type="dxa"/>
            <w:tcBorders>
              <w:top w:val="single" w:sz="4" w:space="0" w:color="auto"/>
              <w:bottom w:val="single" w:sz="4" w:space="0" w:color="auto"/>
            </w:tcBorders>
            <w:shd w:val="clear" w:color="auto" w:fill="FFFFFF"/>
            <w:vAlign w:val="center"/>
          </w:tcPr>
          <w:p w14:paraId="579D4CBB" w14:textId="77777777" w:rsidR="00504146" w:rsidRPr="00552390" w:rsidRDefault="00504146" w:rsidP="008E734F">
            <w:pPr>
              <w:pStyle w:val="NoSpacing"/>
              <w:spacing w:after="120" w:line="259" w:lineRule="auto"/>
              <w:jc w:val="center"/>
              <w:rPr>
                <w:color w:val="000000" w:themeColor="text1"/>
                <w:sz w:val="15"/>
                <w:szCs w:val="15"/>
              </w:rPr>
            </w:pPr>
            <w:r w:rsidRPr="00552390">
              <w:rPr>
                <w:color w:val="000000" w:themeColor="text1"/>
                <w:sz w:val="15"/>
                <w:szCs w:val="15"/>
              </w:rPr>
              <w:t>Time</w:t>
            </w:r>
          </w:p>
        </w:tc>
        <w:tc>
          <w:tcPr>
            <w:tcW w:w="1001" w:type="dxa"/>
            <w:tcBorders>
              <w:top w:val="single" w:sz="4" w:space="0" w:color="auto"/>
              <w:bottom w:val="single" w:sz="4" w:space="0" w:color="auto"/>
            </w:tcBorders>
            <w:shd w:val="clear" w:color="auto" w:fill="FFC000"/>
            <w:vAlign w:val="center"/>
          </w:tcPr>
          <w:p w14:paraId="48957A80" w14:textId="77777777" w:rsidR="00504146" w:rsidRPr="00542C69" w:rsidRDefault="00504146" w:rsidP="008E734F">
            <w:pPr>
              <w:pStyle w:val="NoSpacing"/>
              <w:spacing w:after="120" w:line="259" w:lineRule="auto"/>
              <w:jc w:val="center"/>
              <w:rPr>
                <w:color w:val="000000" w:themeColor="text1"/>
                <w:sz w:val="15"/>
                <w:szCs w:val="15"/>
              </w:rPr>
            </w:pPr>
            <w:r>
              <w:rPr>
                <w:color w:val="000000" w:themeColor="text1"/>
                <w:sz w:val="15"/>
                <w:szCs w:val="15"/>
              </w:rPr>
              <w:t>A</w:t>
            </w:r>
          </w:p>
        </w:tc>
        <w:tc>
          <w:tcPr>
            <w:tcW w:w="1040" w:type="dxa"/>
            <w:tcBorders>
              <w:top w:val="single" w:sz="4" w:space="0" w:color="auto"/>
              <w:bottom w:val="single" w:sz="4" w:space="0" w:color="auto"/>
            </w:tcBorders>
            <w:shd w:val="clear" w:color="auto" w:fill="FFFFFF"/>
            <w:vAlign w:val="center"/>
          </w:tcPr>
          <w:p w14:paraId="29894ECD" w14:textId="77777777" w:rsidR="00504146" w:rsidRDefault="00504146" w:rsidP="008E734F">
            <w:pPr>
              <w:pStyle w:val="NoSpacing"/>
              <w:spacing w:after="120" w:line="259" w:lineRule="auto"/>
              <w:jc w:val="center"/>
              <w:rPr>
                <w:color w:val="000000" w:themeColor="text1"/>
                <w:sz w:val="15"/>
                <w:szCs w:val="15"/>
              </w:rPr>
            </w:pPr>
            <w:r>
              <w:rPr>
                <w:color w:val="000000" w:themeColor="text1"/>
                <w:sz w:val="15"/>
                <w:szCs w:val="15"/>
              </w:rPr>
              <w:t>Costs</w:t>
            </w:r>
          </w:p>
          <w:p w14:paraId="13A0E132" w14:textId="77777777" w:rsidR="00504146" w:rsidRPr="00596A08" w:rsidRDefault="00504146" w:rsidP="008E734F">
            <w:pPr>
              <w:rPr>
                <w:rFonts w:ascii="Calibri" w:eastAsia="Calibri" w:hAnsi="Calibri" w:cs="Times New Roman"/>
                <w:sz w:val="15"/>
                <w:szCs w:val="15"/>
              </w:rPr>
            </w:pPr>
            <w:r w:rsidRPr="00596A08">
              <w:rPr>
                <w:rFonts w:ascii="Calibri" w:eastAsia="Calibri" w:hAnsi="Calibri" w:cs="Times New Roman"/>
                <w:sz w:val="15"/>
                <w:szCs w:val="15"/>
              </w:rPr>
              <w:t>£ 136K  NAS</w:t>
            </w:r>
          </w:p>
          <w:p w14:paraId="1DEC0306" w14:textId="77777777" w:rsidR="00504146" w:rsidRPr="00542C69" w:rsidRDefault="00504146" w:rsidP="008E734F">
            <w:pPr>
              <w:pStyle w:val="NoSpacing"/>
              <w:spacing w:after="120" w:line="259" w:lineRule="auto"/>
              <w:jc w:val="center"/>
              <w:rPr>
                <w:color w:val="000000" w:themeColor="text1"/>
                <w:sz w:val="15"/>
                <w:szCs w:val="15"/>
              </w:rPr>
            </w:pPr>
            <w:r w:rsidRPr="00596A08">
              <w:rPr>
                <w:rFonts w:ascii="Calibri" w:eastAsia="Calibri" w:hAnsi="Calibri" w:cs="Times New Roman"/>
                <w:sz w:val="15"/>
                <w:szCs w:val="15"/>
              </w:rPr>
              <w:t>£50k HOB</w:t>
            </w:r>
          </w:p>
        </w:tc>
        <w:tc>
          <w:tcPr>
            <w:tcW w:w="1002" w:type="dxa"/>
            <w:tcBorders>
              <w:top w:val="single" w:sz="4" w:space="0" w:color="auto"/>
              <w:bottom w:val="single" w:sz="4" w:space="0" w:color="auto"/>
            </w:tcBorders>
            <w:shd w:val="clear" w:color="auto" w:fill="92D050"/>
            <w:vAlign w:val="center"/>
          </w:tcPr>
          <w:p w14:paraId="023CB814" w14:textId="77777777" w:rsidR="00504146" w:rsidRPr="00542C69" w:rsidRDefault="00504146" w:rsidP="008E734F">
            <w:pPr>
              <w:pStyle w:val="NoSpacing"/>
              <w:spacing w:after="120" w:line="259" w:lineRule="auto"/>
              <w:jc w:val="center"/>
              <w:rPr>
                <w:color w:val="000000" w:themeColor="text1"/>
                <w:sz w:val="15"/>
                <w:szCs w:val="15"/>
              </w:rPr>
            </w:pPr>
            <w:r>
              <w:rPr>
                <w:color w:val="000000" w:themeColor="text1"/>
                <w:sz w:val="15"/>
                <w:szCs w:val="15"/>
              </w:rPr>
              <w:t>G</w:t>
            </w:r>
          </w:p>
        </w:tc>
        <w:tc>
          <w:tcPr>
            <w:tcW w:w="1067" w:type="dxa"/>
            <w:tcBorders>
              <w:top w:val="single" w:sz="4" w:space="0" w:color="auto"/>
              <w:bottom w:val="single" w:sz="4" w:space="0" w:color="auto"/>
            </w:tcBorders>
            <w:shd w:val="clear" w:color="auto" w:fill="FFFFFF"/>
            <w:vAlign w:val="center"/>
          </w:tcPr>
          <w:p w14:paraId="6E6E81E6" w14:textId="77777777" w:rsidR="00504146" w:rsidRPr="00542C69" w:rsidRDefault="00504146" w:rsidP="008E734F">
            <w:pPr>
              <w:pStyle w:val="NoSpacing"/>
              <w:spacing w:after="120" w:line="259" w:lineRule="auto"/>
              <w:jc w:val="center"/>
              <w:rPr>
                <w:color w:val="000000" w:themeColor="text1"/>
                <w:sz w:val="15"/>
                <w:szCs w:val="15"/>
              </w:rPr>
            </w:pPr>
            <w:r>
              <w:rPr>
                <w:color w:val="000000" w:themeColor="text1"/>
                <w:sz w:val="15"/>
                <w:szCs w:val="15"/>
              </w:rPr>
              <w:t>Savings</w:t>
            </w:r>
          </w:p>
        </w:tc>
        <w:tc>
          <w:tcPr>
            <w:tcW w:w="897" w:type="dxa"/>
            <w:tcBorders>
              <w:top w:val="single" w:sz="4" w:space="0" w:color="auto"/>
              <w:bottom w:val="single" w:sz="4" w:space="0" w:color="auto"/>
            </w:tcBorders>
            <w:shd w:val="clear" w:color="auto" w:fill="FFC000"/>
          </w:tcPr>
          <w:p w14:paraId="207A3BF6" w14:textId="77777777" w:rsidR="00504146" w:rsidRDefault="00504146" w:rsidP="008E734F">
            <w:pPr>
              <w:pStyle w:val="NoSpacing"/>
              <w:spacing w:after="120" w:line="259" w:lineRule="auto"/>
              <w:jc w:val="center"/>
              <w:rPr>
                <w:color w:val="000000" w:themeColor="text1"/>
                <w:sz w:val="15"/>
                <w:szCs w:val="15"/>
              </w:rPr>
            </w:pPr>
          </w:p>
          <w:p w14:paraId="0C5B0A09" w14:textId="77777777" w:rsidR="00504146" w:rsidRDefault="00504146" w:rsidP="008E734F">
            <w:pPr>
              <w:pStyle w:val="NoSpacing"/>
              <w:spacing w:after="120" w:line="259" w:lineRule="auto"/>
              <w:jc w:val="center"/>
              <w:rPr>
                <w:color w:val="000000" w:themeColor="text1"/>
                <w:sz w:val="15"/>
                <w:szCs w:val="15"/>
              </w:rPr>
            </w:pPr>
            <w:r>
              <w:rPr>
                <w:color w:val="000000" w:themeColor="text1"/>
                <w:sz w:val="15"/>
                <w:szCs w:val="15"/>
              </w:rPr>
              <w:t>A</w:t>
            </w:r>
          </w:p>
        </w:tc>
        <w:tc>
          <w:tcPr>
            <w:tcW w:w="1276" w:type="dxa"/>
            <w:tcBorders>
              <w:top w:val="single" w:sz="4" w:space="0" w:color="auto"/>
              <w:bottom w:val="single" w:sz="4" w:space="0" w:color="auto"/>
            </w:tcBorders>
            <w:shd w:val="clear" w:color="auto" w:fill="FFFFFF" w:themeFill="background1"/>
          </w:tcPr>
          <w:p w14:paraId="1B9CC18E" w14:textId="77777777" w:rsidR="00504146" w:rsidRDefault="00504146" w:rsidP="008E734F">
            <w:pPr>
              <w:pStyle w:val="NoSpacing"/>
              <w:spacing w:after="120" w:line="276" w:lineRule="auto"/>
              <w:jc w:val="center"/>
              <w:rPr>
                <w:color w:val="000000" w:themeColor="text1"/>
                <w:sz w:val="15"/>
                <w:szCs w:val="15"/>
              </w:rPr>
            </w:pPr>
          </w:p>
          <w:p w14:paraId="67BA2698" w14:textId="77777777" w:rsidR="00504146" w:rsidRDefault="00504146" w:rsidP="008E734F">
            <w:pPr>
              <w:pStyle w:val="NoSpacing"/>
              <w:spacing w:after="120" w:line="276" w:lineRule="auto"/>
              <w:jc w:val="center"/>
              <w:rPr>
                <w:color w:val="000000" w:themeColor="text1"/>
                <w:sz w:val="15"/>
                <w:szCs w:val="15"/>
              </w:rPr>
            </w:pPr>
            <w:r>
              <w:rPr>
                <w:color w:val="000000" w:themeColor="text1"/>
                <w:sz w:val="15"/>
                <w:szCs w:val="15"/>
              </w:rPr>
              <w:t>Benefits</w:t>
            </w:r>
          </w:p>
        </w:tc>
        <w:tc>
          <w:tcPr>
            <w:tcW w:w="1134" w:type="dxa"/>
            <w:tcBorders>
              <w:top w:val="single" w:sz="4" w:space="0" w:color="auto"/>
              <w:bottom w:val="single" w:sz="4" w:space="0" w:color="auto"/>
            </w:tcBorders>
            <w:shd w:val="clear" w:color="auto" w:fill="92D050"/>
            <w:vAlign w:val="center"/>
          </w:tcPr>
          <w:p w14:paraId="6B679665" w14:textId="77777777" w:rsidR="00504146" w:rsidRPr="00542C69" w:rsidRDefault="00504146" w:rsidP="008E734F">
            <w:pPr>
              <w:pStyle w:val="NoSpacing"/>
              <w:spacing w:after="120" w:line="259" w:lineRule="auto"/>
              <w:jc w:val="center"/>
              <w:rPr>
                <w:color w:val="000000" w:themeColor="text1"/>
                <w:sz w:val="15"/>
                <w:szCs w:val="15"/>
              </w:rPr>
            </w:pPr>
            <w:r>
              <w:rPr>
                <w:color w:val="000000" w:themeColor="text1"/>
                <w:sz w:val="15"/>
                <w:szCs w:val="15"/>
              </w:rPr>
              <w:t>G</w:t>
            </w:r>
          </w:p>
        </w:tc>
      </w:tr>
    </w:tbl>
    <w:p w14:paraId="54A0FB53" w14:textId="77777777" w:rsidR="00504146" w:rsidRDefault="00504146" w:rsidP="00504146">
      <w:pPr>
        <w:tabs>
          <w:tab w:val="left" w:pos="1843"/>
        </w:tabs>
        <w:spacing w:after="0" w:line="259" w:lineRule="auto"/>
        <w:contextualSpacing/>
        <w:rPr>
          <w:rFonts w:ascii="Arial" w:eastAsia="Times New Roman" w:hAnsi="Arial" w:cs="Arial"/>
          <w:b/>
          <w:sz w:val="24"/>
          <w:szCs w:val="24"/>
          <w:u w:val="single"/>
          <w:lang w:eastAsia="en-GB"/>
        </w:rPr>
      </w:pPr>
    </w:p>
    <w:p w14:paraId="3ED67938" w14:textId="77777777" w:rsidR="00504146" w:rsidRDefault="00504146" w:rsidP="00504146">
      <w:pPr>
        <w:spacing w:after="160" w:line="259" w:lineRule="auto"/>
        <w:rPr>
          <w:rFonts w:ascii="Arial" w:eastAsia="Times New Roman" w:hAnsi="Arial" w:cs="Arial"/>
          <w:b/>
          <w:sz w:val="24"/>
          <w:szCs w:val="24"/>
          <w:u w:val="single"/>
          <w:lang w:eastAsia="en-GB"/>
        </w:rPr>
      </w:pPr>
      <w:r w:rsidRPr="005D4359">
        <w:rPr>
          <w:rFonts w:ascii="Arial" w:hAnsi="Arial" w:cs="Arial"/>
          <w:sz w:val="16"/>
          <w:szCs w:val="16"/>
        </w:rPr>
        <w:t>Note</w:t>
      </w:r>
      <w:r>
        <w:rPr>
          <w:rFonts w:ascii="Arial" w:hAnsi="Arial" w:cs="Arial"/>
          <w:sz w:val="16"/>
          <w:szCs w:val="16"/>
        </w:rPr>
        <w:t xml:space="preserve">: </w:t>
      </w:r>
      <w:r w:rsidRPr="005D4359">
        <w:rPr>
          <w:rFonts w:ascii="Arial" w:hAnsi="Arial" w:cs="Arial"/>
          <w:sz w:val="16"/>
          <w:szCs w:val="16"/>
        </w:rPr>
        <w:t xml:space="preserve"> RAG assessment from SCCB pack except overall RAG</w:t>
      </w:r>
      <w:r>
        <w:rPr>
          <w:rFonts w:ascii="Arial" w:hAnsi="Arial" w:cs="Arial"/>
          <w:sz w:val="16"/>
          <w:szCs w:val="16"/>
        </w:rPr>
        <w:t xml:space="preserve"> which was determined for this report.</w:t>
      </w:r>
    </w:p>
    <w:p w14:paraId="44F5276B" w14:textId="77777777" w:rsidR="00504146" w:rsidRPr="00552390" w:rsidRDefault="00504146" w:rsidP="00504146">
      <w:pPr>
        <w:tabs>
          <w:tab w:val="left" w:pos="1843"/>
        </w:tabs>
        <w:spacing w:after="0" w:line="259" w:lineRule="auto"/>
        <w:contextualSpacing/>
        <w:rPr>
          <w:rFonts w:ascii="Arial" w:eastAsia="Times New Roman" w:hAnsi="Arial" w:cs="Arial"/>
          <w:sz w:val="24"/>
          <w:szCs w:val="24"/>
          <w:lang w:eastAsia="en-GB"/>
        </w:rPr>
      </w:pPr>
      <w:r w:rsidRPr="00552390">
        <w:rPr>
          <w:rFonts w:ascii="Arial" w:eastAsia="Times New Roman" w:hAnsi="Arial" w:cs="Arial"/>
          <w:sz w:val="24"/>
          <w:szCs w:val="24"/>
          <w:lang w:eastAsia="en-GB"/>
        </w:rPr>
        <w:t xml:space="preserve">The DPP </w:t>
      </w:r>
      <w:r>
        <w:rPr>
          <w:rFonts w:ascii="Arial" w:eastAsia="Times New Roman" w:hAnsi="Arial" w:cs="Arial"/>
          <w:sz w:val="24"/>
          <w:szCs w:val="24"/>
          <w:lang w:eastAsia="en-GB"/>
        </w:rPr>
        <w:t xml:space="preserve">(Digital Policing Portfolio) </w:t>
      </w:r>
      <w:r w:rsidRPr="00552390">
        <w:rPr>
          <w:rFonts w:ascii="Arial" w:eastAsia="Times New Roman" w:hAnsi="Arial" w:cs="Arial"/>
          <w:sz w:val="24"/>
          <w:szCs w:val="24"/>
          <w:lang w:eastAsia="en-GB"/>
        </w:rPr>
        <w:t>is a national delivery organisation that will support the evolution of policing, enabling forces to respond and adapt to the increasingly digital world we live in, by developing nationally consistent services and capabilities enabled by technology. The solutions developed will enable forces to meet the changing demands of the public, more effectively prevent and investigate crime and better handle digital evidence. There are several national projects within this Portfolio currently being progressed in Essex</w:t>
      </w:r>
      <w:r>
        <w:rPr>
          <w:rFonts w:ascii="Arial" w:eastAsia="Times New Roman" w:hAnsi="Arial" w:cs="Arial"/>
          <w:sz w:val="24"/>
          <w:szCs w:val="24"/>
          <w:lang w:eastAsia="en-GB"/>
        </w:rPr>
        <w:t>:</w:t>
      </w:r>
      <w:r w:rsidRPr="00552390">
        <w:rPr>
          <w:rFonts w:ascii="Arial" w:eastAsia="Times New Roman" w:hAnsi="Arial" w:cs="Arial"/>
          <w:sz w:val="24"/>
          <w:szCs w:val="24"/>
          <w:lang w:eastAsia="en-GB"/>
        </w:rPr>
        <w:t xml:space="preserve"> </w:t>
      </w:r>
    </w:p>
    <w:p w14:paraId="0BF6180E" w14:textId="77777777" w:rsidR="00504146" w:rsidRPr="00552390" w:rsidRDefault="00504146" w:rsidP="00504146">
      <w:pPr>
        <w:tabs>
          <w:tab w:val="left" w:pos="1843"/>
        </w:tabs>
        <w:spacing w:after="0" w:line="259" w:lineRule="auto"/>
        <w:contextualSpacing/>
        <w:rPr>
          <w:rFonts w:ascii="Arial" w:eastAsia="Times New Roman" w:hAnsi="Arial" w:cs="Arial"/>
          <w:sz w:val="24"/>
          <w:szCs w:val="24"/>
          <w:lang w:eastAsia="en-GB"/>
        </w:rPr>
      </w:pPr>
    </w:p>
    <w:p w14:paraId="7B057EF0" w14:textId="707EA4ED" w:rsidR="00504146" w:rsidRPr="00550D28" w:rsidRDefault="00504146" w:rsidP="00504146">
      <w:pPr>
        <w:pStyle w:val="ListParagraph"/>
        <w:numPr>
          <w:ilvl w:val="0"/>
          <w:numId w:val="6"/>
        </w:numPr>
        <w:spacing w:before="0" w:beforeAutospacing="0" w:after="0" w:afterAutospacing="0"/>
        <w:ind w:left="567" w:hanging="425"/>
        <w:rPr>
          <w:color w:val="000000" w:themeColor="text1"/>
          <w:szCs w:val="24"/>
        </w:rPr>
      </w:pPr>
      <w:r w:rsidRPr="00550D28">
        <w:rPr>
          <w:color w:val="000000" w:themeColor="text1"/>
          <w:szCs w:val="24"/>
        </w:rPr>
        <w:t>National Law Enforcement Data Programme (NLEDP) (</w:t>
      </w:r>
      <w:r>
        <w:rPr>
          <w:color w:val="000000" w:themeColor="text1"/>
          <w:szCs w:val="24"/>
        </w:rPr>
        <w:t xml:space="preserve">replaces </w:t>
      </w:r>
      <w:r w:rsidRPr="00550D28">
        <w:rPr>
          <w:color w:val="000000" w:themeColor="text1"/>
          <w:szCs w:val="24"/>
        </w:rPr>
        <w:t>PNC &amp; PND)</w:t>
      </w:r>
    </w:p>
    <w:p w14:paraId="1CE3C3B0" w14:textId="77777777" w:rsidR="00504146" w:rsidRDefault="00504146" w:rsidP="00504146">
      <w:pPr>
        <w:pStyle w:val="ListParagraph"/>
        <w:numPr>
          <w:ilvl w:val="1"/>
          <w:numId w:val="6"/>
        </w:numPr>
        <w:spacing w:before="0" w:beforeAutospacing="0" w:after="0" w:afterAutospacing="0"/>
        <w:ind w:left="1134" w:hanging="283"/>
        <w:rPr>
          <w:color w:val="000000" w:themeColor="text1"/>
          <w:szCs w:val="24"/>
        </w:rPr>
      </w:pPr>
      <w:r w:rsidRPr="00550D28">
        <w:rPr>
          <w:color w:val="000000" w:themeColor="text1"/>
          <w:szCs w:val="24"/>
        </w:rPr>
        <w:t>Supporting Central Business Change Team in collating local PND data requirement linked to interface between system and users.</w:t>
      </w:r>
    </w:p>
    <w:p w14:paraId="68D6EC36" w14:textId="77777777" w:rsidR="00504146" w:rsidRDefault="00504146" w:rsidP="00504146">
      <w:pPr>
        <w:pStyle w:val="ListParagraph"/>
        <w:numPr>
          <w:ilvl w:val="1"/>
          <w:numId w:val="6"/>
        </w:numPr>
        <w:spacing w:before="0" w:beforeAutospacing="0" w:after="0" w:afterAutospacing="0"/>
        <w:ind w:left="1134" w:hanging="283"/>
        <w:rPr>
          <w:color w:val="000000" w:themeColor="text1"/>
          <w:szCs w:val="24"/>
        </w:rPr>
      </w:pPr>
      <w:r>
        <w:rPr>
          <w:color w:val="000000" w:themeColor="text1"/>
          <w:szCs w:val="24"/>
        </w:rPr>
        <w:t>Two workshops have been held – regarding Code of Practice and PNC data.</w:t>
      </w:r>
    </w:p>
    <w:p w14:paraId="1830B314" w14:textId="2A24B7DC" w:rsidR="00504146" w:rsidRPr="00550D28" w:rsidRDefault="00504146" w:rsidP="00504146">
      <w:pPr>
        <w:pStyle w:val="ListParagraph"/>
        <w:numPr>
          <w:ilvl w:val="1"/>
          <w:numId w:val="6"/>
        </w:numPr>
        <w:spacing w:before="0" w:beforeAutospacing="0" w:after="0" w:afterAutospacing="0"/>
        <w:ind w:left="1134" w:hanging="283"/>
        <w:rPr>
          <w:color w:val="000000" w:themeColor="text1"/>
          <w:szCs w:val="24"/>
        </w:rPr>
      </w:pPr>
      <w:r>
        <w:rPr>
          <w:color w:val="000000" w:themeColor="text1"/>
          <w:szCs w:val="24"/>
        </w:rPr>
        <w:t>NLEDP Business Change team members met with internal stakeholders to establish Rough Order of Magnitude costs (£100k) for Essex Police in terms of training and potential delivery costs for the new NLEDS system, which will replace the current PNC and PND – expected end of 2021. A further planning meeting with the national programme is planned for 17</w:t>
      </w:r>
      <w:r w:rsidRPr="00203D63">
        <w:rPr>
          <w:color w:val="000000" w:themeColor="text1"/>
          <w:szCs w:val="24"/>
          <w:vertAlign w:val="superscript"/>
        </w:rPr>
        <w:t>th</w:t>
      </w:r>
      <w:r>
        <w:rPr>
          <w:color w:val="000000" w:themeColor="text1"/>
          <w:szCs w:val="24"/>
        </w:rPr>
        <w:t xml:space="preserve"> December.</w:t>
      </w:r>
    </w:p>
    <w:p w14:paraId="1F52C97B" w14:textId="5FA0FD87" w:rsidR="00504146" w:rsidRPr="00550D28" w:rsidRDefault="00504146" w:rsidP="00504146">
      <w:pPr>
        <w:pStyle w:val="ListParagraph"/>
        <w:numPr>
          <w:ilvl w:val="0"/>
          <w:numId w:val="6"/>
        </w:numPr>
        <w:spacing w:before="0" w:beforeAutospacing="0" w:after="0" w:afterAutospacing="0"/>
        <w:ind w:left="567" w:hanging="425"/>
        <w:rPr>
          <w:color w:val="000000" w:themeColor="text1"/>
          <w:szCs w:val="24"/>
        </w:rPr>
      </w:pPr>
      <w:r w:rsidRPr="00550D28">
        <w:rPr>
          <w:color w:val="000000" w:themeColor="text1"/>
          <w:szCs w:val="24"/>
        </w:rPr>
        <w:t>National ANPR Service</w:t>
      </w:r>
      <w:r>
        <w:rPr>
          <w:color w:val="000000" w:themeColor="text1"/>
          <w:szCs w:val="24"/>
        </w:rPr>
        <w:t xml:space="preserve"> (NAS)</w:t>
      </w:r>
      <w:r w:rsidRPr="00550D28">
        <w:rPr>
          <w:color w:val="000000" w:themeColor="text1"/>
          <w:szCs w:val="24"/>
        </w:rPr>
        <w:t xml:space="preserve"> - </w:t>
      </w:r>
      <w:r>
        <w:rPr>
          <w:color w:val="000000" w:themeColor="text1"/>
          <w:szCs w:val="24"/>
        </w:rPr>
        <w:t>Essex Cameras are connected and the data is being dual fed into the Essex back office solution and the NAS, dual running will continue until NAS functionality has been signed off, at which point the legacy solution will be decommissioned.</w:t>
      </w:r>
    </w:p>
    <w:p w14:paraId="46082489" w14:textId="78EB618A" w:rsidR="00504146" w:rsidRPr="00204056" w:rsidRDefault="00504146" w:rsidP="00504146">
      <w:pPr>
        <w:pStyle w:val="ListParagraph"/>
        <w:numPr>
          <w:ilvl w:val="0"/>
          <w:numId w:val="6"/>
        </w:numPr>
        <w:spacing w:before="0" w:beforeAutospacing="0" w:after="0" w:afterAutospacing="0"/>
        <w:ind w:left="567" w:hanging="425"/>
        <w:rPr>
          <w:color w:val="000000" w:themeColor="text1"/>
          <w:szCs w:val="24"/>
        </w:rPr>
      </w:pPr>
      <w:r>
        <w:rPr>
          <w:color w:val="000000" w:themeColor="text1"/>
          <w:szCs w:val="24"/>
        </w:rPr>
        <w:t xml:space="preserve">National </w:t>
      </w:r>
      <w:r w:rsidRPr="00550D28">
        <w:rPr>
          <w:color w:val="000000" w:themeColor="text1"/>
          <w:szCs w:val="24"/>
        </w:rPr>
        <w:t>Home Office Biometrics</w:t>
      </w:r>
      <w:r>
        <w:rPr>
          <w:color w:val="000000" w:themeColor="text1"/>
          <w:szCs w:val="24"/>
        </w:rPr>
        <w:t xml:space="preserve"> (HOB)</w:t>
      </w:r>
      <w:r w:rsidRPr="00550D28">
        <w:rPr>
          <w:color w:val="000000" w:themeColor="text1"/>
          <w:szCs w:val="24"/>
        </w:rPr>
        <w:t xml:space="preserve"> – Live connection to Home Office</w:t>
      </w:r>
      <w:r>
        <w:rPr>
          <w:color w:val="000000" w:themeColor="text1"/>
          <w:szCs w:val="24"/>
        </w:rPr>
        <w:t xml:space="preserve"> biometrics</w:t>
      </w:r>
      <w:r w:rsidRPr="00550D28">
        <w:rPr>
          <w:color w:val="000000" w:themeColor="text1"/>
          <w:szCs w:val="24"/>
        </w:rPr>
        <w:t xml:space="preserve"> now in place. </w:t>
      </w:r>
      <w:r>
        <w:rPr>
          <w:color w:val="000000" w:themeColor="text1"/>
          <w:szCs w:val="24"/>
        </w:rPr>
        <w:t>Essex Police and Kent Police have completed a 10 device Pilot in each Force which concluded at the end of October 2019. The scanners were confirmed as acceptable and procurement will now commence for purchase of an additional 150 scanners per Force.</w:t>
      </w:r>
      <w:r w:rsidRPr="00204056">
        <w:rPr>
          <w:color w:val="000000" w:themeColor="text1"/>
          <w:szCs w:val="24"/>
        </w:rPr>
        <w:t xml:space="preserve"> </w:t>
      </w:r>
    </w:p>
    <w:p w14:paraId="416E8618" w14:textId="0056C93F" w:rsidR="00504146" w:rsidRPr="0022750D" w:rsidRDefault="00504146" w:rsidP="00504146">
      <w:pPr>
        <w:pStyle w:val="ListParagraph"/>
        <w:numPr>
          <w:ilvl w:val="0"/>
          <w:numId w:val="6"/>
        </w:numPr>
        <w:tabs>
          <w:tab w:val="left" w:pos="1843"/>
        </w:tabs>
        <w:spacing w:before="0" w:beforeAutospacing="0" w:after="0" w:afterAutospacing="0" w:line="259" w:lineRule="auto"/>
        <w:ind w:left="567" w:hanging="425"/>
        <w:rPr>
          <w:rFonts w:eastAsia="Times New Roman" w:cs="Arial"/>
          <w:szCs w:val="24"/>
          <w:u w:val="single"/>
          <w:lang w:eastAsia="en-GB"/>
        </w:rPr>
      </w:pPr>
      <w:r>
        <w:rPr>
          <w:color w:val="000000" w:themeColor="text1"/>
          <w:szCs w:val="24"/>
        </w:rPr>
        <w:lastRenderedPageBreak/>
        <w:t xml:space="preserve">National </w:t>
      </w:r>
      <w:r w:rsidRPr="00B120B6">
        <w:rPr>
          <w:color w:val="000000" w:themeColor="text1"/>
          <w:szCs w:val="24"/>
        </w:rPr>
        <w:t>Child Abuse Image Database (CAID) –</w:t>
      </w:r>
      <w:r>
        <w:rPr>
          <w:color w:val="000000" w:themeColor="text1"/>
          <w:szCs w:val="24"/>
        </w:rPr>
        <w:t>I</w:t>
      </w:r>
      <w:r w:rsidRPr="00B120B6">
        <w:rPr>
          <w:color w:val="000000" w:themeColor="text1"/>
          <w:szCs w:val="24"/>
        </w:rPr>
        <w:t>ncrease</w:t>
      </w:r>
      <w:r>
        <w:rPr>
          <w:color w:val="000000" w:themeColor="text1"/>
          <w:szCs w:val="24"/>
        </w:rPr>
        <w:t>d</w:t>
      </w:r>
      <w:r w:rsidRPr="00B120B6">
        <w:rPr>
          <w:color w:val="000000" w:themeColor="text1"/>
          <w:szCs w:val="24"/>
        </w:rPr>
        <w:t xml:space="preserve"> </w:t>
      </w:r>
      <w:r>
        <w:rPr>
          <w:color w:val="000000" w:themeColor="text1"/>
          <w:szCs w:val="24"/>
        </w:rPr>
        <w:t>to 12 Essex Police CAID terminals (from 8), work is ongoing to improve the CAID service for Essex Police</w:t>
      </w:r>
      <w:r w:rsidRPr="00B120B6">
        <w:rPr>
          <w:color w:val="000000" w:themeColor="text1"/>
          <w:szCs w:val="24"/>
        </w:rPr>
        <w:t xml:space="preserve">. </w:t>
      </w:r>
    </w:p>
    <w:p w14:paraId="1C731E80" w14:textId="3353F319" w:rsidR="0022750D" w:rsidRDefault="0022750D" w:rsidP="0022750D">
      <w:pPr>
        <w:tabs>
          <w:tab w:val="left" w:pos="1843"/>
        </w:tabs>
        <w:spacing w:after="0" w:line="259" w:lineRule="auto"/>
        <w:ind w:left="142"/>
        <w:rPr>
          <w:rFonts w:eastAsia="Times New Roman" w:cs="Arial"/>
          <w:szCs w:val="24"/>
          <w:u w:val="single"/>
          <w:lang w:eastAsia="en-GB"/>
        </w:rPr>
      </w:pPr>
    </w:p>
    <w:p w14:paraId="36A1D56F" w14:textId="27FE5CD5" w:rsidR="0022750D" w:rsidRPr="0022750D" w:rsidRDefault="00984F80" w:rsidP="0022750D">
      <w:pPr>
        <w:tabs>
          <w:tab w:val="left" w:pos="1843"/>
        </w:tabs>
        <w:spacing w:after="0" w:line="259" w:lineRule="auto"/>
        <w:rPr>
          <w:rFonts w:eastAsia="Times New Roman" w:cs="Arial"/>
          <w:szCs w:val="24"/>
          <w:u w:val="single"/>
          <w:lang w:eastAsia="en-GB"/>
        </w:rPr>
      </w:pPr>
      <w:r>
        <w:rPr>
          <w:rFonts w:eastAsia="Times New Roman" w:cs="Arial"/>
          <w:szCs w:val="24"/>
          <w:u w:val="single"/>
          <w:lang w:eastAsia="en-GB"/>
        </w:rPr>
        <w:t>Note:-</w:t>
      </w:r>
      <w:r w:rsidRPr="00984F80">
        <w:rPr>
          <w:rFonts w:eastAsia="Times New Roman" w:cs="Arial"/>
          <w:szCs w:val="24"/>
          <w:lang w:eastAsia="en-GB"/>
        </w:rPr>
        <w:t xml:space="preserve"> </w:t>
      </w:r>
      <w:r w:rsidR="0022750D" w:rsidRPr="00984F80">
        <w:rPr>
          <w:rFonts w:eastAsia="Times New Roman" w:cs="Arial"/>
          <w:szCs w:val="24"/>
          <w:lang w:eastAsia="en-GB"/>
        </w:rPr>
        <w:t>Progress on the</w:t>
      </w:r>
      <w:r w:rsidR="0022750D" w:rsidRPr="00984F80">
        <w:rPr>
          <w:color w:val="000000" w:themeColor="text1"/>
          <w:szCs w:val="24"/>
        </w:rPr>
        <w:t xml:space="preserve"> </w:t>
      </w:r>
      <w:r w:rsidR="0022750D" w:rsidRPr="00550D28">
        <w:rPr>
          <w:color w:val="000000" w:themeColor="text1"/>
          <w:szCs w:val="24"/>
        </w:rPr>
        <w:t>National Law Enforcement Data Programme</w:t>
      </w:r>
      <w:r w:rsidR="0022750D">
        <w:rPr>
          <w:color w:val="000000" w:themeColor="text1"/>
          <w:szCs w:val="24"/>
        </w:rPr>
        <w:t xml:space="preserve"> was discussed at the OPFCC Strategic Board on the 9</w:t>
      </w:r>
      <w:r w:rsidR="0022750D" w:rsidRPr="0022750D">
        <w:rPr>
          <w:color w:val="000000" w:themeColor="text1"/>
          <w:szCs w:val="24"/>
          <w:vertAlign w:val="superscript"/>
        </w:rPr>
        <w:t>th</w:t>
      </w:r>
      <w:r w:rsidR="0022750D">
        <w:rPr>
          <w:color w:val="000000" w:themeColor="text1"/>
          <w:szCs w:val="24"/>
        </w:rPr>
        <w:t xml:space="preserve"> December 2019. An action was agreed to review the RAG rating for programme in light of the latest information from the national programme.</w:t>
      </w:r>
      <w:r w:rsidR="0022750D">
        <w:rPr>
          <w:rFonts w:eastAsia="Times New Roman" w:cs="Arial"/>
          <w:szCs w:val="24"/>
          <w:u w:val="single"/>
          <w:lang w:eastAsia="en-GB"/>
        </w:rPr>
        <w:t xml:space="preserve"> </w:t>
      </w:r>
    </w:p>
    <w:p w14:paraId="41803E79" w14:textId="77777777" w:rsidR="008F2147" w:rsidRDefault="008F2147" w:rsidP="008F0D43">
      <w:pPr>
        <w:tabs>
          <w:tab w:val="left" w:pos="1843"/>
        </w:tabs>
        <w:spacing w:after="0" w:line="259" w:lineRule="auto"/>
        <w:contextualSpacing/>
        <w:rPr>
          <w:rFonts w:ascii="Arial" w:eastAsia="Times New Roman" w:hAnsi="Arial" w:cs="Arial"/>
          <w:sz w:val="24"/>
          <w:szCs w:val="24"/>
          <w:u w:val="single"/>
          <w:lang w:eastAsia="en-GB"/>
        </w:rPr>
      </w:pPr>
    </w:p>
    <w:bookmarkEnd w:id="2"/>
    <w:p w14:paraId="3A73778A" w14:textId="07B79CF1" w:rsidR="008F0D43" w:rsidRPr="00A97886" w:rsidRDefault="008F0D43" w:rsidP="008F0D43">
      <w:pPr>
        <w:tabs>
          <w:tab w:val="left" w:pos="1843"/>
        </w:tabs>
        <w:spacing w:after="0" w:line="259" w:lineRule="auto"/>
        <w:contextualSpacing/>
        <w:rPr>
          <w:rFonts w:ascii="Arial" w:eastAsia="Times New Roman" w:hAnsi="Arial" w:cs="Arial"/>
          <w:sz w:val="24"/>
          <w:szCs w:val="24"/>
          <w:lang w:eastAsia="en-GB"/>
        </w:rPr>
      </w:pPr>
      <w:r w:rsidRPr="000D212F">
        <w:rPr>
          <w:rFonts w:ascii="Arial" w:eastAsia="Times New Roman" w:hAnsi="Arial" w:cs="Arial"/>
          <w:b/>
          <w:sz w:val="24"/>
          <w:szCs w:val="24"/>
          <w:u w:val="single"/>
          <w:lang w:eastAsia="en-GB"/>
        </w:rPr>
        <w:t>Digital Public Contact – Single Online Home</w:t>
      </w:r>
      <w:r w:rsidR="00A008D3" w:rsidRPr="000D212F">
        <w:rPr>
          <w:rFonts w:ascii="Arial" w:eastAsia="Times New Roman" w:hAnsi="Arial" w:cs="Arial"/>
          <w:b/>
          <w:sz w:val="24"/>
          <w:szCs w:val="24"/>
          <w:u w:val="single"/>
          <w:lang w:eastAsia="en-GB"/>
        </w:rPr>
        <w:t xml:space="preserve"> (SOH)</w:t>
      </w:r>
    </w:p>
    <w:p w14:paraId="3A43C709" w14:textId="342908E6" w:rsidR="00596A08" w:rsidRDefault="00596A08" w:rsidP="008F0D43">
      <w:pPr>
        <w:tabs>
          <w:tab w:val="left" w:pos="1843"/>
        </w:tabs>
        <w:spacing w:after="0" w:line="259" w:lineRule="auto"/>
        <w:contextualSpacing/>
        <w:rPr>
          <w:rFonts w:ascii="Arial" w:eastAsia="Times New Roman" w:hAnsi="Arial" w:cs="Arial"/>
          <w:sz w:val="24"/>
          <w:szCs w:val="24"/>
          <w:lang w:eastAsia="en-GB"/>
        </w:rPr>
      </w:pPr>
    </w:p>
    <w:tbl>
      <w:tblPr>
        <w:tblpPr w:leftFromText="180" w:rightFromText="180" w:vertAnchor="text"/>
        <w:tblW w:w="9351" w:type="dxa"/>
        <w:tblCellMar>
          <w:left w:w="0" w:type="dxa"/>
          <w:right w:w="0" w:type="dxa"/>
        </w:tblCellMar>
        <w:tblLook w:val="04A0" w:firstRow="1" w:lastRow="0" w:firstColumn="1" w:lastColumn="0" w:noHBand="0" w:noVBand="1"/>
      </w:tblPr>
      <w:tblGrid>
        <w:gridCol w:w="996"/>
        <w:gridCol w:w="938"/>
        <w:gridCol w:w="1001"/>
        <w:gridCol w:w="1040"/>
        <w:gridCol w:w="1002"/>
        <w:gridCol w:w="1067"/>
        <w:gridCol w:w="897"/>
        <w:gridCol w:w="1276"/>
        <w:gridCol w:w="1134"/>
      </w:tblGrid>
      <w:tr w:rsidR="000F474B" w14:paraId="77386E1E" w14:textId="77777777" w:rsidTr="00844470">
        <w:trPr>
          <w:trHeight w:val="396"/>
        </w:trPr>
        <w:tc>
          <w:tcPr>
            <w:tcW w:w="996" w:type="dxa"/>
            <w:tcBorders>
              <w:top w:val="single" w:sz="12" w:space="0" w:color="auto"/>
              <w:left w:val="single" w:sz="8" w:space="0" w:color="auto"/>
              <w:bottom w:val="single" w:sz="12" w:space="0" w:color="auto"/>
              <w:right w:val="single" w:sz="8" w:space="0" w:color="auto"/>
            </w:tcBorders>
            <w:shd w:val="clear" w:color="auto" w:fill="92D050"/>
            <w:tcMar>
              <w:top w:w="0" w:type="dxa"/>
              <w:left w:w="108" w:type="dxa"/>
              <w:bottom w:w="0" w:type="dxa"/>
              <w:right w:w="108" w:type="dxa"/>
            </w:tcMar>
            <w:vAlign w:val="center"/>
            <w:hideMark/>
          </w:tcPr>
          <w:p w14:paraId="5D12F679" w14:textId="77777777" w:rsidR="000F474B" w:rsidRDefault="000F474B" w:rsidP="00844470">
            <w:pPr>
              <w:jc w:val="center"/>
              <w:rPr>
                <w:b/>
                <w:bCs/>
                <w:sz w:val="14"/>
                <w:szCs w:val="14"/>
              </w:rPr>
            </w:pPr>
            <w:r>
              <w:rPr>
                <w:b/>
                <w:bCs/>
                <w:sz w:val="14"/>
                <w:szCs w:val="14"/>
              </w:rPr>
              <w:t>Overall RAG</w:t>
            </w:r>
          </w:p>
          <w:p w14:paraId="3B866E1A" w14:textId="77777777" w:rsidR="000F474B" w:rsidRDefault="000F474B" w:rsidP="00844470">
            <w:pPr>
              <w:jc w:val="center"/>
              <w:rPr>
                <w:b/>
                <w:bCs/>
                <w:sz w:val="14"/>
                <w:szCs w:val="14"/>
              </w:rPr>
            </w:pPr>
            <w:r>
              <w:rPr>
                <w:b/>
                <w:bCs/>
                <w:sz w:val="14"/>
                <w:szCs w:val="14"/>
              </w:rPr>
              <w:t>Green</w:t>
            </w:r>
          </w:p>
        </w:tc>
        <w:tc>
          <w:tcPr>
            <w:tcW w:w="9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3AB5BC" w14:textId="77777777" w:rsidR="000F474B" w:rsidRDefault="000F474B" w:rsidP="00844470">
            <w:pPr>
              <w:pStyle w:val="NoSpacing"/>
              <w:spacing w:after="120" w:line="252" w:lineRule="auto"/>
              <w:jc w:val="center"/>
              <w:rPr>
                <w:color w:val="000000"/>
                <w:sz w:val="15"/>
                <w:szCs w:val="15"/>
              </w:rPr>
            </w:pPr>
            <w:r>
              <w:rPr>
                <w:color w:val="000000"/>
                <w:sz w:val="15"/>
                <w:szCs w:val="15"/>
              </w:rPr>
              <w:t>Time</w:t>
            </w:r>
          </w:p>
        </w:tc>
        <w:tc>
          <w:tcPr>
            <w:tcW w:w="1001"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14:paraId="7A5AC26A" w14:textId="77777777" w:rsidR="000F474B" w:rsidRDefault="000F474B" w:rsidP="00844470">
            <w:pPr>
              <w:pStyle w:val="NoSpacing"/>
              <w:spacing w:after="120" w:line="252" w:lineRule="auto"/>
              <w:jc w:val="center"/>
              <w:rPr>
                <w:color w:val="000000"/>
                <w:sz w:val="15"/>
                <w:szCs w:val="15"/>
              </w:rPr>
            </w:pPr>
            <w:r>
              <w:rPr>
                <w:color w:val="000000"/>
                <w:sz w:val="15"/>
                <w:szCs w:val="15"/>
              </w:rPr>
              <w:t>G</w:t>
            </w:r>
          </w:p>
        </w:tc>
        <w:tc>
          <w:tcPr>
            <w:tcW w:w="10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6E1438A" w14:textId="77777777" w:rsidR="000F474B" w:rsidRDefault="000F474B" w:rsidP="00844470">
            <w:pPr>
              <w:pStyle w:val="NoSpacing"/>
              <w:spacing w:after="120" w:line="252" w:lineRule="auto"/>
              <w:jc w:val="center"/>
              <w:rPr>
                <w:color w:val="000000"/>
                <w:sz w:val="15"/>
                <w:szCs w:val="15"/>
              </w:rPr>
            </w:pPr>
            <w:r>
              <w:rPr>
                <w:color w:val="000000"/>
                <w:sz w:val="15"/>
                <w:szCs w:val="15"/>
              </w:rPr>
              <w:t>Costs</w:t>
            </w:r>
          </w:p>
          <w:p w14:paraId="0AE8AF52" w14:textId="77777777" w:rsidR="000F474B" w:rsidRDefault="000F474B" w:rsidP="00844470">
            <w:pPr>
              <w:rPr>
                <w:color w:val="000000"/>
                <w:sz w:val="15"/>
                <w:szCs w:val="15"/>
              </w:rPr>
            </w:pPr>
            <w:r>
              <w:rPr>
                <w:sz w:val="15"/>
                <w:szCs w:val="15"/>
                <w:lang w:eastAsia="en-GB"/>
              </w:rPr>
              <w:t xml:space="preserve">£0.18M PA </w:t>
            </w:r>
          </w:p>
          <w:p w14:paraId="1B9A9A62" w14:textId="77777777" w:rsidR="000F474B" w:rsidRDefault="000F474B" w:rsidP="00844470">
            <w:pPr>
              <w:pStyle w:val="NoSpacing"/>
              <w:spacing w:after="120" w:line="252" w:lineRule="auto"/>
              <w:jc w:val="center"/>
              <w:rPr>
                <w:color w:val="000000"/>
                <w:sz w:val="15"/>
                <w:szCs w:val="15"/>
              </w:rPr>
            </w:pPr>
          </w:p>
        </w:tc>
        <w:tc>
          <w:tcPr>
            <w:tcW w:w="1002"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14:paraId="152160EB" w14:textId="77777777" w:rsidR="000F474B" w:rsidRDefault="000F474B" w:rsidP="00844470">
            <w:pPr>
              <w:pStyle w:val="NoSpacing"/>
              <w:spacing w:after="120" w:line="252" w:lineRule="auto"/>
              <w:jc w:val="center"/>
              <w:rPr>
                <w:color w:val="000000"/>
                <w:sz w:val="15"/>
                <w:szCs w:val="15"/>
              </w:rPr>
            </w:pPr>
            <w:r>
              <w:rPr>
                <w:color w:val="000000"/>
                <w:sz w:val="15"/>
                <w:szCs w:val="15"/>
              </w:rPr>
              <w:t>G</w:t>
            </w:r>
          </w:p>
        </w:tc>
        <w:tc>
          <w:tcPr>
            <w:tcW w:w="10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8FDD81" w14:textId="77777777" w:rsidR="000F474B" w:rsidRDefault="000F474B" w:rsidP="00844470">
            <w:pPr>
              <w:pStyle w:val="NoSpacing"/>
              <w:spacing w:after="120" w:line="252" w:lineRule="auto"/>
              <w:jc w:val="center"/>
              <w:rPr>
                <w:color w:val="000000"/>
                <w:sz w:val="15"/>
                <w:szCs w:val="15"/>
              </w:rPr>
            </w:pPr>
            <w:r>
              <w:rPr>
                <w:color w:val="000000"/>
                <w:sz w:val="15"/>
                <w:szCs w:val="15"/>
              </w:rPr>
              <w:t>Savings</w:t>
            </w:r>
          </w:p>
        </w:tc>
        <w:tc>
          <w:tcPr>
            <w:tcW w:w="8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631784C" w14:textId="77777777" w:rsidR="000F474B" w:rsidRDefault="000F474B" w:rsidP="00844470">
            <w:pPr>
              <w:pStyle w:val="NoSpacing"/>
              <w:spacing w:after="120" w:line="252" w:lineRule="auto"/>
              <w:jc w:val="center"/>
              <w:rPr>
                <w:color w:val="000000"/>
                <w:sz w:val="15"/>
                <w:szCs w:val="15"/>
              </w:rPr>
            </w:pPr>
          </w:p>
          <w:p w14:paraId="62E10507" w14:textId="77777777" w:rsidR="000F474B" w:rsidRDefault="000F474B" w:rsidP="00844470">
            <w:pPr>
              <w:pStyle w:val="NoSpacing"/>
              <w:spacing w:after="120" w:line="252" w:lineRule="auto"/>
              <w:jc w:val="center"/>
              <w:rPr>
                <w:color w:val="000000"/>
                <w:sz w:val="15"/>
                <w:szCs w:val="15"/>
              </w:rPr>
            </w:pPr>
            <w:r>
              <w:rPr>
                <w:color w:val="000000"/>
                <w:sz w:val="15"/>
                <w:szCs w:val="15"/>
                <w:shd w:val="clear" w:color="auto" w:fill="FFFFFF"/>
              </w:rPr>
              <w:t>N/A</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D8ABC7A" w14:textId="77777777" w:rsidR="000F474B" w:rsidRDefault="000F474B" w:rsidP="00844470">
            <w:pPr>
              <w:pStyle w:val="NoSpacing"/>
              <w:spacing w:after="120" w:line="276" w:lineRule="auto"/>
              <w:jc w:val="center"/>
              <w:rPr>
                <w:color w:val="000000"/>
                <w:sz w:val="15"/>
                <w:szCs w:val="15"/>
              </w:rPr>
            </w:pPr>
          </w:p>
          <w:p w14:paraId="7E6D737A" w14:textId="77777777" w:rsidR="000F474B" w:rsidRDefault="000F474B" w:rsidP="00844470">
            <w:pPr>
              <w:pStyle w:val="NoSpacing"/>
              <w:spacing w:after="120" w:line="276" w:lineRule="auto"/>
              <w:jc w:val="center"/>
              <w:rPr>
                <w:color w:val="000000"/>
                <w:sz w:val="15"/>
                <w:szCs w:val="15"/>
              </w:rPr>
            </w:pPr>
            <w:r>
              <w:rPr>
                <w:color w:val="000000"/>
                <w:sz w:val="15"/>
                <w:szCs w:val="15"/>
              </w:rPr>
              <w:t>Benefits</w:t>
            </w:r>
          </w:p>
        </w:tc>
        <w:tc>
          <w:tcPr>
            <w:tcW w:w="1134"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14:paraId="47F40389" w14:textId="77777777" w:rsidR="000F474B" w:rsidRDefault="000F474B" w:rsidP="00844470">
            <w:pPr>
              <w:pStyle w:val="NoSpacing"/>
              <w:spacing w:after="120" w:line="252" w:lineRule="auto"/>
              <w:jc w:val="center"/>
              <w:rPr>
                <w:color w:val="000000"/>
                <w:sz w:val="15"/>
                <w:szCs w:val="15"/>
              </w:rPr>
            </w:pPr>
            <w:r>
              <w:rPr>
                <w:color w:val="000000"/>
                <w:sz w:val="15"/>
                <w:szCs w:val="15"/>
              </w:rPr>
              <w:t>A</w:t>
            </w:r>
          </w:p>
        </w:tc>
      </w:tr>
    </w:tbl>
    <w:p w14:paraId="0B768017" w14:textId="77777777" w:rsidR="000F474B" w:rsidRDefault="000F474B" w:rsidP="00766930">
      <w:pPr>
        <w:spacing w:after="160" w:line="259" w:lineRule="auto"/>
        <w:rPr>
          <w:rFonts w:ascii="Arial" w:hAnsi="Arial" w:cs="Arial"/>
          <w:sz w:val="16"/>
          <w:szCs w:val="16"/>
        </w:rPr>
      </w:pPr>
    </w:p>
    <w:p w14:paraId="0691C997" w14:textId="206FD754" w:rsidR="00756FD7" w:rsidRDefault="007E41B5" w:rsidP="008F0D43">
      <w:pPr>
        <w:rPr>
          <w:rFonts w:ascii="Arial" w:hAnsi="Arial" w:cs="Arial"/>
          <w:sz w:val="24"/>
          <w:szCs w:val="24"/>
          <w:lang w:eastAsia="en-GB"/>
        </w:rPr>
      </w:pPr>
      <w:r>
        <w:rPr>
          <w:rFonts w:ascii="Arial" w:hAnsi="Arial" w:cs="Arial"/>
          <w:sz w:val="16"/>
          <w:szCs w:val="16"/>
        </w:rPr>
        <w:t xml:space="preserve">Note </w:t>
      </w:r>
      <w:r w:rsidR="00766930" w:rsidRPr="005D4359">
        <w:rPr>
          <w:rFonts w:ascii="Arial" w:hAnsi="Arial" w:cs="Arial"/>
          <w:sz w:val="16"/>
          <w:szCs w:val="16"/>
        </w:rPr>
        <w:t>RAG assessment from SCCB pack except overall RAG</w:t>
      </w:r>
      <w:r w:rsidR="00766930">
        <w:rPr>
          <w:rFonts w:ascii="Arial" w:hAnsi="Arial" w:cs="Arial"/>
          <w:sz w:val="16"/>
          <w:szCs w:val="16"/>
        </w:rPr>
        <w:t xml:space="preserve"> </w:t>
      </w:r>
      <w:r>
        <w:rPr>
          <w:rFonts w:ascii="Arial" w:hAnsi="Arial" w:cs="Arial"/>
          <w:sz w:val="16"/>
          <w:szCs w:val="16"/>
        </w:rPr>
        <w:t xml:space="preserve">which </w:t>
      </w:r>
      <w:r w:rsidR="00766930">
        <w:rPr>
          <w:rFonts w:ascii="Arial" w:hAnsi="Arial" w:cs="Arial"/>
          <w:sz w:val="16"/>
          <w:szCs w:val="16"/>
        </w:rPr>
        <w:t>was determined for this report.</w:t>
      </w:r>
    </w:p>
    <w:p w14:paraId="157B4C9C" w14:textId="77777777" w:rsidR="00756FD7" w:rsidRPr="00756FD7" w:rsidRDefault="00756FD7" w:rsidP="00756FD7">
      <w:pPr>
        <w:spacing w:after="240" w:line="252" w:lineRule="auto"/>
        <w:rPr>
          <w:rFonts w:ascii="Arial" w:hAnsi="Arial" w:cs="Arial"/>
          <w:sz w:val="24"/>
          <w:szCs w:val="24"/>
          <w:lang w:eastAsia="en-GB"/>
        </w:rPr>
      </w:pPr>
      <w:r w:rsidRPr="00756FD7">
        <w:rPr>
          <w:rFonts w:ascii="Arial" w:hAnsi="Arial" w:cs="Arial"/>
          <w:sz w:val="24"/>
          <w:szCs w:val="24"/>
          <w:lang w:eastAsia="en-GB"/>
        </w:rPr>
        <w:t>Single Online Home (SOH) is an internet platform provided through the Home Office Digital Public Contact programme. It provides the public with a consistent way of engaging with their local police force and accessing policing services and information on line. Currently 17 forces are live on the system covering 67% of the population of England and Wales. 22 forces should be live by the end of this financial year and most if not all Home Office police forces by the end of the following financial year 31st March 2021.</w:t>
      </w:r>
    </w:p>
    <w:p w14:paraId="6DF0525E" w14:textId="16B59312" w:rsidR="00756FD7" w:rsidRPr="00756FD7" w:rsidRDefault="00756FD7" w:rsidP="00EE1E3A">
      <w:pPr>
        <w:spacing w:after="240" w:line="252" w:lineRule="auto"/>
        <w:rPr>
          <w:rFonts w:ascii="Arial" w:hAnsi="Arial" w:cs="Arial"/>
          <w:sz w:val="24"/>
          <w:szCs w:val="24"/>
          <w:lang w:eastAsia="en-GB"/>
        </w:rPr>
      </w:pPr>
      <w:r w:rsidRPr="00756FD7">
        <w:rPr>
          <w:rFonts w:ascii="Arial" w:hAnsi="Arial" w:cs="Arial"/>
          <w:sz w:val="24"/>
          <w:szCs w:val="24"/>
          <w:lang w:eastAsia="en-GB"/>
        </w:rPr>
        <w:t>The detailed business case was presented to the OPFCC Strategic Board on 14th March and again on 13th June 2019. The Section 22 agreement</w:t>
      </w:r>
      <w:r w:rsidR="00F00473">
        <w:rPr>
          <w:rFonts w:ascii="Arial" w:hAnsi="Arial" w:cs="Arial"/>
          <w:sz w:val="24"/>
          <w:szCs w:val="24"/>
          <w:lang w:eastAsia="en-GB"/>
        </w:rPr>
        <w:t xml:space="preserve"> has been approved and signed. </w:t>
      </w:r>
      <w:r w:rsidRPr="00756FD7">
        <w:rPr>
          <w:rFonts w:ascii="Arial" w:hAnsi="Arial" w:cs="Arial"/>
          <w:sz w:val="24"/>
          <w:szCs w:val="24"/>
          <w:lang w:eastAsia="en-GB"/>
        </w:rPr>
        <w:t xml:space="preserve">As an interim step, Single Online Home online crime recording went live in mid July 2019 replacing the online crime recording facility provided via the national </w:t>
      </w:r>
      <w:hyperlink r:id="rId8" w:history="1">
        <w:r w:rsidRPr="00756FD7">
          <w:rPr>
            <w:rStyle w:val="Hyperlink"/>
            <w:rFonts w:ascii="Arial" w:hAnsi="Arial" w:cs="Arial"/>
            <w:sz w:val="24"/>
            <w:szCs w:val="24"/>
            <w:lang w:eastAsia="en-GB"/>
          </w:rPr>
          <w:t>www.police.uk</w:t>
        </w:r>
      </w:hyperlink>
      <w:r w:rsidRPr="00756FD7">
        <w:rPr>
          <w:rFonts w:ascii="Arial" w:hAnsi="Arial" w:cs="Arial"/>
          <w:sz w:val="24"/>
          <w:szCs w:val="24"/>
          <w:lang w:eastAsia="en-GB"/>
        </w:rPr>
        <w:t xml:space="preserve"> website which was removed as an available facility on 1st of August 2019.</w:t>
      </w:r>
    </w:p>
    <w:p w14:paraId="3794CCB8" w14:textId="77777777" w:rsidR="00756FD7" w:rsidRPr="00756FD7" w:rsidRDefault="00756FD7" w:rsidP="00756FD7">
      <w:pPr>
        <w:spacing w:after="240"/>
        <w:rPr>
          <w:rFonts w:ascii="Arial" w:hAnsi="Arial" w:cs="Arial"/>
          <w:sz w:val="24"/>
          <w:szCs w:val="24"/>
          <w:lang w:eastAsia="en-GB"/>
        </w:rPr>
      </w:pPr>
      <w:r w:rsidRPr="00756FD7">
        <w:rPr>
          <w:rFonts w:ascii="Arial" w:hAnsi="Arial" w:cs="Arial"/>
          <w:sz w:val="24"/>
          <w:szCs w:val="24"/>
          <w:lang w:eastAsia="en-GB"/>
        </w:rPr>
        <w:t>Essex Police transitioned to the new internet platform over summer 2019, incrementally building testing and adding the circa 50 elements that make up Single Online Home initially onto a trial Beta website. Full go live was achieved on 4</w:t>
      </w:r>
      <w:r w:rsidRPr="00756FD7">
        <w:rPr>
          <w:rFonts w:ascii="Arial" w:hAnsi="Arial" w:cs="Arial"/>
          <w:sz w:val="24"/>
          <w:szCs w:val="24"/>
          <w:vertAlign w:val="superscript"/>
          <w:lang w:eastAsia="en-GB"/>
        </w:rPr>
        <w:t>th</w:t>
      </w:r>
      <w:r w:rsidRPr="00756FD7">
        <w:rPr>
          <w:rFonts w:ascii="Arial" w:hAnsi="Arial" w:cs="Arial"/>
          <w:sz w:val="24"/>
          <w:szCs w:val="24"/>
          <w:lang w:eastAsia="en-GB"/>
        </w:rPr>
        <w:t xml:space="preserve"> September 2019 when the previous ‘legacy website’ was removed and replaced by Single Online Home. </w:t>
      </w:r>
    </w:p>
    <w:p w14:paraId="627E9053" w14:textId="7849E8FB" w:rsidR="00756FD7" w:rsidRPr="00756FD7" w:rsidRDefault="00756FD7" w:rsidP="00756FD7">
      <w:pPr>
        <w:spacing w:after="240"/>
        <w:rPr>
          <w:rFonts w:ascii="Arial" w:hAnsi="Arial" w:cs="Arial"/>
          <w:sz w:val="24"/>
          <w:szCs w:val="24"/>
          <w:lang w:eastAsia="en-GB"/>
        </w:rPr>
      </w:pPr>
      <w:r w:rsidRPr="00756FD7">
        <w:rPr>
          <w:rFonts w:ascii="Arial" w:hAnsi="Arial" w:cs="Arial"/>
          <w:sz w:val="24"/>
          <w:szCs w:val="24"/>
          <w:lang w:eastAsia="en-GB"/>
        </w:rPr>
        <w:t xml:space="preserve">Essex </w:t>
      </w:r>
      <w:r w:rsidR="001333CA">
        <w:rPr>
          <w:rFonts w:ascii="Arial" w:hAnsi="Arial" w:cs="Arial"/>
          <w:sz w:val="24"/>
          <w:szCs w:val="24"/>
          <w:lang w:eastAsia="en-GB"/>
        </w:rPr>
        <w:t>Police (</w:t>
      </w:r>
      <w:r w:rsidRPr="00756FD7">
        <w:rPr>
          <w:rFonts w:ascii="Arial" w:hAnsi="Arial" w:cs="Arial"/>
          <w:sz w:val="24"/>
          <w:szCs w:val="24"/>
          <w:lang w:eastAsia="en-GB"/>
        </w:rPr>
        <w:t>and Kent</w:t>
      </w:r>
      <w:r w:rsidR="001333CA">
        <w:rPr>
          <w:rFonts w:ascii="Arial" w:hAnsi="Arial" w:cs="Arial"/>
          <w:sz w:val="24"/>
          <w:szCs w:val="24"/>
          <w:lang w:eastAsia="en-GB"/>
        </w:rPr>
        <w:t>)</w:t>
      </w:r>
      <w:r w:rsidRPr="00756FD7">
        <w:rPr>
          <w:rFonts w:ascii="Arial" w:hAnsi="Arial" w:cs="Arial"/>
          <w:sz w:val="24"/>
          <w:szCs w:val="24"/>
          <w:lang w:eastAsia="en-GB"/>
        </w:rPr>
        <w:t xml:space="preserve"> are Tranche 5 forces on the national rollout plan for Single Online Home. They worked together during the preparation and transition phases. Kent Police also went fully live with Single Online Home in September 2019.</w:t>
      </w:r>
    </w:p>
    <w:p w14:paraId="2C73A60E" w14:textId="77777777" w:rsidR="00756FD7" w:rsidRPr="00756FD7" w:rsidRDefault="00756FD7" w:rsidP="00756FD7">
      <w:pPr>
        <w:spacing w:after="240"/>
        <w:rPr>
          <w:rFonts w:ascii="Arial" w:hAnsi="Arial" w:cs="Arial"/>
          <w:sz w:val="24"/>
          <w:szCs w:val="24"/>
          <w:lang w:eastAsia="en-GB"/>
        </w:rPr>
      </w:pPr>
      <w:r w:rsidRPr="00756FD7">
        <w:rPr>
          <w:rFonts w:ascii="Arial" w:hAnsi="Arial" w:cs="Arial"/>
          <w:sz w:val="24"/>
          <w:szCs w:val="24"/>
          <w:lang w:eastAsia="en-GB"/>
        </w:rPr>
        <w:t>A card payment supplier (Stripe) is now in place to support online payment.  Preparations are being made to roll out an enhanced version of Firearms Licensing with online forms which conclude with online payment.  An interim non-payment version of Firearms licencing went live as part of the main September 2019 Go Live and this will be replaced with the enhanced version. Other Single Online Home applications that would benefit from the ability to complete transactions with online payment are being considered by the national steering group.</w:t>
      </w:r>
    </w:p>
    <w:p w14:paraId="21BB0B56" w14:textId="467BCC82" w:rsidR="00092BB3" w:rsidRPr="00552390" w:rsidRDefault="00D516F3" w:rsidP="007678E2">
      <w:pPr>
        <w:spacing w:after="240"/>
        <w:rPr>
          <w:rFonts w:ascii="Arial" w:hAnsi="Arial" w:cs="Arial"/>
          <w:sz w:val="24"/>
          <w:szCs w:val="24"/>
          <w:lang w:eastAsia="en-GB"/>
        </w:rPr>
      </w:pPr>
      <w:r w:rsidRPr="00EE1E3A">
        <w:rPr>
          <w:rFonts w:ascii="Arial" w:hAnsi="Arial" w:cs="Arial"/>
          <w:sz w:val="24"/>
          <w:szCs w:val="24"/>
          <w:lang w:eastAsia="en-GB"/>
        </w:rPr>
        <w:t>Work in the next period will focus on adding general content to</w:t>
      </w:r>
      <w:r w:rsidR="00C92D4B">
        <w:rPr>
          <w:rFonts w:ascii="Arial" w:hAnsi="Arial" w:cs="Arial"/>
          <w:sz w:val="24"/>
          <w:szCs w:val="24"/>
          <w:lang w:eastAsia="en-GB"/>
        </w:rPr>
        <w:t xml:space="preserve"> the</w:t>
      </w:r>
      <w:r w:rsidRPr="00EE1E3A">
        <w:rPr>
          <w:rFonts w:ascii="Arial" w:hAnsi="Arial" w:cs="Arial"/>
          <w:sz w:val="24"/>
          <w:szCs w:val="24"/>
          <w:lang w:eastAsia="en-GB"/>
        </w:rPr>
        <w:t xml:space="preserve"> site and review</w:t>
      </w:r>
      <w:r w:rsidR="00C92D4B">
        <w:rPr>
          <w:rFonts w:ascii="Arial" w:hAnsi="Arial" w:cs="Arial"/>
          <w:sz w:val="24"/>
          <w:szCs w:val="24"/>
          <w:lang w:eastAsia="en-GB"/>
        </w:rPr>
        <w:t xml:space="preserve">ing </w:t>
      </w:r>
      <w:r w:rsidRPr="00EE1E3A">
        <w:rPr>
          <w:rFonts w:ascii="Arial" w:hAnsi="Arial" w:cs="Arial"/>
          <w:sz w:val="24"/>
          <w:szCs w:val="24"/>
          <w:lang w:eastAsia="en-GB"/>
        </w:rPr>
        <w:t xml:space="preserve">existing text content post go live as there was a significant amount of general content that </w:t>
      </w:r>
      <w:r w:rsidRPr="00EE1E3A">
        <w:rPr>
          <w:rFonts w:ascii="Arial" w:hAnsi="Arial" w:cs="Arial"/>
          <w:sz w:val="24"/>
          <w:szCs w:val="24"/>
          <w:lang w:eastAsia="en-GB"/>
        </w:rPr>
        <w:lastRenderedPageBreak/>
        <w:t xml:space="preserve">was not transferred across by national team. In addition, correction work </w:t>
      </w:r>
      <w:r w:rsidR="00C92D4B">
        <w:rPr>
          <w:rFonts w:ascii="Arial" w:hAnsi="Arial" w:cs="Arial"/>
          <w:sz w:val="24"/>
          <w:szCs w:val="24"/>
          <w:lang w:eastAsia="en-GB"/>
        </w:rPr>
        <w:t xml:space="preserve">is </w:t>
      </w:r>
      <w:r w:rsidRPr="00EE1E3A">
        <w:rPr>
          <w:rFonts w:ascii="Arial" w:hAnsi="Arial" w:cs="Arial"/>
          <w:sz w:val="24"/>
          <w:szCs w:val="24"/>
          <w:lang w:eastAsia="en-GB"/>
        </w:rPr>
        <w:t xml:space="preserve">required to address issues in ‘Your Area’ element of SOH including imperfections in maps and adding social media links. </w:t>
      </w:r>
      <w:r w:rsidR="00756FD7" w:rsidRPr="00756FD7">
        <w:rPr>
          <w:rFonts w:ascii="Arial" w:hAnsi="Arial" w:cs="Arial"/>
          <w:sz w:val="24"/>
          <w:szCs w:val="24"/>
          <w:lang w:eastAsia="en-GB"/>
        </w:rPr>
        <w:t xml:space="preserve">Online reporting of Anti-Social Behaviour is due to be trialled shortly by other Single Online Home forces. Once the trial is complete, possibly January/ February 2020 and any issues or improvements dealt with, the functionality will be considered for roll out in Essex. </w:t>
      </w:r>
    </w:p>
    <w:p w14:paraId="1FAEB03F" w14:textId="484C5B5B" w:rsidR="008F0D43" w:rsidRPr="00552390" w:rsidRDefault="008F0D43" w:rsidP="008F0D43">
      <w:pPr>
        <w:framePr w:hSpace="180" w:wrap="around" w:vAnchor="text" w:hAnchor="margin" w:y="155"/>
        <w:rPr>
          <w:rFonts w:ascii="Arial" w:hAnsi="Arial" w:cs="Arial"/>
          <w:b/>
          <w:sz w:val="24"/>
          <w:szCs w:val="24"/>
          <w:u w:val="single"/>
        </w:rPr>
      </w:pPr>
      <w:r w:rsidRPr="00552390">
        <w:rPr>
          <w:rFonts w:ascii="Arial" w:hAnsi="Arial" w:cs="Arial"/>
          <w:b/>
          <w:sz w:val="24"/>
          <w:szCs w:val="24"/>
          <w:u w:val="single"/>
        </w:rPr>
        <w:t>Essex County Fire &amp; Rescue Service (ECFRS)</w:t>
      </w:r>
    </w:p>
    <w:p w14:paraId="0BAC17BD" w14:textId="6813C1B1" w:rsidR="00596A08" w:rsidRDefault="00596A08" w:rsidP="008F0D43">
      <w:pPr>
        <w:rPr>
          <w:rFonts w:ascii="Arial" w:hAnsi="Arial" w:cs="Arial"/>
          <w:sz w:val="24"/>
          <w:szCs w:val="24"/>
        </w:rPr>
      </w:pPr>
    </w:p>
    <w:tbl>
      <w:tblPr>
        <w:tblStyle w:val="TableGrid27"/>
        <w:tblpPr w:leftFromText="180" w:rightFromText="180" w:vertAnchor="text" w:horzAnchor="margin" w:tblpY="200"/>
        <w:tblW w:w="9351" w:type="dxa"/>
        <w:tblLook w:val="04A0" w:firstRow="1" w:lastRow="0" w:firstColumn="1" w:lastColumn="0" w:noHBand="0" w:noVBand="1"/>
      </w:tblPr>
      <w:tblGrid>
        <w:gridCol w:w="996"/>
        <w:gridCol w:w="938"/>
        <w:gridCol w:w="1001"/>
        <w:gridCol w:w="1040"/>
        <w:gridCol w:w="1002"/>
        <w:gridCol w:w="1067"/>
        <w:gridCol w:w="897"/>
        <w:gridCol w:w="1276"/>
        <w:gridCol w:w="1134"/>
      </w:tblGrid>
      <w:tr w:rsidR="006B1BC2" w:rsidRPr="008A42D5" w14:paraId="4C3C2645" w14:textId="77777777" w:rsidTr="006B1BC2">
        <w:trPr>
          <w:trHeight w:val="396"/>
        </w:trPr>
        <w:tc>
          <w:tcPr>
            <w:tcW w:w="996" w:type="dxa"/>
            <w:tcBorders>
              <w:top w:val="single" w:sz="12" w:space="0" w:color="auto"/>
              <w:bottom w:val="single" w:sz="12" w:space="0" w:color="auto"/>
            </w:tcBorders>
            <w:shd w:val="clear" w:color="auto" w:fill="FFC000"/>
            <w:vAlign w:val="center"/>
          </w:tcPr>
          <w:p w14:paraId="64175FA3" w14:textId="77777777" w:rsidR="006B1BC2" w:rsidRDefault="006B1BC2" w:rsidP="00C337C1">
            <w:pPr>
              <w:jc w:val="center"/>
              <w:rPr>
                <w:rFonts w:ascii="Calibri" w:eastAsia="Calibri" w:hAnsi="Calibri" w:cs="Times New Roman"/>
                <w:b/>
                <w:sz w:val="14"/>
                <w:szCs w:val="15"/>
              </w:rPr>
            </w:pPr>
            <w:r>
              <w:rPr>
                <w:rFonts w:ascii="Calibri" w:eastAsia="Calibri" w:hAnsi="Calibri" w:cs="Times New Roman"/>
                <w:b/>
                <w:sz w:val="14"/>
                <w:szCs w:val="15"/>
              </w:rPr>
              <w:t>Overall RAG</w:t>
            </w:r>
          </w:p>
          <w:p w14:paraId="6FBCCFF8" w14:textId="77777777" w:rsidR="00C337C1" w:rsidRPr="008A42D5" w:rsidRDefault="00C337C1" w:rsidP="00C337C1">
            <w:pPr>
              <w:jc w:val="center"/>
              <w:rPr>
                <w:rFonts w:ascii="Calibri" w:eastAsia="Calibri" w:hAnsi="Calibri" w:cs="Times New Roman"/>
                <w:b/>
                <w:sz w:val="14"/>
                <w:szCs w:val="15"/>
              </w:rPr>
            </w:pPr>
            <w:r>
              <w:rPr>
                <w:rFonts w:ascii="Calibri" w:eastAsia="Calibri" w:hAnsi="Calibri" w:cs="Times New Roman"/>
                <w:b/>
                <w:sz w:val="14"/>
                <w:szCs w:val="15"/>
              </w:rPr>
              <w:t>Amber</w:t>
            </w:r>
          </w:p>
        </w:tc>
        <w:tc>
          <w:tcPr>
            <w:tcW w:w="938" w:type="dxa"/>
            <w:tcBorders>
              <w:top w:val="single" w:sz="4" w:space="0" w:color="auto"/>
              <w:bottom w:val="single" w:sz="4" w:space="0" w:color="auto"/>
            </w:tcBorders>
            <w:shd w:val="clear" w:color="auto" w:fill="FFFFFF"/>
            <w:vAlign w:val="center"/>
          </w:tcPr>
          <w:p w14:paraId="3983628B" w14:textId="77777777" w:rsidR="006B1BC2" w:rsidRPr="00542C69" w:rsidRDefault="006B1BC2" w:rsidP="00C337C1">
            <w:pPr>
              <w:pStyle w:val="NoSpacing"/>
              <w:spacing w:after="120" w:line="259" w:lineRule="auto"/>
              <w:jc w:val="center"/>
              <w:rPr>
                <w:color w:val="000000" w:themeColor="text1"/>
                <w:sz w:val="15"/>
                <w:szCs w:val="15"/>
              </w:rPr>
            </w:pPr>
            <w:r>
              <w:rPr>
                <w:color w:val="000000" w:themeColor="text1"/>
                <w:sz w:val="15"/>
                <w:szCs w:val="15"/>
              </w:rPr>
              <w:t>Time</w:t>
            </w:r>
          </w:p>
        </w:tc>
        <w:tc>
          <w:tcPr>
            <w:tcW w:w="1001" w:type="dxa"/>
            <w:tcBorders>
              <w:top w:val="single" w:sz="4" w:space="0" w:color="auto"/>
              <w:bottom w:val="single" w:sz="4" w:space="0" w:color="auto"/>
            </w:tcBorders>
            <w:shd w:val="clear" w:color="auto" w:fill="FFC000"/>
            <w:vAlign w:val="center"/>
          </w:tcPr>
          <w:p w14:paraId="0068354F" w14:textId="77777777" w:rsidR="006B1BC2" w:rsidRPr="00542C69" w:rsidRDefault="006B1BC2" w:rsidP="00C337C1">
            <w:pPr>
              <w:pStyle w:val="NoSpacing"/>
              <w:spacing w:after="120" w:line="259" w:lineRule="auto"/>
              <w:jc w:val="center"/>
              <w:rPr>
                <w:color w:val="000000" w:themeColor="text1"/>
                <w:sz w:val="15"/>
                <w:szCs w:val="15"/>
              </w:rPr>
            </w:pPr>
            <w:r>
              <w:rPr>
                <w:color w:val="000000" w:themeColor="text1"/>
                <w:sz w:val="15"/>
                <w:szCs w:val="15"/>
              </w:rPr>
              <w:t>A</w:t>
            </w:r>
          </w:p>
        </w:tc>
        <w:tc>
          <w:tcPr>
            <w:tcW w:w="1040" w:type="dxa"/>
            <w:tcBorders>
              <w:top w:val="single" w:sz="4" w:space="0" w:color="auto"/>
              <w:bottom w:val="single" w:sz="4" w:space="0" w:color="auto"/>
            </w:tcBorders>
            <w:shd w:val="clear" w:color="auto" w:fill="FFFFFF"/>
            <w:vAlign w:val="center"/>
          </w:tcPr>
          <w:p w14:paraId="38D1BDC3" w14:textId="77777777" w:rsidR="006B1BC2" w:rsidRDefault="006B1BC2" w:rsidP="00C337C1">
            <w:pPr>
              <w:pStyle w:val="NoSpacing"/>
              <w:spacing w:after="120" w:line="259" w:lineRule="auto"/>
              <w:jc w:val="center"/>
              <w:rPr>
                <w:color w:val="000000" w:themeColor="text1"/>
                <w:sz w:val="15"/>
                <w:szCs w:val="15"/>
              </w:rPr>
            </w:pPr>
            <w:r>
              <w:rPr>
                <w:color w:val="000000" w:themeColor="text1"/>
                <w:sz w:val="15"/>
                <w:szCs w:val="15"/>
              </w:rPr>
              <w:t>Costs</w:t>
            </w:r>
          </w:p>
          <w:p w14:paraId="6169C62B" w14:textId="77777777" w:rsidR="006B1BC2" w:rsidRPr="00542C69" w:rsidRDefault="006B1BC2" w:rsidP="00C337C1">
            <w:pPr>
              <w:rPr>
                <w:color w:val="000000" w:themeColor="text1"/>
                <w:sz w:val="15"/>
                <w:szCs w:val="15"/>
              </w:rPr>
            </w:pPr>
            <w:r w:rsidRPr="006B1BC2">
              <w:rPr>
                <w:rFonts w:ascii="Calibri" w:eastAsia="Calibri" w:hAnsi="Calibri" w:cs="Times New Roman"/>
                <w:noProof/>
                <w:sz w:val="15"/>
                <w:szCs w:val="15"/>
                <w:lang w:eastAsia="en-GB"/>
              </w:rPr>
              <w:t>£ 1,320k (2 yrs)</w:t>
            </w:r>
            <w:r>
              <w:rPr>
                <w:rFonts w:ascii="Calibri" w:eastAsia="Calibri" w:hAnsi="Calibri" w:cs="Times New Roman"/>
                <w:noProof/>
                <w:sz w:val="15"/>
                <w:szCs w:val="15"/>
                <w:lang w:eastAsia="en-GB"/>
              </w:rPr>
              <w:t xml:space="preserve"> </w:t>
            </w:r>
          </w:p>
          <w:p w14:paraId="31E4502A" w14:textId="77777777" w:rsidR="006B1BC2" w:rsidRPr="00542C69" w:rsidRDefault="006B1BC2" w:rsidP="00C337C1">
            <w:pPr>
              <w:pStyle w:val="NoSpacing"/>
              <w:spacing w:after="120" w:line="259" w:lineRule="auto"/>
              <w:jc w:val="center"/>
              <w:rPr>
                <w:color w:val="000000" w:themeColor="text1"/>
                <w:sz w:val="15"/>
                <w:szCs w:val="15"/>
              </w:rPr>
            </w:pPr>
          </w:p>
        </w:tc>
        <w:tc>
          <w:tcPr>
            <w:tcW w:w="1002" w:type="dxa"/>
            <w:tcBorders>
              <w:top w:val="single" w:sz="4" w:space="0" w:color="auto"/>
              <w:bottom w:val="single" w:sz="4" w:space="0" w:color="auto"/>
            </w:tcBorders>
            <w:shd w:val="clear" w:color="auto" w:fill="92D050"/>
            <w:vAlign w:val="center"/>
          </w:tcPr>
          <w:p w14:paraId="1EE42E5B" w14:textId="77777777" w:rsidR="006B1BC2" w:rsidRPr="00542C69" w:rsidRDefault="006B1BC2" w:rsidP="00C337C1">
            <w:pPr>
              <w:pStyle w:val="NoSpacing"/>
              <w:spacing w:after="120" w:line="259" w:lineRule="auto"/>
              <w:jc w:val="center"/>
              <w:rPr>
                <w:color w:val="000000" w:themeColor="text1"/>
                <w:sz w:val="15"/>
                <w:szCs w:val="15"/>
              </w:rPr>
            </w:pPr>
            <w:r>
              <w:rPr>
                <w:color w:val="000000" w:themeColor="text1"/>
                <w:sz w:val="15"/>
                <w:szCs w:val="15"/>
              </w:rPr>
              <w:t>G</w:t>
            </w:r>
          </w:p>
        </w:tc>
        <w:tc>
          <w:tcPr>
            <w:tcW w:w="1067" w:type="dxa"/>
            <w:tcBorders>
              <w:top w:val="single" w:sz="4" w:space="0" w:color="auto"/>
              <w:bottom w:val="single" w:sz="4" w:space="0" w:color="auto"/>
            </w:tcBorders>
            <w:shd w:val="clear" w:color="auto" w:fill="FFFFFF"/>
            <w:vAlign w:val="center"/>
          </w:tcPr>
          <w:p w14:paraId="32D31D65" w14:textId="77777777" w:rsidR="006B1BC2" w:rsidRDefault="006B1BC2" w:rsidP="00C337C1">
            <w:pPr>
              <w:pStyle w:val="NoSpacing"/>
              <w:spacing w:after="120" w:line="259" w:lineRule="auto"/>
              <w:jc w:val="center"/>
              <w:rPr>
                <w:color w:val="000000" w:themeColor="text1"/>
                <w:sz w:val="15"/>
                <w:szCs w:val="15"/>
              </w:rPr>
            </w:pPr>
            <w:r>
              <w:rPr>
                <w:color w:val="000000" w:themeColor="text1"/>
                <w:sz w:val="15"/>
                <w:szCs w:val="15"/>
              </w:rPr>
              <w:t>Savings</w:t>
            </w:r>
          </w:p>
          <w:p w14:paraId="681B7857" w14:textId="77777777" w:rsidR="006B1BC2" w:rsidRPr="00542C69" w:rsidRDefault="006B1BC2" w:rsidP="002B122E">
            <w:pPr>
              <w:pStyle w:val="NoSpacing"/>
              <w:spacing w:after="120" w:line="259" w:lineRule="auto"/>
              <w:jc w:val="center"/>
              <w:rPr>
                <w:color w:val="000000" w:themeColor="text1"/>
                <w:sz w:val="15"/>
                <w:szCs w:val="15"/>
              </w:rPr>
            </w:pPr>
          </w:p>
        </w:tc>
        <w:tc>
          <w:tcPr>
            <w:tcW w:w="897" w:type="dxa"/>
            <w:tcBorders>
              <w:top w:val="single" w:sz="4" w:space="0" w:color="auto"/>
              <w:bottom w:val="single" w:sz="4" w:space="0" w:color="auto"/>
            </w:tcBorders>
            <w:shd w:val="clear" w:color="auto" w:fill="FFC000"/>
          </w:tcPr>
          <w:p w14:paraId="00E49AD8" w14:textId="01C8C4C3" w:rsidR="006B1BC2" w:rsidRDefault="006B1BC2" w:rsidP="00C337C1">
            <w:pPr>
              <w:pStyle w:val="NoSpacing"/>
              <w:spacing w:after="120" w:line="259" w:lineRule="auto"/>
              <w:jc w:val="center"/>
              <w:rPr>
                <w:color w:val="000000" w:themeColor="text1"/>
                <w:sz w:val="15"/>
                <w:szCs w:val="15"/>
              </w:rPr>
            </w:pPr>
          </w:p>
          <w:p w14:paraId="5D14FFE6" w14:textId="74AD7F04" w:rsidR="006B1BC2" w:rsidRPr="00EB2D22" w:rsidRDefault="006B1BC2" w:rsidP="00EB2D22">
            <w:pPr>
              <w:pStyle w:val="NoSpacing"/>
              <w:spacing w:after="120" w:line="259" w:lineRule="auto"/>
              <w:jc w:val="center"/>
              <w:rPr>
                <w:color w:val="000000" w:themeColor="text1"/>
                <w:sz w:val="15"/>
                <w:szCs w:val="15"/>
              </w:rPr>
            </w:pPr>
            <w:r w:rsidRPr="008747E5">
              <w:rPr>
                <w:color w:val="000000" w:themeColor="text1"/>
                <w:sz w:val="15"/>
                <w:szCs w:val="15"/>
              </w:rPr>
              <w:t>A</w:t>
            </w:r>
          </w:p>
        </w:tc>
        <w:tc>
          <w:tcPr>
            <w:tcW w:w="1276" w:type="dxa"/>
            <w:tcBorders>
              <w:top w:val="single" w:sz="4" w:space="0" w:color="auto"/>
              <w:bottom w:val="single" w:sz="4" w:space="0" w:color="auto"/>
            </w:tcBorders>
            <w:shd w:val="clear" w:color="auto" w:fill="FFFFFF" w:themeFill="background1"/>
          </w:tcPr>
          <w:p w14:paraId="09A9F393" w14:textId="77777777" w:rsidR="006B1BC2" w:rsidRDefault="006B1BC2" w:rsidP="00C337C1">
            <w:pPr>
              <w:pStyle w:val="NoSpacing"/>
              <w:spacing w:after="120" w:line="276" w:lineRule="auto"/>
              <w:jc w:val="center"/>
              <w:rPr>
                <w:color w:val="000000" w:themeColor="text1"/>
                <w:sz w:val="15"/>
                <w:szCs w:val="15"/>
              </w:rPr>
            </w:pPr>
          </w:p>
          <w:p w14:paraId="57F20540" w14:textId="77777777" w:rsidR="002B122E" w:rsidRPr="002B122E" w:rsidRDefault="006B1BC2" w:rsidP="002B122E">
            <w:pPr>
              <w:spacing w:line="276" w:lineRule="auto"/>
              <w:jc w:val="center"/>
              <w:rPr>
                <w:rFonts w:ascii="Calibri" w:eastAsia="Calibri" w:hAnsi="Calibri" w:cs="Times New Roman"/>
                <w:sz w:val="15"/>
                <w:szCs w:val="15"/>
              </w:rPr>
            </w:pPr>
            <w:r>
              <w:rPr>
                <w:color w:val="000000" w:themeColor="text1"/>
                <w:sz w:val="15"/>
                <w:szCs w:val="15"/>
              </w:rPr>
              <w:t>Benefits</w:t>
            </w:r>
            <w:r w:rsidR="002B122E" w:rsidRPr="002B122E">
              <w:rPr>
                <w:rFonts w:ascii="Calibri" w:eastAsia="Calibri" w:hAnsi="Calibri" w:cs="Times New Roman"/>
                <w:sz w:val="15"/>
                <w:szCs w:val="15"/>
              </w:rPr>
              <w:t xml:space="preserve"> </w:t>
            </w:r>
          </w:p>
          <w:p w14:paraId="7AC04096" w14:textId="6632FD16" w:rsidR="006B1BC2" w:rsidRDefault="002B122E" w:rsidP="000E0585">
            <w:pPr>
              <w:pStyle w:val="NoSpacing"/>
              <w:spacing w:after="120" w:line="276" w:lineRule="auto"/>
              <w:jc w:val="center"/>
              <w:rPr>
                <w:color w:val="000000" w:themeColor="text1"/>
                <w:sz w:val="15"/>
                <w:szCs w:val="15"/>
              </w:rPr>
            </w:pPr>
            <w:r w:rsidRPr="002B122E">
              <w:rPr>
                <w:rFonts w:ascii="Calibri" w:eastAsia="Calibri" w:hAnsi="Calibri" w:cs="Times New Roman"/>
                <w:sz w:val="15"/>
                <w:szCs w:val="15"/>
              </w:rPr>
              <w:t>£1</w:t>
            </w:r>
            <w:r w:rsidR="000E0585">
              <w:rPr>
                <w:rFonts w:ascii="Calibri" w:eastAsia="Calibri" w:hAnsi="Calibri" w:cs="Times New Roman"/>
                <w:sz w:val="15"/>
                <w:szCs w:val="15"/>
              </w:rPr>
              <w:t>5.155</w:t>
            </w:r>
            <w:r w:rsidRPr="002B122E">
              <w:rPr>
                <w:rFonts w:ascii="Calibri" w:eastAsia="Calibri" w:hAnsi="Calibri" w:cs="Times New Roman"/>
                <w:sz w:val="15"/>
                <w:szCs w:val="15"/>
              </w:rPr>
              <w:t>m – cashable and non-cashable</w:t>
            </w:r>
          </w:p>
        </w:tc>
        <w:tc>
          <w:tcPr>
            <w:tcW w:w="1134" w:type="dxa"/>
            <w:tcBorders>
              <w:top w:val="single" w:sz="4" w:space="0" w:color="auto"/>
              <w:bottom w:val="single" w:sz="4" w:space="0" w:color="auto"/>
            </w:tcBorders>
            <w:shd w:val="clear" w:color="auto" w:fill="FFC000"/>
            <w:vAlign w:val="center"/>
          </w:tcPr>
          <w:p w14:paraId="3C7AC09D" w14:textId="77777777" w:rsidR="006B1BC2" w:rsidRPr="00542C69" w:rsidRDefault="006B1BC2" w:rsidP="006B1BC2">
            <w:pPr>
              <w:pStyle w:val="NoSpacing"/>
              <w:spacing w:after="120" w:line="259" w:lineRule="auto"/>
              <w:jc w:val="center"/>
              <w:rPr>
                <w:color w:val="000000" w:themeColor="text1"/>
                <w:sz w:val="15"/>
                <w:szCs w:val="15"/>
              </w:rPr>
            </w:pPr>
            <w:r>
              <w:rPr>
                <w:color w:val="000000" w:themeColor="text1"/>
                <w:sz w:val="15"/>
                <w:szCs w:val="15"/>
              </w:rPr>
              <w:t>A</w:t>
            </w:r>
          </w:p>
        </w:tc>
      </w:tr>
    </w:tbl>
    <w:p w14:paraId="3A94F9BC" w14:textId="28CDF3D9" w:rsidR="00596A08" w:rsidRDefault="00596A08" w:rsidP="008F0D43">
      <w:pPr>
        <w:rPr>
          <w:rFonts w:ascii="Arial" w:hAnsi="Arial" w:cs="Arial"/>
          <w:sz w:val="24"/>
          <w:szCs w:val="24"/>
        </w:rPr>
      </w:pPr>
    </w:p>
    <w:p w14:paraId="0EADA89B" w14:textId="3DD9E724" w:rsidR="00766930" w:rsidRPr="005D4359" w:rsidRDefault="007E41B5" w:rsidP="00766930">
      <w:pPr>
        <w:spacing w:after="160" w:line="259" w:lineRule="auto"/>
        <w:rPr>
          <w:rFonts w:ascii="Arial" w:hAnsi="Arial" w:cs="Arial"/>
          <w:sz w:val="16"/>
          <w:szCs w:val="16"/>
        </w:rPr>
      </w:pPr>
      <w:r>
        <w:rPr>
          <w:rFonts w:ascii="Arial" w:hAnsi="Arial" w:cs="Arial"/>
          <w:sz w:val="16"/>
          <w:szCs w:val="16"/>
        </w:rPr>
        <w:t xml:space="preserve">Note </w:t>
      </w:r>
      <w:r w:rsidR="00766930" w:rsidRPr="005D4359">
        <w:rPr>
          <w:rFonts w:ascii="Arial" w:hAnsi="Arial" w:cs="Arial"/>
          <w:sz w:val="16"/>
          <w:szCs w:val="16"/>
        </w:rPr>
        <w:t>RAG assessment from SCCB pack except overall RAG</w:t>
      </w:r>
      <w:r w:rsidR="00766930">
        <w:rPr>
          <w:rFonts w:ascii="Arial" w:hAnsi="Arial" w:cs="Arial"/>
          <w:sz w:val="16"/>
          <w:szCs w:val="16"/>
        </w:rPr>
        <w:t xml:space="preserve"> </w:t>
      </w:r>
      <w:r>
        <w:rPr>
          <w:rFonts w:ascii="Arial" w:hAnsi="Arial" w:cs="Arial"/>
          <w:sz w:val="16"/>
          <w:szCs w:val="16"/>
        </w:rPr>
        <w:t xml:space="preserve">which </w:t>
      </w:r>
      <w:r w:rsidR="00766930">
        <w:rPr>
          <w:rFonts w:ascii="Arial" w:hAnsi="Arial" w:cs="Arial"/>
          <w:sz w:val="16"/>
          <w:szCs w:val="16"/>
        </w:rPr>
        <w:t>was determined for this report.</w:t>
      </w:r>
    </w:p>
    <w:p w14:paraId="531F6E93" w14:textId="448A0867" w:rsidR="008F0D43" w:rsidRPr="00552390" w:rsidRDefault="008F0D43" w:rsidP="008F0D43">
      <w:pPr>
        <w:rPr>
          <w:rFonts w:ascii="Arial" w:hAnsi="Arial" w:cs="Arial"/>
          <w:sz w:val="24"/>
          <w:szCs w:val="24"/>
        </w:rPr>
      </w:pPr>
      <w:r w:rsidRPr="00204056">
        <w:rPr>
          <w:rFonts w:ascii="Arial" w:hAnsi="Arial" w:cs="Arial"/>
          <w:sz w:val="24"/>
          <w:szCs w:val="24"/>
          <w:lang w:eastAsia="en-GB"/>
        </w:rPr>
        <w:t xml:space="preserve">Collaborative partnerships and full integration are being explored in all areas of responsibility of both Essex Police and ECFRS where there is the potential for improving economy, efficiency and effectiveness. </w:t>
      </w:r>
      <w:r w:rsidR="00C92D4B">
        <w:rPr>
          <w:rFonts w:ascii="Arial" w:hAnsi="Arial" w:cs="Arial"/>
          <w:sz w:val="24"/>
          <w:szCs w:val="24"/>
          <w:lang w:eastAsia="en-GB"/>
        </w:rPr>
        <w:t xml:space="preserve">The </w:t>
      </w:r>
      <w:r w:rsidR="00456237" w:rsidRPr="00204056">
        <w:rPr>
          <w:rFonts w:ascii="Arial" w:hAnsi="Arial" w:cs="Arial"/>
          <w:sz w:val="24"/>
          <w:szCs w:val="24"/>
          <w:lang w:eastAsia="en-GB"/>
        </w:rPr>
        <w:t>Strategic Programme of Work – covers Fleet, Procurement, shared estate, ICT convergence and joint Community Safety.  Assurance is through quarterly S</w:t>
      </w:r>
      <w:r w:rsidR="005A57CC">
        <w:rPr>
          <w:rFonts w:ascii="Arial" w:hAnsi="Arial" w:cs="Arial"/>
          <w:sz w:val="24"/>
          <w:szCs w:val="24"/>
          <w:lang w:eastAsia="en-GB"/>
        </w:rPr>
        <w:t>tar</w:t>
      </w:r>
      <w:r w:rsidR="00456237" w:rsidRPr="00204056">
        <w:rPr>
          <w:rFonts w:ascii="Arial" w:hAnsi="Arial" w:cs="Arial"/>
          <w:sz w:val="24"/>
          <w:szCs w:val="24"/>
          <w:lang w:eastAsia="en-GB"/>
        </w:rPr>
        <w:t xml:space="preserve"> </w:t>
      </w:r>
      <w:r w:rsidR="005A57CC">
        <w:rPr>
          <w:rFonts w:ascii="Arial" w:hAnsi="Arial" w:cs="Arial"/>
          <w:sz w:val="24"/>
          <w:szCs w:val="24"/>
          <w:lang w:eastAsia="en-GB"/>
        </w:rPr>
        <w:t>C</w:t>
      </w:r>
      <w:r w:rsidR="00456237" w:rsidRPr="00204056">
        <w:rPr>
          <w:rFonts w:ascii="Arial" w:hAnsi="Arial" w:cs="Arial"/>
          <w:sz w:val="24"/>
          <w:szCs w:val="24"/>
          <w:lang w:eastAsia="en-GB"/>
        </w:rPr>
        <w:t>hambers with C</w:t>
      </w:r>
      <w:r w:rsidR="003F3D63">
        <w:rPr>
          <w:rFonts w:ascii="Arial" w:hAnsi="Arial" w:cs="Arial"/>
          <w:sz w:val="24"/>
          <w:szCs w:val="24"/>
          <w:lang w:eastAsia="en-GB"/>
        </w:rPr>
        <w:t xml:space="preserve">hief </w:t>
      </w:r>
      <w:r w:rsidR="00456237" w:rsidRPr="00204056">
        <w:rPr>
          <w:rFonts w:ascii="Arial" w:hAnsi="Arial" w:cs="Arial"/>
          <w:sz w:val="24"/>
          <w:szCs w:val="24"/>
          <w:lang w:eastAsia="en-GB"/>
        </w:rPr>
        <w:t>C</w:t>
      </w:r>
      <w:r w:rsidR="003F3D63">
        <w:rPr>
          <w:rFonts w:ascii="Arial" w:hAnsi="Arial" w:cs="Arial"/>
          <w:sz w:val="24"/>
          <w:szCs w:val="24"/>
          <w:lang w:eastAsia="en-GB"/>
        </w:rPr>
        <w:t>onstable,</w:t>
      </w:r>
      <w:r w:rsidR="00456237" w:rsidRPr="00204056">
        <w:rPr>
          <w:rFonts w:ascii="Arial" w:hAnsi="Arial" w:cs="Arial"/>
          <w:sz w:val="24"/>
          <w:szCs w:val="24"/>
          <w:lang w:eastAsia="en-GB"/>
        </w:rPr>
        <w:t xml:space="preserve"> </w:t>
      </w:r>
      <w:r w:rsidR="003F3D63">
        <w:rPr>
          <w:rFonts w:ascii="Arial" w:hAnsi="Arial" w:cs="Arial"/>
          <w:sz w:val="24"/>
          <w:szCs w:val="24"/>
          <w:lang w:eastAsia="en-GB"/>
        </w:rPr>
        <w:t>Chief Finance Officer and</w:t>
      </w:r>
      <w:r w:rsidR="00456237" w:rsidRPr="00204056">
        <w:rPr>
          <w:rFonts w:ascii="Arial" w:hAnsi="Arial" w:cs="Arial"/>
          <w:sz w:val="24"/>
          <w:szCs w:val="24"/>
          <w:lang w:eastAsia="en-GB"/>
        </w:rPr>
        <w:t xml:space="preserve"> the monthly Strategic </w:t>
      </w:r>
      <w:r w:rsidR="007678E2">
        <w:rPr>
          <w:rFonts w:ascii="Arial" w:hAnsi="Arial" w:cs="Arial"/>
          <w:sz w:val="24"/>
          <w:szCs w:val="24"/>
          <w:lang w:eastAsia="en-GB"/>
        </w:rPr>
        <w:t xml:space="preserve">Collaboration </w:t>
      </w:r>
      <w:r w:rsidR="00456237" w:rsidRPr="00204056">
        <w:rPr>
          <w:rFonts w:ascii="Arial" w:hAnsi="Arial" w:cs="Arial"/>
          <w:sz w:val="24"/>
          <w:szCs w:val="24"/>
          <w:lang w:eastAsia="en-GB"/>
        </w:rPr>
        <w:t xml:space="preserve">Governance Board (SGB). </w:t>
      </w:r>
      <w:r w:rsidRPr="00552390">
        <w:rPr>
          <w:rFonts w:ascii="Arial" w:hAnsi="Arial" w:cs="Arial"/>
          <w:sz w:val="24"/>
          <w:szCs w:val="24"/>
        </w:rPr>
        <w:t>Recent updates are highlighted below:-</w:t>
      </w:r>
    </w:p>
    <w:p w14:paraId="2EDAA964" w14:textId="77777777" w:rsidR="00F3290B" w:rsidRPr="00F3290B" w:rsidRDefault="00F3290B" w:rsidP="00193C62">
      <w:pPr>
        <w:pStyle w:val="ListParagraph"/>
        <w:numPr>
          <w:ilvl w:val="0"/>
          <w:numId w:val="8"/>
        </w:numPr>
        <w:rPr>
          <w:rFonts w:cs="Arial"/>
          <w:szCs w:val="24"/>
        </w:rPr>
      </w:pPr>
      <w:r w:rsidRPr="00F3290B">
        <w:rPr>
          <w:rFonts w:cs="Arial"/>
          <w:szCs w:val="24"/>
        </w:rPr>
        <w:t xml:space="preserve">Assurance workshops, with the Finance teams from Fire and Police, have taken place to review the financial benefits for the Tactical Projects.  </w:t>
      </w:r>
    </w:p>
    <w:p w14:paraId="15A11FAC" w14:textId="166183A7" w:rsidR="00F3290B" w:rsidRPr="00F3290B" w:rsidRDefault="00F3290B" w:rsidP="00193C62">
      <w:pPr>
        <w:pStyle w:val="ListParagraph"/>
        <w:numPr>
          <w:ilvl w:val="0"/>
          <w:numId w:val="8"/>
        </w:numPr>
        <w:rPr>
          <w:rFonts w:cs="Arial"/>
          <w:szCs w:val="24"/>
        </w:rPr>
      </w:pPr>
      <w:r w:rsidRPr="00F3290B">
        <w:rPr>
          <w:rFonts w:cs="Arial"/>
          <w:szCs w:val="24"/>
        </w:rPr>
        <w:t xml:space="preserve">Revised Terms of </w:t>
      </w:r>
      <w:r w:rsidR="00C92D4B">
        <w:rPr>
          <w:rFonts w:cs="Arial"/>
          <w:szCs w:val="24"/>
        </w:rPr>
        <w:t>R</w:t>
      </w:r>
      <w:r w:rsidRPr="00F3290B">
        <w:rPr>
          <w:rFonts w:cs="Arial"/>
          <w:szCs w:val="24"/>
        </w:rPr>
        <w:t>eference for the</w:t>
      </w:r>
      <w:r w:rsidR="007678E2">
        <w:rPr>
          <w:rFonts w:cs="Arial"/>
          <w:szCs w:val="24"/>
        </w:rPr>
        <w:t xml:space="preserve"> </w:t>
      </w:r>
      <w:r w:rsidR="005A57CC">
        <w:rPr>
          <w:rFonts w:cs="Arial"/>
          <w:szCs w:val="24"/>
        </w:rPr>
        <w:t>SGB</w:t>
      </w:r>
      <w:r w:rsidRPr="00F3290B">
        <w:rPr>
          <w:rFonts w:cs="Arial"/>
          <w:szCs w:val="24"/>
        </w:rPr>
        <w:t xml:space="preserve"> have been adopted and the revised Programme Board ToR were discussed and agreed at the Board on 22 August</w:t>
      </w:r>
      <w:r w:rsidR="000F474B">
        <w:rPr>
          <w:rFonts w:cs="Arial"/>
          <w:szCs w:val="24"/>
        </w:rPr>
        <w:t xml:space="preserve"> 2019</w:t>
      </w:r>
      <w:r w:rsidRPr="00F3290B">
        <w:rPr>
          <w:rFonts w:cs="Arial"/>
          <w:szCs w:val="24"/>
        </w:rPr>
        <w:t>. These</w:t>
      </w:r>
      <w:r w:rsidR="009C1415">
        <w:rPr>
          <w:rFonts w:cs="Arial"/>
          <w:szCs w:val="24"/>
        </w:rPr>
        <w:t xml:space="preserve"> have</w:t>
      </w:r>
      <w:r w:rsidRPr="00F3290B">
        <w:rPr>
          <w:rFonts w:cs="Arial"/>
          <w:szCs w:val="24"/>
        </w:rPr>
        <w:t xml:space="preserve"> been developed to ensure a consistency of approach to the governance process.</w:t>
      </w:r>
      <w:r w:rsidR="000F474B">
        <w:rPr>
          <w:rFonts w:cs="Arial"/>
          <w:szCs w:val="24"/>
        </w:rPr>
        <w:t xml:space="preserve">  The ToR were agreed in September at the SGB and guidance and templates will be developed to support the revised ToR in December 2019.</w:t>
      </w:r>
    </w:p>
    <w:p w14:paraId="3F3DF2C3" w14:textId="3CE6FF50" w:rsidR="00F3290B" w:rsidRDefault="00F3290B" w:rsidP="00193C62">
      <w:pPr>
        <w:pStyle w:val="ListParagraph"/>
        <w:numPr>
          <w:ilvl w:val="0"/>
          <w:numId w:val="8"/>
        </w:numPr>
        <w:rPr>
          <w:rFonts w:cs="Arial"/>
          <w:szCs w:val="24"/>
        </w:rPr>
      </w:pPr>
      <w:r w:rsidRPr="00F3290B">
        <w:rPr>
          <w:rFonts w:cs="Arial"/>
          <w:szCs w:val="24"/>
        </w:rPr>
        <w:t>Additional Shared use of Fire stations – The next round of enabling 20 fire stations as drop-ins has commenced, with Witham fire station holding inductions from 15</w:t>
      </w:r>
      <w:r w:rsidR="000F474B" w:rsidRPr="000F474B">
        <w:rPr>
          <w:rFonts w:cs="Arial"/>
          <w:szCs w:val="24"/>
          <w:vertAlign w:val="superscript"/>
        </w:rPr>
        <w:t>th</w:t>
      </w:r>
      <w:r w:rsidRPr="00F3290B">
        <w:rPr>
          <w:rFonts w:cs="Arial"/>
          <w:szCs w:val="24"/>
        </w:rPr>
        <w:t xml:space="preserve"> August. </w:t>
      </w:r>
    </w:p>
    <w:p w14:paraId="77CA94F3" w14:textId="7A68D423" w:rsidR="00456237" w:rsidRDefault="005A57CC" w:rsidP="00193C62">
      <w:pPr>
        <w:pStyle w:val="ListParagraph"/>
        <w:numPr>
          <w:ilvl w:val="0"/>
          <w:numId w:val="8"/>
        </w:numPr>
        <w:rPr>
          <w:rFonts w:cs="Arial"/>
          <w:szCs w:val="24"/>
        </w:rPr>
      </w:pPr>
      <w:bookmarkStart w:id="3" w:name="_Hlk26520133"/>
      <w:r>
        <w:rPr>
          <w:rFonts w:cs="Arial"/>
          <w:szCs w:val="24"/>
        </w:rPr>
        <w:t>Five thermal imaging cameras have been donated from Fire to OSG, FSU and each LPA. Usage is subject of regular review and recently a camera was used</w:t>
      </w:r>
      <w:r w:rsidR="000F474B">
        <w:rPr>
          <w:rFonts w:cs="Arial"/>
          <w:szCs w:val="24"/>
        </w:rPr>
        <w:t xml:space="preserve"> on</w:t>
      </w:r>
      <w:r w:rsidR="00C92D4B">
        <w:rPr>
          <w:rFonts w:cs="Arial"/>
          <w:szCs w:val="24"/>
        </w:rPr>
        <w:t xml:space="preserve"> </w:t>
      </w:r>
      <w:r w:rsidR="00581949">
        <w:rPr>
          <w:rFonts w:cs="Arial"/>
          <w:szCs w:val="24"/>
        </w:rPr>
        <w:t>the South</w:t>
      </w:r>
      <w:r w:rsidR="000F474B">
        <w:rPr>
          <w:rFonts w:cs="Arial"/>
          <w:szCs w:val="24"/>
        </w:rPr>
        <w:t xml:space="preserve"> LPA</w:t>
      </w:r>
      <w:r>
        <w:rPr>
          <w:rFonts w:cs="Arial"/>
          <w:szCs w:val="24"/>
        </w:rPr>
        <w:t xml:space="preserve"> to help locate a High Risk Missing Person.</w:t>
      </w:r>
    </w:p>
    <w:bookmarkEnd w:id="3"/>
    <w:p w14:paraId="69854B2D" w14:textId="37AD6534" w:rsidR="005A57CC" w:rsidRDefault="005A57CC" w:rsidP="00193C62">
      <w:pPr>
        <w:pStyle w:val="ListParagraph"/>
        <w:numPr>
          <w:ilvl w:val="0"/>
          <w:numId w:val="8"/>
        </w:numPr>
        <w:rPr>
          <w:rFonts w:cs="Arial"/>
          <w:szCs w:val="24"/>
        </w:rPr>
      </w:pPr>
      <w:r>
        <w:rPr>
          <w:rFonts w:cs="Arial"/>
          <w:szCs w:val="24"/>
        </w:rPr>
        <w:t>Closure reports for Tactical 10 projects went to November SGB</w:t>
      </w:r>
      <w:r w:rsidR="000F474B">
        <w:rPr>
          <w:rFonts w:cs="Arial"/>
          <w:szCs w:val="24"/>
        </w:rPr>
        <w:t>.</w:t>
      </w:r>
    </w:p>
    <w:p w14:paraId="12104BFE" w14:textId="04DD65D3" w:rsidR="000F474B" w:rsidRPr="00456237" w:rsidRDefault="000F474B" w:rsidP="00193C62">
      <w:pPr>
        <w:pStyle w:val="ListParagraph"/>
        <w:numPr>
          <w:ilvl w:val="0"/>
          <w:numId w:val="8"/>
        </w:numPr>
        <w:rPr>
          <w:rFonts w:cs="Arial"/>
          <w:szCs w:val="24"/>
        </w:rPr>
      </w:pPr>
      <w:r>
        <w:rPr>
          <w:rFonts w:cs="Arial"/>
          <w:szCs w:val="24"/>
        </w:rPr>
        <w:t>Strategic Planning Project (linked to future growth in Essex) was presented to COG on 30</w:t>
      </w:r>
      <w:r w:rsidRPr="000F474B">
        <w:rPr>
          <w:rFonts w:cs="Arial"/>
          <w:szCs w:val="24"/>
          <w:vertAlign w:val="superscript"/>
        </w:rPr>
        <w:t>th</w:t>
      </w:r>
      <w:r>
        <w:rPr>
          <w:rFonts w:cs="Arial"/>
          <w:szCs w:val="24"/>
        </w:rPr>
        <w:t xml:space="preserve"> September and Fire SLT to facilitate the formulation of future-thinking principles. Continuing to build appropriate networks and gather relevant information in order to ensure that Essex Emergency Services are engaged and consulted with on new developments before they are designed and to avoid retrospective design</w:t>
      </w:r>
      <w:r w:rsidR="00C92D4B">
        <w:rPr>
          <w:rFonts w:cs="Arial"/>
          <w:szCs w:val="24"/>
        </w:rPr>
        <w:t xml:space="preserve"> </w:t>
      </w:r>
      <w:r>
        <w:rPr>
          <w:rFonts w:cs="Arial"/>
          <w:szCs w:val="24"/>
        </w:rPr>
        <w:t>cost.</w:t>
      </w:r>
    </w:p>
    <w:p w14:paraId="0B0C8329" w14:textId="77777777" w:rsidR="00456237" w:rsidRPr="00550D28" w:rsidRDefault="00456237" w:rsidP="00204056">
      <w:pPr>
        <w:framePr w:h="1918" w:hRule="exact" w:hSpace="180" w:wrap="around" w:vAnchor="text" w:hAnchor="page" w:x="1129" w:y="661"/>
        <w:rPr>
          <w:rFonts w:ascii="Arial" w:hAnsi="Arial" w:cs="Arial"/>
          <w:b/>
          <w:sz w:val="24"/>
          <w:szCs w:val="24"/>
          <w:u w:val="single"/>
        </w:rPr>
      </w:pPr>
      <w:r w:rsidRPr="00550D28">
        <w:rPr>
          <w:rFonts w:ascii="Arial" w:hAnsi="Arial" w:cs="Arial"/>
          <w:b/>
          <w:sz w:val="24"/>
          <w:szCs w:val="24"/>
          <w:u w:val="single"/>
        </w:rPr>
        <w:lastRenderedPageBreak/>
        <w:t>Local crime reduction collaborations e.g. community hubs</w:t>
      </w:r>
    </w:p>
    <w:tbl>
      <w:tblPr>
        <w:tblStyle w:val="TableGrid27"/>
        <w:tblW w:w="9351" w:type="dxa"/>
        <w:tblLook w:val="04A0" w:firstRow="1" w:lastRow="0" w:firstColumn="1" w:lastColumn="0" w:noHBand="0" w:noVBand="1"/>
      </w:tblPr>
      <w:tblGrid>
        <w:gridCol w:w="996"/>
        <w:gridCol w:w="938"/>
        <w:gridCol w:w="1001"/>
        <w:gridCol w:w="1040"/>
        <w:gridCol w:w="1002"/>
        <w:gridCol w:w="1067"/>
        <w:gridCol w:w="897"/>
        <w:gridCol w:w="1276"/>
        <w:gridCol w:w="1134"/>
      </w:tblGrid>
      <w:tr w:rsidR="00456237" w:rsidRPr="00550D28" w14:paraId="0A52425A" w14:textId="77777777" w:rsidTr="003B0428">
        <w:trPr>
          <w:trHeight w:val="396"/>
        </w:trPr>
        <w:tc>
          <w:tcPr>
            <w:tcW w:w="996" w:type="dxa"/>
            <w:tcBorders>
              <w:top w:val="single" w:sz="12" w:space="0" w:color="auto"/>
              <w:bottom w:val="single" w:sz="12" w:space="0" w:color="auto"/>
            </w:tcBorders>
            <w:shd w:val="clear" w:color="auto" w:fill="92D050"/>
            <w:vAlign w:val="center"/>
          </w:tcPr>
          <w:p w14:paraId="7A107AE8" w14:textId="77777777" w:rsidR="00456237" w:rsidRPr="003F5350" w:rsidRDefault="00456237" w:rsidP="00204056">
            <w:pPr>
              <w:framePr w:h="1918" w:hRule="exact" w:hSpace="180" w:wrap="around" w:vAnchor="text" w:hAnchor="page" w:x="1129" w:y="661"/>
              <w:jc w:val="center"/>
              <w:rPr>
                <w:rFonts w:ascii="Calibri" w:eastAsia="Calibri" w:hAnsi="Calibri" w:cs="Calibri"/>
                <w:b/>
                <w:sz w:val="14"/>
                <w:szCs w:val="14"/>
              </w:rPr>
            </w:pPr>
            <w:r w:rsidRPr="003F5350">
              <w:rPr>
                <w:rFonts w:ascii="Calibri" w:eastAsia="Calibri" w:hAnsi="Calibri" w:cs="Calibri"/>
                <w:b/>
                <w:sz w:val="14"/>
                <w:szCs w:val="14"/>
              </w:rPr>
              <w:t>Overall RAG</w:t>
            </w:r>
          </w:p>
          <w:p w14:paraId="65480D44" w14:textId="77777777" w:rsidR="00456237" w:rsidRPr="003F5350" w:rsidRDefault="00456237" w:rsidP="00204056">
            <w:pPr>
              <w:framePr w:h="1918" w:hRule="exact" w:hSpace="180" w:wrap="around" w:vAnchor="text" w:hAnchor="page" w:x="1129" w:y="661"/>
              <w:jc w:val="center"/>
              <w:rPr>
                <w:rFonts w:ascii="Calibri" w:eastAsia="Calibri" w:hAnsi="Calibri" w:cs="Calibri"/>
                <w:b/>
                <w:color w:val="FF0000"/>
                <w:sz w:val="14"/>
                <w:szCs w:val="14"/>
              </w:rPr>
            </w:pPr>
            <w:r w:rsidRPr="003F5350">
              <w:rPr>
                <w:rFonts w:ascii="Calibri" w:eastAsia="Calibri" w:hAnsi="Calibri" w:cs="Calibri"/>
                <w:b/>
                <w:sz w:val="14"/>
                <w:szCs w:val="14"/>
              </w:rPr>
              <w:t>Green</w:t>
            </w:r>
          </w:p>
        </w:tc>
        <w:tc>
          <w:tcPr>
            <w:tcW w:w="938" w:type="dxa"/>
            <w:tcBorders>
              <w:top w:val="single" w:sz="4" w:space="0" w:color="auto"/>
              <w:bottom w:val="single" w:sz="4" w:space="0" w:color="auto"/>
            </w:tcBorders>
            <w:shd w:val="clear" w:color="auto" w:fill="FFFFFF"/>
            <w:vAlign w:val="center"/>
          </w:tcPr>
          <w:p w14:paraId="1831D4A1" w14:textId="77777777" w:rsidR="00456237" w:rsidRPr="003F5350" w:rsidRDefault="00456237" w:rsidP="00204056">
            <w:pPr>
              <w:pStyle w:val="NoSpacing"/>
              <w:framePr w:h="1918" w:hRule="exact" w:hSpace="180" w:wrap="around" w:vAnchor="text" w:hAnchor="page" w:x="1129" w:y="661"/>
              <w:spacing w:after="120" w:line="259" w:lineRule="auto"/>
              <w:jc w:val="center"/>
              <w:rPr>
                <w:rFonts w:ascii="Calibri" w:hAnsi="Calibri" w:cs="Calibri"/>
                <w:color w:val="000000" w:themeColor="text1"/>
                <w:sz w:val="14"/>
                <w:szCs w:val="14"/>
              </w:rPr>
            </w:pPr>
            <w:r w:rsidRPr="003F5350">
              <w:rPr>
                <w:rFonts w:ascii="Calibri" w:hAnsi="Calibri" w:cs="Calibri"/>
                <w:color w:val="000000" w:themeColor="text1"/>
                <w:sz w:val="14"/>
                <w:szCs w:val="14"/>
              </w:rPr>
              <w:t>Time</w:t>
            </w:r>
          </w:p>
        </w:tc>
        <w:tc>
          <w:tcPr>
            <w:tcW w:w="1001" w:type="dxa"/>
            <w:tcBorders>
              <w:top w:val="single" w:sz="4" w:space="0" w:color="auto"/>
              <w:bottom w:val="single" w:sz="4" w:space="0" w:color="auto"/>
            </w:tcBorders>
            <w:shd w:val="clear" w:color="auto" w:fill="92D050"/>
            <w:vAlign w:val="center"/>
          </w:tcPr>
          <w:p w14:paraId="4AB6DFAE" w14:textId="77777777" w:rsidR="00456237" w:rsidRPr="003F5350" w:rsidRDefault="00456237" w:rsidP="00204056">
            <w:pPr>
              <w:pStyle w:val="NoSpacing"/>
              <w:framePr w:h="1918" w:hRule="exact" w:hSpace="180" w:wrap="around" w:vAnchor="text" w:hAnchor="page" w:x="1129" w:y="661"/>
              <w:spacing w:after="120" w:line="259" w:lineRule="auto"/>
              <w:jc w:val="center"/>
              <w:rPr>
                <w:rFonts w:ascii="Calibri" w:hAnsi="Calibri" w:cs="Calibri"/>
                <w:color w:val="000000" w:themeColor="text1"/>
                <w:sz w:val="14"/>
                <w:szCs w:val="14"/>
              </w:rPr>
            </w:pPr>
            <w:r w:rsidRPr="003F5350">
              <w:rPr>
                <w:rFonts w:ascii="Calibri" w:hAnsi="Calibri" w:cs="Calibri"/>
                <w:color w:val="000000" w:themeColor="text1"/>
                <w:sz w:val="14"/>
                <w:szCs w:val="14"/>
              </w:rPr>
              <w:t>G</w:t>
            </w:r>
          </w:p>
        </w:tc>
        <w:tc>
          <w:tcPr>
            <w:tcW w:w="1040" w:type="dxa"/>
            <w:tcBorders>
              <w:top w:val="single" w:sz="4" w:space="0" w:color="auto"/>
              <w:bottom w:val="single" w:sz="4" w:space="0" w:color="auto"/>
            </w:tcBorders>
            <w:shd w:val="clear" w:color="auto" w:fill="FFFFFF"/>
            <w:vAlign w:val="center"/>
          </w:tcPr>
          <w:p w14:paraId="64B00314" w14:textId="77777777" w:rsidR="00456237" w:rsidRPr="003F5350" w:rsidRDefault="00456237" w:rsidP="00204056">
            <w:pPr>
              <w:pStyle w:val="NoSpacing"/>
              <w:framePr w:h="1918" w:hRule="exact" w:hSpace="180" w:wrap="around" w:vAnchor="text" w:hAnchor="page" w:x="1129" w:y="661"/>
              <w:spacing w:after="120" w:line="259" w:lineRule="auto"/>
              <w:jc w:val="center"/>
              <w:rPr>
                <w:rFonts w:ascii="Calibri" w:hAnsi="Calibri" w:cs="Calibri"/>
                <w:color w:val="000000" w:themeColor="text1"/>
                <w:sz w:val="14"/>
                <w:szCs w:val="14"/>
              </w:rPr>
            </w:pPr>
          </w:p>
          <w:p w14:paraId="4F73138C" w14:textId="77777777" w:rsidR="00456237" w:rsidRPr="003F5350" w:rsidRDefault="00456237" w:rsidP="00204056">
            <w:pPr>
              <w:pStyle w:val="NoSpacing"/>
              <w:framePr w:h="1918" w:hRule="exact" w:hSpace="180" w:wrap="around" w:vAnchor="text" w:hAnchor="page" w:x="1129" w:y="661"/>
              <w:spacing w:after="120" w:line="259" w:lineRule="auto"/>
              <w:jc w:val="center"/>
              <w:rPr>
                <w:rFonts w:ascii="Calibri" w:hAnsi="Calibri" w:cs="Calibri"/>
                <w:color w:val="000000" w:themeColor="text1"/>
                <w:sz w:val="14"/>
                <w:szCs w:val="14"/>
              </w:rPr>
            </w:pPr>
            <w:r w:rsidRPr="003F5350">
              <w:rPr>
                <w:rFonts w:ascii="Calibri" w:hAnsi="Calibri" w:cs="Calibri"/>
                <w:color w:val="000000" w:themeColor="text1"/>
                <w:sz w:val="14"/>
                <w:szCs w:val="14"/>
              </w:rPr>
              <w:t>Costs</w:t>
            </w:r>
          </w:p>
          <w:p w14:paraId="0CC1B050" w14:textId="77777777" w:rsidR="00456237" w:rsidRPr="003F5350" w:rsidRDefault="00456237" w:rsidP="00204056">
            <w:pPr>
              <w:framePr w:h="1918" w:hRule="exact" w:hSpace="180" w:wrap="around" w:vAnchor="text" w:hAnchor="page" w:x="1129" w:y="661"/>
              <w:jc w:val="center"/>
              <w:rPr>
                <w:rFonts w:ascii="Calibri" w:hAnsi="Calibri" w:cs="Calibri"/>
                <w:color w:val="000000" w:themeColor="text1"/>
                <w:sz w:val="14"/>
                <w:szCs w:val="14"/>
              </w:rPr>
            </w:pPr>
            <w:r w:rsidRPr="003F5350">
              <w:rPr>
                <w:rFonts w:ascii="Calibri" w:eastAsia="Calibri" w:hAnsi="Calibri" w:cs="Calibri"/>
                <w:noProof/>
                <w:sz w:val="14"/>
                <w:szCs w:val="14"/>
                <w:lang w:eastAsia="en-GB"/>
              </w:rPr>
              <w:t>£ 100k</w:t>
            </w:r>
          </w:p>
          <w:p w14:paraId="7D95A75A" w14:textId="77777777" w:rsidR="00456237" w:rsidRPr="003F5350" w:rsidRDefault="00456237" w:rsidP="00204056">
            <w:pPr>
              <w:pStyle w:val="NoSpacing"/>
              <w:framePr w:h="1918" w:hRule="exact" w:hSpace="180" w:wrap="around" w:vAnchor="text" w:hAnchor="page" w:x="1129" w:y="661"/>
              <w:spacing w:after="120" w:line="259" w:lineRule="auto"/>
              <w:jc w:val="center"/>
              <w:rPr>
                <w:rFonts w:ascii="Calibri" w:hAnsi="Calibri" w:cs="Calibri"/>
                <w:color w:val="000000" w:themeColor="text1"/>
                <w:sz w:val="14"/>
                <w:szCs w:val="14"/>
              </w:rPr>
            </w:pPr>
          </w:p>
        </w:tc>
        <w:tc>
          <w:tcPr>
            <w:tcW w:w="1002" w:type="dxa"/>
            <w:tcBorders>
              <w:top w:val="single" w:sz="4" w:space="0" w:color="auto"/>
              <w:bottom w:val="single" w:sz="4" w:space="0" w:color="auto"/>
            </w:tcBorders>
            <w:shd w:val="clear" w:color="auto" w:fill="92D050"/>
            <w:vAlign w:val="center"/>
          </w:tcPr>
          <w:p w14:paraId="71423409" w14:textId="77777777" w:rsidR="00456237" w:rsidRPr="003F5350" w:rsidRDefault="00456237" w:rsidP="00204056">
            <w:pPr>
              <w:pStyle w:val="NoSpacing"/>
              <w:framePr w:h="1918" w:hRule="exact" w:hSpace="180" w:wrap="around" w:vAnchor="text" w:hAnchor="page" w:x="1129" w:y="661"/>
              <w:spacing w:after="120" w:line="259" w:lineRule="auto"/>
              <w:jc w:val="center"/>
              <w:rPr>
                <w:rFonts w:ascii="Calibri" w:hAnsi="Calibri" w:cs="Calibri"/>
                <w:color w:val="000000" w:themeColor="text1"/>
                <w:sz w:val="14"/>
                <w:szCs w:val="14"/>
              </w:rPr>
            </w:pPr>
            <w:r w:rsidRPr="003F5350">
              <w:rPr>
                <w:rFonts w:ascii="Calibri" w:hAnsi="Calibri" w:cs="Calibri"/>
                <w:color w:val="000000" w:themeColor="text1"/>
                <w:sz w:val="14"/>
                <w:szCs w:val="14"/>
              </w:rPr>
              <w:t>G</w:t>
            </w:r>
          </w:p>
        </w:tc>
        <w:tc>
          <w:tcPr>
            <w:tcW w:w="1067" w:type="dxa"/>
            <w:tcBorders>
              <w:top w:val="single" w:sz="4" w:space="0" w:color="auto"/>
              <w:bottom w:val="single" w:sz="4" w:space="0" w:color="auto"/>
            </w:tcBorders>
            <w:shd w:val="clear" w:color="auto" w:fill="FFFFFF"/>
            <w:vAlign w:val="center"/>
          </w:tcPr>
          <w:p w14:paraId="13D31F5B" w14:textId="77777777" w:rsidR="00456237" w:rsidRPr="003F5350" w:rsidRDefault="00456237" w:rsidP="00204056">
            <w:pPr>
              <w:pStyle w:val="NoSpacing"/>
              <w:framePr w:h="1918" w:hRule="exact" w:hSpace="180" w:wrap="around" w:vAnchor="text" w:hAnchor="page" w:x="1129" w:y="661"/>
              <w:spacing w:after="120" w:line="259" w:lineRule="auto"/>
              <w:jc w:val="center"/>
              <w:rPr>
                <w:rFonts w:ascii="Calibri" w:hAnsi="Calibri" w:cs="Calibri"/>
                <w:color w:val="000000" w:themeColor="text1"/>
                <w:sz w:val="14"/>
                <w:szCs w:val="14"/>
              </w:rPr>
            </w:pPr>
          </w:p>
          <w:p w14:paraId="256690B2" w14:textId="77777777" w:rsidR="00456237" w:rsidRPr="003F5350" w:rsidRDefault="00456237" w:rsidP="00204056">
            <w:pPr>
              <w:pStyle w:val="NoSpacing"/>
              <w:framePr w:h="1918" w:hRule="exact" w:hSpace="180" w:wrap="around" w:vAnchor="text" w:hAnchor="page" w:x="1129" w:y="661"/>
              <w:spacing w:after="120" w:line="259" w:lineRule="auto"/>
              <w:jc w:val="center"/>
              <w:rPr>
                <w:rFonts w:ascii="Calibri" w:hAnsi="Calibri" w:cs="Calibri"/>
                <w:color w:val="000000" w:themeColor="text1"/>
                <w:sz w:val="14"/>
                <w:szCs w:val="14"/>
              </w:rPr>
            </w:pPr>
            <w:r w:rsidRPr="003F5350">
              <w:rPr>
                <w:rFonts w:ascii="Calibri" w:hAnsi="Calibri" w:cs="Calibri"/>
                <w:color w:val="000000" w:themeColor="text1"/>
                <w:sz w:val="14"/>
                <w:szCs w:val="14"/>
              </w:rPr>
              <w:t>Savings</w:t>
            </w:r>
          </w:p>
          <w:p w14:paraId="6AC9BDB3" w14:textId="77777777" w:rsidR="00456237" w:rsidRPr="003F5350" w:rsidRDefault="00456237" w:rsidP="00204056">
            <w:pPr>
              <w:pStyle w:val="NoSpacing"/>
              <w:framePr w:h="1918" w:hRule="exact" w:hSpace="180" w:wrap="around" w:vAnchor="text" w:hAnchor="page" w:x="1129" w:y="661"/>
              <w:spacing w:after="120" w:line="259" w:lineRule="auto"/>
              <w:jc w:val="center"/>
              <w:rPr>
                <w:rFonts w:ascii="Calibri" w:hAnsi="Calibri" w:cs="Calibri"/>
                <w:color w:val="000000" w:themeColor="text1"/>
                <w:sz w:val="14"/>
                <w:szCs w:val="14"/>
              </w:rPr>
            </w:pPr>
          </w:p>
        </w:tc>
        <w:tc>
          <w:tcPr>
            <w:tcW w:w="897" w:type="dxa"/>
            <w:tcBorders>
              <w:top w:val="single" w:sz="4" w:space="0" w:color="auto"/>
              <w:bottom w:val="single" w:sz="4" w:space="0" w:color="auto"/>
            </w:tcBorders>
            <w:shd w:val="clear" w:color="auto" w:fill="FFFFFF" w:themeFill="background1"/>
          </w:tcPr>
          <w:p w14:paraId="587F6F57" w14:textId="77777777" w:rsidR="00456237" w:rsidRPr="003F5350" w:rsidRDefault="00456237" w:rsidP="00204056">
            <w:pPr>
              <w:pStyle w:val="NoSpacing"/>
              <w:framePr w:h="1918" w:hRule="exact" w:hSpace="180" w:wrap="around" w:vAnchor="text" w:hAnchor="page" w:x="1129" w:y="661"/>
              <w:spacing w:after="120" w:line="259" w:lineRule="auto"/>
              <w:jc w:val="center"/>
              <w:rPr>
                <w:rFonts w:ascii="Calibri" w:hAnsi="Calibri" w:cs="Calibri"/>
                <w:color w:val="000000" w:themeColor="text1"/>
                <w:sz w:val="14"/>
                <w:szCs w:val="14"/>
              </w:rPr>
            </w:pPr>
          </w:p>
          <w:p w14:paraId="2BDF4B6D" w14:textId="77777777" w:rsidR="00456237" w:rsidRPr="003F5350" w:rsidRDefault="00456237" w:rsidP="003B0428">
            <w:pPr>
              <w:pStyle w:val="NoSpacing"/>
              <w:framePr w:h="1918" w:hRule="exact" w:hSpace="180" w:wrap="around" w:vAnchor="text" w:hAnchor="page" w:x="1129" w:y="661"/>
              <w:shd w:val="clear" w:color="auto" w:fill="FFFFFF" w:themeFill="background1"/>
              <w:spacing w:after="120" w:line="259" w:lineRule="auto"/>
              <w:jc w:val="center"/>
              <w:rPr>
                <w:rFonts w:ascii="Calibri" w:hAnsi="Calibri" w:cs="Calibri"/>
                <w:color w:val="000000" w:themeColor="text1"/>
                <w:sz w:val="14"/>
                <w:szCs w:val="14"/>
                <w:shd w:val="clear" w:color="auto" w:fill="FFFFFF" w:themeFill="background1"/>
              </w:rPr>
            </w:pPr>
            <w:r w:rsidRPr="003F5350">
              <w:rPr>
                <w:rFonts w:ascii="Calibri" w:hAnsi="Calibri" w:cs="Calibri"/>
                <w:color w:val="000000" w:themeColor="text1"/>
                <w:sz w:val="14"/>
                <w:szCs w:val="14"/>
                <w:shd w:val="clear" w:color="auto" w:fill="FFFFFF" w:themeFill="background1"/>
              </w:rPr>
              <w:t>N/A</w:t>
            </w:r>
          </w:p>
          <w:p w14:paraId="305D60E0" w14:textId="77777777" w:rsidR="00456237" w:rsidRPr="003F5350" w:rsidRDefault="00456237" w:rsidP="00204056">
            <w:pPr>
              <w:pStyle w:val="NoSpacing"/>
              <w:framePr w:h="1918" w:hRule="exact" w:hSpace="180" w:wrap="around" w:vAnchor="text" w:hAnchor="page" w:x="1129" w:y="661"/>
              <w:spacing w:after="120" w:line="259" w:lineRule="auto"/>
              <w:jc w:val="center"/>
              <w:rPr>
                <w:rFonts w:ascii="Calibri" w:hAnsi="Calibri" w:cs="Calibri"/>
                <w:color w:val="000000" w:themeColor="text1"/>
                <w:sz w:val="14"/>
                <w:szCs w:val="14"/>
              </w:rPr>
            </w:pPr>
          </w:p>
        </w:tc>
        <w:tc>
          <w:tcPr>
            <w:tcW w:w="1276" w:type="dxa"/>
            <w:tcBorders>
              <w:top w:val="single" w:sz="4" w:space="0" w:color="auto"/>
              <w:bottom w:val="single" w:sz="4" w:space="0" w:color="auto"/>
            </w:tcBorders>
            <w:shd w:val="clear" w:color="auto" w:fill="FFFFFF" w:themeFill="background1"/>
          </w:tcPr>
          <w:p w14:paraId="095A47C5" w14:textId="77777777" w:rsidR="00456237" w:rsidRPr="003F5350" w:rsidRDefault="00456237" w:rsidP="00204056">
            <w:pPr>
              <w:pStyle w:val="NoSpacing"/>
              <w:framePr w:h="1918" w:hRule="exact" w:hSpace="180" w:wrap="around" w:vAnchor="text" w:hAnchor="page" w:x="1129" w:y="661"/>
              <w:spacing w:after="120" w:line="276" w:lineRule="auto"/>
              <w:jc w:val="center"/>
              <w:rPr>
                <w:rFonts w:ascii="Calibri" w:hAnsi="Calibri" w:cs="Calibri"/>
                <w:color w:val="000000" w:themeColor="text1"/>
                <w:sz w:val="14"/>
                <w:szCs w:val="14"/>
              </w:rPr>
            </w:pPr>
          </w:p>
          <w:p w14:paraId="67801499" w14:textId="77777777" w:rsidR="00456237" w:rsidRPr="003F5350" w:rsidRDefault="00456237" w:rsidP="00204056">
            <w:pPr>
              <w:pStyle w:val="NoSpacing"/>
              <w:framePr w:h="1918" w:hRule="exact" w:hSpace="180" w:wrap="around" w:vAnchor="text" w:hAnchor="page" w:x="1129" w:y="661"/>
              <w:spacing w:after="120" w:line="276" w:lineRule="auto"/>
              <w:jc w:val="center"/>
              <w:rPr>
                <w:rFonts w:ascii="Calibri" w:hAnsi="Calibri" w:cs="Calibri"/>
                <w:color w:val="000000" w:themeColor="text1"/>
                <w:sz w:val="14"/>
                <w:szCs w:val="14"/>
              </w:rPr>
            </w:pPr>
            <w:r w:rsidRPr="003F5350">
              <w:rPr>
                <w:rFonts w:ascii="Calibri" w:hAnsi="Calibri" w:cs="Calibri"/>
                <w:color w:val="000000" w:themeColor="text1"/>
                <w:sz w:val="14"/>
                <w:szCs w:val="14"/>
              </w:rPr>
              <w:t>Benefits</w:t>
            </w:r>
          </w:p>
        </w:tc>
        <w:tc>
          <w:tcPr>
            <w:tcW w:w="1134" w:type="dxa"/>
            <w:tcBorders>
              <w:top w:val="single" w:sz="4" w:space="0" w:color="auto"/>
              <w:bottom w:val="single" w:sz="4" w:space="0" w:color="auto"/>
            </w:tcBorders>
            <w:shd w:val="clear" w:color="auto" w:fill="92D050"/>
            <w:vAlign w:val="center"/>
          </w:tcPr>
          <w:p w14:paraId="37A32F16" w14:textId="77777777" w:rsidR="00456237" w:rsidRPr="003F5350" w:rsidRDefault="00456237" w:rsidP="00204056">
            <w:pPr>
              <w:pStyle w:val="NoSpacing"/>
              <w:framePr w:h="1918" w:hRule="exact" w:hSpace="180" w:wrap="around" w:vAnchor="text" w:hAnchor="page" w:x="1129" w:y="661"/>
              <w:spacing w:after="120" w:line="259" w:lineRule="auto"/>
              <w:jc w:val="center"/>
              <w:rPr>
                <w:rFonts w:ascii="Calibri" w:hAnsi="Calibri" w:cs="Calibri"/>
                <w:color w:val="000000" w:themeColor="text1"/>
                <w:sz w:val="14"/>
                <w:szCs w:val="14"/>
              </w:rPr>
            </w:pPr>
            <w:r w:rsidRPr="003F5350">
              <w:rPr>
                <w:rFonts w:ascii="Calibri" w:hAnsi="Calibri" w:cs="Calibri"/>
                <w:color w:val="000000" w:themeColor="text1"/>
                <w:sz w:val="14"/>
                <w:szCs w:val="14"/>
              </w:rPr>
              <w:t>G</w:t>
            </w:r>
          </w:p>
        </w:tc>
      </w:tr>
    </w:tbl>
    <w:p w14:paraId="10C824A1" w14:textId="77777777" w:rsidR="00456237" w:rsidRPr="00550D28" w:rsidRDefault="00456237" w:rsidP="00204056">
      <w:pPr>
        <w:framePr w:h="1918" w:hRule="exact" w:hSpace="180" w:wrap="around" w:vAnchor="text" w:hAnchor="page" w:x="1129" w:y="661"/>
        <w:rPr>
          <w:rFonts w:ascii="Arial" w:hAnsi="Arial" w:cs="Arial"/>
          <w:b/>
          <w:sz w:val="24"/>
          <w:szCs w:val="24"/>
          <w:u w:val="single"/>
        </w:rPr>
      </w:pPr>
    </w:p>
    <w:p w14:paraId="6931F539" w14:textId="77777777" w:rsidR="00456237" w:rsidRPr="00550D28" w:rsidRDefault="00456237" w:rsidP="00204056">
      <w:pPr>
        <w:framePr w:h="1918" w:hRule="exact" w:hSpace="180" w:wrap="around" w:vAnchor="text" w:hAnchor="page" w:x="1129" w:y="661"/>
        <w:rPr>
          <w:rFonts w:ascii="Arial" w:hAnsi="Arial" w:cs="Arial"/>
          <w:b/>
          <w:sz w:val="24"/>
          <w:szCs w:val="24"/>
          <w:u w:val="single"/>
        </w:rPr>
      </w:pPr>
    </w:p>
    <w:p w14:paraId="184B1794" w14:textId="0A0A090C" w:rsidR="00AA2C76" w:rsidRDefault="006928FA" w:rsidP="00204056">
      <w:pPr>
        <w:rPr>
          <w:rFonts w:ascii="Arial" w:hAnsi="Arial" w:cs="Arial"/>
          <w:sz w:val="16"/>
          <w:szCs w:val="16"/>
        </w:rPr>
      </w:pPr>
      <w:r w:rsidRPr="00204056">
        <w:rPr>
          <w:rFonts w:ascii="Arial" w:hAnsi="Arial" w:cs="Arial"/>
          <w:b/>
          <w:sz w:val="24"/>
          <w:szCs w:val="24"/>
          <w:u w:val="single"/>
        </w:rPr>
        <w:t>Community Safety Hubs</w:t>
      </w:r>
    </w:p>
    <w:p w14:paraId="476BEB77" w14:textId="7368EB7C" w:rsidR="00766930" w:rsidRPr="005D4359" w:rsidRDefault="007E41B5" w:rsidP="00766930">
      <w:pPr>
        <w:spacing w:after="160" w:line="259" w:lineRule="auto"/>
        <w:rPr>
          <w:rFonts w:ascii="Arial" w:hAnsi="Arial" w:cs="Arial"/>
          <w:sz w:val="16"/>
          <w:szCs w:val="16"/>
        </w:rPr>
      </w:pPr>
      <w:r>
        <w:rPr>
          <w:rFonts w:ascii="Arial" w:hAnsi="Arial" w:cs="Arial"/>
          <w:sz w:val="16"/>
          <w:szCs w:val="16"/>
        </w:rPr>
        <w:t xml:space="preserve">Note </w:t>
      </w:r>
      <w:r w:rsidR="00766930" w:rsidRPr="005D4359">
        <w:rPr>
          <w:rFonts w:ascii="Arial" w:hAnsi="Arial" w:cs="Arial"/>
          <w:sz w:val="16"/>
          <w:szCs w:val="16"/>
        </w:rPr>
        <w:t>RAG assessment from SCCB pack except overall RAG</w:t>
      </w:r>
      <w:r w:rsidR="00766930">
        <w:rPr>
          <w:rFonts w:ascii="Arial" w:hAnsi="Arial" w:cs="Arial"/>
          <w:sz w:val="16"/>
          <w:szCs w:val="16"/>
        </w:rPr>
        <w:t xml:space="preserve"> </w:t>
      </w:r>
      <w:r>
        <w:rPr>
          <w:rFonts w:ascii="Arial" w:hAnsi="Arial" w:cs="Arial"/>
          <w:sz w:val="16"/>
          <w:szCs w:val="16"/>
        </w:rPr>
        <w:t xml:space="preserve">which </w:t>
      </w:r>
      <w:r w:rsidR="00766930">
        <w:rPr>
          <w:rFonts w:ascii="Arial" w:hAnsi="Arial" w:cs="Arial"/>
          <w:sz w:val="16"/>
          <w:szCs w:val="16"/>
        </w:rPr>
        <w:t>was determined for this report.</w:t>
      </w:r>
    </w:p>
    <w:p w14:paraId="27F98EBA" w14:textId="77777777" w:rsidR="007170A8" w:rsidRPr="00D854A6" w:rsidRDefault="007170A8" w:rsidP="00092BB3">
      <w:pPr>
        <w:rPr>
          <w:rFonts w:ascii="Arial" w:hAnsi="Arial" w:cs="Arial"/>
          <w:sz w:val="24"/>
          <w:szCs w:val="24"/>
        </w:rPr>
      </w:pPr>
      <w:r w:rsidRPr="00D854A6">
        <w:rPr>
          <w:rFonts w:ascii="Arial" w:hAnsi="Arial" w:cs="Arial"/>
          <w:sz w:val="24"/>
          <w:szCs w:val="24"/>
        </w:rPr>
        <w:t>Community Policing Teams (CPTs) and our multi agency partnerships involving local authorities, housing associations, and the NHS provide a local geographical response to policing demand including crime, anti-social behaviour and non-crime incidents.  The Transformation Programme is improving our service to the public through the creation of Community Safety Hubs across the county.</w:t>
      </w:r>
    </w:p>
    <w:p w14:paraId="3D1DCFB7" w14:textId="452DCA55" w:rsidR="006928FA" w:rsidRPr="00204056" w:rsidRDefault="00C67CAF" w:rsidP="00204056">
      <w:pPr>
        <w:rPr>
          <w:rFonts w:ascii="Arial" w:hAnsi="Arial" w:cs="Arial"/>
          <w:sz w:val="24"/>
          <w:szCs w:val="24"/>
        </w:rPr>
      </w:pPr>
      <w:r>
        <w:rPr>
          <w:rFonts w:ascii="Arial" w:hAnsi="Arial" w:cs="Arial"/>
          <w:sz w:val="24"/>
          <w:szCs w:val="24"/>
        </w:rPr>
        <w:t>C</w:t>
      </w:r>
      <w:r w:rsidR="00EB5759">
        <w:rPr>
          <w:rFonts w:ascii="Arial" w:hAnsi="Arial" w:cs="Arial"/>
          <w:sz w:val="24"/>
          <w:szCs w:val="24"/>
        </w:rPr>
        <w:t xml:space="preserve">ommunity Safety </w:t>
      </w:r>
      <w:r>
        <w:rPr>
          <w:rFonts w:ascii="Arial" w:hAnsi="Arial" w:cs="Arial"/>
          <w:sz w:val="24"/>
          <w:szCs w:val="24"/>
        </w:rPr>
        <w:t xml:space="preserve">Hubs have been successfully set up in eight of the ten districts (Tendring, Colchester, Braintree &amp; Uttlesford, Chelmsford &amp; Maldon, Southend, Castle Point &amp; Rochford, Epping Forest &amp; Brentwood and Basildon). </w:t>
      </w:r>
      <w:r w:rsidR="00092BB3" w:rsidRPr="00D854A6">
        <w:rPr>
          <w:rFonts w:ascii="Arial" w:hAnsi="Arial" w:cs="Arial"/>
          <w:sz w:val="24"/>
          <w:szCs w:val="24"/>
        </w:rPr>
        <w:t xml:space="preserve"> Where agreements are yet to be made there are no co-located hubs</w:t>
      </w:r>
      <w:r w:rsidR="006928FA">
        <w:rPr>
          <w:rFonts w:ascii="Arial" w:hAnsi="Arial" w:cs="Arial"/>
          <w:sz w:val="24"/>
          <w:szCs w:val="24"/>
        </w:rPr>
        <w:t xml:space="preserve"> (Thurrock and Harlow)</w:t>
      </w:r>
      <w:r w:rsidR="009C1415">
        <w:rPr>
          <w:rFonts w:ascii="Arial" w:hAnsi="Arial" w:cs="Arial"/>
          <w:sz w:val="24"/>
          <w:szCs w:val="24"/>
        </w:rPr>
        <w:t>.</w:t>
      </w:r>
      <w:r w:rsidR="006928FA">
        <w:rPr>
          <w:rFonts w:ascii="Arial" w:hAnsi="Arial" w:cs="Arial"/>
          <w:sz w:val="24"/>
          <w:szCs w:val="24"/>
        </w:rPr>
        <w:t xml:space="preserve"> </w:t>
      </w:r>
      <w:r w:rsidR="00CC18F8">
        <w:rPr>
          <w:rFonts w:ascii="Arial" w:hAnsi="Arial" w:cs="Arial"/>
          <w:sz w:val="24"/>
          <w:szCs w:val="24"/>
        </w:rPr>
        <w:t>Negotiations with Thurrock council are at the planning stage and are linked to the refurbishment of the Civic offices. It is hoped that a Thurrock partnership hub can become live in 9 to 12 months. Negotiations with Harlow council have not progressed as they are currently of the view that they do not wish to co locate.</w:t>
      </w:r>
    </w:p>
    <w:p w14:paraId="5D727DE4" w14:textId="27C97669" w:rsidR="00C81C96" w:rsidRDefault="002A5F98" w:rsidP="00C81C96">
      <w:pPr>
        <w:rPr>
          <w:rFonts w:ascii="Arial" w:hAnsi="Arial" w:cs="Arial"/>
          <w:b/>
          <w:sz w:val="24"/>
          <w:szCs w:val="24"/>
          <w:u w:val="single"/>
        </w:rPr>
      </w:pPr>
      <w:r w:rsidRPr="002A5F98">
        <w:rPr>
          <w:rFonts w:ascii="Arial" w:hAnsi="Arial" w:cs="Arial"/>
          <w:sz w:val="24"/>
          <w:szCs w:val="24"/>
        </w:rPr>
        <w:t xml:space="preserve">The strong desire for effective working with local delivery partners through </w:t>
      </w:r>
      <w:r w:rsidR="00EB2D22">
        <w:rPr>
          <w:rFonts w:ascii="Arial" w:hAnsi="Arial" w:cs="Arial"/>
          <w:sz w:val="24"/>
          <w:szCs w:val="24"/>
        </w:rPr>
        <w:t>Community Partnership Safety Hubs</w:t>
      </w:r>
      <w:r w:rsidR="00342FF8">
        <w:rPr>
          <w:rFonts w:ascii="Arial" w:hAnsi="Arial" w:cs="Arial"/>
          <w:sz w:val="24"/>
          <w:szCs w:val="24"/>
        </w:rPr>
        <w:t xml:space="preserve"> </w:t>
      </w:r>
      <w:r w:rsidRPr="002A5F98">
        <w:rPr>
          <w:rFonts w:ascii="Arial" w:hAnsi="Arial" w:cs="Arial"/>
          <w:sz w:val="24"/>
          <w:szCs w:val="24"/>
        </w:rPr>
        <w:t xml:space="preserve">is sometimes hindered by social care and NHS resource pressures, particularly in ensuring NHS representation at multi-disciplinary meetings. New </w:t>
      </w:r>
      <w:r w:rsidRPr="005A4C48">
        <w:rPr>
          <w:rFonts w:ascii="Arial" w:hAnsi="Arial" w:cs="Arial"/>
          <w:sz w:val="24"/>
          <w:szCs w:val="24"/>
        </w:rPr>
        <w:t>tactical and Strategic Steering Groups has been established between Essex Police and the NHS to assist the management of demand a</w:t>
      </w:r>
      <w:r w:rsidR="005A4C48" w:rsidRPr="005A4C48">
        <w:rPr>
          <w:rFonts w:ascii="Arial" w:hAnsi="Arial" w:cs="Arial"/>
          <w:sz w:val="24"/>
          <w:szCs w:val="24"/>
        </w:rPr>
        <w:t>s well as</w:t>
      </w:r>
      <w:r w:rsidRPr="005A4C48">
        <w:rPr>
          <w:rFonts w:ascii="Arial" w:hAnsi="Arial" w:cs="Arial"/>
          <w:sz w:val="24"/>
          <w:szCs w:val="24"/>
        </w:rPr>
        <w:t xml:space="preserve"> joint working and problem solving</w:t>
      </w:r>
      <w:r w:rsidR="00092BB3" w:rsidRPr="005A4C48">
        <w:rPr>
          <w:rFonts w:ascii="Arial" w:hAnsi="Arial" w:cs="Arial"/>
          <w:sz w:val="24"/>
          <w:szCs w:val="24"/>
        </w:rPr>
        <w:t>.</w:t>
      </w:r>
      <w:r w:rsidR="00C27ECE" w:rsidRPr="005A4C48">
        <w:rPr>
          <w:rFonts w:ascii="Arial" w:hAnsi="Arial" w:cs="Arial"/>
          <w:sz w:val="24"/>
          <w:szCs w:val="24"/>
        </w:rPr>
        <w:t xml:space="preserve"> </w:t>
      </w:r>
      <w:r w:rsidR="00B80595" w:rsidRPr="005A4C48">
        <w:rPr>
          <w:rFonts w:ascii="Arial" w:hAnsi="Arial" w:cs="Arial"/>
          <w:sz w:val="24"/>
          <w:szCs w:val="24"/>
        </w:rPr>
        <w:t>The OPFCC commissioned an external audit of the</w:t>
      </w:r>
      <w:r w:rsidR="005A4C48" w:rsidRPr="005A4C48">
        <w:rPr>
          <w:rFonts w:ascii="Arial" w:hAnsi="Arial" w:cs="Arial"/>
          <w:sz w:val="24"/>
          <w:szCs w:val="24"/>
        </w:rPr>
        <w:t xml:space="preserve"> </w:t>
      </w:r>
      <w:r w:rsidR="005A4C48" w:rsidRPr="005A4C48">
        <w:rPr>
          <w:rFonts w:ascii="Arial" w:hAnsi="Arial" w:cs="Arial"/>
          <w:iCs/>
          <w:sz w:val="24"/>
          <w:szCs w:val="24"/>
        </w:rPr>
        <w:t xml:space="preserve">workings of the Community Safety Hubs Steering Group. The audit was undertaken by RSM and the </w:t>
      </w:r>
      <w:r w:rsidR="005A4C48">
        <w:rPr>
          <w:rFonts w:ascii="Arial" w:hAnsi="Arial" w:cs="Arial"/>
          <w:iCs/>
          <w:sz w:val="24"/>
          <w:szCs w:val="24"/>
        </w:rPr>
        <w:t xml:space="preserve">completed </w:t>
      </w:r>
      <w:r w:rsidR="005A4C48" w:rsidRPr="005A4C48">
        <w:rPr>
          <w:rFonts w:ascii="Arial" w:hAnsi="Arial" w:cs="Arial"/>
          <w:iCs/>
          <w:sz w:val="24"/>
          <w:szCs w:val="24"/>
        </w:rPr>
        <w:t>report is due to be presented to the Audit Committee on 13</w:t>
      </w:r>
      <w:r w:rsidR="005A4C48" w:rsidRPr="005A4C48">
        <w:rPr>
          <w:rFonts w:ascii="Arial" w:hAnsi="Arial" w:cs="Arial"/>
          <w:iCs/>
          <w:sz w:val="24"/>
          <w:szCs w:val="24"/>
          <w:vertAlign w:val="superscript"/>
        </w:rPr>
        <w:t>th</w:t>
      </w:r>
      <w:r w:rsidR="005A4C48" w:rsidRPr="005A4C48">
        <w:rPr>
          <w:rFonts w:ascii="Arial" w:hAnsi="Arial" w:cs="Arial"/>
          <w:iCs/>
          <w:sz w:val="24"/>
          <w:szCs w:val="24"/>
        </w:rPr>
        <w:t xml:space="preserve"> December 2019.</w:t>
      </w:r>
      <w:r w:rsidR="005A4C48">
        <w:rPr>
          <w:rFonts w:ascii="Arial" w:hAnsi="Arial" w:cs="Arial"/>
          <w:b/>
          <w:sz w:val="24"/>
          <w:szCs w:val="24"/>
          <w:u w:val="single"/>
        </w:rPr>
        <w:br/>
      </w:r>
      <w:bookmarkStart w:id="4" w:name="_Hlk26520505"/>
    </w:p>
    <w:p w14:paraId="106BBB8E" w14:textId="4392451F" w:rsidR="00C81C96" w:rsidRDefault="00C81C96" w:rsidP="00C81C96">
      <w:pPr>
        <w:rPr>
          <w:rFonts w:ascii="Arial" w:hAnsi="Arial" w:cs="Arial"/>
          <w:b/>
          <w:sz w:val="24"/>
          <w:szCs w:val="24"/>
          <w:u w:val="single"/>
        </w:rPr>
      </w:pPr>
      <w:r w:rsidRPr="00C337C1">
        <w:rPr>
          <w:rFonts w:ascii="Arial" w:hAnsi="Arial" w:cs="Arial"/>
          <w:b/>
          <w:sz w:val="24"/>
          <w:szCs w:val="24"/>
          <w:u w:val="single"/>
        </w:rPr>
        <w:t>External and innovative partnerships:</w:t>
      </w:r>
      <w:r>
        <w:rPr>
          <w:rFonts w:cstheme="minorHAnsi"/>
          <w:b/>
          <w:sz w:val="24"/>
          <w:szCs w:val="24"/>
          <w:u w:val="single"/>
        </w:rPr>
        <w:br/>
      </w:r>
      <w:r>
        <w:rPr>
          <w:rFonts w:ascii="Arial" w:hAnsi="Arial" w:cs="Arial"/>
          <w:b/>
          <w:sz w:val="24"/>
          <w:szCs w:val="24"/>
          <w:u w:val="single"/>
        </w:rPr>
        <w:t>Essex Centre for</w:t>
      </w:r>
      <w:r w:rsidRPr="002B71DC">
        <w:rPr>
          <w:rFonts w:ascii="Arial" w:hAnsi="Arial" w:cs="Arial"/>
          <w:b/>
          <w:sz w:val="24"/>
          <w:szCs w:val="24"/>
          <w:u w:val="single"/>
        </w:rPr>
        <w:t xml:space="preserve"> Data Analytics</w:t>
      </w:r>
      <w:r>
        <w:rPr>
          <w:rFonts w:ascii="Arial" w:hAnsi="Arial" w:cs="Arial"/>
          <w:b/>
          <w:sz w:val="24"/>
          <w:szCs w:val="24"/>
          <w:u w:val="single"/>
        </w:rPr>
        <w:t xml:space="preserve"> (Overall RAG – Green)</w:t>
      </w:r>
    </w:p>
    <w:p w14:paraId="1006F3BB" w14:textId="77777777" w:rsidR="00C81C96" w:rsidRPr="003B0428" w:rsidRDefault="00C81C96" w:rsidP="00C81C96">
      <w:pPr>
        <w:rPr>
          <w:rFonts w:ascii="Arial" w:hAnsi="Arial" w:cs="Arial"/>
          <w:sz w:val="24"/>
          <w:szCs w:val="24"/>
        </w:rPr>
      </w:pPr>
      <w:r>
        <w:rPr>
          <w:rFonts w:ascii="Arial" w:hAnsi="Arial" w:cs="Arial"/>
          <w:b/>
          <w:sz w:val="16"/>
          <w:szCs w:val="16"/>
          <w:u w:val="single"/>
        </w:rPr>
        <w:t xml:space="preserve">Note: </w:t>
      </w:r>
      <w:r w:rsidRPr="00F731DD">
        <w:rPr>
          <w:rFonts w:ascii="Arial" w:hAnsi="Arial" w:cs="Arial"/>
          <w:b/>
          <w:sz w:val="16"/>
          <w:szCs w:val="16"/>
          <w:u w:val="single"/>
        </w:rPr>
        <w:t>RAG assessment determined for this report.</w:t>
      </w:r>
      <w:r>
        <w:rPr>
          <w:rFonts w:ascii="Arial" w:hAnsi="Arial" w:cs="Arial"/>
          <w:b/>
          <w:sz w:val="16"/>
          <w:szCs w:val="16"/>
          <w:u w:val="single"/>
        </w:rPr>
        <w:br/>
      </w:r>
      <w:r>
        <w:rPr>
          <w:rFonts w:ascii="Arial" w:hAnsi="Arial" w:cs="Arial"/>
          <w:sz w:val="24"/>
          <w:szCs w:val="24"/>
        </w:rPr>
        <w:br/>
      </w:r>
      <w:r w:rsidRPr="003B0428">
        <w:rPr>
          <w:rFonts w:ascii="Arial" w:hAnsi="Arial" w:cs="Arial"/>
          <w:sz w:val="24"/>
          <w:szCs w:val="24"/>
        </w:rPr>
        <w:t xml:space="preserve">As part of the Essex Partners’ Vision, the partnership has created the Essex Centre for Data Analytics (ECDA).  This is a joint venture between Essex Police, Essex County Council, and the University of Essex with the ambition to make Essex national leaders, using the power of analysis, data science and AI to tackle key public policy/social challenges, for example Violence including knife crime, Domestic Abuse, Mental Health and Homelessness. This will allow the partnership to continue making better use of data to </w:t>
      </w:r>
      <w:r w:rsidRPr="003B0428">
        <w:rPr>
          <w:rFonts w:ascii="Arial" w:hAnsi="Arial" w:cs="Arial"/>
          <w:sz w:val="24"/>
          <w:szCs w:val="24"/>
        </w:rPr>
        <w:lastRenderedPageBreak/>
        <w:t>prevent and reduce risk and vulnerability to improve outco</w:t>
      </w:r>
      <w:r>
        <w:rPr>
          <w:rFonts w:ascii="Arial" w:hAnsi="Arial" w:cs="Arial"/>
          <w:sz w:val="24"/>
          <w:szCs w:val="24"/>
        </w:rPr>
        <w:t>mes for the people of Essex. </w:t>
      </w:r>
      <w:r w:rsidRPr="003B0428">
        <w:rPr>
          <w:rFonts w:ascii="Arial" w:hAnsi="Arial" w:cs="Arial"/>
          <w:sz w:val="24"/>
          <w:szCs w:val="24"/>
        </w:rPr>
        <w:t xml:space="preserve">ECDA </w:t>
      </w:r>
      <w:r>
        <w:rPr>
          <w:rFonts w:ascii="Arial" w:hAnsi="Arial" w:cs="Arial"/>
          <w:sz w:val="24"/>
          <w:szCs w:val="24"/>
        </w:rPr>
        <w:t xml:space="preserve">was officially launched in June 2019 following an extensive proof of concept.  </w:t>
      </w:r>
      <w:r w:rsidRPr="003B0428">
        <w:rPr>
          <w:rFonts w:ascii="Arial" w:hAnsi="Arial" w:cs="Arial"/>
          <w:sz w:val="24"/>
          <w:szCs w:val="24"/>
        </w:rPr>
        <w:t xml:space="preserve">    </w:t>
      </w:r>
    </w:p>
    <w:p w14:paraId="75C108CC" w14:textId="77777777" w:rsidR="00C81C96" w:rsidRDefault="00C81C96" w:rsidP="00C81C96">
      <w:pPr>
        <w:rPr>
          <w:rFonts w:ascii="Arial" w:hAnsi="Arial" w:cs="Arial"/>
          <w:sz w:val="24"/>
          <w:szCs w:val="24"/>
        </w:rPr>
      </w:pPr>
      <w:r>
        <w:rPr>
          <w:rFonts w:ascii="Arial" w:hAnsi="Arial" w:cs="Arial"/>
          <w:sz w:val="24"/>
          <w:szCs w:val="24"/>
        </w:rPr>
        <w:t>2019 has been an important year for ECDA with the procurement of a new d</w:t>
      </w:r>
      <w:r w:rsidRPr="003B0428">
        <w:rPr>
          <w:rFonts w:ascii="Arial" w:hAnsi="Arial" w:cs="Arial"/>
          <w:sz w:val="24"/>
          <w:szCs w:val="24"/>
        </w:rPr>
        <w:t>ata</w:t>
      </w:r>
      <w:r>
        <w:rPr>
          <w:rFonts w:ascii="Arial" w:hAnsi="Arial" w:cs="Arial"/>
          <w:sz w:val="24"/>
          <w:szCs w:val="24"/>
        </w:rPr>
        <w:t xml:space="preserve"> analytics,</w:t>
      </w:r>
      <w:r w:rsidRPr="003B0428">
        <w:rPr>
          <w:rFonts w:ascii="Arial" w:hAnsi="Arial" w:cs="Arial"/>
          <w:sz w:val="24"/>
          <w:szCs w:val="24"/>
        </w:rPr>
        <w:t xml:space="preserve"> storage and sharing </w:t>
      </w:r>
      <w:r>
        <w:rPr>
          <w:rFonts w:ascii="Arial" w:hAnsi="Arial" w:cs="Arial"/>
          <w:sz w:val="24"/>
          <w:szCs w:val="24"/>
        </w:rPr>
        <w:t>capability with a new provider</w:t>
      </w:r>
      <w:r w:rsidRPr="003B0428">
        <w:rPr>
          <w:rFonts w:ascii="Arial" w:hAnsi="Arial" w:cs="Arial"/>
          <w:sz w:val="24"/>
          <w:szCs w:val="24"/>
        </w:rPr>
        <w:t xml:space="preserve">, funded via </w:t>
      </w:r>
      <w:r>
        <w:rPr>
          <w:rFonts w:ascii="Arial" w:hAnsi="Arial" w:cs="Arial"/>
          <w:sz w:val="24"/>
          <w:szCs w:val="24"/>
        </w:rPr>
        <w:t>the PFCC’s transformation fund and the other 2 partners.</w:t>
      </w:r>
      <w:r w:rsidRPr="003B0428">
        <w:rPr>
          <w:rFonts w:ascii="Arial" w:hAnsi="Arial" w:cs="Arial"/>
          <w:sz w:val="24"/>
          <w:szCs w:val="24"/>
        </w:rPr>
        <w:t xml:space="preserve"> The ability to </w:t>
      </w:r>
      <w:r>
        <w:rPr>
          <w:rFonts w:ascii="Arial" w:hAnsi="Arial" w:cs="Arial"/>
          <w:sz w:val="24"/>
          <w:szCs w:val="24"/>
        </w:rPr>
        <w:t xml:space="preserve">analyse, </w:t>
      </w:r>
      <w:r w:rsidRPr="003B0428">
        <w:rPr>
          <w:rFonts w:ascii="Arial" w:hAnsi="Arial" w:cs="Arial"/>
          <w:sz w:val="24"/>
          <w:szCs w:val="24"/>
        </w:rPr>
        <w:t>store and share vast quantities of structured, semi structured and unstructured d</w:t>
      </w:r>
      <w:r>
        <w:rPr>
          <w:rFonts w:ascii="Arial" w:hAnsi="Arial" w:cs="Arial"/>
          <w:sz w:val="24"/>
          <w:szCs w:val="24"/>
        </w:rPr>
        <w:t xml:space="preserve">ata in accordance with the learning from the proof of concept is a big step forward. A data ethics framework, to assist the partners in determining the ethical issues relating to individual projects, has been created and is being used by the team. In addition, the terms of reference for an externally recruited data ethics committee have been completed, with a view to advertising for members in the national press in January 2020. The ethics committee will provide informed advice and challenge to support public trust and confidence, transparency, community engagement and will drive the ethical use of technology. </w:t>
      </w:r>
    </w:p>
    <w:p w14:paraId="097B7F56" w14:textId="688366AC" w:rsidR="00C81C96" w:rsidRDefault="00C81C96" w:rsidP="00C81C96">
      <w:pPr>
        <w:rPr>
          <w:rFonts w:ascii="Arial" w:hAnsi="Arial" w:cs="Arial"/>
          <w:sz w:val="24"/>
          <w:szCs w:val="24"/>
        </w:rPr>
      </w:pPr>
      <w:r>
        <w:rPr>
          <w:rFonts w:ascii="Arial" w:hAnsi="Arial" w:cs="Arial"/>
          <w:sz w:val="24"/>
          <w:szCs w:val="24"/>
        </w:rPr>
        <w:t xml:space="preserve">This year has also seen ECDA partner relationships and governance grow and develop through joint working, and the ECDA core team has matured ensuring that the partners are working together efficiently and effectively. A recent strategic workshop has provided the partners with insight into what being a national exemplar for data analytics looks like, and this has identified key areas of focus for the next 12 months which include ensuring that ECDA projects deliver impactive outcomes for the people of Essex, an understanding of how ECDA can accelerate progress and impact as well as reviewing resources and the priority of individual projects.  Finally, the partners have recognised the importance of attracting other key partners to be part of the core group and will be actively looking at ways to bring key health stakeholders on board. </w:t>
      </w:r>
    </w:p>
    <w:p w14:paraId="70D1058A" w14:textId="77777777" w:rsidR="00C81C96" w:rsidRDefault="00C81C96" w:rsidP="00C81C96">
      <w:pPr>
        <w:rPr>
          <w:rFonts w:ascii="Arial" w:hAnsi="Arial" w:cs="Arial"/>
          <w:sz w:val="24"/>
          <w:szCs w:val="24"/>
        </w:rPr>
      </w:pPr>
    </w:p>
    <w:bookmarkEnd w:id="4"/>
    <w:p w14:paraId="7BC34071" w14:textId="77777777" w:rsidR="002B71DC" w:rsidRPr="00D854A6" w:rsidRDefault="002B71DC" w:rsidP="002B71DC">
      <w:pPr>
        <w:rPr>
          <w:rFonts w:ascii="Arial" w:hAnsi="Arial" w:cs="Arial"/>
          <w:b/>
          <w:sz w:val="24"/>
          <w:szCs w:val="24"/>
          <w:u w:val="single"/>
        </w:rPr>
      </w:pPr>
      <w:r w:rsidRPr="00D854A6">
        <w:rPr>
          <w:rFonts w:ascii="Arial" w:hAnsi="Arial" w:cs="Arial"/>
          <w:b/>
          <w:sz w:val="24"/>
          <w:szCs w:val="24"/>
          <w:u w:val="single"/>
        </w:rPr>
        <w:t xml:space="preserve">Innovative Partnerships – BT Hothouse  </w:t>
      </w:r>
    </w:p>
    <w:tbl>
      <w:tblPr>
        <w:tblStyle w:val="TableGrid27"/>
        <w:tblW w:w="9351" w:type="dxa"/>
        <w:tblLook w:val="04A0" w:firstRow="1" w:lastRow="0" w:firstColumn="1" w:lastColumn="0" w:noHBand="0" w:noVBand="1"/>
      </w:tblPr>
      <w:tblGrid>
        <w:gridCol w:w="996"/>
        <w:gridCol w:w="938"/>
        <w:gridCol w:w="1001"/>
        <w:gridCol w:w="1040"/>
        <w:gridCol w:w="1002"/>
        <w:gridCol w:w="1067"/>
        <w:gridCol w:w="897"/>
        <w:gridCol w:w="1276"/>
        <w:gridCol w:w="1134"/>
      </w:tblGrid>
      <w:tr w:rsidR="000576F1" w:rsidRPr="008A42D5" w14:paraId="74B76112" w14:textId="77777777" w:rsidTr="000C060D">
        <w:trPr>
          <w:trHeight w:val="396"/>
        </w:trPr>
        <w:tc>
          <w:tcPr>
            <w:tcW w:w="996" w:type="dxa"/>
            <w:tcBorders>
              <w:top w:val="single" w:sz="12" w:space="0" w:color="auto"/>
              <w:bottom w:val="single" w:sz="12" w:space="0" w:color="auto"/>
            </w:tcBorders>
            <w:shd w:val="clear" w:color="auto" w:fill="92D050"/>
            <w:vAlign w:val="center"/>
          </w:tcPr>
          <w:p w14:paraId="0C8C1B53" w14:textId="77777777" w:rsidR="000576F1" w:rsidRPr="00D854A6" w:rsidRDefault="000576F1" w:rsidP="000576F1">
            <w:pPr>
              <w:jc w:val="center"/>
              <w:rPr>
                <w:rFonts w:ascii="Calibri" w:eastAsia="Calibri" w:hAnsi="Calibri" w:cs="Times New Roman"/>
                <w:b/>
                <w:sz w:val="14"/>
                <w:szCs w:val="15"/>
              </w:rPr>
            </w:pPr>
            <w:r w:rsidRPr="00D854A6">
              <w:rPr>
                <w:rFonts w:ascii="Calibri" w:eastAsia="Calibri" w:hAnsi="Calibri" w:cs="Times New Roman"/>
                <w:b/>
                <w:sz w:val="14"/>
                <w:szCs w:val="15"/>
              </w:rPr>
              <w:t>Overall RAG</w:t>
            </w:r>
          </w:p>
          <w:p w14:paraId="760104C2" w14:textId="77777777" w:rsidR="00BF4C2F" w:rsidRPr="008A42D5" w:rsidRDefault="00BF4C2F" w:rsidP="000576F1">
            <w:pPr>
              <w:jc w:val="center"/>
              <w:rPr>
                <w:rFonts w:ascii="Calibri" w:eastAsia="Calibri" w:hAnsi="Calibri" w:cs="Times New Roman"/>
                <w:b/>
                <w:sz w:val="14"/>
                <w:szCs w:val="15"/>
              </w:rPr>
            </w:pPr>
            <w:r>
              <w:rPr>
                <w:rFonts w:ascii="Calibri" w:eastAsia="Calibri" w:hAnsi="Calibri" w:cs="Times New Roman"/>
                <w:b/>
                <w:sz w:val="14"/>
                <w:szCs w:val="15"/>
              </w:rPr>
              <w:t>Green</w:t>
            </w:r>
          </w:p>
        </w:tc>
        <w:tc>
          <w:tcPr>
            <w:tcW w:w="938" w:type="dxa"/>
            <w:tcBorders>
              <w:top w:val="single" w:sz="4" w:space="0" w:color="auto"/>
              <w:bottom w:val="single" w:sz="4" w:space="0" w:color="auto"/>
            </w:tcBorders>
            <w:shd w:val="clear" w:color="auto" w:fill="FFFFFF"/>
            <w:vAlign w:val="center"/>
          </w:tcPr>
          <w:p w14:paraId="20207CDE" w14:textId="77777777" w:rsidR="000576F1" w:rsidRPr="00542C69" w:rsidRDefault="000576F1" w:rsidP="000576F1">
            <w:pPr>
              <w:pStyle w:val="NoSpacing"/>
              <w:spacing w:after="120" w:line="259" w:lineRule="auto"/>
              <w:jc w:val="center"/>
              <w:rPr>
                <w:color w:val="000000" w:themeColor="text1"/>
                <w:sz w:val="15"/>
                <w:szCs w:val="15"/>
              </w:rPr>
            </w:pPr>
            <w:r>
              <w:rPr>
                <w:color w:val="000000" w:themeColor="text1"/>
                <w:sz w:val="15"/>
                <w:szCs w:val="15"/>
              </w:rPr>
              <w:t>Time</w:t>
            </w:r>
          </w:p>
        </w:tc>
        <w:tc>
          <w:tcPr>
            <w:tcW w:w="1001" w:type="dxa"/>
            <w:tcBorders>
              <w:top w:val="single" w:sz="4" w:space="0" w:color="auto"/>
              <w:bottom w:val="single" w:sz="4" w:space="0" w:color="auto"/>
            </w:tcBorders>
            <w:shd w:val="clear" w:color="auto" w:fill="92D050"/>
            <w:vAlign w:val="center"/>
          </w:tcPr>
          <w:p w14:paraId="196303D4" w14:textId="77777777" w:rsidR="000576F1" w:rsidRPr="002B71DC" w:rsidRDefault="000C060D" w:rsidP="000576F1">
            <w:pPr>
              <w:pStyle w:val="NoSpacing"/>
              <w:spacing w:after="120" w:line="259" w:lineRule="auto"/>
              <w:jc w:val="center"/>
              <w:rPr>
                <w:color w:val="000000" w:themeColor="text1"/>
                <w:sz w:val="15"/>
                <w:szCs w:val="15"/>
                <w:highlight w:val="yellow"/>
              </w:rPr>
            </w:pPr>
            <w:r>
              <w:rPr>
                <w:color w:val="000000" w:themeColor="text1"/>
                <w:sz w:val="15"/>
                <w:szCs w:val="15"/>
              </w:rPr>
              <w:t>G</w:t>
            </w:r>
          </w:p>
        </w:tc>
        <w:tc>
          <w:tcPr>
            <w:tcW w:w="1040" w:type="dxa"/>
            <w:tcBorders>
              <w:top w:val="single" w:sz="4" w:space="0" w:color="auto"/>
              <w:bottom w:val="single" w:sz="4" w:space="0" w:color="auto"/>
            </w:tcBorders>
            <w:shd w:val="clear" w:color="auto" w:fill="FFFFFF"/>
            <w:vAlign w:val="center"/>
          </w:tcPr>
          <w:p w14:paraId="069691D1" w14:textId="77777777" w:rsidR="000576F1" w:rsidRDefault="000576F1" w:rsidP="000576F1">
            <w:pPr>
              <w:pStyle w:val="NoSpacing"/>
              <w:spacing w:after="120" w:line="259" w:lineRule="auto"/>
              <w:jc w:val="center"/>
              <w:rPr>
                <w:color w:val="000000" w:themeColor="text1"/>
                <w:sz w:val="15"/>
                <w:szCs w:val="15"/>
              </w:rPr>
            </w:pPr>
          </w:p>
          <w:p w14:paraId="5964C26F" w14:textId="77777777" w:rsidR="000576F1" w:rsidRDefault="000576F1" w:rsidP="000576F1">
            <w:pPr>
              <w:pStyle w:val="NoSpacing"/>
              <w:spacing w:after="120" w:line="259" w:lineRule="auto"/>
              <w:jc w:val="center"/>
              <w:rPr>
                <w:color w:val="000000" w:themeColor="text1"/>
                <w:sz w:val="15"/>
                <w:szCs w:val="15"/>
              </w:rPr>
            </w:pPr>
            <w:r>
              <w:rPr>
                <w:color w:val="000000" w:themeColor="text1"/>
                <w:sz w:val="15"/>
                <w:szCs w:val="15"/>
              </w:rPr>
              <w:t>Costs</w:t>
            </w:r>
          </w:p>
          <w:p w14:paraId="09840F6B" w14:textId="77777777" w:rsidR="000576F1" w:rsidRPr="00542C69" w:rsidRDefault="000576F1" w:rsidP="000576F1">
            <w:pPr>
              <w:rPr>
                <w:color w:val="000000" w:themeColor="text1"/>
                <w:sz w:val="15"/>
                <w:szCs w:val="15"/>
              </w:rPr>
            </w:pPr>
          </w:p>
        </w:tc>
        <w:tc>
          <w:tcPr>
            <w:tcW w:w="1002" w:type="dxa"/>
            <w:tcBorders>
              <w:top w:val="single" w:sz="4" w:space="0" w:color="auto"/>
              <w:bottom w:val="single" w:sz="4" w:space="0" w:color="auto"/>
            </w:tcBorders>
            <w:shd w:val="clear" w:color="auto" w:fill="92D050"/>
            <w:vAlign w:val="center"/>
          </w:tcPr>
          <w:p w14:paraId="2A502F59" w14:textId="77777777" w:rsidR="000576F1" w:rsidRPr="00542C69" w:rsidRDefault="000576F1" w:rsidP="000576F1">
            <w:pPr>
              <w:pStyle w:val="NoSpacing"/>
              <w:spacing w:after="120" w:line="259" w:lineRule="auto"/>
              <w:jc w:val="center"/>
              <w:rPr>
                <w:color w:val="000000" w:themeColor="text1"/>
                <w:sz w:val="15"/>
                <w:szCs w:val="15"/>
              </w:rPr>
            </w:pPr>
            <w:r>
              <w:rPr>
                <w:color w:val="000000" w:themeColor="text1"/>
                <w:sz w:val="15"/>
                <w:szCs w:val="15"/>
              </w:rPr>
              <w:t>G</w:t>
            </w:r>
          </w:p>
        </w:tc>
        <w:tc>
          <w:tcPr>
            <w:tcW w:w="1067" w:type="dxa"/>
            <w:tcBorders>
              <w:top w:val="single" w:sz="4" w:space="0" w:color="auto"/>
              <w:bottom w:val="single" w:sz="4" w:space="0" w:color="auto"/>
            </w:tcBorders>
            <w:shd w:val="clear" w:color="auto" w:fill="FFFFFF"/>
            <w:vAlign w:val="center"/>
          </w:tcPr>
          <w:p w14:paraId="61353B01" w14:textId="77777777" w:rsidR="000576F1" w:rsidRDefault="000576F1" w:rsidP="000576F1">
            <w:pPr>
              <w:pStyle w:val="NoSpacing"/>
              <w:spacing w:after="120" w:line="259" w:lineRule="auto"/>
              <w:jc w:val="center"/>
              <w:rPr>
                <w:color w:val="000000" w:themeColor="text1"/>
                <w:sz w:val="15"/>
                <w:szCs w:val="15"/>
              </w:rPr>
            </w:pPr>
          </w:p>
          <w:p w14:paraId="52256EC0" w14:textId="77777777" w:rsidR="000576F1" w:rsidRDefault="000576F1" w:rsidP="000576F1">
            <w:pPr>
              <w:pStyle w:val="NoSpacing"/>
              <w:spacing w:after="120" w:line="259" w:lineRule="auto"/>
              <w:jc w:val="center"/>
              <w:rPr>
                <w:color w:val="000000" w:themeColor="text1"/>
                <w:sz w:val="15"/>
                <w:szCs w:val="15"/>
              </w:rPr>
            </w:pPr>
            <w:r>
              <w:rPr>
                <w:color w:val="000000" w:themeColor="text1"/>
                <w:sz w:val="15"/>
                <w:szCs w:val="15"/>
              </w:rPr>
              <w:t>Savings</w:t>
            </w:r>
          </w:p>
          <w:p w14:paraId="0116B058" w14:textId="77777777" w:rsidR="000576F1" w:rsidRPr="00542C69" w:rsidRDefault="000576F1" w:rsidP="000576F1">
            <w:pPr>
              <w:pStyle w:val="NoSpacing"/>
              <w:spacing w:after="120" w:line="259" w:lineRule="auto"/>
              <w:jc w:val="center"/>
              <w:rPr>
                <w:color w:val="000000" w:themeColor="text1"/>
                <w:sz w:val="15"/>
                <w:szCs w:val="15"/>
              </w:rPr>
            </w:pPr>
          </w:p>
        </w:tc>
        <w:tc>
          <w:tcPr>
            <w:tcW w:w="897" w:type="dxa"/>
            <w:tcBorders>
              <w:top w:val="single" w:sz="4" w:space="0" w:color="auto"/>
              <w:bottom w:val="single" w:sz="4" w:space="0" w:color="auto"/>
            </w:tcBorders>
            <w:shd w:val="clear" w:color="auto" w:fill="FFFFFF" w:themeFill="background1"/>
          </w:tcPr>
          <w:p w14:paraId="5E77C55B" w14:textId="77777777" w:rsidR="000576F1" w:rsidRPr="002B71DC" w:rsidRDefault="000576F1" w:rsidP="000576F1">
            <w:pPr>
              <w:pStyle w:val="NoSpacing"/>
              <w:spacing w:after="120" w:line="259" w:lineRule="auto"/>
              <w:jc w:val="center"/>
              <w:rPr>
                <w:color w:val="000000" w:themeColor="text1"/>
                <w:sz w:val="15"/>
                <w:szCs w:val="15"/>
              </w:rPr>
            </w:pPr>
          </w:p>
          <w:p w14:paraId="33DB2667" w14:textId="77777777" w:rsidR="000576F1" w:rsidRPr="002B71DC" w:rsidRDefault="000576F1" w:rsidP="000576F1">
            <w:pPr>
              <w:pStyle w:val="NoSpacing"/>
              <w:spacing w:after="120" w:line="259" w:lineRule="auto"/>
              <w:jc w:val="center"/>
              <w:rPr>
                <w:color w:val="000000" w:themeColor="text1"/>
                <w:sz w:val="15"/>
                <w:szCs w:val="15"/>
                <w:shd w:val="clear" w:color="auto" w:fill="FFFFFF" w:themeFill="background1"/>
              </w:rPr>
            </w:pPr>
            <w:r w:rsidRPr="002B71DC">
              <w:rPr>
                <w:color w:val="000000" w:themeColor="text1"/>
                <w:sz w:val="15"/>
                <w:szCs w:val="15"/>
                <w:shd w:val="clear" w:color="auto" w:fill="FFFFFF" w:themeFill="background1"/>
              </w:rPr>
              <w:t>N/A</w:t>
            </w:r>
          </w:p>
          <w:p w14:paraId="795D0366" w14:textId="77777777" w:rsidR="000576F1" w:rsidRPr="002B71DC" w:rsidRDefault="000576F1" w:rsidP="000576F1">
            <w:pPr>
              <w:pStyle w:val="NoSpacing"/>
              <w:spacing w:after="120" w:line="259" w:lineRule="auto"/>
              <w:jc w:val="center"/>
              <w:rPr>
                <w:color w:val="000000" w:themeColor="text1"/>
                <w:sz w:val="15"/>
                <w:szCs w:val="15"/>
              </w:rPr>
            </w:pPr>
          </w:p>
        </w:tc>
        <w:tc>
          <w:tcPr>
            <w:tcW w:w="1276" w:type="dxa"/>
            <w:tcBorders>
              <w:top w:val="single" w:sz="4" w:space="0" w:color="auto"/>
              <w:bottom w:val="single" w:sz="4" w:space="0" w:color="auto"/>
            </w:tcBorders>
            <w:shd w:val="clear" w:color="auto" w:fill="FFFFFF" w:themeFill="background1"/>
          </w:tcPr>
          <w:p w14:paraId="005852ED" w14:textId="77777777" w:rsidR="000576F1" w:rsidRDefault="000576F1" w:rsidP="000576F1">
            <w:pPr>
              <w:pStyle w:val="NoSpacing"/>
              <w:spacing w:after="120" w:line="276" w:lineRule="auto"/>
              <w:jc w:val="center"/>
              <w:rPr>
                <w:color w:val="000000" w:themeColor="text1"/>
                <w:sz w:val="15"/>
                <w:szCs w:val="15"/>
              </w:rPr>
            </w:pPr>
          </w:p>
          <w:p w14:paraId="5771ECBE" w14:textId="77777777" w:rsidR="000576F1" w:rsidRDefault="000576F1" w:rsidP="000576F1">
            <w:pPr>
              <w:pStyle w:val="NoSpacing"/>
              <w:spacing w:after="120" w:line="276" w:lineRule="auto"/>
              <w:jc w:val="center"/>
              <w:rPr>
                <w:color w:val="000000" w:themeColor="text1"/>
                <w:sz w:val="15"/>
                <w:szCs w:val="15"/>
              </w:rPr>
            </w:pPr>
            <w:r>
              <w:rPr>
                <w:color w:val="000000" w:themeColor="text1"/>
                <w:sz w:val="15"/>
                <w:szCs w:val="15"/>
              </w:rPr>
              <w:t>Benefits</w:t>
            </w:r>
          </w:p>
        </w:tc>
        <w:tc>
          <w:tcPr>
            <w:tcW w:w="1134" w:type="dxa"/>
            <w:tcBorders>
              <w:top w:val="single" w:sz="4" w:space="0" w:color="auto"/>
              <w:bottom w:val="single" w:sz="4" w:space="0" w:color="auto"/>
            </w:tcBorders>
            <w:shd w:val="clear" w:color="auto" w:fill="92D050"/>
            <w:vAlign w:val="center"/>
          </w:tcPr>
          <w:p w14:paraId="48941A07" w14:textId="77777777" w:rsidR="000576F1" w:rsidRPr="00542C69" w:rsidRDefault="000576F1" w:rsidP="000576F1">
            <w:pPr>
              <w:pStyle w:val="NoSpacing"/>
              <w:spacing w:after="120" w:line="259" w:lineRule="auto"/>
              <w:jc w:val="center"/>
              <w:rPr>
                <w:color w:val="000000" w:themeColor="text1"/>
                <w:sz w:val="15"/>
                <w:szCs w:val="15"/>
              </w:rPr>
            </w:pPr>
            <w:r>
              <w:rPr>
                <w:color w:val="000000" w:themeColor="text1"/>
                <w:sz w:val="15"/>
                <w:szCs w:val="15"/>
              </w:rPr>
              <w:t>G</w:t>
            </w:r>
          </w:p>
        </w:tc>
      </w:tr>
    </w:tbl>
    <w:p w14:paraId="6BD24C8B" w14:textId="338201D7" w:rsidR="00766930" w:rsidRPr="005D4359" w:rsidRDefault="007E41B5" w:rsidP="00766930">
      <w:pPr>
        <w:spacing w:after="160" w:line="259" w:lineRule="auto"/>
        <w:rPr>
          <w:rFonts w:ascii="Arial" w:hAnsi="Arial" w:cs="Arial"/>
          <w:sz w:val="16"/>
          <w:szCs w:val="16"/>
        </w:rPr>
      </w:pPr>
      <w:r>
        <w:rPr>
          <w:rFonts w:ascii="Arial" w:hAnsi="Arial" w:cs="Arial"/>
          <w:sz w:val="16"/>
          <w:szCs w:val="16"/>
        </w:rPr>
        <w:t xml:space="preserve">Note </w:t>
      </w:r>
      <w:r w:rsidR="00766930" w:rsidRPr="005D4359">
        <w:rPr>
          <w:rFonts w:ascii="Arial" w:hAnsi="Arial" w:cs="Arial"/>
          <w:sz w:val="16"/>
          <w:szCs w:val="16"/>
        </w:rPr>
        <w:t>RAG assessment from SCCB pack except overall RAG</w:t>
      </w:r>
      <w:r w:rsidR="00766930">
        <w:rPr>
          <w:rFonts w:ascii="Arial" w:hAnsi="Arial" w:cs="Arial"/>
          <w:sz w:val="16"/>
          <w:szCs w:val="16"/>
        </w:rPr>
        <w:t xml:space="preserve"> </w:t>
      </w:r>
      <w:r>
        <w:rPr>
          <w:rFonts w:ascii="Arial" w:hAnsi="Arial" w:cs="Arial"/>
          <w:sz w:val="16"/>
          <w:szCs w:val="16"/>
        </w:rPr>
        <w:t xml:space="preserve">which </w:t>
      </w:r>
      <w:r w:rsidR="00766930">
        <w:rPr>
          <w:rFonts w:ascii="Arial" w:hAnsi="Arial" w:cs="Arial"/>
          <w:sz w:val="16"/>
          <w:szCs w:val="16"/>
        </w:rPr>
        <w:t>was determined for this report.</w:t>
      </w:r>
    </w:p>
    <w:p w14:paraId="4C19ED41" w14:textId="67D413C8" w:rsidR="006E5389" w:rsidRDefault="006E5389" w:rsidP="006E5389">
      <w:pPr>
        <w:rPr>
          <w:rFonts w:ascii="Arial" w:hAnsi="Arial" w:cs="Arial"/>
          <w:sz w:val="24"/>
          <w:szCs w:val="24"/>
        </w:rPr>
      </w:pPr>
      <w:r w:rsidRPr="009B6261">
        <w:rPr>
          <w:rFonts w:ascii="Arial" w:hAnsi="Arial" w:cs="Arial"/>
          <w:sz w:val="24"/>
          <w:szCs w:val="24"/>
        </w:rPr>
        <w:t>In November 2017 Essex Police launched an innovative partnership initiative to engage with a varied range of cross sector partners to help the force work through some of its most complex issues. Partners included technology companies, charities, academia, consultancy firms and other local partners such as councils and Essex Fire and Rescue Service. Work continues on the projects and themes emanating from Hothouse 1 and in addition 6 new themes were launche</w:t>
      </w:r>
      <w:r w:rsidR="00753AFA">
        <w:rPr>
          <w:rFonts w:ascii="Arial" w:hAnsi="Arial" w:cs="Arial"/>
          <w:sz w:val="24"/>
          <w:szCs w:val="24"/>
        </w:rPr>
        <w:t>d at Hothouse 2 in November 2019</w:t>
      </w:r>
      <w:r w:rsidR="00272ABC">
        <w:rPr>
          <w:rFonts w:ascii="Arial" w:hAnsi="Arial" w:cs="Arial"/>
          <w:sz w:val="24"/>
          <w:szCs w:val="24"/>
        </w:rPr>
        <w:t>.</w:t>
      </w:r>
      <w:r w:rsidRPr="009B6261">
        <w:rPr>
          <w:rFonts w:ascii="Arial" w:hAnsi="Arial" w:cs="Arial"/>
          <w:sz w:val="24"/>
          <w:szCs w:val="24"/>
        </w:rPr>
        <w:t xml:space="preserve"> </w:t>
      </w:r>
    </w:p>
    <w:p w14:paraId="263135F2" w14:textId="32CA365E" w:rsidR="00272ABC" w:rsidRPr="00F00473" w:rsidRDefault="00272ABC" w:rsidP="00EE1E3A">
      <w:pPr>
        <w:rPr>
          <w:rFonts w:cs="Arial"/>
          <w:szCs w:val="24"/>
        </w:rPr>
      </w:pPr>
      <w:r w:rsidRPr="009B6261">
        <w:rPr>
          <w:rFonts w:ascii="Arial" w:hAnsi="Arial" w:cs="Arial"/>
          <w:sz w:val="24"/>
          <w:szCs w:val="24"/>
          <w:u w:val="single"/>
        </w:rPr>
        <w:t>Hot House 2</w:t>
      </w:r>
      <w:r w:rsidR="00F00473">
        <w:rPr>
          <w:rFonts w:ascii="Arial" w:hAnsi="Arial" w:cs="Arial"/>
          <w:sz w:val="24"/>
          <w:szCs w:val="24"/>
          <w:u w:val="single"/>
        </w:rPr>
        <w:br/>
      </w:r>
      <w:r w:rsidRPr="00EE1E3A">
        <w:rPr>
          <w:rFonts w:ascii="Arial" w:hAnsi="Arial" w:cs="Arial"/>
          <w:sz w:val="24"/>
          <w:szCs w:val="24"/>
        </w:rPr>
        <w:t>Hothouse 2 took place on 11</w:t>
      </w:r>
      <w:r w:rsidRPr="00EE1E3A">
        <w:rPr>
          <w:rFonts w:ascii="Arial" w:hAnsi="Arial" w:cs="Arial"/>
          <w:sz w:val="24"/>
          <w:szCs w:val="24"/>
          <w:vertAlign w:val="superscript"/>
        </w:rPr>
        <w:t>th</w:t>
      </w:r>
      <w:r w:rsidRPr="00EE1E3A">
        <w:rPr>
          <w:rFonts w:ascii="Arial" w:hAnsi="Arial" w:cs="Arial"/>
          <w:sz w:val="24"/>
          <w:szCs w:val="24"/>
        </w:rPr>
        <w:t>, 12</w:t>
      </w:r>
      <w:r w:rsidRPr="00EE1E3A">
        <w:rPr>
          <w:rFonts w:ascii="Arial" w:hAnsi="Arial" w:cs="Arial"/>
          <w:sz w:val="24"/>
          <w:szCs w:val="24"/>
          <w:vertAlign w:val="superscript"/>
        </w:rPr>
        <w:t>th</w:t>
      </w:r>
      <w:r w:rsidRPr="00EE1E3A">
        <w:rPr>
          <w:rFonts w:ascii="Arial" w:hAnsi="Arial" w:cs="Arial"/>
          <w:sz w:val="24"/>
          <w:szCs w:val="24"/>
        </w:rPr>
        <w:t xml:space="preserve"> and 13</w:t>
      </w:r>
      <w:r w:rsidRPr="00EE1E3A">
        <w:rPr>
          <w:rFonts w:ascii="Arial" w:hAnsi="Arial" w:cs="Arial"/>
          <w:sz w:val="24"/>
          <w:szCs w:val="24"/>
          <w:vertAlign w:val="superscript"/>
        </w:rPr>
        <w:t>th</w:t>
      </w:r>
      <w:r w:rsidRPr="00EE1E3A">
        <w:rPr>
          <w:rFonts w:ascii="Arial" w:hAnsi="Arial" w:cs="Arial"/>
          <w:sz w:val="24"/>
          <w:szCs w:val="24"/>
        </w:rPr>
        <w:t xml:space="preserve"> November</w:t>
      </w:r>
      <w:r w:rsidR="00C27ECE" w:rsidRPr="00EE1E3A">
        <w:rPr>
          <w:rFonts w:ascii="Arial" w:hAnsi="Arial" w:cs="Arial"/>
          <w:sz w:val="24"/>
          <w:szCs w:val="24"/>
        </w:rPr>
        <w:t xml:space="preserve"> 2019</w:t>
      </w:r>
      <w:r w:rsidRPr="00EE1E3A">
        <w:rPr>
          <w:rFonts w:ascii="Arial" w:hAnsi="Arial" w:cs="Arial"/>
          <w:sz w:val="24"/>
          <w:szCs w:val="24"/>
        </w:rPr>
        <w:t xml:space="preserve"> and as with ‘Hothouse 1’ brought partners together to examine the topics from different perspectives and to leverage the exciting mix of skills, knowledge and experience in the room. This second event </w:t>
      </w:r>
      <w:r w:rsidR="009D4843" w:rsidRPr="00EE1E3A">
        <w:rPr>
          <w:rFonts w:ascii="Arial" w:hAnsi="Arial" w:cs="Arial"/>
          <w:sz w:val="24"/>
          <w:szCs w:val="24"/>
        </w:rPr>
        <w:lastRenderedPageBreak/>
        <w:t xml:space="preserve">focused on </w:t>
      </w:r>
      <w:r w:rsidRPr="00F00473">
        <w:rPr>
          <w:rFonts w:ascii="Arial" w:hAnsi="Arial" w:cs="Arial"/>
          <w:sz w:val="24"/>
          <w:szCs w:val="24"/>
        </w:rPr>
        <w:t xml:space="preserve">gangs, county lines, knife crime, surveillance and ethics, Internet of Things (IOT) and smart cities and demographic and population change. </w:t>
      </w:r>
      <w:r w:rsidRPr="00EE1E3A">
        <w:rPr>
          <w:rFonts w:ascii="Arial" w:hAnsi="Arial" w:cs="Arial"/>
          <w:sz w:val="24"/>
          <w:szCs w:val="24"/>
        </w:rPr>
        <w:t xml:space="preserve">As </w:t>
      </w:r>
      <w:r w:rsidR="009D4843" w:rsidRPr="00EE1E3A">
        <w:rPr>
          <w:rFonts w:ascii="Arial" w:hAnsi="Arial" w:cs="Arial"/>
          <w:sz w:val="24"/>
          <w:szCs w:val="24"/>
        </w:rPr>
        <w:t xml:space="preserve">for Hothouse 1, </w:t>
      </w:r>
      <w:r w:rsidRPr="00EE1E3A">
        <w:rPr>
          <w:rFonts w:ascii="Arial" w:hAnsi="Arial" w:cs="Arial"/>
          <w:sz w:val="24"/>
          <w:szCs w:val="24"/>
        </w:rPr>
        <w:t>the event is likely to lead to a range of projects with partners and other stakeholders over the next 18 to 24 months</w:t>
      </w:r>
      <w:r w:rsidR="00342FF8">
        <w:rPr>
          <w:rFonts w:ascii="Arial" w:hAnsi="Arial" w:cs="Arial"/>
          <w:sz w:val="24"/>
          <w:szCs w:val="24"/>
        </w:rPr>
        <w:t xml:space="preserve">. </w:t>
      </w:r>
      <w:r w:rsidRPr="00EE1E3A">
        <w:rPr>
          <w:rFonts w:ascii="Arial" w:hAnsi="Arial" w:cs="Arial"/>
          <w:sz w:val="24"/>
          <w:szCs w:val="24"/>
        </w:rPr>
        <w:t xml:space="preserve"> </w:t>
      </w:r>
      <w:r w:rsidR="00342FF8">
        <w:rPr>
          <w:rFonts w:ascii="Arial" w:hAnsi="Arial" w:cs="Arial"/>
          <w:sz w:val="24"/>
          <w:szCs w:val="24"/>
        </w:rPr>
        <w:t>W</w:t>
      </w:r>
      <w:r w:rsidRPr="00EE1E3A">
        <w:rPr>
          <w:rFonts w:ascii="Arial" w:hAnsi="Arial" w:cs="Arial"/>
          <w:sz w:val="24"/>
          <w:szCs w:val="24"/>
        </w:rPr>
        <w:t>e are now working through the event outcomes to determine those which we will take forward</w:t>
      </w:r>
      <w:r w:rsidR="00342FF8">
        <w:rPr>
          <w:rFonts w:ascii="Arial" w:hAnsi="Arial" w:cs="Arial"/>
          <w:sz w:val="24"/>
          <w:szCs w:val="24"/>
        </w:rPr>
        <w:t xml:space="preserve"> – some of which may be potential future projects for ECDA</w:t>
      </w:r>
      <w:r w:rsidRPr="00EE1E3A">
        <w:rPr>
          <w:rFonts w:ascii="Arial" w:hAnsi="Arial" w:cs="Arial"/>
          <w:sz w:val="24"/>
          <w:szCs w:val="24"/>
        </w:rPr>
        <w:t xml:space="preserve">. </w:t>
      </w:r>
    </w:p>
    <w:p w14:paraId="12D53049" w14:textId="77777777" w:rsidR="00342FF8" w:rsidRDefault="00F00473" w:rsidP="006E5389">
      <w:pPr>
        <w:rPr>
          <w:rFonts w:ascii="Arial" w:hAnsi="Arial" w:cs="Arial"/>
          <w:sz w:val="24"/>
          <w:szCs w:val="24"/>
        </w:rPr>
      </w:pPr>
      <w:r>
        <w:rPr>
          <w:rFonts w:ascii="Arial" w:hAnsi="Arial" w:cs="Arial"/>
          <w:sz w:val="24"/>
          <w:szCs w:val="24"/>
          <w:u w:val="single"/>
        </w:rPr>
        <w:t>Dot.com Safeguarding Product</w:t>
      </w:r>
      <w:r>
        <w:rPr>
          <w:rFonts w:ascii="Arial" w:hAnsi="Arial" w:cs="Arial"/>
          <w:sz w:val="24"/>
          <w:szCs w:val="24"/>
          <w:u w:val="single"/>
        </w:rPr>
        <w:br/>
      </w:r>
      <w:r w:rsidR="00753AFA">
        <w:rPr>
          <w:rFonts w:ascii="Arial" w:hAnsi="Arial" w:cs="Arial"/>
          <w:sz w:val="24"/>
          <w:szCs w:val="24"/>
        </w:rPr>
        <w:t>Over the last two</w:t>
      </w:r>
      <w:r w:rsidR="006E5389" w:rsidRPr="009B6261">
        <w:rPr>
          <w:rFonts w:ascii="Arial" w:hAnsi="Arial" w:cs="Arial"/>
          <w:sz w:val="24"/>
          <w:szCs w:val="24"/>
        </w:rPr>
        <w:t xml:space="preserve"> years Essex Police has worked with a charity called The Dot.Com Foundation, and other partners including Microsoft, Data Art, 2 Simple and children from Holy Cross School in Thurrock to create a digital version of the charities child safe-guarding product, and also to extend the product to include online harms such as grooming, bullying and harassment. </w:t>
      </w:r>
    </w:p>
    <w:p w14:paraId="4600EE99" w14:textId="41506C83" w:rsidR="006E5389" w:rsidRPr="00EE1E3A" w:rsidRDefault="006E5389" w:rsidP="006E5389">
      <w:pPr>
        <w:rPr>
          <w:rFonts w:ascii="Arial" w:hAnsi="Arial" w:cs="Arial"/>
          <w:sz w:val="24"/>
          <w:szCs w:val="24"/>
          <w:u w:val="single"/>
        </w:rPr>
      </w:pPr>
      <w:r w:rsidRPr="009B6261">
        <w:rPr>
          <w:rFonts w:ascii="Arial" w:hAnsi="Arial" w:cs="Arial"/>
          <w:sz w:val="24"/>
          <w:szCs w:val="24"/>
        </w:rPr>
        <w:t>The national pi</w:t>
      </w:r>
      <w:r w:rsidR="00F00473">
        <w:rPr>
          <w:rFonts w:ascii="Arial" w:hAnsi="Arial" w:cs="Arial"/>
          <w:sz w:val="24"/>
          <w:szCs w:val="24"/>
        </w:rPr>
        <w:t>lot product was launched on 5</w:t>
      </w:r>
      <w:r w:rsidR="00F00473" w:rsidRPr="00EE1E3A">
        <w:rPr>
          <w:rFonts w:ascii="Arial" w:hAnsi="Arial" w:cs="Arial"/>
          <w:sz w:val="24"/>
          <w:szCs w:val="24"/>
          <w:vertAlign w:val="superscript"/>
        </w:rPr>
        <w:t>th</w:t>
      </w:r>
      <w:r w:rsidR="00F00473">
        <w:rPr>
          <w:rFonts w:ascii="Arial" w:hAnsi="Arial" w:cs="Arial"/>
          <w:sz w:val="24"/>
          <w:szCs w:val="24"/>
        </w:rPr>
        <w:t xml:space="preserve"> </w:t>
      </w:r>
      <w:r w:rsidRPr="009B6261">
        <w:rPr>
          <w:rFonts w:ascii="Arial" w:hAnsi="Arial" w:cs="Arial"/>
          <w:sz w:val="24"/>
          <w:szCs w:val="24"/>
        </w:rPr>
        <w:t>June</w:t>
      </w:r>
      <w:r w:rsidR="00F00473">
        <w:rPr>
          <w:rFonts w:ascii="Arial" w:hAnsi="Arial" w:cs="Arial"/>
          <w:sz w:val="24"/>
          <w:szCs w:val="24"/>
        </w:rPr>
        <w:t xml:space="preserve"> 2019 at Holy Cross School. T</w:t>
      </w:r>
      <w:r w:rsidRPr="009B6261">
        <w:rPr>
          <w:rFonts w:ascii="Arial" w:hAnsi="Arial" w:cs="Arial"/>
          <w:sz w:val="24"/>
          <w:szCs w:val="24"/>
        </w:rPr>
        <w:t>he event included linking with the dev</w:t>
      </w:r>
      <w:r w:rsidR="00F00473">
        <w:rPr>
          <w:rFonts w:ascii="Arial" w:hAnsi="Arial" w:cs="Arial"/>
          <w:sz w:val="24"/>
          <w:szCs w:val="24"/>
        </w:rPr>
        <w:t xml:space="preserve">elopers based in Russia and </w:t>
      </w:r>
      <w:r w:rsidRPr="009B6261">
        <w:rPr>
          <w:rFonts w:ascii="Arial" w:hAnsi="Arial" w:cs="Arial"/>
          <w:sz w:val="24"/>
          <w:szCs w:val="24"/>
        </w:rPr>
        <w:t>Ukraine</w:t>
      </w:r>
      <w:r w:rsidR="00F00473">
        <w:rPr>
          <w:rFonts w:ascii="Arial" w:hAnsi="Arial" w:cs="Arial"/>
          <w:sz w:val="24"/>
          <w:szCs w:val="24"/>
        </w:rPr>
        <w:t>,</w:t>
      </w:r>
      <w:r w:rsidRPr="009B6261">
        <w:rPr>
          <w:rFonts w:ascii="Arial" w:hAnsi="Arial" w:cs="Arial"/>
          <w:sz w:val="24"/>
          <w:szCs w:val="24"/>
        </w:rPr>
        <w:t xml:space="preserve"> via a video link, and hearing from the children about their experience of using the products. The local launch received extensive local media coverage including BBC Essex Radio and some national press </w:t>
      </w:r>
      <w:r w:rsidR="003F3D63" w:rsidRPr="009B6261">
        <w:rPr>
          <w:rFonts w:ascii="Arial" w:hAnsi="Arial" w:cs="Arial"/>
          <w:sz w:val="24"/>
          <w:szCs w:val="24"/>
        </w:rPr>
        <w:t>coverage</w:t>
      </w:r>
      <w:r w:rsidR="003F3D63">
        <w:rPr>
          <w:rFonts w:ascii="Arial" w:hAnsi="Arial" w:cs="Arial"/>
          <w:sz w:val="24"/>
          <w:szCs w:val="24"/>
        </w:rPr>
        <w:t>. The</w:t>
      </w:r>
      <w:r w:rsidRPr="009B6261">
        <w:rPr>
          <w:rFonts w:ascii="Arial" w:hAnsi="Arial" w:cs="Arial"/>
          <w:sz w:val="24"/>
          <w:szCs w:val="24"/>
        </w:rPr>
        <w:t xml:space="preserve"> project is supported by the Depar</w:t>
      </w:r>
      <w:r w:rsidR="00F00473">
        <w:rPr>
          <w:rFonts w:ascii="Arial" w:hAnsi="Arial" w:cs="Arial"/>
          <w:sz w:val="24"/>
          <w:szCs w:val="24"/>
        </w:rPr>
        <w:t>tment for Education who wish</w:t>
      </w:r>
      <w:r w:rsidRPr="009B6261">
        <w:rPr>
          <w:rFonts w:ascii="Arial" w:hAnsi="Arial" w:cs="Arial"/>
          <w:sz w:val="24"/>
          <w:szCs w:val="24"/>
        </w:rPr>
        <w:t xml:space="preserve"> to make the successful product available in all schools free of charge. </w:t>
      </w:r>
    </w:p>
    <w:p w14:paraId="2A6559C5" w14:textId="3B72899E" w:rsidR="00272ABC" w:rsidRPr="009B6261" w:rsidRDefault="006E5389" w:rsidP="006E5389">
      <w:pPr>
        <w:rPr>
          <w:rFonts w:ascii="Arial" w:hAnsi="Arial" w:cs="Arial"/>
          <w:sz w:val="24"/>
          <w:szCs w:val="24"/>
        </w:rPr>
      </w:pPr>
      <w:r w:rsidRPr="009B6261">
        <w:rPr>
          <w:rFonts w:ascii="Arial" w:hAnsi="Arial" w:cs="Arial"/>
          <w:sz w:val="24"/>
          <w:szCs w:val="24"/>
        </w:rPr>
        <w:t xml:space="preserve">Since the last update, the national Dot.Com pilot has been continuing, and the national launch of the product will take place in January 2020 at the British Education Technology Trade Conference at the ExCel Centre in London, following the development of the new delivery platform provided by 2 Simple. The new partner has a very strong relationship with schools across the UK as well as with the British Educational Suppliers Association (BESA). The basic product will remain free to use for schools and the charities founder has recently done a TED Talk which tells the story. </w:t>
      </w:r>
      <w:r w:rsidR="009D4843">
        <w:rPr>
          <w:rFonts w:ascii="Arial" w:hAnsi="Arial" w:cs="Arial"/>
          <w:sz w:val="24"/>
          <w:szCs w:val="24"/>
        </w:rPr>
        <w:t>W</w:t>
      </w:r>
      <w:r w:rsidRPr="009B6261">
        <w:rPr>
          <w:rFonts w:ascii="Arial" w:hAnsi="Arial" w:cs="Arial"/>
          <w:sz w:val="24"/>
          <w:szCs w:val="24"/>
        </w:rPr>
        <w:t>ork is now taking place to add further content in relation to County Lines as part of the national launch following Hothouse 2</w:t>
      </w:r>
      <w:r w:rsidR="00C27ECE">
        <w:rPr>
          <w:rFonts w:ascii="Arial" w:hAnsi="Arial" w:cs="Arial"/>
          <w:sz w:val="24"/>
          <w:szCs w:val="24"/>
        </w:rPr>
        <w:t>.</w:t>
      </w:r>
    </w:p>
    <w:p w14:paraId="3A183480" w14:textId="341639F5" w:rsidR="006E5389" w:rsidRPr="00EE1E3A" w:rsidRDefault="00F00473" w:rsidP="006E5389">
      <w:pPr>
        <w:rPr>
          <w:rFonts w:ascii="Arial" w:hAnsi="Arial" w:cs="Arial"/>
          <w:sz w:val="24"/>
          <w:szCs w:val="24"/>
          <w:u w:val="single"/>
        </w:rPr>
      </w:pPr>
      <w:r>
        <w:rPr>
          <w:rFonts w:ascii="Arial" w:hAnsi="Arial" w:cs="Arial"/>
          <w:sz w:val="24"/>
          <w:szCs w:val="24"/>
          <w:u w:val="single"/>
        </w:rPr>
        <w:t>Data Work</w:t>
      </w:r>
      <w:r>
        <w:rPr>
          <w:rFonts w:ascii="Arial" w:hAnsi="Arial" w:cs="Arial"/>
          <w:sz w:val="24"/>
          <w:szCs w:val="24"/>
          <w:u w:val="single"/>
        </w:rPr>
        <w:br/>
      </w:r>
      <w:r w:rsidR="006E5389" w:rsidRPr="009B6261">
        <w:rPr>
          <w:rFonts w:ascii="Arial" w:hAnsi="Arial" w:cs="Arial"/>
          <w:sz w:val="24"/>
          <w:szCs w:val="24"/>
        </w:rPr>
        <w:t xml:space="preserve">In addition to the child safeguarding activity, the innovative partnerships initiative has driven a new approach to data across the Force through the development of 3 foundation products, a data audit, data strategy and a front line assessment of data demand. The work with core partners has enabled the Force to understand the value of its own data and the importance of taking a holistic approach to the exploitation, management and analysis of data. To advance this work a new post for a single force data lead, Enterprise Data Officer (EDO), has been created to deliver the new approach. Recruitment of the EDO remains ongoing. </w:t>
      </w:r>
    </w:p>
    <w:p w14:paraId="4DA2D962" w14:textId="18D1411B" w:rsidR="006E5389" w:rsidRPr="009B6261" w:rsidRDefault="006E5389" w:rsidP="006E5389">
      <w:pPr>
        <w:rPr>
          <w:rFonts w:ascii="Arial" w:hAnsi="Arial" w:cs="Arial"/>
          <w:sz w:val="24"/>
          <w:szCs w:val="24"/>
        </w:rPr>
      </w:pPr>
      <w:r w:rsidRPr="009B6261">
        <w:rPr>
          <w:rFonts w:ascii="Arial" w:hAnsi="Arial" w:cs="Arial"/>
          <w:sz w:val="24"/>
          <w:szCs w:val="24"/>
        </w:rPr>
        <w:t>In addition to the baseline data work detailed above</w:t>
      </w:r>
      <w:r w:rsidR="00342FF8">
        <w:rPr>
          <w:rFonts w:ascii="Arial" w:hAnsi="Arial" w:cs="Arial"/>
          <w:sz w:val="24"/>
          <w:szCs w:val="24"/>
        </w:rPr>
        <w:t>,</w:t>
      </w:r>
      <w:r w:rsidRPr="009B6261">
        <w:rPr>
          <w:rFonts w:ascii="Arial" w:hAnsi="Arial" w:cs="Arial"/>
          <w:sz w:val="24"/>
          <w:szCs w:val="24"/>
        </w:rPr>
        <w:t xml:space="preserve"> Essex Police has undertaken a procurement exercise on a project called </w:t>
      </w:r>
      <w:r w:rsidR="00C27ECE">
        <w:rPr>
          <w:rFonts w:ascii="Arial" w:hAnsi="Arial" w:cs="Arial"/>
          <w:sz w:val="24"/>
          <w:szCs w:val="24"/>
        </w:rPr>
        <w:t>‘</w:t>
      </w:r>
      <w:r w:rsidRPr="009B6261">
        <w:rPr>
          <w:rFonts w:ascii="Arial" w:hAnsi="Arial" w:cs="Arial"/>
          <w:sz w:val="24"/>
          <w:szCs w:val="24"/>
        </w:rPr>
        <w:t>Analytics for Everyone</w:t>
      </w:r>
      <w:r w:rsidR="00C27ECE">
        <w:rPr>
          <w:rFonts w:ascii="Arial" w:hAnsi="Arial" w:cs="Arial"/>
          <w:sz w:val="24"/>
          <w:szCs w:val="24"/>
        </w:rPr>
        <w:t>’</w:t>
      </w:r>
      <w:r w:rsidRPr="009B6261">
        <w:rPr>
          <w:rFonts w:ascii="Arial" w:hAnsi="Arial" w:cs="Arial"/>
          <w:sz w:val="24"/>
          <w:szCs w:val="24"/>
        </w:rPr>
        <w:t xml:space="preserve">, which is aimed at putting core data in the hands of everyone in the force to help drive decision making. The winning bid has been selected and the product should be rolled out in early 2020. </w:t>
      </w:r>
    </w:p>
    <w:p w14:paraId="158B2E1F" w14:textId="28E367D7" w:rsidR="00D8706D" w:rsidRDefault="008F0D43" w:rsidP="00D8706D">
      <w:pPr>
        <w:rPr>
          <w:rFonts w:ascii="Arial" w:hAnsi="Arial" w:cs="Arial"/>
          <w:b/>
          <w:bCs/>
          <w:color w:val="1F497D"/>
          <w:sz w:val="24"/>
          <w:szCs w:val="24"/>
          <w:u w:val="single"/>
        </w:rPr>
      </w:pPr>
      <w:r w:rsidRPr="00D854A6">
        <w:rPr>
          <w:rFonts w:ascii="Arial" w:hAnsi="Arial" w:cs="Arial"/>
          <w:b/>
          <w:sz w:val="24"/>
          <w:szCs w:val="24"/>
          <w:u w:val="single"/>
        </w:rPr>
        <w:t>Anglia Ruskin University (ARU)</w:t>
      </w:r>
      <w:r w:rsidR="0086050C">
        <w:rPr>
          <w:rFonts w:ascii="Arial" w:hAnsi="Arial" w:cs="Arial"/>
          <w:b/>
          <w:sz w:val="24"/>
          <w:szCs w:val="24"/>
          <w:u w:val="single"/>
        </w:rPr>
        <w:br/>
      </w:r>
      <w:r w:rsidR="00D8706D">
        <w:rPr>
          <w:rFonts w:ascii="Arial" w:hAnsi="Arial" w:cs="Arial"/>
          <w:sz w:val="24"/>
          <w:szCs w:val="24"/>
        </w:rPr>
        <w:br/>
      </w:r>
      <w:r w:rsidR="00D8706D" w:rsidRPr="00D8706D">
        <w:rPr>
          <w:rFonts w:ascii="Arial" w:hAnsi="Arial" w:cs="Arial"/>
          <w:sz w:val="24"/>
          <w:szCs w:val="24"/>
        </w:rPr>
        <w:lastRenderedPageBreak/>
        <w:t xml:space="preserve">A new research strategy was presented to COG in September and PR&amp;S in October, the strategy included proposed areas for research with ARU. The strategy was agreed by COG and the PFCC. A meeting is taking place between the Head of Analytics and the OPFCC to progress the next round of ARU research projects. </w:t>
      </w:r>
    </w:p>
    <w:p w14:paraId="12BB9DAE" w14:textId="5EDEB89E" w:rsidR="00C34F59" w:rsidRPr="00C34F59" w:rsidRDefault="00C34F59" w:rsidP="00C34F59">
      <w:pPr>
        <w:pStyle w:val="NoSpacing"/>
        <w:rPr>
          <w:rFonts w:ascii="Arial" w:hAnsi="Arial" w:cs="Arial"/>
          <w:sz w:val="24"/>
          <w:szCs w:val="24"/>
        </w:rPr>
      </w:pPr>
    </w:p>
    <w:p w14:paraId="429CCA84" w14:textId="4EDB6F99" w:rsidR="00BF4C2F" w:rsidRPr="000B5E1B" w:rsidRDefault="008F0D43" w:rsidP="008F0D43">
      <w:pPr>
        <w:rPr>
          <w:rFonts w:ascii="Arial" w:hAnsi="Arial" w:cs="Arial"/>
          <w:b/>
          <w:sz w:val="24"/>
          <w:szCs w:val="24"/>
          <w:u w:val="single"/>
        </w:rPr>
      </w:pPr>
      <w:r w:rsidRPr="000B5E1B">
        <w:rPr>
          <w:rFonts w:ascii="Arial" w:hAnsi="Arial" w:cs="Arial"/>
          <w:b/>
          <w:sz w:val="24"/>
          <w:szCs w:val="24"/>
          <w:u w:val="single"/>
        </w:rPr>
        <w:t xml:space="preserve">Optimisation of Police and Public Engagement </w:t>
      </w:r>
      <w:r w:rsidR="00BF4C2F" w:rsidRPr="000B5E1B">
        <w:rPr>
          <w:rFonts w:ascii="Arial" w:hAnsi="Arial" w:cs="Arial"/>
          <w:b/>
          <w:sz w:val="24"/>
          <w:szCs w:val="24"/>
          <w:u w:val="single"/>
        </w:rPr>
        <w:t>–</w:t>
      </w:r>
      <w:r w:rsidRPr="000B5E1B">
        <w:rPr>
          <w:rFonts w:ascii="Arial" w:hAnsi="Arial" w:cs="Arial"/>
          <w:b/>
          <w:sz w:val="24"/>
          <w:szCs w:val="24"/>
          <w:u w:val="single"/>
        </w:rPr>
        <w:t xml:space="preserve"> </w:t>
      </w:r>
      <w:r w:rsidR="00BF4C2F" w:rsidRPr="000B5E1B">
        <w:rPr>
          <w:rFonts w:ascii="Arial" w:hAnsi="Arial" w:cs="Arial"/>
          <w:b/>
          <w:sz w:val="24"/>
          <w:szCs w:val="24"/>
          <w:u w:val="single"/>
        </w:rPr>
        <w:t xml:space="preserve">(Overall RAG – </w:t>
      </w:r>
      <w:r w:rsidR="00610304">
        <w:rPr>
          <w:rFonts w:ascii="Arial" w:hAnsi="Arial" w:cs="Arial"/>
          <w:b/>
          <w:sz w:val="24"/>
          <w:szCs w:val="24"/>
          <w:u w:val="single"/>
        </w:rPr>
        <w:t>Green</w:t>
      </w:r>
      <w:r w:rsidR="00BF4C2F" w:rsidRPr="000B5E1B">
        <w:rPr>
          <w:rFonts w:ascii="Arial" w:hAnsi="Arial" w:cs="Arial"/>
          <w:b/>
          <w:sz w:val="24"/>
          <w:szCs w:val="24"/>
          <w:u w:val="single"/>
        </w:rPr>
        <w:t xml:space="preserve">) </w:t>
      </w:r>
    </w:p>
    <w:p w14:paraId="4C11CB36" w14:textId="77777777" w:rsidR="007E41B5" w:rsidRPr="00F731DD" w:rsidRDefault="007E41B5" w:rsidP="007E41B5">
      <w:pPr>
        <w:rPr>
          <w:rFonts w:ascii="Arial" w:hAnsi="Arial" w:cs="Arial"/>
          <w:sz w:val="16"/>
          <w:szCs w:val="16"/>
        </w:rPr>
      </w:pPr>
      <w:r w:rsidRPr="00F731DD">
        <w:rPr>
          <w:rFonts w:ascii="Arial" w:hAnsi="Arial" w:cs="Arial"/>
          <w:sz w:val="16"/>
          <w:szCs w:val="16"/>
        </w:rPr>
        <w:t>Note: RAG assessment determined for this report.</w:t>
      </w:r>
    </w:p>
    <w:p w14:paraId="14120D89" w14:textId="6177CA43" w:rsidR="008F0D43" w:rsidRPr="00A97886" w:rsidRDefault="008F0D43" w:rsidP="008F0D43">
      <w:pPr>
        <w:rPr>
          <w:rFonts w:ascii="Arial" w:hAnsi="Arial" w:cs="Arial"/>
          <w:sz w:val="24"/>
          <w:szCs w:val="24"/>
        </w:rPr>
      </w:pPr>
      <w:r w:rsidRPr="00A97886">
        <w:rPr>
          <w:rFonts w:ascii="Arial" w:hAnsi="Arial" w:cs="Arial"/>
          <w:sz w:val="24"/>
          <w:szCs w:val="24"/>
        </w:rPr>
        <w:t xml:space="preserve">This project is funded by an external grant achieved by ARU and is a follow up to the research project in 2014/15 – Optimisation of Police and Public Engagement. This project will test and implement specific Social Media communications aimed at improving Essex Police’s public confidence based on the findings of the 2015 Essex Police survey. </w:t>
      </w:r>
    </w:p>
    <w:p w14:paraId="139E039C" w14:textId="292DCE42" w:rsidR="008F0D43" w:rsidRDefault="008F0D43" w:rsidP="008F0D43">
      <w:pPr>
        <w:pStyle w:val="NoSpacing"/>
        <w:rPr>
          <w:rFonts w:ascii="Arial" w:hAnsi="Arial" w:cs="Arial"/>
          <w:sz w:val="24"/>
          <w:szCs w:val="24"/>
        </w:rPr>
      </w:pPr>
      <w:r w:rsidRPr="00A97886">
        <w:rPr>
          <w:rFonts w:ascii="Arial" w:hAnsi="Arial" w:cs="Arial"/>
          <w:sz w:val="24"/>
          <w:szCs w:val="24"/>
        </w:rPr>
        <w:t>ARU launched their survey as part of this project in August 2018.   Essex Police has supported the promotion of this survey using social media channels to increase its reach and completion.  Unfortunately, over the summer period, whilst the public reach was very high, the completion rate was lower than expected.  This resulted in some adjustment to the survey and a series of targeted postings to increase public uptake.   </w:t>
      </w:r>
    </w:p>
    <w:p w14:paraId="2FFD2C0C" w14:textId="77777777" w:rsidR="008F0D43" w:rsidRDefault="008F0D43" w:rsidP="008F0D43">
      <w:pPr>
        <w:pStyle w:val="NoSpacing"/>
        <w:rPr>
          <w:rFonts w:ascii="Arial" w:hAnsi="Arial" w:cs="Arial"/>
          <w:sz w:val="24"/>
          <w:szCs w:val="24"/>
        </w:rPr>
      </w:pPr>
    </w:p>
    <w:p w14:paraId="1E8FA0ED" w14:textId="4B701613" w:rsidR="00C34F59" w:rsidRPr="00C34F59" w:rsidRDefault="00C34F59" w:rsidP="00C34F59">
      <w:pPr>
        <w:pStyle w:val="NoSpacing"/>
        <w:rPr>
          <w:rFonts w:ascii="Arial" w:hAnsi="Arial" w:cs="Arial"/>
          <w:sz w:val="24"/>
          <w:szCs w:val="24"/>
        </w:rPr>
      </w:pPr>
      <w:r w:rsidRPr="00C34F59">
        <w:rPr>
          <w:rFonts w:ascii="Arial" w:hAnsi="Arial" w:cs="Arial"/>
          <w:sz w:val="24"/>
          <w:szCs w:val="24"/>
        </w:rPr>
        <w:t xml:space="preserve">ARU report that despite a push on social media channels to increase participation, completed surveys are still under 300.  Essex Police </w:t>
      </w:r>
      <w:r w:rsidR="00722D7B">
        <w:rPr>
          <w:rFonts w:ascii="Arial" w:hAnsi="Arial" w:cs="Arial"/>
          <w:sz w:val="24"/>
          <w:szCs w:val="24"/>
        </w:rPr>
        <w:t xml:space="preserve">have </w:t>
      </w:r>
      <w:r w:rsidRPr="00C34F59">
        <w:rPr>
          <w:rFonts w:ascii="Arial" w:hAnsi="Arial" w:cs="Arial"/>
          <w:sz w:val="24"/>
          <w:szCs w:val="24"/>
        </w:rPr>
        <w:t>continue</w:t>
      </w:r>
      <w:r w:rsidR="00722D7B">
        <w:rPr>
          <w:rFonts w:ascii="Arial" w:hAnsi="Arial" w:cs="Arial"/>
          <w:sz w:val="24"/>
          <w:szCs w:val="24"/>
        </w:rPr>
        <w:t>d</w:t>
      </w:r>
      <w:r w:rsidRPr="00C34F59">
        <w:rPr>
          <w:rFonts w:ascii="Arial" w:hAnsi="Arial" w:cs="Arial"/>
          <w:sz w:val="24"/>
          <w:szCs w:val="24"/>
        </w:rPr>
        <w:t xml:space="preserve"> to promote the survey using their social media channels to help boo</w:t>
      </w:r>
      <w:r w:rsidR="00F875A6">
        <w:rPr>
          <w:rFonts w:ascii="Arial" w:hAnsi="Arial" w:cs="Arial"/>
          <w:sz w:val="24"/>
          <w:szCs w:val="24"/>
        </w:rPr>
        <w:t>s</w:t>
      </w:r>
      <w:r w:rsidRPr="00C34F59">
        <w:rPr>
          <w:rFonts w:ascii="Arial" w:hAnsi="Arial" w:cs="Arial"/>
          <w:sz w:val="24"/>
          <w:szCs w:val="24"/>
        </w:rPr>
        <w:t xml:space="preserve">t participation levels.  </w:t>
      </w:r>
    </w:p>
    <w:p w14:paraId="071D7267" w14:textId="77777777" w:rsidR="00A80BB8" w:rsidRDefault="00A80BB8" w:rsidP="00A80BB8">
      <w:pPr>
        <w:pStyle w:val="NoSpacing"/>
        <w:rPr>
          <w:rFonts w:ascii="Arial" w:hAnsi="Arial" w:cs="Arial"/>
          <w:color w:val="002060"/>
          <w:sz w:val="24"/>
          <w:szCs w:val="24"/>
        </w:rPr>
      </w:pPr>
    </w:p>
    <w:p w14:paraId="01AAEB27" w14:textId="1754DE80" w:rsidR="00C34F59" w:rsidRDefault="00A80BB8" w:rsidP="00204056">
      <w:pPr>
        <w:rPr>
          <w:rFonts w:ascii="Arial" w:hAnsi="Arial" w:cs="Arial"/>
          <w:sz w:val="24"/>
          <w:szCs w:val="24"/>
        </w:rPr>
      </w:pPr>
      <w:r w:rsidRPr="002533C8">
        <w:rPr>
          <w:rFonts w:ascii="Arial" w:hAnsi="Arial" w:cs="Arial"/>
          <w:sz w:val="24"/>
          <w:szCs w:val="24"/>
        </w:rPr>
        <w:t xml:space="preserve">This study has not been as successful as the researcher had hoped due to the low level of responses to the survey. </w:t>
      </w:r>
      <w:r w:rsidR="00753AFA" w:rsidRPr="002533C8">
        <w:rPr>
          <w:rFonts w:ascii="Arial" w:hAnsi="Arial" w:cs="Arial"/>
          <w:sz w:val="24"/>
          <w:szCs w:val="24"/>
        </w:rPr>
        <w:t>The final report did not provide any further update to the previous research which discussed the importance of keeping the right balance between warmth and competence in our public communications and social media messages.</w:t>
      </w:r>
      <w:r w:rsidR="0086050C">
        <w:rPr>
          <w:rFonts w:ascii="Arial" w:hAnsi="Arial" w:cs="Arial"/>
          <w:sz w:val="24"/>
          <w:szCs w:val="24"/>
        </w:rPr>
        <w:br/>
      </w:r>
    </w:p>
    <w:p w14:paraId="150BF211" w14:textId="77777777" w:rsidR="008F0D43" w:rsidRPr="001A674B" w:rsidRDefault="008F0D43" w:rsidP="008F0D43">
      <w:pPr>
        <w:rPr>
          <w:rFonts w:ascii="Arial" w:hAnsi="Arial" w:cs="Arial"/>
          <w:b/>
          <w:sz w:val="24"/>
          <w:szCs w:val="24"/>
          <w:u w:val="single"/>
        </w:rPr>
      </w:pPr>
      <w:r w:rsidRPr="001A674B">
        <w:rPr>
          <w:rFonts w:ascii="Arial" w:hAnsi="Arial" w:cs="Arial"/>
          <w:b/>
          <w:sz w:val="24"/>
          <w:szCs w:val="24"/>
          <w:u w:val="single"/>
        </w:rPr>
        <w:t>Cyber Specials and Volunteers</w:t>
      </w:r>
      <w:r w:rsidR="00C337C1">
        <w:rPr>
          <w:rFonts w:ascii="Arial" w:hAnsi="Arial" w:cs="Arial"/>
          <w:b/>
          <w:sz w:val="24"/>
          <w:szCs w:val="24"/>
          <w:u w:val="single"/>
        </w:rPr>
        <w:t xml:space="preserve"> </w:t>
      </w:r>
      <w:r w:rsidR="00BF4C2F">
        <w:rPr>
          <w:rFonts w:ascii="Arial" w:hAnsi="Arial" w:cs="Arial"/>
          <w:b/>
          <w:sz w:val="24"/>
          <w:szCs w:val="24"/>
          <w:u w:val="single"/>
        </w:rPr>
        <w:t>– (Overall RAG – Green)</w:t>
      </w:r>
    </w:p>
    <w:p w14:paraId="4B9DC203" w14:textId="77777777" w:rsidR="007E41B5" w:rsidRPr="005D4359" w:rsidRDefault="007E41B5" w:rsidP="007E41B5">
      <w:pPr>
        <w:rPr>
          <w:rFonts w:ascii="Arial" w:hAnsi="Arial" w:cs="Arial"/>
          <w:sz w:val="16"/>
          <w:szCs w:val="16"/>
        </w:rPr>
      </w:pPr>
      <w:r w:rsidRPr="005D4359">
        <w:rPr>
          <w:rFonts w:ascii="Arial" w:hAnsi="Arial" w:cs="Arial"/>
          <w:sz w:val="16"/>
          <w:szCs w:val="16"/>
        </w:rPr>
        <w:t>Note: RAG assessment determined for this report.</w:t>
      </w:r>
    </w:p>
    <w:p w14:paraId="60B196E1" w14:textId="6042BB63" w:rsidR="00286B89" w:rsidRPr="000C6393" w:rsidRDefault="00286B89" w:rsidP="00286B89">
      <w:pPr>
        <w:rPr>
          <w:rFonts w:ascii="Arial" w:hAnsi="Arial" w:cs="Arial"/>
          <w:color w:val="0070C0"/>
          <w:sz w:val="24"/>
          <w:szCs w:val="24"/>
        </w:rPr>
      </w:pPr>
      <w:r>
        <w:rPr>
          <w:rFonts w:ascii="Arial" w:hAnsi="Arial" w:cs="Arial"/>
          <w:sz w:val="24"/>
          <w:szCs w:val="24"/>
        </w:rPr>
        <w:t xml:space="preserve">In May 2018 Essex Police launched its Cyber Specials and Volunteers Scheme, looking to attract talent from local businesses and organisations interested in working in digital capabilities in the force such as Internet Investigation and Intelligence, Cyber and Big Data Analytics. The scheme was launched at Anglia Ruskin University (one of our ‘hothouse’ partners) and resulted in over 70 applications from people interested in working with Essex </w:t>
      </w:r>
      <w:bookmarkStart w:id="5" w:name="_Hlk26520937"/>
      <w:r>
        <w:rPr>
          <w:rFonts w:ascii="Arial" w:hAnsi="Arial" w:cs="Arial"/>
          <w:sz w:val="24"/>
          <w:szCs w:val="24"/>
        </w:rPr>
        <w:t xml:space="preserve">Police, mostly as a volunteer. Work continues to match the applicants to opportunities and developments include the creation of a forum to engage with the applicants and the wider </w:t>
      </w:r>
      <w:r w:rsidRPr="00D2228D">
        <w:rPr>
          <w:rFonts w:ascii="Arial" w:hAnsi="Arial" w:cs="Arial"/>
          <w:sz w:val="24"/>
          <w:szCs w:val="24"/>
        </w:rPr>
        <w:t>Cyber business community using a platform available through the national Cyber Specials and Volunteers Scheme (CSCV).  8 candidates are being proactively progressed through vetting and 2 of the candidates have applied for dual roles</w:t>
      </w:r>
      <w:r w:rsidRPr="000C6393">
        <w:rPr>
          <w:rFonts w:ascii="Arial" w:hAnsi="Arial" w:cs="Arial"/>
          <w:sz w:val="24"/>
          <w:szCs w:val="24"/>
        </w:rPr>
        <w:t>.</w:t>
      </w:r>
      <w:r w:rsidR="000C6393" w:rsidRPr="000C6393">
        <w:rPr>
          <w:rFonts w:ascii="Arial" w:hAnsi="Arial" w:cs="Arial"/>
          <w:sz w:val="24"/>
          <w:szCs w:val="24"/>
        </w:rPr>
        <w:t xml:space="preserve"> 2 of </w:t>
      </w:r>
      <w:r w:rsidR="00342FF8">
        <w:rPr>
          <w:rFonts w:ascii="Arial" w:hAnsi="Arial" w:cs="Arial"/>
          <w:sz w:val="24"/>
          <w:szCs w:val="24"/>
        </w:rPr>
        <w:t xml:space="preserve">the </w:t>
      </w:r>
      <w:r w:rsidR="000C6393" w:rsidRPr="000C6393">
        <w:rPr>
          <w:rFonts w:ascii="Arial" w:hAnsi="Arial" w:cs="Arial"/>
          <w:sz w:val="24"/>
          <w:szCs w:val="24"/>
        </w:rPr>
        <w:t>candidates are due to receive their staff warrant cards imminently and they will be awarded at the monthly Special Constables Attestation Ceremony</w:t>
      </w:r>
      <w:r w:rsidR="00C27ECE">
        <w:rPr>
          <w:rFonts w:ascii="Arial" w:hAnsi="Arial" w:cs="Arial"/>
          <w:sz w:val="24"/>
          <w:szCs w:val="24"/>
        </w:rPr>
        <w:t>.</w:t>
      </w:r>
    </w:p>
    <w:p w14:paraId="64BD7310" w14:textId="77777777" w:rsidR="00060E52" w:rsidRPr="00D2228D" w:rsidRDefault="00060E52" w:rsidP="00060E52">
      <w:pPr>
        <w:rPr>
          <w:rFonts w:ascii="Arial" w:hAnsi="Arial" w:cs="Arial"/>
          <w:sz w:val="24"/>
          <w:szCs w:val="24"/>
        </w:rPr>
      </w:pPr>
      <w:r w:rsidRPr="00D2228D">
        <w:rPr>
          <w:rFonts w:ascii="Arial" w:hAnsi="Arial" w:cs="Arial"/>
          <w:sz w:val="24"/>
          <w:szCs w:val="24"/>
        </w:rPr>
        <w:lastRenderedPageBreak/>
        <w:t xml:space="preserve">Some of the volunteers have now started in the Serious Crime Directorate and volunteers are now being matched to more of the roles we have available. The CSCV platform will allow the force to utilise the volunteers in a much more dynamic way as issues and problems arise. The Cyber Specials and Cyber Volunteers’ module has been activated on Duty Sheet and </w:t>
      </w:r>
      <w:r>
        <w:rPr>
          <w:rFonts w:ascii="Arial" w:hAnsi="Arial" w:cs="Arial"/>
          <w:sz w:val="24"/>
          <w:szCs w:val="24"/>
        </w:rPr>
        <w:t>5</w:t>
      </w:r>
      <w:r w:rsidRPr="00D2228D">
        <w:rPr>
          <w:rFonts w:ascii="Arial" w:hAnsi="Arial" w:cs="Arial"/>
          <w:sz w:val="24"/>
          <w:szCs w:val="24"/>
        </w:rPr>
        <w:t xml:space="preserve"> Specials have updated it with their digital skills. </w:t>
      </w:r>
    </w:p>
    <w:bookmarkEnd w:id="5"/>
    <w:p w14:paraId="7AAE3531" w14:textId="25D3BD3E" w:rsidR="008F0D43" w:rsidRDefault="008F0D43" w:rsidP="008F0D43">
      <w:pPr>
        <w:rPr>
          <w:rFonts w:ascii="Arial" w:hAnsi="Arial" w:cs="Arial"/>
          <w:b/>
          <w:sz w:val="24"/>
          <w:szCs w:val="24"/>
          <w:u w:val="single"/>
        </w:rPr>
      </w:pPr>
      <w:r w:rsidRPr="0031562F">
        <w:rPr>
          <w:rFonts w:ascii="Arial" w:hAnsi="Arial" w:cs="Arial"/>
          <w:b/>
          <w:sz w:val="24"/>
          <w:szCs w:val="24"/>
          <w:u w:val="single"/>
        </w:rPr>
        <w:t xml:space="preserve">Durham University </w:t>
      </w:r>
      <w:r w:rsidR="00BF4C2F">
        <w:rPr>
          <w:rFonts w:ascii="Arial" w:hAnsi="Arial" w:cs="Arial"/>
          <w:b/>
          <w:sz w:val="24"/>
          <w:szCs w:val="24"/>
          <w:u w:val="single"/>
        </w:rPr>
        <w:t>- (Overall RAG – Green)</w:t>
      </w:r>
    </w:p>
    <w:p w14:paraId="3137AE0D" w14:textId="77777777" w:rsidR="007E41B5" w:rsidRPr="005D4359" w:rsidRDefault="007E41B5" w:rsidP="007E41B5">
      <w:pPr>
        <w:rPr>
          <w:rFonts w:ascii="Arial" w:hAnsi="Arial" w:cs="Arial"/>
          <w:sz w:val="16"/>
          <w:szCs w:val="16"/>
        </w:rPr>
      </w:pPr>
      <w:r w:rsidRPr="005D4359">
        <w:rPr>
          <w:rFonts w:ascii="Arial" w:hAnsi="Arial" w:cs="Arial"/>
          <w:sz w:val="16"/>
          <w:szCs w:val="16"/>
        </w:rPr>
        <w:t>Note: RAG assessment determined for this report.</w:t>
      </w:r>
    </w:p>
    <w:p w14:paraId="2374A2AC" w14:textId="77777777" w:rsidR="0016250A" w:rsidRPr="00CF1E25" w:rsidRDefault="0016250A" w:rsidP="0016250A">
      <w:pPr>
        <w:rPr>
          <w:rFonts w:ascii="Arial" w:hAnsi="Arial" w:cs="Arial"/>
          <w:sz w:val="24"/>
          <w:szCs w:val="24"/>
        </w:rPr>
      </w:pPr>
      <w:r w:rsidRPr="00684ED8">
        <w:rPr>
          <w:rFonts w:ascii="Arial" w:hAnsi="Arial" w:cs="Arial"/>
          <w:sz w:val="24"/>
          <w:szCs w:val="24"/>
        </w:rPr>
        <w:t>Essex Police is continuing to work with Durham University to learn more about our organisational culture and to track the key measures (Public Service Motivation, Or</w:t>
      </w:r>
      <w:r w:rsidRPr="00CF1E25">
        <w:rPr>
          <w:rFonts w:ascii="Arial" w:hAnsi="Arial" w:cs="Arial"/>
          <w:sz w:val="24"/>
          <w:szCs w:val="24"/>
        </w:rPr>
        <w:t>ganisational Fairness, Perceived Organisational Support, Organisational Pride, Leadership Style, Job Satisfaction, Staff Engagement and Barriers) to doing a job well.</w:t>
      </w:r>
    </w:p>
    <w:p w14:paraId="56FE24E0" w14:textId="000E4F12" w:rsidR="004B6E3F" w:rsidRDefault="0016250A" w:rsidP="004B6E3F">
      <w:pPr>
        <w:pStyle w:val="NoSpacing"/>
        <w:rPr>
          <w:rFonts w:ascii="Arial" w:hAnsi="Arial" w:cs="Arial"/>
          <w:sz w:val="24"/>
          <w:szCs w:val="24"/>
        </w:rPr>
      </w:pPr>
      <w:r w:rsidRPr="00D57498">
        <w:rPr>
          <w:rFonts w:ascii="Arial" w:hAnsi="Arial" w:cs="Arial"/>
          <w:sz w:val="24"/>
          <w:szCs w:val="24"/>
        </w:rPr>
        <w:t xml:space="preserve">A further ‘pulse’ survey was launched on 4th June 2019 and closed on </w:t>
      </w:r>
      <w:r w:rsidR="00F12A11">
        <w:rPr>
          <w:rFonts w:ascii="Arial" w:hAnsi="Arial" w:cs="Arial"/>
          <w:sz w:val="24"/>
          <w:szCs w:val="24"/>
        </w:rPr>
        <w:t>2</w:t>
      </w:r>
      <w:r w:rsidR="00F12A11" w:rsidRPr="00237DAA">
        <w:rPr>
          <w:rFonts w:ascii="Arial" w:hAnsi="Arial" w:cs="Arial"/>
          <w:sz w:val="24"/>
          <w:szCs w:val="24"/>
          <w:vertAlign w:val="superscript"/>
        </w:rPr>
        <w:t>nd</w:t>
      </w:r>
      <w:r w:rsidR="00F12A11">
        <w:rPr>
          <w:rFonts w:ascii="Arial" w:hAnsi="Arial" w:cs="Arial"/>
          <w:sz w:val="24"/>
          <w:szCs w:val="24"/>
        </w:rPr>
        <w:t xml:space="preserve"> </w:t>
      </w:r>
      <w:r w:rsidRPr="00D57498">
        <w:rPr>
          <w:rFonts w:ascii="Arial" w:hAnsi="Arial" w:cs="Arial"/>
          <w:sz w:val="24"/>
          <w:szCs w:val="24"/>
        </w:rPr>
        <w:t>July 2019. The Force achieved an excellent response rate (2804 responses / 51%)</w:t>
      </w:r>
      <w:r w:rsidR="004B6E3F" w:rsidRPr="00923BAA">
        <w:rPr>
          <w:rFonts w:ascii="Arial" w:hAnsi="Arial" w:cs="Arial"/>
          <w:sz w:val="24"/>
          <w:szCs w:val="24"/>
        </w:rPr>
        <w:t>.</w:t>
      </w:r>
      <w:r w:rsidR="00F12A11">
        <w:rPr>
          <w:rFonts w:ascii="Arial" w:hAnsi="Arial" w:cs="Arial"/>
          <w:sz w:val="24"/>
          <w:szCs w:val="24"/>
        </w:rPr>
        <w:t xml:space="preserve"> </w:t>
      </w:r>
      <w:r w:rsidR="004B6E3F" w:rsidRPr="00684ED8">
        <w:rPr>
          <w:rFonts w:ascii="Arial" w:hAnsi="Arial" w:cs="Arial"/>
          <w:sz w:val="24"/>
          <w:szCs w:val="24"/>
        </w:rPr>
        <w:t>Th</w:t>
      </w:r>
      <w:r w:rsidR="00F10C31">
        <w:rPr>
          <w:rFonts w:ascii="Arial" w:hAnsi="Arial" w:cs="Arial"/>
          <w:sz w:val="24"/>
          <w:szCs w:val="24"/>
        </w:rPr>
        <w:t>is</w:t>
      </w:r>
      <w:r w:rsidR="004B6E3F" w:rsidRPr="00684ED8">
        <w:rPr>
          <w:rFonts w:ascii="Arial" w:hAnsi="Arial" w:cs="Arial"/>
          <w:sz w:val="24"/>
          <w:szCs w:val="24"/>
        </w:rPr>
        <w:t xml:space="preserve"> interim survey has allowed Essex Police to compare its results with other forces and to track progress since the previous survey in 2017. </w:t>
      </w:r>
      <w:r w:rsidR="004B6E3F" w:rsidRPr="00684ED8">
        <w:rPr>
          <w:rFonts w:ascii="Arial" w:hAnsi="Arial" w:cs="Arial"/>
          <w:bCs/>
          <w:sz w:val="24"/>
          <w:szCs w:val="24"/>
        </w:rPr>
        <w:t xml:space="preserve">The overall findings show that the force has achieved an improvement in all the areas identified in the previous survey as requiring improvement. </w:t>
      </w:r>
      <w:r w:rsidR="004B6E3F" w:rsidRPr="00684ED8">
        <w:rPr>
          <w:rFonts w:ascii="Arial" w:hAnsi="Arial" w:cs="Arial"/>
          <w:sz w:val="24"/>
          <w:szCs w:val="24"/>
        </w:rPr>
        <w:t>Durham University have commented on the significant change in ‘organisational tone’ and res</w:t>
      </w:r>
      <w:r w:rsidR="00C27ECE">
        <w:rPr>
          <w:rFonts w:ascii="Arial" w:hAnsi="Arial" w:cs="Arial"/>
          <w:sz w:val="24"/>
          <w:szCs w:val="24"/>
        </w:rPr>
        <w:t xml:space="preserve">ponses from officers and staff. </w:t>
      </w:r>
      <w:r w:rsidR="004B6E3F" w:rsidRPr="00684ED8">
        <w:rPr>
          <w:rFonts w:ascii="Arial" w:hAnsi="Arial" w:cs="Arial"/>
          <w:sz w:val="24"/>
          <w:szCs w:val="24"/>
        </w:rPr>
        <w:t>Essex Police has achieved the highest score for ‘Vision Clarity’ of all forces recently tested. Police officers and police staff are reporting higher levels of ‘Emotional Energy’ than most other forces. This measure has shown a large change and is defying the trend of all other forces.</w:t>
      </w:r>
      <w:r w:rsidR="003F5F2C">
        <w:rPr>
          <w:rFonts w:ascii="Arial" w:hAnsi="Arial" w:cs="Arial"/>
          <w:sz w:val="24"/>
          <w:szCs w:val="24"/>
        </w:rPr>
        <w:t xml:space="preserve"> The findings were presented at the </w:t>
      </w:r>
      <w:r w:rsidR="00930D1E">
        <w:rPr>
          <w:rFonts w:ascii="Arial" w:hAnsi="Arial" w:cs="Arial"/>
          <w:sz w:val="24"/>
          <w:szCs w:val="24"/>
        </w:rPr>
        <w:t>28</w:t>
      </w:r>
      <w:r w:rsidR="00930D1E" w:rsidRPr="00930D1E">
        <w:rPr>
          <w:rFonts w:ascii="Arial" w:hAnsi="Arial" w:cs="Arial"/>
          <w:sz w:val="24"/>
          <w:szCs w:val="24"/>
          <w:vertAlign w:val="superscript"/>
        </w:rPr>
        <w:t>th</w:t>
      </w:r>
      <w:r w:rsidR="00930D1E">
        <w:rPr>
          <w:rFonts w:ascii="Arial" w:hAnsi="Arial" w:cs="Arial"/>
          <w:sz w:val="24"/>
          <w:szCs w:val="24"/>
        </w:rPr>
        <w:t xml:space="preserve"> </w:t>
      </w:r>
      <w:r w:rsidR="003F5F2C">
        <w:rPr>
          <w:rFonts w:ascii="Arial" w:hAnsi="Arial" w:cs="Arial"/>
          <w:sz w:val="24"/>
          <w:szCs w:val="24"/>
        </w:rPr>
        <w:t>November Performance &amp; Resources Scrutiny Board.</w:t>
      </w:r>
      <w:r w:rsidR="00783710">
        <w:rPr>
          <w:rFonts w:ascii="Arial" w:hAnsi="Arial" w:cs="Arial"/>
          <w:sz w:val="24"/>
          <w:szCs w:val="24"/>
        </w:rPr>
        <w:br/>
      </w:r>
    </w:p>
    <w:p w14:paraId="1183C15D" w14:textId="785B6FE7" w:rsidR="00783710" w:rsidRPr="00684ED8" w:rsidRDefault="00783710" w:rsidP="004B6E3F">
      <w:pPr>
        <w:pStyle w:val="NoSpacing"/>
        <w:rPr>
          <w:rFonts w:ascii="Arial" w:hAnsi="Arial" w:cs="Arial"/>
          <w:sz w:val="24"/>
          <w:szCs w:val="24"/>
        </w:rPr>
      </w:pPr>
      <w:r w:rsidRPr="00684ED8">
        <w:rPr>
          <w:rFonts w:ascii="Arial" w:hAnsi="Arial" w:cs="Arial"/>
          <w:sz w:val="24"/>
          <w:szCs w:val="24"/>
        </w:rPr>
        <w:t xml:space="preserve">The 2019 results </w:t>
      </w:r>
      <w:r w:rsidR="00F12A11">
        <w:rPr>
          <w:rFonts w:ascii="Arial" w:hAnsi="Arial" w:cs="Arial"/>
          <w:sz w:val="24"/>
          <w:szCs w:val="24"/>
        </w:rPr>
        <w:t>were</w:t>
      </w:r>
      <w:r w:rsidRPr="00684ED8">
        <w:rPr>
          <w:rFonts w:ascii="Arial" w:hAnsi="Arial" w:cs="Arial"/>
          <w:sz w:val="24"/>
          <w:szCs w:val="24"/>
        </w:rPr>
        <w:t xml:space="preserve"> presented and discussed in detail with Chief Officers and Senior Leaders at the monthly SLT meeting in October 2019</w:t>
      </w:r>
      <w:r w:rsidR="0009626E">
        <w:rPr>
          <w:rFonts w:ascii="Arial" w:hAnsi="Arial" w:cs="Arial"/>
          <w:sz w:val="24"/>
          <w:szCs w:val="24"/>
        </w:rPr>
        <w:t>. They are also in the process of being</w:t>
      </w:r>
      <w:r w:rsidRPr="00684ED8">
        <w:rPr>
          <w:rFonts w:ascii="Arial" w:hAnsi="Arial" w:cs="Arial"/>
          <w:sz w:val="24"/>
          <w:szCs w:val="24"/>
        </w:rPr>
        <w:t xml:space="preserve"> shared with </w:t>
      </w:r>
      <w:r w:rsidR="00F12A11">
        <w:rPr>
          <w:rFonts w:ascii="Arial" w:hAnsi="Arial" w:cs="Arial"/>
          <w:sz w:val="24"/>
          <w:szCs w:val="24"/>
        </w:rPr>
        <w:t xml:space="preserve">all </w:t>
      </w:r>
      <w:r w:rsidRPr="00684ED8">
        <w:rPr>
          <w:rFonts w:ascii="Arial" w:hAnsi="Arial" w:cs="Arial"/>
          <w:sz w:val="24"/>
          <w:szCs w:val="24"/>
        </w:rPr>
        <w:t>officers and staff through ‘face to face’ and intranet briefings dur</w:t>
      </w:r>
      <w:r>
        <w:rPr>
          <w:rFonts w:ascii="Arial" w:hAnsi="Arial" w:cs="Arial"/>
          <w:sz w:val="24"/>
          <w:szCs w:val="24"/>
        </w:rPr>
        <w:t xml:space="preserve">ing November and December 2019. </w:t>
      </w:r>
      <w:r w:rsidRPr="00684ED8">
        <w:rPr>
          <w:rFonts w:ascii="Arial" w:hAnsi="Arial" w:cs="Arial"/>
          <w:sz w:val="24"/>
          <w:szCs w:val="24"/>
        </w:rPr>
        <w:t>The Staff Engagement Steering Group will continue to oversee other activities and initiatives that tell Essex Police how officers and staff are feeling about their work and working environment to ensure sustained improvement across the repeat measures. Some of these include: Idea Drop, the Learning the Lessons Board, the Ethics Committee, the Diversity &amp; Inclusion Board, the local Culture Boards, Exit interviews (through HR) and work led by the Vital Signs Business (Improvement) Advisor.</w:t>
      </w:r>
    </w:p>
    <w:p w14:paraId="6ED99278" w14:textId="77777777" w:rsidR="004B6E3F" w:rsidRPr="00684ED8" w:rsidRDefault="004B6E3F" w:rsidP="004B6E3F">
      <w:pPr>
        <w:pStyle w:val="NoSpacing"/>
        <w:ind w:left="720"/>
        <w:rPr>
          <w:rFonts w:ascii="Arial" w:hAnsi="Arial" w:cs="Arial"/>
          <w:sz w:val="24"/>
          <w:szCs w:val="24"/>
        </w:rPr>
      </w:pPr>
    </w:p>
    <w:p w14:paraId="3875E3AF" w14:textId="66E0FA8F" w:rsidR="004B6E3F" w:rsidRPr="00684ED8" w:rsidRDefault="004B6E3F" w:rsidP="004B6E3F">
      <w:pPr>
        <w:pStyle w:val="NoSpacing"/>
        <w:rPr>
          <w:rFonts w:ascii="Arial" w:hAnsi="Arial" w:cs="Arial"/>
          <w:sz w:val="24"/>
          <w:szCs w:val="24"/>
        </w:rPr>
      </w:pPr>
      <w:r w:rsidRPr="00684ED8">
        <w:rPr>
          <w:rFonts w:ascii="Arial" w:hAnsi="Arial" w:cs="Arial"/>
          <w:sz w:val="24"/>
          <w:szCs w:val="24"/>
        </w:rPr>
        <w:t xml:space="preserve">The programme of work overseen by the DCC led Staff Engagement Steering Group since the </w:t>
      </w:r>
      <w:r w:rsidR="0009626E">
        <w:rPr>
          <w:rFonts w:ascii="Arial" w:hAnsi="Arial" w:cs="Arial"/>
          <w:sz w:val="24"/>
          <w:szCs w:val="24"/>
        </w:rPr>
        <w:t>initial</w:t>
      </w:r>
      <w:r w:rsidR="00342FF8" w:rsidRPr="00684ED8">
        <w:rPr>
          <w:rFonts w:ascii="Arial" w:hAnsi="Arial" w:cs="Arial"/>
          <w:sz w:val="24"/>
          <w:szCs w:val="24"/>
        </w:rPr>
        <w:t xml:space="preserve"> </w:t>
      </w:r>
      <w:r w:rsidRPr="00684ED8">
        <w:rPr>
          <w:rFonts w:ascii="Arial" w:hAnsi="Arial" w:cs="Arial"/>
          <w:sz w:val="24"/>
          <w:szCs w:val="24"/>
        </w:rPr>
        <w:t xml:space="preserve">survey has resulted in an improvement in the feedback received from officers and staff about their overall perceptions of wellbeing in the work place. This includes: Removal of day to day barriers achieved through the Operational Transformation </w:t>
      </w:r>
      <w:r w:rsidR="009D4843">
        <w:rPr>
          <w:rFonts w:ascii="Arial" w:hAnsi="Arial" w:cs="Arial"/>
          <w:sz w:val="24"/>
          <w:szCs w:val="24"/>
        </w:rPr>
        <w:t xml:space="preserve">Reserve </w:t>
      </w:r>
      <w:r w:rsidRPr="00684ED8">
        <w:rPr>
          <w:rFonts w:ascii="Arial" w:hAnsi="Arial" w:cs="Arial"/>
          <w:sz w:val="24"/>
          <w:szCs w:val="24"/>
        </w:rPr>
        <w:t xml:space="preserve">£100k fund, Increases in Chief Officer </w:t>
      </w:r>
      <w:r w:rsidR="006B1C9D" w:rsidRPr="00684ED8">
        <w:rPr>
          <w:rFonts w:ascii="Arial" w:hAnsi="Arial" w:cs="Arial"/>
          <w:sz w:val="24"/>
          <w:szCs w:val="24"/>
        </w:rPr>
        <w:t>Visibility</w:t>
      </w:r>
      <w:r w:rsidRPr="00684ED8">
        <w:rPr>
          <w:rFonts w:ascii="Arial" w:hAnsi="Arial" w:cs="Arial"/>
          <w:sz w:val="24"/>
          <w:szCs w:val="24"/>
        </w:rPr>
        <w:t>, Development of the Force Plan 2019/20 and Introduction of local Culture Boards.</w:t>
      </w:r>
    </w:p>
    <w:p w14:paraId="1DAC7210" w14:textId="77777777" w:rsidR="004B6E3F" w:rsidRPr="00684ED8" w:rsidRDefault="004B6E3F" w:rsidP="004B6E3F">
      <w:pPr>
        <w:pStyle w:val="NoSpacing"/>
        <w:ind w:left="720"/>
        <w:rPr>
          <w:rFonts w:ascii="Arial" w:hAnsi="Arial" w:cs="Arial"/>
          <w:sz w:val="24"/>
          <w:szCs w:val="24"/>
        </w:rPr>
      </w:pPr>
    </w:p>
    <w:p w14:paraId="0059FE82" w14:textId="7641BF4E" w:rsidR="0016250A" w:rsidRDefault="004B6E3F" w:rsidP="0016250A">
      <w:pPr>
        <w:pStyle w:val="NoSpacing"/>
        <w:rPr>
          <w:rFonts w:ascii="Arial" w:hAnsi="Arial" w:cs="Arial"/>
          <w:sz w:val="24"/>
          <w:szCs w:val="24"/>
        </w:rPr>
      </w:pPr>
      <w:r w:rsidRPr="00684ED8">
        <w:rPr>
          <w:rFonts w:ascii="Arial" w:hAnsi="Arial" w:cs="Arial"/>
          <w:sz w:val="24"/>
          <w:szCs w:val="24"/>
        </w:rPr>
        <w:t>Essex Police is seen as a leading force in the work it has been doing since its first survey in 2017, and was invited to share its good practice with over 20 other forces attending a national conference organised and led by Durham University in September 2019.</w:t>
      </w:r>
    </w:p>
    <w:p w14:paraId="3E862912" w14:textId="77777777" w:rsidR="00632783" w:rsidRPr="00D1739B" w:rsidRDefault="00632783" w:rsidP="006D07B8">
      <w:pPr>
        <w:pStyle w:val="NoSpacing"/>
        <w:spacing w:line="259" w:lineRule="auto"/>
        <w:ind w:left="720"/>
        <w:rPr>
          <w:rFonts w:ascii="Arial" w:hAnsi="Arial" w:cs="Arial"/>
          <w:sz w:val="24"/>
          <w:szCs w:val="24"/>
        </w:rPr>
      </w:pPr>
    </w:p>
    <w:p w14:paraId="3BE269F6" w14:textId="77777777" w:rsidR="00121A7F" w:rsidRPr="00D1739B" w:rsidRDefault="00E92E89" w:rsidP="006D07B8">
      <w:pPr>
        <w:pStyle w:val="NoSpacing"/>
        <w:spacing w:line="259" w:lineRule="auto"/>
        <w:rPr>
          <w:rFonts w:ascii="Arial" w:hAnsi="Arial" w:cs="Arial"/>
          <w:b/>
          <w:sz w:val="24"/>
          <w:szCs w:val="24"/>
          <w:u w:val="single"/>
        </w:rPr>
      </w:pPr>
      <w:r w:rsidRPr="00D1739B">
        <w:rPr>
          <w:rFonts w:ascii="Arial" w:hAnsi="Arial" w:cs="Arial"/>
          <w:b/>
          <w:sz w:val="24"/>
          <w:szCs w:val="24"/>
        </w:rPr>
        <w:t>6</w:t>
      </w:r>
      <w:r w:rsidR="00665862" w:rsidRPr="00D1739B">
        <w:rPr>
          <w:rFonts w:ascii="Arial" w:hAnsi="Arial" w:cs="Arial"/>
          <w:b/>
          <w:sz w:val="24"/>
          <w:szCs w:val="24"/>
        </w:rPr>
        <w:t>.0</w:t>
      </w:r>
      <w:r w:rsidR="00665862" w:rsidRPr="00D1739B">
        <w:rPr>
          <w:rFonts w:ascii="Arial" w:hAnsi="Arial" w:cs="Arial"/>
          <w:b/>
          <w:sz w:val="24"/>
          <w:szCs w:val="24"/>
        </w:rPr>
        <w:tab/>
      </w:r>
      <w:r w:rsidR="003832F7" w:rsidRPr="00D1739B">
        <w:rPr>
          <w:rFonts w:ascii="Arial" w:hAnsi="Arial" w:cs="Arial"/>
          <w:b/>
          <w:sz w:val="24"/>
          <w:szCs w:val="24"/>
          <w:u w:val="single"/>
        </w:rPr>
        <w:t>I</w:t>
      </w:r>
      <w:r w:rsidR="001D5222" w:rsidRPr="00D1739B">
        <w:rPr>
          <w:rFonts w:ascii="Arial" w:hAnsi="Arial" w:cs="Arial"/>
          <w:b/>
          <w:sz w:val="24"/>
          <w:szCs w:val="24"/>
          <w:u w:val="single"/>
        </w:rPr>
        <w:t>mplications (Issues)</w:t>
      </w:r>
    </w:p>
    <w:p w14:paraId="7807D4B6" w14:textId="77777777" w:rsidR="00121A7F" w:rsidRPr="00D1739B" w:rsidRDefault="00121A7F" w:rsidP="006D07B8">
      <w:pPr>
        <w:pStyle w:val="NoSpacing"/>
        <w:spacing w:line="259" w:lineRule="auto"/>
        <w:ind w:left="720"/>
        <w:rPr>
          <w:rFonts w:ascii="Arial" w:hAnsi="Arial" w:cs="Arial"/>
          <w:sz w:val="24"/>
          <w:szCs w:val="24"/>
        </w:rPr>
      </w:pPr>
    </w:p>
    <w:p w14:paraId="5F783BDB" w14:textId="77777777" w:rsidR="00600745" w:rsidRPr="00D1739B" w:rsidRDefault="00632783" w:rsidP="006D07B8">
      <w:pPr>
        <w:pStyle w:val="NoSpacing"/>
        <w:spacing w:line="259" w:lineRule="auto"/>
        <w:ind w:left="720"/>
        <w:rPr>
          <w:rFonts w:ascii="Arial" w:hAnsi="Arial" w:cs="Arial"/>
          <w:sz w:val="24"/>
          <w:szCs w:val="24"/>
        </w:rPr>
      </w:pPr>
      <w:r w:rsidRPr="00D1739B">
        <w:rPr>
          <w:rFonts w:ascii="Arial" w:hAnsi="Arial" w:cs="Arial"/>
          <w:sz w:val="24"/>
          <w:szCs w:val="24"/>
        </w:rPr>
        <w:lastRenderedPageBreak/>
        <w:t>None noted at this time.</w:t>
      </w:r>
    </w:p>
    <w:p w14:paraId="229D3693" w14:textId="77777777" w:rsidR="00573FD9" w:rsidRPr="00D1739B" w:rsidRDefault="00573FD9" w:rsidP="006D07B8">
      <w:pPr>
        <w:pStyle w:val="NoSpacing"/>
        <w:spacing w:line="259" w:lineRule="auto"/>
        <w:ind w:left="720"/>
        <w:rPr>
          <w:rFonts w:ascii="Arial" w:hAnsi="Arial" w:cs="Arial"/>
          <w:sz w:val="24"/>
          <w:szCs w:val="24"/>
        </w:rPr>
      </w:pPr>
    </w:p>
    <w:p w14:paraId="04435C1B" w14:textId="77777777" w:rsidR="00411145" w:rsidRPr="00D1739B" w:rsidRDefault="00E92E89" w:rsidP="006D07B8">
      <w:pPr>
        <w:pStyle w:val="NoSpacing"/>
        <w:spacing w:line="259" w:lineRule="auto"/>
        <w:ind w:left="709" w:hanging="709"/>
        <w:rPr>
          <w:rFonts w:ascii="Arial" w:hAnsi="Arial" w:cs="Arial"/>
          <w:b/>
          <w:sz w:val="24"/>
          <w:szCs w:val="24"/>
        </w:rPr>
      </w:pPr>
      <w:r w:rsidRPr="00D1739B">
        <w:rPr>
          <w:rFonts w:ascii="Arial" w:hAnsi="Arial" w:cs="Arial"/>
          <w:b/>
          <w:sz w:val="24"/>
          <w:szCs w:val="24"/>
        </w:rPr>
        <w:t>6.1</w:t>
      </w:r>
      <w:r w:rsidR="00652B9C" w:rsidRPr="00D1739B">
        <w:rPr>
          <w:rFonts w:ascii="Arial" w:hAnsi="Arial" w:cs="Arial"/>
          <w:b/>
          <w:sz w:val="24"/>
          <w:szCs w:val="24"/>
        </w:rPr>
        <w:tab/>
      </w:r>
      <w:r w:rsidR="00411145" w:rsidRPr="00D1739B">
        <w:rPr>
          <w:rFonts w:ascii="Arial" w:hAnsi="Arial" w:cs="Arial"/>
          <w:b/>
          <w:sz w:val="24"/>
          <w:szCs w:val="24"/>
          <w:u w:val="single"/>
        </w:rPr>
        <w:t>Links to Police and Crime Plan Priorities</w:t>
      </w:r>
    </w:p>
    <w:p w14:paraId="27311BDA" w14:textId="77777777" w:rsidR="00411145" w:rsidRPr="00D1739B" w:rsidRDefault="00411145" w:rsidP="006D07B8">
      <w:pPr>
        <w:pStyle w:val="NoSpacing"/>
        <w:spacing w:line="259" w:lineRule="auto"/>
        <w:ind w:left="1418" w:hanging="709"/>
        <w:rPr>
          <w:rFonts w:ascii="Arial" w:hAnsi="Arial" w:cs="Arial"/>
          <w:b/>
          <w:sz w:val="24"/>
          <w:szCs w:val="24"/>
        </w:rPr>
      </w:pPr>
    </w:p>
    <w:p w14:paraId="22063BD6" w14:textId="77777777" w:rsidR="00411145" w:rsidRPr="00D1739B" w:rsidRDefault="00600745" w:rsidP="006D07B8">
      <w:pPr>
        <w:pStyle w:val="NoSpacing"/>
        <w:spacing w:line="259" w:lineRule="auto"/>
        <w:ind w:left="709"/>
        <w:rPr>
          <w:rFonts w:ascii="Arial" w:hAnsi="Arial" w:cs="Arial"/>
          <w:sz w:val="24"/>
          <w:szCs w:val="24"/>
        </w:rPr>
      </w:pPr>
      <w:r w:rsidRPr="00D1739B">
        <w:rPr>
          <w:rFonts w:ascii="Arial" w:hAnsi="Arial" w:cs="Arial"/>
          <w:sz w:val="24"/>
          <w:szCs w:val="24"/>
        </w:rPr>
        <w:t>Collaboration is embedded within the force across all areas, both strategically and at local level. It encompasses all of the seven priorities of the Police and Crime Plan:</w:t>
      </w:r>
    </w:p>
    <w:p w14:paraId="643238B6" w14:textId="77777777" w:rsidR="004D4EF7" w:rsidRPr="00D1739B" w:rsidRDefault="004D4EF7" w:rsidP="006D07B8">
      <w:pPr>
        <w:pStyle w:val="NoSpacing"/>
        <w:spacing w:line="259" w:lineRule="auto"/>
        <w:ind w:left="709"/>
        <w:rPr>
          <w:rFonts w:ascii="Arial" w:hAnsi="Arial" w:cs="Arial"/>
          <w:sz w:val="24"/>
          <w:szCs w:val="24"/>
        </w:rPr>
      </w:pPr>
    </w:p>
    <w:p w14:paraId="75B69241" w14:textId="77777777" w:rsidR="004D4EF7" w:rsidRPr="00D1739B" w:rsidRDefault="009262E8" w:rsidP="006B1C9D">
      <w:pPr>
        <w:pStyle w:val="ListParagraph"/>
        <w:numPr>
          <w:ilvl w:val="0"/>
          <w:numId w:val="4"/>
        </w:numPr>
        <w:spacing w:before="0" w:beforeAutospacing="0" w:after="0" w:afterAutospacing="0" w:line="259" w:lineRule="auto"/>
        <w:ind w:hanging="357"/>
        <w:contextualSpacing w:val="0"/>
        <w:rPr>
          <w:rFonts w:cs="Arial"/>
          <w:szCs w:val="24"/>
        </w:rPr>
      </w:pPr>
      <w:hyperlink r:id="rId9" w:history="1">
        <w:r w:rsidR="004D4EF7" w:rsidRPr="00D1739B">
          <w:rPr>
            <w:rStyle w:val="Hyperlink"/>
            <w:rFonts w:cs="Arial"/>
            <w:color w:val="auto"/>
            <w:szCs w:val="24"/>
            <w:u w:val="none"/>
          </w:rPr>
          <w:t>More Local, visible and accessible policing</w:t>
        </w:r>
      </w:hyperlink>
    </w:p>
    <w:p w14:paraId="7815B647" w14:textId="77777777" w:rsidR="004D4EF7" w:rsidRPr="00D1739B" w:rsidRDefault="009262E8" w:rsidP="006B1C9D">
      <w:pPr>
        <w:pStyle w:val="ListParagraph"/>
        <w:numPr>
          <w:ilvl w:val="0"/>
          <w:numId w:val="4"/>
        </w:numPr>
        <w:spacing w:before="0" w:beforeAutospacing="0" w:after="0" w:afterAutospacing="0" w:line="259" w:lineRule="auto"/>
        <w:ind w:hanging="357"/>
        <w:contextualSpacing w:val="0"/>
        <w:rPr>
          <w:rFonts w:cs="Arial"/>
          <w:szCs w:val="24"/>
        </w:rPr>
      </w:pPr>
      <w:hyperlink r:id="rId10" w:history="1">
        <w:r w:rsidR="004D4EF7" w:rsidRPr="00D1739B">
          <w:rPr>
            <w:rStyle w:val="Hyperlink"/>
            <w:rFonts w:cs="Arial"/>
            <w:color w:val="auto"/>
            <w:szCs w:val="24"/>
            <w:u w:val="none"/>
          </w:rPr>
          <w:t>Crack down on anti-social behaviour</w:t>
        </w:r>
      </w:hyperlink>
    </w:p>
    <w:p w14:paraId="73FECCEF" w14:textId="77777777" w:rsidR="004D4EF7" w:rsidRPr="00D1739B" w:rsidRDefault="009262E8" w:rsidP="006B1C9D">
      <w:pPr>
        <w:pStyle w:val="ListParagraph"/>
        <w:numPr>
          <w:ilvl w:val="0"/>
          <w:numId w:val="4"/>
        </w:numPr>
        <w:spacing w:before="0" w:beforeAutospacing="0" w:after="0" w:afterAutospacing="0" w:line="259" w:lineRule="auto"/>
        <w:ind w:hanging="357"/>
        <w:contextualSpacing w:val="0"/>
        <w:rPr>
          <w:rFonts w:cs="Arial"/>
          <w:szCs w:val="24"/>
        </w:rPr>
      </w:pPr>
      <w:hyperlink r:id="rId11" w:history="1">
        <w:r w:rsidR="004D4EF7" w:rsidRPr="00D1739B">
          <w:rPr>
            <w:rStyle w:val="Hyperlink"/>
            <w:rFonts w:cs="Arial"/>
            <w:color w:val="auto"/>
            <w:szCs w:val="24"/>
            <w:u w:val="none"/>
          </w:rPr>
          <w:t>Breaking the cycle of domestic abuse</w:t>
        </w:r>
      </w:hyperlink>
    </w:p>
    <w:p w14:paraId="1108D281" w14:textId="77777777" w:rsidR="004D4EF7" w:rsidRPr="00D1739B" w:rsidRDefault="009262E8" w:rsidP="006B1C9D">
      <w:pPr>
        <w:pStyle w:val="ListParagraph"/>
        <w:numPr>
          <w:ilvl w:val="0"/>
          <w:numId w:val="4"/>
        </w:numPr>
        <w:spacing w:before="0" w:beforeAutospacing="0" w:after="0" w:afterAutospacing="0" w:line="259" w:lineRule="auto"/>
        <w:ind w:hanging="357"/>
        <w:contextualSpacing w:val="0"/>
        <w:rPr>
          <w:rFonts w:cs="Arial"/>
          <w:szCs w:val="24"/>
        </w:rPr>
      </w:pPr>
      <w:hyperlink r:id="rId12" w:history="1">
        <w:r w:rsidR="004D4EF7" w:rsidRPr="00D1739B">
          <w:rPr>
            <w:rStyle w:val="Hyperlink"/>
            <w:rFonts w:cs="Arial"/>
            <w:color w:val="auto"/>
            <w:szCs w:val="24"/>
            <w:u w:val="none"/>
          </w:rPr>
          <w:t xml:space="preserve">Reverse the trend in serious violence </w:t>
        </w:r>
      </w:hyperlink>
    </w:p>
    <w:p w14:paraId="1A806513" w14:textId="77777777" w:rsidR="004D4EF7" w:rsidRPr="00D1739B" w:rsidRDefault="009262E8" w:rsidP="006B1C9D">
      <w:pPr>
        <w:pStyle w:val="ListParagraph"/>
        <w:numPr>
          <w:ilvl w:val="0"/>
          <w:numId w:val="4"/>
        </w:numPr>
        <w:spacing w:before="0" w:beforeAutospacing="0" w:after="0" w:afterAutospacing="0" w:line="259" w:lineRule="auto"/>
        <w:ind w:hanging="357"/>
        <w:contextualSpacing w:val="0"/>
        <w:rPr>
          <w:rFonts w:cs="Arial"/>
          <w:szCs w:val="24"/>
        </w:rPr>
      </w:pPr>
      <w:hyperlink r:id="rId13" w:history="1">
        <w:r w:rsidR="004D4EF7" w:rsidRPr="00D1739B">
          <w:rPr>
            <w:rStyle w:val="Hyperlink"/>
            <w:rFonts w:cs="Arial"/>
            <w:color w:val="auto"/>
            <w:szCs w:val="24"/>
            <w:u w:val="none"/>
          </w:rPr>
          <w:t>Tackle gangs and organised crime</w:t>
        </w:r>
      </w:hyperlink>
    </w:p>
    <w:p w14:paraId="4AB244F2" w14:textId="77777777" w:rsidR="004D4EF7" w:rsidRPr="00D1739B" w:rsidRDefault="009262E8" w:rsidP="006B1C9D">
      <w:pPr>
        <w:pStyle w:val="ListParagraph"/>
        <w:numPr>
          <w:ilvl w:val="0"/>
          <w:numId w:val="4"/>
        </w:numPr>
        <w:spacing w:before="0" w:beforeAutospacing="0" w:after="0" w:afterAutospacing="0" w:line="259" w:lineRule="auto"/>
        <w:ind w:hanging="357"/>
        <w:contextualSpacing w:val="0"/>
        <w:rPr>
          <w:rFonts w:cs="Arial"/>
          <w:szCs w:val="24"/>
        </w:rPr>
      </w:pPr>
      <w:hyperlink r:id="rId14" w:history="1">
        <w:r w:rsidR="004D4EF7" w:rsidRPr="00D1739B">
          <w:rPr>
            <w:rStyle w:val="Hyperlink"/>
            <w:rFonts w:cs="Arial"/>
            <w:color w:val="auto"/>
            <w:szCs w:val="24"/>
            <w:u w:val="none"/>
          </w:rPr>
          <w:t>Protecting children and vulnerable people</w:t>
        </w:r>
      </w:hyperlink>
    </w:p>
    <w:p w14:paraId="340BD6D9" w14:textId="5EE906C2" w:rsidR="00411145" w:rsidRDefault="009262E8" w:rsidP="006B1C9D">
      <w:pPr>
        <w:pStyle w:val="ListParagraph"/>
        <w:numPr>
          <w:ilvl w:val="0"/>
          <w:numId w:val="4"/>
        </w:numPr>
        <w:spacing w:before="0" w:beforeAutospacing="0" w:after="0" w:afterAutospacing="0" w:line="259" w:lineRule="auto"/>
        <w:ind w:hanging="357"/>
        <w:contextualSpacing w:val="0"/>
        <w:rPr>
          <w:rStyle w:val="Hyperlink"/>
          <w:rFonts w:cs="Arial"/>
          <w:color w:val="auto"/>
          <w:szCs w:val="24"/>
          <w:u w:val="none"/>
        </w:rPr>
      </w:pPr>
      <w:hyperlink r:id="rId15" w:history="1">
        <w:r w:rsidR="004D4EF7" w:rsidRPr="00D1739B">
          <w:rPr>
            <w:rStyle w:val="Hyperlink"/>
            <w:rFonts w:cs="Arial"/>
            <w:color w:val="auto"/>
            <w:szCs w:val="24"/>
            <w:u w:val="none"/>
          </w:rPr>
          <w:t>Improve safety on our roads</w:t>
        </w:r>
      </w:hyperlink>
    </w:p>
    <w:p w14:paraId="2CB524A8" w14:textId="152DEA45" w:rsidR="00B71655" w:rsidRDefault="00B71655" w:rsidP="00B71655">
      <w:pPr>
        <w:spacing w:after="0" w:line="259" w:lineRule="auto"/>
        <w:rPr>
          <w:rStyle w:val="Hyperlink"/>
          <w:rFonts w:cs="Arial"/>
          <w:color w:val="auto"/>
          <w:szCs w:val="24"/>
          <w:u w:val="none"/>
        </w:rPr>
      </w:pPr>
    </w:p>
    <w:p w14:paraId="1D810607" w14:textId="53143269" w:rsidR="00B71655" w:rsidRPr="001C5117" w:rsidRDefault="00B71655" w:rsidP="006B1C9D">
      <w:pPr>
        <w:spacing w:after="0" w:line="259" w:lineRule="auto"/>
        <w:ind w:left="720"/>
        <w:rPr>
          <w:rStyle w:val="Hyperlink"/>
          <w:rFonts w:ascii="Arial" w:hAnsi="Arial" w:cs="Arial"/>
          <w:color w:val="auto"/>
          <w:sz w:val="24"/>
          <w:szCs w:val="24"/>
          <w:u w:val="none"/>
        </w:rPr>
      </w:pPr>
      <w:r w:rsidRPr="001C5117">
        <w:rPr>
          <w:rStyle w:val="Hyperlink"/>
          <w:rFonts w:ascii="Arial" w:hAnsi="Arial" w:cs="Arial"/>
          <w:color w:val="auto"/>
          <w:sz w:val="24"/>
          <w:szCs w:val="24"/>
          <w:u w:val="none"/>
        </w:rPr>
        <w:t xml:space="preserve">In addition, the Police and Crime Plan has the overarching theme that “Victims are at the Heart of What We Do” and this is incorporated in the collaboration strategies in which Essex Police </w:t>
      </w:r>
      <w:r w:rsidR="00204056" w:rsidRPr="001C5117">
        <w:rPr>
          <w:rStyle w:val="Hyperlink"/>
          <w:rFonts w:ascii="Arial" w:hAnsi="Arial" w:cs="Arial"/>
          <w:color w:val="auto"/>
          <w:sz w:val="24"/>
          <w:szCs w:val="24"/>
          <w:u w:val="none"/>
        </w:rPr>
        <w:t>participates and develops.</w:t>
      </w:r>
    </w:p>
    <w:p w14:paraId="453E21FE" w14:textId="77777777" w:rsidR="006D07B8" w:rsidRPr="00D1739B" w:rsidRDefault="006D07B8" w:rsidP="006D07B8">
      <w:pPr>
        <w:pStyle w:val="ListParagraph"/>
        <w:spacing w:before="0" w:beforeAutospacing="0" w:after="0" w:afterAutospacing="0" w:line="259" w:lineRule="auto"/>
        <w:ind w:left="1429"/>
        <w:rPr>
          <w:rFonts w:cs="Arial"/>
          <w:szCs w:val="24"/>
        </w:rPr>
      </w:pPr>
    </w:p>
    <w:p w14:paraId="7BAADAF9" w14:textId="77777777" w:rsidR="00411145" w:rsidRPr="00D1739B" w:rsidRDefault="00411145" w:rsidP="006D07B8">
      <w:pPr>
        <w:pStyle w:val="NoSpacing"/>
        <w:spacing w:line="259" w:lineRule="auto"/>
        <w:rPr>
          <w:rFonts w:ascii="Arial" w:hAnsi="Arial" w:cs="Arial"/>
          <w:b/>
          <w:sz w:val="24"/>
          <w:szCs w:val="24"/>
          <w:u w:val="single"/>
        </w:rPr>
      </w:pPr>
      <w:r w:rsidRPr="00D1739B">
        <w:rPr>
          <w:rFonts w:ascii="Arial" w:hAnsi="Arial" w:cs="Arial"/>
          <w:b/>
          <w:sz w:val="24"/>
          <w:szCs w:val="24"/>
        </w:rPr>
        <w:t>6.2</w:t>
      </w:r>
      <w:r w:rsidRPr="00D1739B">
        <w:rPr>
          <w:rFonts w:ascii="Arial" w:hAnsi="Arial" w:cs="Arial"/>
          <w:b/>
          <w:sz w:val="24"/>
          <w:szCs w:val="24"/>
        </w:rPr>
        <w:tab/>
      </w:r>
      <w:r w:rsidRPr="00D1739B">
        <w:rPr>
          <w:rFonts w:ascii="Arial" w:hAnsi="Arial" w:cs="Arial"/>
          <w:b/>
          <w:sz w:val="24"/>
          <w:szCs w:val="24"/>
          <w:u w:val="single"/>
        </w:rPr>
        <w:t>Demand</w:t>
      </w:r>
    </w:p>
    <w:p w14:paraId="649F6A28" w14:textId="4D332005" w:rsidR="00257136" w:rsidRPr="005A08F5" w:rsidRDefault="004D4EF7" w:rsidP="005A08F5">
      <w:pPr>
        <w:pStyle w:val="NoSpacing"/>
        <w:ind w:left="720"/>
        <w:rPr>
          <w:rFonts w:ascii="Arial" w:hAnsi="Arial" w:cs="Arial"/>
          <w:sz w:val="24"/>
          <w:szCs w:val="24"/>
        </w:rPr>
      </w:pPr>
      <w:r w:rsidRPr="00D1739B">
        <w:rPr>
          <w:rFonts w:ascii="Arial" w:hAnsi="Arial" w:cs="Arial"/>
          <w:sz w:val="24"/>
          <w:szCs w:val="24"/>
        </w:rPr>
        <w:br/>
      </w:r>
      <w:r w:rsidR="00600745" w:rsidRPr="005A08F5">
        <w:rPr>
          <w:rFonts w:ascii="Arial" w:hAnsi="Arial" w:cs="Arial"/>
          <w:sz w:val="24"/>
          <w:szCs w:val="24"/>
        </w:rPr>
        <w:t>The</w:t>
      </w:r>
      <w:r w:rsidR="00411145" w:rsidRPr="005A08F5">
        <w:rPr>
          <w:rFonts w:ascii="Arial" w:hAnsi="Arial" w:cs="Arial"/>
          <w:sz w:val="24"/>
          <w:szCs w:val="24"/>
        </w:rPr>
        <w:t xml:space="preserve"> </w:t>
      </w:r>
      <w:r w:rsidR="00BB6DF4" w:rsidRPr="005A08F5">
        <w:rPr>
          <w:rFonts w:ascii="Arial" w:hAnsi="Arial" w:cs="Arial"/>
          <w:sz w:val="24"/>
          <w:szCs w:val="24"/>
        </w:rPr>
        <w:t xml:space="preserve">Essex Demand review informed </w:t>
      </w:r>
      <w:r w:rsidR="00032B22">
        <w:rPr>
          <w:rFonts w:ascii="Arial" w:hAnsi="Arial" w:cs="Arial"/>
          <w:sz w:val="24"/>
          <w:szCs w:val="24"/>
        </w:rPr>
        <w:t xml:space="preserve">initially </w:t>
      </w:r>
      <w:r w:rsidR="00BB6DF4" w:rsidRPr="005A08F5">
        <w:rPr>
          <w:rFonts w:ascii="Arial" w:hAnsi="Arial" w:cs="Arial"/>
          <w:sz w:val="24"/>
          <w:szCs w:val="24"/>
        </w:rPr>
        <w:t>by the work of PA Consulting</w:t>
      </w:r>
      <w:r w:rsidR="00032B22">
        <w:rPr>
          <w:rFonts w:ascii="Arial" w:hAnsi="Arial" w:cs="Arial"/>
          <w:sz w:val="24"/>
          <w:szCs w:val="24"/>
        </w:rPr>
        <w:t xml:space="preserve"> in 2017 and subsequently developed by Essex Police Performance Analysis Unit (PAU) has </w:t>
      </w:r>
      <w:r w:rsidR="00BB6DF4" w:rsidRPr="005A08F5">
        <w:rPr>
          <w:rFonts w:ascii="Arial" w:hAnsi="Arial" w:cs="Arial"/>
          <w:sz w:val="24"/>
          <w:szCs w:val="24"/>
        </w:rPr>
        <w:t xml:space="preserve">highlighted the growing demand on Police Resources. Effective collaboration can assist greatly by improving the economy, efficiency and effectiveness of the force, and working effectively with partners in responding to the </w:t>
      </w:r>
      <w:r w:rsidR="0007605A" w:rsidRPr="005A08F5">
        <w:rPr>
          <w:rFonts w:ascii="Arial" w:hAnsi="Arial" w:cs="Arial"/>
          <w:sz w:val="24"/>
          <w:szCs w:val="24"/>
        </w:rPr>
        <w:t xml:space="preserve">Policing and safety </w:t>
      </w:r>
      <w:r w:rsidR="00BB6DF4" w:rsidRPr="005A08F5">
        <w:rPr>
          <w:rFonts w:ascii="Arial" w:hAnsi="Arial" w:cs="Arial"/>
          <w:sz w:val="24"/>
          <w:szCs w:val="24"/>
        </w:rPr>
        <w:t>needs</w:t>
      </w:r>
      <w:r w:rsidR="0007605A" w:rsidRPr="005A08F5">
        <w:rPr>
          <w:rFonts w:ascii="Arial" w:hAnsi="Arial" w:cs="Arial"/>
          <w:sz w:val="24"/>
          <w:szCs w:val="24"/>
        </w:rPr>
        <w:t xml:space="preserve"> and concerns </w:t>
      </w:r>
      <w:r w:rsidR="00BB6DF4" w:rsidRPr="005A08F5">
        <w:rPr>
          <w:rFonts w:ascii="Arial" w:hAnsi="Arial" w:cs="Arial"/>
          <w:sz w:val="24"/>
          <w:szCs w:val="24"/>
        </w:rPr>
        <w:t>of</w:t>
      </w:r>
      <w:r w:rsidR="0007605A" w:rsidRPr="005A08F5">
        <w:rPr>
          <w:rFonts w:ascii="Arial" w:hAnsi="Arial" w:cs="Arial"/>
          <w:sz w:val="24"/>
          <w:szCs w:val="24"/>
        </w:rPr>
        <w:t xml:space="preserve"> Essex Citizens and communities. </w:t>
      </w:r>
    </w:p>
    <w:p w14:paraId="52B8695B" w14:textId="77777777" w:rsidR="00257136" w:rsidRDefault="00257136" w:rsidP="00257136">
      <w:pPr>
        <w:pStyle w:val="NoSpacing"/>
        <w:spacing w:line="259" w:lineRule="auto"/>
        <w:ind w:left="720"/>
        <w:rPr>
          <w:rFonts w:ascii="Arial" w:hAnsi="Arial" w:cs="Arial"/>
          <w:sz w:val="24"/>
          <w:szCs w:val="24"/>
        </w:rPr>
      </w:pPr>
    </w:p>
    <w:p w14:paraId="663A910E" w14:textId="5FDD885F" w:rsidR="006D1555" w:rsidRDefault="005A08F5" w:rsidP="00EE1E3A">
      <w:pPr>
        <w:pStyle w:val="NoSpacing"/>
        <w:ind w:left="720"/>
        <w:rPr>
          <w:rFonts w:ascii="Arial" w:hAnsi="Arial" w:cs="Arial"/>
          <w:sz w:val="24"/>
          <w:szCs w:val="24"/>
        </w:rPr>
      </w:pPr>
      <w:r>
        <w:rPr>
          <w:rFonts w:ascii="Arial" w:hAnsi="Arial" w:cs="Arial"/>
          <w:sz w:val="24"/>
          <w:szCs w:val="24"/>
        </w:rPr>
        <w:t>The conclusion fro</w:t>
      </w:r>
      <w:r w:rsidRPr="00BA3EA8">
        <w:rPr>
          <w:rFonts w:ascii="Arial" w:hAnsi="Arial" w:cs="Arial"/>
          <w:sz w:val="24"/>
          <w:szCs w:val="24"/>
        </w:rPr>
        <w:t>m this work is that more severe/complex demand will continue to increase but at a</w:t>
      </w:r>
      <w:r>
        <w:rPr>
          <w:rFonts w:ascii="Arial" w:hAnsi="Arial" w:cs="Arial"/>
          <w:sz w:val="24"/>
          <w:szCs w:val="24"/>
        </w:rPr>
        <w:t xml:space="preserve"> significantly</w:t>
      </w:r>
      <w:r w:rsidRPr="00BA3EA8">
        <w:rPr>
          <w:rFonts w:ascii="Arial" w:hAnsi="Arial" w:cs="Arial"/>
          <w:sz w:val="24"/>
          <w:szCs w:val="24"/>
        </w:rPr>
        <w:t xml:space="preserve"> higher rate than previously expected, meaning that officers and staff will be spending even more time dealing with this type of demand.  </w:t>
      </w:r>
      <w:r w:rsidR="00133718">
        <w:rPr>
          <w:rFonts w:ascii="Arial" w:hAnsi="Arial" w:cs="Arial"/>
          <w:sz w:val="24"/>
          <w:szCs w:val="24"/>
        </w:rPr>
        <w:t>This was an overarching theme in the Essex Police FMS 2 that was produced in June 2019.</w:t>
      </w:r>
      <w:r w:rsidRPr="00BA3EA8">
        <w:rPr>
          <w:rFonts w:ascii="Arial" w:hAnsi="Arial" w:cs="Arial"/>
          <w:sz w:val="24"/>
          <w:szCs w:val="24"/>
        </w:rPr>
        <w:t xml:space="preserve"> </w:t>
      </w:r>
    </w:p>
    <w:p w14:paraId="6FDBA850" w14:textId="77777777" w:rsidR="00D00F2A" w:rsidRPr="00D1739B" w:rsidRDefault="00D00F2A" w:rsidP="006D07B8">
      <w:pPr>
        <w:pStyle w:val="NoSpacing"/>
        <w:spacing w:line="259" w:lineRule="auto"/>
        <w:ind w:left="709"/>
        <w:rPr>
          <w:rFonts w:ascii="Arial" w:hAnsi="Arial" w:cs="Arial"/>
          <w:sz w:val="24"/>
          <w:szCs w:val="24"/>
        </w:rPr>
      </w:pPr>
    </w:p>
    <w:p w14:paraId="58D50A49" w14:textId="77777777" w:rsidR="00121A7F" w:rsidRPr="00D1739B" w:rsidRDefault="00411145" w:rsidP="006D07B8">
      <w:pPr>
        <w:pStyle w:val="NoSpacing"/>
        <w:spacing w:line="259" w:lineRule="auto"/>
        <w:ind w:left="709" w:hanging="709"/>
        <w:rPr>
          <w:rFonts w:ascii="Arial" w:hAnsi="Arial" w:cs="Arial"/>
          <w:b/>
          <w:sz w:val="24"/>
          <w:szCs w:val="24"/>
          <w:u w:val="single"/>
        </w:rPr>
      </w:pPr>
      <w:r w:rsidRPr="00D1739B">
        <w:rPr>
          <w:rFonts w:ascii="Arial" w:hAnsi="Arial" w:cs="Arial"/>
          <w:b/>
          <w:sz w:val="24"/>
          <w:szCs w:val="24"/>
        </w:rPr>
        <w:t>6.3</w:t>
      </w:r>
      <w:r w:rsidRPr="00D1739B">
        <w:rPr>
          <w:rFonts w:ascii="Arial" w:hAnsi="Arial" w:cs="Arial"/>
          <w:b/>
          <w:sz w:val="24"/>
          <w:szCs w:val="24"/>
        </w:rPr>
        <w:tab/>
      </w:r>
      <w:r w:rsidR="006279AB" w:rsidRPr="00D1739B">
        <w:rPr>
          <w:rFonts w:ascii="Arial" w:hAnsi="Arial" w:cs="Arial"/>
          <w:b/>
          <w:sz w:val="24"/>
          <w:szCs w:val="24"/>
          <w:u w:val="single"/>
        </w:rPr>
        <w:t>Risks</w:t>
      </w:r>
      <w:r w:rsidR="00D8103E" w:rsidRPr="00D1739B">
        <w:rPr>
          <w:rFonts w:ascii="Arial" w:hAnsi="Arial" w:cs="Arial"/>
          <w:b/>
          <w:sz w:val="24"/>
          <w:szCs w:val="24"/>
          <w:u w:val="single"/>
        </w:rPr>
        <w:t>/Mitigation</w:t>
      </w:r>
    </w:p>
    <w:p w14:paraId="7FF86ADB" w14:textId="77777777" w:rsidR="00121A7F" w:rsidRPr="00D1739B" w:rsidRDefault="00121A7F" w:rsidP="006D07B8">
      <w:pPr>
        <w:pStyle w:val="NoSpacing"/>
        <w:spacing w:line="259" w:lineRule="auto"/>
        <w:ind w:left="720"/>
        <w:rPr>
          <w:rFonts w:ascii="Arial" w:hAnsi="Arial" w:cs="Arial"/>
          <w:sz w:val="24"/>
          <w:szCs w:val="24"/>
        </w:rPr>
      </w:pPr>
    </w:p>
    <w:p w14:paraId="782859AD" w14:textId="02BA8EB2" w:rsidR="00121A7F" w:rsidRDefault="004D1BC0" w:rsidP="006D07B8">
      <w:pPr>
        <w:spacing w:after="0" w:line="259" w:lineRule="auto"/>
        <w:ind w:left="709"/>
        <w:contextualSpacing/>
        <w:rPr>
          <w:rFonts w:ascii="Arial" w:hAnsi="Arial" w:cs="Arial"/>
          <w:sz w:val="24"/>
        </w:rPr>
      </w:pPr>
      <w:r w:rsidRPr="00D1739B">
        <w:rPr>
          <w:rFonts w:ascii="Arial" w:hAnsi="Arial" w:cs="Arial"/>
          <w:sz w:val="24"/>
        </w:rPr>
        <w:t>No strategic risks identified</w:t>
      </w:r>
      <w:r w:rsidR="009C6CC5">
        <w:rPr>
          <w:rFonts w:ascii="Arial" w:hAnsi="Arial" w:cs="Arial"/>
          <w:sz w:val="24"/>
        </w:rPr>
        <w:t xml:space="preserve"> regarding Collaboration</w:t>
      </w:r>
      <w:r w:rsidRPr="00D1739B">
        <w:rPr>
          <w:rFonts w:ascii="Arial" w:hAnsi="Arial" w:cs="Arial"/>
          <w:sz w:val="24"/>
        </w:rPr>
        <w:t xml:space="preserve"> at this time.</w:t>
      </w:r>
    </w:p>
    <w:p w14:paraId="4D88AD24" w14:textId="7210CC7C" w:rsidR="00345492" w:rsidRDefault="00345492" w:rsidP="006D07B8">
      <w:pPr>
        <w:spacing w:after="0" w:line="259" w:lineRule="auto"/>
        <w:ind w:left="709"/>
        <w:contextualSpacing/>
        <w:rPr>
          <w:rFonts w:ascii="Arial" w:hAnsi="Arial" w:cs="Arial"/>
          <w:sz w:val="24"/>
        </w:rPr>
      </w:pPr>
    </w:p>
    <w:p w14:paraId="6D3115CF" w14:textId="58B5ABEB" w:rsidR="00345492" w:rsidRPr="00345492" w:rsidRDefault="00345492" w:rsidP="00345492">
      <w:pPr>
        <w:ind w:firstLine="709"/>
        <w:rPr>
          <w:rFonts w:ascii="Arial" w:hAnsi="Arial" w:cs="Arial"/>
          <w:sz w:val="24"/>
          <w:szCs w:val="24"/>
        </w:rPr>
      </w:pPr>
      <w:r w:rsidRPr="00345492">
        <w:rPr>
          <w:rFonts w:ascii="Arial" w:hAnsi="Arial" w:cs="Arial"/>
          <w:sz w:val="24"/>
          <w:szCs w:val="24"/>
        </w:rPr>
        <w:t>Following project related risk</w:t>
      </w:r>
      <w:r>
        <w:rPr>
          <w:rFonts w:ascii="Arial" w:hAnsi="Arial" w:cs="Arial"/>
          <w:sz w:val="24"/>
          <w:szCs w:val="24"/>
        </w:rPr>
        <w:t>s</w:t>
      </w:r>
      <w:r w:rsidRPr="00345492">
        <w:rPr>
          <w:rFonts w:ascii="Arial" w:hAnsi="Arial" w:cs="Arial"/>
          <w:sz w:val="24"/>
          <w:szCs w:val="24"/>
        </w:rPr>
        <w:t xml:space="preserve"> are of note:</w:t>
      </w:r>
    </w:p>
    <w:p w14:paraId="0F1E8C08" w14:textId="77777777" w:rsidR="00345492" w:rsidRPr="00345492" w:rsidRDefault="00345492" w:rsidP="00345492">
      <w:pPr>
        <w:pStyle w:val="ListParagraph"/>
        <w:numPr>
          <w:ilvl w:val="0"/>
          <w:numId w:val="14"/>
        </w:numPr>
        <w:rPr>
          <w:rFonts w:cs="Arial"/>
          <w:szCs w:val="24"/>
        </w:rPr>
      </w:pPr>
      <w:r w:rsidRPr="00345492">
        <w:rPr>
          <w:rFonts w:cs="Arial"/>
          <w:szCs w:val="24"/>
        </w:rPr>
        <w:t>Operation Hexagon – amber risk that installation of IT system required for Kent Police Fire, Shotgun and Explosives Licensing team to come onto same system as used by Essex Police is as yet not on the IT programme of work (likely to be on 2020/21 programme).</w:t>
      </w:r>
    </w:p>
    <w:p w14:paraId="21EEBCB1" w14:textId="77777777" w:rsidR="00345492" w:rsidRPr="00345492" w:rsidRDefault="00345492" w:rsidP="00345492">
      <w:pPr>
        <w:pStyle w:val="ListParagraph"/>
        <w:numPr>
          <w:ilvl w:val="0"/>
          <w:numId w:val="14"/>
        </w:numPr>
        <w:rPr>
          <w:rFonts w:cs="Arial"/>
          <w:szCs w:val="24"/>
        </w:rPr>
      </w:pPr>
      <w:r w:rsidRPr="00345492">
        <w:rPr>
          <w:rFonts w:cs="Arial"/>
          <w:szCs w:val="24"/>
        </w:rPr>
        <w:t>Single Online Home – amber risk that storage of video evidence supplied by the public is an issue because of no Digital Asset management (DAM) System. Mitigation recently agreed is that the Egress storage system will be extended to store this information.</w:t>
      </w:r>
    </w:p>
    <w:p w14:paraId="5EC9851A" w14:textId="77777777" w:rsidR="00345492" w:rsidRPr="00345492" w:rsidRDefault="00345492" w:rsidP="00345492">
      <w:pPr>
        <w:pStyle w:val="ListParagraph"/>
        <w:numPr>
          <w:ilvl w:val="0"/>
          <w:numId w:val="14"/>
        </w:numPr>
        <w:rPr>
          <w:rFonts w:cs="Arial"/>
          <w:szCs w:val="24"/>
        </w:rPr>
      </w:pPr>
      <w:r w:rsidRPr="00345492">
        <w:rPr>
          <w:rFonts w:cs="Arial"/>
          <w:szCs w:val="24"/>
        </w:rPr>
        <w:lastRenderedPageBreak/>
        <w:t>7 Forces – Vetting; red risk that retention of project staff is an issue</w:t>
      </w:r>
    </w:p>
    <w:p w14:paraId="74041620" w14:textId="77777777" w:rsidR="00345492" w:rsidRPr="00467355" w:rsidRDefault="00345492" w:rsidP="00345492">
      <w:pPr>
        <w:pStyle w:val="ListParagraph"/>
        <w:numPr>
          <w:ilvl w:val="0"/>
          <w:numId w:val="14"/>
        </w:numPr>
        <w:rPr>
          <w:rFonts w:cs="Arial"/>
          <w:szCs w:val="24"/>
        </w:rPr>
      </w:pPr>
      <w:r w:rsidRPr="00345492">
        <w:rPr>
          <w:rFonts w:cs="Arial"/>
          <w:szCs w:val="24"/>
        </w:rPr>
        <w:t>7 forces - Armed Policing; red risk associated with difficulty in recruiting Training Delivery Manager (2 failed attempts to date).</w:t>
      </w:r>
    </w:p>
    <w:p w14:paraId="3F054772" w14:textId="4A00E7FA" w:rsidR="0030288C" w:rsidRPr="00345492" w:rsidRDefault="00345492" w:rsidP="00345492">
      <w:pPr>
        <w:pStyle w:val="ListParagraph"/>
        <w:numPr>
          <w:ilvl w:val="0"/>
          <w:numId w:val="14"/>
        </w:numPr>
        <w:spacing w:after="0" w:line="259" w:lineRule="auto"/>
        <w:rPr>
          <w:rFonts w:cs="Arial"/>
          <w:szCs w:val="24"/>
        </w:rPr>
      </w:pPr>
      <w:r w:rsidRPr="00467355">
        <w:rPr>
          <w:rFonts w:cs="Arial"/>
          <w:szCs w:val="24"/>
        </w:rPr>
        <w:t xml:space="preserve">7 forces – Police Equivalent Qualifications Framework; red risk that the current timeline is unachievable. </w:t>
      </w:r>
    </w:p>
    <w:p w14:paraId="4892B528" w14:textId="77777777" w:rsidR="003832F7" w:rsidRPr="00D1739B" w:rsidRDefault="00411145" w:rsidP="006D07B8">
      <w:pPr>
        <w:pStyle w:val="NoSpacing"/>
        <w:spacing w:line="259" w:lineRule="auto"/>
        <w:rPr>
          <w:rFonts w:ascii="Arial" w:hAnsi="Arial" w:cs="Arial"/>
          <w:b/>
          <w:sz w:val="24"/>
          <w:szCs w:val="24"/>
          <w:u w:val="single"/>
        </w:rPr>
      </w:pPr>
      <w:r w:rsidRPr="00D1739B">
        <w:rPr>
          <w:rFonts w:ascii="Arial" w:hAnsi="Arial" w:cs="Arial"/>
          <w:b/>
          <w:sz w:val="24"/>
          <w:szCs w:val="24"/>
        </w:rPr>
        <w:t>6.4</w:t>
      </w:r>
      <w:r w:rsidR="00665862" w:rsidRPr="00D1739B">
        <w:rPr>
          <w:rFonts w:ascii="Arial" w:hAnsi="Arial" w:cs="Arial"/>
          <w:b/>
          <w:sz w:val="24"/>
          <w:szCs w:val="24"/>
        </w:rPr>
        <w:tab/>
      </w:r>
      <w:r w:rsidR="003832F7" w:rsidRPr="00D1739B">
        <w:rPr>
          <w:rFonts w:ascii="Arial" w:hAnsi="Arial" w:cs="Arial"/>
          <w:b/>
          <w:sz w:val="24"/>
          <w:szCs w:val="24"/>
          <w:u w:val="single"/>
        </w:rPr>
        <w:t>Equality and/or Human Rights</w:t>
      </w:r>
      <w:r w:rsidR="00652B9C" w:rsidRPr="00D1739B">
        <w:rPr>
          <w:rFonts w:ascii="Arial" w:hAnsi="Arial" w:cs="Arial"/>
          <w:b/>
          <w:sz w:val="24"/>
          <w:szCs w:val="24"/>
          <w:u w:val="single"/>
        </w:rPr>
        <w:t xml:space="preserve"> Implications </w:t>
      </w:r>
    </w:p>
    <w:p w14:paraId="3F3CAA14" w14:textId="77777777" w:rsidR="003832F7" w:rsidRPr="00D1739B" w:rsidRDefault="003832F7" w:rsidP="006D07B8">
      <w:pPr>
        <w:pStyle w:val="NoSpacing"/>
        <w:spacing w:line="259" w:lineRule="auto"/>
        <w:ind w:left="709"/>
        <w:rPr>
          <w:rFonts w:ascii="Arial" w:hAnsi="Arial" w:cs="Arial"/>
          <w:sz w:val="24"/>
          <w:szCs w:val="24"/>
        </w:rPr>
      </w:pPr>
    </w:p>
    <w:p w14:paraId="1555A659" w14:textId="61AA4682" w:rsidR="001D5222" w:rsidRPr="00D1739B" w:rsidRDefault="00D1739B" w:rsidP="006D07B8">
      <w:pPr>
        <w:spacing w:after="0" w:line="259" w:lineRule="auto"/>
        <w:ind w:left="709"/>
        <w:contextualSpacing/>
        <w:rPr>
          <w:rFonts w:ascii="Arial" w:hAnsi="Arial" w:cs="Arial"/>
          <w:b/>
          <w:sz w:val="24"/>
          <w:szCs w:val="24"/>
        </w:rPr>
      </w:pPr>
      <w:r w:rsidRPr="00D1739B">
        <w:rPr>
          <w:rFonts w:ascii="Arial" w:hAnsi="Arial" w:cs="Arial"/>
          <w:sz w:val="24"/>
        </w:rPr>
        <w:t>Sustaining and pursuit of collaboration opportunities draws upon staff and expertise in a wide range of operational and change focused areas. The design and implementation of change, and the skills necessary to manage change in the workplace are well established</w:t>
      </w:r>
      <w:r w:rsidR="0007605A">
        <w:rPr>
          <w:rFonts w:ascii="Arial" w:hAnsi="Arial" w:cs="Arial"/>
          <w:sz w:val="24"/>
        </w:rPr>
        <w:t>.</w:t>
      </w:r>
      <w:r w:rsidRPr="00D1739B">
        <w:rPr>
          <w:rFonts w:ascii="Arial" w:hAnsi="Arial" w:cs="Arial"/>
          <w:sz w:val="24"/>
        </w:rPr>
        <w:t xml:space="preserve"> Strong support mechanisms are in place for staff and officers. The unions and Essex Police Federation have been actively engaged at a very early stage where collaboration developments are being considered and designed</w:t>
      </w:r>
      <w:r w:rsidR="00133718">
        <w:rPr>
          <w:rFonts w:ascii="Arial" w:hAnsi="Arial" w:cs="Arial"/>
          <w:sz w:val="24"/>
        </w:rPr>
        <w:t>, and will continue to be so</w:t>
      </w:r>
      <w:r w:rsidR="00286B89">
        <w:rPr>
          <w:rFonts w:ascii="Arial" w:hAnsi="Arial" w:cs="Arial"/>
          <w:sz w:val="24"/>
        </w:rPr>
        <w:t>,</w:t>
      </w:r>
      <w:r w:rsidR="00133718">
        <w:rPr>
          <w:rFonts w:ascii="Arial" w:hAnsi="Arial" w:cs="Arial"/>
          <w:sz w:val="24"/>
        </w:rPr>
        <w:t xml:space="preserve"> going forwards</w:t>
      </w:r>
      <w:r w:rsidR="00D81218">
        <w:rPr>
          <w:rFonts w:ascii="Arial" w:hAnsi="Arial" w:cs="Arial"/>
          <w:sz w:val="24"/>
        </w:rPr>
        <w:t>.</w:t>
      </w:r>
      <w:r w:rsidR="00516C1E" w:rsidRPr="00D1739B">
        <w:rPr>
          <w:rFonts w:ascii="Arial" w:hAnsi="Arial" w:cs="Arial"/>
          <w:sz w:val="24"/>
        </w:rPr>
        <w:br/>
      </w:r>
    </w:p>
    <w:p w14:paraId="11DB5916" w14:textId="77777777" w:rsidR="00516C1E" w:rsidRPr="00D1739B" w:rsidRDefault="00411145" w:rsidP="006D07B8">
      <w:pPr>
        <w:pStyle w:val="NoSpacing"/>
        <w:spacing w:line="259" w:lineRule="auto"/>
        <w:rPr>
          <w:rFonts w:ascii="Arial" w:hAnsi="Arial" w:cs="Arial"/>
          <w:b/>
          <w:sz w:val="24"/>
          <w:szCs w:val="24"/>
        </w:rPr>
      </w:pPr>
      <w:r w:rsidRPr="00D1739B">
        <w:rPr>
          <w:rFonts w:ascii="Arial" w:hAnsi="Arial" w:cs="Arial"/>
          <w:b/>
          <w:sz w:val="24"/>
          <w:szCs w:val="24"/>
        </w:rPr>
        <w:t>6.5</w:t>
      </w:r>
      <w:r w:rsidR="00E92E89" w:rsidRPr="00D1739B">
        <w:rPr>
          <w:rFonts w:ascii="Arial" w:hAnsi="Arial" w:cs="Arial"/>
          <w:b/>
          <w:sz w:val="24"/>
          <w:szCs w:val="24"/>
        </w:rPr>
        <w:tab/>
      </w:r>
      <w:r w:rsidR="00E92E89" w:rsidRPr="00D1739B">
        <w:rPr>
          <w:rFonts w:ascii="Arial" w:hAnsi="Arial" w:cs="Arial"/>
          <w:b/>
          <w:sz w:val="24"/>
          <w:szCs w:val="24"/>
          <w:u w:val="single"/>
        </w:rPr>
        <w:t>Health and</w:t>
      </w:r>
      <w:r w:rsidR="00652B9C" w:rsidRPr="00D1739B">
        <w:rPr>
          <w:rFonts w:ascii="Arial" w:hAnsi="Arial" w:cs="Arial"/>
          <w:b/>
          <w:sz w:val="24"/>
          <w:szCs w:val="24"/>
          <w:u w:val="single"/>
        </w:rPr>
        <w:t xml:space="preserve"> Safety Implications</w:t>
      </w:r>
      <w:r w:rsidR="00652B9C" w:rsidRPr="00D1739B">
        <w:rPr>
          <w:rFonts w:ascii="Arial" w:hAnsi="Arial" w:cs="Arial"/>
          <w:b/>
          <w:sz w:val="24"/>
          <w:szCs w:val="24"/>
        </w:rPr>
        <w:t xml:space="preserve"> </w:t>
      </w:r>
      <w:r w:rsidR="00516C1E" w:rsidRPr="00D1739B">
        <w:rPr>
          <w:rFonts w:ascii="Arial" w:hAnsi="Arial" w:cs="Arial"/>
          <w:b/>
          <w:sz w:val="24"/>
          <w:szCs w:val="24"/>
        </w:rPr>
        <w:br/>
      </w:r>
    </w:p>
    <w:p w14:paraId="57BDFE17" w14:textId="1002F5D1" w:rsidR="00516C1E" w:rsidRPr="00D1739B" w:rsidRDefault="00516C1E" w:rsidP="00EE1E3A">
      <w:pPr>
        <w:pStyle w:val="NoSpacing"/>
        <w:spacing w:line="259" w:lineRule="auto"/>
        <w:ind w:left="709" w:firstLine="11"/>
        <w:rPr>
          <w:rFonts w:ascii="Arial" w:hAnsi="Arial" w:cs="Arial"/>
          <w:sz w:val="24"/>
          <w:szCs w:val="24"/>
        </w:rPr>
      </w:pPr>
      <w:r w:rsidRPr="00D1739B">
        <w:rPr>
          <w:rFonts w:ascii="Arial" w:hAnsi="Arial" w:cs="Arial"/>
          <w:sz w:val="24"/>
          <w:szCs w:val="24"/>
        </w:rPr>
        <w:t>No specific Health an</w:t>
      </w:r>
      <w:r w:rsidR="008C2A7E" w:rsidRPr="00D1739B">
        <w:rPr>
          <w:rFonts w:ascii="Arial" w:hAnsi="Arial" w:cs="Arial"/>
          <w:sz w:val="24"/>
          <w:szCs w:val="24"/>
        </w:rPr>
        <w:t>d Safety implications are noted.</w:t>
      </w:r>
      <w:r w:rsidR="00FC4786">
        <w:rPr>
          <w:rFonts w:ascii="Arial" w:hAnsi="Arial" w:cs="Arial"/>
          <w:sz w:val="24"/>
          <w:szCs w:val="24"/>
        </w:rPr>
        <w:t xml:space="preserve"> </w:t>
      </w:r>
      <w:r w:rsidRPr="00D1739B">
        <w:rPr>
          <w:rFonts w:ascii="Arial" w:hAnsi="Arial" w:cs="Arial"/>
          <w:sz w:val="24"/>
          <w:szCs w:val="24"/>
        </w:rPr>
        <w:t>Please refer to point 6.4 in which this would be covered.</w:t>
      </w:r>
    </w:p>
    <w:p w14:paraId="2EC994F8" w14:textId="77777777" w:rsidR="003832F7" w:rsidRPr="00D1739B" w:rsidRDefault="003832F7" w:rsidP="006D07B8">
      <w:pPr>
        <w:pStyle w:val="NoSpacing"/>
        <w:spacing w:line="259" w:lineRule="auto"/>
        <w:ind w:left="709"/>
        <w:rPr>
          <w:rFonts w:ascii="Arial" w:hAnsi="Arial" w:cs="Arial"/>
          <w:b/>
          <w:sz w:val="24"/>
          <w:szCs w:val="24"/>
        </w:rPr>
      </w:pPr>
    </w:p>
    <w:p w14:paraId="0664B50E" w14:textId="77777777" w:rsidR="003832F7" w:rsidRPr="00D1739B" w:rsidRDefault="00E92E89" w:rsidP="006D07B8">
      <w:pPr>
        <w:pStyle w:val="NoSpacing"/>
        <w:spacing w:line="259" w:lineRule="auto"/>
        <w:ind w:left="709" w:hanging="709"/>
        <w:rPr>
          <w:rFonts w:ascii="Arial" w:hAnsi="Arial" w:cs="Arial"/>
          <w:b/>
          <w:sz w:val="24"/>
          <w:szCs w:val="24"/>
          <w:u w:val="single"/>
        </w:rPr>
      </w:pPr>
      <w:r w:rsidRPr="00D1739B">
        <w:rPr>
          <w:rFonts w:ascii="Arial" w:hAnsi="Arial" w:cs="Arial"/>
          <w:b/>
          <w:sz w:val="24"/>
          <w:szCs w:val="24"/>
        </w:rPr>
        <w:t>7.0</w:t>
      </w:r>
      <w:r w:rsidR="00665862" w:rsidRPr="00D1739B">
        <w:rPr>
          <w:rFonts w:ascii="Arial" w:hAnsi="Arial" w:cs="Arial"/>
          <w:b/>
          <w:sz w:val="24"/>
          <w:szCs w:val="24"/>
        </w:rPr>
        <w:tab/>
      </w:r>
      <w:r w:rsidR="00665862" w:rsidRPr="00D1739B">
        <w:rPr>
          <w:rFonts w:ascii="Arial" w:hAnsi="Arial" w:cs="Arial"/>
          <w:b/>
          <w:sz w:val="24"/>
          <w:szCs w:val="24"/>
          <w:u w:val="single"/>
        </w:rPr>
        <w:t>Consultation/Engagement</w:t>
      </w:r>
    </w:p>
    <w:p w14:paraId="60828E16" w14:textId="77777777" w:rsidR="009F3263" w:rsidRPr="00D1739B" w:rsidRDefault="009F3263" w:rsidP="006D07B8">
      <w:pPr>
        <w:pStyle w:val="NoSpacing"/>
        <w:spacing w:line="259" w:lineRule="auto"/>
        <w:ind w:left="709"/>
        <w:rPr>
          <w:rFonts w:ascii="Arial" w:hAnsi="Arial" w:cs="Arial"/>
          <w:b/>
          <w:sz w:val="24"/>
          <w:szCs w:val="24"/>
        </w:rPr>
      </w:pPr>
    </w:p>
    <w:p w14:paraId="2E5D3F10" w14:textId="56E3F527" w:rsidR="001D4D21" w:rsidRPr="00D1739B" w:rsidRDefault="004D4EF7">
      <w:pPr>
        <w:pStyle w:val="NoSpacing"/>
        <w:spacing w:line="259" w:lineRule="auto"/>
        <w:ind w:left="709"/>
        <w:rPr>
          <w:rFonts w:ascii="Arial" w:hAnsi="Arial" w:cs="Arial"/>
          <w:sz w:val="24"/>
          <w:szCs w:val="24"/>
        </w:rPr>
      </w:pPr>
      <w:r w:rsidRPr="00D1739B">
        <w:rPr>
          <w:rFonts w:ascii="Arial" w:hAnsi="Arial" w:cs="Arial"/>
          <w:sz w:val="24"/>
          <w:szCs w:val="24"/>
        </w:rPr>
        <w:t>Mark Johnson</w:t>
      </w:r>
      <w:r w:rsidR="00FC4786">
        <w:rPr>
          <w:rFonts w:ascii="Arial" w:hAnsi="Arial" w:cs="Arial"/>
          <w:sz w:val="24"/>
          <w:szCs w:val="24"/>
        </w:rPr>
        <w:t xml:space="preserve">, </w:t>
      </w:r>
      <w:r w:rsidR="0007605A">
        <w:rPr>
          <w:rFonts w:ascii="Arial" w:hAnsi="Arial" w:cs="Arial"/>
          <w:sz w:val="24"/>
          <w:szCs w:val="24"/>
        </w:rPr>
        <w:t>Jen Housego</w:t>
      </w:r>
      <w:r w:rsidR="00FC4786">
        <w:rPr>
          <w:rFonts w:ascii="Arial" w:hAnsi="Arial" w:cs="Arial"/>
          <w:sz w:val="24"/>
          <w:szCs w:val="24"/>
        </w:rPr>
        <w:t>, C</w:t>
      </w:r>
      <w:r w:rsidR="0007605A">
        <w:rPr>
          <w:rFonts w:ascii="Arial" w:hAnsi="Arial" w:cs="Arial"/>
          <w:sz w:val="24"/>
          <w:szCs w:val="24"/>
        </w:rPr>
        <w:t>laire Heath</w:t>
      </w:r>
      <w:r w:rsidR="00FC4786">
        <w:rPr>
          <w:rFonts w:ascii="Arial" w:hAnsi="Arial" w:cs="Arial"/>
          <w:sz w:val="24"/>
          <w:szCs w:val="24"/>
        </w:rPr>
        <w:t xml:space="preserve">, </w:t>
      </w:r>
      <w:r w:rsidR="0074507B">
        <w:rPr>
          <w:rFonts w:ascii="Arial" w:hAnsi="Arial" w:cs="Arial"/>
          <w:sz w:val="24"/>
          <w:szCs w:val="24"/>
        </w:rPr>
        <w:t>Will Newman</w:t>
      </w:r>
      <w:r w:rsidR="00FC4786">
        <w:rPr>
          <w:rFonts w:ascii="Arial" w:hAnsi="Arial" w:cs="Arial"/>
          <w:sz w:val="24"/>
          <w:szCs w:val="24"/>
        </w:rPr>
        <w:t xml:space="preserve">, </w:t>
      </w:r>
      <w:r w:rsidR="00286B89">
        <w:rPr>
          <w:rFonts w:ascii="Arial" w:hAnsi="Arial" w:cs="Arial"/>
          <w:sz w:val="24"/>
          <w:szCs w:val="24"/>
        </w:rPr>
        <w:t>Supt Cat Barrie</w:t>
      </w:r>
      <w:r w:rsidR="00FC4786">
        <w:rPr>
          <w:rFonts w:ascii="Arial" w:hAnsi="Arial" w:cs="Arial"/>
          <w:sz w:val="24"/>
          <w:szCs w:val="24"/>
        </w:rPr>
        <w:t xml:space="preserve">, </w:t>
      </w:r>
      <w:r w:rsidR="00631F21">
        <w:rPr>
          <w:rFonts w:ascii="Arial" w:hAnsi="Arial" w:cs="Arial"/>
          <w:sz w:val="24"/>
          <w:szCs w:val="24"/>
        </w:rPr>
        <w:t>Richard Day</w:t>
      </w:r>
      <w:r w:rsidR="00FC4786">
        <w:rPr>
          <w:rFonts w:ascii="Arial" w:hAnsi="Arial" w:cs="Arial"/>
          <w:sz w:val="24"/>
          <w:szCs w:val="24"/>
        </w:rPr>
        <w:t xml:space="preserve">, </w:t>
      </w:r>
      <w:r w:rsidR="00A12ABE">
        <w:rPr>
          <w:rFonts w:ascii="Arial" w:hAnsi="Arial" w:cs="Arial"/>
          <w:sz w:val="24"/>
          <w:szCs w:val="24"/>
        </w:rPr>
        <w:t>Ch</w:t>
      </w:r>
      <w:r w:rsidR="00CF1E25">
        <w:rPr>
          <w:rFonts w:ascii="Arial" w:hAnsi="Arial" w:cs="Arial"/>
          <w:sz w:val="24"/>
          <w:szCs w:val="24"/>
        </w:rPr>
        <w:t>.</w:t>
      </w:r>
      <w:r w:rsidR="00A12ABE">
        <w:rPr>
          <w:rFonts w:ascii="Arial" w:hAnsi="Arial" w:cs="Arial"/>
          <w:sz w:val="24"/>
          <w:szCs w:val="24"/>
        </w:rPr>
        <w:t xml:space="preserve"> Insp Terry Balding</w:t>
      </w:r>
      <w:r w:rsidR="00FC4786">
        <w:rPr>
          <w:rFonts w:ascii="Arial" w:hAnsi="Arial" w:cs="Arial"/>
          <w:sz w:val="24"/>
          <w:szCs w:val="24"/>
        </w:rPr>
        <w:t>, C</w:t>
      </w:r>
      <w:r w:rsidR="001D4D21">
        <w:rPr>
          <w:rFonts w:ascii="Arial" w:hAnsi="Arial" w:cs="Arial"/>
          <w:sz w:val="24"/>
          <w:szCs w:val="24"/>
        </w:rPr>
        <w:t>hristine Nicholls</w:t>
      </w:r>
    </w:p>
    <w:p w14:paraId="1A44B4EC" w14:textId="77777777" w:rsidR="00663C2D" w:rsidRPr="00D1739B" w:rsidRDefault="00663C2D" w:rsidP="006D07B8">
      <w:pPr>
        <w:pStyle w:val="NoSpacing"/>
        <w:spacing w:line="259" w:lineRule="auto"/>
        <w:ind w:left="709"/>
        <w:rPr>
          <w:rFonts w:ascii="Arial" w:hAnsi="Arial" w:cs="Arial"/>
          <w:sz w:val="24"/>
          <w:szCs w:val="24"/>
        </w:rPr>
      </w:pPr>
    </w:p>
    <w:p w14:paraId="58DD7788" w14:textId="77777777" w:rsidR="007D3E9B" w:rsidRPr="00D1739B" w:rsidRDefault="00E92E89" w:rsidP="006D07B8">
      <w:pPr>
        <w:pStyle w:val="NoSpacing"/>
        <w:spacing w:line="259" w:lineRule="auto"/>
        <w:ind w:left="720" w:hanging="720"/>
        <w:rPr>
          <w:rFonts w:ascii="Arial" w:hAnsi="Arial" w:cs="Arial"/>
          <w:b/>
          <w:sz w:val="24"/>
          <w:szCs w:val="24"/>
          <w:u w:val="single"/>
        </w:rPr>
      </w:pPr>
      <w:r w:rsidRPr="00D1739B">
        <w:rPr>
          <w:rFonts w:ascii="Arial" w:hAnsi="Arial" w:cs="Arial"/>
          <w:b/>
          <w:sz w:val="24"/>
          <w:szCs w:val="24"/>
        </w:rPr>
        <w:t>8.0</w:t>
      </w:r>
      <w:r w:rsidR="003832F7" w:rsidRPr="00D1739B">
        <w:rPr>
          <w:rFonts w:ascii="Arial" w:hAnsi="Arial" w:cs="Arial"/>
          <w:b/>
          <w:sz w:val="24"/>
          <w:szCs w:val="24"/>
        </w:rPr>
        <w:tab/>
      </w:r>
      <w:r w:rsidR="00450311">
        <w:rPr>
          <w:rFonts w:ascii="Arial" w:hAnsi="Arial" w:cs="Arial"/>
          <w:b/>
          <w:sz w:val="24"/>
          <w:szCs w:val="24"/>
          <w:u w:val="single"/>
        </w:rPr>
        <w:t>Area</w:t>
      </w:r>
      <w:r w:rsidR="007D3E9B" w:rsidRPr="00D1739B">
        <w:rPr>
          <w:rFonts w:ascii="Arial" w:hAnsi="Arial" w:cs="Arial"/>
          <w:b/>
          <w:sz w:val="24"/>
          <w:szCs w:val="24"/>
          <w:u w:val="single"/>
        </w:rPr>
        <w:t>s for Improvement</w:t>
      </w:r>
    </w:p>
    <w:p w14:paraId="433F8648" w14:textId="77777777" w:rsidR="007D3E9B" w:rsidRPr="00D1739B" w:rsidRDefault="007D3E9B" w:rsidP="006D07B8">
      <w:pPr>
        <w:pStyle w:val="NoSpacing"/>
        <w:spacing w:line="259" w:lineRule="auto"/>
        <w:ind w:left="720"/>
        <w:rPr>
          <w:rFonts w:ascii="Arial" w:hAnsi="Arial" w:cs="Arial"/>
          <w:sz w:val="24"/>
          <w:szCs w:val="24"/>
        </w:rPr>
      </w:pPr>
    </w:p>
    <w:p w14:paraId="770F44E1" w14:textId="0240C9CA" w:rsidR="007D3E9B" w:rsidRPr="00D1739B" w:rsidRDefault="004D1BC0" w:rsidP="006D07B8">
      <w:pPr>
        <w:pStyle w:val="NoSpacing"/>
        <w:spacing w:line="259" w:lineRule="auto"/>
        <w:ind w:left="720"/>
        <w:rPr>
          <w:rFonts w:ascii="Arial" w:hAnsi="Arial" w:cs="Arial"/>
          <w:sz w:val="24"/>
          <w:szCs w:val="24"/>
        </w:rPr>
      </w:pPr>
      <w:r w:rsidRPr="00D1739B">
        <w:rPr>
          <w:rFonts w:ascii="Arial" w:hAnsi="Arial" w:cs="Arial"/>
          <w:sz w:val="24"/>
          <w:szCs w:val="24"/>
        </w:rPr>
        <w:t>No AFIs relating to Collaboration</w:t>
      </w:r>
      <w:r w:rsidR="008C2A7E" w:rsidRPr="00D1739B">
        <w:rPr>
          <w:rFonts w:ascii="Arial" w:hAnsi="Arial" w:cs="Arial"/>
          <w:sz w:val="24"/>
          <w:szCs w:val="24"/>
        </w:rPr>
        <w:t xml:space="preserve"> </w:t>
      </w:r>
      <w:r w:rsidR="006E61F8">
        <w:rPr>
          <w:rFonts w:ascii="Arial" w:hAnsi="Arial" w:cs="Arial"/>
          <w:sz w:val="24"/>
          <w:szCs w:val="24"/>
        </w:rPr>
        <w:t xml:space="preserve">as at </w:t>
      </w:r>
      <w:r w:rsidR="00EF59B4">
        <w:rPr>
          <w:rFonts w:ascii="Arial" w:hAnsi="Arial" w:cs="Arial"/>
          <w:sz w:val="24"/>
          <w:szCs w:val="24"/>
        </w:rPr>
        <w:t>November</w:t>
      </w:r>
      <w:r w:rsidR="00222B17">
        <w:rPr>
          <w:rFonts w:ascii="Arial" w:hAnsi="Arial" w:cs="Arial"/>
          <w:sz w:val="24"/>
          <w:szCs w:val="24"/>
        </w:rPr>
        <w:t xml:space="preserve"> 2019</w:t>
      </w:r>
      <w:r w:rsidRPr="00D1739B">
        <w:rPr>
          <w:rFonts w:ascii="Arial" w:hAnsi="Arial" w:cs="Arial"/>
          <w:sz w:val="24"/>
          <w:szCs w:val="24"/>
        </w:rPr>
        <w:t>.</w:t>
      </w:r>
    </w:p>
    <w:p w14:paraId="1FD26BF1" w14:textId="77777777" w:rsidR="007D3E9B" w:rsidRPr="00D1739B" w:rsidRDefault="007D3E9B" w:rsidP="006D07B8">
      <w:pPr>
        <w:pStyle w:val="NoSpacing"/>
        <w:spacing w:line="259" w:lineRule="auto"/>
        <w:ind w:left="709"/>
        <w:rPr>
          <w:rFonts w:ascii="Arial" w:hAnsi="Arial" w:cs="Arial"/>
          <w:sz w:val="24"/>
          <w:szCs w:val="24"/>
        </w:rPr>
      </w:pPr>
    </w:p>
    <w:p w14:paraId="6683CE4C" w14:textId="77777777" w:rsidR="00017D7D" w:rsidRPr="00D1739B" w:rsidRDefault="00E92E89" w:rsidP="006D07B8">
      <w:pPr>
        <w:pStyle w:val="NoSpacing"/>
        <w:spacing w:line="259" w:lineRule="auto"/>
        <w:rPr>
          <w:rFonts w:ascii="Arial" w:hAnsi="Arial" w:cs="Arial"/>
          <w:b/>
          <w:sz w:val="24"/>
          <w:szCs w:val="24"/>
          <w:u w:val="single"/>
        </w:rPr>
      </w:pPr>
      <w:r w:rsidRPr="00D1739B">
        <w:rPr>
          <w:rFonts w:ascii="Arial" w:hAnsi="Arial" w:cs="Arial"/>
          <w:b/>
          <w:sz w:val="24"/>
          <w:szCs w:val="24"/>
        </w:rPr>
        <w:t>9.0</w:t>
      </w:r>
      <w:r w:rsidR="007D3E9B" w:rsidRPr="00D1739B">
        <w:rPr>
          <w:rFonts w:ascii="Arial" w:hAnsi="Arial" w:cs="Arial"/>
          <w:b/>
          <w:sz w:val="24"/>
          <w:szCs w:val="24"/>
        </w:rPr>
        <w:tab/>
      </w:r>
      <w:r w:rsidR="007D3E9B" w:rsidRPr="00D1739B">
        <w:rPr>
          <w:rFonts w:ascii="Arial" w:hAnsi="Arial" w:cs="Arial"/>
          <w:b/>
          <w:sz w:val="24"/>
          <w:szCs w:val="24"/>
          <w:u w:val="single"/>
        </w:rPr>
        <w:t>Future Work/Development</w:t>
      </w:r>
      <w:r w:rsidR="004A55EC" w:rsidRPr="00D1739B">
        <w:rPr>
          <w:rFonts w:ascii="Arial" w:hAnsi="Arial" w:cs="Arial"/>
          <w:b/>
          <w:sz w:val="24"/>
          <w:szCs w:val="24"/>
          <w:u w:val="single"/>
        </w:rPr>
        <w:t xml:space="preserve"> and Expected Outcome</w:t>
      </w:r>
    </w:p>
    <w:p w14:paraId="698E19F7" w14:textId="77777777" w:rsidR="007D3E9B" w:rsidRPr="00D1739B" w:rsidRDefault="007D3E9B" w:rsidP="006D07B8">
      <w:pPr>
        <w:pStyle w:val="NoSpacing"/>
        <w:spacing w:line="259" w:lineRule="auto"/>
        <w:ind w:left="720"/>
        <w:rPr>
          <w:rFonts w:ascii="Arial" w:hAnsi="Arial" w:cs="Arial"/>
          <w:sz w:val="24"/>
          <w:szCs w:val="24"/>
        </w:rPr>
      </w:pPr>
    </w:p>
    <w:p w14:paraId="0B870934" w14:textId="72DE1DDD" w:rsidR="001973CB" w:rsidRPr="00D1739B" w:rsidRDefault="004D1BC0" w:rsidP="00733052">
      <w:pPr>
        <w:pStyle w:val="NoSpacing"/>
        <w:spacing w:line="259" w:lineRule="auto"/>
        <w:ind w:left="720"/>
        <w:rPr>
          <w:rFonts w:ascii="Arial" w:hAnsi="Arial" w:cs="Arial"/>
          <w:sz w:val="24"/>
          <w:szCs w:val="24"/>
        </w:rPr>
      </w:pPr>
      <w:r w:rsidRPr="00D1739B">
        <w:rPr>
          <w:rFonts w:ascii="Arial" w:hAnsi="Arial" w:cs="Arial"/>
          <w:sz w:val="24"/>
          <w:szCs w:val="24"/>
        </w:rPr>
        <w:t>Whilst collaboration is fully embedded as a working principle for Essex Police, there will be continued evaluation of potential collaborative working possibilities to improve efficiencies and effectiveness regarding policing within the county of Essex.</w:t>
      </w:r>
      <w:r w:rsidR="00733052">
        <w:rPr>
          <w:rFonts w:ascii="Arial" w:hAnsi="Arial" w:cs="Arial"/>
          <w:sz w:val="24"/>
          <w:szCs w:val="24"/>
        </w:rPr>
        <w:t xml:space="preserve"> The next quarterly update report on collaboration </w:t>
      </w:r>
      <w:r w:rsidR="00AE5835">
        <w:rPr>
          <w:rFonts w:ascii="Arial" w:hAnsi="Arial" w:cs="Arial"/>
          <w:sz w:val="24"/>
          <w:szCs w:val="24"/>
        </w:rPr>
        <w:t xml:space="preserve">is scheduled for </w:t>
      </w:r>
      <w:r w:rsidR="009171BD">
        <w:rPr>
          <w:rFonts w:ascii="Arial" w:hAnsi="Arial" w:cs="Arial"/>
          <w:sz w:val="24"/>
          <w:szCs w:val="24"/>
        </w:rPr>
        <w:t>26</w:t>
      </w:r>
      <w:r w:rsidR="009171BD" w:rsidRPr="009171BD">
        <w:rPr>
          <w:rFonts w:ascii="Arial" w:hAnsi="Arial" w:cs="Arial"/>
          <w:sz w:val="24"/>
          <w:szCs w:val="24"/>
          <w:vertAlign w:val="superscript"/>
        </w:rPr>
        <w:t>th</w:t>
      </w:r>
      <w:r w:rsidR="009171BD">
        <w:rPr>
          <w:rFonts w:ascii="Arial" w:hAnsi="Arial" w:cs="Arial"/>
          <w:sz w:val="24"/>
          <w:szCs w:val="24"/>
        </w:rPr>
        <w:t xml:space="preserve"> March 2020</w:t>
      </w:r>
      <w:r w:rsidR="00733052">
        <w:rPr>
          <w:rFonts w:ascii="Arial" w:hAnsi="Arial" w:cs="Arial"/>
          <w:sz w:val="24"/>
          <w:szCs w:val="24"/>
        </w:rPr>
        <w:t xml:space="preserve"> P&amp;R Scrutiny Board.</w:t>
      </w:r>
      <w:r w:rsidR="00733052" w:rsidRPr="00D1739B">
        <w:rPr>
          <w:rFonts w:ascii="Arial" w:hAnsi="Arial" w:cs="Arial"/>
          <w:sz w:val="24"/>
          <w:szCs w:val="24"/>
        </w:rPr>
        <w:t xml:space="preserve"> </w:t>
      </w:r>
    </w:p>
    <w:p w14:paraId="5678B5A7" w14:textId="77777777" w:rsidR="00733052" w:rsidRDefault="00733052" w:rsidP="006D07B8">
      <w:pPr>
        <w:pStyle w:val="NoSpacing"/>
        <w:spacing w:line="259" w:lineRule="auto"/>
        <w:ind w:left="720"/>
        <w:rPr>
          <w:rFonts w:ascii="Arial" w:hAnsi="Arial" w:cs="Arial"/>
          <w:sz w:val="24"/>
          <w:szCs w:val="24"/>
        </w:rPr>
      </w:pPr>
    </w:p>
    <w:p w14:paraId="2EF98062" w14:textId="64218439" w:rsidR="00FE52AD" w:rsidRDefault="00733052" w:rsidP="00AD48F4">
      <w:pPr>
        <w:pStyle w:val="NoSpacing"/>
        <w:spacing w:line="259" w:lineRule="auto"/>
        <w:ind w:left="720"/>
        <w:rPr>
          <w:b/>
          <w:u w:val="single"/>
        </w:rPr>
      </w:pPr>
      <w:r w:rsidRPr="005A08F5">
        <w:rPr>
          <w:rFonts w:ascii="Arial" w:hAnsi="Arial" w:cs="Arial"/>
          <w:sz w:val="24"/>
          <w:szCs w:val="24"/>
        </w:rPr>
        <w:t>T</w:t>
      </w:r>
      <w:r w:rsidR="00D1739B" w:rsidRPr="005A08F5">
        <w:rPr>
          <w:rFonts w:ascii="Arial" w:hAnsi="Arial" w:cs="Arial"/>
          <w:sz w:val="24"/>
          <w:szCs w:val="24"/>
        </w:rPr>
        <w:t xml:space="preserve">he National Specialist Capabilities Review </w:t>
      </w:r>
      <w:r w:rsidRPr="005A08F5">
        <w:rPr>
          <w:rFonts w:ascii="Arial" w:hAnsi="Arial" w:cs="Arial"/>
          <w:sz w:val="24"/>
          <w:szCs w:val="24"/>
        </w:rPr>
        <w:t>continues</w:t>
      </w:r>
      <w:r w:rsidR="00D1739B" w:rsidRPr="005A08F5">
        <w:rPr>
          <w:rFonts w:ascii="Arial" w:hAnsi="Arial" w:cs="Arial"/>
          <w:sz w:val="24"/>
          <w:szCs w:val="24"/>
        </w:rPr>
        <w:t>, which is looking at how specialist policing capabilities could be considered</w:t>
      </w:r>
      <w:r w:rsidR="00450311" w:rsidRPr="005A08F5">
        <w:rPr>
          <w:rFonts w:ascii="Arial" w:hAnsi="Arial" w:cs="Arial"/>
          <w:sz w:val="24"/>
          <w:szCs w:val="24"/>
        </w:rPr>
        <w:t xml:space="preserve"> and coordinated</w:t>
      </w:r>
      <w:r w:rsidR="00D1739B" w:rsidRPr="005A08F5">
        <w:rPr>
          <w:rFonts w:ascii="Arial" w:hAnsi="Arial" w:cs="Arial"/>
          <w:sz w:val="24"/>
          <w:szCs w:val="24"/>
        </w:rPr>
        <w:t xml:space="preserve"> across the forces to adapt to modern policing challenges and threats to better protect the public. The capability </w:t>
      </w:r>
      <w:r w:rsidR="003C6808">
        <w:rPr>
          <w:rFonts w:ascii="Arial" w:hAnsi="Arial" w:cs="Arial"/>
          <w:sz w:val="24"/>
          <w:szCs w:val="24"/>
        </w:rPr>
        <w:t>strands</w:t>
      </w:r>
      <w:r w:rsidR="00D1739B" w:rsidRPr="005A08F5">
        <w:rPr>
          <w:rFonts w:ascii="Arial" w:hAnsi="Arial" w:cs="Arial"/>
          <w:sz w:val="24"/>
          <w:szCs w:val="24"/>
        </w:rPr>
        <w:t xml:space="preserve"> being reviewed are armed policing, cyber-dependent crime, major investigations, open source, intelligence (receipt assessment and analysis), roads </w:t>
      </w:r>
      <w:r w:rsidR="00D1739B" w:rsidRPr="00CF1E25">
        <w:rPr>
          <w:rFonts w:ascii="Arial" w:hAnsi="Arial" w:cs="Arial"/>
          <w:sz w:val="24"/>
          <w:szCs w:val="24"/>
        </w:rPr>
        <w:t>policing, (collision investigations and intelligence), Tactical Support Unit (TSU), surveillance and forensics.</w:t>
      </w:r>
      <w:r w:rsidRPr="00CF1E25">
        <w:rPr>
          <w:rFonts w:ascii="Arial" w:hAnsi="Arial" w:cs="Arial"/>
          <w:sz w:val="24"/>
          <w:szCs w:val="24"/>
        </w:rPr>
        <w:t xml:space="preserve"> </w:t>
      </w:r>
      <w:r w:rsidR="003C6808" w:rsidRPr="00CF1E25">
        <w:rPr>
          <w:rFonts w:ascii="Arial" w:hAnsi="Arial" w:cs="Arial"/>
          <w:sz w:val="24"/>
          <w:szCs w:val="24"/>
        </w:rPr>
        <w:t xml:space="preserve"> ACC Tim Smith is the Essex/Kent Lead for the forensics strand and all other strands are covered for the Eastern Region by Chief Constable Nick Dean from Cambridgeshire. Updates will be provided as the review continues.</w:t>
      </w:r>
    </w:p>
    <w:sectPr w:rsidR="00FE52AD" w:rsidSect="00BF4C2F">
      <w:headerReference w:type="default" r:id="rId16"/>
      <w:footerReference w:type="default" r:id="rId17"/>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9AAE0" w14:textId="77777777" w:rsidR="00C92D4B" w:rsidRDefault="00C92D4B" w:rsidP="00121A7F">
      <w:pPr>
        <w:spacing w:after="0" w:line="240" w:lineRule="auto"/>
      </w:pPr>
      <w:r>
        <w:separator/>
      </w:r>
    </w:p>
  </w:endnote>
  <w:endnote w:type="continuationSeparator" w:id="0">
    <w:p w14:paraId="327C32BE" w14:textId="77777777" w:rsidR="00C92D4B" w:rsidRDefault="00C92D4B"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14:paraId="79A99691" w14:textId="77777777" w:rsidR="00C92D4B" w:rsidRDefault="00C92D4B" w:rsidP="004F62BB">
            <w:pPr>
              <w:pStyle w:val="Footer"/>
              <w:jc w:val="center"/>
            </w:pPr>
          </w:p>
          <w:p w14:paraId="7A022BEA" w14:textId="77777777" w:rsidR="00C92D4B" w:rsidRPr="004F62BB" w:rsidRDefault="00C92D4B"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14:paraId="405B97EF" w14:textId="77777777" w:rsidR="00C92D4B" w:rsidRPr="006279AB" w:rsidRDefault="00C92D4B" w:rsidP="004F62BB">
            <w:pPr>
              <w:pStyle w:val="Footer"/>
              <w:jc w:val="center"/>
              <w:rPr>
                <w:rFonts w:ascii="Arial" w:hAnsi="Arial" w:cs="Arial"/>
                <w:sz w:val="20"/>
                <w:szCs w:val="20"/>
              </w:rPr>
            </w:pPr>
          </w:p>
          <w:p w14:paraId="14E08345" w14:textId="64A7520B" w:rsidR="00C92D4B" w:rsidRDefault="00C92D4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C703D7">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C703D7">
              <w:rPr>
                <w:rFonts w:ascii="Arial" w:hAnsi="Arial" w:cs="Arial"/>
                <w:bCs/>
                <w:noProof/>
                <w:sz w:val="20"/>
                <w:szCs w:val="20"/>
              </w:rPr>
              <w:t>16</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E876B" w14:textId="77777777" w:rsidR="00C92D4B" w:rsidRDefault="00C92D4B" w:rsidP="00121A7F">
      <w:pPr>
        <w:spacing w:after="0" w:line="240" w:lineRule="auto"/>
      </w:pPr>
      <w:r>
        <w:separator/>
      </w:r>
    </w:p>
  </w:footnote>
  <w:footnote w:type="continuationSeparator" w:id="0">
    <w:p w14:paraId="6624BA8F" w14:textId="77777777" w:rsidR="00C92D4B" w:rsidRDefault="00C92D4B" w:rsidP="0012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6A5DC" w14:textId="77777777" w:rsidR="00C92D4B" w:rsidRDefault="00C92D4B" w:rsidP="004F62BB">
    <w:pPr>
      <w:pStyle w:val="Header"/>
      <w:jc w:val="center"/>
      <w:rPr>
        <w:rFonts w:ascii="Arial" w:hAnsi="Arial" w:cs="Arial"/>
        <w:sz w:val="20"/>
      </w:rPr>
    </w:pPr>
    <w:r>
      <w:rPr>
        <w:rFonts w:ascii="Arial" w:hAnsi="Arial" w:cs="Arial"/>
        <w:sz w:val="20"/>
      </w:rPr>
      <w:t>OFFICIAL</w:t>
    </w:r>
  </w:p>
  <w:p w14:paraId="77B5BAD1" w14:textId="77777777" w:rsidR="00C92D4B" w:rsidRPr="006279AB" w:rsidRDefault="00C92D4B"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1C9C"/>
    <w:multiLevelType w:val="hybridMultilevel"/>
    <w:tmpl w:val="9C9C8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C0717"/>
    <w:multiLevelType w:val="multilevel"/>
    <w:tmpl w:val="5D3ADF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6CF0E56"/>
    <w:multiLevelType w:val="hybridMultilevel"/>
    <w:tmpl w:val="64766456"/>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2DEE3436"/>
    <w:multiLevelType w:val="hybridMultilevel"/>
    <w:tmpl w:val="5C76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B3147"/>
    <w:multiLevelType w:val="hybridMultilevel"/>
    <w:tmpl w:val="4B7A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D15BD"/>
    <w:multiLevelType w:val="hybridMultilevel"/>
    <w:tmpl w:val="39D0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7" w15:restartNumberingAfterBreak="0">
    <w:nsid w:val="4F2D27F4"/>
    <w:multiLevelType w:val="hybridMultilevel"/>
    <w:tmpl w:val="C994A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50F6425"/>
    <w:multiLevelType w:val="hybridMultilevel"/>
    <w:tmpl w:val="995A97C2"/>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15:restartNumberingAfterBreak="0">
    <w:nsid w:val="593164C2"/>
    <w:multiLevelType w:val="multilevel"/>
    <w:tmpl w:val="E076B8CA"/>
    <w:lvl w:ilvl="0">
      <w:start w:val="1"/>
      <w:numFmt w:val="lowerRoman"/>
      <w:lvlText w:val="%1."/>
      <w:lvlJc w:val="left"/>
      <w:pPr>
        <w:ind w:left="1440" w:hanging="720"/>
      </w:pPr>
      <w:rPr>
        <w:rFonts w:hint="default"/>
        <w:b w:val="0"/>
        <w:u w:val="none"/>
      </w:rPr>
    </w:lvl>
    <w:lvl w:ilvl="1">
      <w:start w:val="1"/>
      <w:numFmt w:val="lowerLetter"/>
      <w:lvlText w:val="%2."/>
      <w:lvlJc w:val="left"/>
      <w:pPr>
        <w:ind w:left="1800" w:hanging="360"/>
      </w:pPr>
      <w:rPr>
        <w:b w:val="0"/>
      </w:rPr>
    </w:lvl>
    <w:lvl w:ilvl="2">
      <w:start w:val="1"/>
      <w:numFmt w:val="lowerRoman"/>
      <w:lvlText w:val="%3."/>
      <w:lvlJc w:val="right"/>
      <w:pPr>
        <w:ind w:left="2520" w:hanging="180"/>
      </w:pPr>
      <w:rPr>
        <w:sz w:val="24"/>
        <w:szCs w:val="24"/>
      </w:rPr>
    </w:lvl>
    <w:lvl w:ilvl="3">
      <w:start w:val="1"/>
      <w:numFmt w:val="lowerRoman"/>
      <w:lvlText w:val="%4)"/>
      <w:lvlJc w:val="left"/>
      <w:pPr>
        <w:ind w:left="3600" w:hanging="720"/>
      </w:pPr>
      <w:rPr>
        <w:rFonts w:hint="default"/>
      </w:rPr>
    </w:lvl>
    <w:lvl w:ilvl="4">
      <w:start w:val="10"/>
      <w:numFmt w:val="decimal"/>
      <w:lvlText w:val="%5"/>
      <w:lvlJc w:val="left"/>
      <w:pPr>
        <w:ind w:left="3960" w:hanging="360"/>
      </w:pPr>
      <w:rPr>
        <w:rFonts w:asciiTheme="minorHAnsi" w:hAnsiTheme="minorHAnsi" w:cstheme="minorBidi" w:hint="default"/>
        <w:color w:val="000000" w:themeColor="text1"/>
      </w:rPr>
    </w:lvl>
    <w:lvl w:ilvl="5">
      <w:start w:val="2"/>
      <w:numFmt w:val="decimal"/>
      <w:lvlText w:val="%6."/>
      <w:lvlJc w:val="left"/>
      <w:pPr>
        <w:ind w:left="4860" w:hanging="360"/>
      </w:pPr>
      <w:rPr>
        <w:rFonts w:hint="default"/>
      </w:r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5AE71861"/>
    <w:multiLevelType w:val="hybridMultilevel"/>
    <w:tmpl w:val="FACE4A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6AD4A8D"/>
    <w:multiLevelType w:val="multilevel"/>
    <w:tmpl w:val="FBF4623A"/>
    <w:lvl w:ilvl="0">
      <w:start w:val="1"/>
      <w:numFmt w:val="lowerLetter"/>
      <w:lvlText w:val="%1."/>
      <w:lvlJc w:val="left"/>
      <w:pPr>
        <w:ind w:left="1474" w:hanging="34"/>
      </w:pPr>
      <w:rPr>
        <w:rFonts w:hint="default"/>
        <w:b w:val="0"/>
        <w:u w:val="none"/>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num w:numId="1">
    <w:abstractNumId w:val="6"/>
  </w:num>
  <w:num w:numId="2">
    <w:abstractNumId w:val="9"/>
  </w:num>
  <w:num w:numId="3">
    <w:abstractNumId w:val="11"/>
  </w:num>
  <w:num w:numId="4">
    <w:abstractNumId w:val="2"/>
  </w:num>
  <w:num w:numId="5">
    <w:abstractNumId w:val="7"/>
  </w:num>
  <w:num w:numId="6">
    <w:abstractNumId w:val="8"/>
  </w:num>
  <w:num w:numId="7">
    <w:abstractNumId w:val="10"/>
  </w:num>
  <w:num w:numId="8">
    <w:abstractNumId w:val="3"/>
  </w:num>
  <w:num w:numId="9">
    <w:abstractNumId w:val="4"/>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A7F"/>
    <w:rsid w:val="0001310F"/>
    <w:rsid w:val="00017D7D"/>
    <w:rsid w:val="0002168A"/>
    <w:rsid w:val="00022422"/>
    <w:rsid w:val="000239FB"/>
    <w:rsid w:val="00027D5B"/>
    <w:rsid w:val="00031174"/>
    <w:rsid w:val="00032B22"/>
    <w:rsid w:val="000423A8"/>
    <w:rsid w:val="00046E42"/>
    <w:rsid w:val="000506FD"/>
    <w:rsid w:val="00053962"/>
    <w:rsid w:val="000576F1"/>
    <w:rsid w:val="00060E52"/>
    <w:rsid w:val="00067402"/>
    <w:rsid w:val="00067D4E"/>
    <w:rsid w:val="000705BC"/>
    <w:rsid w:val="00072EF3"/>
    <w:rsid w:val="0007605A"/>
    <w:rsid w:val="00076366"/>
    <w:rsid w:val="00076371"/>
    <w:rsid w:val="00077D69"/>
    <w:rsid w:val="00081DB7"/>
    <w:rsid w:val="00092BB3"/>
    <w:rsid w:val="000933D1"/>
    <w:rsid w:val="0009626E"/>
    <w:rsid w:val="000A6382"/>
    <w:rsid w:val="000B48B3"/>
    <w:rsid w:val="000B5CAC"/>
    <w:rsid w:val="000B5E1B"/>
    <w:rsid w:val="000C00CF"/>
    <w:rsid w:val="000C060D"/>
    <w:rsid w:val="000C103A"/>
    <w:rsid w:val="000C1EC1"/>
    <w:rsid w:val="000C23C3"/>
    <w:rsid w:val="000C2816"/>
    <w:rsid w:val="000C5096"/>
    <w:rsid w:val="000C6393"/>
    <w:rsid w:val="000D02A2"/>
    <w:rsid w:val="000D212F"/>
    <w:rsid w:val="000E0585"/>
    <w:rsid w:val="000E101C"/>
    <w:rsid w:val="000E362A"/>
    <w:rsid w:val="000F21AC"/>
    <w:rsid w:val="000F474B"/>
    <w:rsid w:val="000F6C96"/>
    <w:rsid w:val="000F7453"/>
    <w:rsid w:val="00102305"/>
    <w:rsid w:val="00102840"/>
    <w:rsid w:val="0011480A"/>
    <w:rsid w:val="00121849"/>
    <w:rsid w:val="00121A7F"/>
    <w:rsid w:val="001333CA"/>
    <w:rsid w:val="00133718"/>
    <w:rsid w:val="00141293"/>
    <w:rsid w:val="001434B7"/>
    <w:rsid w:val="00157862"/>
    <w:rsid w:val="0016122D"/>
    <w:rsid w:val="001622A0"/>
    <w:rsid w:val="0016250A"/>
    <w:rsid w:val="00176135"/>
    <w:rsid w:val="00177E60"/>
    <w:rsid w:val="00182A62"/>
    <w:rsid w:val="001900E9"/>
    <w:rsid w:val="00190DDE"/>
    <w:rsid w:val="0019351C"/>
    <w:rsid w:val="00193C62"/>
    <w:rsid w:val="001973CB"/>
    <w:rsid w:val="001A2EDD"/>
    <w:rsid w:val="001A34F1"/>
    <w:rsid w:val="001A4033"/>
    <w:rsid w:val="001A674B"/>
    <w:rsid w:val="001B525C"/>
    <w:rsid w:val="001B5DC7"/>
    <w:rsid w:val="001C5117"/>
    <w:rsid w:val="001D4AED"/>
    <w:rsid w:val="001D4D21"/>
    <w:rsid w:val="001D5222"/>
    <w:rsid w:val="001D7622"/>
    <w:rsid w:val="001E2DAF"/>
    <w:rsid w:val="001E7D2F"/>
    <w:rsid w:val="001F34EF"/>
    <w:rsid w:val="002003CE"/>
    <w:rsid w:val="00201D99"/>
    <w:rsid w:val="00204056"/>
    <w:rsid w:val="00216CE3"/>
    <w:rsid w:val="00222B17"/>
    <w:rsid w:val="00224B7F"/>
    <w:rsid w:val="0022750D"/>
    <w:rsid w:val="002304F7"/>
    <w:rsid w:val="00234BCF"/>
    <w:rsid w:val="00237DAA"/>
    <w:rsid w:val="00237DF0"/>
    <w:rsid w:val="002416BA"/>
    <w:rsid w:val="00241A11"/>
    <w:rsid w:val="00243C35"/>
    <w:rsid w:val="00244F22"/>
    <w:rsid w:val="002533C8"/>
    <w:rsid w:val="00253C74"/>
    <w:rsid w:val="002561D4"/>
    <w:rsid w:val="00257136"/>
    <w:rsid w:val="00257E8C"/>
    <w:rsid w:val="00260167"/>
    <w:rsid w:val="00260915"/>
    <w:rsid w:val="002630B3"/>
    <w:rsid w:val="0026513A"/>
    <w:rsid w:val="00265F1A"/>
    <w:rsid w:val="00272ABC"/>
    <w:rsid w:val="00272BCC"/>
    <w:rsid w:val="00281CF8"/>
    <w:rsid w:val="00286B89"/>
    <w:rsid w:val="00290C5B"/>
    <w:rsid w:val="002952B6"/>
    <w:rsid w:val="00296E8B"/>
    <w:rsid w:val="00297867"/>
    <w:rsid w:val="002A134C"/>
    <w:rsid w:val="002A5F98"/>
    <w:rsid w:val="002B122E"/>
    <w:rsid w:val="002B2327"/>
    <w:rsid w:val="002B71DC"/>
    <w:rsid w:val="002C24E3"/>
    <w:rsid w:val="002C654B"/>
    <w:rsid w:val="002D181D"/>
    <w:rsid w:val="002D1ECC"/>
    <w:rsid w:val="002D7275"/>
    <w:rsid w:val="002E39E6"/>
    <w:rsid w:val="002E46DF"/>
    <w:rsid w:val="002E6BD0"/>
    <w:rsid w:val="002F1C45"/>
    <w:rsid w:val="0030288C"/>
    <w:rsid w:val="0031562F"/>
    <w:rsid w:val="003203B5"/>
    <w:rsid w:val="003208F6"/>
    <w:rsid w:val="00330B86"/>
    <w:rsid w:val="00332A1D"/>
    <w:rsid w:val="003412CD"/>
    <w:rsid w:val="00341CCF"/>
    <w:rsid w:val="00342FF8"/>
    <w:rsid w:val="0034427F"/>
    <w:rsid w:val="00345492"/>
    <w:rsid w:val="003467EE"/>
    <w:rsid w:val="00350DB8"/>
    <w:rsid w:val="0035730F"/>
    <w:rsid w:val="00357A19"/>
    <w:rsid w:val="003626B2"/>
    <w:rsid w:val="00362F29"/>
    <w:rsid w:val="00372434"/>
    <w:rsid w:val="00376772"/>
    <w:rsid w:val="003801AA"/>
    <w:rsid w:val="003832F7"/>
    <w:rsid w:val="0038717A"/>
    <w:rsid w:val="00392A5C"/>
    <w:rsid w:val="003950F9"/>
    <w:rsid w:val="0039610A"/>
    <w:rsid w:val="003A0F89"/>
    <w:rsid w:val="003A42E2"/>
    <w:rsid w:val="003B0428"/>
    <w:rsid w:val="003B2657"/>
    <w:rsid w:val="003B28C2"/>
    <w:rsid w:val="003B54D3"/>
    <w:rsid w:val="003C3D7C"/>
    <w:rsid w:val="003C5AAC"/>
    <w:rsid w:val="003C6808"/>
    <w:rsid w:val="003D14D6"/>
    <w:rsid w:val="003D35D1"/>
    <w:rsid w:val="003E4A8E"/>
    <w:rsid w:val="003E4D9F"/>
    <w:rsid w:val="003E7D17"/>
    <w:rsid w:val="003F231E"/>
    <w:rsid w:val="003F3D63"/>
    <w:rsid w:val="003F5350"/>
    <w:rsid w:val="003F5F2C"/>
    <w:rsid w:val="003F7C58"/>
    <w:rsid w:val="00405CA3"/>
    <w:rsid w:val="0041002E"/>
    <w:rsid w:val="00411145"/>
    <w:rsid w:val="00415A94"/>
    <w:rsid w:val="00422583"/>
    <w:rsid w:val="0042451E"/>
    <w:rsid w:val="00432078"/>
    <w:rsid w:val="00443C37"/>
    <w:rsid w:val="00450311"/>
    <w:rsid w:val="00450A41"/>
    <w:rsid w:val="004560A3"/>
    <w:rsid w:val="00456237"/>
    <w:rsid w:val="004635F1"/>
    <w:rsid w:val="0046477D"/>
    <w:rsid w:val="00466D3A"/>
    <w:rsid w:val="00467355"/>
    <w:rsid w:val="00470B33"/>
    <w:rsid w:val="00476F7A"/>
    <w:rsid w:val="00477D28"/>
    <w:rsid w:val="004816AD"/>
    <w:rsid w:val="00481761"/>
    <w:rsid w:val="00485299"/>
    <w:rsid w:val="0049656A"/>
    <w:rsid w:val="004A0879"/>
    <w:rsid w:val="004A2F50"/>
    <w:rsid w:val="004A55EC"/>
    <w:rsid w:val="004B1423"/>
    <w:rsid w:val="004B41C3"/>
    <w:rsid w:val="004B6087"/>
    <w:rsid w:val="004B6C99"/>
    <w:rsid w:val="004B6E3F"/>
    <w:rsid w:val="004B6F93"/>
    <w:rsid w:val="004B78F9"/>
    <w:rsid w:val="004D06D7"/>
    <w:rsid w:val="004D0765"/>
    <w:rsid w:val="004D1BC0"/>
    <w:rsid w:val="004D1DF5"/>
    <w:rsid w:val="004D4EF7"/>
    <w:rsid w:val="004D705C"/>
    <w:rsid w:val="004E7011"/>
    <w:rsid w:val="004F2AE6"/>
    <w:rsid w:val="004F62BB"/>
    <w:rsid w:val="00504052"/>
    <w:rsid w:val="00504146"/>
    <w:rsid w:val="00504928"/>
    <w:rsid w:val="00515A41"/>
    <w:rsid w:val="00516C1E"/>
    <w:rsid w:val="00517DD2"/>
    <w:rsid w:val="00522DA1"/>
    <w:rsid w:val="00523007"/>
    <w:rsid w:val="00542749"/>
    <w:rsid w:val="00542A9B"/>
    <w:rsid w:val="00542C69"/>
    <w:rsid w:val="00550D28"/>
    <w:rsid w:val="00552390"/>
    <w:rsid w:val="00553A2D"/>
    <w:rsid w:val="00553D15"/>
    <w:rsid w:val="005661F1"/>
    <w:rsid w:val="00570530"/>
    <w:rsid w:val="00573FD9"/>
    <w:rsid w:val="00574954"/>
    <w:rsid w:val="00575165"/>
    <w:rsid w:val="005753B2"/>
    <w:rsid w:val="00581949"/>
    <w:rsid w:val="00583860"/>
    <w:rsid w:val="00584412"/>
    <w:rsid w:val="005856C4"/>
    <w:rsid w:val="00586C3D"/>
    <w:rsid w:val="00591EB9"/>
    <w:rsid w:val="00593374"/>
    <w:rsid w:val="00596A08"/>
    <w:rsid w:val="005A08F5"/>
    <w:rsid w:val="005A4C48"/>
    <w:rsid w:val="005A57CC"/>
    <w:rsid w:val="005A69DE"/>
    <w:rsid w:val="005A7360"/>
    <w:rsid w:val="005B07FD"/>
    <w:rsid w:val="005B3924"/>
    <w:rsid w:val="005B427A"/>
    <w:rsid w:val="005B79F9"/>
    <w:rsid w:val="005C0EA4"/>
    <w:rsid w:val="005C1F52"/>
    <w:rsid w:val="005C2F3C"/>
    <w:rsid w:val="005C5CEA"/>
    <w:rsid w:val="005D2800"/>
    <w:rsid w:val="005E09EB"/>
    <w:rsid w:val="005E1DE6"/>
    <w:rsid w:val="005E2D19"/>
    <w:rsid w:val="005E6EB2"/>
    <w:rsid w:val="005F27E9"/>
    <w:rsid w:val="005F6C24"/>
    <w:rsid w:val="00600745"/>
    <w:rsid w:val="006050E5"/>
    <w:rsid w:val="00605B6C"/>
    <w:rsid w:val="00610304"/>
    <w:rsid w:val="00612C88"/>
    <w:rsid w:val="0061319E"/>
    <w:rsid w:val="006137A0"/>
    <w:rsid w:val="00615F4E"/>
    <w:rsid w:val="00622BC3"/>
    <w:rsid w:val="006279AB"/>
    <w:rsid w:val="00631F21"/>
    <w:rsid w:val="00631F55"/>
    <w:rsid w:val="0063208F"/>
    <w:rsid w:val="00632783"/>
    <w:rsid w:val="00633705"/>
    <w:rsid w:val="00634CC6"/>
    <w:rsid w:val="00636BA5"/>
    <w:rsid w:val="006406E4"/>
    <w:rsid w:val="006510D9"/>
    <w:rsid w:val="00652B9C"/>
    <w:rsid w:val="00653BAD"/>
    <w:rsid w:val="00656F5B"/>
    <w:rsid w:val="00663C2D"/>
    <w:rsid w:val="00665862"/>
    <w:rsid w:val="00666A8B"/>
    <w:rsid w:val="006670E4"/>
    <w:rsid w:val="006676F7"/>
    <w:rsid w:val="006734B6"/>
    <w:rsid w:val="00675065"/>
    <w:rsid w:val="006772DB"/>
    <w:rsid w:val="00677C23"/>
    <w:rsid w:val="00684ED8"/>
    <w:rsid w:val="006857FE"/>
    <w:rsid w:val="0068698E"/>
    <w:rsid w:val="006911DD"/>
    <w:rsid w:val="006925FA"/>
    <w:rsid w:val="006928FA"/>
    <w:rsid w:val="006B1BC2"/>
    <w:rsid w:val="006B1C9D"/>
    <w:rsid w:val="006C576D"/>
    <w:rsid w:val="006C6452"/>
    <w:rsid w:val="006C6D1F"/>
    <w:rsid w:val="006D04AD"/>
    <w:rsid w:val="006D07B8"/>
    <w:rsid w:val="006D135B"/>
    <w:rsid w:val="006D1555"/>
    <w:rsid w:val="006E05C3"/>
    <w:rsid w:val="006E0714"/>
    <w:rsid w:val="006E48CC"/>
    <w:rsid w:val="006E5389"/>
    <w:rsid w:val="006E61F8"/>
    <w:rsid w:val="006E6708"/>
    <w:rsid w:val="006F271A"/>
    <w:rsid w:val="006F6822"/>
    <w:rsid w:val="00700B50"/>
    <w:rsid w:val="00702068"/>
    <w:rsid w:val="00706A88"/>
    <w:rsid w:val="007101FC"/>
    <w:rsid w:val="007138B1"/>
    <w:rsid w:val="007170A8"/>
    <w:rsid w:val="007222D9"/>
    <w:rsid w:val="00722D7B"/>
    <w:rsid w:val="00727FE8"/>
    <w:rsid w:val="00733052"/>
    <w:rsid w:val="00734BD4"/>
    <w:rsid w:val="007408B4"/>
    <w:rsid w:val="00741256"/>
    <w:rsid w:val="007424E1"/>
    <w:rsid w:val="007427EA"/>
    <w:rsid w:val="0074507B"/>
    <w:rsid w:val="00745874"/>
    <w:rsid w:val="007479DD"/>
    <w:rsid w:val="0075044A"/>
    <w:rsid w:val="00752ABA"/>
    <w:rsid w:val="00753AFA"/>
    <w:rsid w:val="0075534B"/>
    <w:rsid w:val="00756FD7"/>
    <w:rsid w:val="00760409"/>
    <w:rsid w:val="00761487"/>
    <w:rsid w:val="00761D93"/>
    <w:rsid w:val="00762842"/>
    <w:rsid w:val="00762B53"/>
    <w:rsid w:val="00766930"/>
    <w:rsid w:val="007678E2"/>
    <w:rsid w:val="00773654"/>
    <w:rsid w:val="00780272"/>
    <w:rsid w:val="00783710"/>
    <w:rsid w:val="007846DC"/>
    <w:rsid w:val="007A4CFA"/>
    <w:rsid w:val="007A7C60"/>
    <w:rsid w:val="007B0F40"/>
    <w:rsid w:val="007B4DB6"/>
    <w:rsid w:val="007B6212"/>
    <w:rsid w:val="007C0BF7"/>
    <w:rsid w:val="007C46A1"/>
    <w:rsid w:val="007C5164"/>
    <w:rsid w:val="007D138A"/>
    <w:rsid w:val="007D1F7F"/>
    <w:rsid w:val="007D3E9B"/>
    <w:rsid w:val="007E062F"/>
    <w:rsid w:val="007E0A45"/>
    <w:rsid w:val="007E41B5"/>
    <w:rsid w:val="007F1703"/>
    <w:rsid w:val="007F244C"/>
    <w:rsid w:val="008046F9"/>
    <w:rsid w:val="008048AC"/>
    <w:rsid w:val="00810369"/>
    <w:rsid w:val="0081619D"/>
    <w:rsid w:val="00816C48"/>
    <w:rsid w:val="008218B4"/>
    <w:rsid w:val="00826CA1"/>
    <w:rsid w:val="0083121D"/>
    <w:rsid w:val="008341F6"/>
    <w:rsid w:val="00834A66"/>
    <w:rsid w:val="00841A12"/>
    <w:rsid w:val="00844470"/>
    <w:rsid w:val="0084540D"/>
    <w:rsid w:val="008478AB"/>
    <w:rsid w:val="00850909"/>
    <w:rsid w:val="00853696"/>
    <w:rsid w:val="00853D82"/>
    <w:rsid w:val="00855D08"/>
    <w:rsid w:val="00856394"/>
    <w:rsid w:val="0086050C"/>
    <w:rsid w:val="00861B24"/>
    <w:rsid w:val="00867715"/>
    <w:rsid w:val="00872D51"/>
    <w:rsid w:val="008747E5"/>
    <w:rsid w:val="00876DA8"/>
    <w:rsid w:val="008825CF"/>
    <w:rsid w:val="00887C9C"/>
    <w:rsid w:val="008931B4"/>
    <w:rsid w:val="00893DC6"/>
    <w:rsid w:val="00894205"/>
    <w:rsid w:val="008A42D5"/>
    <w:rsid w:val="008A67E5"/>
    <w:rsid w:val="008B00BB"/>
    <w:rsid w:val="008B19D3"/>
    <w:rsid w:val="008B438F"/>
    <w:rsid w:val="008B52B0"/>
    <w:rsid w:val="008B5AA4"/>
    <w:rsid w:val="008C0B04"/>
    <w:rsid w:val="008C29C2"/>
    <w:rsid w:val="008C2A7E"/>
    <w:rsid w:val="008C6DE3"/>
    <w:rsid w:val="008E522B"/>
    <w:rsid w:val="008E66A6"/>
    <w:rsid w:val="008F0D43"/>
    <w:rsid w:val="008F0FC5"/>
    <w:rsid w:val="008F2147"/>
    <w:rsid w:val="008F4E25"/>
    <w:rsid w:val="008F5BFF"/>
    <w:rsid w:val="008F5EAA"/>
    <w:rsid w:val="008F7C4F"/>
    <w:rsid w:val="009047F9"/>
    <w:rsid w:val="00915159"/>
    <w:rsid w:val="009171BD"/>
    <w:rsid w:val="0092162C"/>
    <w:rsid w:val="00923BAA"/>
    <w:rsid w:val="009262E8"/>
    <w:rsid w:val="00930D1E"/>
    <w:rsid w:val="00932B10"/>
    <w:rsid w:val="0094221E"/>
    <w:rsid w:val="00942D29"/>
    <w:rsid w:val="0095048C"/>
    <w:rsid w:val="00956073"/>
    <w:rsid w:val="00973ACD"/>
    <w:rsid w:val="00976FF9"/>
    <w:rsid w:val="00977757"/>
    <w:rsid w:val="00980CC9"/>
    <w:rsid w:val="009837C1"/>
    <w:rsid w:val="00984F80"/>
    <w:rsid w:val="009910BC"/>
    <w:rsid w:val="0099132F"/>
    <w:rsid w:val="00993B19"/>
    <w:rsid w:val="009A3E41"/>
    <w:rsid w:val="009A68F1"/>
    <w:rsid w:val="009B6261"/>
    <w:rsid w:val="009B687D"/>
    <w:rsid w:val="009C1415"/>
    <w:rsid w:val="009C1B53"/>
    <w:rsid w:val="009C1C85"/>
    <w:rsid w:val="009C6CC5"/>
    <w:rsid w:val="009D4843"/>
    <w:rsid w:val="009D5DB2"/>
    <w:rsid w:val="009E39C6"/>
    <w:rsid w:val="009E6177"/>
    <w:rsid w:val="009F2BFA"/>
    <w:rsid w:val="009F3263"/>
    <w:rsid w:val="009F759A"/>
    <w:rsid w:val="00A008D3"/>
    <w:rsid w:val="00A042A2"/>
    <w:rsid w:val="00A07F34"/>
    <w:rsid w:val="00A11310"/>
    <w:rsid w:val="00A12ABE"/>
    <w:rsid w:val="00A13D88"/>
    <w:rsid w:val="00A156FA"/>
    <w:rsid w:val="00A23D1B"/>
    <w:rsid w:val="00A244A1"/>
    <w:rsid w:val="00A24C00"/>
    <w:rsid w:val="00A40D65"/>
    <w:rsid w:val="00A427B3"/>
    <w:rsid w:val="00A57524"/>
    <w:rsid w:val="00A57D37"/>
    <w:rsid w:val="00A64FDB"/>
    <w:rsid w:val="00A67911"/>
    <w:rsid w:val="00A71625"/>
    <w:rsid w:val="00A76944"/>
    <w:rsid w:val="00A80BB8"/>
    <w:rsid w:val="00A85689"/>
    <w:rsid w:val="00A9303C"/>
    <w:rsid w:val="00A97886"/>
    <w:rsid w:val="00AA2C76"/>
    <w:rsid w:val="00AB06B3"/>
    <w:rsid w:val="00AB13E8"/>
    <w:rsid w:val="00AB1FBF"/>
    <w:rsid w:val="00AB4D63"/>
    <w:rsid w:val="00AB6198"/>
    <w:rsid w:val="00AB628F"/>
    <w:rsid w:val="00AC1ABD"/>
    <w:rsid w:val="00AC666F"/>
    <w:rsid w:val="00AD1326"/>
    <w:rsid w:val="00AD48F4"/>
    <w:rsid w:val="00AE266D"/>
    <w:rsid w:val="00AE4AFB"/>
    <w:rsid w:val="00AE5835"/>
    <w:rsid w:val="00AF0D6A"/>
    <w:rsid w:val="00AF2FC2"/>
    <w:rsid w:val="00AF4BD7"/>
    <w:rsid w:val="00B01D66"/>
    <w:rsid w:val="00B03440"/>
    <w:rsid w:val="00B317F6"/>
    <w:rsid w:val="00B36C6F"/>
    <w:rsid w:val="00B42C58"/>
    <w:rsid w:val="00B47A13"/>
    <w:rsid w:val="00B600FC"/>
    <w:rsid w:val="00B61749"/>
    <w:rsid w:val="00B66C9F"/>
    <w:rsid w:val="00B671E4"/>
    <w:rsid w:val="00B71060"/>
    <w:rsid w:val="00B71655"/>
    <w:rsid w:val="00B723C9"/>
    <w:rsid w:val="00B72FDB"/>
    <w:rsid w:val="00B75EEA"/>
    <w:rsid w:val="00B7641C"/>
    <w:rsid w:val="00B80199"/>
    <w:rsid w:val="00B8036A"/>
    <w:rsid w:val="00B80595"/>
    <w:rsid w:val="00B8282D"/>
    <w:rsid w:val="00B9328F"/>
    <w:rsid w:val="00B93490"/>
    <w:rsid w:val="00BA53E3"/>
    <w:rsid w:val="00BB105B"/>
    <w:rsid w:val="00BB221B"/>
    <w:rsid w:val="00BB6DF4"/>
    <w:rsid w:val="00BB7E17"/>
    <w:rsid w:val="00BC18A1"/>
    <w:rsid w:val="00BC5585"/>
    <w:rsid w:val="00BC5706"/>
    <w:rsid w:val="00BC6F2F"/>
    <w:rsid w:val="00BD6870"/>
    <w:rsid w:val="00BD7763"/>
    <w:rsid w:val="00BE0701"/>
    <w:rsid w:val="00BE4EDD"/>
    <w:rsid w:val="00BE619D"/>
    <w:rsid w:val="00BE660D"/>
    <w:rsid w:val="00BF4C2F"/>
    <w:rsid w:val="00BF5E23"/>
    <w:rsid w:val="00BF62AD"/>
    <w:rsid w:val="00C072EA"/>
    <w:rsid w:val="00C1201E"/>
    <w:rsid w:val="00C13B79"/>
    <w:rsid w:val="00C16E98"/>
    <w:rsid w:val="00C21328"/>
    <w:rsid w:val="00C219D2"/>
    <w:rsid w:val="00C22793"/>
    <w:rsid w:val="00C23E9B"/>
    <w:rsid w:val="00C25B2C"/>
    <w:rsid w:val="00C27ECE"/>
    <w:rsid w:val="00C327AE"/>
    <w:rsid w:val="00C337C1"/>
    <w:rsid w:val="00C34291"/>
    <w:rsid w:val="00C34F59"/>
    <w:rsid w:val="00C35BC9"/>
    <w:rsid w:val="00C41136"/>
    <w:rsid w:val="00C4243D"/>
    <w:rsid w:val="00C44588"/>
    <w:rsid w:val="00C44E4F"/>
    <w:rsid w:val="00C501CD"/>
    <w:rsid w:val="00C54264"/>
    <w:rsid w:val="00C63B4E"/>
    <w:rsid w:val="00C654B8"/>
    <w:rsid w:val="00C67CAF"/>
    <w:rsid w:val="00C703D7"/>
    <w:rsid w:val="00C71FDA"/>
    <w:rsid w:val="00C733F4"/>
    <w:rsid w:val="00C73631"/>
    <w:rsid w:val="00C76770"/>
    <w:rsid w:val="00C768C0"/>
    <w:rsid w:val="00C816B1"/>
    <w:rsid w:val="00C81C96"/>
    <w:rsid w:val="00C83A6D"/>
    <w:rsid w:val="00C92D4B"/>
    <w:rsid w:val="00C93C98"/>
    <w:rsid w:val="00CA1374"/>
    <w:rsid w:val="00CA681E"/>
    <w:rsid w:val="00CA70CE"/>
    <w:rsid w:val="00CB2315"/>
    <w:rsid w:val="00CB5B74"/>
    <w:rsid w:val="00CC18F8"/>
    <w:rsid w:val="00CC21E2"/>
    <w:rsid w:val="00CC50F9"/>
    <w:rsid w:val="00CC5F69"/>
    <w:rsid w:val="00CD7A90"/>
    <w:rsid w:val="00CE24D0"/>
    <w:rsid w:val="00CF1E25"/>
    <w:rsid w:val="00CF3CC0"/>
    <w:rsid w:val="00D00F2A"/>
    <w:rsid w:val="00D10ABA"/>
    <w:rsid w:val="00D16759"/>
    <w:rsid w:val="00D1739B"/>
    <w:rsid w:val="00D2228D"/>
    <w:rsid w:val="00D30B5C"/>
    <w:rsid w:val="00D34189"/>
    <w:rsid w:val="00D459B2"/>
    <w:rsid w:val="00D467C2"/>
    <w:rsid w:val="00D516F3"/>
    <w:rsid w:val="00D541D2"/>
    <w:rsid w:val="00D54BC5"/>
    <w:rsid w:val="00D57498"/>
    <w:rsid w:val="00D6469E"/>
    <w:rsid w:val="00D8103E"/>
    <w:rsid w:val="00D81218"/>
    <w:rsid w:val="00D854A6"/>
    <w:rsid w:val="00D8706D"/>
    <w:rsid w:val="00D8742B"/>
    <w:rsid w:val="00D876CF"/>
    <w:rsid w:val="00D911C4"/>
    <w:rsid w:val="00D91604"/>
    <w:rsid w:val="00D952AE"/>
    <w:rsid w:val="00D96DF9"/>
    <w:rsid w:val="00DA400B"/>
    <w:rsid w:val="00DA5482"/>
    <w:rsid w:val="00DA6562"/>
    <w:rsid w:val="00DC1065"/>
    <w:rsid w:val="00DC6F8C"/>
    <w:rsid w:val="00DE144B"/>
    <w:rsid w:val="00DE544E"/>
    <w:rsid w:val="00DE5EA0"/>
    <w:rsid w:val="00DE7C2E"/>
    <w:rsid w:val="00E013EB"/>
    <w:rsid w:val="00E03E57"/>
    <w:rsid w:val="00E11CDF"/>
    <w:rsid w:val="00E219A4"/>
    <w:rsid w:val="00E24974"/>
    <w:rsid w:val="00E2626A"/>
    <w:rsid w:val="00E40C53"/>
    <w:rsid w:val="00E43B6E"/>
    <w:rsid w:val="00E50C93"/>
    <w:rsid w:val="00E5304F"/>
    <w:rsid w:val="00E543B9"/>
    <w:rsid w:val="00E55EBA"/>
    <w:rsid w:val="00E57CFF"/>
    <w:rsid w:val="00E664BA"/>
    <w:rsid w:val="00E678B8"/>
    <w:rsid w:val="00E75F10"/>
    <w:rsid w:val="00E80BC6"/>
    <w:rsid w:val="00E8276C"/>
    <w:rsid w:val="00E852E8"/>
    <w:rsid w:val="00E864FD"/>
    <w:rsid w:val="00E86BC9"/>
    <w:rsid w:val="00E92205"/>
    <w:rsid w:val="00E92E89"/>
    <w:rsid w:val="00EA0255"/>
    <w:rsid w:val="00EA1664"/>
    <w:rsid w:val="00EA4192"/>
    <w:rsid w:val="00EA7D1B"/>
    <w:rsid w:val="00EB2D22"/>
    <w:rsid w:val="00EB5759"/>
    <w:rsid w:val="00EB695B"/>
    <w:rsid w:val="00ED5F0C"/>
    <w:rsid w:val="00EE1457"/>
    <w:rsid w:val="00EE1E3A"/>
    <w:rsid w:val="00EE31D2"/>
    <w:rsid w:val="00EE342E"/>
    <w:rsid w:val="00EE429F"/>
    <w:rsid w:val="00EF59B4"/>
    <w:rsid w:val="00EF59B6"/>
    <w:rsid w:val="00F00473"/>
    <w:rsid w:val="00F014D7"/>
    <w:rsid w:val="00F07F25"/>
    <w:rsid w:val="00F10C31"/>
    <w:rsid w:val="00F128E0"/>
    <w:rsid w:val="00F12993"/>
    <w:rsid w:val="00F12A11"/>
    <w:rsid w:val="00F149E6"/>
    <w:rsid w:val="00F24DA7"/>
    <w:rsid w:val="00F256B6"/>
    <w:rsid w:val="00F304D3"/>
    <w:rsid w:val="00F3290B"/>
    <w:rsid w:val="00F32C15"/>
    <w:rsid w:val="00F37C8D"/>
    <w:rsid w:val="00F37FA3"/>
    <w:rsid w:val="00F40C16"/>
    <w:rsid w:val="00F4104F"/>
    <w:rsid w:val="00F44142"/>
    <w:rsid w:val="00F44851"/>
    <w:rsid w:val="00F670A3"/>
    <w:rsid w:val="00F731DD"/>
    <w:rsid w:val="00F8629D"/>
    <w:rsid w:val="00F875A6"/>
    <w:rsid w:val="00FA03D6"/>
    <w:rsid w:val="00FB17DA"/>
    <w:rsid w:val="00FB268D"/>
    <w:rsid w:val="00FC0363"/>
    <w:rsid w:val="00FC22D8"/>
    <w:rsid w:val="00FC4786"/>
    <w:rsid w:val="00FD162D"/>
    <w:rsid w:val="00FD3022"/>
    <w:rsid w:val="00FD77E7"/>
    <w:rsid w:val="00FE30D7"/>
    <w:rsid w:val="00FE52AD"/>
    <w:rsid w:val="00FE6A4B"/>
    <w:rsid w:val="00FF0A7B"/>
    <w:rsid w:val="00FF0EF2"/>
    <w:rsid w:val="00FF33C5"/>
    <w:rsid w:val="00FF3662"/>
    <w:rsid w:val="00FF4F1E"/>
    <w:rsid w:val="00FF7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78DE8AE"/>
  <w15:docId w15:val="{5D29EEA7-7247-44F6-93FE-00363C60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74B"/>
  </w:style>
  <w:style w:type="paragraph" w:styleId="Heading2">
    <w:name w:val="heading 2"/>
    <w:basedOn w:val="Normal"/>
    <w:next w:val="Normal"/>
    <w:link w:val="Heading2Char"/>
    <w:uiPriority w:val="9"/>
    <w:unhideWhenUsed/>
    <w:qFormat/>
    <w:rsid w:val="009F759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F759A"/>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aliases w:val="Bullet List,FooterText,List Paragraph1,numbered,Paragraphe de liste1,Foot,Bullets,Bulletr List Paragraph,列出段落,列出段落1,List Paragraph2,List Paragraph21,Listeafsnit1,Parágrafo da Lista1,Párrafo de lista1,リスト段落1,Bullet list,List Paragraph11,?"/>
    <w:basedOn w:val="Normal"/>
    <w:link w:val="ListParagraphChar"/>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Title">
    <w:name w:val="Title"/>
    <w:basedOn w:val="Normal"/>
    <w:next w:val="Normal"/>
    <w:link w:val="TitleChar"/>
    <w:uiPriority w:val="10"/>
    <w:qFormat/>
    <w:rsid w:val="00516C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C1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41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136"/>
    <w:rPr>
      <w:rFonts w:ascii="Segoe UI" w:hAnsi="Segoe UI" w:cs="Segoe UI"/>
      <w:sz w:val="18"/>
      <w:szCs w:val="18"/>
    </w:rPr>
  </w:style>
  <w:style w:type="character" w:styleId="CommentReference">
    <w:name w:val="annotation reference"/>
    <w:basedOn w:val="DefaultParagraphFont"/>
    <w:uiPriority w:val="99"/>
    <w:semiHidden/>
    <w:unhideWhenUsed/>
    <w:rsid w:val="00243C35"/>
    <w:rPr>
      <w:sz w:val="16"/>
      <w:szCs w:val="16"/>
    </w:rPr>
  </w:style>
  <w:style w:type="paragraph" w:styleId="CommentText">
    <w:name w:val="annotation text"/>
    <w:basedOn w:val="Normal"/>
    <w:link w:val="CommentTextChar"/>
    <w:uiPriority w:val="99"/>
    <w:unhideWhenUsed/>
    <w:rsid w:val="00243C35"/>
    <w:pPr>
      <w:spacing w:line="240" w:lineRule="auto"/>
    </w:pPr>
    <w:rPr>
      <w:sz w:val="20"/>
      <w:szCs w:val="20"/>
    </w:rPr>
  </w:style>
  <w:style w:type="character" w:customStyle="1" w:styleId="CommentTextChar">
    <w:name w:val="Comment Text Char"/>
    <w:basedOn w:val="DefaultParagraphFont"/>
    <w:link w:val="CommentText"/>
    <w:uiPriority w:val="99"/>
    <w:rsid w:val="00243C35"/>
    <w:rPr>
      <w:sz w:val="20"/>
      <w:szCs w:val="20"/>
    </w:rPr>
  </w:style>
  <w:style w:type="paragraph" w:styleId="CommentSubject">
    <w:name w:val="annotation subject"/>
    <w:basedOn w:val="CommentText"/>
    <w:next w:val="CommentText"/>
    <w:link w:val="CommentSubjectChar"/>
    <w:uiPriority w:val="99"/>
    <w:semiHidden/>
    <w:unhideWhenUsed/>
    <w:rsid w:val="00243C35"/>
    <w:rPr>
      <w:b/>
      <w:bCs/>
    </w:rPr>
  </w:style>
  <w:style w:type="character" w:customStyle="1" w:styleId="CommentSubjectChar">
    <w:name w:val="Comment Subject Char"/>
    <w:basedOn w:val="CommentTextChar"/>
    <w:link w:val="CommentSubject"/>
    <w:uiPriority w:val="99"/>
    <w:semiHidden/>
    <w:rsid w:val="00243C35"/>
    <w:rPr>
      <w:b/>
      <w:bCs/>
      <w:sz w:val="20"/>
      <w:szCs w:val="20"/>
    </w:rPr>
  </w:style>
  <w:style w:type="paragraph" w:customStyle="1" w:styleId="Default">
    <w:name w:val="Default"/>
    <w:rsid w:val="0001310F"/>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DefaultParagraphFont"/>
    <w:rsid w:val="00F12993"/>
  </w:style>
  <w:style w:type="table" w:customStyle="1" w:styleId="TableGrid27">
    <w:name w:val="Table Grid27"/>
    <w:basedOn w:val="TableNormal"/>
    <w:next w:val="TableGrid"/>
    <w:uiPriority w:val="59"/>
    <w:rsid w:val="008A4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834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5">
    <w:name w:val="Table Grid1415"/>
    <w:basedOn w:val="TableNormal"/>
    <w:next w:val="TableGrid"/>
    <w:uiPriority w:val="59"/>
    <w:rsid w:val="00596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numbered Char,Paragraphe de liste1 Char,Foot Char,Bullets Char,Bulletr List Paragraph Char,列出段落 Char,列出段落1 Char,List Paragraph2 Char,List Paragraph21 Char,Listeafsnit1 Char,? Char"/>
    <w:basedOn w:val="DefaultParagraphFont"/>
    <w:link w:val="ListParagraph"/>
    <w:uiPriority w:val="34"/>
    <w:locked/>
    <w:rsid w:val="005E1DE6"/>
    <w:rPr>
      <w:rFonts w:ascii="Arial" w:hAnsi="Arial"/>
      <w:sz w:val="24"/>
    </w:rPr>
  </w:style>
  <w:style w:type="character" w:customStyle="1" w:styleId="Heading2Char">
    <w:name w:val="Heading 2 Char"/>
    <w:basedOn w:val="DefaultParagraphFont"/>
    <w:link w:val="Heading2"/>
    <w:uiPriority w:val="9"/>
    <w:rsid w:val="009F759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F759A"/>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F731DD"/>
    <w:pPr>
      <w:spacing w:after="0" w:line="240" w:lineRule="auto"/>
    </w:pPr>
  </w:style>
  <w:style w:type="table" w:customStyle="1" w:styleId="TableGrid141">
    <w:name w:val="Table Grid141"/>
    <w:basedOn w:val="TableNormal"/>
    <w:next w:val="TableGrid"/>
    <w:uiPriority w:val="59"/>
    <w:rsid w:val="00893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875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46202">
      <w:bodyDiv w:val="1"/>
      <w:marLeft w:val="0"/>
      <w:marRight w:val="0"/>
      <w:marTop w:val="0"/>
      <w:marBottom w:val="0"/>
      <w:divBdr>
        <w:top w:val="none" w:sz="0" w:space="0" w:color="auto"/>
        <w:left w:val="none" w:sz="0" w:space="0" w:color="auto"/>
        <w:bottom w:val="none" w:sz="0" w:space="0" w:color="auto"/>
        <w:right w:val="none" w:sz="0" w:space="0" w:color="auto"/>
      </w:divBdr>
    </w:div>
    <w:div w:id="175536054">
      <w:bodyDiv w:val="1"/>
      <w:marLeft w:val="0"/>
      <w:marRight w:val="0"/>
      <w:marTop w:val="0"/>
      <w:marBottom w:val="0"/>
      <w:divBdr>
        <w:top w:val="none" w:sz="0" w:space="0" w:color="auto"/>
        <w:left w:val="none" w:sz="0" w:space="0" w:color="auto"/>
        <w:bottom w:val="none" w:sz="0" w:space="0" w:color="auto"/>
        <w:right w:val="none" w:sz="0" w:space="0" w:color="auto"/>
      </w:divBdr>
    </w:div>
    <w:div w:id="201483357">
      <w:bodyDiv w:val="1"/>
      <w:marLeft w:val="0"/>
      <w:marRight w:val="0"/>
      <w:marTop w:val="0"/>
      <w:marBottom w:val="0"/>
      <w:divBdr>
        <w:top w:val="none" w:sz="0" w:space="0" w:color="auto"/>
        <w:left w:val="none" w:sz="0" w:space="0" w:color="auto"/>
        <w:bottom w:val="none" w:sz="0" w:space="0" w:color="auto"/>
        <w:right w:val="none" w:sz="0" w:space="0" w:color="auto"/>
      </w:divBdr>
    </w:div>
    <w:div w:id="278338977">
      <w:bodyDiv w:val="1"/>
      <w:marLeft w:val="0"/>
      <w:marRight w:val="0"/>
      <w:marTop w:val="0"/>
      <w:marBottom w:val="0"/>
      <w:divBdr>
        <w:top w:val="none" w:sz="0" w:space="0" w:color="auto"/>
        <w:left w:val="none" w:sz="0" w:space="0" w:color="auto"/>
        <w:bottom w:val="none" w:sz="0" w:space="0" w:color="auto"/>
        <w:right w:val="none" w:sz="0" w:space="0" w:color="auto"/>
      </w:divBdr>
    </w:div>
    <w:div w:id="346517434">
      <w:bodyDiv w:val="1"/>
      <w:marLeft w:val="0"/>
      <w:marRight w:val="0"/>
      <w:marTop w:val="0"/>
      <w:marBottom w:val="0"/>
      <w:divBdr>
        <w:top w:val="none" w:sz="0" w:space="0" w:color="auto"/>
        <w:left w:val="none" w:sz="0" w:space="0" w:color="auto"/>
        <w:bottom w:val="none" w:sz="0" w:space="0" w:color="auto"/>
        <w:right w:val="none" w:sz="0" w:space="0" w:color="auto"/>
      </w:divBdr>
    </w:div>
    <w:div w:id="352539619">
      <w:bodyDiv w:val="1"/>
      <w:marLeft w:val="0"/>
      <w:marRight w:val="0"/>
      <w:marTop w:val="0"/>
      <w:marBottom w:val="0"/>
      <w:divBdr>
        <w:top w:val="none" w:sz="0" w:space="0" w:color="auto"/>
        <w:left w:val="none" w:sz="0" w:space="0" w:color="auto"/>
        <w:bottom w:val="none" w:sz="0" w:space="0" w:color="auto"/>
        <w:right w:val="none" w:sz="0" w:space="0" w:color="auto"/>
      </w:divBdr>
    </w:div>
    <w:div w:id="376662633">
      <w:bodyDiv w:val="1"/>
      <w:marLeft w:val="0"/>
      <w:marRight w:val="0"/>
      <w:marTop w:val="0"/>
      <w:marBottom w:val="0"/>
      <w:divBdr>
        <w:top w:val="none" w:sz="0" w:space="0" w:color="auto"/>
        <w:left w:val="none" w:sz="0" w:space="0" w:color="auto"/>
        <w:bottom w:val="none" w:sz="0" w:space="0" w:color="auto"/>
        <w:right w:val="none" w:sz="0" w:space="0" w:color="auto"/>
      </w:divBdr>
    </w:div>
    <w:div w:id="463667222">
      <w:bodyDiv w:val="1"/>
      <w:marLeft w:val="0"/>
      <w:marRight w:val="0"/>
      <w:marTop w:val="0"/>
      <w:marBottom w:val="0"/>
      <w:divBdr>
        <w:top w:val="none" w:sz="0" w:space="0" w:color="auto"/>
        <w:left w:val="none" w:sz="0" w:space="0" w:color="auto"/>
        <w:bottom w:val="none" w:sz="0" w:space="0" w:color="auto"/>
        <w:right w:val="none" w:sz="0" w:space="0" w:color="auto"/>
      </w:divBdr>
    </w:div>
    <w:div w:id="474688067">
      <w:bodyDiv w:val="1"/>
      <w:marLeft w:val="0"/>
      <w:marRight w:val="0"/>
      <w:marTop w:val="0"/>
      <w:marBottom w:val="0"/>
      <w:divBdr>
        <w:top w:val="none" w:sz="0" w:space="0" w:color="auto"/>
        <w:left w:val="none" w:sz="0" w:space="0" w:color="auto"/>
        <w:bottom w:val="none" w:sz="0" w:space="0" w:color="auto"/>
        <w:right w:val="none" w:sz="0" w:space="0" w:color="auto"/>
      </w:divBdr>
    </w:div>
    <w:div w:id="488600165">
      <w:bodyDiv w:val="1"/>
      <w:marLeft w:val="0"/>
      <w:marRight w:val="0"/>
      <w:marTop w:val="0"/>
      <w:marBottom w:val="0"/>
      <w:divBdr>
        <w:top w:val="none" w:sz="0" w:space="0" w:color="auto"/>
        <w:left w:val="none" w:sz="0" w:space="0" w:color="auto"/>
        <w:bottom w:val="none" w:sz="0" w:space="0" w:color="auto"/>
        <w:right w:val="none" w:sz="0" w:space="0" w:color="auto"/>
      </w:divBdr>
    </w:div>
    <w:div w:id="507790270">
      <w:bodyDiv w:val="1"/>
      <w:marLeft w:val="0"/>
      <w:marRight w:val="0"/>
      <w:marTop w:val="0"/>
      <w:marBottom w:val="0"/>
      <w:divBdr>
        <w:top w:val="none" w:sz="0" w:space="0" w:color="auto"/>
        <w:left w:val="none" w:sz="0" w:space="0" w:color="auto"/>
        <w:bottom w:val="none" w:sz="0" w:space="0" w:color="auto"/>
        <w:right w:val="none" w:sz="0" w:space="0" w:color="auto"/>
      </w:divBdr>
    </w:div>
    <w:div w:id="552351377">
      <w:bodyDiv w:val="1"/>
      <w:marLeft w:val="0"/>
      <w:marRight w:val="0"/>
      <w:marTop w:val="0"/>
      <w:marBottom w:val="0"/>
      <w:divBdr>
        <w:top w:val="none" w:sz="0" w:space="0" w:color="auto"/>
        <w:left w:val="none" w:sz="0" w:space="0" w:color="auto"/>
        <w:bottom w:val="none" w:sz="0" w:space="0" w:color="auto"/>
        <w:right w:val="none" w:sz="0" w:space="0" w:color="auto"/>
      </w:divBdr>
    </w:div>
    <w:div w:id="559903629">
      <w:bodyDiv w:val="1"/>
      <w:marLeft w:val="0"/>
      <w:marRight w:val="0"/>
      <w:marTop w:val="0"/>
      <w:marBottom w:val="0"/>
      <w:divBdr>
        <w:top w:val="none" w:sz="0" w:space="0" w:color="auto"/>
        <w:left w:val="none" w:sz="0" w:space="0" w:color="auto"/>
        <w:bottom w:val="none" w:sz="0" w:space="0" w:color="auto"/>
        <w:right w:val="none" w:sz="0" w:space="0" w:color="auto"/>
      </w:divBdr>
    </w:div>
    <w:div w:id="579216430">
      <w:bodyDiv w:val="1"/>
      <w:marLeft w:val="0"/>
      <w:marRight w:val="0"/>
      <w:marTop w:val="0"/>
      <w:marBottom w:val="0"/>
      <w:divBdr>
        <w:top w:val="none" w:sz="0" w:space="0" w:color="auto"/>
        <w:left w:val="none" w:sz="0" w:space="0" w:color="auto"/>
        <w:bottom w:val="none" w:sz="0" w:space="0" w:color="auto"/>
        <w:right w:val="none" w:sz="0" w:space="0" w:color="auto"/>
      </w:divBdr>
    </w:div>
    <w:div w:id="655844929">
      <w:bodyDiv w:val="1"/>
      <w:marLeft w:val="0"/>
      <w:marRight w:val="0"/>
      <w:marTop w:val="0"/>
      <w:marBottom w:val="0"/>
      <w:divBdr>
        <w:top w:val="none" w:sz="0" w:space="0" w:color="auto"/>
        <w:left w:val="none" w:sz="0" w:space="0" w:color="auto"/>
        <w:bottom w:val="none" w:sz="0" w:space="0" w:color="auto"/>
        <w:right w:val="none" w:sz="0" w:space="0" w:color="auto"/>
      </w:divBdr>
    </w:div>
    <w:div w:id="764158269">
      <w:bodyDiv w:val="1"/>
      <w:marLeft w:val="0"/>
      <w:marRight w:val="0"/>
      <w:marTop w:val="0"/>
      <w:marBottom w:val="0"/>
      <w:divBdr>
        <w:top w:val="none" w:sz="0" w:space="0" w:color="auto"/>
        <w:left w:val="none" w:sz="0" w:space="0" w:color="auto"/>
        <w:bottom w:val="none" w:sz="0" w:space="0" w:color="auto"/>
        <w:right w:val="none" w:sz="0" w:space="0" w:color="auto"/>
      </w:divBdr>
    </w:div>
    <w:div w:id="809522343">
      <w:bodyDiv w:val="1"/>
      <w:marLeft w:val="0"/>
      <w:marRight w:val="0"/>
      <w:marTop w:val="0"/>
      <w:marBottom w:val="0"/>
      <w:divBdr>
        <w:top w:val="none" w:sz="0" w:space="0" w:color="auto"/>
        <w:left w:val="none" w:sz="0" w:space="0" w:color="auto"/>
        <w:bottom w:val="none" w:sz="0" w:space="0" w:color="auto"/>
        <w:right w:val="none" w:sz="0" w:space="0" w:color="auto"/>
      </w:divBdr>
    </w:div>
    <w:div w:id="864711503">
      <w:bodyDiv w:val="1"/>
      <w:marLeft w:val="0"/>
      <w:marRight w:val="0"/>
      <w:marTop w:val="0"/>
      <w:marBottom w:val="0"/>
      <w:divBdr>
        <w:top w:val="none" w:sz="0" w:space="0" w:color="auto"/>
        <w:left w:val="none" w:sz="0" w:space="0" w:color="auto"/>
        <w:bottom w:val="none" w:sz="0" w:space="0" w:color="auto"/>
        <w:right w:val="none" w:sz="0" w:space="0" w:color="auto"/>
      </w:divBdr>
    </w:div>
    <w:div w:id="885029298">
      <w:bodyDiv w:val="1"/>
      <w:marLeft w:val="0"/>
      <w:marRight w:val="0"/>
      <w:marTop w:val="0"/>
      <w:marBottom w:val="0"/>
      <w:divBdr>
        <w:top w:val="none" w:sz="0" w:space="0" w:color="auto"/>
        <w:left w:val="none" w:sz="0" w:space="0" w:color="auto"/>
        <w:bottom w:val="none" w:sz="0" w:space="0" w:color="auto"/>
        <w:right w:val="none" w:sz="0" w:space="0" w:color="auto"/>
      </w:divBdr>
    </w:div>
    <w:div w:id="920412831">
      <w:bodyDiv w:val="1"/>
      <w:marLeft w:val="0"/>
      <w:marRight w:val="0"/>
      <w:marTop w:val="0"/>
      <w:marBottom w:val="0"/>
      <w:divBdr>
        <w:top w:val="none" w:sz="0" w:space="0" w:color="auto"/>
        <w:left w:val="none" w:sz="0" w:space="0" w:color="auto"/>
        <w:bottom w:val="none" w:sz="0" w:space="0" w:color="auto"/>
        <w:right w:val="none" w:sz="0" w:space="0" w:color="auto"/>
      </w:divBdr>
    </w:div>
    <w:div w:id="1025446730">
      <w:bodyDiv w:val="1"/>
      <w:marLeft w:val="0"/>
      <w:marRight w:val="0"/>
      <w:marTop w:val="0"/>
      <w:marBottom w:val="0"/>
      <w:divBdr>
        <w:top w:val="none" w:sz="0" w:space="0" w:color="auto"/>
        <w:left w:val="none" w:sz="0" w:space="0" w:color="auto"/>
        <w:bottom w:val="none" w:sz="0" w:space="0" w:color="auto"/>
        <w:right w:val="none" w:sz="0" w:space="0" w:color="auto"/>
      </w:divBdr>
    </w:div>
    <w:div w:id="1066680469">
      <w:bodyDiv w:val="1"/>
      <w:marLeft w:val="0"/>
      <w:marRight w:val="0"/>
      <w:marTop w:val="0"/>
      <w:marBottom w:val="0"/>
      <w:divBdr>
        <w:top w:val="none" w:sz="0" w:space="0" w:color="auto"/>
        <w:left w:val="none" w:sz="0" w:space="0" w:color="auto"/>
        <w:bottom w:val="none" w:sz="0" w:space="0" w:color="auto"/>
        <w:right w:val="none" w:sz="0" w:space="0" w:color="auto"/>
      </w:divBdr>
    </w:div>
    <w:div w:id="1073309573">
      <w:bodyDiv w:val="1"/>
      <w:marLeft w:val="0"/>
      <w:marRight w:val="0"/>
      <w:marTop w:val="0"/>
      <w:marBottom w:val="0"/>
      <w:divBdr>
        <w:top w:val="none" w:sz="0" w:space="0" w:color="auto"/>
        <w:left w:val="none" w:sz="0" w:space="0" w:color="auto"/>
        <w:bottom w:val="none" w:sz="0" w:space="0" w:color="auto"/>
        <w:right w:val="none" w:sz="0" w:space="0" w:color="auto"/>
      </w:divBdr>
    </w:div>
    <w:div w:id="1193884111">
      <w:bodyDiv w:val="1"/>
      <w:marLeft w:val="0"/>
      <w:marRight w:val="0"/>
      <w:marTop w:val="0"/>
      <w:marBottom w:val="0"/>
      <w:divBdr>
        <w:top w:val="none" w:sz="0" w:space="0" w:color="auto"/>
        <w:left w:val="none" w:sz="0" w:space="0" w:color="auto"/>
        <w:bottom w:val="none" w:sz="0" w:space="0" w:color="auto"/>
        <w:right w:val="none" w:sz="0" w:space="0" w:color="auto"/>
      </w:divBdr>
    </w:div>
    <w:div w:id="1198852652">
      <w:bodyDiv w:val="1"/>
      <w:marLeft w:val="0"/>
      <w:marRight w:val="0"/>
      <w:marTop w:val="0"/>
      <w:marBottom w:val="0"/>
      <w:divBdr>
        <w:top w:val="none" w:sz="0" w:space="0" w:color="auto"/>
        <w:left w:val="none" w:sz="0" w:space="0" w:color="auto"/>
        <w:bottom w:val="none" w:sz="0" w:space="0" w:color="auto"/>
        <w:right w:val="none" w:sz="0" w:space="0" w:color="auto"/>
      </w:divBdr>
    </w:div>
    <w:div w:id="1210848021">
      <w:bodyDiv w:val="1"/>
      <w:marLeft w:val="0"/>
      <w:marRight w:val="0"/>
      <w:marTop w:val="0"/>
      <w:marBottom w:val="0"/>
      <w:divBdr>
        <w:top w:val="none" w:sz="0" w:space="0" w:color="auto"/>
        <w:left w:val="none" w:sz="0" w:space="0" w:color="auto"/>
        <w:bottom w:val="none" w:sz="0" w:space="0" w:color="auto"/>
        <w:right w:val="none" w:sz="0" w:space="0" w:color="auto"/>
      </w:divBdr>
    </w:div>
    <w:div w:id="1242370737">
      <w:bodyDiv w:val="1"/>
      <w:marLeft w:val="0"/>
      <w:marRight w:val="0"/>
      <w:marTop w:val="0"/>
      <w:marBottom w:val="0"/>
      <w:divBdr>
        <w:top w:val="none" w:sz="0" w:space="0" w:color="auto"/>
        <w:left w:val="none" w:sz="0" w:space="0" w:color="auto"/>
        <w:bottom w:val="none" w:sz="0" w:space="0" w:color="auto"/>
        <w:right w:val="none" w:sz="0" w:space="0" w:color="auto"/>
      </w:divBdr>
    </w:div>
    <w:div w:id="1248659827">
      <w:bodyDiv w:val="1"/>
      <w:marLeft w:val="0"/>
      <w:marRight w:val="0"/>
      <w:marTop w:val="0"/>
      <w:marBottom w:val="0"/>
      <w:divBdr>
        <w:top w:val="none" w:sz="0" w:space="0" w:color="auto"/>
        <w:left w:val="none" w:sz="0" w:space="0" w:color="auto"/>
        <w:bottom w:val="none" w:sz="0" w:space="0" w:color="auto"/>
        <w:right w:val="none" w:sz="0" w:space="0" w:color="auto"/>
      </w:divBdr>
    </w:div>
    <w:div w:id="1300962291">
      <w:bodyDiv w:val="1"/>
      <w:marLeft w:val="0"/>
      <w:marRight w:val="0"/>
      <w:marTop w:val="0"/>
      <w:marBottom w:val="0"/>
      <w:divBdr>
        <w:top w:val="none" w:sz="0" w:space="0" w:color="auto"/>
        <w:left w:val="none" w:sz="0" w:space="0" w:color="auto"/>
        <w:bottom w:val="none" w:sz="0" w:space="0" w:color="auto"/>
        <w:right w:val="none" w:sz="0" w:space="0" w:color="auto"/>
      </w:divBdr>
    </w:div>
    <w:div w:id="1391727907">
      <w:bodyDiv w:val="1"/>
      <w:marLeft w:val="0"/>
      <w:marRight w:val="0"/>
      <w:marTop w:val="0"/>
      <w:marBottom w:val="0"/>
      <w:divBdr>
        <w:top w:val="none" w:sz="0" w:space="0" w:color="auto"/>
        <w:left w:val="none" w:sz="0" w:space="0" w:color="auto"/>
        <w:bottom w:val="none" w:sz="0" w:space="0" w:color="auto"/>
        <w:right w:val="none" w:sz="0" w:space="0" w:color="auto"/>
      </w:divBdr>
    </w:div>
    <w:div w:id="1484128934">
      <w:bodyDiv w:val="1"/>
      <w:marLeft w:val="0"/>
      <w:marRight w:val="0"/>
      <w:marTop w:val="0"/>
      <w:marBottom w:val="0"/>
      <w:divBdr>
        <w:top w:val="none" w:sz="0" w:space="0" w:color="auto"/>
        <w:left w:val="none" w:sz="0" w:space="0" w:color="auto"/>
        <w:bottom w:val="none" w:sz="0" w:space="0" w:color="auto"/>
        <w:right w:val="none" w:sz="0" w:space="0" w:color="auto"/>
      </w:divBdr>
    </w:div>
    <w:div w:id="1501431585">
      <w:bodyDiv w:val="1"/>
      <w:marLeft w:val="0"/>
      <w:marRight w:val="0"/>
      <w:marTop w:val="0"/>
      <w:marBottom w:val="0"/>
      <w:divBdr>
        <w:top w:val="none" w:sz="0" w:space="0" w:color="auto"/>
        <w:left w:val="none" w:sz="0" w:space="0" w:color="auto"/>
        <w:bottom w:val="none" w:sz="0" w:space="0" w:color="auto"/>
        <w:right w:val="none" w:sz="0" w:space="0" w:color="auto"/>
      </w:divBdr>
    </w:div>
    <w:div w:id="1508253593">
      <w:bodyDiv w:val="1"/>
      <w:marLeft w:val="0"/>
      <w:marRight w:val="0"/>
      <w:marTop w:val="0"/>
      <w:marBottom w:val="0"/>
      <w:divBdr>
        <w:top w:val="none" w:sz="0" w:space="0" w:color="auto"/>
        <w:left w:val="none" w:sz="0" w:space="0" w:color="auto"/>
        <w:bottom w:val="none" w:sz="0" w:space="0" w:color="auto"/>
        <w:right w:val="none" w:sz="0" w:space="0" w:color="auto"/>
      </w:divBdr>
    </w:div>
    <w:div w:id="1528174682">
      <w:bodyDiv w:val="1"/>
      <w:marLeft w:val="0"/>
      <w:marRight w:val="0"/>
      <w:marTop w:val="0"/>
      <w:marBottom w:val="0"/>
      <w:divBdr>
        <w:top w:val="none" w:sz="0" w:space="0" w:color="auto"/>
        <w:left w:val="none" w:sz="0" w:space="0" w:color="auto"/>
        <w:bottom w:val="none" w:sz="0" w:space="0" w:color="auto"/>
        <w:right w:val="none" w:sz="0" w:space="0" w:color="auto"/>
      </w:divBdr>
    </w:div>
    <w:div w:id="1582831195">
      <w:bodyDiv w:val="1"/>
      <w:marLeft w:val="0"/>
      <w:marRight w:val="0"/>
      <w:marTop w:val="0"/>
      <w:marBottom w:val="0"/>
      <w:divBdr>
        <w:top w:val="none" w:sz="0" w:space="0" w:color="auto"/>
        <w:left w:val="none" w:sz="0" w:space="0" w:color="auto"/>
        <w:bottom w:val="none" w:sz="0" w:space="0" w:color="auto"/>
        <w:right w:val="none" w:sz="0" w:space="0" w:color="auto"/>
      </w:divBdr>
    </w:div>
    <w:div w:id="1634017412">
      <w:bodyDiv w:val="1"/>
      <w:marLeft w:val="0"/>
      <w:marRight w:val="0"/>
      <w:marTop w:val="0"/>
      <w:marBottom w:val="0"/>
      <w:divBdr>
        <w:top w:val="none" w:sz="0" w:space="0" w:color="auto"/>
        <w:left w:val="none" w:sz="0" w:space="0" w:color="auto"/>
        <w:bottom w:val="none" w:sz="0" w:space="0" w:color="auto"/>
        <w:right w:val="none" w:sz="0" w:space="0" w:color="auto"/>
      </w:divBdr>
    </w:div>
    <w:div w:id="1725711798">
      <w:bodyDiv w:val="1"/>
      <w:marLeft w:val="0"/>
      <w:marRight w:val="0"/>
      <w:marTop w:val="0"/>
      <w:marBottom w:val="0"/>
      <w:divBdr>
        <w:top w:val="none" w:sz="0" w:space="0" w:color="auto"/>
        <w:left w:val="none" w:sz="0" w:space="0" w:color="auto"/>
        <w:bottom w:val="none" w:sz="0" w:space="0" w:color="auto"/>
        <w:right w:val="none" w:sz="0" w:space="0" w:color="auto"/>
      </w:divBdr>
    </w:div>
    <w:div w:id="1775131066">
      <w:bodyDiv w:val="1"/>
      <w:marLeft w:val="0"/>
      <w:marRight w:val="0"/>
      <w:marTop w:val="0"/>
      <w:marBottom w:val="0"/>
      <w:divBdr>
        <w:top w:val="none" w:sz="0" w:space="0" w:color="auto"/>
        <w:left w:val="none" w:sz="0" w:space="0" w:color="auto"/>
        <w:bottom w:val="none" w:sz="0" w:space="0" w:color="auto"/>
        <w:right w:val="none" w:sz="0" w:space="0" w:color="auto"/>
      </w:divBdr>
    </w:div>
    <w:div w:id="1810004458">
      <w:bodyDiv w:val="1"/>
      <w:marLeft w:val="0"/>
      <w:marRight w:val="0"/>
      <w:marTop w:val="0"/>
      <w:marBottom w:val="0"/>
      <w:divBdr>
        <w:top w:val="none" w:sz="0" w:space="0" w:color="auto"/>
        <w:left w:val="none" w:sz="0" w:space="0" w:color="auto"/>
        <w:bottom w:val="none" w:sz="0" w:space="0" w:color="auto"/>
        <w:right w:val="none" w:sz="0" w:space="0" w:color="auto"/>
      </w:divBdr>
    </w:div>
    <w:div w:id="1829979873">
      <w:bodyDiv w:val="1"/>
      <w:marLeft w:val="0"/>
      <w:marRight w:val="0"/>
      <w:marTop w:val="0"/>
      <w:marBottom w:val="0"/>
      <w:divBdr>
        <w:top w:val="none" w:sz="0" w:space="0" w:color="auto"/>
        <w:left w:val="none" w:sz="0" w:space="0" w:color="auto"/>
        <w:bottom w:val="none" w:sz="0" w:space="0" w:color="auto"/>
        <w:right w:val="none" w:sz="0" w:space="0" w:color="auto"/>
      </w:divBdr>
    </w:div>
    <w:div w:id="1861628554">
      <w:bodyDiv w:val="1"/>
      <w:marLeft w:val="0"/>
      <w:marRight w:val="0"/>
      <w:marTop w:val="0"/>
      <w:marBottom w:val="0"/>
      <w:divBdr>
        <w:top w:val="none" w:sz="0" w:space="0" w:color="auto"/>
        <w:left w:val="none" w:sz="0" w:space="0" w:color="auto"/>
        <w:bottom w:val="none" w:sz="0" w:space="0" w:color="auto"/>
        <w:right w:val="none" w:sz="0" w:space="0" w:color="auto"/>
      </w:divBdr>
    </w:div>
    <w:div w:id="1903562754">
      <w:bodyDiv w:val="1"/>
      <w:marLeft w:val="0"/>
      <w:marRight w:val="0"/>
      <w:marTop w:val="0"/>
      <w:marBottom w:val="0"/>
      <w:divBdr>
        <w:top w:val="none" w:sz="0" w:space="0" w:color="auto"/>
        <w:left w:val="none" w:sz="0" w:space="0" w:color="auto"/>
        <w:bottom w:val="none" w:sz="0" w:space="0" w:color="auto"/>
        <w:right w:val="none" w:sz="0" w:space="0" w:color="auto"/>
      </w:divBdr>
    </w:div>
    <w:div w:id="1907295165">
      <w:bodyDiv w:val="1"/>
      <w:marLeft w:val="0"/>
      <w:marRight w:val="0"/>
      <w:marTop w:val="0"/>
      <w:marBottom w:val="0"/>
      <w:divBdr>
        <w:top w:val="none" w:sz="0" w:space="0" w:color="auto"/>
        <w:left w:val="none" w:sz="0" w:space="0" w:color="auto"/>
        <w:bottom w:val="none" w:sz="0" w:space="0" w:color="auto"/>
        <w:right w:val="none" w:sz="0" w:space="0" w:color="auto"/>
      </w:divBdr>
    </w:div>
    <w:div w:id="1910265632">
      <w:bodyDiv w:val="1"/>
      <w:marLeft w:val="0"/>
      <w:marRight w:val="0"/>
      <w:marTop w:val="0"/>
      <w:marBottom w:val="0"/>
      <w:divBdr>
        <w:top w:val="none" w:sz="0" w:space="0" w:color="auto"/>
        <w:left w:val="none" w:sz="0" w:space="0" w:color="auto"/>
        <w:bottom w:val="none" w:sz="0" w:space="0" w:color="auto"/>
        <w:right w:val="none" w:sz="0" w:space="0" w:color="auto"/>
      </w:divBdr>
    </w:div>
    <w:div w:id="1992975053">
      <w:bodyDiv w:val="1"/>
      <w:marLeft w:val="0"/>
      <w:marRight w:val="0"/>
      <w:marTop w:val="0"/>
      <w:marBottom w:val="0"/>
      <w:divBdr>
        <w:top w:val="none" w:sz="0" w:space="0" w:color="auto"/>
        <w:left w:val="none" w:sz="0" w:space="0" w:color="auto"/>
        <w:bottom w:val="none" w:sz="0" w:space="0" w:color="auto"/>
        <w:right w:val="none" w:sz="0" w:space="0" w:color="auto"/>
      </w:divBdr>
    </w:div>
    <w:div w:id="2081824657">
      <w:bodyDiv w:val="1"/>
      <w:marLeft w:val="0"/>
      <w:marRight w:val="0"/>
      <w:marTop w:val="0"/>
      <w:marBottom w:val="0"/>
      <w:divBdr>
        <w:top w:val="none" w:sz="0" w:space="0" w:color="auto"/>
        <w:left w:val="none" w:sz="0" w:space="0" w:color="auto"/>
        <w:bottom w:val="none" w:sz="0" w:space="0" w:color="auto"/>
        <w:right w:val="none" w:sz="0" w:space="0" w:color="auto"/>
      </w:divBdr>
    </w:div>
    <w:div w:id="21018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uk" TargetMode="External"/><Relationship Id="rId13" Type="http://schemas.openxmlformats.org/officeDocument/2006/relationships/hyperlink" Target="https://www.essex.pfcc.police.uk/police-and-crime-plan/tackle-gangs-organised-cri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sex.pfcc.police.uk/police-and-crime-plan/breaking-cycle-domestic-abus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ex.pfcc.police.uk/police-and-crime-plan/breaking-cycle-domestic-abuse/%20%E2%80%8E" TargetMode="External"/><Relationship Id="rId5" Type="http://schemas.openxmlformats.org/officeDocument/2006/relationships/webSettings" Target="webSettings.xml"/><Relationship Id="rId15" Type="http://schemas.openxmlformats.org/officeDocument/2006/relationships/hyperlink" Target="https://www.essex.pfcc.police.uk/police-and-crime-plan/improve-safety-roads/" TargetMode="External"/><Relationship Id="rId10" Type="http://schemas.openxmlformats.org/officeDocument/2006/relationships/hyperlink" Target="https://www.essex.pfcc.police.uk/police-and-crime-plan/crack-anti-social-behaviou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ssex.pfcc.police.uk/police-and-crime-plan/local-visible-accessible-policing/" TargetMode="External"/><Relationship Id="rId14" Type="http://schemas.openxmlformats.org/officeDocument/2006/relationships/hyperlink" Target="https://www.essex.pfcc.police.uk/what-we-are-doing/police-and-crime-plan/protecting-children-vulnerable-people-ha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B9F27-90A8-4B15-ADFB-D4BE4D85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6375</Words>
  <Characters>36340</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42630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Fry</dc:creator>
  <cp:lastModifiedBy>Anna Hook 42078328</cp:lastModifiedBy>
  <cp:revision>2</cp:revision>
  <cp:lastPrinted>2019-12-03T10:18:00Z</cp:lastPrinted>
  <dcterms:created xsi:type="dcterms:W3CDTF">2019-12-12T13:55:00Z</dcterms:created>
  <dcterms:modified xsi:type="dcterms:W3CDTF">2019-12-12T13:55:00Z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y fmtid="{D5CDD505-2E9C-101B-9397-08002B2CF9AE}" pid="5" name="MSIP_Label_8f716d1d-13e1-4569-9dd0-bef6621415c1_Enabled">
    <vt:lpwstr>True</vt:lpwstr>
  </property>
  <property fmtid="{D5CDD505-2E9C-101B-9397-08002B2CF9AE}" pid="6" name="MSIP_Label_8f716d1d-13e1-4569-9dd0-bef6621415c1_SiteId">
    <vt:lpwstr>f31b07f0-9cf9-40db-964d-6ff986a97e3d</vt:lpwstr>
  </property>
  <property fmtid="{D5CDD505-2E9C-101B-9397-08002B2CF9AE}" pid="7" name="MSIP_Label_8f716d1d-13e1-4569-9dd0-bef6621415c1_Owner">
    <vt:lpwstr>Richard.Day2@essex.police.uk</vt:lpwstr>
  </property>
  <property fmtid="{D5CDD505-2E9C-101B-9397-08002B2CF9AE}" pid="8" name="MSIP_Label_8f716d1d-13e1-4569-9dd0-bef6621415c1_SetDate">
    <vt:lpwstr>2019-12-06T09:01:36.5862263Z</vt:lpwstr>
  </property>
  <property fmtid="{D5CDD505-2E9C-101B-9397-08002B2CF9AE}" pid="9" name="MSIP_Label_8f716d1d-13e1-4569-9dd0-bef6621415c1_Name">
    <vt:lpwstr>OFFICIAL</vt:lpwstr>
  </property>
  <property fmtid="{D5CDD505-2E9C-101B-9397-08002B2CF9AE}" pid="10" name="MSIP_Label_8f716d1d-13e1-4569-9dd0-bef6621415c1_Application">
    <vt:lpwstr>Microsoft Azure Information Protection</vt:lpwstr>
  </property>
  <property fmtid="{D5CDD505-2E9C-101B-9397-08002B2CF9AE}" pid="11" name="MSIP_Label_8f716d1d-13e1-4569-9dd0-bef6621415c1_ActionId">
    <vt:lpwstr>f8024940-0f26-41c3-8079-d6b09b6b7720</vt:lpwstr>
  </property>
  <property fmtid="{D5CDD505-2E9C-101B-9397-08002B2CF9AE}" pid="12" name="MSIP_Label_8f716d1d-13e1-4569-9dd0-bef6621415c1_Extended_MSFT_Method">
    <vt:lpwstr>Automatic</vt:lpwstr>
  </property>
  <property fmtid="{D5CDD505-2E9C-101B-9397-08002B2CF9AE}" pid="13" name="Sensitivity">
    <vt:lpwstr>OFFICIAL</vt:lpwstr>
  </property>
</Properties>
</file>