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5502" w14:textId="77777777"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w:t>
      </w:r>
      <w:r w:rsidR="00D9636F">
        <w:rPr>
          <w:rFonts w:ascii="Arial" w:hAnsi="Arial" w:cs="Arial"/>
          <w:b/>
          <w:sz w:val="24"/>
          <w:szCs w:val="24"/>
        </w:rPr>
        <w:t>19</w:t>
      </w:r>
      <w:r w:rsidR="00847122">
        <w:rPr>
          <w:rFonts w:ascii="Arial" w:hAnsi="Arial" w:cs="Arial"/>
          <w:b/>
          <w:sz w:val="24"/>
          <w:szCs w:val="24"/>
        </w:rPr>
        <w:t>/20</w:t>
      </w:r>
    </w:p>
    <w:p w14:paraId="589EEFBD" w14:textId="77777777" w:rsidR="001D5222" w:rsidRDefault="001D5222" w:rsidP="00773654">
      <w:pPr>
        <w:spacing w:after="0" w:line="240" w:lineRule="auto"/>
        <w:jc w:val="center"/>
        <w:rPr>
          <w:rFonts w:ascii="Arial" w:hAnsi="Arial" w:cs="Arial"/>
          <w:b/>
          <w:sz w:val="24"/>
          <w:szCs w:val="24"/>
        </w:rPr>
      </w:pPr>
    </w:p>
    <w:p w14:paraId="64600079"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51FF017D" w14:textId="77777777" w:rsidR="001D5222" w:rsidRDefault="001D5222" w:rsidP="00773654">
      <w:pPr>
        <w:spacing w:after="0" w:line="240" w:lineRule="auto"/>
        <w:jc w:val="center"/>
        <w:rPr>
          <w:rFonts w:ascii="Arial" w:hAnsi="Arial" w:cs="Arial"/>
          <w:b/>
          <w:sz w:val="24"/>
          <w:szCs w:val="24"/>
        </w:rPr>
      </w:pPr>
    </w:p>
    <w:p w14:paraId="3EE908F4" w14:textId="77777777"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200EE44A" w14:textId="77777777" w:rsidTr="00773654">
        <w:tc>
          <w:tcPr>
            <w:tcW w:w="3260" w:type="dxa"/>
          </w:tcPr>
          <w:p w14:paraId="0D094BBD" w14:textId="77777777"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38AB55FF" w14:textId="7507B89A" w:rsidR="00652B9C" w:rsidRPr="00046E42" w:rsidRDefault="007750CD" w:rsidP="00C84995">
            <w:pPr>
              <w:rPr>
                <w:rFonts w:ascii="Arial" w:hAnsi="Arial" w:cs="Arial"/>
                <w:b/>
                <w:sz w:val="24"/>
                <w:szCs w:val="24"/>
              </w:rPr>
            </w:pPr>
            <w:r w:rsidRPr="007750CD">
              <w:rPr>
                <w:rFonts w:ascii="Arial" w:hAnsi="Arial" w:cs="Arial"/>
                <w:b/>
                <w:sz w:val="24"/>
                <w:szCs w:val="24"/>
              </w:rPr>
              <w:t>S</w:t>
            </w:r>
            <w:r>
              <w:rPr>
                <w:rFonts w:ascii="Arial" w:hAnsi="Arial" w:cs="Arial"/>
                <w:b/>
                <w:sz w:val="24"/>
                <w:szCs w:val="24"/>
              </w:rPr>
              <w:t xml:space="preserve">trategic Change </w:t>
            </w:r>
            <w:r w:rsidR="004038F0">
              <w:rPr>
                <w:rFonts w:ascii="Arial" w:hAnsi="Arial" w:cs="Arial"/>
                <w:b/>
                <w:sz w:val="24"/>
                <w:szCs w:val="24"/>
              </w:rPr>
              <w:t>–</w:t>
            </w:r>
            <w:r w:rsidR="000C2D1D">
              <w:rPr>
                <w:rFonts w:ascii="Arial" w:hAnsi="Arial" w:cs="Arial"/>
                <w:b/>
                <w:sz w:val="24"/>
                <w:szCs w:val="24"/>
              </w:rPr>
              <w:t xml:space="preserve"> </w:t>
            </w:r>
            <w:r w:rsidR="008148BA">
              <w:rPr>
                <w:rFonts w:ascii="Arial" w:hAnsi="Arial" w:cs="Arial"/>
                <w:b/>
                <w:sz w:val="24"/>
                <w:szCs w:val="24"/>
              </w:rPr>
              <w:t>E</w:t>
            </w:r>
            <w:r w:rsidR="000C2D1D">
              <w:rPr>
                <w:rFonts w:ascii="Arial" w:hAnsi="Arial" w:cs="Arial"/>
                <w:b/>
                <w:sz w:val="24"/>
                <w:szCs w:val="24"/>
              </w:rPr>
              <w:t>fficiency</w:t>
            </w:r>
            <w:r w:rsidR="00C84995">
              <w:rPr>
                <w:rFonts w:ascii="Arial" w:hAnsi="Arial" w:cs="Arial"/>
                <w:b/>
                <w:sz w:val="24"/>
                <w:szCs w:val="24"/>
              </w:rPr>
              <w:t xml:space="preserve"> </w:t>
            </w:r>
            <w:r w:rsidR="008148BA">
              <w:rPr>
                <w:rFonts w:ascii="Arial" w:hAnsi="Arial" w:cs="Arial"/>
                <w:b/>
                <w:sz w:val="24"/>
                <w:szCs w:val="24"/>
              </w:rPr>
              <w:t xml:space="preserve">Savings </w:t>
            </w:r>
            <w:r w:rsidR="00C84995">
              <w:rPr>
                <w:rFonts w:ascii="Arial" w:hAnsi="Arial" w:cs="Arial"/>
                <w:b/>
                <w:sz w:val="24"/>
                <w:szCs w:val="24"/>
              </w:rPr>
              <w:t>Programme</w:t>
            </w:r>
          </w:p>
        </w:tc>
      </w:tr>
      <w:tr w:rsidR="00866727" w:rsidRPr="00046E42" w14:paraId="1E361F60" w14:textId="77777777" w:rsidTr="00773654">
        <w:tc>
          <w:tcPr>
            <w:tcW w:w="3260" w:type="dxa"/>
          </w:tcPr>
          <w:p w14:paraId="7658BDC0" w14:textId="77777777" w:rsidR="00866727" w:rsidRPr="00046E42" w:rsidRDefault="00866727" w:rsidP="00773654">
            <w:pPr>
              <w:spacing w:line="480" w:lineRule="auto"/>
              <w:rPr>
                <w:rFonts w:ascii="Arial" w:hAnsi="Arial" w:cs="Arial"/>
                <w:b/>
                <w:sz w:val="24"/>
                <w:szCs w:val="24"/>
              </w:rPr>
            </w:pPr>
            <w:r>
              <w:rPr>
                <w:rFonts w:ascii="Arial" w:hAnsi="Arial" w:cs="Arial"/>
                <w:b/>
                <w:sz w:val="24"/>
                <w:szCs w:val="24"/>
              </w:rPr>
              <w:t>Classification of Paper</w:t>
            </w:r>
          </w:p>
        </w:tc>
        <w:tc>
          <w:tcPr>
            <w:tcW w:w="5103" w:type="dxa"/>
          </w:tcPr>
          <w:p w14:paraId="45746AE8" w14:textId="77777777" w:rsidR="00866727" w:rsidRPr="007750CD" w:rsidRDefault="00866727" w:rsidP="008148BA">
            <w:pPr>
              <w:rPr>
                <w:rFonts w:ascii="Arial" w:hAnsi="Arial" w:cs="Arial"/>
                <w:b/>
                <w:sz w:val="24"/>
                <w:szCs w:val="24"/>
              </w:rPr>
            </w:pPr>
            <w:r>
              <w:rPr>
                <w:rFonts w:ascii="Arial" w:hAnsi="Arial" w:cs="Arial"/>
                <w:b/>
                <w:sz w:val="24"/>
                <w:szCs w:val="24"/>
              </w:rPr>
              <w:t>Official</w:t>
            </w:r>
          </w:p>
        </w:tc>
      </w:tr>
      <w:tr w:rsidR="00BE3FD1" w:rsidRPr="00046E42" w14:paraId="02E5F22F" w14:textId="77777777" w:rsidTr="00773654">
        <w:tc>
          <w:tcPr>
            <w:tcW w:w="3260" w:type="dxa"/>
          </w:tcPr>
          <w:p w14:paraId="1D5E583B" w14:textId="77777777" w:rsidR="00BE3FD1" w:rsidRPr="00046E42" w:rsidRDefault="00BE3FD1" w:rsidP="00BE3FD1">
            <w:pPr>
              <w:spacing w:line="480" w:lineRule="auto"/>
              <w:rPr>
                <w:rFonts w:ascii="Arial" w:hAnsi="Arial" w:cs="Arial"/>
                <w:b/>
                <w:sz w:val="24"/>
                <w:szCs w:val="24"/>
              </w:rPr>
            </w:pPr>
            <w:r w:rsidRPr="00A6394B">
              <w:rPr>
                <w:rFonts w:ascii="Arial" w:hAnsi="Arial" w:cs="Arial"/>
                <w:b/>
                <w:sz w:val="24"/>
                <w:szCs w:val="24"/>
              </w:rPr>
              <w:t>Agenda Number:</w:t>
            </w:r>
          </w:p>
        </w:tc>
        <w:tc>
          <w:tcPr>
            <w:tcW w:w="5103" w:type="dxa"/>
          </w:tcPr>
          <w:p w14:paraId="476B854F" w14:textId="3170AAA1" w:rsidR="00BE3FD1" w:rsidRPr="00046E42" w:rsidRDefault="000C5690" w:rsidP="00BE3FD1">
            <w:pPr>
              <w:spacing w:line="480" w:lineRule="auto"/>
              <w:rPr>
                <w:rFonts w:ascii="Arial" w:hAnsi="Arial" w:cs="Arial"/>
                <w:b/>
                <w:sz w:val="24"/>
                <w:szCs w:val="24"/>
              </w:rPr>
            </w:pPr>
            <w:r>
              <w:rPr>
                <w:rFonts w:ascii="Arial" w:hAnsi="Arial" w:cs="Arial"/>
                <w:b/>
                <w:sz w:val="24"/>
                <w:szCs w:val="24"/>
              </w:rPr>
              <w:t>3i)</w:t>
            </w:r>
          </w:p>
        </w:tc>
      </w:tr>
      <w:tr w:rsidR="00BE3FD1" w:rsidRPr="00046E42" w14:paraId="2E80F0BC" w14:textId="77777777" w:rsidTr="00773654">
        <w:tc>
          <w:tcPr>
            <w:tcW w:w="3260" w:type="dxa"/>
          </w:tcPr>
          <w:p w14:paraId="4A889751"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Chief Officer</w:t>
            </w:r>
          </w:p>
        </w:tc>
        <w:tc>
          <w:tcPr>
            <w:tcW w:w="5103" w:type="dxa"/>
          </w:tcPr>
          <w:p w14:paraId="7521D8A4" w14:textId="77777777" w:rsidR="00BE3FD1" w:rsidRPr="00046E42" w:rsidRDefault="00BE3FD1" w:rsidP="00BE3FD1">
            <w:pPr>
              <w:rPr>
                <w:rFonts w:ascii="Arial" w:hAnsi="Arial" w:cs="Arial"/>
                <w:b/>
                <w:sz w:val="24"/>
                <w:szCs w:val="24"/>
              </w:rPr>
            </w:pPr>
            <w:r w:rsidRPr="007750CD">
              <w:rPr>
                <w:rFonts w:ascii="Arial" w:hAnsi="Arial" w:cs="Arial"/>
                <w:b/>
                <w:sz w:val="24"/>
                <w:szCs w:val="24"/>
              </w:rPr>
              <w:t>Dr Vicki Harrington</w:t>
            </w:r>
          </w:p>
        </w:tc>
      </w:tr>
      <w:tr w:rsidR="00BE3FD1" w:rsidRPr="00046E42" w14:paraId="5BAE7116" w14:textId="77777777" w:rsidTr="00773654">
        <w:tc>
          <w:tcPr>
            <w:tcW w:w="3260" w:type="dxa"/>
          </w:tcPr>
          <w:p w14:paraId="23A0182B"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4FCBE21E" w14:textId="6C7F4EEE" w:rsidR="00BE3FD1" w:rsidRPr="00046E42" w:rsidRDefault="00BB618A" w:rsidP="00BB618A">
            <w:pPr>
              <w:spacing w:line="480" w:lineRule="auto"/>
              <w:rPr>
                <w:rFonts w:ascii="Arial" w:hAnsi="Arial" w:cs="Arial"/>
                <w:b/>
                <w:sz w:val="24"/>
                <w:szCs w:val="24"/>
              </w:rPr>
            </w:pPr>
            <w:r>
              <w:rPr>
                <w:rFonts w:ascii="Arial" w:hAnsi="Arial" w:cs="Arial"/>
                <w:b/>
                <w:sz w:val="24"/>
                <w:szCs w:val="24"/>
              </w:rPr>
              <w:t>9</w:t>
            </w:r>
            <w:r w:rsidRPr="00BB618A">
              <w:rPr>
                <w:rFonts w:ascii="Arial" w:hAnsi="Arial" w:cs="Arial"/>
                <w:b/>
                <w:sz w:val="24"/>
                <w:szCs w:val="24"/>
                <w:vertAlign w:val="superscript"/>
              </w:rPr>
              <w:t>th</w:t>
            </w:r>
            <w:r>
              <w:rPr>
                <w:rFonts w:ascii="Arial" w:hAnsi="Arial" w:cs="Arial"/>
                <w:b/>
                <w:sz w:val="24"/>
                <w:szCs w:val="24"/>
              </w:rPr>
              <w:t xml:space="preserve"> December </w:t>
            </w:r>
            <w:r w:rsidR="00496DE7">
              <w:rPr>
                <w:rFonts w:ascii="Arial" w:hAnsi="Arial" w:cs="Arial"/>
                <w:b/>
                <w:sz w:val="24"/>
                <w:szCs w:val="24"/>
              </w:rPr>
              <w:t>2019</w:t>
            </w:r>
          </w:p>
        </w:tc>
      </w:tr>
      <w:tr w:rsidR="00BE3FD1" w:rsidRPr="00046E42" w14:paraId="0F713CD6" w14:textId="77777777" w:rsidTr="00773654">
        <w:tc>
          <w:tcPr>
            <w:tcW w:w="3260" w:type="dxa"/>
          </w:tcPr>
          <w:p w14:paraId="4E35512D"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6E7812AC" w14:textId="1E07872B" w:rsidR="00E321D2" w:rsidRPr="00046E42" w:rsidRDefault="0031668F" w:rsidP="0031668F">
            <w:pPr>
              <w:spacing w:line="480" w:lineRule="auto"/>
              <w:rPr>
                <w:rFonts w:ascii="Arial" w:hAnsi="Arial" w:cs="Arial"/>
                <w:b/>
                <w:sz w:val="24"/>
                <w:szCs w:val="24"/>
              </w:rPr>
            </w:pPr>
            <w:r>
              <w:rPr>
                <w:rFonts w:ascii="Arial" w:hAnsi="Arial" w:cs="Arial"/>
                <w:b/>
                <w:sz w:val="24"/>
                <w:szCs w:val="24"/>
              </w:rPr>
              <w:t>1.0</w:t>
            </w:r>
          </w:p>
        </w:tc>
      </w:tr>
      <w:tr w:rsidR="00BE3FD1" w:rsidRPr="00046E42" w14:paraId="5E0B1D16" w14:textId="77777777" w:rsidTr="00773654">
        <w:tc>
          <w:tcPr>
            <w:tcW w:w="3260" w:type="dxa"/>
          </w:tcPr>
          <w:p w14:paraId="06378409"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1AD0F9C8"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Essex Police</w:t>
            </w:r>
          </w:p>
        </w:tc>
      </w:tr>
      <w:tr w:rsidR="00BE3FD1" w:rsidRPr="00046E42" w14:paraId="13348665" w14:textId="77777777" w:rsidTr="00773654">
        <w:tc>
          <w:tcPr>
            <w:tcW w:w="3260" w:type="dxa"/>
          </w:tcPr>
          <w:p w14:paraId="6B67AE01"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Date of Meeting:</w:t>
            </w:r>
          </w:p>
        </w:tc>
        <w:tc>
          <w:tcPr>
            <w:tcW w:w="5103" w:type="dxa"/>
          </w:tcPr>
          <w:p w14:paraId="038B547A" w14:textId="4B338CA1" w:rsidR="00BE3FD1" w:rsidRPr="00046E42" w:rsidRDefault="005A24CF" w:rsidP="00BB618A">
            <w:pPr>
              <w:spacing w:line="480" w:lineRule="auto"/>
              <w:rPr>
                <w:rFonts w:ascii="Arial" w:hAnsi="Arial" w:cs="Arial"/>
                <w:b/>
                <w:sz w:val="24"/>
                <w:szCs w:val="24"/>
              </w:rPr>
            </w:pPr>
            <w:r>
              <w:rPr>
                <w:rFonts w:ascii="Arial" w:hAnsi="Arial" w:cs="Arial"/>
                <w:b/>
                <w:sz w:val="24"/>
                <w:szCs w:val="24"/>
              </w:rPr>
              <w:t>2</w:t>
            </w:r>
            <w:r w:rsidR="00BB618A">
              <w:rPr>
                <w:rFonts w:ascii="Arial" w:hAnsi="Arial" w:cs="Arial"/>
                <w:b/>
                <w:sz w:val="24"/>
                <w:szCs w:val="24"/>
              </w:rPr>
              <w:t>0</w:t>
            </w:r>
            <w:r w:rsidR="00BB618A" w:rsidRPr="00BB618A">
              <w:rPr>
                <w:rFonts w:ascii="Arial" w:hAnsi="Arial" w:cs="Arial"/>
                <w:b/>
                <w:sz w:val="24"/>
                <w:szCs w:val="24"/>
                <w:vertAlign w:val="superscript"/>
              </w:rPr>
              <w:t>th</w:t>
            </w:r>
            <w:r w:rsidR="00BB618A">
              <w:rPr>
                <w:rFonts w:ascii="Arial" w:hAnsi="Arial" w:cs="Arial"/>
                <w:b/>
                <w:sz w:val="24"/>
                <w:szCs w:val="24"/>
              </w:rPr>
              <w:t xml:space="preserve"> December </w:t>
            </w:r>
            <w:r w:rsidR="00BE3FD1">
              <w:rPr>
                <w:rFonts w:ascii="Arial" w:hAnsi="Arial" w:cs="Arial"/>
                <w:b/>
                <w:sz w:val="24"/>
                <w:szCs w:val="24"/>
              </w:rPr>
              <w:t>2019</w:t>
            </w:r>
          </w:p>
        </w:tc>
      </w:tr>
      <w:tr w:rsidR="00BE3FD1" w:rsidRPr="00046E42" w14:paraId="416AAC6E" w14:textId="77777777" w:rsidTr="00773654">
        <w:tc>
          <w:tcPr>
            <w:tcW w:w="3260" w:type="dxa"/>
          </w:tcPr>
          <w:p w14:paraId="61147B66" w14:textId="77777777" w:rsidR="00BE3FD1" w:rsidRPr="00046E42" w:rsidRDefault="00BE3FD1" w:rsidP="00BE3FD1">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Chief Officer:</w:t>
            </w:r>
          </w:p>
        </w:tc>
        <w:tc>
          <w:tcPr>
            <w:tcW w:w="5103" w:type="dxa"/>
          </w:tcPr>
          <w:p w14:paraId="69CEE66C" w14:textId="77777777" w:rsidR="00BE3FD1" w:rsidRPr="00046E42" w:rsidRDefault="00BE3FD1" w:rsidP="00BE3FD1">
            <w:pPr>
              <w:spacing w:line="360" w:lineRule="auto"/>
              <w:rPr>
                <w:rFonts w:ascii="Arial" w:hAnsi="Arial" w:cs="Arial"/>
                <w:b/>
                <w:sz w:val="24"/>
                <w:szCs w:val="24"/>
              </w:rPr>
            </w:pPr>
            <w:r>
              <w:rPr>
                <w:rFonts w:ascii="Arial" w:hAnsi="Arial" w:cs="Arial"/>
                <w:b/>
                <w:sz w:val="24"/>
                <w:szCs w:val="24"/>
              </w:rPr>
              <w:t xml:space="preserve">Paul </w:t>
            </w:r>
            <w:r w:rsidRPr="007750CD">
              <w:rPr>
                <w:rFonts w:ascii="Arial" w:hAnsi="Arial" w:cs="Arial"/>
                <w:b/>
                <w:sz w:val="24"/>
                <w:szCs w:val="24"/>
              </w:rPr>
              <w:t>Nagle</w:t>
            </w:r>
          </w:p>
        </w:tc>
      </w:tr>
      <w:tr w:rsidR="00BE3FD1" w:rsidRPr="00046E42" w14:paraId="77E750C2" w14:textId="77777777" w:rsidTr="00773654">
        <w:tc>
          <w:tcPr>
            <w:tcW w:w="3260" w:type="dxa"/>
          </w:tcPr>
          <w:p w14:paraId="3465C0B8"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14:paraId="3E9F14A2" w14:textId="57342E8B" w:rsidR="00BE3FD1" w:rsidRPr="00046E42" w:rsidRDefault="00BB618A" w:rsidP="0031668F">
            <w:pPr>
              <w:spacing w:line="480" w:lineRule="auto"/>
              <w:rPr>
                <w:rFonts w:ascii="Arial" w:hAnsi="Arial" w:cs="Arial"/>
                <w:b/>
                <w:sz w:val="24"/>
                <w:szCs w:val="24"/>
              </w:rPr>
            </w:pPr>
            <w:r>
              <w:rPr>
                <w:rFonts w:ascii="Arial" w:hAnsi="Arial" w:cs="Arial"/>
                <w:b/>
                <w:sz w:val="24"/>
                <w:szCs w:val="24"/>
              </w:rPr>
              <w:t>1</w:t>
            </w:r>
            <w:r w:rsidR="0031668F">
              <w:rPr>
                <w:rFonts w:ascii="Arial" w:hAnsi="Arial" w:cs="Arial"/>
                <w:b/>
                <w:sz w:val="24"/>
                <w:szCs w:val="24"/>
              </w:rPr>
              <w:t>1</w:t>
            </w:r>
            <w:r w:rsidRPr="00BB618A">
              <w:rPr>
                <w:rFonts w:ascii="Arial" w:hAnsi="Arial" w:cs="Arial"/>
                <w:b/>
                <w:sz w:val="24"/>
                <w:szCs w:val="24"/>
                <w:vertAlign w:val="superscript"/>
              </w:rPr>
              <w:t>th</w:t>
            </w:r>
            <w:r>
              <w:rPr>
                <w:rFonts w:ascii="Arial" w:hAnsi="Arial" w:cs="Arial"/>
                <w:b/>
                <w:sz w:val="24"/>
                <w:szCs w:val="24"/>
              </w:rPr>
              <w:t xml:space="preserve"> December </w:t>
            </w:r>
            <w:r w:rsidR="00392CD2">
              <w:rPr>
                <w:rFonts w:ascii="Arial" w:hAnsi="Arial" w:cs="Arial"/>
                <w:b/>
                <w:sz w:val="24"/>
                <w:szCs w:val="24"/>
              </w:rPr>
              <w:t>2019</w:t>
            </w:r>
          </w:p>
        </w:tc>
      </w:tr>
    </w:tbl>
    <w:p w14:paraId="00120E61" w14:textId="77777777" w:rsidR="001D5222" w:rsidRPr="004F62BB" w:rsidRDefault="001D5222" w:rsidP="00E92E89">
      <w:pPr>
        <w:spacing w:after="0" w:line="240" w:lineRule="auto"/>
        <w:ind w:left="709"/>
        <w:rPr>
          <w:rFonts w:ascii="Arial" w:hAnsi="Arial" w:cs="Arial"/>
          <w:b/>
          <w:sz w:val="24"/>
          <w:szCs w:val="24"/>
        </w:rPr>
      </w:pPr>
    </w:p>
    <w:p w14:paraId="4FBE41EE" w14:textId="77777777" w:rsidR="004F62BB" w:rsidRDefault="004F62BB" w:rsidP="00E92E89">
      <w:pPr>
        <w:pStyle w:val="NoSpacing"/>
        <w:ind w:left="709"/>
        <w:rPr>
          <w:rFonts w:ascii="Arial" w:hAnsi="Arial" w:cs="Arial"/>
          <w:sz w:val="24"/>
          <w:szCs w:val="24"/>
        </w:rPr>
      </w:pPr>
    </w:p>
    <w:p w14:paraId="50F4251F"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4140FFB0" w14:textId="77777777" w:rsidR="00652B9C" w:rsidRDefault="00652B9C" w:rsidP="00E92E89">
      <w:pPr>
        <w:pStyle w:val="NoSpacing"/>
        <w:ind w:left="720"/>
        <w:rPr>
          <w:rFonts w:ascii="Arial" w:hAnsi="Arial" w:cs="Arial"/>
          <w:b/>
          <w:sz w:val="24"/>
          <w:szCs w:val="24"/>
          <w:u w:val="single"/>
        </w:rPr>
      </w:pPr>
    </w:p>
    <w:p w14:paraId="759DCC37" w14:textId="36063ED5" w:rsidR="000A6EF4" w:rsidRDefault="000A6EF4" w:rsidP="000A6EF4">
      <w:pPr>
        <w:pStyle w:val="NoSpacing"/>
        <w:ind w:left="720"/>
        <w:rPr>
          <w:rFonts w:ascii="Arial" w:hAnsi="Arial" w:cs="Arial"/>
          <w:sz w:val="24"/>
          <w:szCs w:val="24"/>
        </w:rPr>
      </w:pPr>
      <w:r>
        <w:rPr>
          <w:rFonts w:ascii="Arial" w:hAnsi="Arial" w:cs="Arial"/>
          <w:sz w:val="24"/>
          <w:szCs w:val="24"/>
        </w:rPr>
        <w:t xml:space="preserve">This report outlines progress </w:t>
      </w:r>
      <w:r w:rsidR="0084761D">
        <w:rPr>
          <w:rFonts w:ascii="Arial" w:hAnsi="Arial" w:cs="Arial"/>
          <w:sz w:val="24"/>
          <w:szCs w:val="24"/>
        </w:rPr>
        <w:t xml:space="preserve">against </w:t>
      </w:r>
      <w:r w:rsidR="00561A5C">
        <w:rPr>
          <w:rFonts w:ascii="Arial" w:hAnsi="Arial" w:cs="Arial"/>
          <w:sz w:val="24"/>
          <w:szCs w:val="24"/>
        </w:rPr>
        <w:t xml:space="preserve">current and future </w:t>
      </w:r>
      <w:r w:rsidR="00F04AA9">
        <w:rPr>
          <w:rFonts w:ascii="Arial" w:hAnsi="Arial" w:cs="Arial"/>
          <w:sz w:val="24"/>
          <w:szCs w:val="24"/>
        </w:rPr>
        <w:t xml:space="preserve">efficiency </w:t>
      </w:r>
      <w:r w:rsidR="0084761D">
        <w:rPr>
          <w:rFonts w:ascii="Arial" w:hAnsi="Arial" w:cs="Arial"/>
          <w:sz w:val="24"/>
          <w:szCs w:val="24"/>
        </w:rPr>
        <w:t xml:space="preserve">and </w:t>
      </w:r>
      <w:r w:rsidR="003A263F">
        <w:rPr>
          <w:rFonts w:ascii="Arial" w:hAnsi="Arial" w:cs="Arial"/>
          <w:sz w:val="24"/>
          <w:szCs w:val="24"/>
        </w:rPr>
        <w:t xml:space="preserve">savings </w:t>
      </w:r>
      <w:r w:rsidR="0084761D">
        <w:rPr>
          <w:rFonts w:ascii="Arial" w:hAnsi="Arial" w:cs="Arial"/>
          <w:sz w:val="24"/>
          <w:szCs w:val="24"/>
        </w:rPr>
        <w:t xml:space="preserve">plans as set out in the budget, and </w:t>
      </w:r>
      <w:r>
        <w:rPr>
          <w:rFonts w:ascii="Arial" w:hAnsi="Arial" w:cs="Arial"/>
          <w:sz w:val="24"/>
          <w:szCs w:val="24"/>
        </w:rPr>
        <w:t xml:space="preserve">the </w:t>
      </w:r>
      <w:r w:rsidR="00C040BE">
        <w:rPr>
          <w:rFonts w:ascii="Arial" w:hAnsi="Arial" w:cs="Arial"/>
          <w:sz w:val="24"/>
          <w:szCs w:val="24"/>
        </w:rPr>
        <w:t>F</w:t>
      </w:r>
      <w:r>
        <w:rPr>
          <w:rFonts w:ascii="Arial" w:hAnsi="Arial" w:cs="Arial"/>
          <w:sz w:val="24"/>
          <w:szCs w:val="24"/>
        </w:rPr>
        <w:t>orce Medium Term Financial Strategy</w:t>
      </w:r>
      <w:r w:rsidR="00BA4FE9">
        <w:rPr>
          <w:rFonts w:ascii="Arial" w:hAnsi="Arial" w:cs="Arial"/>
          <w:sz w:val="24"/>
          <w:szCs w:val="24"/>
        </w:rPr>
        <w:t xml:space="preserve"> (MTFS)</w:t>
      </w:r>
      <w:r>
        <w:rPr>
          <w:rFonts w:ascii="Arial" w:hAnsi="Arial" w:cs="Arial"/>
          <w:sz w:val="24"/>
          <w:szCs w:val="24"/>
        </w:rPr>
        <w:t>.</w:t>
      </w:r>
      <w:r w:rsidR="003A263F">
        <w:rPr>
          <w:rFonts w:ascii="Arial" w:hAnsi="Arial" w:cs="Arial"/>
          <w:sz w:val="24"/>
          <w:szCs w:val="24"/>
        </w:rPr>
        <w:t xml:space="preserve"> </w:t>
      </w:r>
    </w:p>
    <w:p w14:paraId="28A539B0" w14:textId="77777777" w:rsidR="00F37C05" w:rsidRPr="00652B9C" w:rsidRDefault="00F37C05" w:rsidP="000A6EF4">
      <w:pPr>
        <w:pStyle w:val="NoSpacing"/>
        <w:ind w:left="720"/>
        <w:rPr>
          <w:rFonts w:ascii="Arial" w:hAnsi="Arial" w:cs="Arial"/>
          <w:sz w:val="24"/>
          <w:szCs w:val="24"/>
        </w:rPr>
      </w:pPr>
    </w:p>
    <w:p w14:paraId="41B04C8C" w14:textId="77777777" w:rsidR="00665862" w:rsidRPr="00665862" w:rsidRDefault="00665862" w:rsidP="00665862">
      <w:pPr>
        <w:pStyle w:val="NoSpacing"/>
        <w:ind w:left="720"/>
        <w:rPr>
          <w:rFonts w:ascii="Arial" w:hAnsi="Arial" w:cs="Arial"/>
          <w:sz w:val="24"/>
          <w:szCs w:val="24"/>
        </w:rPr>
      </w:pPr>
    </w:p>
    <w:p w14:paraId="2375665C"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69E4A68B" w14:textId="77777777" w:rsidR="00652B9C" w:rsidRDefault="00652B9C" w:rsidP="00E92E89">
      <w:pPr>
        <w:pStyle w:val="NoSpacing"/>
        <w:ind w:left="720"/>
        <w:rPr>
          <w:rFonts w:ascii="Arial" w:hAnsi="Arial" w:cs="Arial"/>
          <w:b/>
          <w:sz w:val="24"/>
          <w:szCs w:val="24"/>
          <w:u w:val="single"/>
        </w:rPr>
      </w:pPr>
    </w:p>
    <w:p w14:paraId="03D61B82" w14:textId="47554775" w:rsidR="00652B9C" w:rsidRDefault="007750CD" w:rsidP="00652B9C">
      <w:pPr>
        <w:pStyle w:val="NoSpacing"/>
        <w:ind w:left="720"/>
        <w:rPr>
          <w:rFonts w:ascii="Arial" w:hAnsi="Arial" w:cs="Arial"/>
          <w:sz w:val="24"/>
          <w:szCs w:val="24"/>
        </w:rPr>
      </w:pPr>
      <w:r>
        <w:rPr>
          <w:rFonts w:ascii="Arial" w:hAnsi="Arial" w:cs="Arial"/>
          <w:sz w:val="24"/>
          <w:szCs w:val="24"/>
        </w:rPr>
        <w:t>R</w:t>
      </w:r>
      <w:r w:rsidR="00E92E89">
        <w:rPr>
          <w:rFonts w:ascii="Arial" w:hAnsi="Arial" w:cs="Arial"/>
          <w:sz w:val="24"/>
          <w:szCs w:val="24"/>
        </w:rPr>
        <w:t>eport is for the Board to note.</w:t>
      </w:r>
    </w:p>
    <w:p w14:paraId="47EA0B1D" w14:textId="77777777" w:rsidR="00665862" w:rsidRPr="00665862" w:rsidRDefault="00665862" w:rsidP="00665862">
      <w:pPr>
        <w:pStyle w:val="NoSpacing"/>
        <w:ind w:left="720"/>
        <w:rPr>
          <w:rFonts w:ascii="Arial" w:hAnsi="Arial" w:cs="Arial"/>
          <w:sz w:val="24"/>
          <w:szCs w:val="24"/>
        </w:rPr>
      </w:pPr>
    </w:p>
    <w:p w14:paraId="78B93CE9" w14:textId="4A0D79CB"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14:paraId="02064AA0" w14:textId="77777777" w:rsidR="00F67F9D" w:rsidRDefault="00F67F9D" w:rsidP="00573A59">
      <w:pPr>
        <w:pStyle w:val="NoSpacing"/>
        <w:ind w:left="720"/>
        <w:rPr>
          <w:rFonts w:ascii="Arial" w:hAnsi="Arial" w:cs="Arial"/>
          <w:b/>
          <w:sz w:val="24"/>
          <w:szCs w:val="24"/>
          <w:u w:val="single"/>
        </w:rPr>
      </w:pPr>
    </w:p>
    <w:p w14:paraId="63F3BE60" w14:textId="0FD73F8A" w:rsidR="00E412BD" w:rsidRDefault="00565CE7" w:rsidP="00E412BD">
      <w:pPr>
        <w:spacing w:after="0" w:line="240" w:lineRule="auto"/>
        <w:ind w:left="709"/>
        <w:rPr>
          <w:rFonts w:ascii="Arial" w:hAnsi="Arial" w:cs="Arial"/>
          <w:sz w:val="24"/>
          <w:szCs w:val="24"/>
        </w:rPr>
      </w:pPr>
      <w:r w:rsidRPr="00E412BD">
        <w:rPr>
          <w:rFonts w:ascii="Arial" w:hAnsi="Arial" w:cs="Arial"/>
          <w:sz w:val="24"/>
          <w:szCs w:val="24"/>
        </w:rPr>
        <w:t xml:space="preserve">The 2019/20 Plan is delivered and the 2020/21 savings programme will not be baselined until the Budget is agreed in January 2020. </w:t>
      </w:r>
      <w:r w:rsidR="00E412BD" w:rsidRPr="00E412BD">
        <w:rPr>
          <w:rFonts w:ascii="Arial" w:hAnsi="Arial" w:cs="Arial"/>
          <w:sz w:val="24"/>
          <w:szCs w:val="24"/>
        </w:rPr>
        <w:t xml:space="preserve">There </w:t>
      </w:r>
      <w:r>
        <w:rPr>
          <w:rFonts w:ascii="Arial" w:hAnsi="Arial" w:cs="Arial"/>
          <w:sz w:val="24"/>
          <w:szCs w:val="24"/>
        </w:rPr>
        <w:t xml:space="preserve">is one change </w:t>
      </w:r>
      <w:r w:rsidR="00E412BD" w:rsidRPr="00E412BD">
        <w:rPr>
          <w:rFonts w:ascii="Arial" w:hAnsi="Arial" w:cs="Arial"/>
          <w:sz w:val="24"/>
          <w:szCs w:val="24"/>
        </w:rPr>
        <w:t xml:space="preserve">to report on the </w:t>
      </w:r>
      <w:r w:rsidR="00AA1FF6">
        <w:rPr>
          <w:rFonts w:ascii="Arial" w:hAnsi="Arial" w:cs="Arial"/>
          <w:sz w:val="24"/>
          <w:szCs w:val="24"/>
        </w:rPr>
        <w:t xml:space="preserve">2019/20 </w:t>
      </w:r>
      <w:r>
        <w:rPr>
          <w:rFonts w:ascii="Arial" w:hAnsi="Arial" w:cs="Arial"/>
          <w:sz w:val="24"/>
          <w:szCs w:val="24"/>
        </w:rPr>
        <w:t xml:space="preserve">non-cashable savings. The 2019/20 non-cashable savings projection in operational hours delivered by Special Constables has been reviewed </w:t>
      </w:r>
      <w:r w:rsidR="00ED6C45">
        <w:rPr>
          <w:rFonts w:ascii="Arial" w:hAnsi="Arial" w:cs="Arial"/>
          <w:sz w:val="24"/>
          <w:szCs w:val="24"/>
        </w:rPr>
        <w:t xml:space="preserve">against assumptions determined at the start of the financial year </w:t>
      </w:r>
      <w:r>
        <w:rPr>
          <w:rFonts w:ascii="Arial" w:hAnsi="Arial" w:cs="Arial"/>
          <w:sz w:val="24"/>
          <w:szCs w:val="24"/>
        </w:rPr>
        <w:t xml:space="preserve">and increased by £0.571m from £0.722m to £1.293m. </w:t>
      </w:r>
    </w:p>
    <w:p w14:paraId="48834A36" w14:textId="77777777" w:rsidR="00E412BD" w:rsidRDefault="00E412BD" w:rsidP="00E412BD">
      <w:pPr>
        <w:spacing w:after="0" w:line="240" w:lineRule="auto"/>
        <w:ind w:left="709"/>
        <w:rPr>
          <w:rFonts w:ascii="Arial" w:hAnsi="Arial" w:cs="Arial"/>
          <w:sz w:val="24"/>
          <w:szCs w:val="24"/>
        </w:rPr>
      </w:pPr>
    </w:p>
    <w:p w14:paraId="4CA8278D" w14:textId="0883E077" w:rsidR="00E412BD" w:rsidRDefault="00E412BD" w:rsidP="00E412BD">
      <w:pPr>
        <w:spacing w:after="0" w:line="240" w:lineRule="auto"/>
        <w:ind w:left="709"/>
        <w:rPr>
          <w:rFonts w:ascii="Arial" w:hAnsi="Arial" w:cs="Arial"/>
          <w:sz w:val="24"/>
          <w:szCs w:val="24"/>
        </w:rPr>
      </w:pPr>
      <w:r w:rsidRPr="009E0A20">
        <w:rPr>
          <w:rFonts w:ascii="Arial" w:hAnsi="Arial" w:cs="Arial"/>
          <w:sz w:val="24"/>
          <w:szCs w:val="24"/>
        </w:rPr>
        <w:t xml:space="preserve">Work </w:t>
      </w:r>
      <w:r w:rsidR="00AA1FF6">
        <w:rPr>
          <w:rFonts w:ascii="Arial" w:hAnsi="Arial" w:cs="Arial"/>
          <w:sz w:val="24"/>
          <w:szCs w:val="24"/>
        </w:rPr>
        <w:t xml:space="preserve">has continued </w:t>
      </w:r>
      <w:r>
        <w:rPr>
          <w:rFonts w:ascii="Arial" w:hAnsi="Arial" w:cs="Arial"/>
          <w:sz w:val="24"/>
          <w:szCs w:val="24"/>
        </w:rPr>
        <w:t xml:space="preserve">to </w:t>
      </w:r>
      <w:r w:rsidRPr="009E0A20">
        <w:rPr>
          <w:rFonts w:ascii="Arial" w:hAnsi="Arial" w:cs="Arial"/>
          <w:sz w:val="24"/>
          <w:szCs w:val="24"/>
        </w:rPr>
        <w:t>develop</w:t>
      </w:r>
      <w:r>
        <w:rPr>
          <w:rFonts w:ascii="Arial" w:hAnsi="Arial" w:cs="Arial"/>
          <w:sz w:val="24"/>
          <w:szCs w:val="24"/>
        </w:rPr>
        <w:t xml:space="preserve"> and QA the detail of the </w:t>
      </w:r>
      <w:r w:rsidRPr="009E0A20">
        <w:rPr>
          <w:rFonts w:ascii="Arial" w:hAnsi="Arial" w:cs="Arial"/>
          <w:sz w:val="24"/>
          <w:szCs w:val="24"/>
        </w:rPr>
        <w:t>supporting business cases for the 2020/21 Efficiency and Savings Plans</w:t>
      </w:r>
      <w:r w:rsidR="00AA1FF6">
        <w:rPr>
          <w:rFonts w:ascii="Arial" w:hAnsi="Arial" w:cs="Arial"/>
          <w:sz w:val="24"/>
          <w:szCs w:val="24"/>
        </w:rPr>
        <w:t>. The S</w:t>
      </w:r>
      <w:r w:rsidR="00ED5574">
        <w:rPr>
          <w:rFonts w:ascii="Arial" w:hAnsi="Arial" w:cs="Arial"/>
          <w:sz w:val="24"/>
          <w:szCs w:val="24"/>
        </w:rPr>
        <w:t>trategic Change and Co-ordination Board (S</w:t>
      </w:r>
      <w:r w:rsidR="00AA1FF6">
        <w:rPr>
          <w:rFonts w:ascii="Arial" w:hAnsi="Arial" w:cs="Arial"/>
          <w:sz w:val="24"/>
          <w:szCs w:val="24"/>
        </w:rPr>
        <w:t>CCB</w:t>
      </w:r>
      <w:r w:rsidR="00ED5574">
        <w:rPr>
          <w:rFonts w:ascii="Arial" w:hAnsi="Arial" w:cs="Arial"/>
          <w:sz w:val="24"/>
          <w:szCs w:val="24"/>
        </w:rPr>
        <w:t>)</w:t>
      </w:r>
      <w:r w:rsidR="00AA1FF6">
        <w:rPr>
          <w:rFonts w:ascii="Arial" w:hAnsi="Arial" w:cs="Arial"/>
          <w:sz w:val="24"/>
          <w:szCs w:val="24"/>
        </w:rPr>
        <w:t xml:space="preserve"> considered </w:t>
      </w:r>
      <w:r w:rsidR="00ED5574">
        <w:rPr>
          <w:rFonts w:ascii="Arial" w:hAnsi="Arial" w:cs="Arial"/>
          <w:sz w:val="24"/>
          <w:szCs w:val="24"/>
        </w:rPr>
        <w:t>eight 2020/21 savings business cases on the 26</w:t>
      </w:r>
      <w:r w:rsidR="00ED5574" w:rsidRPr="00ED5574">
        <w:rPr>
          <w:rFonts w:ascii="Arial" w:hAnsi="Arial" w:cs="Arial"/>
          <w:sz w:val="24"/>
          <w:szCs w:val="24"/>
          <w:vertAlign w:val="superscript"/>
        </w:rPr>
        <w:t>th</w:t>
      </w:r>
      <w:r w:rsidR="00ED5574">
        <w:rPr>
          <w:rFonts w:ascii="Arial" w:hAnsi="Arial" w:cs="Arial"/>
          <w:sz w:val="24"/>
          <w:szCs w:val="24"/>
        </w:rPr>
        <w:t xml:space="preserve"> November 2019 which were subsequently reviewed and considered by COG </w:t>
      </w:r>
      <w:r w:rsidR="00AA1FF6">
        <w:rPr>
          <w:rFonts w:ascii="Arial" w:hAnsi="Arial" w:cs="Arial"/>
          <w:sz w:val="24"/>
          <w:szCs w:val="24"/>
        </w:rPr>
        <w:t>w/c 2</w:t>
      </w:r>
      <w:r w:rsidR="00AA1FF6" w:rsidRPr="00AA1FF6">
        <w:rPr>
          <w:rFonts w:ascii="Arial" w:hAnsi="Arial" w:cs="Arial"/>
          <w:sz w:val="24"/>
          <w:szCs w:val="24"/>
          <w:vertAlign w:val="superscript"/>
        </w:rPr>
        <w:t>nd</w:t>
      </w:r>
      <w:r w:rsidR="00AA1FF6">
        <w:rPr>
          <w:rFonts w:ascii="Arial" w:hAnsi="Arial" w:cs="Arial"/>
          <w:sz w:val="24"/>
          <w:szCs w:val="24"/>
        </w:rPr>
        <w:t xml:space="preserve"> December</w:t>
      </w:r>
      <w:r w:rsidR="00ED5574">
        <w:rPr>
          <w:rFonts w:ascii="Arial" w:hAnsi="Arial" w:cs="Arial"/>
          <w:sz w:val="24"/>
          <w:szCs w:val="24"/>
        </w:rPr>
        <w:t xml:space="preserve"> 2019. The Efficiency &amp; Savings Board met on the 9</w:t>
      </w:r>
      <w:r w:rsidR="00ED5574" w:rsidRPr="00ED5574">
        <w:rPr>
          <w:rFonts w:ascii="Arial" w:hAnsi="Arial" w:cs="Arial"/>
          <w:sz w:val="24"/>
          <w:szCs w:val="24"/>
          <w:vertAlign w:val="superscript"/>
        </w:rPr>
        <w:t>th</w:t>
      </w:r>
      <w:r w:rsidR="00ED5574">
        <w:rPr>
          <w:rFonts w:ascii="Arial" w:hAnsi="Arial" w:cs="Arial"/>
          <w:sz w:val="24"/>
          <w:szCs w:val="24"/>
        </w:rPr>
        <w:t xml:space="preserve"> December 2019 and reviewed the draft Efficiency &amp; Savings Plan, including non-cashable savings which will now be finalised prior to inclusion within the proposed 2020/21 Budget. </w:t>
      </w:r>
    </w:p>
    <w:p w14:paraId="08D14A23" w14:textId="5E11D130" w:rsidR="00E15730" w:rsidRDefault="00E15730" w:rsidP="00E412BD">
      <w:pPr>
        <w:spacing w:after="0" w:line="240" w:lineRule="auto"/>
        <w:ind w:left="709"/>
        <w:rPr>
          <w:rFonts w:ascii="Arial" w:hAnsi="Arial" w:cs="Arial"/>
          <w:sz w:val="24"/>
          <w:szCs w:val="24"/>
        </w:rPr>
      </w:pPr>
    </w:p>
    <w:p w14:paraId="0E6671C8" w14:textId="77777777" w:rsidR="00862A23" w:rsidRDefault="00ED3DE9" w:rsidP="002A4F1B">
      <w:pPr>
        <w:spacing w:after="0" w:line="240" w:lineRule="auto"/>
        <w:ind w:left="709"/>
        <w:rPr>
          <w:rFonts w:ascii="Arial" w:hAnsi="Arial" w:cs="Arial"/>
          <w:sz w:val="24"/>
          <w:szCs w:val="24"/>
        </w:rPr>
      </w:pPr>
      <w:r w:rsidRPr="00B1372E">
        <w:rPr>
          <w:rFonts w:ascii="Arial" w:hAnsi="Arial" w:cs="Arial"/>
          <w:sz w:val="24"/>
          <w:szCs w:val="24"/>
        </w:rPr>
        <w:lastRenderedPageBreak/>
        <w:t xml:space="preserve">The </w:t>
      </w:r>
      <w:r>
        <w:rPr>
          <w:rFonts w:ascii="Arial" w:hAnsi="Arial" w:cs="Arial"/>
          <w:sz w:val="24"/>
          <w:szCs w:val="24"/>
        </w:rPr>
        <w:t xml:space="preserve">2019/20 budget </w:t>
      </w:r>
      <w:r w:rsidRPr="00B1372E">
        <w:rPr>
          <w:rFonts w:ascii="Arial" w:hAnsi="Arial" w:cs="Arial"/>
          <w:sz w:val="24"/>
          <w:szCs w:val="24"/>
        </w:rPr>
        <w:t>se</w:t>
      </w:r>
      <w:r>
        <w:rPr>
          <w:rFonts w:ascii="Arial" w:hAnsi="Arial" w:cs="Arial"/>
          <w:sz w:val="24"/>
          <w:szCs w:val="24"/>
        </w:rPr>
        <w:t>t out an efficiency and s</w:t>
      </w:r>
      <w:r w:rsidRPr="00B1372E">
        <w:rPr>
          <w:rFonts w:ascii="Arial" w:hAnsi="Arial" w:cs="Arial"/>
          <w:sz w:val="24"/>
          <w:szCs w:val="24"/>
        </w:rPr>
        <w:t>avings</w:t>
      </w:r>
      <w:r>
        <w:rPr>
          <w:rFonts w:ascii="Arial" w:hAnsi="Arial" w:cs="Arial"/>
          <w:sz w:val="24"/>
          <w:szCs w:val="24"/>
        </w:rPr>
        <w:t xml:space="preserve"> requirement</w:t>
      </w:r>
      <w:r w:rsidRPr="00B1372E">
        <w:rPr>
          <w:rFonts w:ascii="Arial" w:hAnsi="Arial" w:cs="Arial"/>
          <w:sz w:val="24"/>
          <w:szCs w:val="24"/>
        </w:rPr>
        <w:t xml:space="preserve"> of </w:t>
      </w:r>
      <w:r w:rsidRPr="00B1372E">
        <w:rPr>
          <w:rFonts w:ascii="Arial" w:hAnsi="Arial" w:cs="Arial"/>
          <w:b/>
          <w:sz w:val="24"/>
          <w:szCs w:val="24"/>
        </w:rPr>
        <w:t>£</w:t>
      </w:r>
      <w:r>
        <w:rPr>
          <w:rFonts w:ascii="Arial" w:hAnsi="Arial" w:cs="Arial"/>
          <w:b/>
          <w:sz w:val="24"/>
          <w:szCs w:val="24"/>
        </w:rPr>
        <w:t>6.413</w:t>
      </w:r>
      <w:r w:rsidRPr="00B1372E">
        <w:rPr>
          <w:rFonts w:ascii="Arial" w:hAnsi="Arial" w:cs="Arial"/>
          <w:b/>
          <w:sz w:val="24"/>
          <w:szCs w:val="24"/>
        </w:rPr>
        <w:t>M</w:t>
      </w:r>
      <w:r>
        <w:rPr>
          <w:rFonts w:ascii="Arial" w:hAnsi="Arial" w:cs="Arial"/>
          <w:sz w:val="24"/>
          <w:szCs w:val="24"/>
        </w:rPr>
        <w:t xml:space="preserve">. </w:t>
      </w:r>
    </w:p>
    <w:p w14:paraId="0B27ACC6" w14:textId="39D3A914" w:rsidR="002A4F1B" w:rsidRDefault="00F37C05" w:rsidP="002A4F1B">
      <w:pPr>
        <w:spacing w:after="0" w:line="240" w:lineRule="auto"/>
        <w:ind w:left="709"/>
        <w:rPr>
          <w:rFonts w:ascii="Arial" w:hAnsi="Arial" w:cs="Arial"/>
          <w:sz w:val="24"/>
          <w:szCs w:val="24"/>
        </w:rPr>
      </w:pPr>
      <w:r>
        <w:rPr>
          <w:rFonts w:ascii="Arial" w:hAnsi="Arial" w:cs="Arial"/>
          <w:sz w:val="24"/>
          <w:szCs w:val="24"/>
        </w:rPr>
        <w:t>The Budget set out</w:t>
      </w:r>
      <w:r w:rsidR="00ED3DE9">
        <w:rPr>
          <w:rFonts w:ascii="Arial" w:hAnsi="Arial" w:cs="Arial"/>
          <w:sz w:val="24"/>
          <w:szCs w:val="24"/>
        </w:rPr>
        <w:t xml:space="preserve"> cashable savi</w:t>
      </w:r>
      <w:r>
        <w:rPr>
          <w:rFonts w:ascii="Arial" w:hAnsi="Arial" w:cs="Arial"/>
          <w:sz w:val="24"/>
          <w:szCs w:val="24"/>
        </w:rPr>
        <w:t>ngs of £4.753</w:t>
      </w:r>
      <w:r w:rsidR="002A4F1B">
        <w:rPr>
          <w:rFonts w:ascii="Arial" w:hAnsi="Arial" w:cs="Arial"/>
          <w:sz w:val="24"/>
          <w:szCs w:val="24"/>
        </w:rPr>
        <w:t>M</w:t>
      </w:r>
      <w:r w:rsidR="00ED3DE9">
        <w:rPr>
          <w:rFonts w:ascii="Arial" w:hAnsi="Arial" w:cs="Arial"/>
          <w:sz w:val="24"/>
          <w:szCs w:val="24"/>
        </w:rPr>
        <w:t xml:space="preserve"> with </w:t>
      </w:r>
      <w:r w:rsidR="002A4F1B">
        <w:rPr>
          <w:rFonts w:ascii="Arial" w:hAnsi="Arial" w:cs="Arial"/>
          <w:sz w:val="24"/>
          <w:szCs w:val="24"/>
        </w:rPr>
        <w:t>a further £3.609m non-cashable efficiencies identified which in total exceeds the overall Savings and Efficiency target by £</w:t>
      </w:r>
      <w:r w:rsidR="00AB4AF3">
        <w:rPr>
          <w:rFonts w:ascii="Arial" w:hAnsi="Arial" w:cs="Arial"/>
          <w:sz w:val="24"/>
          <w:szCs w:val="24"/>
        </w:rPr>
        <w:t>1.94</w:t>
      </w:r>
      <w:r w:rsidR="000B46D3">
        <w:rPr>
          <w:rFonts w:ascii="Arial" w:hAnsi="Arial" w:cs="Arial"/>
          <w:sz w:val="24"/>
          <w:szCs w:val="24"/>
        </w:rPr>
        <w:t>9</w:t>
      </w:r>
      <w:r w:rsidR="00AB4AF3">
        <w:rPr>
          <w:rFonts w:ascii="Arial" w:hAnsi="Arial" w:cs="Arial"/>
          <w:sz w:val="24"/>
          <w:szCs w:val="24"/>
        </w:rPr>
        <w:t>m.</w:t>
      </w:r>
    </w:p>
    <w:p w14:paraId="5C4169C5" w14:textId="77777777" w:rsidR="00F37C05" w:rsidRDefault="00F37C05" w:rsidP="002A4F1B">
      <w:pPr>
        <w:spacing w:after="0" w:line="240" w:lineRule="auto"/>
        <w:ind w:left="709"/>
        <w:rPr>
          <w:rFonts w:ascii="Arial" w:hAnsi="Arial" w:cs="Arial"/>
          <w:sz w:val="24"/>
          <w:szCs w:val="24"/>
        </w:rPr>
      </w:pPr>
    </w:p>
    <w:p w14:paraId="49C64DA1" w14:textId="1A6AC35F" w:rsidR="00F37C05" w:rsidRDefault="00F67F9D" w:rsidP="00F37C05">
      <w:pPr>
        <w:spacing w:after="0" w:line="240" w:lineRule="auto"/>
        <w:ind w:left="709"/>
        <w:rPr>
          <w:rFonts w:ascii="Arial" w:hAnsi="Arial" w:cs="Arial"/>
          <w:sz w:val="24"/>
          <w:szCs w:val="24"/>
        </w:rPr>
      </w:pPr>
      <w:r>
        <w:rPr>
          <w:rFonts w:ascii="Arial" w:hAnsi="Arial" w:cs="Arial"/>
          <w:sz w:val="24"/>
          <w:szCs w:val="24"/>
        </w:rPr>
        <w:t>T</w:t>
      </w:r>
      <w:r w:rsidR="00F37C05">
        <w:rPr>
          <w:rFonts w:ascii="Arial" w:hAnsi="Arial" w:cs="Arial"/>
          <w:sz w:val="24"/>
          <w:szCs w:val="24"/>
        </w:rPr>
        <w:t>here are cashable savings of £4.667M with a further £4.</w:t>
      </w:r>
      <w:r w:rsidR="00EA7B5E">
        <w:rPr>
          <w:rFonts w:ascii="Arial" w:hAnsi="Arial" w:cs="Arial"/>
          <w:sz w:val="24"/>
          <w:szCs w:val="24"/>
        </w:rPr>
        <w:t>649</w:t>
      </w:r>
      <w:r w:rsidR="00F37C05">
        <w:rPr>
          <w:rFonts w:ascii="Arial" w:hAnsi="Arial" w:cs="Arial"/>
          <w:sz w:val="24"/>
          <w:szCs w:val="24"/>
        </w:rPr>
        <w:t>m non-cashable efficiencies identified which in total exceeds the overall Savings and Efficiency target by £2.</w:t>
      </w:r>
      <w:r w:rsidR="00EA7B5E">
        <w:rPr>
          <w:rFonts w:ascii="Arial" w:hAnsi="Arial" w:cs="Arial"/>
          <w:sz w:val="24"/>
          <w:szCs w:val="24"/>
        </w:rPr>
        <w:t>903</w:t>
      </w:r>
      <w:r w:rsidR="00F37C05">
        <w:rPr>
          <w:rFonts w:ascii="Arial" w:hAnsi="Arial" w:cs="Arial"/>
          <w:sz w:val="24"/>
          <w:szCs w:val="24"/>
        </w:rPr>
        <w:t>m.</w:t>
      </w:r>
      <w:r w:rsidR="008B029E" w:rsidRPr="008B029E">
        <w:t xml:space="preserve"> </w:t>
      </w:r>
      <w:r w:rsidR="008B029E" w:rsidRPr="008B029E">
        <w:rPr>
          <w:rFonts w:ascii="Arial" w:hAnsi="Arial" w:cs="Arial"/>
          <w:sz w:val="24"/>
          <w:szCs w:val="24"/>
        </w:rPr>
        <w:t>All cashable savings for 2019/20 have now been realised.</w:t>
      </w:r>
    </w:p>
    <w:p w14:paraId="615E7295" w14:textId="5BAF894D" w:rsidR="001F1E3B" w:rsidRDefault="001F1E3B" w:rsidP="00F37C05">
      <w:pPr>
        <w:spacing w:after="0" w:line="240" w:lineRule="auto"/>
        <w:ind w:left="709"/>
        <w:rPr>
          <w:rFonts w:ascii="Arial" w:hAnsi="Arial" w:cs="Arial"/>
          <w:sz w:val="24"/>
          <w:szCs w:val="24"/>
        </w:rPr>
      </w:pPr>
    </w:p>
    <w:p w14:paraId="2A4A31EC" w14:textId="77777777" w:rsidR="00EF6020" w:rsidRDefault="00EF6020" w:rsidP="00C040BE">
      <w:pPr>
        <w:pStyle w:val="NoSpacing"/>
        <w:ind w:left="720"/>
        <w:rPr>
          <w:rFonts w:ascii="Arial" w:hAnsi="Arial" w:cs="Arial"/>
          <w:sz w:val="24"/>
          <w:szCs w:val="24"/>
        </w:rPr>
      </w:pPr>
    </w:p>
    <w:p w14:paraId="7B69E314" w14:textId="77777777" w:rsidR="00121A7F" w:rsidRPr="007D3E9B" w:rsidRDefault="00665862" w:rsidP="00690911">
      <w:pPr>
        <w:pStyle w:val="NoSpacing"/>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14:paraId="283966E2" w14:textId="77777777" w:rsidR="00121A7F" w:rsidRPr="007D3E9B" w:rsidRDefault="00121A7F" w:rsidP="007D3E9B">
      <w:pPr>
        <w:pStyle w:val="NoSpacing"/>
        <w:ind w:left="720"/>
        <w:rPr>
          <w:rFonts w:ascii="Arial" w:hAnsi="Arial" w:cs="Arial"/>
          <w:b/>
          <w:sz w:val="24"/>
          <w:szCs w:val="24"/>
        </w:rPr>
      </w:pPr>
    </w:p>
    <w:p w14:paraId="3D2CC63E" w14:textId="20B47ED6" w:rsidR="009D1977" w:rsidRDefault="00C040BE" w:rsidP="00C14888">
      <w:pPr>
        <w:spacing w:after="0" w:line="240" w:lineRule="auto"/>
        <w:ind w:left="709"/>
        <w:rPr>
          <w:rFonts w:ascii="Arial" w:hAnsi="Arial" w:cs="Arial"/>
          <w:sz w:val="24"/>
          <w:szCs w:val="24"/>
        </w:rPr>
      </w:pPr>
      <w:r w:rsidRPr="00373F7B">
        <w:rPr>
          <w:rFonts w:ascii="Arial" w:hAnsi="Arial" w:cs="Arial"/>
          <w:sz w:val="24"/>
          <w:szCs w:val="24"/>
        </w:rPr>
        <w:t>The P</w:t>
      </w:r>
      <w:r w:rsidR="00E55BFD">
        <w:rPr>
          <w:rFonts w:ascii="Arial" w:hAnsi="Arial" w:cs="Arial"/>
          <w:sz w:val="24"/>
          <w:szCs w:val="24"/>
        </w:rPr>
        <w:t>F</w:t>
      </w:r>
      <w:r w:rsidRPr="00373F7B">
        <w:rPr>
          <w:rFonts w:ascii="Arial" w:hAnsi="Arial" w:cs="Arial"/>
          <w:sz w:val="24"/>
          <w:szCs w:val="24"/>
        </w:rPr>
        <w:t xml:space="preserve">CC agreed </w:t>
      </w:r>
      <w:r w:rsidR="00833507">
        <w:rPr>
          <w:rFonts w:ascii="Arial" w:hAnsi="Arial" w:cs="Arial"/>
          <w:sz w:val="24"/>
          <w:szCs w:val="24"/>
        </w:rPr>
        <w:t xml:space="preserve">cashable and non-cashable </w:t>
      </w:r>
      <w:r w:rsidRPr="00373F7B">
        <w:rPr>
          <w:rFonts w:ascii="Arial" w:hAnsi="Arial" w:cs="Arial"/>
          <w:sz w:val="24"/>
          <w:szCs w:val="24"/>
        </w:rPr>
        <w:t>savings and investment plans within the</w:t>
      </w:r>
      <w:r w:rsidR="00833507">
        <w:rPr>
          <w:rFonts w:ascii="Arial" w:hAnsi="Arial" w:cs="Arial"/>
          <w:sz w:val="24"/>
          <w:szCs w:val="24"/>
        </w:rPr>
        <w:t xml:space="preserve"> 2019/20</w:t>
      </w:r>
      <w:r w:rsidR="00C14888">
        <w:rPr>
          <w:rFonts w:ascii="Arial" w:hAnsi="Arial" w:cs="Arial"/>
          <w:sz w:val="24"/>
          <w:szCs w:val="24"/>
        </w:rPr>
        <w:t xml:space="preserve"> budget. </w:t>
      </w:r>
      <w:r w:rsidR="00A73F34">
        <w:rPr>
          <w:rFonts w:ascii="Arial" w:hAnsi="Arial" w:cs="Arial"/>
          <w:sz w:val="24"/>
          <w:szCs w:val="24"/>
        </w:rPr>
        <w:t>The Bud</w:t>
      </w:r>
      <w:r w:rsidR="002A4F1B">
        <w:rPr>
          <w:rFonts w:ascii="Arial" w:hAnsi="Arial" w:cs="Arial"/>
          <w:sz w:val="24"/>
          <w:szCs w:val="24"/>
        </w:rPr>
        <w:t>get for 2019/20</w:t>
      </w:r>
      <w:r w:rsidR="00801ECC">
        <w:rPr>
          <w:rFonts w:ascii="Arial" w:hAnsi="Arial" w:cs="Arial"/>
          <w:sz w:val="24"/>
          <w:szCs w:val="24"/>
        </w:rPr>
        <w:t xml:space="preserve"> </w:t>
      </w:r>
      <w:r w:rsidR="00FE76FC">
        <w:rPr>
          <w:rFonts w:ascii="Arial" w:hAnsi="Arial" w:cs="Arial"/>
          <w:sz w:val="24"/>
          <w:szCs w:val="24"/>
        </w:rPr>
        <w:t xml:space="preserve">was </w:t>
      </w:r>
      <w:r w:rsidR="00801ECC">
        <w:rPr>
          <w:rFonts w:ascii="Arial" w:hAnsi="Arial" w:cs="Arial"/>
          <w:sz w:val="24"/>
          <w:szCs w:val="24"/>
        </w:rPr>
        <w:t xml:space="preserve">presented </w:t>
      </w:r>
      <w:r w:rsidR="00FE76FC">
        <w:rPr>
          <w:rFonts w:ascii="Arial" w:hAnsi="Arial" w:cs="Arial"/>
          <w:sz w:val="24"/>
          <w:szCs w:val="24"/>
        </w:rPr>
        <w:t xml:space="preserve">and agreed by </w:t>
      </w:r>
      <w:r w:rsidR="00785D1E">
        <w:rPr>
          <w:rFonts w:ascii="Arial" w:hAnsi="Arial" w:cs="Arial"/>
          <w:sz w:val="24"/>
          <w:szCs w:val="24"/>
        </w:rPr>
        <w:t>the</w:t>
      </w:r>
      <w:r w:rsidR="00801ECC" w:rsidRPr="00801ECC">
        <w:rPr>
          <w:rFonts w:ascii="Arial" w:hAnsi="Arial" w:cs="Arial"/>
          <w:sz w:val="24"/>
          <w:szCs w:val="24"/>
        </w:rPr>
        <w:t xml:space="preserve"> </w:t>
      </w:r>
      <w:r w:rsidR="00801ECC">
        <w:rPr>
          <w:rFonts w:ascii="Arial" w:hAnsi="Arial" w:cs="Arial"/>
          <w:sz w:val="24"/>
          <w:szCs w:val="24"/>
        </w:rPr>
        <w:t xml:space="preserve">Police and Crime </w:t>
      </w:r>
      <w:r w:rsidR="00785D1E">
        <w:rPr>
          <w:rFonts w:ascii="Arial" w:hAnsi="Arial" w:cs="Arial"/>
          <w:sz w:val="24"/>
          <w:szCs w:val="24"/>
        </w:rPr>
        <w:t xml:space="preserve">Panel </w:t>
      </w:r>
      <w:r w:rsidR="00785D1E" w:rsidRPr="00373F7B">
        <w:rPr>
          <w:rFonts w:ascii="Arial" w:hAnsi="Arial" w:cs="Arial"/>
          <w:sz w:val="24"/>
          <w:szCs w:val="24"/>
        </w:rPr>
        <w:t>on</w:t>
      </w:r>
      <w:r w:rsidR="002A4F1B">
        <w:rPr>
          <w:rFonts w:ascii="Arial" w:hAnsi="Arial" w:cs="Arial"/>
          <w:sz w:val="24"/>
          <w:szCs w:val="24"/>
        </w:rPr>
        <w:t xml:space="preserve"> 24th</w:t>
      </w:r>
      <w:r w:rsidR="00801ECC">
        <w:rPr>
          <w:rFonts w:ascii="Arial" w:hAnsi="Arial" w:cs="Arial"/>
          <w:sz w:val="24"/>
          <w:szCs w:val="24"/>
        </w:rPr>
        <w:t xml:space="preserve"> </w:t>
      </w:r>
      <w:r w:rsidR="00785D1E">
        <w:rPr>
          <w:rFonts w:ascii="Arial" w:hAnsi="Arial" w:cs="Arial"/>
          <w:sz w:val="24"/>
          <w:szCs w:val="24"/>
        </w:rPr>
        <w:t>January</w:t>
      </w:r>
      <w:r w:rsidR="002A4F1B">
        <w:rPr>
          <w:rFonts w:ascii="Arial" w:hAnsi="Arial" w:cs="Arial"/>
          <w:sz w:val="24"/>
          <w:szCs w:val="24"/>
        </w:rPr>
        <w:t xml:space="preserve"> 2019</w:t>
      </w:r>
      <w:r w:rsidR="009D1977">
        <w:rPr>
          <w:rFonts w:ascii="Arial" w:hAnsi="Arial" w:cs="Arial"/>
          <w:sz w:val="24"/>
          <w:szCs w:val="24"/>
        </w:rPr>
        <w:t xml:space="preserve">. </w:t>
      </w:r>
    </w:p>
    <w:p w14:paraId="79BDFFB4" w14:textId="77777777" w:rsidR="009D1977" w:rsidRDefault="009D1977" w:rsidP="00C14888">
      <w:pPr>
        <w:spacing w:after="0" w:line="240" w:lineRule="auto"/>
        <w:ind w:left="709"/>
        <w:rPr>
          <w:rFonts w:ascii="Arial" w:hAnsi="Arial" w:cs="Arial"/>
          <w:sz w:val="24"/>
          <w:szCs w:val="24"/>
        </w:rPr>
      </w:pPr>
    </w:p>
    <w:p w14:paraId="09078BAA" w14:textId="77777777" w:rsidR="00803A6B" w:rsidRDefault="00785D1E" w:rsidP="009D1977">
      <w:pPr>
        <w:spacing w:after="0" w:line="240" w:lineRule="auto"/>
        <w:ind w:left="709"/>
        <w:rPr>
          <w:rFonts w:ascii="Arial" w:hAnsi="Arial" w:cs="Arial"/>
          <w:sz w:val="24"/>
          <w:szCs w:val="24"/>
        </w:rPr>
      </w:pPr>
      <w:r w:rsidRPr="00A73F34">
        <w:rPr>
          <w:rFonts w:ascii="Arial" w:hAnsi="Arial" w:cs="Arial"/>
          <w:sz w:val="24"/>
          <w:szCs w:val="24"/>
        </w:rPr>
        <w:t>The Police</w:t>
      </w:r>
      <w:r w:rsidR="006A0919">
        <w:rPr>
          <w:rFonts w:ascii="Arial" w:hAnsi="Arial" w:cs="Arial"/>
          <w:sz w:val="24"/>
          <w:szCs w:val="24"/>
        </w:rPr>
        <w:t>, Fire</w:t>
      </w:r>
      <w:r w:rsidR="00A73F34">
        <w:rPr>
          <w:rFonts w:ascii="Arial" w:hAnsi="Arial" w:cs="Arial"/>
          <w:sz w:val="24"/>
          <w:szCs w:val="24"/>
        </w:rPr>
        <w:t xml:space="preserve"> and Crime </w:t>
      </w:r>
      <w:r w:rsidR="00A73F34" w:rsidRPr="00A73F34">
        <w:rPr>
          <w:rFonts w:ascii="Arial" w:hAnsi="Arial" w:cs="Arial"/>
          <w:sz w:val="24"/>
          <w:szCs w:val="24"/>
        </w:rPr>
        <w:t xml:space="preserve">Commissioner </w:t>
      </w:r>
      <w:r w:rsidR="009D1977">
        <w:rPr>
          <w:rFonts w:ascii="Arial" w:hAnsi="Arial" w:cs="Arial"/>
          <w:sz w:val="24"/>
          <w:szCs w:val="24"/>
        </w:rPr>
        <w:t>s</w:t>
      </w:r>
      <w:r w:rsidR="002C1ADA" w:rsidRPr="00A73F34">
        <w:rPr>
          <w:rFonts w:ascii="Arial" w:hAnsi="Arial" w:cs="Arial"/>
          <w:sz w:val="24"/>
          <w:szCs w:val="24"/>
        </w:rPr>
        <w:t>et</w:t>
      </w:r>
      <w:r w:rsidR="00A73F34" w:rsidRPr="00A73F34">
        <w:rPr>
          <w:rFonts w:ascii="Arial" w:hAnsi="Arial" w:cs="Arial"/>
          <w:sz w:val="24"/>
          <w:szCs w:val="24"/>
        </w:rPr>
        <w:t xml:space="preserve"> </w:t>
      </w:r>
      <w:r w:rsidRPr="00A73F34">
        <w:rPr>
          <w:rFonts w:ascii="Arial" w:hAnsi="Arial" w:cs="Arial"/>
          <w:sz w:val="24"/>
          <w:szCs w:val="24"/>
        </w:rPr>
        <w:t>a</w:t>
      </w:r>
      <w:r w:rsidR="00A73F34" w:rsidRPr="00A73F34">
        <w:rPr>
          <w:rFonts w:ascii="Arial" w:hAnsi="Arial" w:cs="Arial"/>
          <w:sz w:val="24"/>
          <w:szCs w:val="24"/>
        </w:rPr>
        <w:t xml:space="preserve"> savings and efficiency target of 2% of Sources of Funding from 2019/20</w:t>
      </w:r>
      <w:r>
        <w:rPr>
          <w:rFonts w:ascii="Arial" w:hAnsi="Arial" w:cs="Arial"/>
          <w:sz w:val="24"/>
          <w:szCs w:val="24"/>
        </w:rPr>
        <w:t>.</w:t>
      </w:r>
      <w:r w:rsidR="00C157CE">
        <w:rPr>
          <w:rFonts w:ascii="Arial" w:hAnsi="Arial" w:cs="Arial"/>
          <w:sz w:val="24"/>
          <w:szCs w:val="24"/>
        </w:rPr>
        <w:t xml:space="preserve"> A higher 2.25% savings and efficiency ambition has been set by the Force Efficiency &amp; Savings Board to provide </w:t>
      </w:r>
      <w:r w:rsidR="008F3195">
        <w:rPr>
          <w:rFonts w:ascii="Arial" w:hAnsi="Arial" w:cs="Arial"/>
          <w:sz w:val="24"/>
          <w:szCs w:val="24"/>
        </w:rPr>
        <w:t xml:space="preserve">additional stretch </w:t>
      </w:r>
      <w:r w:rsidR="008A5ABB">
        <w:rPr>
          <w:rFonts w:ascii="Arial" w:hAnsi="Arial" w:cs="Arial"/>
          <w:sz w:val="24"/>
          <w:szCs w:val="24"/>
        </w:rPr>
        <w:t>and contingency should savings and efficiency plans not achieve the full expected benefits.</w:t>
      </w:r>
      <w:r w:rsidR="009D1977" w:rsidRPr="009D1977">
        <w:rPr>
          <w:rFonts w:ascii="Arial" w:hAnsi="Arial" w:cs="Arial"/>
          <w:sz w:val="24"/>
          <w:szCs w:val="24"/>
        </w:rPr>
        <w:t xml:space="preserve"> </w:t>
      </w:r>
    </w:p>
    <w:p w14:paraId="0185A233" w14:textId="77777777" w:rsidR="009D1977" w:rsidRDefault="009D1977" w:rsidP="00FC521C">
      <w:pPr>
        <w:spacing w:after="0" w:line="240" w:lineRule="auto"/>
        <w:rPr>
          <w:rFonts w:ascii="Arial" w:hAnsi="Arial" w:cs="Arial"/>
          <w:sz w:val="24"/>
          <w:szCs w:val="24"/>
        </w:rPr>
      </w:pPr>
    </w:p>
    <w:p w14:paraId="7EAC1CCB" w14:textId="4772A0DF" w:rsidR="00A73F34" w:rsidRDefault="00A73F34" w:rsidP="00A73F34">
      <w:pPr>
        <w:spacing w:after="0" w:line="240" w:lineRule="auto"/>
        <w:ind w:left="709"/>
        <w:rPr>
          <w:rFonts w:ascii="Arial" w:hAnsi="Arial" w:cs="Arial"/>
          <w:sz w:val="24"/>
          <w:szCs w:val="24"/>
        </w:rPr>
      </w:pPr>
      <w:r w:rsidRPr="00881EA0">
        <w:rPr>
          <w:rFonts w:ascii="Arial" w:hAnsi="Arial" w:cs="Arial"/>
          <w:sz w:val="24"/>
          <w:szCs w:val="24"/>
        </w:rPr>
        <w:t xml:space="preserve">The </w:t>
      </w:r>
      <w:r w:rsidRPr="004E7E29">
        <w:rPr>
          <w:rFonts w:ascii="Arial" w:hAnsi="Arial" w:cs="Arial"/>
          <w:sz w:val="24"/>
          <w:szCs w:val="24"/>
        </w:rPr>
        <w:t>Force estimate</w:t>
      </w:r>
      <w:r w:rsidRPr="00881EA0">
        <w:rPr>
          <w:rFonts w:ascii="Arial" w:hAnsi="Arial" w:cs="Arial"/>
          <w:sz w:val="24"/>
          <w:szCs w:val="24"/>
        </w:rPr>
        <w:t>s the future budget requirement</w:t>
      </w:r>
      <w:r w:rsidR="006A0919">
        <w:rPr>
          <w:rFonts w:ascii="Arial" w:hAnsi="Arial" w:cs="Arial"/>
          <w:sz w:val="24"/>
          <w:szCs w:val="24"/>
        </w:rPr>
        <w:t xml:space="preserve">, </w:t>
      </w:r>
      <w:r w:rsidRPr="00881EA0">
        <w:rPr>
          <w:rFonts w:ascii="Arial" w:hAnsi="Arial" w:cs="Arial"/>
          <w:sz w:val="24"/>
          <w:szCs w:val="24"/>
        </w:rPr>
        <w:t xml:space="preserve">funding position, and any </w:t>
      </w:r>
      <w:r w:rsidRPr="004E7E29">
        <w:rPr>
          <w:rFonts w:ascii="Arial" w:hAnsi="Arial" w:cs="Arial"/>
          <w:sz w:val="24"/>
          <w:szCs w:val="24"/>
        </w:rPr>
        <w:t xml:space="preserve">further savings </w:t>
      </w:r>
      <w:r w:rsidR="006A0919">
        <w:rPr>
          <w:rFonts w:ascii="Arial" w:hAnsi="Arial" w:cs="Arial"/>
          <w:sz w:val="24"/>
          <w:szCs w:val="24"/>
        </w:rPr>
        <w:t xml:space="preserve">and efficiency </w:t>
      </w:r>
      <w:r w:rsidRPr="004E7E29">
        <w:rPr>
          <w:rFonts w:ascii="Arial" w:hAnsi="Arial" w:cs="Arial"/>
          <w:sz w:val="24"/>
          <w:szCs w:val="24"/>
        </w:rPr>
        <w:t>requirement</w:t>
      </w:r>
      <w:r w:rsidRPr="00881EA0">
        <w:rPr>
          <w:rFonts w:ascii="Arial" w:hAnsi="Arial" w:cs="Arial"/>
          <w:sz w:val="24"/>
          <w:szCs w:val="24"/>
        </w:rPr>
        <w:t xml:space="preserve"> within its MTFS.</w:t>
      </w:r>
      <w:r w:rsidR="00785D1E" w:rsidRPr="00785D1E">
        <w:rPr>
          <w:rFonts w:ascii="Arial" w:hAnsi="Arial" w:cs="Arial"/>
          <w:sz w:val="24"/>
          <w:szCs w:val="24"/>
        </w:rPr>
        <w:t xml:space="preserve"> </w:t>
      </w:r>
      <w:r w:rsidR="00785D1E" w:rsidRPr="00373F7B">
        <w:rPr>
          <w:rFonts w:ascii="Arial" w:hAnsi="Arial" w:cs="Arial"/>
          <w:sz w:val="24"/>
          <w:szCs w:val="24"/>
        </w:rPr>
        <w:t xml:space="preserve">The </w:t>
      </w:r>
      <w:r w:rsidR="006A0919">
        <w:rPr>
          <w:rFonts w:ascii="Arial" w:hAnsi="Arial" w:cs="Arial"/>
          <w:sz w:val="24"/>
          <w:szCs w:val="24"/>
        </w:rPr>
        <w:t xml:space="preserve">projected </w:t>
      </w:r>
      <w:r w:rsidR="00785D1E" w:rsidRPr="00373F7B">
        <w:rPr>
          <w:rFonts w:ascii="Arial" w:hAnsi="Arial" w:cs="Arial"/>
          <w:sz w:val="24"/>
          <w:szCs w:val="24"/>
        </w:rPr>
        <w:t>savings</w:t>
      </w:r>
      <w:r w:rsidR="00785D1E">
        <w:rPr>
          <w:rFonts w:ascii="Arial" w:hAnsi="Arial" w:cs="Arial"/>
          <w:sz w:val="24"/>
          <w:szCs w:val="24"/>
        </w:rPr>
        <w:t xml:space="preserve"> and efficiency </w:t>
      </w:r>
      <w:r w:rsidR="00785D1E" w:rsidRPr="00373F7B">
        <w:rPr>
          <w:rFonts w:ascii="Arial" w:hAnsi="Arial" w:cs="Arial"/>
          <w:sz w:val="24"/>
          <w:szCs w:val="24"/>
        </w:rPr>
        <w:t>plan</w:t>
      </w:r>
      <w:r w:rsidR="006A0919">
        <w:rPr>
          <w:rFonts w:ascii="Arial" w:hAnsi="Arial" w:cs="Arial"/>
          <w:sz w:val="24"/>
          <w:szCs w:val="24"/>
        </w:rPr>
        <w:t xml:space="preserve"> target for </w:t>
      </w:r>
      <w:r w:rsidR="00466C37">
        <w:rPr>
          <w:rFonts w:ascii="Arial" w:hAnsi="Arial" w:cs="Arial"/>
          <w:sz w:val="24"/>
          <w:szCs w:val="24"/>
        </w:rPr>
        <w:t>20</w:t>
      </w:r>
      <w:r w:rsidR="00175AA9">
        <w:rPr>
          <w:rFonts w:ascii="Arial" w:hAnsi="Arial" w:cs="Arial"/>
          <w:sz w:val="24"/>
          <w:szCs w:val="24"/>
        </w:rPr>
        <w:t>20</w:t>
      </w:r>
      <w:r w:rsidR="006A0919">
        <w:rPr>
          <w:rFonts w:ascii="Arial" w:hAnsi="Arial" w:cs="Arial"/>
          <w:sz w:val="24"/>
          <w:szCs w:val="24"/>
        </w:rPr>
        <w:t>/2</w:t>
      </w:r>
      <w:r w:rsidR="00175AA9">
        <w:rPr>
          <w:rFonts w:ascii="Arial" w:hAnsi="Arial" w:cs="Arial"/>
          <w:sz w:val="24"/>
          <w:szCs w:val="24"/>
        </w:rPr>
        <w:t>1</w:t>
      </w:r>
      <w:r w:rsidR="006A0919">
        <w:rPr>
          <w:rFonts w:ascii="Arial" w:hAnsi="Arial" w:cs="Arial"/>
          <w:sz w:val="24"/>
          <w:szCs w:val="24"/>
        </w:rPr>
        <w:t xml:space="preserve"> and subsequent years will </w:t>
      </w:r>
      <w:r w:rsidR="00785D1E" w:rsidRPr="00373F7B">
        <w:rPr>
          <w:rFonts w:ascii="Arial" w:hAnsi="Arial" w:cs="Arial"/>
          <w:sz w:val="24"/>
          <w:szCs w:val="24"/>
        </w:rPr>
        <w:t xml:space="preserve">therefore be </w:t>
      </w:r>
      <w:r w:rsidR="00785D1E">
        <w:rPr>
          <w:rFonts w:ascii="Arial" w:hAnsi="Arial" w:cs="Arial"/>
          <w:sz w:val="24"/>
          <w:szCs w:val="24"/>
        </w:rPr>
        <w:t xml:space="preserve">impacted and </w:t>
      </w:r>
      <w:r w:rsidR="00785D1E" w:rsidRPr="00373F7B">
        <w:rPr>
          <w:rFonts w:ascii="Arial" w:hAnsi="Arial" w:cs="Arial"/>
          <w:sz w:val="24"/>
          <w:szCs w:val="24"/>
        </w:rPr>
        <w:t xml:space="preserve">adapted </w:t>
      </w:r>
      <w:r w:rsidR="006A0919">
        <w:rPr>
          <w:rFonts w:ascii="Arial" w:hAnsi="Arial" w:cs="Arial"/>
          <w:sz w:val="24"/>
          <w:szCs w:val="24"/>
        </w:rPr>
        <w:t xml:space="preserve">as </w:t>
      </w:r>
      <w:r w:rsidR="00E93B7D">
        <w:rPr>
          <w:rFonts w:ascii="Arial" w:hAnsi="Arial" w:cs="Arial"/>
          <w:sz w:val="24"/>
          <w:szCs w:val="24"/>
        </w:rPr>
        <w:t xml:space="preserve">projections for </w:t>
      </w:r>
      <w:r w:rsidR="000B59B9">
        <w:rPr>
          <w:rFonts w:ascii="Arial" w:hAnsi="Arial" w:cs="Arial"/>
          <w:sz w:val="24"/>
          <w:szCs w:val="24"/>
        </w:rPr>
        <w:t xml:space="preserve">sources of </w:t>
      </w:r>
      <w:r w:rsidR="006A0919">
        <w:rPr>
          <w:rFonts w:ascii="Arial" w:hAnsi="Arial" w:cs="Arial"/>
          <w:sz w:val="24"/>
          <w:szCs w:val="24"/>
        </w:rPr>
        <w:t>funding are updated within the MTFS.</w:t>
      </w:r>
    </w:p>
    <w:p w14:paraId="2BD9A6A3" w14:textId="77777777" w:rsidR="00373F7B" w:rsidRPr="00373F7B" w:rsidRDefault="00373F7B" w:rsidP="007D3E9B">
      <w:pPr>
        <w:spacing w:after="0" w:line="240" w:lineRule="auto"/>
        <w:ind w:left="709"/>
        <w:rPr>
          <w:rFonts w:ascii="Arial" w:hAnsi="Arial" w:cs="Arial"/>
          <w:sz w:val="24"/>
          <w:szCs w:val="24"/>
        </w:rPr>
      </w:pPr>
    </w:p>
    <w:p w14:paraId="57DA8937" w14:textId="77777777" w:rsidR="00BE5250" w:rsidRDefault="00BE5250" w:rsidP="00A27B30">
      <w:pPr>
        <w:pStyle w:val="NoSpacing"/>
        <w:rPr>
          <w:rFonts w:ascii="Arial" w:hAnsi="Arial" w:cs="Arial"/>
          <w:b/>
          <w:sz w:val="24"/>
          <w:szCs w:val="24"/>
        </w:rPr>
      </w:pPr>
    </w:p>
    <w:p w14:paraId="75CEE030" w14:textId="77777777" w:rsidR="00A27B30" w:rsidRPr="00BE5250" w:rsidRDefault="00E92E89" w:rsidP="00A27B30">
      <w:pPr>
        <w:pStyle w:val="NoSpacing"/>
        <w:rPr>
          <w:rFonts w:ascii="Arial" w:hAnsi="Arial" w:cs="Arial"/>
          <w:sz w:val="24"/>
          <w:szCs w:val="24"/>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A27B30" w:rsidRPr="00A27B30">
        <w:rPr>
          <w:rFonts w:ascii="Arial" w:hAnsi="Arial" w:cs="Arial"/>
          <w:b/>
          <w:sz w:val="24"/>
          <w:szCs w:val="24"/>
          <w:u w:val="single"/>
        </w:rPr>
        <w:t>2019/20 Savings &amp; Efficiency Plan</w:t>
      </w:r>
    </w:p>
    <w:p w14:paraId="1C7B9025" w14:textId="77777777" w:rsidR="00A27B30" w:rsidRPr="007D3E9B" w:rsidRDefault="00A27B30" w:rsidP="00A27B30">
      <w:pPr>
        <w:pStyle w:val="NoSpacing"/>
        <w:ind w:left="709"/>
        <w:rPr>
          <w:rFonts w:ascii="Arial" w:hAnsi="Arial" w:cs="Arial"/>
          <w:b/>
          <w:sz w:val="24"/>
          <w:szCs w:val="24"/>
          <w:u w:val="single"/>
        </w:rPr>
      </w:pPr>
    </w:p>
    <w:p w14:paraId="4B5594E9" w14:textId="4EF7B78F" w:rsidR="00A27B30" w:rsidRDefault="001A67E8" w:rsidP="00C06AFE">
      <w:pPr>
        <w:spacing w:after="0" w:line="240" w:lineRule="auto"/>
        <w:ind w:left="709"/>
        <w:rPr>
          <w:rFonts w:ascii="Arial" w:hAnsi="Arial" w:cs="Arial"/>
          <w:sz w:val="24"/>
          <w:szCs w:val="24"/>
        </w:rPr>
      </w:pPr>
      <w:r>
        <w:rPr>
          <w:rFonts w:ascii="Arial" w:hAnsi="Arial" w:cs="Arial"/>
          <w:sz w:val="24"/>
          <w:szCs w:val="24"/>
        </w:rPr>
        <w:t>The summary table below provides the headline totals from the 2019/20 Savings and Efficiency Plan</w:t>
      </w:r>
      <w:r w:rsidR="00276173">
        <w:rPr>
          <w:rFonts w:ascii="Arial" w:hAnsi="Arial" w:cs="Arial"/>
          <w:sz w:val="24"/>
          <w:szCs w:val="24"/>
        </w:rPr>
        <w:t xml:space="preserve">. </w:t>
      </w:r>
      <w:r w:rsidR="00565CE7" w:rsidRPr="00E412BD">
        <w:rPr>
          <w:rFonts w:ascii="Arial" w:hAnsi="Arial" w:cs="Arial"/>
          <w:sz w:val="24"/>
          <w:szCs w:val="24"/>
        </w:rPr>
        <w:t xml:space="preserve">There </w:t>
      </w:r>
      <w:r w:rsidR="00565CE7">
        <w:rPr>
          <w:rFonts w:ascii="Arial" w:hAnsi="Arial" w:cs="Arial"/>
          <w:sz w:val="24"/>
          <w:szCs w:val="24"/>
        </w:rPr>
        <w:t xml:space="preserve">is one change </w:t>
      </w:r>
      <w:r w:rsidR="00565CE7" w:rsidRPr="00E412BD">
        <w:rPr>
          <w:rFonts w:ascii="Arial" w:hAnsi="Arial" w:cs="Arial"/>
          <w:sz w:val="24"/>
          <w:szCs w:val="24"/>
        </w:rPr>
        <w:t xml:space="preserve">to report on the </w:t>
      </w:r>
      <w:r w:rsidR="00565CE7">
        <w:rPr>
          <w:rFonts w:ascii="Arial" w:hAnsi="Arial" w:cs="Arial"/>
          <w:sz w:val="24"/>
          <w:szCs w:val="24"/>
        </w:rPr>
        <w:t xml:space="preserve">2019/20 non-cashable savings. </w:t>
      </w:r>
      <w:r w:rsidR="00C06AFE">
        <w:rPr>
          <w:rFonts w:ascii="Arial" w:hAnsi="Arial" w:cs="Arial"/>
          <w:sz w:val="24"/>
          <w:szCs w:val="24"/>
        </w:rPr>
        <w:t xml:space="preserve">The 2019/20 non-cashable savings projection in operational hours delivered by Special Constables has been reviewed against assumptions determined at the start of the financial year and increased by £0.571m from £0.722m to £1.293m. </w:t>
      </w:r>
      <w:r w:rsidR="00276173">
        <w:rPr>
          <w:rFonts w:ascii="Arial" w:hAnsi="Arial" w:cs="Arial"/>
          <w:sz w:val="24"/>
          <w:szCs w:val="24"/>
        </w:rPr>
        <w:t xml:space="preserve">There have been no </w:t>
      </w:r>
      <w:r w:rsidR="00ED6C45">
        <w:rPr>
          <w:rFonts w:ascii="Arial" w:hAnsi="Arial" w:cs="Arial"/>
          <w:sz w:val="24"/>
          <w:szCs w:val="24"/>
        </w:rPr>
        <w:t xml:space="preserve">other </w:t>
      </w:r>
      <w:r w:rsidR="00276173">
        <w:rPr>
          <w:rFonts w:ascii="Arial" w:hAnsi="Arial" w:cs="Arial"/>
          <w:sz w:val="24"/>
          <w:szCs w:val="24"/>
        </w:rPr>
        <w:t xml:space="preserve">changes </w:t>
      </w:r>
      <w:r>
        <w:rPr>
          <w:rFonts w:ascii="Arial" w:hAnsi="Arial" w:cs="Arial"/>
          <w:sz w:val="24"/>
          <w:szCs w:val="24"/>
        </w:rPr>
        <w:t xml:space="preserve">between the latest </w:t>
      </w:r>
      <w:r w:rsidR="00ED6C45">
        <w:rPr>
          <w:rFonts w:ascii="Arial" w:hAnsi="Arial" w:cs="Arial"/>
          <w:sz w:val="24"/>
          <w:szCs w:val="24"/>
        </w:rPr>
        <w:t xml:space="preserve">December </w:t>
      </w:r>
      <w:r>
        <w:rPr>
          <w:rFonts w:ascii="Arial" w:hAnsi="Arial" w:cs="Arial"/>
          <w:sz w:val="24"/>
          <w:szCs w:val="24"/>
        </w:rPr>
        <w:t>position and th</w:t>
      </w:r>
      <w:r w:rsidR="00F31CEC">
        <w:rPr>
          <w:rFonts w:ascii="Arial" w:hAnsi="Arial" w:cs="Arial"/>
          <w:sz w:val="24"/>
          <w:szCs w:val="24"/>
        </w:rPr>
        <w:t>e</w:t>
      </w:r>
      <w:r w:rsidR="00D424A0">
        <w:rPr>
          <w:rFonts w:ascii="Arial" w:hAnsi="Arial" w:cs="Arial"/>
          <w:sz w:val="24"/>
          <w:szCs w:val="24"/>
        </w:rPr>
        <w:t xml:space="preserve"> position reported to the </w:t>
      </w:r>
      <w:r w:rsidR="00ED6C45">
        <w:rPr>
          <w:rFonts w:ascii="Arial" w:hAnsi="Arial" w:cs="Arial"/>
          <w:sz w:val="24"/>
          <w:szCs w:val="24"/>
        </w:rPr>
        <w:t xml:space="preserve">November </w:t>
      </w:r>
      <w:r>
        <w:rPr>
          <w:rFonts w:ascii="Arial" w:hAnsi="Arial" w:cs="Arial"/>
          <w:sz w:val="24"/>
          <w:szCs w:val="24"/>
        </w:rPr>
        <w:t xml:space="preserve">Performance and Resources Board.  </w:t>
      </w:r>
    </w:p>
    <w:p w14:paraId="2D3E94B3" w14:textId="77777777" w:rsidR="00C42180" w:rsidRDefault="00C42180" w:rsidP="00A27B30">
      <w:pPr>
        <w:pStyle w:val="NoSpacing"/>
        <w:ind w:left="720"/>
        <w:rPr>
          <w:rFonts w:ascii="Arial" w:hAnsi="Arial" w:cs="Arial"/>
          <w:sz w:val="24"/>
          <w:szCs w:val="24"/>
        </w:rPr>
      </w:pPr>
    </w:p>
    <w:p w14:paraId="54DB59A3" w14:textId="77777777" w:rsidR="00A27B30" w:rsidRDefault="00A27B30" w:rsidP="00A27B30">
      <w:pPr>
        <w:spacing w:after="0" w:line="240" w:lineRule="auto"/>
        <w:ind w:left="720"/>
        <w:contextualSpacing/>
        <w:rPr>
          <w:rFonts w:ascii="Arial" w:hAnsi="Arial"/>
          <w:sz w:val="24"/>
          <w:highlight w:val="yellow"/>
        </w:rPr>
      </w:pPr>
      <w:r>
        <w:rPr>
          <w:rFonts w:ascii="Arial" w:hAnsi="Arial"/>
          <w:sz w:val="24"/>
          <w:highlight w:val="yellow"/>
        </w:rPr>
        <w:t xml:space="preserve">  </w:t>
      </w:r>
    </w:p>
    <w:tbl>
      <w:tblPr>
        <w:tblW w:w="10093" w:type="dxa"/>
        <w:tblInd w:w="809" w:type="dxa"/>
        <w:tblLook w:val="04A0" w:firstRow="1" w:lastRow="0" w:firstColumn="1" w:lastColumn="0" w:noHBand="0" w:noVBand="1"/>
      </w:tblPr>
      <w:tblGrid>
        <w:gridCol w:w="7266"/>
        <w:gridCol w:w="1292"/>
        <w:gridCol w:w="1535"/>
      </w:tblGrid>
      <w:tr w:rsidR="00012A1C" w:rsidRPr="00FE76FC" w14:paraId="7A8DF510" w14:textId="77777777" w:rsidTr="009E4F29">
        <w:trPr>
          <w:trHeight w:val="554"/>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AE68" w14:textId="70C02204" w:rsidR="00012A1C" w:rsidRPr="009E4F29" w:rsidRDefault="00012A1C" w:rsidP="001A67E8">
            <w:pPr>
              <w:spacing w:after="0" w:line="240" w:lineRule="auto"/>
              <w:jc w:val="center"/>
              <w:rPr>
                <w:rFonts w:ascii="Arial" w:eastAsia="Times New Roman" w:hAnsi="Arial" w:cs="Arial"/>
                <w:b/>
                <w:color w:val="000000"/>
                <w:lang w:eastAsia="en-GB"/>
              </w:rPr>
            </w:pPr>
            <w:r w:rsidRPr="009E4F29">
              <w:rPr>
                <w:rFonts w:ascii="Arial" w:eastAsia="Times New Roman" w:hAnsi="Arial" w:cs="Arial"/>
                <w:b/>
                <w:color w:val="000000"/>
                <w:lang w:eastAsia="en-GB"/>
              </w:rPr>
              <w:t>2019/20 Savings and Efficiency Plan – Summary Table</w:t>
            </w:r>
          </w:p>
        </w:tc>
        <w:tc>
          <w:tcPr>
            <w:tcW w:w="1103" w:type="dxa"/>
            <w:tcBorders>
              <w:top w:val="single" w:sz="4" w:space="0" w:color="auto"/>
              <w:left w:val="nil"/>
              <w:bottom w:val="single" w:sz="4" w:space="0" w:color="auto"/>
              <w:right w:val="single" w:sz="4" w:space="0" w:color="auto"/>
            </w:tcBorders>
          </w:tcPr>
          <w:p w14:paraId="36F356B8" w14:textId="77777777" w:rsidR="00012A1C" w:rsidRPr="009E4F29" w:rsidRDefault="00012A1C" w:rsidP="00A27B30">
            <w:pPr>
              <w:spacing w:after="0" w:line="240" w:lineRule="auto"/>
              <w:jc w:val="center"/>
              <w:rPr>
                <w:rFonts w:ascii="Arial" w:eastAsia="Times New Roman" w:hAnsi="Arial" w:cs="Arial"/>
                <w:b/>
                <w:bCs/>
                <w:color w:val="000000"/>
                <w:lang w:eastAsia="en-GB"/>
              </w:rPr>
            </w:pPr>
            <w:r w:rsidRPr="009E4F29">
              <w:rPr>
                <w:rFonts w:ascii="Arial" w:eastAsia="Times New Roman" w:hAnsi="Arial" w:cs="Arial"/>
                <w:b/>
                <w:bCs/>
                <w:color w:val="000000"/>
                <w:lang w:eastAsia="en-GB"/>
              </w:rPr>
              <w:t>2019/20</w:t>
            </w:r>
          </w:p>
          <w:p w14:paraId="1BE29CCD" w14:textId="77777777" w:rsidR="00012A1C" w:rsidRPr="009E4F29" w:rsidRDefault="00012A1C" w:rsidP="00A27B30">
            <w:pPr>
              <w:spacing w:after="0" w:line="240" w:lineRule="auto"/>
              <w:jc w:val="center"/>
              <w:rPr>
                <w:rFonts w:ascii="Arial" w:eastAsia="Times New Roman" w:hAnsi="Arial" w:cs="Arial"/>
                <w:b/>
                <w:bCs/>
                <w:color w:val="000000"/>
                <w:lang w:eastAsia="en-GB"/>
              </w:rPr>
            </w:pPr>
            <w:r w:rsidRPr="009E4F29">
              <w:rPr>
                <w:rFonts w:ascii="Arial" w:eastAsia="Times New Roman" w:hAnsi="Arial" w:cs="Arial"/>
                <w:b/>
                <w:bCs/>
                <w:color w:val="000000"/>
                <w:lang w:eastAsia="en-GB"/>
              </w:rPr>
              <w:t>Forecast</w:t>
            </w:r>
          </w:p>
          <w:p w14:paraId="4A8DDEFF" w14:textId="35ECB5E1" w:rsidR="00012A1C" w:rsidRPr="009E4F29" w:rsidRDefault="00012A1C" w:rsidP="00A27B30">
            <w:pPr>
              <w:spacing w:after="0" w:line="240" w:lineRule="auto"/>
              <w:jc w:val="center"/>
              <w:rPr>
                <w:rFonts w:ascii="Arial" w:eastAsia="Times New Roman" w:hAnsi="Arial" w:cs="Arial"/>
                <w:b/>
                <w:bCs/>
                <w:color w:val="000000"/>
                <w:lang w:eastAsia="en-GB"/>
              </w:rPr>
            </w:pPr>
            <w:r w:rsidRPr="009E4F29">
              <w:rPr>
                <w:rFonts w:ascii="Arial" w:eastAsia="Times New Roman" w:hAnsi="Arial" w:cs="Arial"/>
                <w:b/>
                <w:bCs/>
                <w:color w:val="000000"/>
                <w:lang w:eastAsia="en-GB"/>
              </w:rPr>
              <w:t xml:space="preserve">November </w:t>
            </w:r>
          </w:p>
        </w:tc>
        <w:tc>
          <w:tcPr>
            <w:tcW w:w="1724" w:type="dxa"/>
            <w:tcBorders>
              <w:top w:val="single" w:sz="4" w:space="0" w:color="auto"/>
              <w:left w:val="single" w:sz="4" w:space="0" w:color="auto"/>
              <w:bottom w:val="single" w:sz="4" w:space="0" w:color="auto"/>
              <w:right w:val="single" w:sz="4" w:space="0" w:color="auto"/>
            </w:tcBorders>
          </w:tcPr>
          <w:p w14:paraId="32BD7823" w14:textId="22A90E14" w:rsidR="00012A1C" w:rsidRPr="009E4F29" w:rsidRDefault="00012A1C" w:rsidP="00A27B30">
            <w:pPr>
              <w:spacing w:after="0" w:line="240" w:lineRule="auto"/>
              <w:jc w:val="center"/>
              <w:rPr>
                <w:rFonts w:ascii="Arial" w:eastAsia="Times New Roman" w:hAnsi="Arial" w:cs="Arial"/>
                <w:b/>
                <w:bCs/>
                <w:color w:val="000000"/>
                <w:lang w:eastAsia="en-GB"/>
              </w:rPr>
            </w:pPr>
            <w:r w:rsidRPr="009E4F29">
              <w:rPr>
                <w:rFonts w:ascii="Arial" w:eastAsia="Times New Roman" w:hAnsi="Arial" w:cs="Arial"/>
                <w:b/>
                <w:bCs/>
                <w:color w:val="000000"/>
                <w:lang w:eastAsia="en-GB"/>
              </w:rPr>
              <w:t>2019/20</w:t>
            </w:r>
          </w:p>
          <w:p w14:paraId="29B6B307" w14:textId="34285FAE" w:rsidR="00012A1C" w:rsidRPr="009E4F29" w:rsidRDefault="00012A1C" w:rsidP="00A27B30">
            <w:pPr>
              <w:spacing w:after="0" w:line="240" w:lineRule="auto"/>
              <w:jc w:val="center"/>
              <w:rPr>
                <w:rFonts w:ascii="Arial" w:eastAsia="Times New Roman" w:hAnsi="Arial" w:cs="Arial"/>
                <w:b/>
                <w:bCs/>
                <w:color w:val="000000"/>
                <w:lang w:eastAsia="en-GB"/>
              </w:rPr>
            </w:pPr>
            <w:r w:rsidRPr="009E4F29">
              <w:rPr>
                <w:rFonts w:ascii="Arial" w:eastAsia="Times New Roman" w:hAnsi="Arial" w:cs="Arial"/>
                <w:b/>
                <w:bCs/>
                <w:color w:val="000000"/>
                <w:lang w:eastAsia="en-GB"/>
              </w:rPr>
              <w:t>Updated Forecast</w:t>
            </w:r>
          </w:p>
          <w:p w14:paraId="2DA3A8C2" w14:textId="55894835" w:rsidR="00012A1C" w:rsidRPr="009E4F29" w:rsidRDefault="00012A1C" w:rsidP="00565CE7">
            <w:pPr>
              <w:spacing w:after="0" w:line="240" w:lineRule="auto"/>
              <w:jc w:val="center"/>
              <w:rPr>
                <w:rFonts w:ascii="Arial" w:eastAsia="Times New Roman" w:hAnsi="Arial" w:cs="Arial"/>
                <w:b/>
                <w:bCs/>
                <w:color w:val="000000"/>
                <w:lang w:eastAsia="en-GB"/>
              </w:rPr>
            </w:pPr>
            <w:r w:rsidRPr="009E4F29">
              <w:rPr>
                <w:rFonts w:ascii="Arial" w:eastAsia="Times New Roman" w:hAnsi="Arial" w:cs="Arial"/>
                <w:b/>
                <w:bCs/>
                <w:color w:val="000000"/>
                <w:lang w:eastAsia="en-GB"/>
              </w:rPr>
              <w:t xml:space="preserve">December  </w:t>
            </w:r>
          </w:p>
        </w:tc>
      </w:tr>
      <w:tr w:rsidR="00012A1C" w:rsidRPr="00FE76FC" w14:paraId="586DC584" w14:textId="77777777" w:rsidTr="009E4F29">
        <w:trPr>
          <w:trHeight w:val="36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14:paraId="32FF57CE" w14:textId="77777777" w:rsidR="00012A1C" w:rsidRPr="00FE76FC" w:rsidRDefault="00012A1C" w:rsidP="00A56646">
            <w:pPr>
              <w:spacing w:after="0" w:line="240" w:lineRule="auto"/>
              <w:rPr>
                <w:rFonts w:ascii="Arial" w:eastAsia="Times New Roman" w:hAnsi="Arial" w:cs="Arial"/>
                <w:color w:val="000000"/>
                <w:sz w:val="24"/>
                <w:szCs w:val="24"/>
                <w:lang w:eastAsia="en-GB"/>
              </w:rPr>
            </w:pPr>
            <w:r w:rsidRPr="00FE76FC">
              <w:rPr>
                <w:rFonts w:ascii="Arial" w:eastAsia="Times New Roman" w:hAnsi="Arial" w:cs="Arial"/>
                <w:color w:val="000000"/>
                <w:sz w:val="24"/>
                <w:szCs w:val="24"/>
                <w:lang w:eastAsia="en-GB"/>
              </w:rPr>
              <w:t> </w:t>
            </w:r>
          </w:p>
        </w:tc>
        <w:tc>
          <w:tcPr>
            <w:tcW w:w="1103" w:type="dxa"/>
            <w:tcBorders>
              <w:top w:val="nil"/>
              <w:left w:val="nil"/>
              <w:bottom w:val="single" w:sz="4" w:space="0" w:color="auto"/>
              <w:right w:val="single" w:sz="4" w:space="0" w:color="auto"/>
            </w:tcBorders>
          </w:tcPr>
          <w:p w14:paraId="77CE4994" w14:textId="248FFB5E" w:rsidR="00012A1C" w:rsidRDefault="00012A1C" w:rsidP="00FF2D70">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w:t>
            </w:r>
          </w:p>
        </w:tc>
        <w:tc>
          <w:tcPr>
            <w:tcW w:w="1724" w:type="dxa"/>
            <w:tcBorders>
              <w:top w:val="single" w:sz="4" w:space="0" w:color="auto"/>
              <w:left w:val="single" w:sz="4" w:space="0" w:color="auto"/>
              <w:bottom w:val="single" w:sz="4" w:space="0" w:color="auto"/>
              <w:right w:val="single" w:sz="4" w:space="0" w:color="auto"/>
            </w:tcBorders>
          </w:tcPr>
          <w:p w14:paraId="6D906B35" w14:textId="3FB0AC49" w:rsidR="00012A1C" w:rsidRPr="00FE76FC" w:rsidRDefault="00012A1C" w:rsidP="00FF2D70">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w:t>
            </w:r>
          </w:p>
        </w:tc>
      </w:tr>
      <w:tr w:rsidR="00012A1C" w:rsidRPr="00FE76FC" w14:paraId="7D8C0D8B" w14:textId="77777777" w:rsidTr="009E4F29">
        <w:trPr>
          <w:trHeight w:val="243"/>
        </w:trPr>
        <w:tc>
          <w:tcPr>
            <w:tcW w:w="726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3F3D23" w14:textId="77777777" w:rsidR="00012A1C" w:rsidRPr="009E4F29" w:rsidRDefault="00012A1C" w:rsidP="009D2390">
            <w:pPr>
              <w:spacing w:after="0" w:line="240" w:lineRule="auto"/>
              <w:rPr>
                <w:rFonts w:ascii="Arial" w:eastAsia="Times New Roman" w:hAnsi="Arial" w:cs="Arial"/>
                <w:color w:val="000000"/>
                <w:lang w:eastAsia="en-GB"/>
              </w:rPr>
            </w:pPr>
            <w:r w:rsidRPr="009E4F29">
              <w:rPr>
                <w:rFonts w:ascii="Arial" w:eastAsia="Times New Roman" w:hAnsi="Arial" w:cs="Arial"/>
                <w:color w:val="000000"/>
                <w:lang w:eastAsia="en-GB"/>
              </w:rPr>
              <w:t xml:space="preserve">Savings and Efficiency requirement as per MTFS </w:t>
            </w:r>
          </w:p>
        </w:tc>
        <w:tc>
          <w:tcPr>
            <w:tcW w:w="1103" w:type="dxa"/>
            <w:tcBorders>
              <w:top w:val="single" w:sz="4" w:space="0" w:color="auto"/>
              <w:left w:val="nil"/>
              <w:bottom w:val="single" w:sz="4" w:space="0" w:color="auto"/>
              <w:right w:val="single" w:sz="4" w:space="0" w:color="auto"/>
            </w:tcBorders>
            <w:shd w:val="clear" w:color="auto" w:fill="D9D9D9" w:themeFill="background1" w:themeFillShade="D9"/>
          </w:tcPr>
          <w:p w14:paraId="0133807C" w14:textId="6C770FF0"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6.413</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5D622C" w14:textId="3FE9A388"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6.413</w:t>
            </w:r>
          </w:p>
        </w:tc>
      </w:tr>
      <w:tr w:rsidR="00012A1C" w:rsidRPr="00FE76FC" w14:paraId="2B05A9D7" w14:textId="77777777" w:rsidTr="009E4F29">
        <w:trPr>
          <w:trHeight w:val="246"/>
        </w:trPr>
        <w:tc>
          <w:tcPr>
            <w:tcW w:w="72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F08C5B" w14:textId="77777777" w:rsidR="00012A1C" w:rsidRPr="009E4F29" w:rsidRDefault="00012A1C" w:rsidP="009D2390">
            <w:pPr>
              <w:spacing w:after="0" w:line="240" w:lineRule="auto"/>
              <w:rPr>
                <w:rFonts w:ascii="Arial" w:eastAsia="Times New Roman" w:hAnsi="Arial" w:cs="Arial"/>
                <w:color w:val="000000"/>
                <w:lang w:eastAsia="en-GB"/>
              </w:rPr>
            </w:pPr>
            <w:r w:rsidRPr="009E4F29">
              <w:rPr>
                <w:rFonts w:ascii="Arial" w:eastAsia="Times New Roman" w:hAnsi="Arial" w:cs="Arial"/>
                <w:color w:val="000000"/>
                <w:lang w:eastAsia="en-GB"/>
              </w:rPr>
              <w:t xml:space="preserve">Cashable Savings plans </w:t>
            </w:r>
          </w:p>
        </w:tc>
        <w:tc>
          <w:tcPr>
            <w:tcW w:w="1103" w:type="dxa"/>
            <w:tcBorders>
              <w:top w:val="single" w:sz="4" w:space="0" w:color="auto"/>
              <w:left w:val="nil"/>
              <w:bottom w:val="single" w:sz="4" w:space="0" w:color="auto"/>
              <w:right w:val="single" w:sz="4" w:space="0" w:color="auto"/>
            </w:tcBorders>
            <w:shd w:val="clear" w:color="auto" w:fill="FFFFFF" w:themeFill="background1"/>
          </w:tcPr>
          <w:p w14:paraId="12D55A92" w14:textId="5BCD695A"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4.667</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ED6342" w14:textId="2FD4D3FD"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4.667</w:t>
            </w:r>
          </w:p>
        </w:tc>
      </w:tr>
      <w:tr w:rsidR="00012A1C" w:rsidRPr="00FE76FC" w14:paraId="5B51C4BB" w14:textId="77777777" w:rsidTr="009E4F29">
        <w:trPr>
          <w:trHeight w:val="237"/>
        </w:trPr>
        <w:tc>
          <w:tcPr>
            <w:tcW w:w="72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16A8C" w14:textId="77777777" w:rsidR="00012A1C" w:rsidRPr="009E4F29" w:rsidRDefault="00012A1C" w:rsidP="009D2390">
            <w:pPr>
              <w:spacing w:after="0" w:line="240" w:lineRule="auto"/>
              <w:rPr>
                <w:rFonts w:ascii="Arial" w:eastAsia="Times New Roman" w:hAnsi="Arial" w:cs="Arial"/>
                <w:b/>
                <w:i/>
                <w:color w:val="000000"/>
                <w:lang w:eastAsia="en-GB"/>
              </w:rPr>
            </w:pPr>
            <w:r w:rsidRPr="009E4F29">
              <w:rPr>
                <w:rFonts w:ascii="Arial" w:eastAsia="Times New Roman" w:hAnsi="Arial" w:cs="Arial"/>
                <w:b/>
                <w:i/>
                <w:color w:val="000000"/>
                <w:lang w:eastAsia="en-GB"/>
              </w:rPr>
              <w:t xml:space="preserve">Indicative Efficiency (Non-cashable) plans </w:t>
            </w:r>
          </w:p>
        </w:tc>
        <w:tc>
          <w:tcPr>
            <w:tcW w:w="1103" w:type="dxa"/>
            <w:tcBorders>
              <w:top w:val="single" w:sz="4" w:space="0" w:color="auto"/>
              <w:left w:val="nil"/>
              <w:bottom w:val="single" w:sz="4" w:space="0" w:color="auto"/>
              <w:right w:val="single" w:sz="4" w:space="0" w:color="auto"/>
            </w:tcBorders>
            <w:shd w:val="clear" w:color="auto" w:fill="FFFFFF" w:themeFill="background1"/>
          </w:tcPr>
          <w:p w14:paraId="0AC50165" w14:textId="130F8BEB" w:rsidR="00012A1C" w:rsidRPr="009E4F29" w:rsidRDefault="00012A1C" w:rsidP="009E4F29">
            <w:pPr>
              <w:spacing w:after="0" w:line="240" w:lineRule="auto"/>
              <w:jc w:val="center"/>
              <w:rPr>
                <w:rFonts w:ascii="Arial" w:eastAsia="Times New Roman" w:hAnsi="Arial" w:cs="Arial"/>
                <w:b/>
                <w:i/>
                <w:color w:val="000000"/>
                <w:lang w:eastAsia="en-GB"/>
              </w:rPr>
            </w:pPr>
            <w:r w:rsidRPr="009E4F29">
              <w:rPr>
                <w:rFonts w:ascii="Arial" w:eastAsia="Times New Roman" w:hAnsi="Arial" w:cs="Arial"/>
                <w:b/>
                <w:i/>
                <w:color w:val="000000"/>
                <w:lang w:eastAsia="en-GB"/>
              </w:rPr>
              <w:t>4.078</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425FA" w14:textId="1E0040DC" w:rsidR="00012A1C" w:rsidRPr="009E4F29" w:rsidRDefault="00012A1C" w:rsidP="009E4F29">
            <w:pPr>
              <w:spacing w:after="0" w:line="240" w:lineRule="auto"/>
              <w:jc w:val="center"/>
              <w:rPr>
                <w:rFonts w:ascii="Arial" w:eastAsia="Times New Roman" w:hAnsi="Arial" w:cs="Arial"/>
                <w:b/>
                <w:i/>
                <w:color w:val="000000"/>
                <w:lang w:eastAsia="en-GB"/>
              </w:rPr>
            </w:pPr>
            <w:r w:rsidRPr="009E4F29">
              <w:rPr>
                <w:rFonts w:ascii="Arial" w:eastAsia="Times New Roman" w:hAnsi="Arial" w:cs="Arial"/>
                <w:b/>
                <w:i/>
                <w:color w:val="000000"/>
                <w:lang w:eastAsia="en-GB"/>
              </w:rPr>
              <w:t>4.649</w:t>
            </w:r>
          </w:p>
        </w:tc>
      </w:tr>
      <w:tr w:rsidR="00012A1C" w:rsidRPr="00FE76FC" w14:paraId="0466A68B" w14:textId="77777777" w:rsidTr="009E4F29">
        <w:trPr>
          <w:trHeight w:val="240"/>
        </w:trPr>
        <w:tc>
          <w:tcPr>
            <w:tcW w:w="7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F51CC3" w14:textId="77777777" w:rsidR="00012A1C" w:rsidRPr="009E4F29" w:rsidRDefault="00012A1C" w:rsidP="009D2390">
            <w:pPr>
              <w:spacing w:after="0" w:line="240" w:lineRule="auto"/>
              <w:rPr>
                <w:rFonts w:ascii="Arial" w:eastAsia="Times New Roman" w:hAnsi="Arial" w:cs="Arial"/>
                <w:color w:val="000000"/>
                <w:lang w:eastAsia="en-GB"/>
              </w:rPr>
            </w:pPr>
            <w:r w:rsidRPr="009E4F29">
              <w:rPr>
                <w:rFonts w:ascii="Arial" w:eastAsia="Times New Roman" w:hAnsi="Arial" w:cs="Arial"/>
                <w:color w:val="000000"/>
                <w:lang w:eastAsia="en-GB"/>
              </w:rPr>
              <w:t xml:space="preserve">Total Savings and Efficiencies (Cashable and non-cashable) </w:t>
            </w:r>
          </w:p>
        </w:tc>
        <w:tc>
          <w:tcPr>
            <w:tcW w:w="1103" w:type="dxa"/>
            <w:tcBorders>
              <w:top w:val="single" w:sz="4" w:space="0" w:color="auto"/>
              <w:left w:val="nil"/>
              <w:bottom w:val="single" w:sz="4" w:space="0" w:color="auto"/>
              <w:right w:val="single" w:sz="4" w:space="0" w:color="auto"/>
            </w:tcBorders>
            <w:shd w:val="clear" w:color="auto" w:fill="FFFFFF" w:themeFill="background1"/>
          </w:tcPr>
          <w:p w14:paraId="391014DF" w14:textId="2CB98364"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8.745</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95E45E" w14:textId="42D323C5"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9.316</w:t>
            </w:r>
          </w:p>
        </w:tc>
      </w:tr>
      <w:tr w:rsidR="00012A1C" w:rsidRPr="00FE76FC" w14:paraId="1A4A7B3C" w14:textId="77777777" w:rsidTr="009E4F29">
        <w:trPr>
          <w:trHeight w:val="230"/>
        </w:trPr>
        <w:tc>
          <w:tcPr>
            <w:tcW w:w="7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10FE568" w14:textId="77777777" w:rsidR="00012A1C" w:rsidRPr="009E4F29" w:rsidRDefault="00012A1C" w:rsidP="009D2390">
            <w:pPr>
              <w:spacing w:after="0" w:line="240" w:lineRule="auto"/>
              <w:rPr>
                <w:rFonts w:ascii="Arial" w:eastAsia="Times New Roman" w:hAnsi="Arial" w:cs="Arial"/>
                <w:color w:val="000000"/>
                <w:lang w:eastAsia="en-GB"/>
              </w:rPr>
            </w:pPr>
            <w:r w:rsidRPr="009E4F29">
              <w:rPr>
                <w:rFonts w:ascii="Arial" w:eastAsia="Times New Roman" w:hAnsi="Arial" w:cs="Arial"/>
                <w:color w:val="000000"/>
                <w:lang w:eastAsia="en-GB"/>
              </w:rPr>
              <w:t>Excess of Cashable and Efficiency (non-cashable) savings vs Target</w:t>
            </w:r>
          </w:p>
        </w:tc>
        <w:tc>
          <w:tcPr>
            <w:tcW w:w="1103" w:type="dxa"/>
            <w:tcBorders>
              <w:top w:val="single" w:sz="4" w:space="0" w:color="auto"/>
              <w:left w:val="nil"/>
              <w:bottom w:val="single" w:sz="4" w:space="0" w:color="auto"/>
              <w:right w:val="single" w:sz="4" w:space="0" w:color="auto"/>
            </w:tcBorders>
            <w:shd w:val="clear" w:color="auto" w:fill="D9D9D9" w:themeFill="background1" w:themeFillShade="D9"/>
          </w:tcPr>
          <w:p w14:paraId="6EF6E1B4" w14:textId="39A977E8"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2.332</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AAC97DC" w14:textId="38FD7824" w:rsidR="00012A1C" w:rsidRPr="009E4F29" w:rsidRDefault="00012A1C" w:rsidP="009E4F29">
            <w:pPr>
              <w:spacing w:after="0" w:line="240" w:lineRule="auto"/>
              <w:jc w:val="center"/>
              <w:rPr>
                <w:rFonts w:ascii="Arial" w:eastAsia="Times New Roman" w:hAnsi="Arial" w:cs="Arial"/>
                <w:color w:val="000000"/>
                <w:lang w:eastAsia="en-GB"/>
              </w:rPr>
            </w:pPr>
            <w:r w:rsidRPr="009E4F29">
              <w:rPr>
                <w:rFonts w:ascii="Arial" w:eastAsia="Times New Roman" w:hAnsi="Arial" w:cs="Arial"/>
                <w:color w:val="000000"/>
                <w:lang w:eastAsia="en-GB"/>
              </w:rPr>
              <w:t>2.903</w:t>
            </w:r>
          </w:p>
        </w:tc>
      </w:tr>
    </w:tbl>
    <w:p w14:paraId="36667BFF" w14:textId="77777777" w:rsidR="00A27B30" w:rsidRDefault="00A27B30" w:rsidP="00A27B30">
      <w:pPr>
        <w:spacing w:after="0" w:line="240" w:lineRule="auto"/>
        <w:ind w:left="720"/>
        <w:contextualSpacing/>
        <w:rPr>
          <w:rFonts w:ascii="Arial" w:hAnsi="Arial"/>
          <w:sz w:val="24"/>
          <w:highlight w:val="yellow"/>
        </w:rPr>
      </w:pPr>
    </w:p>
    <w:p w14:paraId="14AFBF41" w14:textId="77777777" w:rsidR="008B00B3" w:rsidRDefault="008B00B3" w:rsidP="00A27B30">
      <w:pPr>
        <w:spacing w:after="0" w:line="240" w:lineRule="auto"/>
        <w:ind w:left="720"/>
        <w:contextualSpacing/>
        <w:rPr>
          <w:rFonts w:ascii="Arial" w:hAnsi="Arial"/>
          <w:sz w:val="24"/>
          <w:highlight w:val="yellow"/>
        </w:rPr>
      </w:pPr>
    </w:p>
    <w:p w14:paraId="70943A9F" w14:textId="2083EB55" w:rsidR="00B87355" w:rsidRDefault="00B87355" w:rsidP="0068700B">
      <w:pPr>
        <w:pStyle w:val="NoSpacing"/>
        <w:ind w:left="720"/>
        <w:rPr>
          <w:rFonts w:ascii="Arial" w:hAnsi="Arial" w:cs="Arial"/>
          <w:sz w:val="24"/>
          <w:szCs w:val="24"/>
        </w:rPr>
      </w:pPr>
      <w:r w:rsidRPr="00B237A4">
        <w:rPr>
          <w:rFonts w:ascii="Arial" w:hAnsi="Arial" w:cs="Arial"/>
          <w:sz w:val="24"/>
          <w:szCs w:val="24"/>
        </w:rPr>
        <w:t>T</w:t>
      </w:r>
      <w:r>
        <w:rPr>
          <w:rFonts w:ascii="Arial" w:hAnsi="Arial" w:cs="Arial"/>
          <w:sz w:val="24"/>
          <w:szCs w:val="24"/>
        </w:rPr>
        <w:t xml:space="preserve">able 1.1 </w:t>
      </w:r>
      <w:r w:rsidR="00F428F6">
        <w:rPr>
          <w:rFonts w:ascii="Arial" w:hAnsi="Arial" w:cs="Arial"/>
          <w:sz w:val="24"/>
          <w:szCs w:val="24"/>
        </w:rPr>
        <w:t xml:space="preserve">at the end of this report </w:t>
      </w:r>
      <w:r>
        <w:rPr>
          <w:rFonts w:ascii="Arial" w:hAnsi="Arial" w:cs="Arial"/>
          <w:sz w:val="24"/>
          <w:szCs w:val="24"/>
        </w:rPr>
        <w:t>provides the detail of the 2019/20 Savings and Efficiency Plan</w:t>
      </w:r>
      <w:r w:rsidR="00F428F6">
        <w:rPr>
          <w:rFonts w:ascii="Arial" w:hAnsi="Arial" w:cs="Arial"/>
          <w:sz w:val="24"/>
          <w:szCs w:val="24"/>
        </w:rPr>
        <w:t xml:space="preserve">. </w:t>
      </w:r>
    </w:p>
    <w:p w14:paraId="68958793" w14:textId="77777777" w:rsidR="00B87355" w:rsidRDefault="00B87355" w:rsidP="0068700B">
      <w:pPr>
        <w:pStyle w:val="NoSpacing"/>
        <w:ind w:left="720"/>
        <w:rPr>
          <w:rFonts w:ascii="Arial" w:hAnsi="Arial" w:cs="Arial"/>
          <w:sz w:val="24"/>
          <w:szCs w:val="24"/>
        </w:rPr>
      </w:pPr>
    </w:p>
    <w:p w14:paraId="51631C58" w14:textId="068F4DC4" w:rsidR="008572FC" w:rsidRDefault="008572FC" w:rsidP="008572FC">
      <w:pPr>
        <w:pStyle w:val="NoSpacing"/>
        <w:ind w:left="1440"/>
        <w:rPr>
          <w:rFonts w:ascii="Arial" w:hAnsi="Arial" w:cs="Arial"/>
          <w:b/>
          <w:sz w:val="24"/>
          <w:szCs w:val="24"/>
        </w:rPr>
      </w:pPr>
    </w:p>
    <w:p w14:paraId="42A71E90" w14:textId="77777777" w:rsidR="000C5690" w:rsidRDefault="000C5690" w:rsidP="008572FC">
      <w:pPr>
        <w:pStyle w:val="NoSpacing"/>
        <w:ind w:left="1440"/>
        <w:rPr>
          <w:rFonts w:ascii="Arial" w:hAnsi="Arial" w:cs="Arial"/>
          <w:b/>
          <w:sz w:val="24"/>
          <w:szCs w:val="24"/>
        </w:rPr>
      </w:pPr>
    </w:p>
    <w:p w14:paraId="02564A0C" w14:textId="7C7D834B" w:rsidR="00FA1FE8" w:rsidRPr="00BE5250" w:rsidRDefault="00FA1FE8" w:rsidP="00FA1FE8">
      <w:pPr>
        <w:pStyle w:val="NoSpacing"/>
        <w:rPr>
          <w:rFonts w:ascii="Arial" w:hAnsi="Arial" w:cs="Arial"/>
          <w:sz w:val="24"/>
          <w:szCs w:val="24"/>
        </w:rPr>
      </w:pPr>
      <w:r>
        <w:rPr>
          <w:rFonts w:ascii="Arial" w:hAnsi="Arial" w:cs="Arial"/>
          <w:b/>
          <w:sz w:val="24"/>
          <w:szCs w:val="24"/>
        </w:rPr>
        <w:lastRenderedPageBreak/>
        <w:t>6.0</w:t>
      </w:r>
      <w:r>
        <w:rPr>
          <w:rFonts w:ascii="Arial" w:hAnsi="Arial" w:cs="Arial"/>
          <w:b/>
          <w:sz w:val="24"/>
          <w:szCs w:val="24"/>
        </w:rPr>
        <w:tab/>
      </w:r>
      <w:r w:rsidRPr="00A27B30">
        <w:rPr>
          <w:rFonts w:ascii="Arial" w:hAnsi="Arial" w:cs="Arial"/>
          <w:b/>
          <w:sz w:val="24"/>
          <w:szCs w:val="24"/>
          <w:u w:val="single"/>
        </w:rPr>
        <w:t>20</w:t>
      </w:r>
      <w:r>
        <w:rPr>
          <w:rFonts w:ascii="Arial" w:hAnsi="Arial" w:cs="Arial"/>
          <w:b/>
          <w:sz w:val="24"/>
          <w:szCs w:val="24"/>
          <w:u w:val="single"/>
        </w:rPr>
        <w:t>20</w:t>
      </w:r>
      <w:r w:rsidRPr="00A27B30">
        <w:rPr>
          <w:rFonts w:ascii="Arial" w:hAnsi="Arial" w:cs="Arial"/>
          <w:b/>
          <w:sz w:val="24"/>
          <w:szCs w:val="24"/>
          <w:u w:val="single"/>
        </w:rPr>
        <w:t>/2</w:t>
      </w:r>
      <w:r>
        <w:rPr>
          <w:rFonts w:ascii="Arial" w:hAnsi="Arial" w:cs="Arial"/>
          <w:b/>
          <w:sz w:val="24"/>
          <w:szCs w:val="24"/>
          <w:u w:val="single"/>
        </w:rPr>
        <w:t>1</w:t>
      </w:r>
      <w:r w:rsidRPr="00A27B30">
        <w:rPr>
          <w:rFonts w:ascii="Arial" w:hAnsi="Arial" w:cs="Arial"/>
          <w:b/>
          <w:sz w:val="24"/>
          <w:szCs w:val="24"/>
          <w:u w:val="single"/>
        </w:rPr>
        <w:t xml:space="preserve"> Savings &amp; Efficiency Plan</w:t>
      </w:r>
    </w:p>
    <w:p w14:paraId="73563F4E" w14:textId="77777777" w:rsidR="00FA1FE8" w:rsidRDefault="00FA1FE8" w:rsidP="00055B70">
      <w:pPr>
        <w:pStyle w:val="NoSpacing"/>
        <w:ind w:left="720"/>
        <w:rPr>
          <w:rFonts w:ascii="Arial" w:hAnsi="Arial" w:cs="Arial"/>
          <w:sz w:val="24"/>
          <w:szCs w:val="24"/>
        </w:rPr>
      </w:pPr>
    </w:p>
    <w:p w14:paraId="7511A6B9" w14:textId="77777777" w:rsidR="00ED5574" w:rsidRDefault="00ED5574" w:rsidP="00ED5574">
      <w:pPr>
        <w:spacing w:after="0" w:line="240" w:lineRule="auto"/>
        <w:ind w:left="709"/>
        <w:rPr>
          <w:rFonts w:ascii="Arial" w:hAnsi="Arial" w:cs="Arial"/>
          <w:sz w:val="24"/>
          <w:szCs w:val="24"/>
        </w:rPr>
      </w:pPr>
      <w:r>
        <w:rPr>
          <w:rFonts w:ascii="Arial" w:hAnsi="Arial" w:cs="Arial"/>
          <w:sz w:val="24"/>
          <w:szCs w:val="24"/>
        </w:rPr>
        <w:t>The SCCB considered eight 2020/21 savings business cases on the 26</w:t>
      </w:r>
      <w:r w:rsidRPr="00ED5574">
        <w:rPr>
          <w:rFonts w:ascii="Arial" w:hAnsi="Arial" w:cs="Arial"/>
          <w:sz w:val="24"/>
          <w:szCs w:val="24"/>
          <w:vertAlign w:val="superscript"/>
        </w:rPr>
        <w:t>th</w:t>
      </w:r>
      <w:r>
        <w:rPr>
          <w:rFonts w:ascii="Arial" w:hAnsi="Arial" w:cs="Arial"/>
          <w:sz w:val="24"/>
          <w:szCs w:val="24"/>
        </w:rPr>
        <w:t xml:space="preserve"> November 2019 which were subsequently reviewed and considered by COG w/c 2</w:t>
      </w:r>
      <w:r w:rsidRPr="00AA1FF6">
        <w:rPr>
          <w:rFonts w:ascii="Arial" w:hAnsi="Arial" w:cs="Arial"/>
          <w:sz w:val="24"/>
          <w:szCs w:val="24"/>
          <w:vertAlign w:val="superscript"/>
        </w:rPr>
        <w:t>nd</w:t>
      </w:r>
      <w:r>
        <w:rPr>
          <w:rFonts w:ascii="Arial" w:hAnsi="Arial" w:cs="Arial"/>
          <w:sz w:val="24"/>
          <w:szCs w:val="24"/>
        </w:rPr>
        <w:t xml:space="preserve"> December 2019. </w:t>
      </w:r>
    </w:p>
    <w:p w14:paraId="5E64594B" w14:textId="77777777" w:rsidR="00ED5574" w:rsidRDefault="00ED5574" w:rsidP="00ED5574">
      <w:pPr>
        <w:spacing w:after="0" w:line="240" w:lineRule="auto"/>
        <w:ind w:left="709"/>
        <w:rPr>
          <w:rFonts w:ascii="Arial" w:hAnsi="Arial" w:cs="Arial"/>
          <w:sz w:val="24"/>
          <w:szCs w:val="24"/>
        </w:rPr>
      </w:pPr>
    </w:p>
    <w:p w14:paraId="6926DDCA" w14:textId="2EC574FF" w:rsidR="00ED5574" w:rsidRDefault="004458FB" w:rsidP="00ED5574">
      <w:pPr>
        <w:spacing w:after="0" w:line="240" w:lineRule="auto"/>
        <w:ind w:left="709"/>
        <w:rPr>
          <w:rFonts w:ascii="Arial" w:hAnsi="Arial" w:cs="Arial"/>
          <w:sz w:val="24"/>
          <w:szCs w:val="24"/>
        </w:rPr>
      </w:pPr>
      <w:r>
        <w:rPr>
          <w:rFonts w:ascii="Arial" w:hAnsi="Arial" w:cs="Arial"/>
          <w:sz w:val="24"/>
          <w:szCs w:val="24"/>
        </w:rPr>
        <w:t xml:space="preserve">The Force Efficiency &amp; Savings Board </w:t>
      </w:r>
      <w:r w:rsidR="004A2573">
        <w:rPr>
          <w:rFonts w:ascii="Arial" w:hAnsi="Arial" w:cs="Arial"/>
          <w:sz w:val="24"/>
          <w:szCs w:val="24"/>
        </w:rPr>
        <w:t>continue</w:t>
      </w:r>
      <w:r w:rsidR="00D83C9C">
        <w:rPr>
          <w:rFonts w:ascii="Arial" w:hAnsi="Arial" w:cs="Arial"/>
          <w:sz w:val="24"/>
          <w:szCs w:val="24"/>
        </w:rPr>
        <w:t>s</w:t>
      </w:r>
      <w:r w:rsidR="004A2573">
        <w:rPr>
          <w:rFonts w:ascii="Arial" w:hAnsi="Arial" w:cs="Arial"/>
          <w:sz w:val="24"/>
          <w:szCs w:val="24"/>
        </w:rPr>
        <w:t xml:space="preserve"> to meet</w:t>
      </w:r>
      <w:r>
        <w:rPr>
          <w:rFonts w:ascii="Arial" w:hAnsi="Arial" w:cs="Arial"/>
          <w:sz w:val="24"/>
          <w:szCs w:val="24"/>
        </w:rPr>
        <w:t xml:space="preserve"> </w:t>
      </w:r>
      <w:r w:rsidR="00547359">
        <w:rPr>
          <w:rFonts w:ascii="Arial" w:hAnsi="Arial" w:cs="Arial"/>
          <w:sz w:val="24"/>
          <w:szCs w:val="24"/>
        </w:rPr>
        <w:t>regularly</w:t>
      </w:r>
      <w:r w:rsidR="00175AA9">
        <w:rPr>
          <w:rFonts w:ascii="Arial" w:hAnsi="Arial" w:cs="Arial"/>
          <w:sz w:val="24"/>
          <w:szCs w:val="24"/>
        </w:rPr>
        <w:t xml:space="preserve">. </w:t>
      </w:r>
      <w:r w:rsidR="00C5792F" w:rsidRPr="00616677">
        <w:rPr>
          <w:rFonts w:ascii="Arial" w:hAnsi="Arial" w:cs="Arial"/>
          <w:sz w:val="24"/>
          <w:szCs w:val="24"/>
        </w:rPr>
        <w:t xml:space="preserve">The Efficiency &amp; Savings Board met on </w:t>
      </w:r>
      <w:r w:rsidR="00AE78DC">
        <w:rPr>
          <w:rFonts w:ascii="Arial" w:hAnsi="Arial" w:cs="Arial"/>
          <w:sz w:val="24"/>
          <w:szCs w:val="24"/>
        </w:rPr>
        <w:t>9</w:t>
      </w:r>
      <w:r w:rsidR="00AE78DC" w:rsidRPr="00AE78DC">
        <w:rPr>
          <w:rFonts w:ascii="Arial" w:hAnsi="Arial" w:cs="Arial"/>
          <w:sz w:val="24"/>
          <w:szCs w:val="24"/>
          <w:vertAlign w:val="superscript"/>
        </w:rPr>
        <w:t>th</w:t>
      </w:r>
      <w:r w:rsidR="00AE78DC">
        <w:rPr>
          <w:rFonts w:ascii="Arial" w:hAnsi="Arial" w:cs="Arial"/>
          <w:sz w:val="24"/>
          <w:szCs w:val="24"/>
        </w:rPr>
        <w:t xml:space="preserve"> December </w:t>
      </w:r>
      <w:r w:rsidR="00C5792F" w:rsidRPr="00616677">
        <w:rPr>
          <w:rFonts w:ascii="Arial" w:hAnsi="Arial" w:cs="Arial"/>
          <w:sz w:val="24"/>
          <w:szCs w:val="24"/>
        </w:rPr>
        <w:t>2019 and reviewed progress on the implementation of the 2019/20 Savings Plans, and the development of the detail for the 2020/21 plans to meet the MTFS requirement</w:t>
      </w:r>
      <w:r w:rsidR="008B383D">
        <w:rPr>
          <w:rFonts w:ascii="Arial" w:hAnsi="Arial" w:cs="Arial"/>
          <w:sz w:val="24"/>
          <w:szCs w:val="24"/>
        </w:rPr>
        <w:t>, including non-cashable savings</w:t>
      </w:r>
      <w:r w:rsidR="00C5792F" w:rsidRPr="00616677">
        <w:rPr>
          <w:rFonts w:ascii="Arial" w:hAnsi="Arial" w:cs="Arial"/>
          <w:sz w:val="24"/>
          <w:szCs w:val="24"/>
        </w:rPr>
        <w:t xml:space="preserve">. </w:t>
      </w:r>
      <w:r w:rsidR="008B383D">
        <w:rPr>
          <w:rFonts w:ascii="Arial" w:hAnsi="Arial" w:cs="Arial"/>
          <w:sz w:val="24"/>
          <w:szCs w:val="24"/>
        </w:rPr>
        <w:t>The 2020/21 plan will now be finalised for inclusion within the 2020/21 Budget.</w:t>
      </w:r>
    </w:p>
    <w:p w14:paraId="7363C2D5" w14:textId="77777777" w:rsidR="00ED5574" w:rsidRDefault="00ED5574" w:rsidP="00ED5574">
      <w:pPr>
        <w:spacing w:after="0" w:line="240" w:lineRule="auto"/>
        <w:ind w:left="709"/>
        <w:rPr>
          <w:rFonts w:ascii="Arial" w:hAnsi="Arial" w:cs="Arial"/>
          <w:sz w:val="24"/>
          <w:szCs w:val="24"/>
        </w:rPr>
      </w:pPr>
    </w:p>
    <w:p w14:paraId="578C479B" w14:textId="63CAC9FA" w:rsidR="00055B70" w:rsidRDefault="00FF3F13" w:rsidP="00C5792F">
      <w:pPr>
        <w:spacing w:after="0" w:line="240" w:lineRule="auto"/>
        <w:ind w:left="709"/>
        <w:rPr>
          <w:rFonts w:ascii="Arial" w:hAnsi="Arial" w:cs="Arial"/>
          <w:sz w:val="24"/>
          <w:szCs w:val="24"/>
        </w:rPr>
      </w:pPr>
      <w:r>
        <w:rPr>
          <w:rFonts w:ascii="Arial" w:hAnsi="Arial" w:cs="Arial"/>
          <w:sz w:val="24"/>
          <w:szCs w:val="24"/>
        </w:rPr>
        <w:t>The next</w:t>
      </w:r>
      <w:r w:rsidRPr="00FF3F13">
        <w:rPr>
          <w:rFonts w:ascii="Arial" w:hAnsi="Arial" w:cs="Arial"/>
          <w:sz w:val="24"/>
          <w:szCs w:val="24"/>
        </w:rPr>
        <w:t xml:space="preserve"> </w:t>
      </w:r>
      <w:r>
        <w:rPr>
          <w:rFonts w:ascii="Arial" w:hAnsi="Arial" w:cs="Arial"/>
          <w:sz w:val="24"/>
          <w:szCs w:val="24"/>
        </w:rPr>
        <w:t xml:space="preserve">Efficiency &amp; Savings Board </w:t>
      </w:r>
      <w:r w:rsidR="00571B1A">
        <w:rPr>
          <w:rFonts w:ascii="Arial" w:hAnsi="Arial" w:cs="Arial"/>
          <w:sz w:val="24"/>
          <w:szCs w:val="24"/>
        </w:rPr>
        <w:t xml:space="preserve">will meet </w:t>
      </w:r>
      <w:r w:rsidR="004B0DDE">
        <w:rPr>
          <w:rFonts w:ascii="Arial" w:hAnsi="Arial" w:cs="Arial"/>
          <w:sz w:val="24"/>
          <w:szCs w:val="24"/>
        </w:rPr>
        <w:t>on</w:t>
      </w:r>
      <w:r w:rsidR="00AC22C8">
        <w:rPr>
          <w:rFonts w:ascii="Arial" w:hAnsi="Arial" w:cs="Arial"/>
          <w:sz w:val="24"/>
          <w:szCs w:val="24"/>
        </w:rPr>
        <w:t xml:space="preserve"> 20</w:t>
      </w:r>
      <w:r w:rsidR="00AC22C8" w:rsidRPr="00AC22C8">
        <w:rPr>
          <w:rFonts w:ascii="Arial" w:hAnsi="Arial" w:cs="Arial"/>
          <w:sz w:val="24"/>
          <w:szCs w:val="24"/>
          <w:vertAlign w:val="superscript"/>
        </w:rPr>
        <w:t>th</w:t>
      </w:r>
      <w:r w:rsidR="00AC22C8">
        <w:rPr>
          <w:rFonts w:ascii="Arial" w:hAnsi="Arial" w:cs="Arial"/>
          <w:sz w:val="24"/>
          <w:szCs w:val="24"/>
        </w:rPr>
        <w:t xml:space="preserve"> January </w:t>
      </w:r>
      <w:r w:rsidR="004B0DDE">
        <w:rPr>
          <w:rFonts w:ascii="Arial" w:hAnsi="Arial" w:cs="Arial"/>
          <w:sz w:val="24"/>
          <w:szCs w:val="24"/>
        </w:rPr>
        <w:t>2019.</w:t>
      </w:r>
      <w:r w:rsidR="002D3443">
        <w:rPr>
          <w:rFonts w:ascii="Arial" w:hAnsi="Arial" w:cs="Arial"/>
          <w:sz w:val="24"/>
          <w:szCs w:val="24"/>
        </w:rPr>
        <w:t xml:space="preserve"> </w:t>
      </w:r>
      <w:r w:rsidR="00C5792F">
        <w:rPr>
          <w:rFonts w:ascii="Arial" w:hAnsi="Arial" w:cs="Arial"/>
          <w:sz w:val="24"/>
          <w:szCs w:val="24"/>
        </w:rPr>
        <w:t xml:space="preserve">The </w:t>
      </w:r>
      <w:r w:rsidR="004B0DDE">
        <w:rPr>
          <w:rFonts w:ascii="Arial" w:hAnsi="Arial" w:cs="Arial"/>
          <w:sz w:val="24"/>
          <w:szCs w:val="24"/>
        </w:rPr>
        <w:t xml:space="preserve">current draft of the </w:t>
      </w:r>
      <w:r w:rsidR="00571B1A">
        <w:rPr>
          <w:rFonts w:ascii="Arial" w:hAnsi="Arial" w:cs="Arial"/>
          <w:sz w:val="24"/>
          <w:szCs w:val="24"/>
        </w:rPr>
        <w:t xml:space="preserve">2020/21 Savings and Efficiency </w:t>
      </w:r>
      <w:r w:rsidR="00A81ECF">
        <w:rPr>
          <w:rFonts w:ascii="Arial" w:hAnsi="Arial" w:cs="Arial"/>
          <w:sz w:val="24"/>
          <w:szCs w:val="24"/>
        </w:rPr>
        <w:t xml:space="preserve">Plan </w:t>
      </w:r>
      <w:r w:rsidR="004B0DDE">
        <w:rPr>
          <w:rFonts w:ascii="Arial" w:hAnsi="Arial" w:cs="Arial"/>
          <w:sz w:val="24"/>
          <w:szCs w:val="24"/>
        </w:rPr>
        <w:t xml:space="preserve">is </w:t>
      </w:r>
      <w:r w:rsidR="00937068">
        <w:rPr>
          <w:rFonts w:ascii="Arial" w:hAnsi="Arial" w:cs="Arial"/>
          <w:sz w:val="24"/>
          <w:szCs w:val="24"/>
        </w:rPr>
        <w:t xml:space="preserve">detailed </w:t>
      </w:r>
      <w:r w:rsidR="009458FF">
        <w:rPr>
          <w:rFonts w:ascii="Arial" w:hAnsi="Arial" w:cs="Arial"/>
          <w:sz w:val="24"/>
          <w:szCs w:val="24"/>
        </w:rPr>
        <w:t xml:space="preserve">in Table </w:t>
      </w:r>
      <w:r w:rsidR="002D3443">
        <w:rPr>
          <w:rFonts w:ascii="Arial" w:hAnsi="Arial" w:cs="Arial"/>
          <w:sz w:val="24"/>
          <w:szCs w:val="24"/>
        </w:rPr>
        <w:t>1.3</w:t>
      </w:r>
      <w:r w:rsidR="009458FF">
        <w:rPr>
          <w:rFonts w:ascii="Arial" w:hAnsi="Arial" w:cs="Arial"/>
          <w:sz w:val="24"/>
          <w:szCs w:val="24"/>
        </w:rPr>
        <w:t xml:space="preserve"> below</w:t>
      </w:r>
      <w:r w:rsidR="002D3443">
        <w:rPr>
          <w:rFonts w:ascii="Arial" w:hAnsi="Arial" w:cs="Arial"/>
          <w:sz w:val="24"/>
          <w:szCs w:val="24"/>
        </w:rPr>
        <w:t>.</w:t>
      </w:r>
    </w:p>
    <w:p w14:paraId="3BA3E8E4" w14:textId="77777777" w:rsidR="008148BA" w:rsidRPr="00396C3E" w:rsidRDefault="008148BA" w:rsidP="008148BA">
      <w:pPr>
        <w:pStyle w:val="NoSpacing"/>
        <w:rPr>
          <w:rFonts w:ascii="Arial" w:hAnsi="Arial" w:cs="Arial"/>
          <w:sz w:val="24"/>
          <w:szCs w:val="24"/>
        </w:rPr>
      </w:pPr>
    </w:p>
    <w:p w14:paraId="01B36D07" w14:textId="303097C4" w:rsidR="009943EA" w:rsidRPr="00A27B30" w:rsidRDefault="00FA1FE8" w:rsidP="008B383D">
      <w:pPr>
        <w:pStyle w:val="NoSpacing"/>
        <w:rPr>
          <w:rFonts w:ascii="Arial" w:hAnsi="Arial" w:cs="Arial"/>
          <w:b/>
          <w:sz w:val="24"/>
          <w:szCs w:val="24"/>
          <w:u w:val="single"/>
        </w:rPr>
      </w:pPr>
      <w:r>
        <w:rPr>
          <w:rFonts w:ascii="Arial" w:hAnsi="Arial" w:cs="Arial"/>
          <w:b/>
          <w:sz w:val="24"/>
          <w:szCs w:val="24"/>
        </w:rPr>
        <w:t>7</w:t>
      </w:r>
      <w:r w:rsidR="00BE5250">
        <w:rPr>
          <w:rFonts w:ascii="Arial" w:hAnsi="Arial" w:cs="Arial"/>
          <w:b/>
          <w:sz w:val="24"/>
          <w:szCs w:val="24"/>
        </w:rPr>
        <w:t>.0</w:t>
      </w:r>
      <w:r w:rsidR="00BE5250">
        <w:rPr>
          <w:rFonts w:ascii="Arial" w:hAnsi="Arial" w:cs="Arial"/>
          <w:b/>
          <w:sz w:val="24"/>
          <w:szCs w:val="24"/>
        </w:rPr>
        <w:tab/>
      </w:r>
      <w:r w:rsidR="009943EA" w:rsidRPr="00D12BD1">
        <w:rPr>
          <w:rFonts w:ascii="Arial" w:hAnsi="Arial" w:cs="Arial"/>
          <w:b/>
          <w:sz w:val="24"/>
          <w:szCs w:val="24"/>
          <w:u w:val="single"/>
        </w:rPr>
        <w:t>Implications/Issues</w:t>
      </w:r>
    </w:p>
    <w:p w14:paraId="5B6A4709" w14:textId="77777777" w:rsidR="00A27B30" w:rsidRDefault="00A27B30" w:rsidP="00A27B30">
      <w:pPr>
        <w:spacing w:after="0" w:line="240" w:lineRule="auto"/>
        <w:contextualSpacing/>
        <w:rPr>
          <w:rFonts w:ascii="Arial" w:hAnsi="Arial"/>
          <w:sz w:val="24"/>
          <w:highlight w:val="yellow"/>
        </w:rPr>
      </w:pPr>
    </w:p>
    <w:p w14:paraId="17340588" w14:textId="77777777" w:rsidR="00121A7F" w:rsidRDefault="0073463F" w:rsidP="00881EA0">
      <w:pPr>
        <w:pStyle w:val="NoSpacing"/>
        <w:ind w:left="709"/>
        <w:rPr>
          <w:rFonts w:ascii="Arial" w:hAnsi="Arial" w:cs="Arial"/>
          <w:sz w:val="24"/>
          <w:szCs w:val="24"/>
        </w:rPr>
      </w:pPr>
      <w:r w:rsidRPr="0073463F">
        <w:rPr>
          <w:rFonts w:ascii="Arial" w:hAnsi="Arial" w:cs="Arial"/>
          <w:sz w:val="24"/>
          <w:szCs w:val="24"/>
        </w:rPr>
        <w:t xml:space="preserve">Failure to identify sufficient </w:t>
      </w:r>
      <w:r>
        <w:rPr>
          <w:rFonts w:ascii="Arial" w:hAnsi="Arial" w:cs="Arial"/>
          <w:sz w:val="24"/>
          <w:szCs w:val="24"/>
        </w:rPr>
        <w:t xml:space="preserve">savings </w:t>
      </w:r>
      <w:r w:rsidRPr="0073463F">
        <w:rPr>
          <w:rFonts w:ascii="Arial" w:hAnsi="Arial" w:cs="Arial"/>
          <w:sz w:val="24"/>
          <w:szCs w:val="24"/>
        </w:rPr>
        <w:t>and efficiency proposal</w:t>
      </w:r>
      <w:r w:rsidR="00881EA0">
        <w:rPr>
          <w:rFonts w:ascii="Arial" w:hAnsi="Arial" w:cs="Arial"/>
          <w:sz w:val="24"/>
          <w:szCs w:val="24"/>
        </w:rPr>
        <w:t xml:space="preserve">s, which are deliverable, </w:t>
      </w:r>
      <w:r w:rsidRPr="0073463F">
        <w:rPr>
          <w:rFonts w:ascii="Arial" w:hAnsi="Arial" w:cs="Arial"/>
          <w:sz w:val="24"/>
          <w:szCs w:val="24"/>
        </w:rPr>
        <w:t>place</w:t>
      </w:r>
      <w:r>
        <w:rPr>
          <w:rFonts w:ascii="Arial" w:hAnsi="Arial" w:cs="Arial"/>
          <w:sz w:val="24"/>
          <w:szCs w:val="24"/>
        </w:rPr>
        <w:t>s</w:t>
      </w:r>
      <w:r w:rsidRPr="0073463F">
        <w:rPr>
          <w:rFonts w:ascii="Arial" w:hAnsi="Arial" w:cs="Arial"/>
          <w:sz w:val="24"/>
          <w:szCs w:val="24"/>
        </w:rPr>
        <w:t xml:space="preserve"> the </w:t>
      </w:r>
      <w:r>
        <w:rPr>
          <w:rFonts w:ascii="Arial" w:hAnsi="Arial" w:cs="Arial"/>
          <w:sz w:val="24"/>
          <w:szCs w:val="24"/>
        </w:rPr>
        <w:t>F</w:t>
      </w:r>
      <w:r w:rsidRPr="0073463F">
        <w:rPr>
          <w:rFonts w:ascii="Arial" w:hAnsi="Arial" w:cs="Arial"/>
          <w:sz w:val="24"/>
          <w:szCs w:val="24"/>
        </w:rPr>
        <w:t>orce at risk of being in an unbalanced budget position.</w:t>
      </w:r>
      <w:r>
        <w:rPr>
          <w:rFonts w:ascii="Arial" w:hAnsi="Arial" w:cs="Arial"/>
          <w:sz w:val="24"/>
          <w:szCs w:val="24"/>
        </w:rPr>
        <w:t xml:space="preserve"> </w:t>
      </w:r>
    </w:p>
    <w:p w14:paraId="41C4F40B" w14:textId="77777777" w:rsidR="00BA4FE9" w:rsidRPr="00656F5B" w:rsidRDefault="00BA4FE9" w:rsidP="00881EA0">
      <w:pPr>
        <w:pStyle w:val="NoSpacing"/>
        <w:ind w:left="709"/>
        <w:rPr>
          <w:rFonts w:ascii="Arial" w:hAnsi="Arial" w:cs="Arial"/>
          <w:b/>
          <w:sz w:val="24"/>
          <w:szCs w:val="24"/>
        </w:rPr>
      </w:pPr>
    </w:p>
    <w:p w14:paraId="3BD32855" w14:textId="1891A2E4" w:rsidR="00E836C6" w:rsidRPr="00D12BD1" w:rsidRDefault="00FA1FE8" w:rsidP="00E836C6">
      <w:pPr>
        <w:pStyle w:val="NoSpacing"/>
        <w:ind w:left="709" w:hanging="709"/>
        <w:rPr>
          <w:rFonts w:ascii="Arial" w:hAnsi="Arial" w:cs="Arial"/>
          <w:b/>
          <w:sz w:val="24"/>
          <w:szCs w:val="24"/>
        </w:rPr>
      </w:pPr>
      <w:r>
        <w:rPr>
          <w:rFonts w:ascii="Arial" w:hAnsi="Arial" w:cs="Arial"/>
          <w:b/>
          <w:sz w:val="24"/>
          <w:szCs w:val="24"/>
        </w:rPr>
        <w:t>8</w:t>
      </w:r>
      <w:r w:rsidR="00E92E89" w:rsidRPr="00DE144B">
        <w:rPr>
          <w:rFonts w:ascii="Arial" w:hAnsi="Arial" w:cs="Arial"/>
          <w:b/>
          <w:sz w:val="24"/>
          <w:szCs w:val="24"/>
        </w:rPr>
        <w:t>.1</w:t>
      </w:r>
      <w:r w:rsidR="00652B9C" w:rsidRPr="00DE144B">
        <w:rPr>
          <w:rFonts w:ascii="Arial" w:hAnsi="Arial" w:cs="Arial"/>
          <w:b/>
          <w:sz w:val="24"/>
          <w:szCs w:val="24"/>
        </w:rPr>
        <w:tab/>
      </w:r>
      <w:r w:rsidR="00E836C6" w:rsidRPr="00D12BD1">
        <w:rPr>
          <w:rFonts w:ascii="Arial" w:hAnsi="Arial" w:cs="Arial"/>
          <w:b/>
          <w:sz w:val="24"/>
          <w:szCs w:val="24"/>
        </w:rPr>
        <w:t>Links to Police and Crime Plan Priorities</w:t>
      </w:r>
    </w:p>
    <w:p w14:paraId="2EBF12A8" w14:textId="77777777" w:rsidR="00E836C6" w:rsidRDefault="00E836C6" w:rsidP="00E836C6">
      <w:pPr>
        <w:pStyle w:val="NoSpacing"/>
        <w:ind w:left="1418" w:hanging="709"/>
        <w:rPr>
          <w:rFonts w:ascii="Arial" w:hAnsi="Arial" w:cs="Arial"/>
          <w:b/>
          <w:sz w:val="24"/>
          <w:szCs w:val="24"/>
        </w:rPr>
      </w:pPr>
    </w:p>
    <w:p w14:paraId="733B7F56" w14:textId="77777777" w:rsidR="00E836C6" w:rsidRDefault="00E836C6" w:rsidP="00E836C6">
      <w:pPr>
        <w:pStyle w:val="NoSpacing"/>
        <w:ind w:left="709"/>
        <w:rPr>
          <w:rFonts w:ascii="Arial" w:hAnsi="Arial" w:cs="Arial"/>
          <w:sz w:val="24"/>
          <w:szCs w:val="24"/>
        </w:rPr>
      </w:pPr>
      <w:r>
        <w:rPr>
          <w:rFonts w:ascii="Arial" w:hAnsi="Arial" w:cs="Arial"/>
          <w:sz w:val="24"/>
          <w:szCs w:val="24"/>
        </w:rPr>
        <w:t xml:space="preserve">All efficiency, savings and investment plans are considered in their potential </w:t>
      </w:r>
      <w:r w:rsidR="00F027F3">
        <w:rPr>
          <w:rFonts w:ascii="Arial" w:hAnsi="Arial" w:cs="Arial"/>
          <w:sz w:val="24"/>
          <w:szCs w:val="24"/>
        </w:rPr>
        <w:t>impact to</w:t>
      </w:r>
      <w:r>
        <w:rPr>
          <w:rFonts w:ascii="Arial" w:hAnsi="Arial" w:cs="Arial"/>
          <w:sz w:val="24"/>
          <w:szCs w:val="24"/>
        </w:rPr>
        <w:t xml:space="preserve"> ensure they align and are consistent with </w:t>
      </w:r>
      <w:r w:rsidRPr="00411145">
        <w:rPr>
          <w:rFonts w:ascii="Arial" w:hAnsi="Arial" w:cs="Arial"/>
          <w:sz w:val="24"/>
          <w:szCs w:val="24"/>
        </w:rPr>
        <w:t>the priorities set out in the Police and Crime Plan.</w:t>
      </w:r>
    </w:p>
    <w:p w14:paraId="4C90EAF2" w14:textId="77777777" w:rsidR="00E836C6" w:rsidRDefault="00E836C6" w:rsidP="00E836C6">
      <w:pPr>
        <w:pStyle w:val="NoSpacing"/>
        <w:ind w:left="709"/>
        <w:rPr>
          <w:rFonts w:ascii="Arial" w:hAnsi="Arial" w:cs="Arial"/>
          <w:sz w:val="24"/>
          <w:szCs w:val="24"/>
        </w:rPr>
      </w:pPr>
    </w:p>
    <w:p w14:paraId="6E92248C" w14:textId="2622C8B7" w:rsidR="00E836C6" w:rsidRPr="00D12BD1" w:rsidRDefault="00FA1FE8" w:rsidP="00E836C6">
      <w:pPr>
        <w:pStyle w:val="NoSpacing"/>
        <w:rPr>
          <w:rFonts w:ascii="Arial" w:hAnsi="Arial" w:cs="Arial"/>
          <w:b/>
          <w:sz w:val="24"/>
          <w:szCs w:val="24"/>
        </w:rPr>
      </w:pPr>
      <w:r>
        <w:rPr>
          <w:rFonts w:ascii="Arial" w:hAnsi="Arial" w:cs="Arial"/>
          <w:b/>
          <w:sz w:val="24"/>
          <w:szCs w:val="24"/>
        </w:rPr>
        <w:t>8</w:t>
      </w:r>
      <w:r w:rsidR="00E836C6" w:rsidRPr="00411145">
        <w:rPr>
          <w:rFonts w:ascii="Arial" w:hAnsi="Arial" w:cs="Arial"/>
          <w:b/>
          <w:sz w:val="24"/>
          <w:szCs w:val="24"/>
        </w:rPr>
        <w:t>.2</w:t>
      </w:r>
      <w:r w:rsidR="00E836C6" w:rsidRPr="00411145">
        <w:rPr>
          <w:rFonts w:ascii="Arial" w:hAnsi="Arial" w:cs="Arial"/>
          <w:b/>
          <w:sz w:val="24"/>
          <w:szCs w:val="24"/>
        </w:rPr>
        <w:tab/>
      </w:r>
      <w:r w:rsidR="00E836C6" w:rsidRPr="00D12BD1">
        <w:rPr>
          <w:rFonts w:ascii="Arial" w:hAnsi="Arial" w:cs="Arial"/>
          <w:b/>
          <w:sz w:val="24"/>
          <w:szCs w:val="24"/>
        </w:rPr>
        <w:t>Demand</w:t>
      </w:r>
    </w:p>
    <w:p w14:paraId="7790F881" w14:textId="77777777" w:rsidR="00E836C6" w:rsidRDefault="00E836C6" w:rsidP="00E836C6">
      <w:pPr>
        <w:pStyle w:val="NoSpacing"/>
        <w:ind w:left="709"/>
        <w:rPr>
          <w:rFonts w:ascii="Arial" w:hAnsi="Arial" w:cs="Arial"/>
          <w:b/>
          <w:sz w:val="24"/>
          <w:szCs w:val="24"/>
          <w:u w:val="single"/>
        </w:rPr>
      </w:pPr>
    </w:p>
    <w:p w14:paraId="0F9A7191" w14:textId="77777777" w:rsidR="00775BB0" w:rsidRPr="00034CA0" w:rsidRDefault="00775BB0" w:rsidP="00775BB0">
      <w:pPr>
        <w:pStyle w:val="NoSpacing"/>
        <w:ind w:left="720"/>
        <w:rPr>
          <w:rFonts w:ascii="Arial" w:hAnsi="Arial" w:cs="Arial"/>
          <w:sz w:val="24"/>
          <w:szCs w:val="24"/>
        </w:rPr>
      </w:pPr>
      <w:r w:rsidRPr="00034CA0">
        <w:rPr>
          <w:rFonts w:ascii="Arial" w:hAnsi="Arial" w:cs="Arial"/>
          <w:sz w:val="24"/>
          <w:szCs w:val="24"/>
        </w:rPr>
        <w:t xml:space="preserve">There is a high and increasing demand for police services due to both the volume of crime and incidents, and their severity. In 2018/19 crime in Essex increased by 18.3 per cent. This, coupled with the changing crime mix, particularly the disproportionate increase in high harm and more complex crime types, increases the demand the Force faces, which volume alone masks. </w:t>
      </w:r>
    </w:p>
    <w:p w14:paraId="33036F2A" w14:textId="77777777" w:rsidR="00775BB0" w:rsidRDefault="00775BB0" w:rsidP="00775BB0">
      <w:pPr>
        <w:pStyle w:val="NoSpacing"/>
        <w:ind w:left="720"/>
        <w:rPr>
          <w:rFonts w:ascii="Arial" w:hAnsi="Arial" w:cs="Arial"/>
          <w:sz w:val="24"/>
          <w:szCs w:val="24"/>
        </w:rPr>
      </w:pPr>
    </w:p>
    <w:p w14:paraId="25CC6D89" w14:textId="77777777" w:rsidR="00E836C6" w:rsidRDefault="00775BB0" w:rsidP="00E836C6">
      <w:pPr>
        <w:pStyle w:val="NoSpacing"/>
        <w:ind w:left="709"/>
        <w:rPr>
          <w:rFonts w:ascii="Arial" w:hAnsi="Arial" w:cs="Arial"/>
          <w:sz w:val="24"/>
          <w:szCs w:val="24"/>
        </w:rPr>
      </w:pPr>
      <w:r>
        <w:rPr>
          <w:rFonts w:ascii="Arial" w:hAnsi="Arial" w:cs="Arial"/>
          <w:sz w:val="24"/>
          <w:szCs w:val="24"/>
        </w:rPr>
        <w:t>The implementation of Efficiency &amp; Savings plans supports the force by enabling a greater investment in Police Officer numbers than otherwise would be possible by making saving that can be re-invested in priority areas.</w:t>
      </w:r>
    </w:p>
    <w:p w14:paraId="2E92DAFD" w14:textId="77777777" w:rsidR="00E836C6" w:rsidRPr="00411145" w:rsidRDefault="00E836C6" w:rsidP="00E836C6">
      <w:pPr>
        <w:pStyle w:val="NoSpacing"/>
        <w:ind w:left="709"/>
        <w:rPr>
          <w:rFonts w:ascii="Arial" w:hAnsi="Arial" w:cs="Arial"/>
          <w:sz w:val="24"/>
          <w:szCs w:val="24"/>
        </w:rPr>
      </w:pPr>
    </w:p>
    <w:p w14:paraId="52E7FAEB" w14:textId="1F7ADDB0" w:rsidR="00121A7F" w:rsidRPr="00D12BD1" w:rsidRDefault="00FA1FE8" w:rsidP="00DE144B">
      <w:pPr>
        <w:pStyle w:val="NoSpacing"/>
        <w:ind w:left="709" w:hanging="709"/>
        <w:rPr>
          <w:rFonts w:ascii="Arial" w:hAnsi="Arial" w:cs="Arial"/>
          <w:b/>
          <w:sz w:val="24"/>
          <w:szCs w:val="24"/>
        </w:rPr>
      </w:pPr>
      <w:r>
        <w:rPr>
          <w:rFonts w:ascii="Arial" w:hAnsi="Arial" w:cs="Arial"/>
          <w:b/>
          <w:sz w:val="24"/>
          <w:szCs w:val="24"/>
        </w:rPr>
        <w:t>8</w:t>
      </w:r>
      <w:r w:rsidR="00E836C6" w:rsidRPr="00E836C6">
        <w:rPr>
          <w:rFonts w:ascii="Arial" w:hAnsi="Arial" w:cs="Arial"/>
          <w:b/>
          <w:sz w:val="24"/>
          <w:szCs w:val="24"/>
        </w:rPr>
        <w:t>.3</w:t>
      </w:r>
      <w:r w:rsidR="00E836C6" w:rsidRPr="00E836C6">
        <w:rPr>
          <w:rFonts w:ascii="Arial" w:hAnsi="Arial" w:cs="Arial"/>
          <w:b/>
          <w:sz w:val="24"/>
          <w:szCs w:val="24"/>
        </w:rPr>
        <w:tab/>
      </w:r>
      <w:r w:rsidR="006279AB" w:rsidRPr="00D12BD1">
        <w:rPr>
          <w:rFonts w:ascii="Arial" w:hAnsi="Arial" w:cs="Arial"/>
          <w:b/>
          <w:sz w:val="24"/>
          <w:szCs w:val="24"/>
        </w:rPr>
        <w:t>Risks</w:t>
      </w:r>
      <w:r w:rsidR="00D8103E" w:rsidRPr="00D12BD1">
        <w:rPr>
          <w:rFonts w:ascii="Arial" w:hAnsi="Arial" w:cs="Arial"/>
          <w:b/>
          <w:sz w:val="24"/>
          <w:szCs w:val="24"/>
        </w:rPr>
        <w:t>/Mitigation</w:t>
      </w:r>
    </w:p>
    <w:p w14:paraId="2891EF80" w14:textId="77777777" w:rsidR="00121A7F" w:rsidRPr="007D3E9B" w:rsidRDefault="00121A7F" w:rsidP="0030288C">
      <w:pPr>
        <w:pStyle w:val="NoSpacing"/>
        <w:ind w:left="720"/>
        <w:rPr>
          <w:rFonts w:ascii="Arial" w:hAnsi="Arial" w:cs="Arial"/>
          <w:sz w:val="24"/>
          <w:szCs w:val="24"/>
        </w:rPr>
      </w:pPr>
    </w:p>
    <w:p w14:paraId="019DCB15" w14:textId="77777777" w:rsidR="00121A7F" w:rsidRDefault="0073463F" w:rsidP="00207FCB">
      <w:pPr>
        <w:spacing w:after="0" w:line="240" w:lineRule="auto"/>
        <w:ind w:left="709"/>
        <w:contextualSpacing/>
        <w:rPr>
          <w:rFonts w:ascii="Arial" w:hAnsi="Arial"/>
          <w:sz w:val="24"/>
        </w:rPr>
      </w:pPr>
      <w:r w:rsidRPr="0073463F">
        <w:rPr>
          <w:rFonts w:ascii="Arial" w:hAnsi="Arial"/>
          <w:sz w:val="24"/>
        </w:rPr>
        <w:t>If the Force fails to plan ad</w:t>
      </w:r>
      <w:r w:rsidR="00207FCB">
        <w:rPr>
          <w:rFonts w:ascii="Arial" w:hAnsi="Arial"/>
          <w:sz w:val="24"/>
        </w:rPr>
        <w:t>equately</w:t>
      </w:r>
      <w:r w:rsidRPr="0073463F">
        <w:rPr>
          <w:rFonts w:ascii="Arial" w:hAnsi="Arial"/>
          <w:sz w:val="24"/>
        </w:rPr>
        <w:t>, emergency measure</w:t>
      </w:r>
      <w:r w:rsidR="00BD4A2F">
        <w:rPr>
          <w:rFonts w:ascii="Arial" w:hAnsi="Arial"/>
          <w:sz w:val="24"/>
        </w:rPr>
        <w:t>s</w:t>
      </w:r>
      <w:r w:rsidRPr="0073463F">
        <w:rPr>
          <w:rFonts w:ascii="Arial" w:hAnsi="Arial"/>
          <w:sz w:val="24"/>
        </w:rPr>
        <w:t xml:space="preserve"> may need to be taken which could result in reduction in service and protection for the public. </w:t>
      </w:r>
    </w:p>
    <w:p w14:paraId="1D84A658" w14:textId="77777777" w:rsidR="00207FCB" w:rsidRPr="007D3E9B" w:rsidRDefault="00207FCB" w:rsidP="00207FCB">
      <w:pPr>
        <w:spacing w:after="0" w:line="240" w:lineRule="auto"/>
        <w:ind w:left="709"/>
        <w:contextualSpacing/>
        <w:rPr>
          <w:rFonts w:ascii="Arial" w:hAnsi="Arial"/>
          <w:sz w:val="24"/>
        </w:rPr>
      </w:pPr>
    </w:p>
    <w:p w14:paraId="04EE3CEA" w14:textId="47976E2C" w:rsidR="002B56D6" w:rsidRPr="00D12BD1" w:rsidRDefault="00FA1FE8" w:rsidP="002B56D6">
      <w:pPr>
        <w:spacing w:after="0" w:line="240" w:lineRule="auto"/>
        <w:rPr>
          <w:rFonts w:ascii="Arial" w:hAnsi="Arial" w:cs="Arial"/>
          <w:b/>
          <w:sz w:val="24"/>
          <w:szCs w:val="24"/>
        </w:rPr>
      </w:pPr>
      <w:r>
        <w:rPr>
          <w:rFonts w:ascii="Arial" w:hAnsi="Arial" w:cs="Arial"/>
          <w:b/>
          <w:sz w:val="24"/>
          <w:szCs w:val="24"/>
        </w:rPr>
        <w:t>8</w:t>
      </w:r>
      <w:r w:rsidR="002B56D6" w:rsidRPr="002B56D6">
        <w:rPr>
          <w:rFonts w:ascii="Arial" w:hAnsi="Arial" w:cs="Arial"/>
          <w:b/>
          <w:sz w:val="24"/>
          <w:szCs w:val="24"/>
        </w:rPr>
        <w:t>.4</w:t>
      </w:r>
      <w:r w:rsidR="002B56D6" w:rsidRPr="002B56D6">
        <w:rPr>
          <w:rFonts w:ascii="Arial" w:hAnsi="Arial" w:cs="Arial"/>
          <w:b/>
          <w:sz w:val="24"/>
          <w:szCs w:val="24"/>
        </w:rPr>
        <w:tab/>
      </w:r>
      <w:r w:rsidR="002B56D6" w:rsidRPr="00D12BD1">
        <w:rPr>
          <w:rFonts w:ascii="Arial" w:hAnsi="Arial" w:cs="Arial"/>
          <w:b/>
          <w:sz w:val="24"/>
          <w:szCs w:val="24"/>
        </w:rPr>
        <w:t xml:space="preserve">Equality and/or Human Rights Implications </w:t>
      </w:r>
    </w:p>
    <w:p w14:paraId="42A38BCD" w14:textId="77777777" w:rsidR="002B56D6" w:rsidRDefault="002B56D6" w:rsidP="002B56D6">
      <w:pPr>
        <w:pStyle w:val="NoSpacing"/>
        <w:rPr>
          <w:rFonts w:ascii="Arial" w:hAnsi="Arial" w:cs="Arial"/>
          <w:sz w:val="24"/>
          <w:szCs w:val="24"/>
        </w:rPr>
      </w:pPr>
    </w:p>
    <w:p w14:paraId="17370ECE" w14:textId="77777777" w:rsidR="001D5222" w:rsidRDefault="002B56D6" w:rsidP="00DE144B">
      <w:pPr>
        <w:pStyle w:val="NoSpacing"/>
        <w:ind w:left="720"/>
        <w:rPr>
          <w:rFonts w:ascii="Arial" w:hAnsi="Arial" w:cs="Arial"/>
          <w:sz w:val="24"/>
          <w:szCs w:val="24"/>
        </w:rPr>
      </w:pPr>
      <w:r>
        <w:rPr>
          <w:rFonts w:ascii="Arial" w:hAnsi="Arial" w:cs="Arial"/>
          <w:sz w:val="24"/>
          <w:szCs w:val="24"/>
        </w:rPr>
        <w:t xml:space="preserve">Any </w:t>
      </w:r>
      <w:r w:rsidRPr="007D3E9B">
        <w:rPr>
          <w:rFonts w:ascii="Arial" w:hAnsi="Arial" w:cs="Arial"/>
          <w:sz w:val="24"/>
          <w:szCs w:val="24"/>
        </w:rPr>
        <w:t>impact on equa</w:t>
      </w:r>
      <w:r>
        <w:rPr>
          <w:rFonts w:ascii="Arial" w:hAnsi="Arial" w:cs="Arial"/>
          <w:sz w:val="24"/>
          <w:szCs w:val="24"/>
        </w:rPr>
        <w:t>lity, diversity or human rights are considered within the evaluation of detailed savings</w:t>
      </w:r>
      <w:r w:rsidR="00BD4A2F">
        <w:rPr>
          <w:rFonts w:ascii="Arial" w:hAnsi="Arial" w:cs="Arial"/>
          <w:sz w:val="24"/>
          <w:szCs w:val="24"/>
        </w:rPr>
        <w:t xml:space="preserve">, efficiency </w:t>
      </w:r>
      <w:r>
        <w:rPr>
          <w:rFonts w:ascii="Arial" w:hAnsi="Arial" w:cs="Arial"/>
          <w:sz w:val="24"/>
          <w:szCs w:val="24"/>
        </w:rPr>
        <w:t>and investment proposals individually</w:t>
      </w:r>
    </w:p>
    <w:p w14:paraId="363FB008" w14:textId="77777777" w:rsidR="002B56D6" w:rsidRPr="00DE144B" w:rsidRDefault="002B56D6" w:rsidP="002B56D6">
      <w:pPr>
        <w:pStyle w:val="NoSpacing"/>
        <w:rPr>
          <w:rFonts w:ascii="Arial" w:hAnsi="Arial" w:cs="Arial"/>
          <w:b/>
          <w:sz w:val="24"/>
          <w:szCs w:val="24"/>
        </w:rPr>
      </w:pPr>
    </w:p>
    <w:p w14:paraId="4450E96A" w14:textId="176A6188" w:rsidR="001D5222" w:rsidRPr="00D12BD1" w:rsidRDefault="00FA1FE8" w:rsidP="00652B9C">
      <w:pPr>
        <w:pStyle w:val="NoSpacing"/>
        <w:rPr>
          <w:rFonts w:ascii="Arial" w:hAnsi="Arial" w:cs="Arial"/>
          <w:b/>
          <w:sz w:val="24"/>
          <w:szCs w:val="24"/>
        </w:rPr>
      </w:pPr>
      <w:r>
        <w:rPr>
          <w:rFonts w:ascii="Arial" w:hAnsi="Arial" w:cs="Arial"/>
          <w:b/>
          <w:sz w:val="24"/>
          <w:szCs w:val="24"/>
        </w:rPr>
        <w:t>8</w:t>
      </w:r>
      <w:r w:rsidR="002B56D6">
        <w:rPr>
          <w:rFonts w:ascii="Arial" w:hAnsi="Arial" w:cs="Arial"/>
          <w:b/>
          <w:sz w:val="24"/>
          <w:szCs w:val="24"/>
        </w:rPr>
        <w:t>.5</w:t>
      </w:r>
      <w:r w:rsidR="00E92E89" w:rsidRPr="00DE144B">
        <w:rPr>
          <w:rFonts w:ascii="Arial" w:hAnsi="Arial" w:cs="Arial"/>
          <w:b/>
          <w:sz w:val="24"/>
          <w:szCs w:val="24"/>
        </w:rPr>
        <w:tab/>
      </w:r>
      <w:r w:rsidR="00E92E89" w:rsidRPr="00D12BD1">
        <w:rPr>
          <w:rFonts w:ascii="Arial" w:hAnsi="Arial" w:cs="Arial"/>
          <w:b/>
          <w:sz w:val="24"/>
          <w:szCs w:val="24"/>
        </w:rPr>
        <w:t>Health and</w:t>
      </w:r>
      <w:r w:rsidR="00652B9C" w:rsidRPr="00D12BD1">
        <w:rPr>
          <w:rFonts w:ascii="Arial" w:hAnsi="Arial" w:cs="Arial"/>
          <w:b/>
          <w:sz w:val="24"/>
          <w:szCs w:val="24"/>
        </w:rPr>
        <w:t xml:space="preserve"> Safety Implications </w:t>
      </w:r>
    </w:p>
    <w:p w14:paraId="6F175E6C" w14:textId="77777777" w:rsidR="00881EA0" w:rsidRDefault="00881EA0" w:rsidP="00881EA0">
      <w:pPr>
        <w:pStyle w:val="NoSpacing"/>
        <w:ind w:left="720"/>
        <w:rPr>
          <w:rFonts w:ascii="Arial" w:hAnsi="Arial" w:cs="Arial"/>
          <w:sz w:val="24"/>
          <w:szCs w:val="24"/>
        </w:rPr>
      </w:pPr>
    </w:p>
    <w:p w14:paraId="6E8E4A0C" w14:textId="77777777" w:rsidR="00881EA0" w:rsidRDefault="00881EA0" w:rsidP="00881EA0">
      <w:pPr>
        <w:pStyle w:val="NoSpacing"/>
        <w:ind w:left="720"/>
        <w:rPr>
          <w:rFonts w:ascii="Arial" w:hAnsi="Arial" w:cs="Arial"/>
          <w:sz w:val="24"/>
          <w:szCs w:val="24"/>
        </w:rPr>
      </w:pPr>
      <w:r>
        <w:rPr>
          <w:rFonts w:ascii="Arial" w:hAnsi="Arial" w:cs="Arial"/>
          <w:sz w:val="24"/>
          <w:szCs w:val="24"/>
        </w:rPr>
        <w:t>Any health and safety implications are considered within the evaluation of detailed savings</w:t>
      </w:r>
      <w:r w:rsidR="00BD4A2F">
        <w:rPr>
          <w:rFonts w:ascii="Arial" w:hAnsi="Arial" w:cs="Arial"/>
          <w:sz w:val="24"/>
          <w:szCs w:val="24"/>
        </w:rPr>
        <w:t xml:space="preserve">, efficiency </w:t>
      </w:r>
      <w:r>
        <w:rPr>
          <w:rFonts w:ascii="Arial" w:hAnsi="Arial" w:cs="Arial"/>
          <w:sz w:val="24"/>
          <w:szCs w:val="24"/>
        </w:rPr>
        <w:t>and investment proposals individually</w:t>
      </w:r>
      <w:r w:rsidRPr="007D3E9B">
        <w:rPr>
          <w:rFonts w:ascii="Arial" w:hAnsi="Arial" w:cs="Arial"/>
          <w:sz w:val="24"/>
          <w:szCs w:val="24"/>
        </w:rPr>
        <w:t>.</w:t>
      </w:r>
    </w:p>
    <w:p w14:paraId="63BB8F17" w14:textId="77777777" w:rsidR="00FF2D70" w:rsidRDefault="00FF2D70" w:rsidP="00881EA0">
      <w:pPr>
        <w:pStyle w:val="NoSpacing"/>
        <w:ind w:left="720"/>
        <w:rPr>
          <w:rFonts w:ascii="Arial" w:hAnsi="Arial" w:cs="Arial"/>
          <w:sz w:val="24"/>
          <w:szCs w:val="24"/>
        </w:rPr>
      </w:pPr>
    </w:p>
    <w:p w14:paraId="55FE11BA" w14:textId="672C662F" w:rsidR="003832F7" w:rsidRDefault="00FA1FE8" w:rsidP="00665862">
      <w:pPr>
        <w:pStyle w:val="NoSpacing"/>
        <w:ind w:left="709" w:hanging="709"/>
        <w:rPr>
          <w:rFonts w:ascii="Arial" w:hAnsi="Arial" w:cs="Arial"/>
          <w:b/>
          <w:sz w:val="24"/>
          <w:szCs w:val="24"/>
          <w:u w:val="single"/>
        </w:rPr>
      </w:pPr>
      <w:r>
        <w:rPr>
          <w:rFonts w:ascii="Arial" w:hAnsi="Arial" w:cs="Arial"/>
          <w:b/>
          <w:sz w:val="24"/>
          <w:szCs w:val="24"/>
        </w:rPr>
        <w:t>9</w:t>
      </w:r>
      <w:r w:rsidR="00E92E89">
        <w:rPr>
          <w:rFonts w:ascii="Arial" w:hAnsi="Arial" w:cs="Arial"/>
          <w:b/>
          <w:sz w:val="24"/>
          <w:szCs w:val="24"/>
        </w:rPr>
        <w:t>.0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0EFAF925" w14:textId="77777777" w:rsidR="009F3263" w:rsidRDefault="009F3263" w:rsidP="009F3263">
      <w:pPr>
        <w:pStyle w:val="NoSpacing"/>
        <w:ind w:left="709"/>
        <w:rPr>
          <w:rFonts w:ascii="Arial" w:hAnsi="Arial" w:cs="Arial"/>
          <w:b/>
          <w:sz w:val="24"/>
          <w:szCs w:val="24"/>
        </w:rPr>
      </w:pPr>
    </w:p>
    <w:p w14:paraId="4D34BB7C" w14:textId="77777777" w:rsidR="00517DD2" w:rsidRPr="009F3263" w:rsidRDefault="00545BE3" w:rsidP="009F3263">
      <w:pPr>
        <w:pStyle w:val="NoSpacing"/>
        <w:ind w:left="709"/>
        <w:rPr>
          <w:rFonts w:ascii="Arial" w:hAnsi="Arial" w:cs="Arial"/>
          <w:sz w:val="24"/>
          <w:szCs w:val="24"/>
        </w:rPr>
      </w:pPr>
      <w:r>
        <w:rPr>
          <w:rFonts w:ascii="Arial" w:hAnsi="Arial" w:cs="Arial"/>
          <w:sz w:val="24"/>
          <w:szCs w:val="24"/>
        </w:rPr>
        <w:t>Consultation is undertaken for each savings</w:t>
      </w:r>
      <w:r w:rsidR="003334D3">
        <w:rPr>
          <w:rFonts w:ascii="Arial" w:hAnsi="Arial" w:cs="Arial"/>
          <w:sz w:val="24"/>
          <w:szCs w:val="24"/>
        </w:rPr>
        <w:t xml:space="preserve">, efficiency </w:t>
      </w:r>
      <w:r>
        <w:rPr>
          <w:rFonts w:ascii="Arial" w:hAnsi="Arial" w:cs="Arial"/>
          <w:sz w:val="24"/>
          <w:szCs w:val="24"/>
        </w:rPr>
        <w:t xml:space="preserve">or investment proposal appropriately. Allowance for the potential time and resource </w:t>
      </w:r>
      <w:r w:rsidR="00691459">
        <w:rPr>
          <w:rFonts w:ascii="Arial" w:hAnsi="Arial" w:cs="Arial"/>
          <w:sz w:val="24"/>
          <w:szCs w:val="24"/>
        </w:rPr>
        <w:t>required is</w:t>
      </w:r>
      <w:r>
        <w:rPr>
          <w:rFonts w:ascii="Arial" w:hAnsi="Arial" w:cs="Arial"/>
          <w:sz w:val="24"/>
          <w:szCs w:val="24"/>
        </w:rPr>
        <w:t xml:space="preserve"> taken into consideration within the </w:t>
      </w:r>
      <w:r>
        <w:rPr>
          <w:rFonts w:ascii="Arial" w:hAnsi="Arial" w:cs="Arial"/>
          <w:sz w:val="24"/>
          <w:szCs w:val="24"/>
        </w:rPr>
        <w:lastRenderedPageBreak/>
        <w:t>financial estimates</w:t>
      </w:r>
      <w:r w:rsidR="0060785B">
        <w:rPr>
          <w:rFonts w:ascii="Arial" w:hAnsi="Arial" w:cs="Arial"/>
          <w:sz w:val="24"/>
          <w:szCs w:val="24"/>
        </w:rPr>
        <w:t xml:space="preserve"> i.e. allowing for recruitment time for investment and consultation time for savings</w:t>
      </w:r>
      <w:r w:rsidR="002169F9">
        <w:rPr>
          <w:rFonts w:ascii="Arial" w:hAnsi="Arial" w:cs="Arial"/>
          <w:sz w:val="24"/>
          <w:szCs w:val="24"/>
        </w:rPr>
        <w:t>.</w:t>
      </w:r>
      <w:r>
        <w:rPr>
          <w:rFonts w:ascii="Arial" w:hAnsi="Arial" w:cs="Arial"/>
          <w:sz w:val="24"/>
          <w:szCs w:val="24"/>
        </w:rPr>
        <w:t xml:space="preserve"> </w:t>
      </w:r>
    </w:p>
    <w:p w14:paraId="7B0962FA" w14:textId="77777777" w:rsidR="003832F7" w:rsidRPr="007D3E9B" w:rsidRDefault="003832F7" w:rsidP="00665862">
      <w:pPr>
        <w:pStyle w:val="NoSpacing"/>
        <w:ind w:left="709"/>
        <w:rPr>
          <w:rFonts w:ascii="Arial" w:hAnsi="Arial" w:cs="Arial"/>
          <w:sz w:val="24"/>
          <w:szCs w:val="24"/>
        </w:rPr>
      </w:pPr>
    </w:p>
    <w:p w14:paraId="32271658" w14:textId="2D5919BA" w:rsidR="007D3E9B" w:rsidRPr="007D3E9B" w:rsidRDefault="00FA1FE8" w:rsidP="003832F7">
      <w:pPr>
        <w:pStyle w:val="NoSpacing"/>
        <w:ind w:left="720" w:hanging="720"/>
        <w:rPr>
          <w:rFonts w:ascii="Arial" w:hAnsi="Arial" w:cs="Arial"/>
          <w:b/>
          <w:sz w:val="24"/>
          <w:szCs w:val="24"/>
          <w:u w:val="single"/>
        </w:rPr>
      </w:pPr>
      <w:r>
        <w:rPr>
          <w:rFonts w:ascii="Arial" w:hAnsi="Arial" w:cs="Arial"/>
          <w:b/>
          <w:sz w:val="24"/>
          <w:szCs w:val="24"/>
        </w:rPr>
        <w:t>10</w:t>
      </w:r>
      <w:r w:rsidR="00E92E89">
        <w:rPr>
          <w:rFonts w:ascii="Arial" w:hAnsi="Arial" w:cs="Arial"/>
          <w:b/>
          <w:sz w:val="24"/>
          <w:szCs w:val="24"/>
        </w:rPr>
        <w:t>.0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2090FBD2" w14:textId="77777777" w:rsidR="007D3E9B" w:rsidRPr="007D3E9B" w:rsidRDefault="007D3E9B" w:rsidP="007D3E9B">
      <w:pPr>
        <w:pStyle w:val="NoSpacing"/>
        <w:ind w:left="720"/>
        <w:rPr>
          <w:rFonts w:ascii="Arial" w:hAnsi="Arial" w:cs="Arial"/>
          <w:sz w:val="24"/>
          <w:szCs w:val="24"/>
        </w:rPr>
      </w:pPr>
    </w:p>
    <w:p w14:paraId="5A63B8EA" w14:textId="77777777" w:rsidR="00C5792F" w:rsidRDefault="00881EA0" w:rsidP="007D3E9B">
      <w:pPr>
        <w:spacing w:after="0" w:line="240" w:lineRule="auto"/>
        <w:ind w:left="709"/>
        <w:rPr>
          <w:rFonts w:ascii="Arial" w:hAnsi="Arial" w:cs="Arial"/>
          <w:sz w:val="24"/>
          <w:szCs w:val="24"/>
        </w:rPr>
      </w:pPr>
      <w:r w:rsidRPr="00146E8F">
        <w:rPr>
          <w:rFonts w:ascii="Arial" w:hAnsi="Arial" w:cs="Arial"/>
          <w:sz w:val="24"/>
          <w:szCs w:val="24"/>
        </w:rPr>
        <w:t xml:space="preserve">There is ongoing action being taken to refine </w:t>
      </w:r>
      <w:r w:rsidR="00146E8F">
        <w:rPr>
          <w:rFonts w:ascii="Arial" w:hAnsi="Arial" w:cs="Arial"/>
          <w:sz w:val="24"/>
          <w:szCs w:val="24"/>
        </w:rPr>
        <w:t xml:space="preserve">and develop the detail behind the savings </w:t>
      </w:r>
      <w:r w:rsidR="001E1EA2">
        <w:rPr>
          <w:rFonts w:ascii="Arial" w:hAnsi="Arial" w:cs="Arial"/>
          <w:sz w:val="24"/>
          <w:szCs w:val="24"/>
        </w:rPr>
        <w:t xml:space="preserve">and efficiency </w:t>
      </w:r>
      <w:r w:rsidR="00146E8F">
        <w:rPr>
          <w:rFonts w:ascii="Arial" w:hAnsi="Arial" w:cs="Arial"/>
          <w:sz w:val="24"/>
          <w:szCs w:val="24"/>
        </w:rPr>
        <w:t>plans for future y</w:t>
      </w:r>
      <w:r w:rsidRPr="00146E8F">
        <w:rPr>
          <w:rFonts w:ascii="Arial" w:hAnsi="Arial" w:cs="Arial"/>
          <w:sz w:val="24"/>
          <w:szCs w:val="24"/>
        </w:rPr>
        <w:t>ears</w:t>
      </w:r>
      <w:r w:rsidR="002169F9">
        <w:rPr>
          <w:rFonts w:ascii="Arial" w:hAnsi="Arial" w:cs="Arial"/>
          <w:sz w:val="24"/>
          <w:szCs w:val="24"/>
        </w:rPr>
        <w:t xml:space="preserve">, primarily through the </w:t>
      </w:r>
      <w:r w:rsidR="00BD4A2F" w:rsidRPr="00BD4A2F">
        <w:rPr>
          <w:rFonts w:ascii="Arial" w:hAnsi="Arial" w:cs="Arial"/>
          <w:sz w:val="24"/>
          <w:szCs w:val="24"/>
        </w:rPr>
        <w:t xml:space="preserve">Force Efficiency &amp; Savings Board </w:t>
      </w:r>
      <w:r w:rsidR="002169F9">
        <w:rPr>
          <w:rFonts w:ascii="Arial" w:hAnsi="Arial" w:cs="Arial"/>
          <w:sz w:val="24"/>
          <w:szCs w:val="24"/>
        </w:rPr>
        <w:t>chaired by the Deputy Chief Constable</w:t>
      </w:r>
      <w:r w:rsidRPr="00146E8F">
        <w:rPr>
          <w:rFonts w:ascii="Arial" w:hAnsi="Arial" w:cs="Arial"/>
          <w:sz w:val="24"/>
          <w:szCs w:val="24"/>
        </w:rPr>
        <w:t>.</w:t>
      </w:r>
      <w:r w:rsidR="000A653E">
        <w:rPr>
          <w:rFonts w:ascii="Arial" w:hAnsi="Arial" w:cs="Arial"/>
          <w:sz w:val="24"/>
          <w:szCs w:val="24"/>
        </w:rPr>
        <w:t xml:space="preserve"> </w:t>
      </w:r>
      <w:r w:rsidR="0012636A">
        <w:rPr>
          <w:rFonts w:ascii="Arial" w:hAnsi="Arial" w:cs="Arial"/>
          <w:sz w:val="24"/>
          <w:szCs w:val="24"/>
        </w:rPr>
        <w:t xml:space="preserve">Early engagement will </w:t>
      </w:r>
      <w:r w:rsidR="000A653E">
        <w:rPr>
          <w:rFonts w:ascii="Arial" w:hAnsi="Arial" w:cs="Arial"/>
          <w:sz w:val="24"/>
          <w:szCs w:val="24"/>
        </w:rPr>
        <w:t>enable the developm</w:t>
      </w:r>
      <w:r w:rsidR="0012636A">
        <w:rPr>
          <w:rFonts w:ascii="Arial" w:hAnsi="Arial" w:cs="Arial"/>
          <w:sz w:val="24"/>
          <w:szCs w:val="24"/>
        </w:rPr>
        <w:t xml:space="preserve">ent of cashable savings </w:t>
      </w:r>
      <w:r w:rsidR="009458FF">
        <w:rPr>
          <w:rFonts w:ascii="Arial" w:hAnsi="Arial" w:cs="Arial"/>
          <w:sz w:val="24"/>
          <w:szCs w:val="24"/>
        </w:rPr>
        <w:t xml:space="preserve">earlier </w:t>
      </w:r>
      <w:r w:rsidR="000A653E">
        <w:rPr>
          <w:rFonts w:ascii="Arial" w:hAnsi="Arial" w:cs="Arial"/>
          <w:sz w:val="24"/>
          <w:szCs w:val="24"/>
        </w:rPr>
        <w:t>for 2021/22 and 2022/23.</w:t>
      </w:r>
      <w:r w:rsidR="00C5792F">
        <w:rPr>
          <w:rFonts w:ascii="Arial" w:hAnsi="Arial" w:cs="Arial"/>
          <w:sz w:val="24"/>
          <w:szCs w:val="24"/>
        </w:rPr>
        <w:t xml:space="preserve"> </w:t>
      </w:r>
    </w:p>
    <w:p w14:paraId="739AD024" w14:textId="77777777" w:rsidR="00C5792F" w:rsidRDefault="00C5792F" w:rsidP="007D3E9B">
      <w:pPr>
        <w:spacing w:after="0" w:line="240" w:lineRule="auto"/>
        <w:ind w:left="709"/>
        <w:rPr>
          <w:rFonts w:ascii="Arial" w:hAnsi="Arial" w:cs="Arial"/>
          <w:sz w:val="24"/>
          <w:szCs w:val="24"/>
        </w:rPr>
      </w:pPr>
    </w:p>
    <w:p w14:paraId="6CE652E5" w14:textId="77777777" w:rsidR="007D3E9B" w:rsidRPr="007D3E9B" w:rsidRDefault="007D3E9B" w:rsidP="00C654B8">
      <w:pPr>
        <w:pStyle w:val="NoSpacing"/>
        <w:ind w:left="709"/>
        <w:rPr>
          <w:rFonts w:ascii="Arial" w:hAnsi="Arial" w:cs="Arial"/>
          <w:sz w:val="24"/>
          <w:szCs w:val="24"/>
        </w:rPr>
      </w:pPr>
    </w:p>
    <w:p w14:paraId="5B06FA46" w14:textId="1B628EE1" w:rsidR="00017D7D" w:rsidRPr="007D3E9B" w:rsidRDefault="009943EA" w:rsidP="007D3E9B">
      <w:pPr>
        <w:pStyle w:val="NoSpacing"/>
        <w:rPr>
          <w:rFonts w:ascii="Arial" w:hAnsi="Arial" w:cs="Arial"/>
          <w:b/>
          <w:sz w:val="24"/>
          <w:szCs w:val="24"/>
          <w:u w:val="single"/>
        </w:rPr>
      </w:pPr>
      <w:r>
        <w:rPr>
          <w:rFonts w:ascii="Arial" w:hAnsi="Arial" w:cs="Arial"/>
          <w:b/>
          <w:sz w:val="24"/>
          <w:szCs w:val="24"/>
        </w:rPr>
        <w:t>1</w:t>
      </w:r>
      <w:r w:rsidR="00FA1FE8">
        <w:rPr>
          <w:rFonts w:ascii="Arial" w:hAnsi="Arial" w:cs="Arial"/>
          <w:b/>
          <w:sz w:val="24"/>
          <w:szCs w:val="24"/>
        </w:rPr>
        <w:t>1</w:t>
      </w:r>
      <w:r w:rsidR="00E92E89">
        <w:rPr>
          <w:rFonts w:ascii="Arial" w:hAnsi="Arial" w:cs="Arial"/>
          <w:b/>
          <w:sz w:val="24"/>
          <w:szCs w:val="24"/>
        </w:rPr>
        <w:t>.0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14:paraId="35BC3C9A" w14:textId="77777777" w:rsidR="007D3E9B" w:rsidRPr="007D3E9B" w:rsidRDefault="007D3E9B" w:rsidP="007D3E9B">
      <w:pPr>
        <w:pStyle w:val="NoSpacing"/>
        <w:ind w:left="720"/>
        <w:rPr>
          <w:rFonts w:ascii="Arial" w:hAnsi="Arial" w:cs="Arial"/>
          <w:sz w:val="24"/>
          <w:szCs w:val="24"/>
        </w:rPr>
      </w:pPr>
    </w:p>
    <w:p w14:paraId="470B12ED" w14:textId="5A916C1B" w:rsidR="00BA3196" w:rsidRDefault="00BA3196" w:rsidP="00BA3196">
      <w:pPr>
        <w:spacing w:after="0" w:line="240" w:lineRule="auto"/>
        <w:ind w:left="709"/>
        <w:rPr>
          <w:rFonts w:ascii="Arial" w:hAnsi="Arial" w:cs="Arial"/>
          <w:sz w:val="24"/>
          <w:szCs w:val="24"/>
        </w:rPr>
      </w:pPr>
      <w:r>
        <w:rPr>
          <w:rFonts w:ascii="Arial" w:hAnsi="Arial" w:cs="Arial"/>
          <w:sz w:val="24"/>
          <w:szCs w:val="24"/>
        </w:rPr>
        <w:t>The 2020/21 Efficiency and Savings plan in now being finalised for inclusion within the 2020/21 Budget.</w:t>
      </w:r>
      <w:r w:rsidR="00664031">
        <w:rPr>
          <w:rFonts w:ascii="Arial" w:hAnsi="Arial" w:cs="Arial"/>
          <w:sz w:val="24"/>
          <w:szCs w:val="24"/>
        </w:rPr>
        <w:t xml:space="preserve"> Work on firming up two more complex savings business cases continues and will be presented to the 9</w:t>
      </w:r>
      <w:r w:rsidR="00664031" w:rsidRPr="00664031">
        <w:rPr>
          <w:rFonts w:ascii="Arial" w:hAnsi="Arial" w:cs="Arial"/>
          <w:sz w:val="24"/>
          <w:szCs w:val="24"/>
          <w:vertAlign w:val="superscript"/>
        </w:rPr>
        <w:t>th</w:t>
      </w:r>
      <w:r w:rsidR="00664031">
        <w:rPr>
          <w:rFonts w:ascii="Arial" w:hAnsi="Arial" w:cs="Arial"/>
          <w:sz w:val="24"/>
          <w:szCs w:val="24"/>
        </w:rPr>
        <w:t xml:space="preserve"> January 2020 and 21</w:t>
      </w:r>
      <w:r w:rsidR="00664031" w:rsidRPr="00664031">
        <w:rPr>
          <w:rFonts w:ascii="Arial" w:hAnsi="Arial" w:cs="Arial"/>
          <w:sz w:val="24"/>
          <w:szCs w:val="24"/>
          <w:vertAlign w:val="superscript"/>
        </w:rPr>
        <w:t>st</w:t>
      </w:r>
      <w:r w:rsidR="00664031">
        <w:rPr>
          <w:rFonts w:ascii="Arial" w:hAnsi="Arial" w:cs="Arial"/>
          <w:sz w:val="24"/>
          <w:szCs w:val="24"/>
        </w:rPr>
        <w:t xml:space="preserve"> February 2020 SCCB. </w:t>
      </w:r>
    </w:p>
    <w:p w14:paraId="0EE1D655" w14:textId="77777777" w:rsidR="00BA3196" w:rsidRDefault="00BA3196" w:rsidP="00BA3196">
      <w:pPr>
        <w:spacing w:after="0" w:line="240" w:lineRule="auto"/>
        <w:ind w:left="709"/>
        <w:rPr>
          <w:rFonts w:ascii="Arial" w:hAnsi="Arial" w:cs="Arial"/>
          <w:sz w:val="24"/>
          <w:szCs w:val="24"/>
        </w:rPr>
      </w:pPr>
    </w:p>
    <w:p w14:paraId="76764316" w14:textId="3A6A0621" w:rsidR="00D96FE8" w:rsidRDefault="00664031" w:rsidP="00645C65">
      <w:pPr>
        <w:pStyle w:val="NoSpacing"/>
        <w:ind w:left="720"/>
        <w:rPr>
          <w:rFonts w:ascii="Arial" w:hAnsi="Arial" w:cs="Arial"/>
          <w:sz w:val="24"/>
          <w:szCs w:val="24"/>
        </w:rPr>
      </w:pPr>
      <w:r>
        <w:rPr>
          <w:rFonts w:ascii="Arial" w:hAnsi="Arial" w:cs="Arial"/>
          <w:sz w:val="24"/>
          <w:szCs w:val="24"/>
        </w:rPr>
        <w:t>Detailed work in developing the 2021/22 Efficiency &amp; Savings plans will be commissioned from the spring 2020 COG away</w:t>
      </w:r>
      <w:r w:rsidR="007A0AD8">
        <w:rPr>
          <w:rFonts w:ascii="Arial" w:hAnsi="Arial" w:cs="Arial"/>
          <w:sz w:val="24"/>
          <w:szCs w:val="24"/>
        </w:rPr>
        <w:t xml:space="preserve"> </w:t>
      </w:r>
      <w:r>
        <w:rPr>
          <w:rFonts w:ascii="Arial" w:hAnsi="Arial" w:cs="Arial"/>
          <w:sz w:val="24"/>
          <w:szCs w:val="24"/>
        </w:rPr>
        <w:t xml:space="preserve">day, where savings and efficiency </w:t>
      </w:r>
      <w:r w:rsidR="00D96FE8">
        <w:rPr>
          <w:rFonts w:ascii="Arial" w:hAnsi="Arial" w:cs="Arial"/>
          <w:sz w:val="24"/>
          <w:szCs w:val="24"/>
        </w:rPr>
        <w:t>ideas will be considered alongside other strategic force priorities.</w:t>
      </w:r>
    </w:p>
    <w:p w14:paraId="25091D44" w14:textId="77777777" w:rsidR="00D96FE8" w:rsidRDefault="00D96FE8" w:rsidP="00645C65">
      <w:pPr>
        <w:pStyle w:val="NoSpacing"/>
        <w:ind w:left="720"/>
        <w:rPr>
          <w:rFonts w:ascii="Arial" w:hAnsi="Arial" w:cs="Arial"/>
          <w:sz w:val="24"/>
          <w:szCs w:val="24"/>
        </w:rPr>
      </w:pPr>
    </w:p>
    <w:p w14:paraId="24C5D03C" w14:textId="48A60B37" w:rsidR="00566A6C" w:rsidRDefault="00664031" w:rsidP="00645C65">
      <w:pPr>
        <w:pStyle w:val="NoSpacing"/>
        <w:ind w:left="720"/>
        <w:rPr>
          <w:rFonts w:ascii="Arial" w:hAnsi="Arial" w:cs="Arial"/>
          <w:sz w:val="24"/>
          <w:szCs w:val="24"/>
        </w:rPr>
      </w:pPr>
      <w:r>
        <w:rPr>
          <w:rFonts w:ascii="Arial" w:hAnsi="Arial" w:cs="Arial"/>
          <w:sz w:val="24"/>
          <w:szCs w:val="24"/>
        </w:rPr>
        <w:t xml:space="preserve"> </w:t>
      </w:r>
    </w:p>
    <w:p w14:paraId="53D243D2" w14:textId="77777777" w:rsidR="00566A6C" w:rsidRDefault="00566A6C" w:rsidP="00645C65">
      <w:pPr>
        <w:pStyle w:val="NoSpacing"/>
        <w:ind w:left="720"/>
        <w:rPr>
          <w:rFonts w:ascii="Arial" w:hAnsi="Arial" w:cs="Arial"/>
          <w:sz w:val="24"/>
          <w:szCs w:val="24"/>
        </w:rPr>
      </w:pPr>
    </w:p>
    <w:p w14:paraId="4480A7B4" w14:textId="77777777" w:rsidR="00FD6F5D" w:rsidRDefault="00FD6F5D" w:rsidP="00645C65">
      <w:pPr>
        <w:pStyle w:val="NoSpacing"/>
        <w:ind w:left="720"/>
        <w:rPr>
          <w:rFonts w:ascii="Arial" w:hAnsi="Arial" w:cs="Arial"/>
          <w:sz w:val="24"/>
          <w:szCs w:val="24"/>
        </w:rPr>
      </w:pPr>
    </w:p>
    <w:p w14:paraId="16AE8B1F" w14:textId="77777777" w:rsidR="00FD6F5D" w:rsidRDefault="00FD6F5D" w:rsidP="00645C65">
      <w:pPr>
        <w:pStyle w:val="NoSpacing"/>
        <w:ind w:left="720"/>
        <w:rPr>
          <w:rFonts w:ascii="Arial" w:hAnsi="Arial" w:cs="Arial"/>
          <w:sz w:val="24"/>
          <w:szCs w:val="24"/>
        </w:rPr>
      </w:pPr>
    </w:p>
    <w:p w14:paraId="411BD8DD" w14:textId="77777777" w:rsidR="00FD6F5D" w:rsidRDefault="00FD6F5D" w:rsidP="00645C65">
      <w:pPr>
        <w:pStyle w:val="NoSpacing"/>
        <w:ind w:left="720"/>
        <w:rPr>
          <w:rFonts w:ascii="Arial" w:hAnsi="Arial" w:cs="Arial"/>
          <w:sz w:val="24"/>
          <w:szCs w:val="24"/>
        </w:rPr>
      </w:pPr>
    </w:p>
    <w:p w14:paraId="3A83CD55" w14:textId="77777777" w:rsidR="00FD6F5D" w:rsidRDefault="00FD6F5D" w:rsidP="00645C65">
      <w:pPr>
        <w:pStyle w:val="NoSpacing"/>
        <w:ind w:left="720"/>
        <w:rPr>
          <w:rFonts w:ascii="Arial" w:hAnsi="Arial" w:cs="Arial"/>
          <w:sz w:val="24"/>
          <w:szCs w:val="24"/>
        </w:rPr>
      </w:pPr>
    </w:p>
    <w:p w14:paraId="6D691988" w14:textId="77777777" w:rsidR="00FD6F5D" w:rsidRDefault="00FD6F5D" w:rsidP="00645C65">
      <w:pPr>
        <w:pStyle w:val="NoSpacing"/>
        <w:ind w:left="720"/>
        <w:rPr>
          <w:rFonts w:ascii="Arial" w:hAnsi="Arial" w:cs="Arial"/>
          <w:sz w:val="24"/>
          <w:szCs w:val="24"/>
        </w:rPr>
      </w:pPr>
    </w:p>
    <w:p w14:paraId="74056692" w14:textId="77777777" w:rsidR="00FD6F5D" w:rsidRDefault="00FD6F5D" w:rsidP="00645C65">
      <w:pPr>
        <w:pStyle w:val="NoSpacing"/>
        <w:ind w:left="720"/>
        <w:rPr>
          <w:rFonts w:ascii="Arial" w:hAnsi="Arial" w:cs="Arial"/>
          <w:sz w:val="24"/>
          <w:szCs w:val="24"/>
        </w:rPr>
      </w:pPr>
    </w:p>
    <w:p w14:paraId="0E3CEC19" w14:textId="77777777" w:rsidR="00FD6F5D" w:rsidRDefault="00FD6F5D" w:rsidP="00645C65">
      <w:pPr>
        <w:pStyle w:val="NoSpacing"/>
        <w:ind w:left="720"/>
        <w:rPr>
          <w:rFonts w:ascii="Arial" w:hAnsi="Arial" w:cs="Arial"/>
          <w:sz w:val="24"/>
          <w:szCs w:val="24"/>
        </w:rPr>
      </w:pPr>
    </w:p>
    <w:p w14:paraId="523A34B3" w14:textId="77777777" w:rsidR="00FD6F5D" w:rsidRDefault="00FD6F5D" w:rsidP="00645C65">
      <w:pPr>
        <w:pStyle w:val="NoSpacing"/>
        <w:ind w:left="720"/>
        <w:rPr>
          <w:rFonts w:ascii="Arial" w:hAnsi="Arial" w:cs="Arial"/>
          <w:sz w:val="24"/>
          <w:szCs w:val="24"/>
        </w:rPr>
      </w:pPr>
    </w:p>
    <w:p w14:paraId="1E04AB05" w14:textId="77777777" w:rsidR="00FD6F5D" w:rsidRDefault="00FD6F5D" w:rsidP="00645C65">
      <w:pPr>
        <w:pStyle w:val="NoSpacing"/>
        <w:ind w:left="720"/>
        <w:rPr>
          <w:rFonts w:ascii="Arial" w:hAnsi="Arial" w:cs="Arial"/>
          <w:sz w:val="24"/>
          <w:szCs w:val="24"/>
        </w:rPr>
      </w:pPr>
    </w:p>
    <w:p w14:paraId="34219930" w14:textId="77777777" w:rsidR="00FD6F5D" w:rsidRDefault="00FD6F5D" w:rsidP="00645C65">
      <w:pPr>
        <w:pStyle w:val="NoSpacing"/>
        <w:ind w:left="720"/>
        <w:rPr>
          <w:rStyle w:val="CommentReference"/>
        </w:rPr>
      </w:pPr>
    </w:p>
    <w:p w14:paraId="07FE8D06" w14:textId="77777777" w:rsidR="00FD6F5D" w:rsidRDefault="00FD6F5D" w:rsidP="00D14CD5">
      <w:pPr>
        <w:pStyle w:val="NoSpacing"/>
        <w:rPr>
          <w:rFonts w:ascii="Arial" w:hAnsi="Arial" w:cs="Arial"/>
          <w:sz w:val="24"/>
          <w:szCs w:val="24"/>
        </w:rPr>
        <w:sectPr w:rsidR="00FD6F5D" w:rsidSect="001E2DF7">
          <w:headerReference w:type="even" r:id="rId8"/>
          <w:headerReference w:type="default" r:id="rId9"/>
          <w:footerReference w:type="even" r:id="rId10"/>
          <w:footerReference w:type="default" r:id="rId11"/>
          <w:headerReference w:type="first" r:id="rId12"/>
          <w:footerReference w:type="first" r:id="rId13"/>
          <w:pgSz w:w="11906" w:h="16838"/>
          <w:pgMar w:top="720" w:right="426" w:bottom="720" w:left="568" w:header="708" w:footer="174" w:gutter="0"/>
          <w:cols w:space="708"/>
          <w:docGrid w:linePitch="360"/>
        </w:sectPr>
      </w:pPr>
    </w:p>
    <w:p w14:paraId="0CD0DC6C" w14:textId="19FF71E4" w:rsidR="00BF2140" w:rsidRDefault="00C84995" w:rsidP="002A5D35">
      <w:pPr>
        <w:ind w:left="-567" w:firstLine="993"/>
      </w:pPr>
      <w:r w:rsidRPr="00C84995">
        <w:rPr>
          <w:noProof/>
          <w:lang w:eastAsia="en-GB"/>
        </w:rPr>
        <w:lastRenderedPageBreak/>
        <w:drawing>
          <wp:inline distT="0" distB="0" distL="0" distR="0" wp14:anchorId="3C9AD520" wp14:editId="28A9ED40">
            <wp:extent cx="10005060" cy="6850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5060" cy="6850380"/>
                    </a:xfrm>
                    <a:prstGeom prst="rect">
                      <a:avLst/>
                    </a:prstGeom>
                    <a:noFill/>
                    <a:ln>
                      <a:noFill/>
                    </a:ln>
                  </pic:spPr>
                </pic:pic>
              </a:graphicData>
            </a:graphic>
          </wp:inline>
        </w:drawing>
      </w:r>
    </w:p>
    <w:p w14:paraId="0A634FC9" w14:textId="2FC3409C" w:rsidR="00DF4090" w:rsidRPr="00432B8A" w:rsidRDefault="00C84995" w:rsidP="00775D6F">
      <w:pPr>
        <w:ind w:left="284" w:firstLine="568"/>
        <w:rPr>
          <w:rFonts w:ascii="Arial" w:hAnsi="Arial" w:cs="Arial"/>
          <w:b/>
          <w:sz w:val="24"/>
          <w:szCs w:val="24"/>
        </w:rPr>
      </w:pPr>
      <w:r w:rsidRPr="00C84995">
        <w:rPr>
          <w:noProof/>
          <w:lang w:eastAsia="en-GB"/>
        </w:rPr>
        <w:lastRenderedPageBreak/>
        <w:drawing>
          <wp:inline distT="0" distB="0" distL="0" distR="0" wp14:anchorId="1CE3E557" wp14:editId="10ABF42E">
            <wp:extent cx="1000506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5060" cy="7429500"/>
                    </a:xfrm>
                    <a:prstGeom prst="rect">
                      <a:avLst/>
                    </a:prstGeom>
                    <a:noFill/>
                    <a:ln>
                      <a:noFill/>
                    </a:ln>
                  </pic:spPr>
                </pic:pic>
              </a:graphicData>
            </a:graphic>
          </wp:inline>
        </w:drawing>
      </w:r>
    </w:p>
    <w:sectPr w:rsidR="00DF4090" w:rsidRPr="00432B8A" w:rsidSect="00BF2140">
      <w:pgSz w:w="16838" w:h="11906" w:orient="landscape"/>
      <w:pgMar w:top="568" w:right="720" w:bottom="426" w:left="142" w:header="142"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1E55" w14:textId="77777777" w:rsidR="00350964" w:rsidRDefault="00350964" w:rsidP="00121A7F">
      <w:pPr>
        <w:spacing w:after="0" w:line="240" w:lineRule="auto"/>
      </w:pPr>
      <w:r>
        <w:separator/>
      </w:r>
    </w:p>
  </w:endnote>
  <w:endnote w:type="continuationSeparator" w:id="0">
    <w:p w14:paraId="13CF23D8" w14:textId="77777777" w:rsidR="00350964" w:rsidRDefault="00350964"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B0FD" w14:textId="77777777" w:rsidR="00892128" w:rsidRDefault="0089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813103"/>
      <w:docPartObj>
        <w:docPartGallery w:val="Page Numbers (Bottom of Page)"/>
        <w:docPartUnique/>
      </w:docPartObj>
    </w:sdtPr>
    <w:sdtEndPr/>
    <w:sdtContent>
      <w:sdt>
        <w:sdtPr>
          <w:id w:val="344214935"/>
          <w:docPartObj>
            <w:docPartGallery w:val="Page Numbers (Top of Page)"/>
            <w:docPartUnique/>
          </w:docPartObj>
        </w:sdtPr>
        <w:sdtEndPr/>
        <w:sdtContent>
          <w:p w14:paraId="2414282E" w14:textId="77777777" w:rsidR="00350964" w:rsidRDefault="00350964">
            <w:pPr>
              <w:pStyle w:val="Footer"/>
              <w:jc w:val="center"/>
            </w:pPr>
            <w:r>
              <w:t>OFFICIAL</w:t>
            </w:r>
          </w:p>
          <w:p w14:paraId="3456455A" w14:textId="13F9E850" w:rsidR="00350964" w:rsidRPr="005D43EC" w:rsidRDefault="00350964">
            <w:pPr>
              <w:pStyle w:val="Footer"/>
              <w:jc w:val="center"/>
            </w:pPr>
            <w:r w:rsidRPr="005D43EC">
              <w:t xml:space="preserve">Page </w:t>
            </w:r>
            <w:r w:rsidRPr="005D43EC">
              <w:rPr>
                <w:bCs/>
                <w:sz w:val="24"/>
                <w:szCs w:val="24"/>
              </w:rPr>
              <w:fldChar w:fldCharType="begin"/>
            </w:r>
            <w:r w:rsidRPr="005D43EC">
              <w:rPr>
                <w:bCs/>
              </w:rPr>
              <w:instrText xml:space="preserve"> PAGE </w:instrText>
            </w:r>
            <w:r w:rsidRPr="005D43EC">
              <w:rPr>
                <w:bCs/>
                <w:sz w:val="24"/>
                <w:szCs w:val="24"/>
              </w:rPr>
              <w:fldChar w:fldCharType="separate"/>
            </w:r>
            <w:r w:rsidR="001E0766">
              <w:rPr>
                <w:bCs/>
                <w:noProof/>
              </w:rPr>
              <w:t>5</w:t>
            </w:r>
            <w:r w:rsidRPr="005D43EC">
              <w:rPr>
                <w:bCs/>
                <w:sz w:val="24"/>
                <w:szCs w:val="24"/>
              </w:rPr>
              <w:fldChar w:fldCharType="end"/>
            </w:r>
            <w:r w:rsidRPr="005D43EC">
              <w:t xml:space="preserve"> of </w:t>
            </w:r>
            <w:r w:rsidRPr="005D43EC">
              <w:rPr>
                <w:bCs/>
                <w:sz w:val="24"/>
                <w:szCs w:val="24"/>
              </w:rPr>
              <w:fldChar w:fldCharType="begin"/>
            </w:r>
            <w:r w:rsidRPr="005D43EC">
              <w:rPr>
                <w:bCs/>
              </w:rPr>
              <w:instrText xml:space="preserve"> NUMPAGES  </w:instrText>
            </w:r>
            <w:r w:rsidRPr="005D43EC">
              <w:rPr>
                <w:bCs/>
                <w:sz w:val="24"/>
                <w:szCs w:val="24"/>
              </w:rPr>
              <w:fldChar w:fldCharType="separate"/>
            </w:r>
            <w:r w:rsidR="001E0766">
              <w:rPr>
                <w:bCs/>
                <w:noProof/>
              </w:rPr>
              <w:t>6</w:t>
            </w:r>
            <w:r w:rsidRPr="005D43EC">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D779" w14:textId="77777777" w:rsidR="00892128" w:rsidRDefault="00892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D6FC" w14:textId="77777777" w:rsidR="00350964" w:rsidRDefault="00350964" w:rsidP="00121A7F">
      <w:pPr>
        <w:spacing w:after="0" w:line="240" w:lineRule="auto"/>
      </w:pPr>
      <w:r>
        <w:separator/>
      </w:r>
    </w:p>
  </w:footnote>
  <w:footnote w:type="continuationSeparator" w:id="0">
    <w:p w14:paraId="0AB46A27" w14:textId="77777777" w:rsidR="00350964" w:rsidRDefault="00350964"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5215" w14:textId="77777777" w:rsidR="00892128" w:rsidRDefault="00892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1F11" w14:textId="77777777" w:rsidR="00350964" w:rsidRDefault="00350964" w:rsidP="007750CD">
    <w:pPr>
      <w:pStyle w:val="Header"/>
      <w:jc w:val="center"/>
    </w:pPr>
    <w: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F89A" w14:textId="77777777" w:rsidR="00892128" w:rsidRDefault="00892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248"/>
    <w:multiLevelType w:val="hybridMultilevel"/>
    <w:tmpl w:val="4E0C7E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1A856A6"/>
    <w:multiLevelType w:val="hybridMultilevel"/>
    <w:tmpl w:val="C5E6C0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FD262F"/>
    <w:multiLevelType w:val="hybridMultilevel"/>
    <w:tmpl w:val="3D80D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801634"/>
    <w:multiLevelType w:val="hybridMultilevel"/>
    <w:tmpl w:val="10D8A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833516"/>
    <w:multiLevelType w:val="hybridMultilevel"/>
    <w:tmpl w:val="986CE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8E4ED4"/>
    <w:multiLevelType w:val="hybridMultilevel"/>
    <w:tmpl w:val="C6683F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13D1C"/>
    <w:multiLevelType w:val="hybridMultilevel"/>
    <w:tmpl w:val="170A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880EEB"/>
    <w:multiLevelType w:val="hybridMultilevel"/>
    <w:tmpl w:val="DF62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2"/>
  </w:num>
  <w:num w:numId="5">
    <w:abstractNumId w:val="1"/>
  </w:num>
  <w:num w:numId="6">
    <w:abstractNumId w:val="13"/>
  </w:num>
  <w:num w:numId="7">
    <w:abstractNumId w:val="4"/>
  </w:num>
  <w:num w:numId="8">
    <w:abstractNumId w:val="6"/>
  </w:num>
  <w:num w:numId="9">
    <w:abstractNumId w:val="14"/>
  </w:num>
  <w:num w:numId="10">
    <w:abstractNumId w:val="10"/>
  </w:num>
  <w:num w:numId="11">
    <w:abstractNumId w:val="3"/>
  </w:num>
  <w:num w:numId="12">
    <w:abstractNumId w:val="8"/>
  </w:num>
  <w:num w:numId="13">
    <w:abstractNumId w:val="11"/>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7F"/>
    <w:rsid w:val="000000D6"/>
    <w:rsid w:val="00001117"/>
    <w:rsid w:val="000079FD"/>
    <w:rsid w:val="00011353"/>
    <w:rsid w:val="0001269C"/>
    <w:rsid w:val="00012A1C"/>
    <w:rsid w:val="00017C56"/>
    <w:rsid w:val="00017D7D"/>
    <w:rsid w:val="00027D5B"/>
    <w:rsid w:val="00031E89"/>
    <w:rsid w:val="00036FAB"/>
    <w:rsid w:val="00041EE4"/>
    <w:rsid w:val="000446F6"/>
    <w:rsid w:val="00046E42"/>
    <w:rsid w:val="000530FA"/>
    <w:rsid w:val="00055B70"/>
    <w:rsid w:val="00057503"/>
    <w:rsid w:val="00060F58"/>
    <w:rsid w:val="0006386D"/>
    <w:rsid w:val="0006544B"/>
    <w:rsid w:val="0007089B"/>
    <w:rsid w:val="00072162"/>
    <w:rsid w:val="000738E5"/>
    <w:rsid w:val="00082836"/>
    <w:rsid w:val="00084225"/>
    <w:rsid w:val="0008673F"/>
    <w:rsid w:val="00086A4F"/>
    <w:rsid w:val="000A34E4"/>
    <w:rsid w:val="000A653E"/>
    <w:rsid w:val="000A6EF4"/>
    <w:rsid w:val="000B368E"/>
    <w:rsid w:val="000B46D3"/>
    <w:rsid w:val="000B59B9"/>
    <w:rsid w:val="000B5BA3"/>
    <w:rsid w:val="000B6595"/>
    <w:rsid w:val="000C1E04"/>
    <w:rsid w:val="000C2D1D"/>
    <w:rsid w:val="000C49B8"/>
    <w:rsid w:val="000C5690"/>
    <w:rsid w:val="000C75DC"/>
    <w:rsid w:val="000D20E3"/>
    <w:rsid w:val="000D6353"/>
    <w:rsid w:val="000E247C"/>
    <w:rsid w:val="000E4727"/>
    <w:rsid w:val="000E7282"/>
    <w:rsid w:val="000F02F6"/>
    <w:rsid w:val="000F14CF"/>
    <w:rsid w:val="000F4B21"/>
    <w:rsid w:val="000F59B8"/>
    <w:rsid w:val="001011A6"/>
    <w:rsid w:val="001208C7"/>
    <w:rsid w:val="00121849"/>
    <w:rsid w:val="00121A7F"/>
    <w:rsid w:val="0012560C"/>
    <w:rsid w:val="0012636A"/>
    <w:rsid w:val="001309FA"/>
    <w:rsid w:val="001409E3"/>
    <w:rsid w:val="00143B66"/>
    <w:rsid w:val="001458B4"/>
    <w:rsid w:val="00146E8F"/>
    <w:rsid w:val="0015099C"/>
    <w:rsid w:val="0015522D"/>
    <w:rsid w:val="001600A6"/>
    <w:rsid w:val="0016204B"/>
    <w:rsid w:val="001644EE"/>
    <w:rsid w:val="00172B39"/>
    <w:rsid w:val="00175AA9"/>
    <w:rsid w:val="00182A62"/>
    <w:rsid w:val="0018363F"/>
    <w:rsid w:val="00190DDB"/>
    <w:rsid w:val="0019415C"/>
    <w:rsid w:val="00194F93"/>
    <w:rsid w:val="001A25EF"/>
    <w:rsid w:val="001A67E8"/>
    <w:rsid w:val="001D003C"/>
    <w:rsid w:val="001D2A4C"/>
    <w:rsid w:val="001D5222"/>
    <w:rsid w:val="001D7396"/>
    <w:rsid w:val="001E0766"/>
    <w:rsid w:val="001E1EA2"/>
    <w:rsid w:val="001E2DAF"/>
    <w:rsid w:val="001E2DF7"/>
    <w:rsid w:val="001E3DCF"/>
    <w:rsid w:val="001E43FC"/>
    <w:rsid w:val="001F1E3B"/>
    <w:rsid w:val="001F76DD"/>
    <w:rsid w:val="00203D17"/>
    <w:rsid w:val="00203FFA"/>
    <w:rsid w:val="002040C7"/>
    <w:rsid w:val="00207FCB"/>
    <w:rsid w:val="00215C52"/>
    <w:rsid w:val="002169F9"/>
    <w:rsid w:val="00220B41"/>
    <w:rsid w:val="002234E4"/>
    <w:rsid w:val="0023169A"/>
    <w:rsid w:val="00233BD6"/>
    <w:rsid w:val="00234BCF"/>
    <w:rsid w:val="00234CBD"/>
    <w:rsid w:val="002364CB"/>
    <w:rsid w:val="0023660D"/>
    <w:rsid w:val="00237D82"/>
    <w:rsid w:val="002433D5"/>
    <w:rsid w:val="00245F49"/>
    <w:rsid w:val="002501A1"/>
    <w:rsid w:val="0025158C"/>
    <w:rsid w:val="00253DE7"/>
    <w:rsid w:val="002551A3"/>
    <w:rsid w:val="0025524B"/>
    <w:rsid w:val="00256AAC"/>
    <w:rsid w:val="00261707"/>
    <w:rsid w:val="00261C9E"/>
    <w:rsid w:val="0027082F"/>
    <w:rsid w:val="0027298D"/>
    <w:rsid w:val="00273C02"/>
    <w:rsid w:val="00276173"/>
    <w:rsid w:val="0027632B"/>
    <w:rsid w:val="00277BEB"/>
    <w:rsid w:val="00282721"/>
    <w:rsid w:val="00293D90"/>
    <w:rsid w:val="002A20A4"/>
    <w:rsid w:val="002A235D"/>
    <w:rsid w:val="002A4F1B"/>
    <w:rsid w:val="002A5D35"/>
    <w:rsid w:val="002B0146"/>
    <w:rsid w:val="002B02A3"/>
    <w:rsid w:val="002B4DD9"/>
    <w:rsid w:val="002B56D6"/>
    <w:rsid w:val="002B5BA0"/>
    <w:rsid w:val="002C1ADA"/>
    <w:rsid w:val="002C373B"/>
    <w:rsid w:val="002C4623"/>
    <w:rsid w:val="002C71F8"/>
    <w:rsid w:val="002D1694"/>
    <w:rsid w:val="002D3443"/>
    <w:rsid w:val="002D4EC0"/>
    <w:rsid w:val="002D5F70"/>
    <w:rsid w:val="002D6AEF"/>
    <w:rsid w:val="002E0AC5"/>
    <w:rsid w:val="002E0E52"/>
    <w:rsid w:val="002E2C70"/>
    <w:rsid w:val="002E46DF"/>
    <w:rsid w:val="002F10FD"/>
    <w:rsid w:val="002F385B"/>
    <w:rsid w:val="002F4CDE"/>
    <w:rsid w:val="002F5D84"/>
    <w:rsid w:val="0030280F"/>
    <w:rsid w:val="0030288C"/>
    <w:rsid w:val="00302AC5"/>
    <w:rsid w:val="00303CE2"/>
    <w:rsid w:val="00312808"/>
    <w:rsid w:val="0031668F"/>
    <w:rsid w:val="00320879"/>
    <w:rsid w:val="00325142"/>
    <w:rsid w:val="0033043A"/>
    <w:rsid w:val="003313EE"/>
    <w:rsid w:val="003334D3"/>
    <w:rsid w:val="00335ADA"/>
    <w:rsid w:val="00336E37"/>
    <w:rsid w:val="003473DC"/>
    <w:rsid w:val="003478EF"/>
    <w:rsid w:val="00350964"/>
    <w:rsid w:val="00361064"/>
    <w:rsid w:val="00373F7B"/>
    <w:rsid w:val="003740E3"/>
    <w:rsid w:val="00376772"/>
    <w:rsid w:val="00377133"/>
    <w:rsid w:val="003832F7"/>
    <w:rsid w:val="00391A28"/>
    <w:rsid w:val="00392CD2"/>
    <w:rsid w:val="00396C3E"/>
    <w:rsid w:val="003973D7"/>
    <w:rsid w:val="00397791"/>
    <w:rsid w:val="003A0F89"/>
    <w:rsid w:val="003A1588"/>
    <w:rsid w:val="003A263F"/>
    <w:rsid w:val="003A2A4D"/>
    <w:rsid w:val="003A4CA3"/>
    <w:rsid w:val="003A4EEE"/>
    <w:rsid w:val="003A5ADC"/>
    <w:rsid w:val="003A6527"/>
    <w:rsid w:val="003B390D"/>
    <w:rsid w:val="003B3AFA"/>
    <w:rsid w:val="003B6099"/>
    <w:rsid w:val="003C1277"/>
    <w:rsid w:val="003D11DC"/>
    <w:rsid w:val="003D3276"/>
    <w:rsid w:val="003D7E50"/>
    <w:rsid w:val="003E7873"/>
    <w:rsid w:val="003F1755"/>
    <w:rsid w:val="003F2A11"/>
    <w:rsid w:val="003F477D"/>
    <w:rsid w:val="003F7C58"/>
    <w:rsid w:val="004038F0"/>
    <w:rsid w:val="004137A5"/>
    <w:rsid w:val="00420392"/>
    <w:rsid w:val="00420751"/>
    <w:rsid w:val="00421F6F"/>
    <w:rsid w:val="00422532"/>
    <w:rsid w:val="004238D5"/>
    <w:rsid w:val="00432B8A"/>
    <w:rsid w:val="004356B1"/>
    <w:rsid w:val="00436514"/>
    <w:rsid w:val="00437D83"/>
    <w:rsid w:val="00441FB5"/>
    <w:rsid w:val="004421B4"/>
    <w:rsid w:val="004458FB"/>
    <w:rsid w:val="0044665D"/>
    <w:rsid w:val="00447DEA"/>
    <w:rsid w:val="004521B5"/>
    <w:rsid w:val="00454962"/>
    <w:rsid w:val="00454A8B"/>
    <w:rsid w:val="004569F2"/>
    <w:rsid w:val="004633EE"/>
    <w:rsid w:val="00464DBE"/>
    <w:rsid w:val="00466C37"/>
    <w:rsid w:val="00470AC6"/>
    <w:rsid w:val="004719BF"/>
    <w:rsid w:val="00472456"/>
    <w:rsid w:val="00475A6B"/>
    <w:rsid w:val="00475C65"/>
    <w:rsid w:val="00477477"/>
    <w:rsid w:val="00481761"/>
    <w:rsid w:val="00482314"/>
    <w:rsid w:val="004916AE"/>
    <w:rsid w:val="00493615"/>
    <w:rsid w:val="00496DE7"/>
    <w:rsid w:val="004A0289"/>
    <w:rsid w:val="004A2573"/>
    <w:rsid w:val="004A44B9"/>
    <w:rsid w:val="004A6179"/>
    <w:rsid w:val="004B0DDE"/>
    <w:rsid w:val="004B1602"/>
    <w:rsid w:val="004B542C"/>
    <w:rsid w:val="004C1619"/>
    <w:rsid w:val="004C759F"/>
    <w:rsid w:val="004D10D8"/>
    <w:rsid w:val="004D1619"/>
    <w:rsid w:val="004E15DB"/>
    <w:rsid w:val="004E3398"/>
    <w:rsid w:val="004E393C"/>
    <w:rsid w:val="004E47B9"/>
    <w:rsid w:val="004E519D"/>
    <w:rsid w:val="004E7E29"/>
    <w:rsid w:val="004F051F"/>
    <w:rsid w:val="004F158C"/>
    <w:rsid w:val="004F1B0C"/>
    <w:rsid w:val="004F3338"/>
    <w:rsid w:val="004F62BB"/>
    <w:rsid w:val="004F723F"/>
    <w:rsid w:val="005007B8"/>
    <w:rsid w:val="00517DD2"/>
    <w:rsid w:val="00520656"/>
    <w:rsid w:val="00523007"/>
    <w:rsid w:val="005254F4"/>
    <w:rsid w:val="00537502"/>
    <w:rsid w:val="00537FAF"/>
    <w:rsid w:val="0054050A"/>
    <w:rsid w:val="005453A9"/>
    <w:rsid w:val="00545BE3"/>
    <w:rsid w:val="00547359"/>
    <w:rsid w:val="00553C96"/>
    <w:rsid w:val="00553E9D"/>
    <w:rsid w:val="00555CAA"/>
    <w:rsid w:val="00561A5C"/>
    <w:rsid w:val="00565CE7"/>
    <w:rsid w:val="00565DAD"/>
    <w:rsid w:val="00566A6C"/>
    <w:rsid w:val="005672A3"/>
    <w:rsid w:val="00571B1A"/>
    <w:rsid w:val="00573A59"/>
    <w:rsid w:val="00575EEC"/>
    <w:rsid w:val="00576A04"/>
    <w:rsid w:val="00577377"/>
    <w:rsid w:val="0058070A"/>
    <w:rsid w:val="005831C8"/>
    <w:rsid w:val="00583860"/>
    <w:rsid w:val="00595798"/>
    <w:rsid w:val="00596599"/>
    <w:rsid w:val="00597719"/>
    <w:rsid w:val="005A08E0"/>
    <w:rsid w:val="005A24CF"/>
    <w:rsid w:val="005A7360"/>
    <w:rsid w:val="005B0777"/>
    <w:rsid w:val="005C0DD5"/>
    <w:rsid w:val="005C2D39"/>
    <w:rsid w:val="005D0DEE"/>
    <w:rsid w:val="005D1C3E"/>
    <w:rsid w:val="005D3C0A"/>
    <w:rsid w:val="005D4366"/>
    <w:rsid w:val="005D6D94"/>
    <w:rsid w:val="005F1721"/>
    <w:rsid w:val="005F28AF"/>
    <w:rsid w:val="005F3A2B"/>
    <w:rsid w:val="005F5CFC"/>
    <w:rsid w:val="00602597"/>
    <w:rsid w:val="00603DC2"/>
    <w:rsid w:val="00604089"/>
    <w:rsid w:val="00605446"/>
    <w:rsid w:val="0060785B"/>
    <w:rsid w:val="00612F87"/>
    <w:rsid w:val="00616677"/>
    <w:rsid w:val="006170E4"/>
    <w:rsid w:val="00622537"/>
    <w:rsid w:val="006279AB"/>
    <w:rsid w:val="0063208F"/>
    <w:rsid w:val="00640018"/>
    <w:rsid w:val="006432B4"/>
    <w:rsid w:val="00645C65"/>
    <w:rsid w:val="00646B03"/>
    <w:rsid w:val="00651C0B"/>
    <w:rsid w:val="00652B9C"/>
    <w:rsid w:val="00656F5B"/>
    <w:rsid w:val="006615E2"/>
    <w:rsid w:val="00664031"/>
    <w:rsid w:val="00665862"/>
    <w:rsid w:val="006719BF"/>
    <w:rsid w:val="0067460B"/>
    <w:rsid w:val="006775E7"/>
    <w:rsid w:val="00681F66"/>
    <w:rsid w:val="0068430E"/>
    <w:rsid w:val="0068700B"/>
    <w:rsid w:val="00690911"/>
    <w:rsid w:val="00691459"/>
    <w:rsid w:val="006A0919"/>
    <w:rsid w:val="006A16CB"/>
    <w:rsid w:val="006A4EFB"/>
    <w:rsid w:val="006B0DD2"/>
    <w:rsid w:val="006B38D7"/>
    <w:rsid w:val="006B544C"/>
    <w:rsid w:val="006C15EF"/>
    <w:rsid w:val="006D3655"/>
    <w:rsid w:val="006D5CA0"/>
    <w:rsid w:val="006D7B10"/>
    <w:rsid w:val="006D7FBE"/>
    <w:rsid w:val="006E07B1"/>
    <w:rsid w:val="006E1977"/>
    <w:rsid w:val="006E1986"/>
    <w:rsid w:val="006E5086"/>
    <w:rsid w:val="006F0768"/>
    <w:rsid w:val="006F271A"/>
    <w:rsid w:val="006F5339"/>
    <w:rsid w:val="00703B67"/>
    <w:rsid w:val="00703EDB"/>
    <w:rsid w:val="007056F4"/>
    <w:rsid w:val="007068DB"/>
    <w:rsid w:val="00715AEC"/>
    <w:rsid w:val="00716FC2"/>
    <w:rsid w:val="007219A0"/>
    <w:rsid w:val="00721EDD"/>
    <w:rsid w:val="007222D9"/>
    <w:rsid w:val="007325D9"/>
    <w:rsid w:val="00732BBA"/>
    <w:rsid w:val="0073463F"/>
    <w:rsid w:val="00735EFD"/>
    <w:rsid w:val="0073617C"/>
    <w:rsid w:val="00737723"/>
    <w:rsid w:val="007427EA"/>
    <w:rsid w:val="007469D3"/>
    <w:rsid w:val="00755595"/>
    <w:rsid w:val="007571F5"/>
    <w:rsid w:val="007574E7"/>
    <w:rsid w:val="00760312"/>
    <w:rsid w:val="0076050B"/>
    <w:rsid w:val="00773654"/>
    <w:rsid w:val="00774440"/>
    <w:rsid w:val="007750CD"/>
    <w:rsid w:val="00775BB0"/>
    <w:rsid w:val="00775D6F"/>
    <w:rsid w:val="00785D02"/>
    <w:rsid w:val="00785D1E"/>
    <w:rsid w:val="007870D2"/>
    <w:rsid w:val="00787BA2"/>
    <w:rsid w:val="00794A51"/>
    <w:rsid w:val="00795B11"/>
    <w:rsid w:val="007A0AD8"/>
    <w:rsid w:val="007A4CFA"/>
    <w:rsid w:val="007A7C60"/>
    <w:rsid w:val="007B066F"/>
    <w:rsid w:val="007B097D"/>
    <w:rsid w:val="007B3F58"/>
    <w:rsid w:val="007B7FD5"/>
    <w:rsid w:val="007C30C4"/>
    <w:rsid w:val="007C34FD"/>
    <w:rsid w:val="007D3E9B"/>
    <w:rsid w:val="007D46DE"/>
    <w:rsid w:val="007D5B88"/>
    <w:rsid w:val="007E0DFD"/>
    <w:rsid w:val="007E73CD"/>
    <w:rsid w:val="007E7A29"/>
    <w:rsid w:val="007F0C04"/>
    <w:rsid w:val="007F244C"/>
    <w:rsid w:val="00800EEC"/>
    <w:rsid w:val="00801ECC"/>
    <w:rsid w:val="00802D3B"/>
    <w:rsid w:val="00803A6B"/>
    <w:rsid w:val="008063F5"/>
    <w:rsid w:val="00811FA6"/>
    <w:rsid w:val="008148BA"/>
    <w:rsid w:val="00817206"/>
    <w:rsid w:val="0081734A"/>
    <w:rsid w:val="0082453B"/>
    <w:rsid w:val="00826347"/>
    <w:rsid w:val="00826A22"/>
    <w:rsid w:val="008279BC"/>
    <w:rsid w:val="008313A4"/>
    <w:rsid w:val="00833507"/>
    <w:rsid w:val="00833C1A"/>
    <w:rsid w:val="00836CEA"/>
    <w:rsid w:val="008402D8"/>
    <w:rsid w:val="00840BE3"/>
    <w:rsid w:val="00841A12"/>
    <w:rsid w:val="00846579"/>
    <w:rsid w:val="00847122"/>
    <w:rsid w:val="0084761D"/>
    <w:rsid w:val="00847F1A"/>
    <w:rsid w:val="0085074A"/>
    <w:rsid w:val="00851884"/>
    <w:rsid w:val="00851B2D"/>
    <w:rsid w:val="00853802"/>
    <w:rsid w:val="0085576D"/>
    <w:rsid w:val="00856144"/>
    <w:rsid w:val="008572FC"/>
    <w:rsid w:val="0086018B"/>
    <w:rsid w:val="00862A23"/>
    <w:rsid w:val="00866727"/>
    <w:rsid w:val="0086782F"/>
    <w:rsid w:val="00870075"/>
    <w:rsid w:val="00874580"/>
    <w:rsid w:val="00874628"/>
    <w:rsid w:val="00877F44"/>
    <w:rsid w:val="0088090F"/>
    <w:rsid w:val="0088174E"/>
    <w:rsid w:val="00881EA0"/>
    <w:rsid w:val="008843BC"/>
    <w:rsid w:val="00885B1C"/>
    <w:rsid w:val="00885D18"/>
    <w:rsid w:val="00887246"/>
    <w:rsid w:val="00892128"/>
    <w:rsid w:val="00892BC7"/>
    <w:rsid w:val="00896252"/>
    <w:rsid w:val="008966F3"/>
    <w:rsid w:val="008A5ABB"/>
    <w:rsid w:val="008A5BC3"/>
    <w:rsid w:val="008A679C"/>
    <w:rsid w:val="008B00B3"/>
    <w:rsid w:val="008B029E"/>
    <w:rsid w:val="008B19D3"/>
    <w:rsid w:val="008B22AA"/>
    <w:rsid w:val="008B383D"/>
    <w:rsid w:val="008B5302"/>
    <w:rsid w:val="008B5CB3"/>
    <w:rsid w:val="008B5DEE"/>
    <w:rsid w:val="008B7348"/>
    <w:rsid w:val="008C0D7F"/>
    <w:rsid w:val="008C3EC5"/>
    <w:rsid w:val="008C59EB"/>
    <w:rsid w:val="008C6AC1"/>
    <w:rsid w:val="008C78FB"/>
    <w:rsid w:val="008E20F6"/>
    <w:rsid w:val="008E522B"/>
    <w:rsid w:val="008E6FB2"/>
    <w:rsid w:val="008F18B1"/>
    <w:rsid w:val="008F1C01"/>
    <w:rsid w:val="008F3195"/>
    <w:rsid w:val="00906275"/>
    <w:rsid w:val="00912031"/>
    <w:rsid w:val="00913D30"/>
    <w:rsid w:val="00913EEA"/>
    <w:rsid w:val="0092106F"/>
    <w:rsid w:val="009250FB"/>
    <w:rsid w:val="00934ECC"/>
    <w:rsid w:val="00936667"/>
    <w:rsid w:val="00937068"/>
    <w:rsid w:val="00940419"/>
    <w:rsid w:val="009458FF"/>
    <w:rsid w:val="00950177"/>
    <w:rsid w:val="00950373"/>
    <w:rsid w:val="00952895"/>
    <w:rsid w:val="009572B1"/>
    <w:rsid w:val="00963060"/>
    <w:rsid w:val="00963376"/>
    <w:rsid w:val="00963401"/>
    <w:rsid w:val="00973601"/>
    <w:rsid w:val="00973AC1"/>
    <w:rsid w:val="0097422F"/>
    <w:rsid w:val="00977757"/>
    <w:rsid w:val="00982111"/>
    <w:rsid w:val="00982216"/>
    <w:rsid w:val="0098247E"/>
    <w:rsid w:val="00982775"/>
    <w:rsid w:val="009909B8"/>
    <w:rsid w:val="00993AFA"/>
    <w:rsid w:val="00993DE1"/>
    <w:rsid w:val="009943EA"/>
    <w:rsid w:val="00995962"/>
    <w:rsid w:val="009A7ABD"/>
    <w:rsid w:val="009B18EC"/>
    <w:rsid w:val="009B6286"/>
    <w:rsid w:val="009C68DC"/>
    <w:rsid w:val="009D0330"/>
    <w:rsid w:val="009D0CC1"/>
    <w:rsid w:val="009D1977"/>
    <w:rsid w:val="009D2390"/>
    <w:rsid w:val="009D7BAB"/>
    <w:rsid w:val="009E0A20"/>
    <w:rsid w:val="009E1BC0"/>
    <w:rsid w:val="009E4F29"/>
    <w:rsid w:val="009E5080"/>
    <w:rsid w:val="009F0440"/>
    <w:rsid w:val="009F3263"/>
    <w:rsid w:val="00A037B0"/>
    <w:rsid w:val="00A045F4"/>
    <w:rsid w:val="00A050B3"/>
    <w:rsid w:val="00A052DC"/>
    <w:rsid w:val="00A0687C"/>
    <w:rsid w:val="00A07AEA"/>
    <w:rsid w:val="00A11306"/>
    <w:rsid w:val="00A11310"/>
    <w:rsid w:val="00A12B81"/>
    <w:rsid w:val="00A200A2"/>
    <w:rsid w:val="00A20D3C"/>
    <w:rsid w:val="00A2231D"/>
    <w:rsid w:val="00A27B30"/>
    <w:rsid w:val="00A300A3"/>
    <w:rsid w:val="00A30693"/>
    <w:rsid w:val="00A35EDC"/>
    <w:rsid w:val="00A45128"/>
    <w:rsid w:val="00A471C9"/>
    <w:rsid w:val="00A501B9"/>
    <w:rsid w:val="00A54D47"/>
    <w:rsid w:val="00A54F23"/>
    <w:rsid w:val="00A56646"/>
    <w:rsid w:val="00A6394B"/>
    <w:rsid w:val="00A6525B"/>
    <w:rsid w:val="00A67619"/>
    <w:rsid w:val="00A73F34"/>
    <w:rsid w:val="00A76762"/>
    <w:rsid w:val="00A77CAF"/>
    <w:rsid w:val="00A81ECF"/>
    <w:rsid w:val="00A84983"/>
    <w:rsid w:val="00A85689"/>
    <w:rsid w:val="00A9224E"/>
    <w:rsid w:val="00A93A6F"/>
    <w:rsid w:val="00AA1B3B"/>
    <w:rsid w:val="00AA1FF6"/>
    <w:rsid w:val="00AA4995"/>
    <w:rsid w:val="00AB1FBF"/>
    <w:rsid w:val="00AB247E"/>
    <w:rsid w:val="00AB3A2E"/>
    <w:rsid w:val="00AB4AF3"/>
    <w:rsid w:val="00AC1ABD"/>
    <w:rsid w:val="00AC22C8"/>
    <w:rsid w:val="00AC530F"/>
    <w:rsid w:val="00AC77FC"/>
    <w:rsid w:val="00AD016C"/>
    <w:rsid w:val="00AD1F17"/>
    <w:rsid w:val="00AD2EC8"/>
    <w:rsid w:val="00AD396E"/>
    <w:rsid w:val="00AD3DA7"/>
    <w:rsid w:val="00AD5D55"/>
    <w:rsid w:val="00AD5D99"/>
    <w:rsid w:val="00AD6A75"/>
    <w:rsid w:val="00AE0DD8"/>
    <w:rsid w:val="00AE78DC"/>
    <w:rsid w:val="00AF365C"/>
    <w:rsid w:val="00AF3B85"/>
    <w:rsid w:val="00AF7F10"/>
    <w:rsid w:val="00B04042"/>
    <w:rsid w:val="00B1372E"/>
    <w:rsid w:val="00B1490E"/>
    <w:rsid w:val="00B173B6"/>
    <w:rsid w:val="00B179F2"/>
    <w:rsid w:val="00B22C94"/>
    <w:rsid w:val="00B237A4"/>
    <w:rsid w:val="00B41678"/>
    <w:rsid w:val="00B420C0"/>
    <w:rsid w:val="00B46622"/>
    <w:rsid w:val="00B53843"/>
    <w:rsid w:val="00B54872"/>
    <w:rsid w:val="00B57C91"/>
    <w:rsid w:val="00B63150"/>
    <w:rsid w:val="00B63DA8"/>
    <w:rsid w:val="00B65700"/>
    <w:rsid w:val="00B6614B"/>
    <w:rsid w:val="00B66B90"/>
    <w:rsid w:val="00B72A27"/>
    <w:rsid w:val="00B804D3"/>
    <w:rsid w:val="00B82AD0"/>
    <w:rsid w:val="00B84A21"/>
    <w:rsid w:val="00B86FD0"/>
    <w:rsid w:val="00B87355"/>
    <w:rsid w:val="00B93107"/>
    <w:rsid w:val="00B97A39"/>
    <w:rsid w:val="00BA24AD"/>
    <w:rsid w:val="00BA24ED"/>
    <w:rsid w:val="00BA2F32"/>
    <w:rsid w:val="00BA3196"/>
    <w:rsid w:val="00BA4FE9"/>
    <w:rsid w:val="00BA682F"/>
    <w:rsid w:val="00BB061F"/>
    <w:rsid w:val="00BB1A3D"/>
    <w:rsid w:val="00BB614B"/>
    <w:rsid w:val="00BB618A"/>
    <w:rsid w:val="00BC229C"/>
    <w:rsid w:val="00BC5DCA"/>
    <w:rsid w:val="00BC6249"/>
    <w:rsid w:val="00BD2EAA"/>
    <w:rsid w:val="00BD3F29"/>
    <w:rsid w:val="00BD4A2F"/>
    <w:rsid w:val="00BD553E"/>
    <w:rsid w:val="00BD77C1"/>
    <w:rsid w:val="00BE0018"/>
    <w:rsid w:val="00BE003E"/>
    <w:rsid w:val="00BE3FD1"/>
    <w:rsid w:val="00BE5250"/>
    <w:rsid w:val="00BE57BB"/>
    <w:rsid w:val="00BF2140"/>
    <w:rsid w:val="00BF66F8"/>
    <w:rsid w:val="00C03CC6"/>
    <w:rsid w:val="00C040BE"/>
    <w:rsid w:val="00C06AFE"/>
    <w:rsid w:val="00C07266"/>
    <w:rsid w:val="00C10417"/>
    <w:rsid w:val="00C1201E"/>
    <w:rsid w:val="00C13482"/>
    <w:rsid w:val="00C14888"/>
    <w:rsid w:val="00C157CE"/>
    <w:rsid w:val="00C203C9"/>
    <w:rsid w:val="00C30181"/>
    <w:rsid w:val="00C309B4"/>
    <w:rsid w:val="00C37DBF"/>
    <w:rsid w:val="00C4106D"/>
    <w:rsid w:val="00C42180"/>
    <w:rsid w:val="00C440FF"/>
    <w:rsid w:val="00C44E4F"/>
    <w:rsid w:val="00C55551"/>
    <w:rsid w:val="00C5792F"/>
    <w:rsid w:val="00C64F88"/>
    <w:rsid w:val="00C654B8"/>
    <w:rsid w:val="00C8083A"/>
    <w:rsid w:val="00C82CAE"/>
    <w:rsid w:val="00C84995"/>
    <w:rsid w:val="00C873D1"/>
    <w:rsid w:val="00C948F9"/>
    <w:rsid w:val="00C96675"/>
    <w:rsid w:val="00C96C3A"/>
    <w:rsid w:val="00CA0527"/>
    <w:rsid w:val="00CA1344"/>
    <w:rsid w:val="00CA4C5E"/>
    <w:rsid w:val="00CA5668"/>
    <w:rsid w:val="00CA589B"/>
    <w:rsid w:val="00CA740D"/>
    <w:rsid w:val="00CB354D"/>
    <w:rsid w:val="00CB4533"/>
    <w:rsid w:val="00CB54B3"/>
    <w:rsid w:val="00CC117E"/>
    <w:rsid w:val="00CC1889"/>
    <w:rsid w:val="00CC7DF0"/>
    <w:rsid w:val="00CD4D6D"/>
    <w:rsid w:val="00CF246E"/>
    <w:rsid w:val="00CF5E42"/>
    <w:rsid w:val="00D051FC"/>
    <w:rsid w:val="00D0567F"/>
    <w:rsid w:val="00D10FF4"/>
    <w:rsid w:val="00D12BD1"/>
    <w:rsid w:val="00D14CD5"/>
    <w:rsid w:val="00D15AB1"/>
    <w:rsid w:val="00D23B92"/>
    <w:rsid w:val="00D25461"/>
    <w:rsid w:val="00D27368"/>
    <w:rsid w:val="00D40C81"/>
    <w:rsid w:val="00D424A0"/>
    <w:rsid w:val="00D44BCC"/>
    <w:rsid w:val="00D459B2"/>
    <w:rsid w:val="00D51082"/>
    <w:rsid w:val="00D66E28"/>
    <w:rsid w:val="00D736E6"/>
    <w:rsid w:val="00D76F55"/>
    <w:rsid w:val="00D8103E"/>
    <w:rsid w:val="00D825E0"/>
    <w:rsid w:val="00D83C9C"/>
    <w:rsid w:val="00D90B47"/>
    <w:rsid w:val="00D90DC4"/>
    <w:rsid w:val="00D90F69"/>
    <w:rsid w:val="00D9636F"/>
    <w:rsid w:val="00D96FE8"/>
    <w:rsid w:val="00DA617B"/>
    <w:rsid w:val="00DB234A"/>
    <w:rsid w:val="00DB458D"/>
    <w:rsid w:val="00DB4B73"/>
    <w:rsid w:val="00DB6FBE"/>
    <w:rsid w:val="00DC1C8F"/>
    <w:rsid w:val="00DD7BD7"/>
    <w:rsid w:val="00DE144B"/>
    <w:rsid w:val="00DF02C5"/>
    <w:rsid w:val="00DF07AE"/>
    <w:rsid w:val="00DF128D"/>
    <w:rsid w:val="00DF3881"/>
    <w:rsid w:val="00DF4090"/>
    <w:rsid w:val="00DF4AF0"/>
    <w:rsid w:val="00DF6E8D"/>
    <w:rsid w:val="00DF7D7A"/>
    <w:rsid w:val="00E15730"/>
    <w:rsid w:val="00E165E9"/>
    <w:rsid w:val="00E20E86"/>
    <w:rsid w:val="00E237B4"/>
    <w:rsid w:val="00E26622"/>
    <w:rsid w:val="00E2703B"/>
    <w:rsid w:val="00E31C4A"/>
    <w:rsid w:val="00E31EA3"/>
    <w:rsid w:val="00E321D2"/>
    <w:rsid w:val="00E40CE3"/>
    <w:rsid w:val="00E412BD"/>
    <w:rsid w:val="00E42F0F"/>
    <w:rsid w:val="00E44606"/>
    <w:rsid w:val="00E44B1F"/>
    <w:rsid w:val="00E46E83"/>
    <w:rsid w:val="00E50E86"/>
    <w:rsid w:val="00E527AF"/>
    <w:rsid w:val="00E5308C"/>
    <w:rsid w:val="00E55BFD"/>
    <w:rsid w:val="00E633E1"/>
    <w:rsid w:val="00E705B2"/>
    <w:rsid w:val="00E836C6"/>
    <w:rsid w:val="00E8459B"/>
    <w:rsid w:val="00E84792"/>
    <w:rsid w:val="00E8665A"/>
    <w:rsid w:val="00E901D9"/>
    <w:rsid w:val="00E92E89"/>
    <w:rsid w:val="00E93B7D"/>
    <w:rsid w:val="00E94ACD"/>
    <w:rsid w:val="00EA12FD"/>
    <w:rsid w:val="00EA4712"/>
    <w:rsid w:val="00EA7B5E"/>
    <w:rsid w:val="00EA7F85"/>
    <w:rsid w:val="00EB1329"/>
    <w:rsid w:val="00EB41AC"/>
    <w:rsid w:val="00EB6A5C"/>
    <w:rsid w:val="00EC61B6"/>
    <w:rsid w:val="00ED3DE9"/>
    <w:rsid w:val="00ED5574"/>
    <w:rsid w:val="00ED6C45"/>
    <w:rsid w:val="00EE103F"/>
    <w:rsid w:val="00EE1CB9"/>
    <w:rsid w:val="00EE2E0C"/>
    <w:rsid w:val="00EE470F"/>
    <w:rsid w:val="00EF20B1"/>
    <w:rsid w:val="00EF448C"/>
    <w:rsid w:val="00EF49BE"/>
    <w:rsid w:val="00EF6020"/>
    <w:rsid w:val="00EF7E96"/>
    <w:rsid w:val="00F027F3"/>
    <w:rsid w:val="00F04653"/>
    <w:rsid w:val="00F04AA9"/>
    <w:rsid w:val="00F05BA7"/>
    <w:rsid w:val="00F064D8"/>
    <w:rsid w:val="00F11D66"/>
    <w:rsid w:val="00F14A2E"/>
    <w:rsid w:val="00F15696"/>
    <w:rsid w:val="00F16E23"/>
    <w:rsid w:val="00F17AFA"/>
    <w:rsid w:val="00F27C1E"/>
    <w:rsid w:val="00F31CEC"/>
    <w:rsid w:val="00F31E8F"/>
    <w:rsid w:val="00F36501"/>
    <w:rsid w:val="00F37C05"/>
    <w:rsid w:val="00F428F6"/>
    <w:rsid w:val="00F44851"/>
    <w:rsid w:val="00F500C7"/>
    <w:rsid w:val="00F513DB"/>
    <w:rsid w:val="00F539B0"/>
    <w:rsid w:val="00F544EC"/>
    <w:rsid w:val="00F54896"/>
    <w:rsid w:val="00F55E6F"/>
    <w:rsid w:val="00F613B4"/>
    <w:rsid w:val="00F62826"/>
    <w:rsid w:val="00F647BE"/>
    <w:rsid w:val="00F67F9D"/>
    <w:rsid w:val="00F7416C"/>
    <w:rsid w:val="00F777CD"/>
    <w:rsid w:val="00F8243D"/>
    <w:rsid w:val="00F84CC5"/>
    <w:rsid w:val="00F86457"/>
    <w:rsid w:val="00F91D70"/>
    <w:rsid w:val="00FA0511"/>
    <w:rsid w:val="00FA0FCD"/>
    <w:rsid w:val="00FA1FE8"/>
    <w:rsid w:val="00FA7122"/>
    <w:rsid w:val="00FB0749"/>
    <w:rsid w:val="00FB268D"/>
    <w:rsid w:val="00FB3DEE"/>
    <w:rsid w:val="00FC17CD"/>
    <w:rsid w:val="00FC2216"/>
    <w:rsid w:val="00FC521C"/>
    <w:rsid w:val="00FC7404"/>
    <w:rsid w:val="00FD2136"/>
    <w:rsid w:val="00FD6F5D"/>
    <w:rsid w:val="00FE5D31"/>
    <w:rsid w:val="00FE7546"/>
    <w:rsid w:val="00FE76FC"/>
    <w:rsid w:val="00FF2D70"/>
    <w:rsid w:val="00FF3F13"/>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73C0CC6"/>
  <w15:docId w15:val="{4BF8779E-1164-40D2-93B8-6FEAA9B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customStyle="1" w:styleId="TableParagraph">
    <w:name w:val="Table Paragraph"/>
    <w:basedOn w:val="Normal"/>
    <w:uiPriority w:val="1"/>
    <w:qFormat/>
    <w:rsid w:val="007750C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29"/>
    <w:rPr>
      <w:rFonts w:ascii="Tahoma" w:hAnsi="Tahoma" w:cs="Tahoma"/>
      <w:sz w:val="16"/>
      <w:szCs w:val="16"/>
    </w:rPr>
  </w:style>
  <w:style w:type="character" w:styleId="CommentReference">
    <w:name w:val="annotation reference"/>
    <w:basedOn w:val="DefaultParagraphFont"/>
    <w:uiPriority w:val="99"/>
    <w:semiHidden/>
    <w:unhideWhenUsed/>
    <w:rsid w:val="006E07B1"/>
    <w:rPr>
      <w:sz w:val="16"/>
      <w:szCs w:val="16"/>
    </w:rPr>
  </w:style>
  <w:style w:type="paragraph" w:styleId="CommentText">
    <w:name w:val="annotation text"/>
    <w:basedOn w:val="Normal"/>
    <w:link w:val="CommentTextChar"/>
    <w:uiPriority w:val="99"/>
    <w:semiHidden/>
    <w:unhideWhenUsed/>
    <w:rsid w:val="006E07B1"/>
    <w:pPr>
      <w:spacing w:line="240" w:lineRule="auto"/>
    </w:pPr>
    <w:rPr>
      <w:sz w:val="20"/>
      <w:szCs w:val="20"/>
    </w:rPr>
  </w:style>
  <w:style w:type="character" w:customStyle="1" w:styleId="CommentTextChar">
    <w:name w:val="Comment Text Char"/>
    <w:basedOn w:val="DefaultParagraphFont"/>
    <w:link w:val="CommentText"/>
    <w:uiPriority w:val="99"/>
    <w:semiHidden/>
    <w:rsid w:val="006E07B1"/>
    <w:rPr>
      <w:sz w:val="20"/>
      <w:szCs w:val="20"/>
    </w:rPr>
  </w:style>
  <w:style w:type="paragraph" w:styleId="CommentSubject">
    <w:name w:val="annotation subject"/>
    <w:basedOn w:val="CommentText"/>
    <w:next w:val="CommentText"/>
    <w:link w:val="CommentSubjectChar"/>
    <w:uiPriority w:val="99"/>
    <w:semiHidden/>
    <w:unhideWhenUsed/>
    <w:rsid w:val="006E07B1"/>
    <w:rPr>
      <w:b/>
      <w:bCs/>
    </w:rPr>
  </w:style>
  <w:style w:type="character" w:customStyle="1" w:styleId="CommentSubjectChar">
    <w:name w:val="Comment Subject Char"/>
    <w:basedOn w:val="CommentTextChar"/>
    <w:link w:val="CommentSubject"/>
    <w:uiPriority w:val="99"/>
    <w:semiHidden/>
    <w:rsid w:val="006E07B1"/>
    <w:rPr>
      <w:b/>
      <w:bCs/>
      <w:sz w:val="20"/>
      <w:szCs w:val="20"/>
    </w:rPr>
  </w:style>
  <w:style w:type="paragraph" w:styleId="Revision">
    <w:name w:val="Revision"/>
    <w:hidden/>
    <w:uiPriority w:val="99"/>
    <w:semiHidden/>
    <w:rsid w:val="00757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39">
      <w:bodyDiv w:val="1"/>
      <w:marLeft w:val="0"/>
      <w:marRight w:val="0"/>
      <w:marTop w:val="0"/>
      <w:marBottom w:val="0"/>
      <w:divBdr>
        <w:top w:val="none" w:sz="0" w:space="0" w:color="auto"/>
        <w:left w:val="none" w:sz="0" w:space="0" w:color="auto"/>
        <w:bottom w:val="none" w:sz="0" w:space="0" w:color="auto"/>
        <w:right w:val="none" w:sz="0" w:space="0" w:color="auto"/>
      </w:divBdr>
    </w:div>
    <w:div w:id="55904036">
      <w:bodyDiv w:val="1"/>
      <w:marLeft w:val="0"/>
      <w:marRight w:val="0"/>
      <w:marTop w:val="0"/>
      <w:marBottom w:val="0"/>
      <w:divBdr>
        <w:top w:val="none" w:sz="0" w:space="0" w:color="auto"/>
        <w:left w:val="none" w:sz="0" w:space="0" w:color="auto"/>
        <w:bottom w:val="none" w:sz="0" w:space="0" w:color="auto"/>
        <w:right w:val="none" w:sz="0" w:space="0" w:color="auto"/>
      </w:divBdr>
    </w:div>
    <w:div w:id="97455031">
      <w:bodyDiv w:val="1"/>
      <w:marLeft w:val="0"/>
      <w:marRight w:val="0"/>
      <w:marTop w:val="0"/>
      <w:marBottom w:val="0"/>
      <w:divBdr>
        <w:top w:val="none" w:sz="0" w:space="0" w:color="auto"/>
        <w:left w:val="none" w:sz="0" w:space="0" w:color="auto"/>
        <w:bottom w:val="none" w:sz="0" w:space="0" w:color="auto"/>
        <w:right w:val="none" w:sz="0" w:space="0" w:color="auto"/>
      </w:divBdr>
    </w:div>
    <w:div w:id="130367661">
      <w:bodyDiv w:val="1"/>
      <w:marLeft w:val="0"/>
      <w:marRight w:val="0"/>
      <w:marTop w:val="0"/>
      <w:marBottom w:val="0"/>
      <w:divBdr>
        <w:top w:val="none" w:sz="0" w:space="0" w:color="auto"/>
        <w:left w:val="none" w:sz="0" w:space="0" w:color="auto"/>
        <w:bottom w:val="none" w:sz="0" w:space="0" w:color="auto"/>
        <w:right w:val="none" w:sz="0" w:space="0" w:color="auto"/>
      </w:divBdr>
    </w:div>
    <w:div w:id="143737301">
      <w:bodyDiv w:val="1"/>
      <w:marLeft w:val="0"/>
      <w:marRight w:val="0"/>
      <w:marTop w:val="0"/>
      <w:marBottom w:val="0"/>
      <w:divBdr>
        <w:top w:val="none" w:sz="0" w:space="0" w:color="auto"/>
        <w:left w:val="none" w:sz="0" w:space="0" w:color="auto"/>
        <w:bottom w:val="none" w:sz="0" w:space="0" w:color="auto"/>
        <w:right w:val="none" w:sz="0" w:space="0" w:color="auto"/>
      </w:divBdr>
    </w:div>
    <w:div w:id="168983220">
      <w:bodyDiv w:val="1"/>
      <w:marLeft w:val="0"/>
      <w:marRight w:val="0"/>
      <w:marTop w:val="0"/>
      <w:marBottom w:val="0"/>
      <w:divBdr>
        <w:top w:val="none" w:sz="0" w:space="0" w:color="auto"/>
        <w:left w:val="none" w:sz="0" w:space="0" w:color="auto"/>
        <w:bottom w:val="none" w:sz="0" w:space="0" w:color="auto"/>
        <w:right w:val="none" w:sz="0" w:space="0" w:color="auto"/>
      </w:divBdr>
    </w:div>
    <w:div w:id="224681075">
      <w:bodyDiv w:val="1"/>
      <w:marLeft w:val="0"/>
      <w:marRight w:val="0"/>
      <w:marTop w:val="0"/>
      <w:marBottom w:val="0"/>
      <w:divBdr>
        <w:top w:val="none" w:sz="0" w:space="0" w:color="auto"/>
        <w:left w:val="none" w:sz="0" w:space="0" w:color="auto"/>
        <w:bottom w:val="none" w:sz="0" w:space="0" w:color="auto"/>
        <w:right w:val="none" w:sz="0" w:space="0" w:color="auto"/>
      </w:divBdr>
    </w:div>
    <w:div w:id="315838775">
      <w:bodyDiv w:val="1"/>
      <w:marLeft w:val="0"/>
      <w:marRight w:val="0"/>
      <w:marTop w:val="0"/>
      <w:marBottom w:val="0"/>
      <w:divBdr>
        <w:top w:val="none" w:sz="0" w:space="0" w:color="auto"/>
        <w:left w:val="none" w:sz="0" w:space="0" w:color="auto"/>
        <w:bottom w:val="none" w:sz="0" w:space="0" w:color="auto"/>
        <w:right w:val="none" w:sz="0" w:space="0" w:color="auto"/>
      </w:divBdr>
    </w:div>
    <w:div w:id="415591796">
      <w:bodyDiv w:val="1"/>
      <w:marLeft w:val="0"/>
      <w:marRight w:val="0"/>
      <w:marTop w:val="0"/>
      <w:marBottom w:val="0"/>
      <w:divBdr>
        <w:top w:val="none" w:sz="0" w:space="0" w:color="auto"/>
        <w:left w:val="none" w:sz="0" w:space="0" w:color="auto"/>
        <w:bottom w:val="none" w:sz="0" w:space="0" w:color="auto"/>
        <w:right w:val="none" w:sz="0" w:space="0" w:color="auto"/>
      </w:divBdr>
    </w:div>
    <w:div w:id="453132610">
      <w:bodyDiv w:val="1"/>
      <w:marLeft w:val="0"/>
      <w:marRight w:val="0"/>
      <w:marTop w:val="0"/>
      <w:marBottom w:val="0"/>
      <w:divBdr>
        <w:top w:val="none" w:sz="0" w:space="0" w:color="auto"/>
        <w:left w:val="none" w:sz="0" w:space="0" w:color="auto"/>
        <w:bottom w:val="none" w:sz="0" w:space="0" w:color="auto"/>
        <w:right w:val="none" w:sz="0" w:space="0" w:color="auto"/>
      </w:divBdr>
    </w:div>
    <w:div w:id="531040269">
      <w:bodyDiv w:val="1"/>
      <w:marLeft w:val="0"/>
      <w:marRight w:val="0"/>
      <w:marTop w:val="0"/>
      <w:marBottom w:val="0"/>
      <w:divBdr>
        <w:top w:val="none" w:sz="0" w:space="0" w:color="auto"/>
        <w:left w:val="none" w:sz="0" w:space="0" w:color="auto"/>
        <w:bottom w:val="none" w:sz="0" w:space="0" w:color="auto"/>
        <w:right w:val="none" w:sz="0" w:space="0" w:color="auto"/>
      </w:divBdr>
    </w:div>
    <w:div w:id="540366219">
      <w:bodyDiv w:val="1"/>
      <w:marLeft w:val="0"/>
      <w:marRight w:val="0"/>
      <w:marTop w:val="0"/>
      <w:marBottom w:val="0"/>
      <w:divBdr>
        <w:top w:val="none" w:sz="0" w:space="0" w:color="auto"/>
        <w:left w:val="none" w:sz="0" w:space="0" w:color="auto"/>
        <w:bottom w:val="none" w:sz="0" w:space="0" w:color="auto"/>
        <w:right w:val="none" w:sz="0" w:space="0" w:color="auto"/>
      </w:divBdr>
    </w:div>
    <w:div w:id="606548454">
      <w:bodyDiv w:val="1"/>
      <w:marLeft w:val="0"/>
      <w:marRight w:val="0"/>
      <w:marTop w:val="0"/>
      <w:marBottom w:val="0"/>
      <w:divBdr>
        <w:top w:val="none" w:sz="0" w:space="0" w:color="auto"/>
        <w:left w:val="none" w:sz="0" w:space="0" w:color="auto"/>
        <w:bottom w:val="none" w:sz="0" w:space="0" w:color="auto"/>
        <w:right w:val="none" w:sz="0" w:space="0" w:color="auto"/>
      </w:divBdr>
    </w:div>
    <w:div w:id="712073865">
      <w:bodyDiv w:val="1"/>
      <w:marLeft w:val="0"/>
      <w:marRight w:val="0"/>
      <w:marTop w:val="0"/>
      <w:marBottom w:val="0"/>
      <w:divBdr>
        <w:top w:val="none" w:sz="0" w:space="0" w:color="auto"/>
        <w:left w:val="none" w:sz="0" w:space="0" w:color="auto"/>
        <w:bottom w:val="none" w:sz="0" w:space="0" w:color="auto"/>
        <w:right w:val="none" w:sz="0" w:space="0" w:color="auto"/>
      </w:divBdr>
    </w:div>
    <w:div w:id="742489685">
      <w:bodyDiv w:val="1"/>
      <w:marLeft w:val="0"/>
      <w:marRight w:val="0"/>
      <w:marTop w:val="0"/>
      <w:marBottom w:val="0"/>
      <w:divBdr>
        <w:top w:val="none" w:sz="0" w:space="0" w:color="auto"/>
        <w:left w:val="none" w:sz="0" w:space="0" w:color="auto"/>
        <w:bottom w:val="none" w:sz="0" w:space="0" w:color="auto"/>
        <w:right w:val="none" w:sz="0" w:space="0" w:color="auto"/>
      </w:divBdr>
    </w:div>
    <w:div w:id="875583540">
      <w:bodyDiv w:val="1"/>
      <w:marLeft w:val="0"/>
      <w:marRight w:val="0"/>
      <w:marTop w:val="0"/>
      <w:marBottom w:val="0"/>
      <w:divBdr>
        <w:top w:val="none" w:sz="0" w:space="0" w:color="auto"/>
        <w:left w:val="none" w:sz="0" w:space="0" w:color="auto"/>
        <w:bottom w:val="none" w:sz="0" w:space="0" w:color="auto"/>
        <w:right w:val="none" w:sz="0" w:space="0" w:color="auto"/>
      </w:divBdr>
    </w:div>
    <w:div w:id="881212830">
      <w:bodyDiv w:val="1"/>
      <w:marLeft w:val="0"/>
      <w:marRight w:val="0"/>
      <w:marTop w:val="0"/>
      <w:marBottom w:val="0"/>
      <w:divBdr>
        <w:top w:val="none" w:sz="0" w:space="0" w:color="auto"/>
        <w:left w:val="none" w:sz="0" w:space="0" w:color="auto"/>
        <w:bottom w:val="none" w:sz="0" w:space="0" w:color="auto"/>
        <w:right w:val="none" w:sz="0" w:space="0" w:color="auto"/>
      </w:divBdr>
    </w:div>
    <w:div w:id="886646954">
      <w:bodyDiv w:val="1"/>
      <w:marLeft w:val="0"/>
      <w:marRight w:val="0"/>
      <w:marTop w:val="0"/>
      <w:marBottom w:val="0"/>
      <w:divBdr>
        <w:top w:val="none" w:sz="0" w:space="0" w:color="auto"/>
        <w:left w:val="none" w:sz="0" w:space="0" w:color="auto"/>
        <w:bottom w:val="none" w:sz="0" w:space="0" w:color="auto"/>
        <w:right w:val="none" w:sz="0" w:space="0" w:color="auto"/>
      </w:divBdr>
    </w:div>
    <w:div w:id="936407618">
      <w:bodyDiv w:val="1"/>
      <w:marLeft w:val="0"/>
      <w:marRight w:val="0"/>
      <w:marTop w:val="0"/>
      <w:marBottom w:val="0"/>
      <w:divBdr>
        <w:top w:val="none" w:sz="0" w:space="0" w:color="auto"/>
        <w:left w:val="none" w:sz="0" w:space="0" w:color="auto"/>
        <w:bottom w:val="none" w:sz="0" w:space="0" w:color="auto"/>
        <w:right w:val="none" w:sz="0" w:space="0" w:color="auto"/>
      </w:divBdr>
    </w:div>
    <w:div w:id="1000549766">
      <w:bodyDiv w:val="1"/>
      <w:marLeft w:val="0"/>
      <w:marRight w:val="0"/>
      <w:marTop w:val="0"/>
      <w:marBottom w:val="0"/>
      <w:divBdr>
        <w:top w:val="none" w:sz="0" w:space="0" w:color="auto"/>
        <w:left w:val="none" w:sz="0" w:space="0" w:color="auto"/>
        <w:bottom w:val="none" w:sz="0" w:space="0" w:color="auto"/>
        <w:right w:val="none" w:sz="0" w:space="0" w:color="auto"/>
      </w:divBdr>
    </w:div>
    <w:div w:id="1025792632">
      <w:bodyDiv w:val="1"/>
      <w:marLeft w:val="0"/>
      <w:marRight w:val="0"/>
      <w:marTop w:val="0"/>
      <w:marBottom w:val="0"/>
      <w:divBdr>
        <w:top w:val="none" w:sz="0" w:space="0" w:color="auto"/>
        <w:left w:val="none" w:sz="0" w:space="0" w:color="auto"/>
        <w:bottom w:val="none" w:sz="0" w:space="0" w:color="auto"/>
        <w:right w:val="none" w:sz="0" w:space="0" w:color="auto"/>
      </w:divBdr>
    </w:div>
    <w:div w:id="1102721854">
      <w:bodyDiv w:val="1"/>
      <w:marLeft w:val="0"/>
      <w:marRight w:val="0"/>
      <w:marTop w:val="0"/>
      <w:marBottom w:val="0"/>
      <w:divBdr>
        <w:top w:val="none" w:sz="0" w:space="0" w:color="auto"/>
        <w:left w:val="none" w:sz="0" w:space="0" w:color="auto"/>
        <w:bottom w:val="none" w:sz="0" w:space="0" w:color="auto"/>
        <w:right w:val="none" w:sz="0" w:space="0" w:color="auto"/>
      </w:divBdr>
    </w:div>
    <w:div w:id="1107502569">
      <w:bodyDiv w:val="1"/>
      <w:marLeft w:val="0"/>
      <w:marRight w:val="0"/>
      <w:marTop w:val="0"/>
      <w:marBottom w:val="0"/>
      <w:divBdr>
        <w:top w:val="none" w:sz="0" w:space="0" w:color="auto"/>
        <w:left w:val="none" w:sz="0" w:space="0" w:color="auto"/>
        <w:bottom w:val="none" w:sz="0" w:space="0" w:color="auto"/>
        <w:right w:val="none" w:sz="0" w:space="0" w:color="auto"/>
      </w:divBdr>
    </w:div>
    <w:div w:id="1214002942">
      <w:bodyDiv w:val="1"/>
      <w:marLeft w:val="0"/>
      <w:marRight w:val="0"/>
      <w:marTop w:val="0"/>
      <w:marBottom w:val="0"/>
      <w:divBdr>
        <w:top w:val="none" w:sz="0" w:space="0" w:color="auto"/>
        <w:left w:val="none" w:sz="0" w:space="0" w:color="auto"/>
        <w:bottom w:val="none" w:sz="0" w:space="0" w:color="auto"/>
        <w:right w:val="none" w:sz="0" w:space="0" w:color="auto"/>
      </w:divBdr>
    </w:div>
    <w:div w:id="1251699155">
      <w:bodyDiv w:val="1"/>
      <w:marLeft w:val="0"/>
      <w:marRight w:val="0"/>
      <w:marTop w:val="0"/>
      <w:marBottom w:val="0"/>
      <w:divBdr>
        <w:top w:val="none" w:sz="0" w:space="0" w:color="auto"/>
        <w:left w:val="none" w:sz="0" w:space="0" w:color="auto"/>
        <w:bottom w:val="none" w:sz="0" w:space="0" w:color="auto"/>
        <w:right w:val="none" w:sz="0" w:space="0" w:color="auto"/>
      </w:divBdr>
    </w:div>
    <w:div w:id="1305965131">
      <w:bodyDiv w:val="1"/>
      <w:marLeft w:val="0"/>
      <w:marRight w:val="0"/>
      <w:marTop w:val="0"/>
      <w:marBottom w:val="0"/>
      <w:divBdr>
        <w:top w:val="none" w:sz="0" w:space="0" w:color="auto"/>
        <w:left w:val="none" w:sz="0" w:space="0" w:color="auto"/>
        <w:bottom w:val="none" w:sz="0" w:space="0" w:color="auto"/>
        <w:right w:val="none" w:sz="0" w:space="0" w:color="auto"/>
      </w:divBdr>
    </w:div>
    <w:div w:id="1365866126">
      <w:bodyDiv w:val="1"/>
      <w:marLeft w:val="0"/>
      <w:marRight w:val="0"/>
      <w:marTop w:val="0"/>
      <w:marBottom w:val="0"/>
      <w:divBdr>
        <w:top w:val="none" w:sz="0" w:space="0" w:color="auto"/>
        <w:left w:val="none" w:sz="0" w:space="0" w:color="auto"/>
        <w:bottom w:val="none" w:sz="0" w:space="0" w:color="auto"/>
        <w:right w:val="none" w:sz="0" w:space="0" w:color="auto"/>
      </w:divBdr>
    </w:div>
    <w:div w:id="1389307320">
      <w:bodyDiv w:val="1"/>
      <w:marLeft w:val="0"/>
      <w:marRight w:val="0"/>
      <w:marTop w:val="0"/>
      <w:marBottom w:val="0"/>
      <w:divBdr>
        <w:top w:val="none" w:sz="0" w:space="0" w:color="auto"/>
        <w:left w:val="none" w:sz="0" w:space="0" w:color="auto"/>
        <w:bottom w:val="none" w:sz="0" w:space="0" w:color="auto"/>
        <w:right w:val="none" w:sz="0" w:space="0" w:color="auto"/>
      </w:divBdr>
    </w:div>
    <w:div w:id="1440833541">
      <w:bodyDiv w:val="1"/>
      <w:marLeft w:val="0"/>
      <w:marRight w:val="0"/>
      <w:marTop w:val="0"/>
      <w:marBottom w:val="0"/>
      <w:divBdr>
        <w:top w:val="none" w:sz="0" w:space="0" w:color="auto"/>
        <w:left w:val="none" w:sz="0" w:space="0" w:color="auto"/>
        <w:bottom w:val="none" w:sz="0" w:space="0" w:color="auto"/>
        <w:right w:val="none" w:sz="0" w:space="0" w:color="auto"/>
      </w:divBdr>
    </w:div>
    <w:div w:id="1458063051">
      <w:bodyDiv w:val="1"/>
      <w:marLeft w:val="0"/>
      <w:marRight w:val="0"/>
      <w:marTop w:val="0"/>
      <w:marBottom w:val="0"/>
      <w:divBdr>
        <w:top w:val="none" w:sz="0" w:space="0" w:color="auto"/>
        <w:left w:val="none" w:sz="0" w:space="0" w:color="auto"/>
        <w:bottom w:val="none" w:sz="0" w:space="0" w:color="auto"/>
        <w:right w:val="none" w:sz="0" w:space="0" w:color="auto"/>
      </w:divBdr>
    </w:div>
    <w:div w:id="1533034336">
      <w:bodyDiv w:val="1"/>
      <w:marLeft w:val="0"/>
      <w:marRight w:val="0"/>
      <w:marTop w:val="0"/>
      <w:marBottom w:val="0"/>
      <w:divBdr>
        <w:top w:val="none" w:sz="0" w:space="0" w:color="auto"/>
        <w:left w:val="none" w:sz="0" w:space="0" w:color="auto"/>
        <w:bottom w:val="none" w:sz="0" w:space="0" w:color="auto"/>
        <w:right w:val="none" w:sz="0" w:space="0" w:color="auto"/>
      </w:divBdr>
    </w:div>
    <w:div w:id="1634024097">
      <w:bodyDiv w:val="1"/>
      <w:marLeft w:val="0"/>
      <w:marRight w:val="0"/>
      <w:marTop w:val="0"/>
      <w:marBottom w:val="0"/>
      <w:divBdr>
        <w:top w:val="none" w:sz="0" w:space="0" w:color="auto"/>
        <w:left w:val="none" w:sz="0" w:space="0" w:color="auto"/>
        <w:bottom w:val="none" w:sz="0" w:space="0" w:color="auto"/>
        <w:right w:val="none" w:sz="0" w:space="0" w:color="auto"/>
      </w:divBdr>
    </w:div>
    <w:div w:id="1635451118">
      <w:bodyDiv w:val="1"/>
      <w:marLeft w:val="0"/>
      <w:marRight w:val="0"/>
      <w:marTop w:val="0"/>
      <w:marBottom w:val="0"/>
      <w:divBdr>
        <w:top w:val="none" w:sz="0" w:space="0" w:color="auto"/>
        <w:left w:val="none" w:sz="0" w:space="0" w:color="auto"/>
        <w:bottom w:val="none" w:sz="0" w:space="0" w:color="auto"/>
        <w:right w:val="none" w:sz="0" w:space="0" w:color="auto"/>
      </w:divBdr>
    </w:div>
    <w:div w:id="1648705377">
      <w:bodyDiv w:val="1"/>
      <w:marLeft w:val="0"/>
      <w:marRight w:val="0"/>
      <w:marTop w:val="0"/>
      <w:marBottom w:val="0"/>
      <w:divBdr>
        <w:top w:val="none" w:sz="0" w:space="0" w:color="auto"/>
        <w:left w:val="none" w:sz="0" w:space="0" w:color="auto"/>
        <w:bottom w:val="none" w:sz="0" w:space="0" w:color="auto"/>
        <w:right w:val="none" w:sz="0" w:space="0" w:color="auto"/>
      </w:divBdr>
    </w:div>
    <w:div w:id="1684744093">
      <w:bodyDiv w:val="1"/>
      <w:marLeft w:val="0"/>
      <w:marRight w:val="0"/>
      <w:marTop w:val="0"/>
      <w:marBottom w:val="0"/>
      <w:divBdr>
        <w:top w:val="none" w:sz="0" w:space="0" w:color="auto"/>
        <w:left w:val="none" w:sz="0" w:space="0" w:color="auto"/>
        <w:bottom w:val="none" w:sz="0" w:space="0" w:color="auto"/>
        <w:right w:val="none" w:sz="0" w:space="0" w:color="auto"/>
      </w:divBdr>
    </w:div>
    <w:div w:id="1795293834">
      <w:bodyDiv w:val="1"/>
      <w:marLeft w:val="0"/>
      <w:marRight w:val="0"/>
      <w:marTop w:val="0"/>
      <w:marBottom w:val="0"/>
      <w:divBdr>
        <w:top w:val="none" w:sz="0" w:space="0" w:color="auto"/>
        <w:left w:val="none" w:sz="0" w:space="0" w:color="auto"/>
        <w:bottom w:val="none" w:sz="0" w:space="0" w:color="auto"/>
        <w:right w:val="none" w:sz="0" w:space="0" w:color="auto"/>
      </w:divBdr>
    </w:div>
    <w:div w:id="1851600102">
      <w:bodyDiv w:val="1"/>
      <w:marLeft w:val="0"/>
      <w:marRight w:val="0"/>
      <w:marTop w:val="0"/>
      <w:marBottom w:val="0"/>
      <w:divBdr>
        <w:top w:val="none" w:sz="0" w:space="0" w:color="auto"/>
        <w:left w:val="none" w:sz="0" w:space="0" w:color="auto"/>
        <w:bottom w:val="none" w:sz="0" w:space="0" w:color="auto"/>
        <w:right w:val="none" w:sz="0" w:space="0" w:color="auto"/>
      </w:divBdr>
    </w:div>
    <w:div w:id="2027902416">
      <w:bodyDiv w:val="1"/>
      <w:marLeft w:val="0"/>
      <w:marRight w:val="0"/>
      <w:marTop w:val="0"/>
      <w:marBottom w:val="0"/>
      <w:divBdr>
        <w:top w:val="none" w:sz="0" w:space="0" w:color="auto"/>
        <w:left w:val="none" w:sz="0" w:space="0" w:color="auto"/>
        <w:bottom w:val="none" w:sz="0" w:space="0" w:color="auto"/>
        <w:right w:val="none" w:sz="0" w:space="0" w:color="auto"/>
      </w:divBdr>
    </w:div>
    <w:div w:id="20699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70A6-39AA-4A16-9CB0-739E148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Fry</dc:creator>
  <cp:keywords/>
  <dc:description/>
  <cp:lastModifiedBy>Anna Hook 42078328</cp:lastModifiedBy>
  <cp:revision>2</cp:revision>
  <cp:lastPrinted>2019-12-12T09:15:00Z</cp:lastPrinted>
  <dcterms:created xsi:type="dcterms:W3CDTF">2019-12-12T09:16:00Z</dcterms:created>
  <dcterms:modified xsi:type="dcterms:W3CDTF">2019-12-12T09:16:00Z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Owner">
    <vt:lpwstr>anna.hook@essex.police.uk</vt:lpwstr>
  </property>
  <property fmtid="{D5CDD505-2E9C-101B-9397-08002B2CF9AE}" pid="8" name="MSIP_Label_8f716d1d-13e1-4569-9dd0-bef6621415c1_SetDate">
    <vt:lpwstr>2019-12-12T09:16:09.7338247Z</vt:lpwstr>
  </property>
  <property fmtid="{D5CDD505-2E9C-101B-9397-08002B2CF9AE}" pid="9" name="MSIP_Label_8f716d1d-13e1-4569-9dd0-bef6621415c1_Name">
    <vt:lpwstr>OFFICIAL</vt:lpwstr>
  </property>
  <property fmtid="{D5CDD505-2E9C-101B-9397-08002B2CF9AE}" pid="10" name="MSIP_Label_8f716d1d-13e1-4569-9dd0-bef6621415c1_Application">
    <vt:lpwstr>Microsoft Azure Information Protection</vt:lpwstr>
  </property>
  <property fmtid="{D5CDD505-2E9C-101B-9397-08002B2CF9AE}" pid="11" name="MSIP_Label_8f716d1d-13e1-4569-9dd0-bef6621415c1_ActionId">
    <vt:lpwstr>afde62c3-a5be-45b7-8cbf-0e1162f143e5</vt:lpwstr>
  </property>
  <property fmtid="{D5CDD505-2E9C-101B-9397-08002B2CF9AE}" pid="12" name="MSIP_Label_8f716d1d-13e1-4569-9dd0-bef6621415c1_Extended_MSFT_Method">
    <vt:lpwstr>Automatic</vt:lpwstr>
  </property>
  <property fmtid="{D5CDD505-2E9C-101B-9397-08002B2CF9AE}" pid="13" name="Sensitivity">
    <vt:lpwstr>OFFICIAL</vt:lpwstr>
  </property>
</Properties>
</file>