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C1C7" w14:textId="77777777" w:rsidR="00AB4336" w:rsidRDefault="00AB4336">
      <w:pPr>
        <w:rPr>
          <w:rFonts w:ascii="Arial" w:hAnsi="Arial" w:cs="Arial"/>
          <w:color w:val="FF0000"/>
          <w:sz w:val="20"/>
          <w:szCs w:val="20"/>
        </w:rPr>
      </w:pPr>
    </w:p>
    <w:p w14:paraId="39A51447" w14:textId="3714CF98" w:rsidR="00FB3943" w:rsidRDefault="00AB4336">
      <w:pPr>
        <w:rPr>
          <w:rFonts w:ascii="Arial" w:hAnsi="Arial" w:cs="Arial"/>
          <w:color w:val="FF0000"/>
          <w:sz w:val="20"/>
          <w:szCs w:val="20"/>
        </w:rPr>
      </w:pPr>
      <w:r w:rsidRPr="00921287">
        <w:rPr>
          <w:noProof/>
          <w:lang w:eastAsia="en-GB"/>
        </w:rPr>
        <mc:AlternateContent>
          <mc:Choice Requires="wps">
            <w:drawing>
              <wp:anchor distT="0" distB="0" distL="114300" distR="114300" simplePos="0" relativeHeight="251665920" behindDoc="0" locked="0" layoutInCell="1" allowOverlap="1" wp14:anchorId="4CAB23CE" wp14:editId="0904B10A">
                <wp:simplePos x="0" y="0"/>
                <wp:positionH relativeFrom="margin">
                  <wp:align>left</wp:align>
                </wp:positionH>
                <wp:positionV relativeFrom="paragraph">
                  <wp:posOffset>10795</wp:posOffset>
                </wp:positionV>
                <wp:extent cx="4352290" cy="781685"/>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C8CFB" w14:textId="77777777" w:rsidR="00BA0A3F" w:rsidRPr="002F45F7" w:rsidRDefault="00BA0A3F" w:rsidP="00AB4336">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2794A8E" w14:textId="77777777" w:rsidR="00BA0A3F" w:rsidRPr="002F45F7" w:rsidRDefault="00BA0A3F" w:rsidP="00AB4336">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B23CE" id="_x0000_t202" coordsize="21600,21600" o:spt="202" path="m,l,21600r21600,l21600,xe">
                <v:stroke joinstyle="miter"/>
                <v:path gradientshapeok="t" o:connecttype="rect"/>
              </v:shapetype>
              <v:shape id="Text Box 18" o:spid="_x0000_s1026" type="#_x0000_t202" style="position:absolute;margin-left:0;margin-top:.85pt;width:342.7pt;height:61.5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" stroked="f">
                <v:textbox>
                  <w:txbxContent>
                    <w:p w14:paraId="3EBC8CFB" w14:textId="77777777" w:rsidR="00BA0A3F" w:rsidRPr="002F45F7" w:rsidRDefault="00BA0A3F" w:rsidP="00AB4336">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62794A8E" w14:textId="77777777" w:rsidR="00BA0A3F" w:rsidRPr="002F45F7" w:rsidRDefault="00BA0A3F" w:rsidP="00AB4336">
                      <w:pPr>
                        <w:rPr>
                          <w:rFonts w:ascii="Arial Narrow" w:hAnsi="Arial Narrow"/>
                          <w:sz w:val="32"/>
                          <w:szCs w:val="32"/>
                        </w:rPr>
                      </w:pPr>
                      <w:r w:rsidRPr="002F45F7">
                        <w:rPr>
                          <w:rFonts w:ascii="Arial Narrow" w:hAnsi="Arial Narrow"/>
                          <w:sz w:val="32"/>
                          <w:szCs w:val="32"/>
                        </w:rPr>
                        <w:t>Essex County Fire &amp; Rescue Service</w:t>
                      </w:r>
                    </w:p>
                  </w:txbxContent>
                </v:textbox>
                <w10:wrap anchorx="margin"/>
              </v:shape>
            </w:pict>
          </mc:Fallback>
        </mc:AlternateContent>
      </w:r>
    </w:p>
    <w:p w14:paraId="7EA0C33E" w14:textId="77777777" w:rsidR="00FB3943" w:rsidRPr="00FC0C0B" w:rsidRDefault="00FB3943">
      <w:pPr>
        <w:rPr>
          <w:rFonts w:ascii="Arial" w:hAnsi="Arial" w:cs="Arial"/>
          <w:color w:val="FF0000"/>
          <w:sz w:val="20"/>
          <w:szCs w:val="20"/>
        </w:rPr>
      </w:pPr>
    </w:p>
    <w:p w14:paraId="2832FD4F" w14:textId="0BE99B30" w:rsidR="00AB4336" w:rsidRPr="00AB4336" w:rsidRDefault="00AB4336" w:rsidP="00AB4336"/>
    <w:tbl>
      <w:tblPr>
        <w:tblW w:w="96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730"/>
        <w:gridCol w:w="2056"/>
        <w:gridCol w:w="1559"/>
      </w:tblGrid>
      <w:tr w:rsidR="00AB4336" w:rsidRPr="009D1E99" w14:paraId="04727BA4" w14:textId="77777777" w:rsidTr="00EC6D7F">
        <w:trPr>
          <w:trHeight w:val="557"/>
        </w:trPr>
        <w:tc>
          <w:tcPr>
            <w:tcW w:w="2268" w:type="dxa"/>
            <w:vAlign w:val="center"/>
          </w:tcPr>
          <w:p w14:paraId="472C9AD0" w14:textId="77777777" w:rsidR="00AB4336" w:rsidRPr="009D1E99" w:rsidRDefault="00AB4336" w:rsidP="009D1E99">
            <w:pPr>
              <w:spacing w:before="120" w:after="120" w:line="259" w:lineRule="auto"/>
              <w:rPr>
                <w:sz w:val="24"/>
                <w:szCs w:val="24"/>
              </w:rPr>
            </w:pPr>
            <w:r w:rsidRPr="009D1E99">
              <w:rPr>
                <w:sz w:val="24"/>
                <w:szCs w:val="24"/>
              </w:rPr>
              <w:t>Meeting</w:t>
            </w:r>
          </w:p>
        </w:tc>
        <w:tc>
          <w:tcPr>
            <w:tcW w:w="3730" w:type="dxa"/>
            <w:vAlign w:val="center"/>
          </w:tcPr>
          <w:p w14:paraId="153BF29C" w14:textId="77777777" w:rsidR="00AB4336" w:rsidRPr="009D1E99" w:rsidRDefault="00AB4336" w:rsidP="009D1E99">
            <w:pPr>
              <w:spacing w:before="120" w:after="120" w:line="259" w:lineRule="auto"/>
              <w:rPr>
                <w:b/>
                <w:sz w:val="24"/>
                <w:szCs w:val="24"/>
              </w:rPr>
            </w:pPr>
            <w:r w:rsidRPr="009D1E99">
              <w:rPr>
                <w:b/>
                <w:sz w:val="24"/>
                <w:szCs w:val="24"/>
              </w:rPr>
              <w:t>Change Board</w:t>
            </w:r>
          </w:p>
        </w:tc>
        <w:tc>
          <w:tcPr>
            <w:tcW w:w="2056" w:type="dxa"/>
            <w:vAlign w:val="center"/>
          </w:tcPr>
          <w:p w14:paraId="37D7045E" w14:textId="77777777" w:rsidR="00AB4336" w:rsidRPr="009D1E99" w:rsidRDefault="00AB4336" w:rsidP="009D1E99">
            <w:pPr>
              <w:spacing w:before="120" w:after="120" w:line="259" w:lineRule="auto"/>
              <w:rPr>
                <w:sz w:val="24"/>
                <w:szCs w:val="24"/>
              </w:rPr>
            </w:pPr>
            <w:r w:rsidRPr="009D1E99">
              <w:rPr>
                <w:sz w:val="24"/>
                <w:szCs w:val="24"/>
              </w:rPr>
              <w:t>Agenda Item</w:t>
            </w:r>
          </w:p>
        </w:tc>
        <w:tc>
          <w:tcPr>
            <w:tcW w:w="1559" w:type="dxa"/>
            <w:vAlign w:val="center"/>
          </w:tcPr>
          <w:p w14:paraId="4ECF5EBE" w14:textId="77777777" w:rsidR="00AB4336" w:rsidRPr="009D1E99" w:rsidRDefault="00AB4336" w:rsidP="009D1E99">
            <w:pPr>
              <w:spacing w:before="120" w:after="120" w:line="259" w:lineRule="auto"/>
              <w:rPr>
                <w:sz w:val="24"/>
                <w:szCs w:val="24"/>
              </w:rPr>
            </w:pPr>
          </w:p>
        </w:tc>
      </w:tr>
      <w:tr w:rsidR="00AB4336" w:rsidRPr="009D1E99" w14:paraId="4615D124" w14:textId="77777777" w:rsidTr="00EC6D7F">
        <w:tc>
          <w:tcPr>
            <w:tcW w:w="2268" w:type="dxa"/>
            <w:vAlign w:val="center"/>
          </w:tcPr>
          <w:p w14:paraId="36FDE32C" w14:textId="77777777" w:rsidR="00AB4336" w:rsidRPr="009D1E99" w:rsidRDefault="00AB4336" w:rsidP="009D1E99">
            <w:pPr>
              <w:spacing w:before="120" w:after="120" w:line="259" w:lineRule="auto"/>
              <w:rPr>
                <w:sz w:val="24"/>
                <w:szCs w:val="24"/>
              </w:rPr>
            </w:pPr>
            <w:r w:rsidRPr="009D1E99">
              <w:rPr>
                <w:sz w:val="24"/>
                <w:szCs w:val="24"/>
              </w:rPr>
              <w:t>Meeting Date</w:t>
            </w:r>
          </w:p>
        </w:tc>
        <w:tc>
          <w:tcPr>
            <w:tcW w:w="3730" w:type="dxa"/>
            <w:vAlign w:val="center"/>
          </w:tcPr>
          <w:p w14:paraId="4500E959" w14:textId="77777777" w:rsidR="00AB4336" w:rsidRPr="009D1E99" w:rsidRDefault="00AB4336" w:rsidP="009D1E99">
            <w:pPr>
              <w:spacing w:before="120" w:after="120" w:line="259" w:lineRule="auto"/>
              <w:rPr>
                <w:sz w:val="24"/>
                <w:szCs w:val="24"/>
              </w:rPr>
            </w:pPr>
          </w:p>
        </w:tc>
        <w:tc>
          <w:tcPr>
            <w:tcW w:w="2056" w:type="dxa"/>
            <w:vAlign w:val="center"/>
          </w:tcPr>
          <w:p w14:paraId="4F04D76B" w14:textId="77777777" w:rsidR="00AB4336" w:rsidRPr="009D1E99" w:rsidRDefault="00AB4336" w:rsidP="009D1E99">
            <w:pPr>
              <w:spacing w:before="120" w:after="120" w:line="259" w:lineRule="auto"/>
              <w:rPr>
                <w:sz w:val="24"/>
                <w:szCs w:val="24"/>
              </w:rPr>
            </w:pPr>
            <w:r w:rsidRPr="009D1E99">
              <w:rPr>
                <w:sz w:val="24"/>
                <w:szCs w:val="24"/>
              </w:rPr>
              <w:t>Report Number</w:t>
            </w:r>
          </w:p>
        </w:tc>
        <w:tc>
          <w:tcPr>
            <w:tcW w:w="1559" w:type="dxa"/>
            <w:vAlign w:val="center"/>
          </w:tcPr>
          <w:p w14:paraId="07C906C8" w14:textId="77777777" w:rsidR="00AB4336" w:rsidRPr="009D1E99" w:rsidRDefault="00AB4336" w:rsidP="009D1E99">
            <w:pPr>
              <w:spacing w:before="120" w:after="120" w:line="259" w:lineRule="auto"/>
              <w:rPr>
                <w:sz w:val="24"/>
                <w:szCs w:val="24"/>
              </w:rPr>
            </w:pPr>
          </w:p>
        </w:tc>
      </w:tr>
      <w:tr w:rsidR="00AB4336" w:rsidRPr="009D1E99" w14:paraId="1D4575EF" w14:textId="77777777" w:rsidTr="00EC6D7F">
        <w:tc>
          <w:tcPr>
            <w:tcW w:w="2268" w:type="dxa"/>
            <w:vAlign w:val="center"/>
          </w:tcPr>
          <w:p w14:paraId="4E052B8B" w14:textId="77777777" w:rsidR="00AB4336" w:rsidRPr="009D1E99" w:rsidRDefault="00AB4336" w:rsidP="009D1E99">
            <w:pPr>
              <w:spacing w:before="120" w:after="120" w:line="259" w:lineRule="auto"/>
              <w:rPr>
                <w:sz w:val="24"/>
                <w:szCs w:val="24"/>
              </w:rPr>
            </w:pPr>
            <w:r w:rsidRPr="009D1E99">
              <w:rPr>
                <w:sz w:val="24"/>
                <w:szCs w:val="24"/>
              </w:rPr>
              <w:t>Report Author:</w:t>
            </w:r>
          </w:p>
        </w:tc>
        <w:tc>
          <w:tcPr>
            <w:tcW w:w="7345" w:type="dxa"/>
            <w:gridSpan w:val="3"/>
            <w:vAlign w:val="center"/>
          </w:tcPr>
          <w:p w14:paraId="3939D892" w14:textId="77777777" w:rsidR="00575B0B" w:rsidRDefault="00E660CF" w:rsidP="00575B0B">
            <w:pPr>
              <w:spacing w:before="120" w:after="120" w:line="259" w:lineRule="auto"/>
              <w:rPr>
                <w:sz w:val="24"/>
                <w:szCs w:val="24"/>
              </w:rPr>
            </w:pPr>
            <w:r>
              <w:rPr>
                <w:sz w:val="24"/>
                <w:szCs w:val="24"/>
              </w:rPr>
              <w:t>Dena Morrison</w:t>
            </w:r>
            <w:r w:rsidR="00575B0B">
              <w:rPr>
                <w:sz w:val="24"/>
                <w:szCs w:val="24"/>
              </w:rPr>
              <w:t>, HOBS Project Manager</w:t>
            </w:r>
          </w:p>
          <w:p w14:paraId="376448B1" w14:textId="47A1D36F" w:rsidR="00AB4336" w:rsidRPr="009D1E99" w:rsidRDefault="00E660CF" w:rsidP="00575B0B">
            <w:pPr>
              <w:spacing w:before="120" w:after="120" w:line="259" w:lineRule="auto"/>
              <w:rPr>
                <w:sz w:val="24"/>
                <w:szCs w:val="24"/>
              </w:rPr>
            </w:pPr>
            <w:r>
              <w:rPr>
                <w:sz w:val="24"/>
                <w:szCs w:val="24"/>
              </w:rPr>
              <w:t>Peter Morath</w:t>
            </w:r>
            <w:r w:rsidR="00575B0B">
              <w:rPr>
                <w:sz w:val="24"/>
                <w:szCs w:val="24"/>
              </w:rPr>
              <w:t>, People Systems Programme Manager</w:t>
            </w:r>
          </w:p>
        </w:tc>
      </w:tr>
      <w:tr w:rsidR="00AB4336" w:rsidRPr="009D1E99" w14:paraId="7F20E307" w14:textId="77777777" w:rsidTr="00EC6D7F">
        <w:tc>
          <w:tcPr>
            <w:tcW w:w="2268" w:type="dxa"/>
            <w:tcBorders>
              <w:top w:val="single" w:sz="6" w:space="0" w:color="auto"/>
              <w:left w:val="single" w:sz="6" w:space="0" w:color="auto"/>
              <w:bottom w:val="single" w:sz="6" w:space="0" w:color="auto"/>
              <w:right w:val="single" w:sz="6" w:space="0" w:color="auto"/>
            </w:tcBorders>
            <w:vAlign w:val="center"/>
          </w:tcPr>
          <w:p w14:paraId="0CCA1E2E" w14:textId="77777777" w:rsidR="00AB4336" w:rsidRPr="009D1E99" w:rsidRDefault="00AB4336" w:rsidP="009D1E99">
            <w:pPr>
              <w:spacing w:before="120" w:after="120" w:line="259" w:lineRule="auto"/>
              <w:rPr>
                <w:sz w:val="24"/>
                <w:szCs w:val="24"/>
              </w:rPr>
            </w:pPr>
            <w:r w:rsidRPr="009D1E99">
              <w:rPr>
                <w:sz w:val="24"/>
                <w:szCs w:val="24"/>
              </w:rPr>
              <w:t>Presented By</w:t>
            </w:r>
          </w:p>
        </w:tc>
        <w:tc>
          <w:tcPr>
            <w:tcW w:w="7345" w:type="dxa"/>
            <w:gridSpan w:val="3"/>
            <w:tcBorders>
              <w:top w:val="single" w:sz="6" w:space="0" w:color="auto"/>
              <w:left w:val="single" w:sz="6" w:space="0" w:color="auto"/>
              <w:bottom w:val="single" w:sz="6" w:space="0" w:color="auto"/>
              <w:right w:val="single" w:sz="6" w:space="0" w:color="auto"/>
            </w:tcBorders>
            <w:vAlign w:val="center"/>
          </w:tcPr>
          <w:p w14:paraId="40F481B5" w14:textId="4C0CCCFC" w:rsidR="00AB4336" w:rsidRPr="009D1E99" w:rsidRDefault="00EC6D7F" w:rsidP="009D1E99">
            <w:pPr>
              <w:spacing w:before="120" w:after="120" w:line="259" w:lineRule="auto"/>
              <w:rPr>
                <w:sz w:val="24"/>
                <w:szCs w:val="24"/>
              </w:rPr>
            </w:pPr>
            <w:r>
              <w:rPr>
                <w:sz w:val="24"/>
                <w:szCs w:val="24"/>
              </w:rPr>
              <w:t xml:space="preserve">Matt Furber, Assistant Chief Fire Officer, </w:t>
            </w:r>
            <w:r w:rsidRPr="00EC6D7F">
              <w:rPr>
                <w:sz w:val="24"/>
                <w:szCs w:val="24"/>
              </w:rPr>
              <w:t>IRMP and Service Improvement</w:t>
            </w:r>
          </w:p>
        </w:tc>
      </w:tr>
      <w:tr w:rsidR="00AB4336" w:rsidRPr="009D1E99" w14:paraId="1C3C2E3B" w14:textId="77777777" w:rsidTr="00EC6D7F">
        <w:tc>
          <w:tcPr>
            <w:tcW w:w="2268" w:type="dxa"/>
            <w:vAlign w:val="center"/>
          </w:tcPr>
          <w:p w14:paraId="2BB2816D" w14:textId="77777777" w:rsidR="00AB4336" w:rsidRPr="009D1E99" w:rsidRDefault="00AB4336" w:rsidP="009D1E99">
            <w:pPr>
              <w:spacing w:before="120" w:after="120" w:line="259" w:lineRule="auto"/>
              <w:rPr>
                <w:sz w:val="24"/>
                <w:szCs w:val="24"/>
              </w:rPr>
            </w:pPr>
            <w:r w:rsidRPr="009D1E99">
              <w:rPr>
                <w:sz w:val="24"/>
                <w:szCs w:val="24"/>
              </w:rPr>
              <w:t>Subject</w:t>
            </w:r>
          </w:p>
        </w:tc>
        <w:tc>
          <w:tcPr>
            <w:tcW w:w="7345" w:type="dxa"/>
            <w:gridSpan w:val="3"/>
            <w:vAlign w:val="center"/>
          </w:tcPr>
          <w:p w14:paraId="7A1BEC10" w14:textId="0FC83028" w:rsidR="00AB4336" w:rsidRPr="009D1E99" w:rsidRDefault="002E7666" w:rsidP="00EC2555">
            <w:pPr>
              <w:spacing w:before="120" w:after="120" w:line="259" w:lineRule="auto"/>
              <w:rPr>
                <w:b/>
                <w:sz w:val="24"/>
                <w:szCs w:val="24"/>
              </w:rPr>
            </w:pPr>
            <w:r>
              <w:rPr>
                <w:b/>
                <w:sz w:val="24"/>
                <w:szCs w:val="24"/>
              </w:rPr>
              <w:t>HOBS Project – Closure Report</w:t>
            </w:r>
          </w:p>
        </w:tc>
      </w:tr>
      <w:tr w:rsidR="00AB4336" w:rsidRPr="009D1E99" w14:paraId="0D5CEA84" w14:textId="77777777" w:rsidTr="00EC6D7F">
        <w:tc>
          <w:tcPr>
            <w:tcW w:w="2268" w:type="dxa"/>
            <w:vAlign w:val="center"/>
          </w:tcPr>
          <w:p w14:paraId="4BC65032" w14:textId="77777777" w:rsidR="00AB4336" w:rsidRPr="009D1E99" w:rsidRDefault="00AB4336" w:rsidP="009D1E99">
            <w:pPr>
              <w:spacing w:before="120" w:after="120" w:line="259" w:lineRule="auto"/>
              <w:rPr>
                <w:sz w:val="24"/>
                <w:szCs w:val="24"/>
              </w:rPr>
            </w:pPr>
            <w:r w:rsidRPr="009D1E99">
              <w:rPr>
                <w:sz w:val="24"/>
                <w:szCs w:val="24"/>
              </w:rPr>
              <w:t>Type of Report:</w:t>
            </w:r>
          </w:p>
        </w:tc>
        <w:tc>
          <w:tcPr>
            <w:tcW w:w="7345" w:type="dxa"/>
            <w:gridSpan w:val="3"/>
            <w:vAlign w:val="center"/>
          </w:tcPr>
          <w:p w14:paraId="11FF61F0" w14:textId="75C92E59" w:rsidR="00AB4336" w:rsidRPr="009D1E99" w:rsidRDefault="002E7666" w:rsidP="009D1E99">
            <w:pPr>
              <w:spacing w:before="120" w:after="120" w:line="259" w:lineRule="auto"/>
              <w:rPr>
                <w:sz w:val="24"/>
                <w:szCs w:val="24"/>
              </w:rPr>
            </w:pPr>
            <w:r>
              <w:rPr>
                <w:sz w:val="24"/>
                <w:szCs w:val="24"/>
              </w:rPr>
              <w:t>Closure Report</w:t>
            </w:r>
          </w:p>
        </w:tc>
      </w:tr>
    </w:tbl>
    <w:p w14:paraId="253BBF15" w14:textId="48A68BFD" w:rsidR="00AD0228" w:rsidRDefault="00AD0228"/>
    <w:p w14:paraId="545B0351" w14:textId="77777777" w:rsidR="00AD0228" w:rsidRDefault="00AD0228"/>
    <w:p w14:paraId="0577381D" w14:textId="77777777" w:rsidR="00AD0228" w:rsidRDefault="00AD0228"/>
    <w:p w14:paraId="53C5FDFC" w14:textId="77777777" w:rsidR="00AD0228" w:rsidRDefault="00AD0228"/>
    <w:p w14:paraId="32BD6655" w14:textId="77777777" w:rsidR="00AD0228" w:rsidRDefault="00AD0228"/>
    <w:p w14:paraId="29E60023" w14:textId="77777777" w:rsidR="00AD0228" w:rsidRDefault="00AD0228"/>
    <w:p w14:paraId="3F3314AA" w14:textId="7E3BC7AF" w:rsidR="00AD0228" w:rsidRDefault="00AD0228"/>
    <w:p w14:paraId="29CDA5DB" w14:textId="77777777" w:rsidR="00AD0228" w:rsidRDefault="00AD0228"/>
    <w:p w14:paraId="7E473790" w14:textId="77777777" w:rsidR="00AD0228" w:rsidRDefault="00AD0228"/>
    <w:p w14:paraId="66FA2879" w14:textId="70AC1808" w:rsidR="00AD0228" w:rsidRDefault="00AD0228"/>
    <w:p w14:paraId="1522DDED" w14:textId="71A6DF9E" w:rsidR="00BD7CBD" w:rsidRDefault="00BD7CBD"/>
    <w:p w14:paraId="29DDB04D" w14:textId="4459E04A" w:rsidR="00BD7CBD" w:rsidRDefault="00BD7CBD"/>
    <w:p w14:paraId="46FE51C5" w14:textId="77777777" w:rsidR="00BD7CBD" w:rsidRDefault="00BD7CBD"/>
    <w:p w14:paraId="280CA5E5" w14:textId="77777777" w:rsidR="00FB3943" w:rsidRDefault="00FB3943">
      <w:pPr>
        <w:rPr>
          <w:b/>
          <w:sz w:val="24"/>
        </w:rPr>
      </w:pPr>
    </w:p>
    <w:p w14:paraId="132D677E" w14:textId="77777777" w:rsidR="00AB4336" w:rsidRDefault="00AB4336">
      <w:pPr>
        <w:rPr>
          <w:b/>
          <w:sz w:val="24"/>
        </w:rPr>
      </w:pPr>
      <w:r>
        <w:rPr>
          <w:b/>
          <w:sz w:val="24"/>
        </w:rPr>
        <w:br w:type="page"/>
      </w:r>
    </w:p>
    <w:p w14:paraId="088698DE" w14:textId="4EF5ED37" w:rsidR="00BD7CBD" w:rsidRDefault="00BD7CBD" w:rsidP="00EC6D7F">
      <w:pPr>
        <w:pStyle w:val="NoSpacing"/>
        <w:rPr>
          <w:b/>
          <w:sz w:val="24"/>
          <w:szCs w:val="24"/>
        </w:rPr>
      </w:pPr>
      <w:r w:rsidRPr="00EC6D7F">
        <w:rPr>
          <w:b/>
          <w:sz w:val="24"/>
          <w:szCs w:val="24"/>
        </w:rPr>
        <w:lastRenderedPageBreak/>
        <w:t>Document History</w:t>
      </w:r>
    </w:p>
    <w:p w14:paraId="4B9A30E5" w14:textId="77777777" w:rsidR="00EC6D7F" w:rsidRPr="00EC6D7F" w:rsidRDefault="00EC6D7F" w:rsidP="00EC6D7F">
      <w:pPr>
        <w:pStyle w:val="NoSpacing"/>
        <w:rPr>
          <w:b/>
          <w:sz w:val="24"/>
          <w:szCs w:val="24"/>
        </w:rPr>
      </w:pPr>
    </w:p>
    <w:tbl>
      <w:tblPr>
        <w:tblStyle w:val="TableGrid"/>
        <w:tblW w:w="9067" w:type="dxa"/>
        <w:tblLook w:val="04A0" w:firstRow="1" w:lastRow="0" w:firstColumn="1" w:lastColumn="0" w:noHBand="0" w:noVBand="1"/>
      </w:tblPr>
      <w:tblGrid>
        <w:gridCol w:w="594"/>
        <w:gridCol w:w="1182"/>
        <w:gridCol w:w="3889"/>
        <w:gridCol w:w="1709"/>
        <w:gridCol w:w="1693"/>
      </w:tblGrid>
      <w:tr w:rsidR="000D3B07" w:rsidRPr="000D3B07" w14:paraId="119650BE" w14:textId="77777777" w:rsidTr="00E660CF">
        <w:tc>
          <w:tcPr>
            <w:tcW w:w="594" w:type="dxa"/>
            <w:shd w:val="clear" w:color="auto" w:fill="FF0000"/>
          </w:tcPr>
          <w:p w14:paraId="0C029DC4" w14:textId="69C0A973" w:rsidR="00FA4262" w:rsidRPr="000D3B07" w:rsidRDefault="00E25396" w:rsidP="00E25396">
            <w:pPr>
              <w:rPr>
                <w:rFonts w:asciiTheme="minorHAnsi" w:hAnsiTheme="minorHAnsi"/>
                <w:b/>
                <w:color w:val="FFFFFF" w:themeColor="background1"/>
                <w:sz w:val="22"/>
                <w:szCs w:val="22"/>
              </w:rPr>
            </w:pPr>
            <w:r>
              <w:rPr>
                <w:rFonts w:asciiTheme="minorHAnsi" w:hAnsiTheme="minorHAnsi"/>
                <w:b/>
                <w:color w:val="FFFFFF" w:themeColor="background1"/>
                <w:sz w:val="22"/>
                <w:szCs w:val="22"/>
              </w:rPr>
              <w:t>Ver.</w:t>
            </w:r>
          </w:p>
        </w:tc>
        <w:tc>
          <w:tcPr>
            <w:tcW w:w="1182" w:type="dxa"/>
            <w:shd w:val="clear" w:color="auto" w:fill="FF0000"/>
          </w:tcPr>
          <w:p w14:paraId="5B6B2E56" w14:textId="3A5D75E8" w:rsidR="00FA4262" w:rsidRPr="000D3B07" w:rsidRDefault="00FA4262" w:rsidP="00E25396">
            <w:pP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Date</w:t>
            </w:r>
          </w:p>
        </w:tc>
        <w:tc>
          <w:tcPr>
            <w:tcW w:w="3889" w:type="dxa"/>
            <w:shd w:val="clear" w:color="auto" w:fill="FF0000"/>
          </w:tcPr>
          <w:p w14:paraId="39DD73AE" w14:textId="253F8D89" w:rsidR="00FA4262" w:rsidRPr="000D3B07" w:rsidRDefault="00FA4262" w:rsidP="00E25396">
            <w:pP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Summary of Changes</w:t>
            </w:r>
          </w:p>
        </w:tc>
        <w:tc>
          <w:tcPr>
            <w:tcW w:w="1709" w:type="dxa"/>
            <w:shd w:val="clear" w:color="auto" w:fill="FF0000"/>
          </w:tcPr>
          <w:p w14:paraId="7FABBD43" w14:textId="7237AD6F" w:rsidR="00FA4262" w:rsidRPr="000D3B07" w:rsidRDefault="00FA4262" w:rsidP="00E25396">
            <w:pP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Author</w:t>
            </w:r>
          </w:p>
        </w:tc>
        <w:tc>
          <w:tcPr>
            <w:tcW w:w="1693" w:type="dxa"/>
            <w:shd w:val="clear" w:color="auto" w:fill="FF0000"/>
          </w:tcPr>
          <w:p w14:paraId="7A88B87C" w14:textId="65870BC9" w:rsidR="00FA4262" w:rsidRPr="000D3B07" w:rsidRDefault="00FA4262" w:rsidP="00E25396">
            <w:pP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Reviewer(s)</w:t>
            </w:r>
          </w:p>
        </w:tc>
      </w:tr>
      <w:tr w:rsidR="00FA4262" w:rsidRPr="00EC6D7F" w14:paraId="21C8D1A6" w14:textId="77777777" w:rsidTr="00E660CF">
        <w:tc>
          <w:tcPr>
            <w:tcW w:w="594" w:type="dxa"/>
          </w:tcPr>
          <w:p w14:paraId="4EA44C75" w14:textId="570BD83C" w:rsidR="00FA4262" w:rsidRPr="00EC6D7F" w:rsidRDefault="00932F9B" w:rsidP="00932F9B">
            <w:pPr>
              <w:jc w:val="both"/>
              <w:rPr>
                <w:rFonts w:asciiTheme="minorHAnsi" w:hAnsiTheme="minorHAnsi"/>
              </w:rPr>
            </w:pPr>
            <w:r w:rsidRPr="00EC6D7F">
              <w:rPr>
                <w:rFonts w:asciiTheme="minorHAnsi" w:hAnsiTheme="minorHAnsi"/>
              </w:rPr>
              <w:t>1.0</w:t>
            </w:r>
          </w:p>
        </w:tc>
        <w:tc>
          <w:tcPr>
            <w:tcW w:w="1182" w:type="dxa"/>
          </w:tcPr>
          <w:p w14:paraId="101610A1" w14:textId="560D7384" w:rsidR="00FA4262" w:rsidRPr="00EC6D7F" w:rsidRDefault="00E660CF" w:rsidP="00932F9B">
            <w:pPr>
              <w:jc w:val="both"/>
              <w:rPr>
                <w:rFonts w:asciiTheme="minorHAnsi" w:hAnsiTheme="minorHAnsi"/>
              </w:rPr>
            </w:pPr>
            <w:r>
              <w:rPr>
                <w:rFonts w:asciiTheme="minorHAnsi" w:hAnsiTheme="minorHAnsi"/>
              </w:rPr>
              <w:t>19/03/2019</w:t>
            </w:r>
          </w:p>
        </w:tc>
        <w:tc>
          <w:tcPr>
            <w:tcW w:w="3889" w:type="dxa"/>
          </w:tcPr>
          <w:p w14:paraId="3988A816" w14:textId="0E7C8A81" w:rsidR="00FA4262" w:rsidRPr="00EC6D7F" w:rsidRDefault="00932F9B" w:rsidP="00932F9B">
            <w:pPr>
              <w:jc w:val="both"/>
              <w:rPr>
                <w:rFonts w:asciiTheme="minorHAnsi" w:hAnsiTheme="minorHAnsi"/>
              </w:rPr>
            </w:pPr>
            <w:r w:rsidRPr="00EC6D7F">
              <w:rPr>
                <w:rFonts w:asciiTheme="minorHAnsi" w:hAnsiTheme="minorHAnsi"/>
              </w:rPr>
              <w:t>Initial version</w:t>
            </w:r>
          </w:p>
        </w:tc>
        <w:tc>
          <w:tcPr>
            <w:tcW w:w="1709" w:type="dxa"/>
          </w:tcPr>
          <w:p w14:paraId="4AA5254A" w14:textId="2F3AEDD2" w:rsidR="00FA4262" w:rsidRPr="00EC6D7F" w:rsidRDefault="00E660CF" w:rsidP="00932F9B">
            <w:pPr>
              <w:jc w:val="both"/>
              <w:rPr>
                <w:rFonts w:asciiTheme="minorHAnsi" w:hAnsiTheme="minorHAnsi"/>
              </w:rPr>
            </w:pPr>
            <w:r>
              <w:rPr>
                <w:rFonts w:asciiTheme="minorHAnsi" w:hAnsiTheme="minorHAnsi"/>
              </w:rPr>
              <w:t>Dena Morrison</w:t>
            </w:r>
          </w:p>
        </w:tc>
        <w:tc>
          <w:tcPr>
            <w:tcW w:w="1693" w:type="dxa"/>
          </w:tcPr>
          <w:p w14:paraId="3C9464CB" w14:textId="3E085651" w:rsidR="00FA4262" w:rsidRPr="00EC6D7F" w:rsidRDefault="00E660CF" w:rsidP="00227E21">
            <w:pPr>
              <w:jc w:val="both"/>
              <w:rPr>
                <w:rFonts w:asciiTheme="minorHAnsi" w:hAnsiTheme="minorHAnsi"/>
              </w:rPr>
            </w:pPr>
            <w:r>
              <w:rPr>
                <w:rFonts w:asciiTheme="minorHAnsi" w:hAnsiTheme="minorHAnsi"/>
              </w:rPr>
              <w:t>Peter Morath</w:t>
            </w:r>
          </w:p>
        </w:tc>
      </w:tr>
      <w:tr w:rsidR="00FA4262" w:rsidRPr="00EC6D7F" w14:paraId="497EA380" w14:textId="77777777" w:rsidTr="00E660CF">
        <w:tc>
          <w:tcPr>
            <w:tcW w:w="594" w:type="dxa"/>
          </w:tcPr>
          <w:p w14:paraId="301F8487" w14:textId="45F16998" w:rsidR="00FA4262" w:rsidRPr="00EC6D7F" w:rsidRDefault="00992FE4" w:rsidP="00932F9B">
            <w:pPr>
              <w:jc w:val="both"/>
              <w:rPr>
                <w:rFonts w:asciiTheme="minorHAnsi" w:hAnsiTheme="minorHAnsi"/>
              </w:rPr>
            </w:pPr>
            <w:r>
              <w:rPr>
                <w:rFonts w:asciiTheme="minorHAnsi" w:hAnsiTheme="minorHAnsi"/>
              </w:rPr>
              <w:t>1.1</w:t>
            </w:r>
          </w:p>
        </w:tc>
        <w:tc>
          <w:tcPr>
            <w:tcW w:w="1182" w:type="dxa"/>
          </w:tcPr>
          <w:p w14:paraId="442C03DD" w14:textId="135D7437" w:rsidR="00FA4262" w:rsidRPr="00EC6D7F" w:rsidRDefault="00992FE4" w:rsidP="00932F9B">
            <w:pPr>
              <w:jc w:val="both"/>
              <w:rPr>
                <w:rFonts w:asciiTheme="minorHAnsi" w:hAnsiTheme="minorHAnsi"/>
              </w:rPr>
            </w:pPr>
            <w:r>
              <w:rPr>
                <w:rFonts w:asciiTheme="minorHAnsi" w:hAnsiTheme="minorHAnsi"/>
              </w:rPr>
              <w:t>20/03/2019</w:t>
            </w:r>
          </w:p>
        </w:tc>
        <w:tc>
          <w:tcPr>
            <w:tcW w:w="3889" w:type="dxa"/>
          </w:tcPr>
          <w:p w14:paraId="679D0070" w14:textId="4FEA826E" w:rsidR="00FA4262" w:rsidRPr="00EC6D7F" w:rsidRDefault="00992FE4" w:rsidP="00E25396">
            <w:pPr>
              <w:rPr>
                <w:rFonts w:asciiTheme="minorHAnsi" w:hAnsiTheme="minorHAnsi"/>
              </w:rPr>
            </w:pPr>
            <w:r>
              <w:rPr>
                <w:rFonts w:asciiTheme="minorHAnsi" w:hAnsiTheme="minorHAnsi"/>
              </w:rPr>
              <w:t>Added Planned by still outstanding</w:t>
            </w:r>
          </w:p>
        </w:tc>
        <w:tc>
          <w:tcPr>
            <w:tcW w:w="1709" w:type="dxa"/>
          </w:tcPr>
          <w:p w14:paraId="0D26A9A6" w14:textId="2E0FD754" w:rsidR="00FA4262" w:rsidRPr="00EC6D7F" w:rsidRDefault="00992FE4" w:rsidP="00932F9B">
            <w:pPr>
              <w:jc w:val="both"/>
              <w:rPr>
                <w:rFonts w:asciiTheme="minorHAnsi" w:hAnsiTheme="minorHAnsi"/>
              </w:rPr>
            </w:pPr>
            <w:r>
              <w:rPr>
                <w:rFonts w:asciiTheme="minorHAnsi" w:hAnsiTheme="minorHAnsi"/>
              </w:rPr>
              <w:t>Dena Morrison</w:t>
            </w:r>
          </w:p>
        </w:tc>
        <w:tc>
          <w:tcPr>
            <w:tcW w:w="1693" w:type="dxa"/>
          </w:tcPr>
          <w:p w14:paraId="1F46FA6E" w14:textId="48726D0E" w:rsidR="00FA4262" w:rsidRPr="00EC6D7F" w:rsidRDefault="00F721CC" w:rsidP="00932F9B">
            <w:pPr>
              <w:jc w:val="both"/>
              <w:rPr>
                <w:rFonts w:asciiTheme="minorHAnsi" w:hAnsiTheme="minorHAnsi"/>
              </w:rPr>
            </w:pPr>
            <w:r>
              <w:rPr>
                <w:rFonts w:asciiTheme="minorHAnsi" w:hAnsiTheme="minorHAnsi"/>
              </w:rPr>
              <w:t>Matt Furber</w:t>
            </w:r>
          </w:p>
        </w:tc>
      </w:tr>
      <w:tr w:rsidR="00807972" w:rsidRPr="00EC6D7F" w14:paraId="3FA86E34" w14:textId="77777777" w:rsidTr="00E660CF">
        <w:tc>
          <w:tcPr>
            <w:tcW w:w="594" w:type="dxa"/>
          </w:tcPr>
          <w:p w14:paraId="502F3639" w14:textId="160BCD9C" w:rsidR="00807972" w:rsidRPr="00EC6D7F" w:rsidRDefault="00F721CC" w:rsidP="00932F9B">
            <w:pPr>
              <w:jc w:val="both"/>
              <w:rPr>
                <w:rFonts w:asciiTheme="minorHAnsi" w:hAnsiTheme="minorHAnsi"/>
              </w:rPr>
            </w:pPr>
            <w:r>
              <w:rPr>
                <w:rFonts w:asciiTheme="minorHAnsi" w:hAnsiTheme="minorHAnsi"/>
              </w:rPr>
              <w:t>1.2</w:t>
            </w:r>
          </w:p>
        </w:tc>
        <w:tc>
          <w:tcPr>
            <w:tcW w:w="1182" w:type="dxa"/>
          </w:tcPr>
          <w:p w14:paraId="3E40094A" w14:textId="2124D9F6" w:rsidR="00807972" w:rsidRPr="00EC6D7F" w:rsidRDefault="00F34C69" w:rsidP="00AF3C6E">
            <w:pPr>
              <w:jc w:val="both"/>
              <w:rPr>
                <w:rFonts w:asciiTheme="minorHAnsi" w:hAnsiTheme="minorHAnsi"/>
              </w:rPr>
            </w:pPr>
            <w:r>
              <w:rPr>
                <w:rFonts w:asciiTheme="minorHAnsi" w:hAnsiTheme="minorHAnsi"/>
              </w:rPr>
              <w:t>2</w:t>
            </w:r>
            <w:r w:rsidR="00AF3C6E">
              <w:rPr>
                <w:rFonts w:asciiTheme="minorHAnsi" w:hAnsiTheme="minorHAnsi"/>
              </w:rPr>
              <w:t>7</w:t>
            </w:r>
            <w:r>
              <w:rPr>
                <w:rFonts w:asciiTheme="minorHAnsi" w:hAnsiTheme="minorHAnsi"/>
              </w:rPr>
              <w:t>/03/2019</w:t>
            </w:r>
          </w:p>
        </w:tc>
        <w:tc>
          <w:tcPr>
            <w:tcW w:w="3889" w:type="dxa"/>
          </w:tcPr>
          <w:p w14:paraId="39B13AE5" w14:textId="5C620677" w:rsidR="00807972" w:rsidRPr="00EC6D7F" w:rsidRDefault="00AF3C6E" w:rsidP="00807972">
            <w:pPr>
              <w:rPr>
                <w:rFonts w:asciiTheme="minorHAnsi" w:hAnsiTheme="minorHAnsi"/>
              </w:rPr>
            </w:pPr>
            <w:r>
              <w:rPr>
                <w:rFonts w:asciiTheme="minorHAnsi" w:hAnsiTheme="minorHAnsi"/>
              </w:rPr>
              <w:t>General amendments</w:t>
            </w:r>
          </w:p>
        </w:tc>
        <w:tc>
          <w:tcPr>
            <w:tcW w:w="1709" w:type="dxa"/>
          </w:tcPr>
          <w:p w14:paraId="5F2D22F4" w14:textId="58C8D328" w:rsidR="00807972" w:rsidRPr="00EC6D7F" w:rsidRDefault="00AF3C6E" w:rsidP="00932F9B">
            <w:pPr>
              <w:jc w:val="both"/>
              <w:rPr>
                <w:rFonts w:asciiTheme="minorHAnsi" w:hAnsiTheme="minorHAnsi"/>
              </w:rPr>
            </w:pPr>
            <w:r>
              <w:rPr>
                <w:rFonts w:asciiTheme="minorHAnsi" w:hAnsiTheme="minorHAnsi"/>
              </w:rPr>
              <w:t>Matt Furber</w:t>
            </w:r>
          </w:p>
        </w:tc>
        <w:tc>
          <w:tcPr>
            <w:tcW w:w="1693" w:type="dxa"/>
          </w:tcPr>
          <w:p w14:paraId="61A2DA95" w14:textId="00791535" w:rsidR="00807972" w:rsidRPr="00EC6D7F" w:rsidRDefault="00807972" w:rsidP="00932F9B">
            <w:pPr>
              <w:jc w:val="both"/>
              <w:rPr>
                <w:rFonts w:asciiTheme="minorHAnsi" w:hAnsiTheme="minorHAnsi"/>
              </w:rPr>
            </w:pPr>
          </w:p>
        </w:tc>
      </w:tr>
      <w:tr w:rsidR="00445A3C" w:rsidRPr="00EC6D7F" w14:paraId="13A79DC2" w14:textId="77777777" w:rsidTr="00E660CF">
        <w:tc>
          <w:tcPr>
            <w:tcW w:w="594" w:type="dxa"/>
          </w:tcPr>
          <w:p w14:paraId="0122BB78" w14:textId="14EC10F5" w:rsidR="00445A3C" w:rsidRPr="00EC6D7F" w:rsidRDefault="00AF3C6E" w:rsidP="00932F9B">
            <w:pPr>
              <w:jc w:val="both"/>
              <w:rPr>
                <w:rFonts w:asciiTheme="minorHAnsi" w:hAnsiTheme="minorHAnsi"/>
              </w:rPr>
            </w:pPr>
            <w:r>
              <w:rPr>
                <w:rFonts w:asciiTheme="minorHAnsi" w:hAnsiTheme="minorHAnsi"/>
              </w:rPr>
              <w:t>1.3</w:t>
            </w:r>
          </w:p>
        </w:tc>
        <w:tc>
          <w:tcPr>
            <w:tcW w:w="1182" w:type="dxa"/>
          </w:tcPr>
          <w:p w14:paraId="2C7E9E4C" w14:textId="7959F229" w:rsidR="00445A3C" w:rsidRPr="00EC6D7F" w:rsidRDefault="00AF3C6E" w:rsidP="00932F9B">
            <w:pPr>
              <w:jc w:val="both"/>
              <w:rPr>
                <w:rFonts w:asciiTheme="minorHAnsi" w:hAnsiTheme="minorHAnsi"/>
              </w:rPr>
            </w:pPr>
            <w:r>
              <w:rPr>
                <w:rFonts w:asciiTheme="minorHAnsi" w:hAnsiTheme="minorHAnsi"/>
              </w:rPr>
              <w:t>28/03/2019</w:t>
            </w:r>
          </w:p>
        </w:tc>
        <w:tc>
          <w:tcPr>
            <w:tcW w:w="3889" w:type="dxa"/>
          </w:tcPr>
          <w:p w14:paraId="108B89D4" w14:textId="734CE673" w:rsidR="00445A3C" w:rsidRPr="00EC6D7F" w:rsidRDefault="00AF3C6E" w:rsidP="00CE699C">
            <w:pPr>
              <w:rPr>
                <w:rFonts w:asciiTheme="minorHAnsi" w:hAnsiTheme="minorHAnsi"/>
              </w:rPr>
            </w:pPr>
            <w:r>
              <w:rPr>
                <w:rFonts w:asciiTheme="minorHAnsi" w:hAnsiTheme="minorHAnsi"/>
              </w:rPr>
              <w:t>Updated Lessons Learned &amp; Recommendations</w:t>
            </w:r>
          </w:p>
        </w:tc>
        <w:tc>
          <w:tcPr>
            <w:tcW w:w="1709" w:type="dxa"/>
          </w:tcPr>
          <w:p w14:paraId="54333C2E" w14:textId="50E93EFD" w:rsidR="00445A3C" w:rsidRPr="00EC6D7F" w:rsidRDefault="00AF3C6E" w:rsidP="00932F9B">
            <w:pPr>
              <w:jc w:val="both"/>
              <w:rPr>
                <w:rFonts w:asciiTheme="minorHAnsi" w:hAnsiTheme="minorHAnsi"/>
              </w:rPr>
            </w:pPr>
            <w:r>
              <w:rPr>
                <w:rFonts w:asciiTheme="minorHAnsi" w:hAnsiTheme="minorHAnsi"/>
              </w:rPr>
              <w:t>Peter Morath</w:t>
            </w:r>
          </w:p>
        </w:tc>
        <w:tc>
          <w:tcPr>
            <w:tcW w:w="1693" w:type="dxa"/>
          </w:tcPr>
          <w:p w14:paraId="4C988EB5" w14:textId="34E47D20" w:rsidR="00445A3C" w:rsidRPr="00EC6D7F" w:rsidRDefault="00445A3C" w:rsidP="00CE699C">
            <w:pPr>
              <w:jc w:val="both"/>
              <w:rPr>
                <w:rFonts w:asciiTheme="minorHAnsi" w:hAnsiTheme="minorHAnsi"/>
              </w:rPr>
            </w:pPr>
          </w:p>
        </w:tc>
      </w:tr>
      <w:tr w:rsidR="003663D3" w:rsidRPr="003663D3" w14:paraId="5A8FF67A" w14:textId="77777777" w:rsidTr="00E660CF">
        <w:tc>
          <w:tcPr>
            <w:tcW w:w="594" w:type="dxa"/>
          </w:tcPr>
          <w:p w14:paraId="2EF28D8D" w14:textId="1B668ADB" w:rsidR="003663D3" w:rsidRPr="003663D3" w:rsidRDefault="003663D3" w:rsidP="00932F9B">
            <w:pPr>
              <w:jc w:val="both"/>
              <w:rPr>
                <w:rFonts w:asciiTheme="minorHAnsi" w:hAnsiTheme="minorHAnsi"/>
              </w:rPr>
            </w:pPr>
            <w:r w:rsidRPr="003663D3">
              <w:rPr>
                <w:rFonts w:asciiTheme="minorHAnsi" w:hAnsiTheme="minorHAnsi"/>
              </w:rPr>
              <w:t>1.4</w:t>
            </w:r>
          </w:p>
        </w:tc>
        <w:tc>
          <w:tcPr>
            <w:tcW w:w="1182" w:type="dxa"/>
          </w:tcPr>
          <w:p w14:paraId="2A2D315E" w14:textId="69C0E035" w:rsidR="003663D3" w:rsidRPr="003663D3" w:rsidRDefault="003663D3" w:rsidP="00932F9B">
            <w:pPr>
              <w:jc w:val="both"/>
              <w:rPr>
                <w:rFonts w:asciiTheme="minorHAnsi" w:hAnsiTheme="minorHAnsi"/>
              </w:rPr>
            </w:pPr>
            <w:r w:rsidRPr="003663D3">
              <w:rPr>
                <w:rFonts w:asciiTheme="minorHAnsi" w:hAnsiTheme="minorHAnsi"/>
              </w:rPr>
              <w:t>28/03/2019</w:t>
            </w:r>
          </w:p>
        </w:tc>
        <w:tc>
          <w:tcPr>
            <w:tcW w:w="3889" w:type="dxa"/>
          </w:tcPr>
          <w:p w14:paraId="22CBA024" w14:textId="4C75D46D" w:rsidR="003663D3" w:rsidRPr="003663D3" w:rsidRDefault="003663D3" w:rsidP="003663D3">
            <w:pPr>
              <w:jc w:val="both"/>
              <w:rPr>
                <w:rFonts w:asciiTheme="minorHAnsi" w:hAnsiTheme="minorHAnsi"/>
              </w:rPr>
            </w:pPr>
            <w:r w:rsidRPr="003663D3">
              <w:rPr>
                <w:rFonts w:asciiTheme="minorHAnsi" w:hAnsiTheme="minorHAnsi"/>
              </w:rPr>
              <w:t>Added 9.7 Internal Development</w:t>
            </w:r>
          </w:p>
        </w:tc>
        <w:tc>
          <w:tcPr>
            <w:tcW w:w="1709" w:type="dxa"/>
          </w:tcPr>
          <w:p w14:paraId="78CB595F" w14:textId="72D30D67" w:rsidR="003663D3" w:rsidRPr="003663D3" w:rsidRDefault="003663D3" w:rsidP="00932F9B">
            <w:pPr>
              <w:jc w:val="both"/>
              <w:rPr>
                <w:rFonts w:asciiTheme="minorHAnsi" w:hAnsiTheme="minorHAnsi"/>
              </w:rPr>
            </w:pPr>
            <w:r w:rsidRPr="003663D3">
              <w:rPr>
                <w:rFonts w:asciiTheme="minorHAnsi" w:hAnsiTheme="minorHAnsi"/>
              </w:rPr>
              <w:t>Peter Morath</w:t>
            </w:r>
          </w:p>
        </w:tc>
        <w:tc>
          <w:tcPr>
            <w:tcW w:w="1693" w:type="dxa"/>
          </w:tcPr>
          <w:p w14:paraId="2C30789D" w14:textId="7608C03C" w:rsidR="003663D3" w:rsidRPr="003663D3" w:rsidRDefault="00553E7C" w:rsidP="00CE699C">
            <w:pPr>
              <w:jc w:val="both"/>
              <w:rPr>
                <w:rFonts w:asciiTheme="minorHAnsi" w:hAnsiTheme="minorHAnsi"/>
              </w:rPr>
            </w:pPr>
            <w:r>
              <w:rPr>
                <w:rFonts w:asciiTheme="minorHAnsi" w:hAnsiTheme="minorHAnsi"/>
              </w:rPr>
              <w:t>Matt Furber</w:t>
            </w:r>
          </w:p>
        </w:tc>
      </w:tr>
      <w:tr w:rsidR="00553E7C" w:rsidRPr="00553E7C" w14:paraId="0C25312C" w14:textId="77777777" w:rsidTr="00E660CF">
        <w:tc>
          <w:tcPr>
            <w:tcW w:w="594" w:type="dxa"/>
          </w:tcPr>
          <w:p w14:paraId="71C88585" w14:textId="20B82FCB" w:rsidR="00553E7C" w:rsidRPr="00553E7C" w:rsidRDefault="00553E7C" w:rsidP="00932F9B">
            <w:pPr>
              <w:jc w:val="both"/>
              <w:rPr>
                <w:rFonts w:asciiTheme="minorHAnsi" w:hAnsiTheme="minorHAnsi"/>
              </w:rPr>
            </w:pPr>
            <w:r w:rsidRPr="00553E7C">
              <w:rPr>
                <w:rFonts w:asciiTheme="minorHAnsi" w:hAnsiTheme="minorHAnsi"/>
              </w:rPr>
              <w:t>1.5</w:t>
            </w:r>
          </w:p>
        </w:tc>
        <w:tc>
          <w:tcPr>
            <w:tcW w:w="1182" w:type="dxa"/>
          </w:tcPr>
          <w:p w14:paraId="34B7284B" w14:textId="2285BBDC" w:rsidR="00553E7C" w:rsidRPr="00553E7C" w:rsidRDefault="00553E7C" w:rsidP="00932F9B">
            <w:pPr>
              <w:jc w:val="both"/>
              <w:rPr>
                <w:rFonts w:asciiTheme="minorHAnsi" w:hAnsiTheme="minorHAnsi"/>
              </w:rPr>
            </w:pPr>
            <w:r w:rsidRPr="00553E7C">
              <w:rPr>
                <w:rFonts w:asciiTheme="minorHAnsi" w:hAnsiTheme="minorHAnsi"/>
              </w:rPr>
              <w:t>02/04/2019</w:t>
            </w:r>
          </w:p>
        </w:tc>
        <w:tc>
          <w:tcPr>
            <w:tcW w:w="3889" w:type="dxa"/>
          </w:tcPr>
          <w:p w14:paraId="71918B27" w14:textId="31DF4F4C" w:rsidR="00553E7C" w:rsidRPr="00553E7C" w:rsidRDefault="00553E7C" w:rsidP="003663D3">
            <w:pPr>
              <w:jc w:val="both"/>
              <w:rPr>
                <w:rFonts w:asciiTheme="minorHAnsi" w:hAnsiTheme="minorHAnsi"/>
              </w:rPr>
            </w:pPr>
            <w:r>
              <w:rPr>
                <w:rFonts w:asciiTheme="minorHAnsi" w:hAnsiTheme="minorHAnsi"/>
              </w:rPr>
              <w:t>General amendments</w:t>
            </w:r>
          </w:p>
        </w:tc>
        <w:tc>
          <w:tcPr>
            <w:tcW w:w="1709" w:type="dxa"/>
          </w:tcPr>
          <w:p w14:paraId="77944310" w14:textId="38996E69" w:rsidR="00553E7C" w:rsidRPr="00553E7C" w:rsidRDefault="00CB7362" w:rsidP="00932F9B">
            <w:pPr>
              <w:jc w:val="both"/>
              <w:rPr>
                <w:rFonts w:asciiTheme="minorHAnsi" w:hAnsiTheme="minorHAnsi"/>
              </w:rPr>
            </w:pPr>
            <w:r>
              <w:rPr>
                <w:rFonts w:asciiTheme="minorHAnsi" w:hAnsiTheme="minorHAnsi"/>
              </w:rPr>
              <w:t>Peter Morath</w:t>
            </w:r>
          </w:p>
        </w:tc>
        <w:tc>
          <w:tcPr>
            <w:tcW w:w="1693" w:type="dxa"/>
          </w:tcPr>
          <w:p w14:paraId="0DDDAC3C" w14:textId="3CF660FB" w:rsidR="00553E7C" w:rsidRPr="00553E7C" w:rsidRDefault="00CB7362" w:rsidP="00CE699C">
            <w:pPr>
              <w:jc w:val="both"/>
              <w:rPr>
                <w:rFonts w:asciiTheme="minorHAnsi" w:hAnsiTheme="minorHAnsi"/>
              </w:rPr>
            </w:pPr>
            <w:r>
              <w:rPr>
                <w:rFonts w:asciiTheme="minorHAnsi" w:hAnsiTheme="minorHAnsi"/>
              </w:rPr>
              <w:t>Dena Morrison</w:t>
            </w:r>
          </w:p>
        </w:tc>
      </w:tr>
      <w:tr w:rsidR="00CB7362" w:rsidRPr="00CB7362" w14:paraId="4B957E5F" w14:textId="77777777" w:rsidTr="00E660CF">
        <w:tc>
          <w:tcPr>
            <w:tcW w:w="594" w:type="dxa"/>
          </w:tcPr>
          <w:p w14:paraId="4153C66A" w14:textId="57F7A79D" w:rsidR="00CB7362" w:rsidRPr="00CB7362" w:rsidRDefault="00CB7362" w:rsidP="00932F9B">
            <w:pPr>
              <w:jc w:val="both"/>
              <w:rPr>
                <w:rFonts w:asciiTheme="minorHAnsi" w:hAnsiTheme="minorHAnsi"/>
              </w:rPr>
            </w:pPr>
            <w:r w:rsidRPr="00CB7362">
              <w:rPr>
                <w:rFonts w:asciiTheme="minorHAnsi" w:hAnsiTheme="minorHAnsi"/>
              </w:rPr>
              <w:t>1.6</w:t>
            </w:r>
          </w:p>
        </w:tc>
        <w:tc>
          <w:tcPr>
            <w:tcW w:w="1182" w:type="dxa"/>
          </w:tcPr>
          <w:p w14:paraId="45EFB9C8" w14:textId="56BF9ECE" w:rsidR="00CB7362" w:rsidRPr="00CB7362" w:rsidRDefault="00CB7362" w:rsidP="00932F9B">
            <w:pPr>
              <w:jc w:val="both"/>
              <w:rPr>
                <w:rFonts w:asciiTheme="minorHAnsi" w:hAnsiTheme="minorHAnsi"/>
              </w:rPr>
            </w:pPr>
            <w:r w:rsidRPr="00CB7362">
              <w:rPr>
                <w:rFonts w:asciiTheme="minorHAnsi" w:hAnsiTheme="minorHAnsi"/>
              </w:rPr>
              <w:t>02/04/2019</w:t>
            </w:r>
          </w:p>
        </w:tc>
        <w:tc>
          <w:tcPr>
            <w:tcW w:w="3889" w:type="dxa"/>
          </w:tcPr>
          <w:p w14:paraId="18B70F5E" w14:textId="2B17EC8E" w:rsidR="00CB7362" w:rsidRPr="00CB7362" w:rsidRDefault="00CB7362" w:rsidP="00CB7362">
            <w:pPr>
              <w:jc w:val="both"/>
              <w:rPr>
                <w:rFonts w:asciiTheme="minorHAnsi" w:hAnsiTheme="minorHAnsi"/>
              </w:rPr>
            </w:pPr>
            <w:r w:rsidRPr="00CB7362">
              <w:rPr>
                <w:rFonts w:asciiTheme="minorHAnsi" w:hAnsiTheme="minorHAnsi"/>
              </w:rPr>
              <w:t>9</w:t>
            </w:r>
            <w:r>
              <w:rPr>
                <w:rFonts w:asciiTheme="minorHAnsi" w:hAnsiTheme="minorHAnsi"/>
              </w:rPr>
              <w:t>.1</w:t>
            </w:r>
            <w:r w:rsidRPr="00CB7362">
              <w:rPr>
                <w:rFonts w:asciiTheme="minorHAnsi" w:hAnsiTheme="minorHAnsi"/>
              </w:rPr>
              <w:t xml:space="preserve"> Timescales &amp; Delivery updated</w:t>
            </w:r>
          </w:p>
        </w:tc>
        <w:tc>
          <w:tcPr>
            <w:tcW w:w="1709" w:type="dxa"/>
          </w:tcPr>
          <w:p w14:paraId="41D5373B" w14:textId="4034F160" w:rsidR="00CB7362" w:rsidRPr="00CB7362" w:rsidRDefault="00CB7362" w:rsidP="00932F9B">
            <w:pPr>
              <w:jc w:val="both"/>
              <w:rPr>
                <w:rFonts w:asciiTheme="minorHAnsi" w:hAnsiTheme="minorHAnsi"/>
              </w:rPr>
            </w:pPr>
            <w:r w:rsidRPr="00CB7362">
              <w:rPr>
                <w:rFonts w:asciiTheme="minorHAnsi" w:hAnsiTheme="minorHAnsi"/>
              </w:rPr>
              <w:t>Dena Morrison</w:t>
            </w:r>
          </w:p>
        </w:tc>
        <w:tc>
          <w:tcPr>
            <w:tcW w:w="1693" w:type="dxa"/>
          </w:tcPr>
          <w:p w14:paraId="2BB4A11C" w14:textId="683F7AE0" w:rsidR="00CB7362" w:rsidRPr="00CB7362" w:rsidRDefault="00DB107E" w:rsidP="00CE699C">
            <w:pPr>
              <w:jc w:val="both"/>
              <w:rPr>
                <w:rFonts w:asciiTheme="minorHAnsi" w:hAnsiTheme="minorHAnsi"/>
              </w:rPr>
            </w:pPr>
            <w:r>
              <w:rPr>
                <w:rFonts w:asciiTheme="minorHAnsi" w:hAnsiTheme="minorHAnsi"/>
              </w:rPr>
              <w:t>SLT</w:t>
            </w:r>
          </w:p>
        </w:tc>
      </w:tr>
      <w:tr w:rsidR="00DB107E" w:rsidRPr="00DB107E" w14:paraId="2DBA83AB" w14:textId="77777777" w:rsidTr="00E660CF">
        <w:tc>
          <w:tcPr>
            <w:tcW w:w="594" w:type="dxa"/>
          </w:tcPr>
          <w:p w14:paraId="39EA5E9B" w14:textId="198393AD" w:rsidR="00DB107E" w:rsidRPr="00DB107E" w:rsidRDefault="00DB107E" w:rsidP="00932F9B">
            <w:pPr>
              <w:jc w:val="both"/>
              <w:rPr>
                <w:rFonts w:asciiTheme="minorHAnsi" w:hAnsiTheme="minorHAnsi"/>
              </w:rPr>
            </w:pPr>
            <w:r w:rsidRPr="00DB107E">
              <w:rPr>
                <w:rFonts w:asciiTheme="minorHAnsi" w:hAnsiTheme="minorHAnsi"/>
              </w:rPr>
              <w:t>1.7</w:t>
            </w:r>
          </w:p>
        </w:tc>
        <w:tc>
          <w:tcPr>
            <w:tcW w:w="1182" w:type="dxa"/>
          </w:tcPr>
          <w:p w14:paraId="6F3C3619" w14:textId="139E1EAD" w:rsidR="00DB107E" w:rsidRPr="00DB107E" w:rsidRDefault="00DB107E" w:rsidP="00932F9B">
            <w:pPr>
              <w:jc w:val="both"/>
              <w:rPr>
                <w:rFonts w:asciiTheme="minorHAnsi" w:hAnsiTheme="minorHAnsi"/>
              </w:rPr>
            </w:pPr>
            <w:r w:rsidRPr="00DB107E">
              <w:rPr>
                <w:rFonts w:asciiTheme="minorHAnsi" w:hAnsiTheme="minorHAnsi"/>
              </w:rPr>
              <w:t>10/04/2019</w:t>
            </w:r>
          </w:p>
        </w:tc>
        <w:tc>
          <w:tcPr>
            <w:tcW w:w="3889" w:type="dxa"/>
          </w:tcPr>
          <w:p w14:paraId="73F45C75" w14:textId="56A7A6A5" w:rsidR="00DB107E" w:rsidRPr="00DB107E" w:rsidRDefault="00DB107E" w:rsidP="00CB7362">
            <w:pPr>
              <w:jc w:val="both"/>
              <w:rPr>
                <w:rFonts w:asciiTheme="minorHAnsi" w:hAnsiTheme="minorHAnsi"/>
              </w:rPr>
            </w:pPr>
            <w:r w:rsidRPr="00DB107E">
              <w:rPr>
                <w:rFonts w:asciiTheme="minorHAnsi" w:hAnsiTheme="minorHAnsi"/>
              </w:rPr>
              <w:t>General updates based on feedback from SLT</w:t>
            </w:r>
          </w:p>
        </w:tc>
        <w:tc>
          <w:tcPr>
            <w:tcW w:w="1709" w:type="dxa"/>
          </w:tcPr>
          <w:p w14:paraId="008BEC9E" w14:textId="5AA21278" w:rsidR="00DB107E" w:rsidRPr="00DB107E" w:rsidRDefault="00DB107E" w:rsidP="00932F9B">
            <w:pPr>
              <w:jc w:val="both"/>
              <w:rPr>
                <w:rFonts w:asciiTheme="minorHAnsi" w:hAnsiTheme="minorHAnsi"/>
              </w:rPr>
            </w:pPr>
            <w:r w:rsidRPr="00DB107E">
              <w:rPr>
                <w:rFonts w:asciiTheme="minorHAnsi" w:hAnsiTheme="minorHAnsi"/>
              </w:rPr>
              <w:t>Peter Morath</w:t>
            </w:r>
          </w:p>
        </w:tc>
        <w:tc>
          <w:tcPr>
            <w:tcW w:w="1693" w:type="dxa"/>
          </w:tcPr>
          <w:p w14:paraId="13012379" w14:textId="2A269D18" w:rsidR="00DB107E" w:rsidRPr="00DB107E" w:rsidRDefault="00BD6657" w:rsidP="00CE699C">
            <w:pPr>
              <w:jc w:val="both"/>
              <w:rPr>
                <w:rFonts w:asciiTheme="minorHAnsi" w:hAnsiTheme="minorHAnsi"/>
              </w:rPr>
            </w:pPr>
            <w:r>
              <w:rPr>
                <w:rFonts w:asciiTheme="minorHAnsi" w:hAnsiTheme="minorHAnsi"/>
              </w:rPr>
              <w:t>Matt Furber</w:t>
            </w:r>
          </w:p>
        </w:tc>
      </w:tr>
      <w:tr w:rsidR="00BD6657" w:rsidRPr="00DB107E" w14:paraId="564202AF" w14:textId="77777777" w:rsidTr="00E660CF">
        <w:tc>
          <w:tcPr>
            <w:tcW w:w="594" w:type="dxa"/>
          </w:tcPr>
          <w:p w14:paraId="374AEC98" w14:textId="2FAFE0F3" w:rsidR="00BD6657" w:rsidRPr="00BD6657" w:rsidRDefault="00BD6657" w:rsidP="00932F9B">
            <w:pPr>
              <w:jc w:val="both"/>
              <w:rPr>
                <w:rFonts w:asciiTheme="minorHAnsi" w:hAnsiTheme="minorHAnsi"/>
              </w:rPr>
            </w:pPr>
            <w:r w:rsidRPr="00BD6657">
              <w:rPr>
                <w:rFonts w:asciiTheme="minorHAnsi" w:hAnsiTheme="minorHAnsi"/>
              </w:rPr>
              <w:t>1.8</w:t>
            </w:r>
          </w:p>
        </w:tc>
        <w:tc>
          <w:tcPr>
            <w:tcW w:w="1182" w:type="dxa"/>
          </w:tcPr>
          <w:p w14:paraId="506348E7" w14:textId="4D97F67D" w:rsidR="00BD6657" w:rsidRPr="00BD6657" w:rsidRDefault="00BD6657" w:rsidP="00932F9B">
            <w:pPr>
              <w:jc w:val="both"/>
              <w:rPr>
                <w:rFonts w:asciiTheme="minorHAnsi" w:hAnsiTheme="minorHAnsi"/>
              </w:rPr>
            </w:pPr>
            <w:r w:rsidRPr="00BD6657">
              <w:rPr>
                <w:rFonts w:asciiTheme="minorHAnsi" w:hAnsiTheme="minorHAnsi"/>
              </w:rPr>
              <w:t>12/04/2019</w:t>
            </w:r>
          </w:p>
        </w:tc>
        <w:tc>
          <w:tcPr>
            <w:tcW w:w="3889" w:type="dxa"/>
          </w:tcPr>
          <w:p w14:paraId="0BF09CEA" w14:textId="37847B7B" w:rsidR="00BD6657" w:rsidRPr="00BD6657" w:rsidRDefault="00E015F1" w:rsidP="00CB7362">
            <w:pPr>
              <w:jc w:val="both"/>
              <w:rPr>
                <w:rFonts w:asciiTheme="minorHAnsi" w:hAnsiTheme="minorHAnsi"/>
              </w:rPr>
            </w:pPr>
            <w:r>
              <w:rPr>
                <w:rFonts w:asciiTheme="minorHAnsi" w:hAnsiTheme="minorHAnsi"/>
              </w:rPr>
              <w:t>General amendments</w:t>
            </w:r>
          </w:p>
        </w:tc>
        <w:tc>
          <w:tcPr>
            <w:tcW w:w="1709" w:type="dxa"/>
          </w:tcPr>
          <w:p w14:paraId="28C06C11" w14:textId="22501861" w:rsidR="00BD6657" w:rsidRPr="00BD6657" w:rsidRDefault="00BD6657" w:rsidP="00932F9B">
            <w:pPr>
              <w:jc w:val="both"/>
              <w:rPr>
                <w:rFonts w:asciiTheme="minorHAnsi" w:hAnsiTheme="minorHAnsi"/>
              </w:rPr>
            </w:pPr>
            <w:r>
              <w:rPr>
                <w:rFonts w:asciiTheme="minorHAnsi" w:hAnsiTheme="minorHAnsi"/>
              </w:rPr>
              <w:t>Dena Morrison</w:t>
            </w:r>
          </w:p>
        </w:tc>
        <w:tc>
          <w:tcPr>
            <w:tcW w:w="1693" w:type="dxa"/>
          </w:tcPr>
          <w:p w14:paraId="78FE7E59" w14:textId="290C1AC8" w:rsidR="00BD6657" w:rsidRPr="00BD6657" w:rsidRDefault="009B3B1D" w:rsidP="00CE699C">
            <w:pPr>
              <w:jc w:val="both"/>
              <w:rPr>
                <w:rFonts w:asciiTheme="minorHAnsi" w:hAnsiTheme="minorHAnsi"/>
              </w:rPr>
            </w:pPr>
            <w:r>
              <w:rPr>
                <w:rFonts w:asciiTheme="minorHAnsi" w:hAnsiTheme="minorHAnsi"/>
              </w:rPr>
              <w:t>P&amp;R Board</w:t>
            </w:r>
          </w:p>
        </w:tc>
      </w:tr>
      <w:tr w:rsidR="009B3B1D" w:rsidRPr="009B3B1D" w14:paraId="087C9493" w14:textId="77777777" w:rsidTr="00E660CF">
        <w:tc>
          <w:tcPr>
            <w:tcW w:w="594" w:type="dxa"/>
          </w:tcPr>
          <w:p w14:paraId="38734962" w14:textId="06AEB2CA" w:rsidR="009B3B1D" w:rsidRPr="009B3B1D" w:rsidRDefault="009B3B1D" w:rsidP="00932F9B">
            <w:pPr>
              <w:jc w:val="both"/>
              <w:rPr>
                <w:rFonts w:asciiTheme="minorHAnsi" w:hAnsiTheme="minorHAnsi"/>
              </w:rPr>
            </w:pPr>
            <w:r w:rsidRPr="009B3B1D">
              <w:rPr>
                <w:rFonts w:asciiTheme="minorHAnsi" w:hAnsiTheme="minorHAnsi"/>
              </w:rPr>
              <w:t>1.9</w:t>
            </w:r>
          </w:p>
        </w:tc>
        <w:tc>
          <w:tcPr>
            <w:tcW w:w="1182" w:type="dxa"/>
          </w:tcPr>
          <w:p w14:paraId="39D3091F" w14:textId="38ABAC3A" w:rsidR="009B3B1D" w:rsidRPr="009B3B1D" w:rsidRDefault="009B3B1D" w:rsidP="00932F9B">
            <w:pPr>
              <w:jc w:val="both"/>
              <w:rPr>
                <w:rFonts w:asciiTheme="minorHAnsi" w:hAnsiTheme="minorHAnsi"/>
              </w:rPr>
            </w:pPr>
            <w:r w:rsidRPr="009B3B1D">
              <w:rPr>
                <w:rFonts w:asciiTheme="minorHAnsi" w:hAnsiTheme="minorHAnsi"/>
              </w:rPr>
              <w:t>06/05/2019</w:t>
            </w:r>
          </w:p>
        </w:tc>
        <w:tc>
          <w:tcPr>
            <w:tcW w:w="3889" w:type="dxa"/>
          </w:tcPr>
          <w:p w14:paraId="7011BFE7" w14:textId="7301FD82" w:rsidR="009B3B1D" w:rsidRPr="009B3B1D" w:rsidRDefault="009B3B1D" w:rsidP="00CB7362">
            <w:pPr>
              <w:jc w:val="both"/>
              <w:rPr>
                <w:rFonts w:asciiTheme="minorHAnsi" w:hAnsiTheme="minorHAnsi"/>
              </w:rPr>
            </w:pPr>
            <w:r w:rsidRPr="009B3B1D">
              <w:rPr>
                <w:rFonts w:asciiTheme="minorHAnsi" w:hAnsiTheme="minorHAnsi"/>
              </w:rPr>
              <w:t>Updates to Executive Summary to emphasise go-live pay challenges</w:t>
            </w:r>
          </w:p>
        </w:tc>
        <w:tc>
          <w:tcPr>
            <w:tcW w:w="1709" w:type="dxa"/>
          </w:tcPr>
          <w:p w14:paraId="73FBF25B" w14:textId="5C37DF92" w:rsidR="009B3B1D" w:rsidRPr="009B3B1D" w:rsidRDefault="009B3B1D" w:rsidP="00932F9B">
            <w:pPr>
              <w:jc w:val="both"/>
              <w:rPr>
                <w:rFonts w:asciiTheme="minorHAnsi" w:hAnsiTheme="minorHAnsi"/>
              </w:rPr>
            </w:pPr>
            <w:r w:rsidRPr="009B3B1D">
              <w:rPr>
                <w:rFonts w:asciiTheme="minorHAnsi" w:hAnsiTheme="minorHAnsi"/>
              </w:rPr>
              <w:t>Peter Morath</w:t>
            </w:r>
          </w:p>
        </w:tc>
        <w:tc>
          <w:tcPr>
            <w:tcW w:w="1693" w:type="dxa"/>
          </w:tcPr>
          <w:p w14:paraId="238D8D90" w14:textId="77777777" w:rsidR="009B3B1D" w:rsidRPr="009B3B1D" w:rsidRDefault="009B3B1D" w:rsidP="00CE699C">
            <w:pPr>
              <w:jc w:val="both"/>
              <w:rPr>
                <w:rFonts w:asciiTheme="minorHAnsi" w:hAnsiTheme="minorHAnsi"/>
              </w:rPr>
            </w:pPr>
          </w:p>
        </w:tc>
      </w:tr>
    </w:tbl>
    <w:p w14:paraId="4E9E858A" w14:textId="77777777" w:rsidR="00E25396" w:rsidRDefault="00E25396" w:rsidP="00E25396">
      <w:pPr>
        <w:pStyle w:val="NoSpacing"/>
      </w:pPr>
    </w:p>
    <w:p w14:paraId="0A2BFCED" w14:textId="01EF1572" w:rsidR="00AB1AEC" w:rsidRPr="00EC6D7F" w:rsidRDefault="00AB1AEC" w:rsidP="00EC6D7F">
      <w:pPr>
        <w:pStyle w:val="NoSpacing"/>
        <w:rPr>
          <w:b/>
          <w:sz w:val="24"/>
          <w:szCs w:val="24"/>
        </w:rPr>
      </w:pPr>
      <w:r w:rsidRPr="00EC6D7F">
        <w:rPr>
          <w:b/>
          <w:sz w:val="24"/>
          <w:szCs w:val="24"/>
        </w:rPr>
        <w:t>Related Documents</w:t>
      </w:r>
    </w:p>
    <w:p w14:paraId="4C166219" w14:textId="77777777" w:rsidR="00EC6D7F" w:rsidRPr="00EC6D7F" w:rsidRDefault="00EC6D7F" w:rsidP="00EC6D7F">
      <w:pPr>
        <w:pStyle w:val="NoSpacing"/>
        <w:rPr>
          <w:b/>
        </w:rPr>
      </w:pPr>
    </w:p>
    <w:tbl>
      <w:tblPr>
        <w:tblStyle w:val="TableGrid"/>
        <w:tblW w:w="9067" w:type="dxa"/>
        <w:tblLook w:val="04A0" w:firstRow="1" w:lastRow="0" w:firstColumn="1" w:lastColumn="0" w:noHBand="0" w:noVBand="1"/>
      </w:tblPr>
      <w:tblGrid>
        <w:gridCol w:w="6799"/>
        <w:gridCol w:w="2268"/>
      </w:tblGrid>
      <w:tr w:rsidR="000D3B07" w:rsidRPr="000D3B07" w14:paraId="2C6E4EBC" w14:textId="77777777" w:rsidTr="00EC2555">
        <w:tc>
          <w:tcPr>
            <w:tcW w:w="6799" w:type="dxa"/>
            <w:shd w:val="clear" w:color="auto" w:fill="FF0000"/>
          </w:tcPr>
          <w:p w14:paraId="06E36A27" w14:textId="0D7422E2" w:rsidR="00AB1AEC" w:rsidRPr="000D3B07" w:rsidRDefault="00AB1AEC" w:rsidP="001715DB">
            <w:pPr>
              <w:jc w:val="cente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Name</w:t>
            </w:r>
          </w:p>
        </w:tc>
        <w:tc>
          <w:tcPr>
            <w:tcW w:w="2268" w:type="dxa"/>
            <w:shd w:val="clear" w:color="auto" w:fill="FF0000"/>
          </w:tcPr>
          <w:p w14:paraId="5D6C040D" w14:textId="5D321EC1" w:rsidR="00AB1AEC" w:rsidRPr="000D3B07" w:rsidRDefault="00AB1AEC" w:rsidP="001715DB">
            <w:pPr>
              <w:jc w:val="cente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Owner</w:t>
            </w:r>
          </w:p>
        </w:tc>
      </w:tr>
      <w:tr w:rsidR="00AB1AEC" w14:paraId="125CF26A" w14:textId="77777777" w:rsidTr="00EC2555">
        <w:tc>
          <w:tcPr>
            <w:tcW w:w="6799" w:type="dxa"/>
          </w:tcPr>
          <w:p w14:paraId="1ECF5997" w14:textId="29998F90" w:rsidR="00AB1AEC" w:rsidRPr="00BD7CBD" w:rsidRDefault="00AB1AEC" w:rsidP="009D1E99">
            <w:pPr>
              <w:rPr>
                <w:rFonts w:asciiTheme="minorHAnsi" w:hAnsiTheme="minorHAnsi"/>
                <w:sz w:val="22"/>
                <w:szCs w:val="22"/>
              </w:rPr>
            </w:pPr>
          </w:p>
        </w:tc>
        <w:tc>
          <w:tcPr>
            <w:tcW w:w="2268" w:type="dxa"/>
          </w:tcPr>
          <w:p w14:paraId="13ACC0C9" w14:textId="3046DD03" w:rsidR="00AB1AEC" w:rsidRPr="00BD7CBD" w:rsidRDefault="00AB1AEC" w:rsidP="009D1E99">
            <w:pPr>
              <w:rPr>
                <w:rFonts w:asciiTheme="minorHAnsi" w:hAnsiTheme="minorHAnsi"/>
                <w:sz w:val="22"/>
                <w:szCs w:val="22"/>
              </w:rPr>
            </w:pPr>
          </w:p>
        </w:tc>
      </w:tr>
    </w:tbl>
    <w:p w14:paraId="7242D6A0" w14:textId="2C8083ED" w:rsidR="00477D63" w:rsidRDefault="00477D63" w:rsidP="00E25396">
      <w:pPr>
        <w:pStyle w:val="NoSpacing"/>
      </w:pPr>
    </w:p>
    <w:p w14:paraId="336CF95D" w14:textId="33E241C3" w:rsidR="00BD7CBD" w:rsidRDefault="009D54E4" w:rsidP="00EC6D7F">
      <w:pPr>
        <w:pStyle w:val="NoSpacing"/>
        <w:rPr>
          <w:b/>
          <w:sz w:val="24"/>
          <w:szCs w:val="24"/>
        </w:rPr>
      </w:pPr>
      <w:r w:rsidRPr="00EC6D7F">
        <w:rPr>
          <w:b/>
          <w:sz w:val="24"/>
          <w:szCs w:val="24"/>
        </w:rPr>
        <w:t>Document Approval</w:t>
      </w:r>
    </w:p>
    <w:p w14:paraId="0A019B60" w14:textId="77777777" w:rsidR="00EC6D7F" w:rsidRPr="00EC6D7F" w:rsidRDefault="00EC6D7F" w:rsidP="00EC6D7F">
      <w:pPr>
        <w:pStyle w:val="NoSpacing"/>
        <w:rPr>
          <w:b/>
          <w:sz w:val="24"/>
          <w:szCs w:val="24"/>
        </w:rPr>
      </w:pPr>
    </w:p>
    <w:tbl>
      <w:tblPr>
        <w:tblStyle w:val="TableGrid"/>
        <w:tblW w:w="9067" w:type="dxa"/>
        <w:tblLook w:val="04A0" w:firstRow="1" w:lastRow="0" w:firstColumn="1" w:lastColumn="0" w:noHBand="0" w:noVBand="1"/>
      </w:tblPr>
      <w:tblGrid>
        <w:gridCol w:w="1838"/>
        <w:gridCol w:w="5812"/>
        <w:gridCol w:w="1417"/>
      </w:tblGrid>
      <w:tr w:rsidR="000D3B07" w:rsidRPr="000D3B07" w14:paraId="508B9FA9" w14:textId="77777777" w:rsidTr="00EC6D7F">
        <w:tc>
          <w:tcPr>
            <w:tcW w:w="1838" w:type="dxa"/>
            <w:shd w:val="clear" w:color="auto" w:fill="FF0000"/>
          </w:tcPr>
          <w:p w14:paraId="54AA7824" w14:textId="6026DD48" w:rsidR="009D54E4" w:rsidRPr="000D3B07" w:rsidRDefault="009D54E4" w:rsidP="009D54E4">
            <w:pPr>
              <w:jc w:val="cente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Name</w:t>
            </w:r>
          </w:p>
        </w:tc>
        <w:tc>
          <w:tcPr>
            <w:tcW w:w="5812" w:type="dxa"/>
            <w:shd w:val="clear" w:color="auto" w:fill="FF0000"/>
          </w:tcPr>
          <w:p w14:paraId="2ACFF078" w14:textId="69D7147C" w:rsidR="009D54E4" w:rsidRPr="000D3B07" w:rsidRDefault="009D54E4" w:rsidP="00FE389D">
            <w:pPr>
              <w:jc w:val="cente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Position</w:t>
            </w:r>
          </w:p>
        </w:tc>
        <w:tc>
          <w:tcPr>
            <w:tcW w:w="1417" w:type="dxa"/>
            <w:shd w:val="clear" w:color="auto" w:fill="FF0000"/>
          </w:tcPr>
          <w:p w14:paraId="0648FAF2" w14:textId="3B45CE54" w:rsidR="009D54E4" w:rsidRPr="000D3B07" w:rsidRDefault="009D54E4" w:rsidP="00FE389D">
            <w:pPr>
              <w:jc w:val="cente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Approved</w:t>
            </w:r>
            <w:r w:rsidR="00EC6D7F">
              <w:rPr>
                <w:rFonts w:asciiTheme="minorHAnsi" w:hAnsiTheme="minorHAnsi"/>
                <w:b/>
                <w:color w:val="FFFFFF" w:themeColor="background1"/>
                <w:sz w:val="22"/>
                <w:szCs w:val="22"/>
              </w:rPr>
              <w:t xml:space="preserve"> On</w:t>
            </w:r>
          </w:p>
        </w:tc>
      </w:tr>
      <w:tr w:rsidR="00807972" w:rsidRPr="00EC6D7F" w14:paraId="3BBB1E52" w14:textId="77777777" w:rsidTr="00EC6D7F">
        <w:tc>
          <w:tcPr>
            <w:tcW w:w="1838" w:type="dxa"/>
          </w:tcPr>
          <w:p w14:paraId="058B5172" w14:textId="77777777" w:rsidR="00807972" w:rsidRPr="00EC6D7F" w:rsidRDefault="00807972" w:rsidP="00445A3C">
            <w:pPr>
              <w:rPr>
                <w:rFonts w:asciiTheme="minorHAnsi" w:hAnsiTheme="minorHAnsi"/>
              </w:rPr>
            </w:pPr>
            <w:r w:rsidRPr="00EC6D7F">
              <w:rPr>
                <w:rFonts w:asciiTheme="minorHAnsi" w:hAnsiTheme="minorHAnsi"/>
              </w:rPr>
              <w:t>Jo Turton</w:t>
            </w:r>
          </w:p>
        </w:tc>
        <w:tc>
          <w:tcPr>
            <w:tcW w:w="5812" w:type="dxa"/>
          </w:tcPr>
          <w:p w14:paraId="4CC02734" w14:textId="77777777" w:rsidR="00807972" w:rsidRPr="00EC6D7F" w:rsidRDefault="00807972" w:rsidP="00445A3C">
            <w:pPr>
              <w:rPr>
                <w:rFonts w:asciiTheme="minorHAnsi" w:hAnsiTheme="minorHAnsi"/>
              </w:rPr>
            </w:pPr>
            <w:r w:rsidRPr="00EC6D7F">
              <w:rPr>
                <w:rFonts w:asciiTheme="minorHAnsi" w:hAnsiTheme="minorHAnsi"/>
              </w:rPr>
              <w:t>Chief Executive and Chief Fire Officer</w:t>
            </w:r>
          </w:p>
        </w:tc>
        <w:tc>
          <w:tcPr>
            <w:tcW w:w="1417" w:type="dxa"/>
          </w:tcPr>
          <w:p w14:paraId="02ACD6DA" w14:textId="77777777" w:rsidR="00807972" w:rsidRPr="00EC6D7F" w:rsidRDefault="00807972" w:rsidP="00445A3C">
            <w:pPr>
              <w:rPr>
                <w:rFonts w:asciiTheme="minorHAnsi" w:hAnsiTheme="minorHAnsi"/>
              </w:rPr>
            </w:pPr>
          </w:p>
        </w:tc>
      </w:tr>
      <w:tr w:rsidR="00807972" w:rsidRPr="00EC6D7F" w14:paraId="086369AD" w14:textId="77777777" w:rsidTr="00EC6D7F">
        <w:tc>
          <w:tcPr>
            <w:tcW w:w="1838" w:type="dxa"/>
          </w:tcPr>
          <w:p w14:paraId="14870151" w14:textId="77777777" w:rsidR="00807972" w:rsidRPr="00EC6D7F" w:rsidRDefault="00807972" w:rsidP="00445A3C">
            <w:pPr>
              <w:rPr>
                <w:rFonts w:asciiTheme="minorHAnsi" w:hAnsiTheme="minorHAnsi"/>
              </w:rPr>
            </w:pPr>
            <w:r w:rsidRPr="00EC6D7F">
              <w:rPr>
                <w:rFonts w:asciiTheme="minorHAnsi" w:hAnsiTheme="minorHAnsi"/>
              </w:rPr>
              <w:t>Dave Bill</w:t>
            </w:r>
          </w:p>
        </w:tc>
        <w:tc>
          <w:tcPr>
            <w:tcW w:w="5812" w:type="dxa"/>
          </w:tcPr>
          <w:p w14:paraId="1A4A3C85" w14:textId="77777777" w:rsidR="00807972" w:rsidRPr="00EC6D7F" w:rsidRDefault="00807972" w:rsidP="00445A3C">
            <w:pPr>
              <w:rPr>
                <w:rFonts w:asciiTheme="minorHAnsi" w:hAnsiTheme="minorHAnsi"/>
              </w:rPr>
            </w:pPr>
            <w:r w:rsidRPr="00EC6D7F">
              <w:rPr>
                <w:rFonts w:asciiTheme="minorHAnsi" w:hAnsiTheme="minorHAnsi"/>
              </w:rPr>
              <w:t>Director of Prevention, Protection &amp; Response</w:t>
            </w:r>
          </w:p>
        </w:tc>
        <w:tc>
          <w:tcPr>
            <w:tcW w:w="1417" w:type="dxa"/>
          </w:tcPr>
          <w:p w14:paraId="2D0087B8" w14:textId="29DFFC16" w:rsidR="00807972" w:rsidRPr="00EC6D7F" w:rsidRDefault="00807972" w:rsidP="00445A3C">
            <w:pPr>
              <w:rPr>
                <w:rFonts w:asciiTheme="minorHAnsi" w:hAnsiTheme="minorHAnsi"/>
              </w:rPr>
            </w:pPr>
          </w:p>
        </w:tc>
      </w:tr>
      <w:tr w:rsidR="00807972" w:rsidRPr="00EC6D7F" w14:paraId="5C931B91" w14:textId="77777777" w:rsidTr="00EC6D7F">
        <w:tc>
          <w:tcPr>
            <w:tcW w:w="1838" w:type="dxa"/>
          </w:tcPr>
          <w:p w14:paraId="68D9BE6E" w14:textId="77777777" w:rsidR="00807972" w:rsidRPr="00EC6D7F" w:rsidRDefault="00807972" w:rsidP="00445A3C">
            <w:pPr>
              <w:rPr>
                <w:rFonts w:asciiTheme="minorHAnsi" w:hAnsiTheme="minorHAnsi"/>
              </w:rPr>
            </w:pPr>
            <w:r w:rsidRPr="00EC6D7F">
              <w:rPr>
                <w:rFonts w:asciiTheme="minorHAnsi" w:hAnsiTheme="minorHAnsi"/>
              </w:rPr>
              <w:t>Matt Furber</w:t>
            </w:r>
          </w:p>
        </w:tc>
        <w:tc>
          <w:tcPr>
            <w:tcW w:w="5812" w:type="dxa"/>
          </w:tcPr>
          <w:p w14:paraId="046B5EBA" w14:textId="77777777" w:rsidR="00807972" w:rsidRPr="00EC6D7F" w:rsidRDefault="00807972" w:rsidP="00445A3C">
            <w:pPr>
              <w:rPr>
                <w:rFonts w:asciiTheme="minorHAnsi" w:hAnsiTheme="minorHAnsi"/>
              </w:rPr>
            </w:pPr>
            <w:r w:rsidRPr="00EC6D7F">
              <w:rPr>
                <w:rFonts w:asciiTheme="minorHAnsi" w:hAnsiTheme="minorHAnsi"/>
              </w:rPr>
              <w:t>Assistant Chief Fire Officer, IRMP and Service Improvement</w:t>
            </w:r>
          </w:p>
        </w:tc>
        <w:tc>
          <w:tcPr>
            <w:tcW w:w="1417" w:type="dxa"/>
          </w:tcPr>
          <w:p w14:paraId="261DB41A" w14:textId="10D6931D" w:rsidR="00807972" w:rsidRPr="00EC6D7F" w:rsidRDefault="00807972" w:rsidP="00445A3C">
            <w:pPr>
              <w:rPr>
                <w:rFonts w:asciiTheme="minorHAnsi" w:hAnsiTheme="minorHAnsi"/>
              </w:rPr>
            </w:pPr>
          </w:p>
        </w:tc>
      </w:tr>
      <w:tr w:rsidR="00807972" w:rsidRPr="00EC6D7F" w14:paraId="228FD54B" w14:textId="77777777" w:rsidTr="00EC6D7F">
        <w:tc>
          <w:tcPr>
            <w:tcW w:w="1838" w:type="dxa"/>
          </w:tcPr>
          <w:p w14:paraId="12956684" w14:textId="77777777" w:rsidR="00807972" w:rsidRPr="00EC6D7F" w:rsidRDefault="00807972" w:rsidP="00445A3C">
            <w:pPr>
              <w:rPr>
                <w:rFonts w:asciiTheme="minorHAnsi" w:hAnsiTheme="minorHAnsi"/>
              </w:rPr>
            </w:pPr>
            <w:r w:rsidRPr="00EC6D7F">
              <w:rPr>
                <w:rFonts w:asciiTheme="minorHAnsi" w:hAnsiTheme="minorHAnsi"/>
              </w:rPr>
              <w:t>Danny Bruin</w:t>
            </w:r>
          </w:p>
        </w:tc>
        <w:tc>
          <w:tcPr>
            <w:tcW w:w="5812" w:type="dxa"/>
          </w:tcPr>
          <w:p w14:paraId="088A8B75" w14:textId="77777777" w:rsidR="00807972" w:rsidRPr="00EC6D7F" w:rsidRDefault="00807972" w:rsidP="00445A3C">
            <w:pPr>
              <w:rPr>
                <w:rFonts w:asciiTheme="minorHAnsi" w:hAnsiTheme="minorHAnsi"/>
              </w:rPr>
            </w:pPr>
            <w:r w:rsidRPr="00EC6D7F">
              <w:rPr>
                <w:rFonts w:asciiTheme="minorHAnsi" w:hAnsiTheme="minorHAnsi"/>
              </w:rPr>
              <w:t>Assistant Director, Head of Health &amp; Safety &amp; Ops Assurance</w:t>
            </w:r>
          </w:p>
        </w:tc>
        <w:tc>
          <w:tcPr>
            <w:tcW w:w="1417" w:type="dxa"/>
          </w:tcPr>
          <w:p w14:paraId="4614AF24" w14:textId="77777777" w:rsidR="00807972" w:rsidRPr="00EC6D7F" w:rsidRDefault="00807972" w:rsidP="00445A3C">
            <w:pPr>
              <w:rPr>
                <w:rFonts w:asciiTheme="minorHAnsi" w:hAnsiTheme="minorHAnsi"/>
              </w:rPr>
            </w:pPr>
          </w:p>
        </w:tc>
      </w:tr>
      <w:tr w:rsidR="00807972" w:rsidRPr="00EC6D7F" w14:paraId="1A5A2F2A" w14:textId="77777777" w:rsidTr="00EC6D7F">
        <w:tc>
          <w:tcPr>
            <w:tcW w:w="1838" w:type="dxa"/>
          </w:tcPr>
          <w:p w14:paraId="02F6503A" w14:textId="77777777" w:rsidR="00807972" w:rsidRPr="00EC6D7F" w:rsidRDefault="00807972" w:rsidP="00445A3C">
            <w:pPr>
              <w:rPr>
                <w:rFonts w:asciiTheme="minorHAnsi" w:hAnsiTheme="minorHAnsi"/>
              </w:rPr>
            </w:pPr>
            <w:r w:rsidRPr="00EC6D7F">
              <w:rPr>
                <w:rFonts w:asciiTheme="minorHAnsi" w:hAnsiTheme="minorHAnsi"/>
              </w:rPr>
              <w:t>Emily Cheyne</w:t>
            </w:r>
          </w:p>
        </w:tc>
        <w:tc>
          <w:tcPr>
            <w:tcW w:w="5812" w:type="dxa"/>
          </w:tcPr>
          <w:p w14:paraId="3E707A77" w14:textId="77777777" w:rsidR="00807972" w:rsidRPr="00EC6D7F" w:rsidRDefault="00807972" w:rsidP="00445A3C">
            <w:pPr>
              <w:rPr>
                <w:rFonts w:asciiTheme="minorHAnsi" w:hAnsiTheme="minorHAnsi"/>
              </w:rPr>
            </w:pPr>
            <w:r w:rsidRPr="00EC6D7F">
              <w:rPr>
                <w:rFonts w:asciiTheme="minorHAnsi" w:hAnsiTheme="minorHAnsi"/>
              </w:rPr>
              <w:t>Head of Corporate Communications</w:t>
            </w:r>
          </w:p>
        </w:tc>
        <w:tc>
          <w:tcPr>
            <w:tcW w:w="1417" w:type="dxa"/>
          </w:tcPr>
          <w:p w14:paraId="7C170650" w14:textId="77777777" w:rsidR="00807972" w:rsidRPr="00EC6D7F" w:rsidRDefault="00807972" w:rsidP="00445A3C">
            <w:pPr>
              <w:rPr>
                <w:rFonts w:asciiTheme="minorHAnsi" w:hAnsiTheme="minorHAnsi"/>
              </w:rPr>
            </w:pPr>
          </w:p>
        </w:tc>
      </w:tr>
      <w:tr w:rsidR="00807972" w:rsidRPr="00EC6D7F" w14:paraId="31D20C9B" w14:textId="77777777" w:rsidTr="00EC6D7F">
        <w:tc>
          <w:tcPr>
            <w:tcW w:w="1838" w:type="dxa"/>
          </w:tcPr>
          <w:p w14:paraId="10D01ABA" w14:textId="77777777" w:rsidR="00807972" w:rsidRPr="00EC6D7F" w:rsidRDefault="00807972" w:rsidP="00445A3C">
            <w:pPr>
              <w:rPr>
                <w:rFonts w:asciiTheme="minorHAnsi" w:hAnsiTheme="minorHAnsi"/>
              </w:rPr>
            </w:pPr>
            <w:r w:rsidRPr="00EC6D7F">
              <w:rPr>
                <w:rFonts w:asciiTheme="minorHAnsi" w:hAnsiTheme="minorHAnsi"/>
              </w:rPr>
              <w:t>Colette Black</w:t>
            </w:r>
          </w:p>
        </w:tc>
        <w:tc>
          <w:tcPr>
            <w:tcW w:w="5812" w:type="dxa"/>
          </w:tcPr>
          <w:p w14:paraId="1A9E1B74" w14:textId="77777777" w:rsidR="00807972" w:rsidRPr="00EC6D7F" w:rsidRDefault="00807972" w:rsidP="00445A3C">
            <w:pPr>
              <w:rPr>
                <w:rFonts w:asciiTheme="minorHAnsi" w:hAnsiTheme="minorHAnsi"/>
              </w:rPr>
            </w:pPr>
            <w:r w:rsidRPr="00EC6D7F">
              <w:rPr>
                <w:rFonts w:asciiTheme="minorHAnsi" w:hAnsiTheme="minorHAnsi"/>
              </w:rPr>
              <w:t>Assistant Director of HR</w:t>
            </w:r>
          </w:p>
        </w:tc>
        <w:tc>
          <w:tcPr>
            <w:tcW w:w="1417" w:type="dxa"/>
          </w:tcPr>
          <w:p w14:paraId="3E8FE85D" w14:textId="77777777" w:rsidR="00807972" w:rsidRPr="00EC6D7F" w:rsidRDefault="00807972" w:rsidP="00445A3C">
            <w:pPr>
              <w:rPr>
                <w:rFonts w:asciiTheme="minorHAnsi" w:hAnsiTheme="minorHAnsi"/>
              </w:rPr>
            </w:pPr>
          </w:p>
        </w:tc>
      </w:tr>
      <w:tr w:rsidR="00807972" w:rsidRPr="00EC6D7F" w14:paraId="19D3B4AD" w14:textId="77777777" w:rsidTr="00EC6D7F">
        <w:tc>
          <w:tcPr>
            <w:tcW w:w="1838" w:type="dxa"/>
          </w:tcPr>
          <w:p w14:paraId="623A6176" w14:textId="77777777" w:rsidR="00807972" w:rsidRPr="00EC6D7F" w:rsidRDefault="00807972" w:rsidP="00445A3C">
            <w:pPr>
              <w:rPr>
                <w:rFonts w:asciiTheme="minorHAnsi" w:hAnsiTheme="minorHAnsi"/>
              </w:rPr>
            </w:pPr>
            <w:r w:rsidRPr="00EC6D7F">
              <w:rPr>
                <w:rFonts w:asciiTheme="minorHAnsi" w:hAnsiTheme="minorHAnsi"/>
              </w:rPr>
              <w:t>Moira Bruin</w:t>
            </w:r>
          </w:p>
        </w:tc>
        <w:tc>
          <w:tcPr>
            <w:tcW w:w="5812" w:type="dxa"/>
          </w:tcPr>
          <w:p w14:paraId="74B9CCD2" w14:textId="77777777" w:rsidR="00807972" w:rsidRPr="00EC6D7F" w:rsidRDefault="00807972" w:rsidP="00445A3C">
            <w:pPr>
              <w:rPr>
                <w:rFonts w:asciiTheme="minorHAnsi" w:hAnsiTheme="minorHAnsi"/>
              </w:rPr>
            </w:pPr>
            <w:r w:rsidRPr="00EC6D7F">
              <w:rPr>
                <w:rFonts w:asciiTheme="minorHAnsi" w:hAnsiTheme="minorHAnsi"/>
              </w:rPr>
              <w:t>Assistant Director, Prevention, Protection &amp; Response - Policy</w:t>
            </w:r>
          </w:p>
        </w:tc>
        <w:tc>
          <w:tcPr>
            <w:tcW w:w="1417" w:type="dxa"/>
          </w:tcPr>
          <w:p w14:paraId="16F39625" w14:textId="12D67F14" w:rsidR="00807972" w:rsidRPr="00EC6D7F" w:rsidRDefault="00807972" w:rsidP="00445A3C">
            <w:pPr>
              <w:rPr>
                <w:rFonts w:asciiTheme="minorHAnsi" w:hAnsiTheme="minorHAnsi"/>
              </w:rPr>
            </w:pPr>
          </w:p>
        </w:tc>
      </w:tr>
      <w:tr w:rsidR="00807972" w:rsidRPr="00EC6D7F" w14:paraId="28F78CF7" w14:textId="77777777" w:rsidTr="00EC6D7F">
        <w:tc>
          <w:tcPr>
            <w:tcW w:w="1838" w:type="dxa"/>
          </w:tcPr>
          <w:p w14:paraId="69C72344" w14:textId="77777777" w:rsidR="00807972" w:rsidRPr="00EC6D7F" w:rsidRDefault="00807972" w:rsidP="00445A3C">
            <w:pPr>
              <w:rPr>
                <w:rFonts w:asciiTheme="minorHAnsi" w:hAnsiTheme="minorHAnsi"/>
              </w:rPr>
            </w:pPr>
            <w:r w:rsidRPr="00EC6D7F">
              <w:rPr>
                <w:rFonts w:asciiTheme="minorHAnsi" w:hAnsiTheme="minorHAnsi"/>
              </w:rPr>
              <w:t>Neil Fenwick</w:t>
            </w:r>
          </w:p>
        </w:tc>
        <w:tc>
          <w:tcPr>
            <w:tcW w:w="5812" w:type="dxa"/>
          </w:tcPr>
          <w:p w14:paraId="17A0E06A" w14:textId="0576648E" w:rsidR="00807972" w:rsidRPr="00EC6D7F" w:rsidRDefault="00807972" w:rsidP="00EC6D7F">
            <w:pPr>
              <w:rPr>
                <w:rFonts w:asciiTheme="minorHAnsi" w:hAnsiTheme="minorHAnsi"/>
              </w:rPr>
            </w:pPr>
            <w:r w:rsidRPr="00EC6D7F">
              <w:rPr>
                <w:rFonts w:asciiTheme="minorHAnsi" w:hAnsiTheme="minorHAnsi"/>
              </w:rPr>
              <w:t>Temp</w:t>
            </w:r>
            <w:r w:rsidR="00EC6D7F">
              <w:rPr>
                <w:rFonts w:asciiTheme="minorHAnsi" w:hAnsiTheme="minorHAnsi"/>
              </w:rPr>
              <w:t>.</w:t>
            </w:r>
            <w:r w:rsidRPr="00EC6D7F">
              <w:rPr>
                <w:rFonts w:asciiTheme="minorHAnsi" w:hAnsiTheme="minorHAnsi"/>
              </w:rPr>
              <w:t xml:space="preserve"> Area Manager, Prevention, Protection &amp; Response – Delivery</w:t>
            </w:r>
          </w:p>
        </w:tc>
        <w:tc>
          <w:tcPr>
            <w:tcW w:w="1417" w:type="dxa"/>
          </w:tcPr>
          <w:p w14:paraId="11CE0DE4" w14:textId="49D5D6F1" w:rsidR="00807972" w:rsidRPr="00EC6D7F" w:rsidRDefault="00807972" w:rsidP="00445A3C">
            <w:pPr>
              <w:rPr>
                <w:rFonts w:asciiTheme="minorHAnsi" w:hAnsiTheme="minorHAnsi"/>
              </w:rPr>
            </w:pPr>
          </w:p>
        </w:tc>
      </w:tr>
      <w:tr w:rsidR="00807972" w:rsidRPr="00EC6D7F" w14:paraId="7E631E74" w14:textId="77777777" w:rsidTr="00EC6D7F">
        <w:tc>
          <w:tcPr>
            <w:tcW w:w="1838" w:type="dxa"/>
          </w:tcPr>
          <w:p w14:paraId="3BE7AEDB" w14:textId="77777777" w:rsidR="00807972" w:rsidRPr="00EC6D7F" w:rsidRDefault="00807972" w:rsidP="00445A3C">
            <w:pPr>
              <w:rPr>
                <w:rFonts w:asciiTheme="minorHAnsi" w:hAnsiTheme="minorHAnsi"/>
              </w:rPr>
            </w:pPr>
            <w:r w:rsidRPr="00EC6D7F">
              <w:rPr>
                <w:rFonts w:asciiTheme="minorHAnsi" w:hAnsiTheme="minorHAnsi"/>
              </w:rPr>
              <w:t>Glenn McGuinness</w:t>
            </w:r>
          </w:p>
        </w:tc>
        <w:tc>
          <w:tcPr>
            <w:tcW w:w="5812" w:type="dxa"/>
          </w:tcPr>
          <w:p w14:paraId="422BDA34" w14:textId="53AC60AC" w:rsidR="00807972" w:rsidRPr="00EC6D7F" w:rsidRDefault="00EC6D7F" w:rsidP="00445A3C">
            <w:pPr>
              <w:rPr>
                <w:rFonts w:asciiTheme="minorHAnsi" w:hAnsiTheme="minorHAnsi"/>
              </w:rPr>
            </w:pPr>
            <w:r>
              <w:rPr>
                <w:rFonts w:asciiTheme="minorHAnsi" w:hAnsiTheme="minorHAnsi"/>
              </w:rPr>
              <w:t>Temp.</w:t>
            </w:r>
            <w:r w:rsidR="00807972" w:rsidRPr="00EC6D7F">
              <w:rPr>
                <w:rFonts w:asciiTheme="minorHAnsi" w:hAnsiTheme="minorHAnsi"/>
              </w:rPr>
              <w:t xml:space="preserve"> Section 151 Officer</w:t>
            </w:r>
          </w:p>
        </w:tc>
        <w:tc>
          <w:tcPr>
            <w:tcW w:w="1417" w:type="dxa"/>
          </w:tcPr>
          <w:p w14:paraId="275EE425" w14:textId="77777777" w:rsidR="00807972" w:rsidRPr="00EC6D7F" w:rsidRDefault="00807972" w:rsidP="00445A3C">
            <w:pPr>
              <w:rPr>
                <w:rFonts w:asciiTheme="minorHAnsi" w:hAnsiTheme="minorHAnsi"/>
              </w:rPr>
            </w:pPr>
          </w:p>
        </w:tc>
      </w:tr>
      <w:tr w:rsidR="00807972" w:rsidRPr="00EC6D7F" w14:paraId="0374DC62" w14:textId="77777777" w:rsidTr="00EC6D7F">
        <w:tc>
          <w:tcPr>
            <w:tcW w:w="1838" w:type="dxa"/>
          </w:tcPr>
          <w:p w14:paraId="3B943F21" w14:textId="77777777" w:rsidR="00807972" w:rsidRPr="00EC6D7F" w:rsidRDefault="00807972" w:rsidP="00445A3C">
            <w:pPr>
              <w:rPr>
                <w:rFonts w:asciiTheme="minorHAnsi" w:hAnsiTheme="minorHAnsi"/>
              </w:rPr>
            </w:pPr>
            <w:r w:rsidRPr="00EC6D7F">
              <w:rPr>
                <w:rFonts w:asciiTheme="minorHAnsi" w:hAnsiTheme="minorHAnsi"/>
              </w:rPr>
              <w:t>Ben Pilkington</w:t>
            </w:r>
          </w:p>
        </w:tc>
        <w:tc>
          <w:tcPr>
            <w:tcW w:w="5812" w:type="dxa"/>
          </w:tcPr>
          <w:p w14:paraId="4146998C" w14:textId="77777777" w:rsidR="00807972" w:rsidRPr="00EC6D7F" w:rsidRDefault="00807972" w:rsidP="00445A3C">
            <w:pPr>
              <w:rPr>
                <w:rFonts w:asciiTheme="minorHAnsi" w:hAnsiTheme="minorHAnsi"/>
              </w:rPr>
            </w:pPr>
            <w:r w:rsidRPr="00EC6D7F">
              <w:rPr>
                <w:rFonts w:asciiTheme="minorHAnsi" w:hAnsiTheme="minorHAnsi"/>
              </w:rPr>
              <w:t>Assistant Director, 2020 Programme</w:t>
            </w:r>
          </w:p>
        </w:tc>
        <w:tc>
          <w:tcPr>
            <w:tcW w:w="1417" w:type="dxa"/>
          </w:tcPr>
          <w:p w14:paraId="4C7D716A" w14:textId="2BA3A9A1" w:rsidR="00807972" w:rsidRPr="00EC6D7F" w:rsidRDefault="00807972" w:rsidP="00445A3C">
            <w:pPr>
              <w:rPr>
                <w:rFonts w:asciiTheme="minorHAnsi" w:hAnsiTheme="minorHAnsi"/>
              </w:rPr>
            </w:pPr>
          </w:p>
        </w:tc>
      </w:tr>
      <w:tr w:rsidR="00807972" w:rsidRPr="00EC6D7F" w14:paraId="32E52F16" w14:textId="77777777" w:rsidTr="00EC6D7F">
        <w:tc>
          <w:tcPr>
            <w:tcW w:w="1838" w:type="dxa"/>
          </w:tcPr>
          <w:p w14:paraId="35374C28" w14:textId="77777777" w:rsidR="00807972" w:rsidRPr="00EC6D7F" w:rsidRDefault="00807972" w:rsidP="00445A3C">
            <w:pPr>
              <w:rPr>
                <w:rFonts w:asciiTheme="minorHAnsi" w:hAnsiTheme="minorHAnsi"/>
              </w:rPr>
            </w:pPr>
            <w:r w:rsidRPr="00EC6D7F">
              <w:rPr>
                <w:rFonts w:asciiTheme="minorHAnsi" w:hAnsiTheme="minorHAnsi"/>
              </w:rPr>
              <w:t>Tracy King</w:t>
            </w:r>
          </w:p>
        </w:tc>
        <w:tc>
          <w:tcPr>
            <w:tcW w:w="5812" w:type="dxa"/>
          </w:tcPr>
          <w:p w14:paraId="257168FC" w14:textId="77777777" w:rsidR="00807972" w:rsidRPr="00EC6D7F" w:rsidRDefault="00807972" w:rsidP="00445A3C">
            <w:pPr>
              <w:rPr>
                <w:rFonts w:asciiTheme="minorHAnsi" w:hAnsiTheme="minorHAnsi"/>
              </w:rPr>
            </w:pPr>
            <w:r w:rsidRPr="00EC6D7F">
              <w:rPr>
                <w:rFonts w:asciiTheme="minorHAnsi" w:hAnsiTheme="minorHAnsi"/>
              </w:rPr>
              <w:t>Assistant Director, Performance &amp; Data</w:t>
            </w:r>
          </w:p>
        </w:tc>
        <w:tc>
          <w:tcPr>
            <w:tcW w:w="1417" w:type="dxa"/>
          </w:tcPr>
          <w:p w14:paraId="0AD545D8" w14:textId="77777777" w:rsidR="00807972" w:rsidRPr="00EC6D7F" w:rsidRDefault="00807972" w:rsidP="00445A3C">
            <w:pPr>
              <w:rPr>
                <w:rFonts w:asciiTheme="minorHAnsi" w:hAnsiTheme="minorHAnsi"/>
              </w:rPr>
            </w:pPr>
          </w:p>
        </w:tc>
      </w:tr>
      <w:tr w:rsidR="00807972" w:rsidRPr="00EC6D7F" w14:paraId="177D7E0C" w14:textId="77777777" w:rsidTr="00EC6D7F">
        <w:tc>
          <w:tcPr>
            <w:tcW w:w="1838" w:type="dxa"/>
          </w:tcPr>
          <w:p w14:paraId="1D4C1AA3" w14:textId="77777777" w:rsidR="00807972" w:rsidRPr="00EC6D7F" w:rsidRDefault="00807972" w:rsidP="00445A3C">
            <w:pPr>
              <w:rPr>
                <w:rFonts w:asciiTheme="minorHAnsi" w:hAnsiTheme="minorHAnsi"/>
              </w:rPr>
            </w:pPr>
            <w:r w:rsidRPr="00EC6D7F">
              <w:rPr>
                <w:rFonts w:asciiTheme="minorHAnsi" w:hAnsiTheme="minorHAnsi"/>
              </w:rPr>
              <w:t>Martin Chester</w:t>
            </w:r>
          </w:p>
        </w:tc>
        <w:tc>
          <w:tcPr>
            <w:tcW w:w="5812" w:type="dxa"/>
          </w:tcPr>
          <w:p w14:paraId="0BA6A92C" w14:textId="77777777" w:rsidR="00807972" w:rsidRPr="00EC6D7F" w:rsidRDefault="00807972" w:rsidP="00445A3C">
            <w:pPr>
              <w:rPr>
                <w:rFonts w:asciiTheme="minorHAnsi" w:hAnsiTheme="minorHAnsi"/>
              </w:rPr>
            </w:pPr>
            <w:r w:rsidRPr="00EC6D7F">
              <w:rPr>
                <w:rFonts w:asciiTheme="minorHAnsi" w:hAnsiTheme="minorHAnsi"/>
              </w:rPr>
              <w:t>ICT Service Delivery Manager</w:t>
            </w:r>
          </w:p>
        </w:tc>
        <w:tc>
          <w:tcPr>
            <w:tcW w:w="1417" w:type="dxa"/>
          </w:tcPr>
          <w:p w14:paraId="13B4BB2E" w14:textId="40AF434E" w:rsidR="00807972" w:rsidRPr="00EC6D7F" w:rsidRDefault="00807972" w:rsidP="00445A3C">
            <w:pPr>
              <w:rPr>
                <w:rFonts w:asciiTheme="minorHAnsi" w:hAnsiTheme="minorHAnsi"/>
              </w:rPr>
            </w:pPr>
          </w:p>
        </w:tc>
      </w:tr>
    </w:tbl>
    <w:p w14:paraId="53C248FE" w14:textId="776B6B41" w:rsidR="006B4B2A" w:rsidRDefault="006B4B2A" w:rsidP="00EC6D7F">
      <w:pPr>
        <w:pStyle w:val="NoSpacing"/>
      </w:pPr>
    </w:p>
    <w:p w14:paraId="331787D1" w14:textId="13DF878E" w:rsidR="00EC6D7F" w:rsidRDefault="00EC6D7F" w:rsidP="00EC6D7F">
      <w:pPr>
        <w:pStyle w:val="NoSpacing"/>
        <w:rPr>
          <w:b/>
          <w:sz w:val="24"/>
          <w:szCs w:val="24"/>
        </w:rPr>
      </w:pPr>
      <w:r w:rsidRPr="00EC6D7F">
        <w:rPr>
          <w:b/>
          <w:sz w:val="24"/>
          <w:szCs w:val="24"/>
        </w:rPr>
        <w:t xml:space="preserve">Document </w:t>
      </w:r>
      <w:r>
        <w:rPr>
          <w:b/>
          <w:sz w:val="24"/>
          <w:szCs w:val="24"/>
        </w:rPr>
        <w:t>Distribution</w:t>
      </w:r>
    </w:p>
    <w:p w14:paraId="133A342F" w14:textId="77777777" w:rsidR="00EC6D7F" w:rsidRPr="00EC6D7F" w:rsidRDefault="00EC6D7F" w:rsidP="00EC6D7F">
      <w:pPr>
        <w:pStyle w:val="NoSpacing"/>
        <w:rPr>
          <w:b/>
          <w:sz w:val="24"/>
          <w:szCs w:val="24"/>
        </w:rPr>
      </w:pPr>
    </w:p>
    <w:tbl>
      <w:tblPr>
        <w:tblStyle w:val="TableGrid"/>
        <w:tblW w:w="9067" w:type="dxa"/>
        <w:tblLook w:val="04A0" w:firstRow="1" w:lastRow="0" w:firstColumn="1" w:lastColumn="0" w:noHBand="0" w:noVBand="1"/>
      </w:tblPr>
      <w:tblGrid>
        <w:gridCol w:w="1838"/>
        <w:gridCol w:w="7229"/>
      </w:tblGrid>
      <w:tr w:rsidR="00EC6D7F" w:rsidRPr="000D3B07" w14:paraId="2708B4BB" w14:textId="77777777" w:rsidTr="00EC6D7F">
        <w:tc>
          <w:tcPr>
            <w:tcW w:w="1838" w:type="dxa"/>
            <w:shd w:val="clear" w:color="auto" w:fill="FF0000"/>
          </w:tcPr>
          <w:p w14:paraId="28C23977" w14:textId="77777777" w:rsidR="00EC6D7F" w:rsidRPr="000D3B07" w:rsidRDefault="00EC6D7F" w:rsidP="001E4267">
            <w:pPr>
              <w:jc w:val="cente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Name</w:t>
            </w:r>
          </w:p>
        </w:tc>
        <w:tc>
          <w:tcPr>
            <w:tcW w:w="7229" w:type="dxa"/>
            <w:shd w:val="clear" w:color="auto" w:fill="FF0000"/>
          </w:tcPr>
          <w:p w14:paraId="3E234A38" w14:textId="77777777" w:rsidR="00EC6D7F" w:rsidRPr="000D3B07" w:rsidRDefault="00EC6D7F" w:rsidP="001E4267">
            <w:pPr>
              <w:jc w:val="center"/>
              <w:rPr>
                <w:rFonts w:asciiTheme="minorHAnsi" w:hAnsiTheme="minorHAnsi"/>
                <w:b/>
                <w:color w:val="FFFFFF" w:themeColor="background1"/>
                <w:sz w:val="22"/>
                <w:szCs w:val="22"/>
              </w:rPr>
            </w:pPr>
            <w:r w:rsidRPr="000D3B07">
              <w:rPr>
                <w:rFonts w:asciiTheme="minorHAnsi" w:hAnsiTheme="minorHAnsi"/>
                <w:b/>
                <w:color w:val="FFFFFF" w:themeColor="background1"/>
                <w:sz w:val="22"/>
                <w:szCs w:val="22"/>
              </w:rPr>
              <w:t>Position</w:t>
            </w:r>
          </w:p>
        </w:tc>
      </w:tr>
      <w:tr w:rsidR="00EC6D7F" w:rsidRPr="00EC6D7F" w14:paraId="74F978B6" w14:textId="77777777" w:rsidTr="00EC6D7F">
        <w:tc>
          <w:tcPr>
            <w:tcW w:w="1838" w:type="dxa"/>
          </w:tcPr>
          <w:p w14:paraId="140A2A00" w14:textId="6E337BDF" w:rsidR="00EC6D7F" w:rsidRPr="00EC6D7F" w:rsidRDefault="00EC6D7F" w:rsidP="001E4267">
            <w:pPr>
              <w:rPr>
                <w:rFonts w:asciiTheme="minorHAnsi" w:hAnsiTheme="minorHAnsi"/>
              </w:rPr>
            </w:pPr>
          </w:p>
        </w:tc>
        <w:tc>
          <w:tcPr>
            <w:tcW w:w="7229" w:type="dxa"/>
          </w:tcPr>
          <w:p w14:paraId="64FA0116" w14:textId="3A03E0BF" w:rsidR="00EC6D7F" w:rsidRPr="00EC6D7F" w:rsidRDefault="00EC6D7F" w:rsidP="001E4267">
            <w:pPr>
              <w:rPr>
                <w:rFonts w:asciiTheme="minorHAnsi" w:hAnsiTheme="minorHAnsi"/>
              </w:rPr>
            </w:pPr>
          </w:p>
        </w:tc>
      </w:tr>
      <w:tr w:rsidR="00EC6D7F" w:rsidRPr="00EC6D7F" w14:paraId="1D3EE59A" w14:textId="77777777" w:rsidTr="00EC6D7F">
        <w:tc>
          <w:tcPr>
            <w:tcW w:w="1838" w:type="dxa"/>
          </w:tcPr>
          <w:p w14:paraId="777355BD" w14:textId="48240456" w:rsidR="00EC6D7F" w:rsidRPr="00EC6D7F" w:rsidRDefault="00EC6D7F" w:rsidP="001E4267">
            <w:pPr>
              <w:rPr>
                <w:rFonts w:asciiTheme="minorHAnsi" w:hAnsiTheme="minorHAnsi"/>
              </w:rPr>
            </w:pPr>
          </w:p>
        </w:tc>
        <w:tc>
          <w:tcPr>
            <w:tcW w:w="7229" w:type="dxa"/>
          </w:tcPr>
          <w:p w14:paraId="1EAD2122" w14:textId="77777777" w:rsidR="00EC6D7F" w:rsidRPr="00EC6D7F" w:rsidRDefault="00EC6D7F" w:rsidP="001E4267">
            <w:pPr>
              <w:rPr>
                <w:rFonts w:asciiTheme="minorHAnsi" w:hAnsiTheme="minorHAnsi"/>
              </w:rPr>
            </w:pPr>
          </w:p>
        </w:tc>
      </w:tr>
      <w:tr w:rsidR="00EC6D7F" w:rsidRPr="00EC6D7F" w14:paraId="152C0187" w14:textId="77777777" w:rsidTr="00EC6D7F">
        <w:tc>
          <w:tcPr>
            <w:tcW w:w="1838" w:type="dxa"/>
          </w:tcPr>
          <w:p w14:paraId="7E49D8DA" w14:textId="28C7277E" w:rsidR="00EC6D7F" w:rsidRPr="00EC6D7F" w:rsidRDefault="00EC6D7F" w:rsidP="001E4267">
            <w:pPr>
              <w:rPr>
                <w:rFonts w:asciiTheme="minorHAnsi" w:hAnsiTheme="minorHAnsi"/>
              </w:rPr>
            </w:pPr>
          </w:p>
        </w:tc>
        <w:tc>
          <w:tcPr>
            <w:tcW w:w="7229" w:type="dxa"/>
          </w:tcPr>
          <w:p w14:paraId="72111A54" w14:textId="77777777" w:rsidR="00EC6D7F" w:rsidRPr="00EC6D7F" w:rsidRDefault="00EC6D7F" w:rsidP="001E4267">
            <w:pPr>
              <w:rPr>
                <w:rFonts w:asciiTheme="minorHAnsi" w:hAnsiTheme="minorHAnsi"/>
              </w:rPr>
            </w:pPr>
          </w:p>
        </w:tc>
      </w:tr>
      <w:tr w:rsidR="00EC6D7F" w:rsidRPr="00EC6D7F" w14:paraId="5F4991D6" w14:textId="77777777" w:rsidTr="00EC6D7F">
        <w:tc>
          <w:tcPr>
            <w:tcW w:w="1838" w:type="dxa"/>
          </w:tcPr>
          <w:p w14:paraId="114E9444" w14:textId="7B42D4DA" w:rsidR="00EC6D7F" w:rsidRPr="00EC6D7F" w:rsidRDefault="00EC6D7F" w:rsidP="001E4267">
            <w:pPr>
              <w:rPr>
                <w:rFonts w:asciiTheme="minorHAnsi" w:hAnsiTheme="minorHAnsi"/>
              </w:rPr>
            </w:pPr>
          </w:p>
        </w:tc>
        <w:tc>
          <w:tcPr>
            <w:tcW w:w="7229" w:type="dxa"/>
          </w:tcPr>
          <w:p w14:paraId="0E9AAF73" w14:textId="77777777" w:rsidR="00EC6D7F" w:rsidRPr="00EC6D7F" w:rsidRDefault="00EC6D7F" w:rsidP="001E4267">
            <w:pPr>
              <w:rPr>
                <w:rFonts w:asciiTheme="minorHAnsi" w:hAnsiTheme="minorHAnsi"/>
              </w:rPr>
            </w:pPr>
          </w:p>
        </w:tc>
      </w:tr>
      <w:tr w:rsidR="00EC6D7F" w:rsidRPr="00EC6D7F" w14:paraId="5D8BBCB3" w14:textId="77777777" w:rsidTr="00EC6D7F">
        <w:tc>
          <w:tcPr>
            <w:tcW w:w="1838" w:type="dxa"/>
          </w:tcPr>
          <w:p w14:paraId="6A986F9A" w14:textId="4DECA55B" w:rsidR="00EC6D7F" w:rsidRPr="00EC6D7F" w:rsidRDefault="00EC6D7F" w:rsidP="001E4267">
            <w:pPr>
              <w:rPr>
                <w:rFonts w:asciiTheme="minorHAnsi" w:hAnsiTheme="minorHAnsi"/>
              </w:rPr>
            </w:pPr>
          </w:p>
        </w:tc>
        <w:tc>
          <w:tcPr>
            <w:tcW w:w="7229" w:type="dxa"/>
          </w:tcPr>
          <w:p w14:paraId="74FE5EE7" w14:textId="77777777" w:rsidR="00EC6D7F" w:rsidRPr="00EC6D7F" w:rsidRDefault="00EC6D7F" w:rsidP="001E4267">
            <w:pPr>
              <w:rPr>
                <w:rFonts w:asciiTheme="minorHAnsi" w:hAnsiTheme="minorHAnsi"/>
              </w:rPr>
            </w:pPr>
          </w:p>
        </w:tc>
      </w:tr>
      <w:tr w:rsidR="00EC6D7F" w:rsidRPr="00EC6D7F" w14:paraId="7AD9B5E8" w14:textId="77777777" w:rsidTr="00EC6D7F">
        <w:tc>
          <w:tcPr>
            <w:tcW w:w="1838" w:type="dxa"/>
          </w:tcPr>
          <w:p w14:paraId="73E7D971" w14:textId="0A907F22" w:rsidR="00EC6D7F" w:rsidRPr="00EC6D7F" w:rsidRDefault="00EC6D7F" w:rsidP="001E4267">
            <w:pPr>
              <w:rPr>
                <w:rFonts w:asciiTheme="minorHAnsi" w:hAnsiTheme="minorHAnsi"/>
              </w:rPr>
            </w:pPr>
          </w:p>
        </w:tc>
        <w:tc>
          <w:tcPr>
            <w:tcW w:w="7229" w:type="dxa"/>
          </w:tcPr>
          <w:p w14:paraId="208DCC0C" w14:textId="77777777" w:rsidR="00EC6D7F" w:rsidRPr="00EC6D7F" w:rsidRDefault="00EC6D7F" w:rsidP="001E4267">
            <w:pPr>
              <w:rPr>
                <w:rFonts w:asciiTheme="minorHAnsi" w:hAnsiTheme="minorHAnsi"/>
              </w:rPr>
            </w:pPr>
          </w:p>
        </w:tc>
      </w:tr>
      <w:tr w:rsidR="00EC6D7F" w:rsidRPr="00EC6D7F" w14:paraId="542DFB1D" w14:textId="77777777" w:rsidTr="00EC6D7F">
        <w:tc>
          <w:tcPr>
            <w:tcW w:w="1838" w:type="dxa"/>
          </w:tcPr>
          <w:p w14:paraId="0DB27336" w14:textId="646A047B" w:rsidR="00EC6D7F" w:rsidRPr="00EC6D7F" w:rsidRDefault="00EC6D7F" w:rsidP="001E4267">
            <w:pPr>
              <w:rPr>
                <w:rFonts w:asciiTheme="minorHAnsi" w:hAnsiTheme="minorHAnsi"/>
              </w:rPr>
            </w:pPr>
          </w:p>
        </w:tc>
        <w:tc>
          <w:tcPr>
            <w:tcW w:w="7229" w:type="dxa"/>
          </w:tcPr>
          <w:p w14:paraId="11FA8E33" w14:textId="77777777" w:rsidR="00EC6D7F" w:rsidRPr="00EC6D7F" w:rsidRDefault="00EC6D7F" w:rsidP="001E4267">
            <w:pPr>
              <w:rPr>
                <w:rFonts w:asciiTheme="minorHAnsi" w:hAnsiTheme="minorHAnsi"/>
              </w:rPr>
            </w:pPr>
          </w:p>
        </w:tc>
      </w:tr>
      <w:tr w:rsidR="00EC6D7F" w:rsidRPr="00EC6D7F" w14:paraId="7BE7B0F8" w14:textId="77777777" w:rsidTr="00EC6D7F">
        <w:tc>
          <w:tcPr>
            <w:tcW w:w="1838" w:type="dxa"/>
          </w:tcPr>
          <w:p w14:paraId="7B41C088" w14:textId="523AC750" w:rsidR="00EC6D7F" w:rsidRPr="00EC6D7F" w:rsidRDefault="00EC6D7F" w:rsidP="001E4267">
            <w:pPr>
              <w:rPr>
                <w:rFonts w:asciiTheme="minorHAnsi" w:hAnsiTheme="minorHAnsi"/>
              </w:rPr>
            </w:pPr>
          </w:p>
        </w:tc>
        <w:tc>
          <w:tcPr>
            <w:tcW w:w="7229" w:type="dxa"/>
          </w:tcPr>
          <w:p w14:paraId="248420B6" w14:textId="77777777" w:rsidR="00EC6D7F" w:rsidRPr="00EC6D7F" w:rsidRDefault="00EC6D7F" w:rsidP="001E4267">
            <w:pPr>
              <w:rPr>
                <w:rFonts w:asciiTheme="minorHAnsi" w:hAnsiTheme="minorHAnsi"/>
              </w:rPr>
            </w:pPr>
          </w:p>
        </w:tc>
      </w:tr>
      <w:tr w:rsidR="004472C7" w:rsidRPr="00EC6D7F" w14:paraId="0B01DAEC" w14:textId="77777777" w:rsidTr="00EC6D7F">
        <w:tc>
          <w:tcPr>
            <w:tcW w:w="1838" w:type="dxa"/>
          </w:tcPr>
          <w:p w14:paraId="1240C252" w14:textId="33FD1FBB" w:rsidR="004472C7" w:rsidRPr="004472C7" w:rsidRDefault="004472C7" w:rsidP="001E4267">
            <w:pPr>
              <w:rPr>
                <w:rFonts w:asciiTheme="minorHAnsi" w:hAnsiTheme="minorHAnsi"/>
              </w:rPr>
            </w:pPr>
          </w:p>
        </w:tc>
        <w:tc>
          <w:tcPr>
            <w:tcW w:w="7229" w:type="dxa"/>
          </w:tcPr>
          <w:p w14:paraId="596B78B0" w14:textId="77777777" w:rsidR="004472C7" w:rsidRPr="004472C7" w:rsidRDefault="004472C7" w:rsidP="001E4267">
            <w:pPr>
              <w:rPr>
                <w:rFonts w:asciiTheme="minorHAnsi" w:hAnsiTheme="minorHAnsi"/>
              </w:rPr>
            </w:pPr>
          </w:p>
        </w:tc>
      </w:tr>
      <w:tr w:rsidR="00EC6D7F" w:rsidRPr="00EC6D7F" w14:paraId="260B1CE1" w14:textId="77777777" w:rsidTr="00EC6D7F">
        <w:tc>
          <w:tcPr>
            <w:tcW w:w="1838" w:type="dxa"/>
          </w:tcPr>
          <w:p w14:paraId="0EDED7E9" w14:textId="10B71058" w:rsidR="00EC6D7F" w:rsidRPr="00EC6D7F" w:rsidRDefault="00EC6D7F" w:rsidP="001E4267">
            <w:pPr>
              <w:rPr>
                <w:rFonts w:asciiTheme="minorHAnsi" w:hAnsiTheme="minorHAnsi"/>
              </w:rPr>
            </w:pPr>
          </w:p>
        </w:tc>
        <w:tc>
          <w:tcPr>
            <w:tcW w:w="7229" w:type="dxa"/>
          </w:tcPr>
          <w:p w14:paraId="160DAF4F" w14:textId="77777777" w:rsidR="00EC6D7F" w:rsidRPr="00EC6D7F" w:rsidRDefault="00EC6D7F" w:rsidP="001E4267">
            <w:pPr>
              <w:rPr>
                <w:rFonts w:asciiTheme="minorHAnsi" w:hAnsiTheme="minorHAnsi"/>
              </w:rPr>
            </w:pPr>
          </w:p>
        </w:tc>
      </w:tr>
    </w:tbl>
    <w:p w14:paraId="1E07C8F2" w14:textId="77777777" w:rsidR="00EC6D7F" w:rsidRDefault="00EC6D7F">
      <w:pPr>
        <w:sectPr w:rsidR="00EC6D7F" w:rsidSect="00FB3943">
          <w:footerReference w:type="default" r:id="rId8"/>
          <w:headerReference w:type="first" r:id="rId9"/>
          <w:footerReference w:type="first" r:id="rId10"/>
          <w:pgSz w:w="11906" w:h="16838"/>
          <w:pgMar w:top="1281" w:right="1440" w:bottom="1440" w:left="1440" w:header="993" w:footer="708" w:gutter="0"/>
          <w:cols w:space="708"/>
          <w:titlePg/>
          <w:docGrid w:linePitch="360"/>
        </w:sectPr>
      </w:pPr>
    </w:p>
    <w:p w14:paraId="6EFEA26F" w14:textId="37C13055" w:rsidR="00477D63" w:rsidRDefault="00477D63" w:rsidP="004472C7">
      <w:pPr>
        <w:pStyle w:val="NoSpacing"/>
        <w:rPr>
          <w:b/>
          <w:sz w:val="24"/>
          <w:szCs w:val="24"/>
        </w:rPr>
      </w:pPr>
      <w:r w:rsidRPr="004472C7">
        <w:rPr>
          <w:b/>
          <w:sz w:val="24"/>
          <w:szCs w:val="24"/>
        </w:rPr>
        <w:lastRenderedPageBreak/>
        <w:t>Glossary of Terms</w:t>
      </w:r>
    </w:p>
    <w:p w14:paraId="0967F4E3" w14:textId="77777777" w:rsidR="004472C7" w:rsidRPr="004472C7" w:rsidRDefault="004472C7" w:rsidP="004472C7">
      <w:pPr>
        <w:pStyle w:val="NoSpacing"/>
        <w:rPr>
          <w:b/>
          <w:sz w:val="24"/>
          <w:szCs w:val="24"/>
        </w:rPr>
      </w:pPr>
    </w:p>
    <w:tbl>
      <w:tblPr>
        <w:tblStyle w:val="TableGrid"/>
        <w:tblW w:w="0" w:type="auto"/>
        <w:tblLook w:val="04A0" w:firstRow="1" w:lastRow="0" w:firstColumn="1" w:lastColumn="0" w:noHBand="0" w:noVBand="1"/>
      </w:tblPr>
      <w:tblGrid>
        <w:gridCol w:w="2689"/>
        <w:gridCol w:w="6327"/>
      </w:tblGrid>
      <w:tr w:rsidR="000D3B07" w:rsidRPr="000D3B07" w14:paraId="6401F6FA" w14:textId="77777777" w:rsidTr="004472C7">
        <w:tc>
          <w:tcPr>
            <w:tcW w:w="2689" w:type="dxa"/>
            <w:shd w:val="clear" w:color="auto" w:fill="FF0000"/>
          </w:tcPr>
          <w:p w14:paraId="095C51E5" w14:textId="77777777" w:rsidR="00477D63" w:rsidRPr="000D3B07" w:rsidRDefault="00477D63" w:rsidP="00FE389D">
            <w:pPr>
              <w:rPr>
                <w:rFonts w:asciiTheme="minorHAnsi" w:hAnsiTheme="minorHAnsi"/>
                <w:b/>
                <w:color w:val="FFFFFF" w:themeColor="background1"/>
              </w:rPr>
            </w:pPr>
            <w:r w:rsidRPr="000D3B07">
              <w:rPr>
                <w:rFonts w:asciiTheme="minorHAnsi" w:hAnsiTheme="minorHAnsi"/>
                <w:b/>
                <w:color w:val="FFFFFF" w:themeColor="background1"/>
              </w:rPr>
              <w:t>Term</w:t>
            </w:r>
          </w:p>
        </w:tc>
        <w:tc>
          <w:tcPr>
            <w:tcW w:w="6327" w:type="dxa"/>
            <w:shd w:val="clear" w:color="auto" w:fill="FF0000"/>
          </w:tcPr>
          <w:p w14:paraId="35BE63A8" w14:textId="77777777" w:rsidR="00477D63" w:rsidRPr="000D3B07" w:rsidRDefault="00477D63" w:rsidP="00FE389D">
            <w:pPr>
              <w:rPr>
                <w:rFonts w:asciiTheme="minorHAnsi" w:hAnsiTheme="minorHAnsi"/>
                <w:b/>
                <w:color w:val="FFFFFF" w:themeColor="background1"/>
              </w:rPr>
            </w:pPr>
            <w:r w:rsidRPr="000D3B07">
              <w:rPr>
                <w:rFonts w:asciiTheme="minorHAnsi" w:hAnsiTheme="minorHAnsi"/>
                <w:b/>
                <w:color w:val="FFFFFF" w:themeColor="background1"/>
              </w:rPr>
              <w:t xml:space="preserve">Definition </w:t>
            </w:r>
          </w:p>
        </w:tc>
      </w:tr>
      <w:tr w:rsidR="004472C7" w14:paraId="096695C8" w14:textId="77777777" w:rsidTr="004472C7">
        <w:tc>
          <w:tcPr>
            <w:tcW w:w="2689" w:type="dxa"/>
          </w:tcPr>
          <w:p w14:paraId="4FF78B57" w14:textId="44E9688F" w:rsidR="004472C7" w:rsidRPr="00AD0228" w:rsidRDefault="00E660CF" w:rsidP="00FE389D">
            <w:pPr>
              <w:rPr>
                <w:rFonts w:asciiTheme="minorHAnsi" w:hAnsiTheme="minorHAnsi"/>
              </w:rPr>
            </w:pPr>
            <w:r>
              <w:rPr>
                <w:rFonts w:asciiTheme="minorHAnsi" w:hAnsiTheme="minorHAnsi"/>
              </w:rPr>
              <w:t>HOBS</w:t>
            </w:r>
          </w:p>
        </w:tc>
        <w:tc>
          <w:tcPr>
            <w:tcW w:w="6327" w:type="dxa"/>
          </w:tcPr>
          <w:p w14:paraId="66A95674" w14:textId="457168D1" w:rsidR="004472C7" w:rsidRPr="00AD0228" w:rsidRDefault="00E660CF" w:rsidP="00FE389D">
            <w:pPr>
              <w:rPr>
                <w:rFonts w:asciiTheme="minorHAnsi" w:hAnsiTheme="minorHAnsi"/>
              </w:rPr>
            </w:pPr>
            <w:r>
              <w:rPr>
                <w:rFonts w:asciiTheme="minorHAnsi" w:hAnsiTheme="minorHAnsi"/>
              </w:rPr>
              <w:t>HR &amp; OD Business Solution (project)</w:t>
            </w:r>
          </w:p>
        </w:tc>
      </w:tr>
      <w:tr w:rsidR="00E660CF" w14:paraId="29F2F0BB" w14:textId="77777777" w:rsidTr="004472C7">
        <w:tc>
          <w:tcPr>
            <w:tcW w:w="2689" w:type="dxa"/>
          </w:tcPr>
          <w:p w14:paraId="3F8CD3E0" w14:textId="48AE00EA" w:rsidR="00E660CF" w:rsidRPr="00083158" w:rsidRDefault="00E660CF" w:rsidP="00E660CF">
            <w:pPr>
              <w:rPr>
                <w:rFonts w:asciiTheme="minorHAnsi" w:hAnsiTheme="minorHAnsi"/>
              </w:rPr>
            </w:pPr>
            <w:r>
              <w:rPr>
                <w:rFonts w:asciiTheme="minorHAnsi" w:hAnsiTheme="minorHAnsi"/>
              </w:rPr>
              <w:t>Civica HR &amp; Payroll</w:t>
            </w:r>
          </w:p>
        </w:tc>
        <w:tc>
          <w:tcPr>
            <w:tcW w:w="6327" w:type="dxa"/>
          </w:tcPr>
          <w:p w14:paraId="18A91763" w14:textId="5665ED3E" w:rsidR="00E660CF" w:rsidRPr="00083158" w:rsidRDefault="00E660CF" w:rsidP="00E660CF">
            <w:pPr>
              <w:rPr>
                <w:rFonts w:asciiTheme="minorHAnsi" w:hAnsiTheme="minorHAnsi"/>
              </w:rPr>
            </w:pPr>
            <w:r>
              <w:rPr>
                <w:rFonts w:asciiTheme="minorHAnsi" w:hAnsiTheme="minorHAnsi"/>
              </w:rPr>
              <w:t xml:space="preserve">This is our current HR system. </w:t>
            </w:r>
          </w:p>
        </w:tc>
      </w:tr>
      <w:tr w:rsidR="004472C7" w14:paraId="1C6A5B10" w14:textId="77777777" w:rsidTr="004472C7">
        <w:tc>
          <w:tcPr>
            <w:tcW w:w="2689" w:type="dxa"/>
          </w:tcPr>
          <w:p w14:paraId="6809FF83" w14:textId="59C63714" w:rsidR="004472C7" w:rsidRPr="00080F73" w:rsidRDefault="00E660CF" w:rsidP="00FE389D">
            <w:pPr>
              <w:rPr>
                <w:rFonts w:asciiTheme="minorHAnsi" w:hAnsiTheme="minorHAnsi"/>
              </w:rPr>
            </w:pPr>
            <w:r>
              <w:rPr>
                <w:rFonts w:asciiTheme="minorHAnsi" w:hAnsiTheme="minorHAnsi"/>
              </w:rPr>
              <w:t>HR</w:t>
            </w:r>
          </w:p>
        </w:tc>
        <w:tc>
          <w:tcPr>
            <w:tcW w:w="6327" w:type="dxa"/>
          </w:tcPr>
          <w:p w14:paraId="629C2CAA" w14:textId="7705D77F" w:rsidR="004472C7" w:rsidRPr="00080F73" w:rsidRDefault="00E660CF" w:rsidP="00FE389D">
            <w:pPr>
              <w:rPr>
                <w:rFonts w:asciiTheme="minorHAnsi" w:hAnsiTheme="minorHAnsi"/>
              </w:rPr>
            </w:pPr>
            <w:r>
              <w:rPr>
                <w:rFonts w:asciiTheme="minorHAnsi" w:hAnsiTheme="minorHAnsi"/>
              </w:rPr>
              <w:t>Human Resources</w:t>
            </w:r>
          </w:p>
        </w:tc>
      </w:tr>
      <w:tr w:rsidR="004472C7" w14:paraId="3227409D" w14:textId="77777777" w:rsidTr="004472C7">
        <w:tc>
          <w:tcPr>
            <w:tcW w:w="2689" w:type="dxa"/>
          </w:tcPr>
          <w:p w14:paraId="37343E78" w14:textId="3545F91E" w:rsidR="004472C7" w:rsidRPr="00083158" w:rsidRDefault="00E660CF" w:rsidP="00FE389D">
            <w:pPr>
              <w:rPr>
                <w:rFonts w:asciiTheme="minorHAnsi" w:hAnsiTheme="minorHAnsi"/>
              </w:rPr>
            </w:pPr>
            <w:r>
              <w:rPr>
                <w:rFonts w:asciiTheme="minorHAnsi" w:hAnsiTheme="minorHAnsi"/>
              </w:rPr>
              <w:t>LMS</w:t>
            </w:r>
          </w:p>
        </w:tc>
        <w:tc>
          <w:tcPr>
            <w:tcW w:w="6327" w:type="dxa"/>
          </w:tcPr>
          <w:p w14:paraId="6A4D4A46" w14:textId="7AF46980" w:rsidR="004472C7" w:rsidRPr="00083158" w:rsidRDefault="00E660CF" w:rsidP="00FE389D">
            <w:pPr>
              <w:rPr>
                <w:rFonts w:asciiTheme="minorHAnsi" w:hAnsiTheme="minorHAnsi"/>
              </w:rPr>
            </w:pPr>
            <w:r>
              <w:rPr>
                <w:rFonts w:asciiTheme="minorHAnsi" w:hAnsiTheme="minorHAnsi"/>
              </w:rPr>
              <w:t>Learning Management Solution</w:t>
            </w:r>
          </w:p>
        </w:tc>
      </w:tr>
      <w:tr w:rsidR="004472C7" w14:paraId="28C4F5D2" w14:textId="77777777" w:rsidTr="004472C7">
        <w:tc>
          <w:tcPr>
            <w:tcW w:w="2689" w:type="dxa"/>
          </w:tcPr>
          <w:p w14:paraId="26E69111" w14:textId="385F65D8" w:rsidR="004472C7" w:rsidRPr="00083158" w:rsidRDefault="00A04E85" w:rsidP="00FE389D">
            <w:pPr>
              <w:rPr>
                <w:rFonts w:asciiTheme="minorHAnsi" w:hAnsiTheme="minorHAnsi"/>
              </w:rPr>
            </w:pPr>
            <w:r>
              <w:rPr>
                <w:rFonts w:asciiTheme="minorHAnsi" w:hAnsiTheme="minorHAnsi"/>
              </w:rPr>
              <w:t>HBS</w:t>
            </w:r>
          </w:p>
        </w:tc>
        <w:tc>
          <w:tcPr>
            <w:tcW w:w="6327" w:type="dxa"/>
          </w:tcPr>
          <w:p w14:paraId="7657FE55" w14:textId="3F32E92E" w:rsidR="004472C7" w:rsidRPr="00083158" w:rsidRDefault="00A04E85" w:rsidP="00FE389D">
            <w:pPr>
              <w:rPr>
                <w:rFonts w:asciiTheme="minorHAnsi" w:hAnsiTheme="minorHAnsi"/>
              </w:rPr>
            </w:pPr>
            <w:r>
              <w:rPr>
                <w:rFonts w:asciiTheme="minorHAnsi" w:hAnsiTheme="minorHAnsi"/>
              </w:rPr>
              <w:t>Previous on call activity recording solution</w:t>
            </w:r>
          </w:p>
        </w:tc>
      </w:tr>
      <w:tr w:rsidR="004472C7" w14:paraId="278712E7" w14:textId="77777777" w:rsidTr="004472C7">
        <w:tc>
          <w:tcPr>
            <w:tcW w:w="2689" w:type="dxa"/>
          </w:tcPr>
          <w:p w14:paraId="27174558" w14:textId="2D7D37CE" w:rsidR="004472C7" w:rsidRPr="000A2E57" w:rsidRDefault="00396422" w:rsidP="00FE389D">
            <w:pPr>
              <w:rPr>
                <w:rFonts w:asciiTheme="minorHAnsi" w:hAnsiTheme="minorHAnsi"/>
              </w:rPr>
            </w:pPr>
            <w:r>
              <w:rPr>
                <w:rFonts w:asciiTheme="minorHAnsi" w:hAnsiTheme="minorHAnsi"/>
              </w:rPr>
              <w:t>UAT</w:t>
            </w:r>
          </w:p>
        </w:tc>
        <w:tc>
          <w:tcPr>
            <w:tcW w:w="6327" w:type="dxa"/>
          </w:tcPr>
          <w:p w14:paraId="42CC0275" w14:textId="2D795F2A" w:rsidR="004472C7" w:rsidRPr="000A2E57" w:rsidRDefault="00396422" w:rsidP="00FE389D">
            <w:pPr>
              <w:rPr>
                <w:rFonts w:asciiTheme="minorHAnsi" w:hAnsiTheme="minorHAnsi"/>
              </w:rPr>
            </w:pPr>
            <w:r>
              <w:rPr>
                <w:rFonts w:asciiTheme="minorHAnsi" w:hAnsiTheme="minorHAnsi"/>
              </w:rPr>
              <w:t>User Acceptance Testing</w:t>
            </w:r>
          </w:p>
        </w:tc>
      </w:tr>
      <w:tr w:rsidR="004472C7" w14:paraId="06EE0FC6" w14:textId="77777777" w:rsidTr="004472C7">
        <w:tc>
          <w:tcPr>
            <w:tcW w:w="2689" w:type="dxa"/>
          </w:tcPr>
          <w:p w14:paraId="03ECFDF1" w14:textId="0889BD3D" w:rsidR="004472C7" w:rsidRPr="00372B4B" w:rsidRDefault="00FA281C" w:rsidP="00FE389D">
            <w:pPr>
              <w:rPr>
                <w:rFonts w:asciiTheme="minorHAnsi" w:hAnsiTheme="minorHAnsi"/>
              </w:rPr>
            </w:pPr>
            <w:r>
              <w:rPr>
                <w:rFonts w:asciiTheme="minorHAnsi" w:hAnsiTheme="minorHAnsi"/>
              </w:rPr>
              <w:t>JCAD</w:t>
            </w:r>
          </w:p>
        </w:tc>
        <w:tc>
          <w:tcPr>
            <w:tcW w:w="6327" w:type="dxa"/>
          </w:tcPr>
          <w:p w14:paraId="35D6A7BF" w14:textId="228A0C47" w:rsidR="004472C7" w:rsidRPr="00372B4B" w:rsidRDefault="00FA281C" w:rsidP="00FE389D">
            <w:pPr>
              <w:rPr>
                <w:rFonts w:asciiTheme="minorHAnsi" w:hAnsiTheme="minorHAnsi"/>
              </w:rPr>
            </w:pPr>
            <w:r>
              <w:rPr>
                <w:rFonts w:asciiTheme="minorHAnsi" w:hAnsiTheme="minorHAnsi"/>
              </w:rPr>
              <w:t>Risks and Issues recording system</w:t>
            </w:r>
          </w:p>
        </w:tc>
      </w:tr>
    </w:tbl>
    <w:p w14:paraId="11FF3211" w14:textId="00638705" w:rsidR="006B4B2A" w:rsidRDefault="006B4B2A"/>
    <w:p w14:paraId="053F87BD" w14:textId="35AB670C" w:rsidR="006B4B2A" w:rsidRDefault="006B4B2A"/>
    <w:p w14:paraId="0B9D0477" w14:textId="1D43A06B" w:rsidR="006B4B2A" w:rsidRDefault="006B4B2A"/>
    <w:p w14:paraId="466DE7A9" w14:textId="07186376" w:rsidR="006B4B2A" w:rsidRDefault="006B4B2A"/>
    <w:p w14:paraId="4DAC5658" w14:textId="1B2D33A7" w:rsidR="006B4B2A" w:rsidRDefault="006B4B2A"/>
    <w:p w14:paraId="2FB22937" w14:textId="478D64C4" w:rsidR="00553E7C" w:rsidRDefault="00553E7C"/>
    <w:p w14:paraId="543323B9" w14:textId="77777777" w:rsidR="00553E7C" w:rsidRPr="00553E7C" w:rsidRDefault="00553E7C" w:rsidP="00553E7C"/>
    <w:p w14:paraId="165FA0C0" w14:textId="43B859A1" w:rsidR="00553E7C" w:rsidRDefault="00553E7C" w:rsidP="00553E7C">
      <w:pPr>
        <w:jc w:val="center"/>
      </w:pPr>
    </w:p>
    <w:p w14:paraId="12534A29" w14:textId="60A77490" w:rsidR="00477D63" w:rsidRPr="00553E7C" w:rsidRDefault="00553E7C" w:rsidP="00553E7C">
      <w:pPr>
        <w:tabs>
          <w:tab w:val="center" w:pos="4513"/>
        </w:tabs>
        <w:sectPr w:rsidR="00477D63" w:rsidRPr="00553E7C" w:rsidSect="00CF2836">
          <w:pgSz w:w="11906" w:h="16838"/>
          <w:pgMar w:top="1281" w:right="1440" w:bottom="1440" w:left="1440" w:header="993" w:footer="708" w:gutter="0"/>
          <w:cols w:space="708"/>
          <w:docGrid w:linePitch="360"/>
        </w:sectPr>
      </w:pPr>
      <w:r>
        <w:tab/>
      </w:r>
    </w:p>
    <w:bookmarkStart w:id="0" w:name="_Toc5802591" w:displacedByCustomXml="next"/>
    <w:bookmarkStart w:id="1" w:name="_Toc4685262" w:displacedByCustomXml="next"/>
    <w:bookmarkStart w:id="2" w:name="_Toc4673628" w:displacedByCustomXml="next"/>
    <w:bookmarkStart w:id="3" w:name="_Toc4747502" w:displacedByCustomXml="next"/>
    <w:bookmarkStart w:id="4" w:name="_Toc5086063" w:displacedByCustomXml="next"/>
    <w:sdt>
      <w:sdtPr>
        <w:rPr>
          <w:rFonts w:asciiTheme="minorHAnsi" w:eastAsiaTheme="minorHAnsi" w:hAnsiTheme="minorHAnsi" w:cstheme="minorBidi"/>
          <w:b/>
          <w:color w:val="auto"/>
          <w:sz w:val="22"/>
          <w:szCs w:val="22"/>
        </w:rPr>
        <w:id w:val="1565372530"/>
        <w:docPartObj>
          <w:docPartGallery w:val="Table of Contents"/>
          <w:docPartUnique/>
        </w:docPartObj>
      </w:sdtPr>
      <w:sdtEndPr>
        <w:rPr>
          <w:b w:val="0"/>
          <w:bCs/>
          <w:noProof/>
        </w:rPr>
      </w:sdtEndPr>
      <w:sdtContent>
        <w:p w14:paraId="7B2417FF" w14:textId="30F9A08E" w:rsidR="00AD0228" w:rsidRPr="00193C71" w:rsidRDefault="00193C71" w:rsidP="001D5C6B">
          <w:pPr>
            <w:pStyle w:val="Heading1"/>
          </w:pPr>
          <w:r w:rsidRPr="00193C71">
            <w:t>Table of Contents</w:t>
          </w:r>
          <w:bookmarkEnd w:id="4"/>
          <w:bookmarkEnd w:id="3"/>
          <w:bookmarkEnd w:id="2"/>
          <w:bookmarkEnd w:id="1"/>
          <w:bookmarkEnd w:id="0"/>
        </w:p>
        <w:p w14:paraId="11F68B3C" w14:textId="77777777" w:rsidR="001D5C6B" w:rsidRDefault="001D5C6B">
          <w:pPr>
            <w:pStyle w:val="TOC1"/>
            <w:tabs>
              <w:tab w:val="right" w:leader="dot" w:pos="9016"/>
            </w:tabs>
          </w:pPr>
        </w:p>
        <w:p w14:paraId="296AEE8A" w14:textId="5A075F44" w:rsidR="002729EA" w:rsidRDefault="00AD0228">
          <w:pPr>
            <w:pStyle w:val="TOC1"/>
            <w:tabs>
              <w:tab w:val="right" w:leader="dot" w:pos="9016"/>
            </w:tabs>
            <w:rPr>
              <w:rFonts w:eastAsiaTheme="minorEastAsia"/>
              <w:noProof/>
              <w:lang w:eastAsia="en-GB"/>
            </w:rPr>
          </w:pPr>
          <w:r w:rsidRPr="006B4B2A">
            <w:fldChar w:fldCharType="begin"/>
          </w:r>
          <w:r w:rsidRPr="006B4B2A">
            <w:instrText xml:space="preserve"> TOC \o "1-3" \h \z \u </w:instrText>
          </w:r>
          <w:r w:rsidRPr="006B4B2A">
            <w:fldChar w:fldCharType="separate"/>
          </w:r>
          <w:hyperlink w:anchor="_Toc5802592" w:history="1">
            <w:r w:rsidR="002729EA" w:rsidRPr="00A2150A">
              <w:rPr>
                <w:rStyle w:val="Hyperlink"/>
                <w:noProof/>
              </w:rPr>
              <w:t>1. Executive Summary</w:t>
            </w:r>
            <w:r w:rsidR="002729EA">
              <w:rPr>
                <w:noProof/>
                <w:webHidden/>
              </w:rPr>
              <w:tab/>
            </w:r>
            <w:r w:rsidR="002729EA">
              <w:rPr>
                <w:noProof/>
                <w:webHidden/>
              </w:rPr>
              <w:fldChar w:fldCharType="begin"/>
            </w:r>
            <w:r w:rsidR="002729EA">
              <w:rPr>
                <w:noProof/>
                <w:webHidden/>
              </w:rPr>
              <w:instrText xml:space="preserve"> PAGEREF _Toc5802592 \h </w:instrText>
            </w:r>
            <w:r w:rsidR="002729EA">
              <w:rPr>
                <w:noProof/>
                <w:webHidden/>
              </w:rPr>
            </w:r>
            <w:r w:rsidR="002729EA">
              <w:rPr>
                <w:noProof/>
                <w:webHidden/>
              </w:rPr>
              <w:fldChar w:fldCharType="separate"/>
            </w:r>
            <w:r w:rsidR="002729EA">
              <w:rPr>
                <w:noProof/>
                <w:webHidden/>
              </w:rPr>
              <w:t>5</w:t>
            </w:r>
            <w:r w:rsidR="002729EA">
              <w:rPr>
                <w:noProof/>
                <w:webHidden/>
              </w:rPr>
              <w:fldChar w:fldCharType="end"/>
            </w:r>
          </w:hyperlink>
        </w:p>
        <w:p w14:paraId="064DFE33" w14:textId="3304288C" w:rsidR="002729EA" w:rsidRDefault="00BA0A3F">
          <w:pPr>
            <w:pStyle w:val="TOC1"/>
            <w:tabs>
              <w:tab w:val="right" w:leader="dot" w:pos="9016"/>
            </w:tabs>
            <w:rPr>
              <w:rFonts w:eastAsiaTheme="minorEastAsia"/>
              <w:noProof/>
              <w:lang w:eastAsia="en-GB"/>
            </w:rPr>
          </w:pPr>
          <w:hyperlink w:anchor="_Toc5802593" w:history="1">
            <w:r w:rsidR="002729EA" w:rsidRPr="00A2150A">
              <w:rPr>
                <w:rStyle w:val="Hyperlink"/>
                <w:noProof/>
              </w:rPr>
              <w:t>2. Business Case Review</w:t>
            </w:r>
            <w:r w:rsidR="002729EA">
              <w:rPr>
                <w:noProof/>
                <w:webHidden/>
              </w:rPr>
              <w:tab/>
            </w:r>
            <w:r w:rsidR="002729EA">
              <w:rPr>
                <w:noProof/>
                <w:webHidden/>
              </w:rPr>
              <w:fldChar w:fldCharType="begin"/>
            </w:r>
            <w:r w:rsidR="002729EA">
              <w:rPr>
                <w:noProof/>
                <w:webHidden/>
              </w:rPr>
              <w:instrText xml:space="preserve"> PAGEREF _Toc5802593 \h </w:instrText>
            </w:r>
            <w:r w:rsidR="002729EA">
              <w:rPr>
                <w:noProof/>
                <w:webHidden/>
              </w:rPr>
            </w:r>
            <w:r w:rsidR="002729EA">
              <w:rPr>
                <w:noProof/>
                <w:webHidden/>
              </w:rPr>
              <w:fldChar w:fldCharType="separate"/>
            </w:r>
            <w:r w:rsidR="002729EA">
              <w:rPr>
                <w:noProof/>
                <w:webHidden/>
              </w:rPr>
              <w:t>6</w:t>
            </w:r>
            <w:r w:rsidR="002729EA">
              <w:rPr>
                <w:noProof/>
                <w:webHidden/>
              </w:rPr>
              <w:fldChar w:fldCharType="end"/>
            </w:r>
          </w:hyperlink>
        </w:p>
        <w:p w14:paraId="791DAABD" w14:textId="725AB7D6" w:rsidR="002729EA" w:rsidRDefault="00BA0A3F">
          <w:pPr>
            <w:pStyle w:val="TOC2"/>
            <w:tabs>
              <w:tab w:val="right" w:leader="dot" w:pos="9016"/>
            </w:tabs>
            <w:rPr>
              <w:rFonts w:eastAsiaTheme="minorEastAsia"/>
              <w:noProof/>
              <w:lang w:eastAsia="en-GB"/>
            </w:rPr>
          </w:pPr>
          <w:hyperlink w:anchor="_Toc5802594" w:history="1">
            <w:r w:rsidR="002729EA" w:rsidRPr="00A2150A">
              <w:rPr>
                <w:rStyle w:val="Hyperlink"/>
                <w:noProof/>
              </w:rPr>
              <w:t>2.1 Benefits Achieved to Date</w:t>
            </w:r>
            <w:r w:rsidR="002729EA">
              <w:rPr>
                <w:noProof/>
                <w:webHidden/>
              </w:rPr>
              <w:tab/>
            </w:r>
            <w:r w:rsidR="002729EA">
              <w:rPr>
                <w:noProof/>
                <w:webHidden/>
              </w:rPr>
              <w:fldChar w:fldCharType="begin"/>
            </w:r>
            <w:r w:rsidR="002729EA">
              <w:rPr>
                <w:noProof/>
                <w:webHidden/>
              </w:rPr>
              <w:instrText xml:space="preserve"> PAGEREF _Toc5802594 \h </w:instrText>
            </w:r>
            <w:r w:rsidR="002729EA">
              <w:rPr>
                <w:noProof/>
                <w:webHidden/>
              </w:rPr>
            </w:r>
            <w:r w:rsidR="002729EA">
              <w:rPr>
                <w:noProof/>
                <w:webHidden/>
              </w:rPr>
              <w:fldChar w:fldCharType="separate"/>
            </w:r>
            <w:r w:rsidR="002729EA">
              <w:rPr>
                <w:noProof/>
                <w:webHidden/>
              </w:rPr>
              <w:t>6</w:t>
            </w:r>
            <w:r w:rsidR="002729EA">
              <w:rPr>
                <w:noProof/>
                <w:webHidden/>
              </w:rPr>
              <w:fldChar w:fldCharType="end"/>
            </w:r>
          </w:hyperlink>
        </w:p>
        <w:p w14:paraId="022C080E" w14:textId="2A53233C" w:rsidR="002729EA" w:rsidRDefault="00BA0A3F">
          <w:pPr>
            <w:pStyle w:val="TOC2"/>
            <w:tabs>
              <w:tab w:val="right" w:leader="dot" w:pos="9016"/>
            </w:tabs>
            <w:rPr>
              <w:rFonts w:eastAsiaTheme="minorEastAsia"/>
              <w:noProof/>
              <w:lang w:eastAsia="en-GB"/>
            </w:rPr>
          </w:pPr>
          <w:hyperlink w:anchor="_Toc5802595" w:history="1">
            <w:r w:rsidR="002729EA" w:rsidRPr="00A2150A">
              <w:rPr>
                <w:rStyle w:val="Hyperlink"/>
                <w:noProof/>
              </w:rPr>
              <w:t>2.2 Benefits – Post Project</w:t>
            </w:r>
            <w:r w:rsidR="002729EA">
              <w:rPr>
                <w:noProof/>
                <w:webHidden/>
              </w:rPr>
              <w:tab/>
            </w:r>
            <w:r w:rsidR="002729EA">
              <w:rPr>
                <w:noProof/>
                <w:webHidden/>
              </w:rPr>
              <w:fldChar w:fldCharType="begin"/>
            </w:r>
            <w:r w:rsidR="002729EA">
              <w:rPr>
                <w:noProof/>
                <w:webHidden/>
              </w:rPr>
              <w:instrText xml:space="preserve"> PAGEREF _Toc5802595 \h </w:instrText>
            </w:r>
            <w:r w:rsidR="002729EA">
              <w:rPr>
                <w:noProof/>
                <w:webHidden/>
              </w:rPr>
            </w:r>
            <w:r w:rsidR="002729EA">
              <w:rPr>
                <w:noProof/>
                <w:webHidden/>
              </w:rPr>
              <w:fldChar w:fldCharType="separate"/>
            </w:r>
            <w:r w:rsidR="002729EA">
              <w:rPr>
                <w:noProof/>
                <w:webHidden/>
              </w:rPr>
              <w:t>7</w:t>
            </w:r>
            <w:r w:rsidR="002729EA">
              <w:rPr>
                <w:noProof/>
                <w:webHidden/>
              </w:rPr>
              <w:fldChar w:fldCharType="end"/>
            </w:r>
          </w:hyperlink>
        </w:p>
        <w:p w14:paraId="6E3DAA12" w14:textId="0910143D" w:rsidR="002729EA" w:rsidRDefault="00BA0A3F">
          <w:pPr>
            <w:pStyle w:val="TOC2"/>
            <w:tabs>
              <w:tab w:val="right" w:leader="dot" w:pos="9016"/>
            </w:tabs>
            <w:rPr>
              <w:rFonts w:eastAsiaTheme="minorEastAsia"/>
              <w:noProof/>
              <w:lang w:eastAsia="en-GB"/>
            </w:rPr>
          </w:pPr>
          <w:hyperlink w:anchor="_Toc5802596" w:history="1">
            <w:r w:rsidR="002729EA" w:rsidRPr="00A2150A">
              <w:rPr>
                <w:rStyle w:val="Hyperlink"/>
                <w:noProof/>
              </w:rPr>
              <w:t>2.3 Deviations from the Business Case</w:t>
            </w:r>
            <w:r w:rsidR="002729EA">
              <w:rPr>
                <w:noProof/>
                <w:webHidden/>
              </w:rPr>
              <w:tab/>
            </w:r>
            <w:r w:rsidR="002729EA">
              <w:rPr>
                <w:noProof/>
                <w:webHidden/>
              </w:rPr>
              <w:fldChar w:fldCharType="begin"/>
            </w:r>
            <w:r w:rsidR="002729EA">
              <w:rPr>
                <w:noProof/>
                <w:webHidden/>
              </w:rPr>
              <w:instrText xml:space="preserve"> PAGEREF _Toc5802596 \h </w:instrText>
            </w:r>
            <w:r w:rsidR="002729EA">
              <w:rPr>
                <w:noProof/>
                <w:webHidden/>
              </w:rPr>
            </w:r>
            <w:r w:rsidR="002729EA">
              <w:rPr>
                <w:noProof/>
                <w:webHidden/>
              </w:rPr>
              <w:fldChar w:fldCharType="separate"/>
            </w:r>
            <w:r w:rsidR="002729EA">
              <w:rPr>
                <w:noProof/>
                <w:webHidden/>
              </w:rPr>
              <w:t>11</w:t>
            </w:r>
            <w:r w:rsidR="002729EA">
              <w:rPr>
                <w:noProof/>
                <w:webHidden/>
              </w:rPr>
              <w:fldChar w:fldCharType="end"/>
            </w:r>
          </w:hyperlink>
        </w:p>
        <w:p w14:paraId="4EB25C17" w14:textId="3A670D55" w:rsidR="002729EA" w:rsidRDefault="00BA0A3F">
          <w:pPr>
            <w:pStyle w:val="TOC1"/>
            <w:tabs>
              <w:tab w:val="right" w:leader="dot" w:pos="9016"/>
            </w:tabs>
            <w:rPr>
              <w:rFonts w:eastAsiaTheme="minorEastAsia"/>
              <w:noProof/>
              <w:lang w:eastAsia="en-GB"/>
            </w:rPr>
          </w:pPr>
          <w:hyperlink w:anchor="_Toc5802597" w:history="1">
            <w:r w:rsidR="002729EA" w:rsidRPr="00A2150A">
              <w:rPr>
                <w:rStyle w:val="Hyperlink"/>
                <w:noProof/>
              </w:rPr>
              <w:t>3. Project Objectives Review</w:t>
            </w:r>
            <w:r w:rsidR="002729EA">
              <w:rPr>
                <w:noProof/>
                <w:webHidden/>
              </w:rPr>
              <w:tab/>
            </w:r>
            <w:r w:rsidR="002729EA">
              <w:rPr>
                <w:noProof/>
                <w:webHidden/>
              </w:rPr>
              <w:fldChar w:fldCharType="begin"/>
            </w:r>
            <w:r w:rsidR="002729EA">
              <w:rPr>
                <w:noProof/>
                <w:webHidden/>
              </w:rPr>
              <w:instrText xml:space="preserve"> PAGEREF _Toc5802597 \h </w:instrText>
            </w:r>
            <w:r w:rsidR="002729EA">
              <w:rPr>
                <w:noProof/>
                <w:webHidden/>
              </w:rPr>
            </w:r>
            <w:r w:rsidR="002729EA">
              <w:rPr>
                <w:noProof/>
                <w:webHidden/>
              </w:rPr>
              <w:fldChar w:fldCharType="separate"/>
            </w:r>
            <w:r w:rsidR="002729EA">
              <w:rPr>
                <w:noProof/>
                <w:webHidden/>
              </w:rPr>
              <w:t>12</w:t>
            </w:r>
            <w:r w:rsidR="002729EA">
              <w:rPr>
                <w:noProof/>
                <w:webHidden/>
              </w:rPr>
              <w:fldChar w:fldCharType="end"/>
            </w:r>
          </w:hyperlink>
        </w:p>
        <w:p w14:paraId="2B83D053" w14:textId="7A7A7B9F" w:rsidR="002729EA" w:rsidRDefault="00BA0A3F">
          <w:pPr>
            <w:pStyle w:val="TOC1"/>
            <w:tabs>
              <w:tab w:val="right" w:leader="dot" w:pos="9016"/>
            </w:tabs>
            <w:rPr>
              <w:rFonts w:eastAsiaTheme="minorEastAsia"/>
              <w:noProof/>
              <w:lang w:eastAsia="en-GB"/>
            </w:rPr>
          </w:pPr>
          <w:hyperlink w:anchor="_Toc5802598" w:history="1">
            <w:r w:rsidR="002729EA" w:rsidRPr="00A2150A">
              <w:rPr>
                <w:rStyle w:val="Hyperlink"/>
                <w:noProof/>
              </w:rPr>
              <w:t>4. Project Team Performance</w:t>
            </w:r>
            <w:r w:rsidR="002729EA">
              <w:rPr>
                <w:noProof/>
                <w:webHidden/>
              </w:rPr>
              <w:tab/>
            </w:r>
            <w:r w:rsidR="002729EA">
              <w:rPr>
                <w:noProof/>
                <w:webHidden/>
              </w:rPr>
              <w:fldChar w:fldCharType="begin"/>
            </w:r>
            <w:r w:rsidR="002729EA">
              <w:rPr>
                <w:noProof/>
                <w:webHidden/>
              </w:rPr>
              <w:instrText xml:space="preserve"> PAGEREF _Toc5802598 \h </w:instrText>
            </w:r>
            <w:r w:rsidR="002729EA">
              <w:rPr>
                <w:noProof/>
                <w:webHidden/>
              </w:rPr>
            </w:r>
            <w:r w:rsidR="002729EA">
              <w:rPr>
                <w:noProof/>
                <w:webHidden/>
              </w:rPr>
              <w:fldChar w:fldCharType="separate"/>
            </w:r>
            <w:r w:rsidR="002729EA">
              <w:rPr>
                <w:noProof/>
                <w:webHidden/>
              </w:rPr>
              <w:t>12</w:t>
            </w:r>
            <w:r w:rsidR="002729EA">
              <w:rPr>
                <w:noProof/>
                <w:webHidden/>
              </w:rPr>
              <w:fldChar w:fldCharType="end"/>
            </w:r>
          </w:hyperlink>
        </w:p>
        <w:p w14:paraId="7ADBBE31" w14:textId="1F91CBA4" w:rsidR="002729EA" w:rsidRDefault="00BA0A3F">
          <w:pPr>
            <w:pStyle w:val="TOC1"/>
            <w:tabs>
              <w:tab w:val="right" w:leader="dot" w:pos="9016"/>
            </w:tabs>
            <w:rPr>
              <w:rFonts w:eastAsiaTheme="minorEastAsia"/>
              <w:noProof/>
              <w:lang w:eastAsia="en-GB"/>
            </w:rPr>
          </w:pPr>
          <w:hyperlink w:anchor="_Toc5802599" w:history="1">
            <w:r w:rsidR="002729EA" w:rsidRPr="00A2150A">
              <w:rPr>
                <w:rStyle w:val="Hyperlink"/>
                <w:noProof/>
              </w:rPr>
              <w:t>5. Product Management</w:t>
            </w:r>
            <w:r w:rsidR="002729EA">
              <w:rPr>
                <w:noProof/>
                <w:webHidden/>
              </w:rPr>
              <w:tab/>
            </w:r>
            <w:r w:rsidR="002729EA">
              <w:rPr>
                <w:noProof/>
                <w:webHidden/>
              </w:rPr>
              <w:fldChar w:fldCharType="begin"/>
            </w:r>
            <w:r w:rsidR="002729EA">
              <w:rPr>
                <w:noProof/>
                <w:webHidden/>
              </w:rPr>
              <w:instrText xml:space="preserve"> PAGEREF _Toc5802599 \h </w:instrText>
            </w:r>
            <w:r w:rsidR="002729EA">
              <w:rPr>
                <w:noProof/>
                <w:webHidden/>
              </w:rPr>
            </w:r>
            <w:r w:rsidR="002729EA">
              <w:rPr>
                <w:noProof/>
                <w:webHidden/>
              </w:rPr>
              <w:fldChar w:fldCharType="separate"/>
            </w:r>
            <w:r w:rsidR="002729EA">
              <w:rPr>
                <w:noProof/>
                <w:webHidden/>
              </w:rPr>
              <w:t>13</w:t>
            </w:r>
            <w:r w:rsidR="002729EA">
              <w:rPr>
                <w:noProof/>
                <w:webHidden/>
              </w:rPr>
              <w:fldChar w:fldCharType="end"/>
            </w:r>
          </w:hyperlink>
        </w:p>
        <w:p w14:paraId="5B1C46ED" w14:textId="4AAD3D57" w:rsidR="002729EA" w:rsidRDefault="00BA0A3F">
          <w:pPr>
            <w:pStyle w:val="TOC1"/>
            <w:tabs>
              <w:tab w:val="right" w:leader="dot" w:pos="9016"/>
            </w:tabs>
            <w:rPr>
              <w:rFonts w:eastAsiaTheme="minorEastAsia"/>
              <w:noProof/>
              <w:lang w:eastAsia="en-GB"/>
            </w:rPr>
          </w:pPr>
          <w:hyperlink w:anchor="_Toc5802600" w:history="1">
            <w:r w:rsidR="002729EA" w:rsidRPr="00A2150A">
              <w:rPr>
                <w:rStyle w:val="Hyperlink"/>
                <w:noProof/>
              </w:rPr>
              <w:t>6. Risks &amp; Issues Management</w:t>
            </w:r>
            <w:r w:rsidR="002729EA">
              <w:rPr>
                <w:noProof/>
                <w:webHidden/>
              </w:rPr>
              <w:tab/>
            </w:r>
            <w:r w:rsidR="002729EA">
              <w:rPr>
                <w:noProof/>
                <w:webHidden/>
              </w:rPr>
              <w:fldChar w:fldCharType="begin"/>
            </w:r>
            <w:r w:rsidR="002729EA">
              <w:rPr>
                <w:noProof/>
                <w:webHidden/>
              </w:rPr>
              <w:instrText xml:space="preserve"> PAGEREF _Toc5802600 \h </w:instrText>
            </w:r>
            <w:r w:rsidR="002729EA">
              <w:rPr>
                <w:noProof/>
                <w:webHidden/>
              </w:rPr>
            </w:r>
            <w:r w:rsidR="002729EA">
              <w:rPr>
                <w:noProof/>
                <w:webHidden/>
              </w:rPr>
              <w:fldChar w:fldCharType="separate"/>
            </w:r>
            <w:r w:rsidR="002729EA">
              <w:rPr>
                <w:noProof/>
                <w:webHidden/>
              </w:rPr>
              <w:t>14</w:t>
            </w:r>
            <w:r w:rsidR="002729EA">
              <w:rPr>
                <w:noProof/>
                <w:webHidden/>
              </w:rPr>
              <w:fldChar w:fldCharType="end"/>
            </w:r>
          </w:hyperlink>
        </w:p>
        <w:p w14:paraId="66D9C5F1" w14:textId="47A9E141" w:rsidR="002729EA" w:rsidRDefault="00BA0A3F">
          <w:pPr>
            <w:pStyle w:val="TOC1"/>
            <w:tabs>
              <w:tab w:val="right" w:leader="dot" w:pos="9016"/>
            </w:tabs>
            <w:rPr>
              <w:rFonts w:eastAsiaTheme="minorEastAsia"/>
              <w:noProof/>
              <w:lang w:eastAsia="en-GB"/>
            </w:rPr>
          </w:pPr>
          <w:hyperlink w:anchor="_Toc5802601" w:history="1">
            <w:r w:rsidR="002729EA" w:rsidRPr="00A2150A">
              <w:rPr>
                <w:rStyle w:val="Hyperlink"/>
                <w:noProof/>
              </w:rPr>
              <w:t>7. Financial Management</w:t>
            </w:r>
            <w:r w:rsidR="002729EA">
              <w:rPr>
                <w:noProof/>
                <w:webHidden/>
              </w:rPr>
              <w:tab/>
            </w:r>
            <w:r w:rsidR="002729EA">
              <w:rPr>
                <w:noProof/>
                <w:webHidden/>
              </w:rPr>
              <w:fldChar w:fldCharType="begin"/>
            </w:r>
            <w:r w:rsidR="002729EA">
              <w:rPr>
                <w:noProof/>
                <w:webHidden/>
              </w:rPr>
              <w:instrText xml:space="preserve"> PAGEREF _Toc5802601 \h </w:instrText>
            </w:r>
            <w:r w:rsidR="002729EA">
              <w:rPr>
                <w:noProof/>
                <w:webHidden/>
              </w:rPr>
            </w:r>
            <w:r w:rsidR="002729EA">
              <w:rPr>
                <w:noProof/>
                <w:webHidden/>
              </w:rPr>
              <w:fldChar w:fldCharType="separate"/>
            </w:r>
            <w:r w:rsidR="002729EA">
              <w:rPr>
                <w:noProof/>
                <w:webHidden/>
              </w:rPr>
              <w:t>14</w:t>
            </w:r>
            <w:r w:rsidR="002729EA">
              <w:rPr>
                <w:noProof/>
                <w:webHidden/>
              </w:rPr>
              <w:fldChar w:fldCharType="end"/>
            </w:r>
          </w:hyperlink>
        </w:p>
        <w:p w14:paraId="4B8B9234" w14:textId="2E5DD03F" w:rsidR="002729EA" w:rsidRDefault="00BA0A3F">
          <w:pPr>
            <w:pStyle w:val="TOC1"/>
            <w:tabs>
              <w:tab w:val="right" w:leader="dot" w:pos="9016"/>
            </w:tabs>
            <w:rPr>
              <w:rFonts w:eastAsiaTheme="minorEastAsia"/>
              <w:noProof/>
              <w:lang w:eastAsia="en-GB"/>
            </w:rPr>
          </w:pPr>
          <w:hyperlink w:anchor="_Toc5802602" w:history="1">
            <w:r w:rsidR="002729EA" w:rsidRPr="00A2150A">
              <w:rPr>
                <w:rStyle w:val="Hyperlink"/>
                <w:noProof/>
              </w:rPr>
              <w:t>8. Records Management</w:t>
            </w:r>
            <w:r w:rsidR="002729EA">
              <w:rPr>
                <w:noProof/>
                <w:webHidden/>
              </w:rPr>
              <w:tab/>
            </w:r>
            <w:r w:rsidR="002729EA">
              <w:rPr>
                <w:noProof/>
                <w:webHidden/>
              </w:rPr>
              <w:fldChar w:fldCharType="begin"/>
            </w:r>
            <w:r w:rsidR="002729EA">
              <w:rPr>
                <w:noProof/>
                <w:webHidden/>
              </w:rPr>
              <w:instrText xml:space="preserve"> PAGEREF _Toc5802602 \h </w:instrText>
            </w:r>
            <w:r w:rsidR="002729EA">
              <w:rPr>
                <w:noProof/>
                <w:webHidden/>
              </w:rPr>
            </w:r>
            <w:r w:rsidR="002729EA">
              <w:rPr>
                <w:noProof/>
                <w:webHidden/>
              </w:rPr>
              <w:fldChar w:fldCharType="separate"/>
            </w:r>
            <w:r w:rsidR="002729EA">
              <w:rPr>
                <w:noProof/>
                <w:webHidden/>
              </w:rPr>
              <w:t>14</w:t>
            </w:r>
            <w:r w:rsidR="002729EA">
              <w:rPr>
                <w:noProof/>
                <w:webHidden/>
              </w:rPr>
              <w:fldChar w:fldCharType="end"/>
            </w:r>
          </w:hyperlink>
        </w:p>
        <w:p w14:paraId="4474C50F" w14:textId="04ACEA2A" w:rsidR="002729EA" w:rsidRDefault="00BA0A3F">
          <w:pPr>
            <w:pStyle w:val="TOC1"/>
            <w:tabs>
              <w:tab w:val="right" w:leader="dot" w:pos="9016"/>
            </w:tabs>
            <w:rPr>
              <w:rFonts w:eastAsiaTheme="minorEastAsia"/>
              <w:noProof/>
              <w:lang w:eastAsia="en-GB"/>
            </w:rPr>
          </w:pPr>
          <w:hyperlink w:anchor="_Toc5802603" w:history="1">
            <w:r w:rsidR="002729EA" w:rsidRPr="00A2150A">
              <w:rPr>
                <w:rStyle w:val="Hyperlink"/>
                <w:noProof/>
              </w:rPr>
              <w:t>9. Observations, Lessons Learned &amp; Recommendations</w:t>
            </w:r>
            <w:r w:rsidR="002729EA">
              <w:rPr>
                <w:noProof/>
                <w:webHidden/>
              </w:rPr>
              <w:tab/>
            </w:r>
            <w:r w:rsidR="002729EA">
              <w:rPr>
                <w:noProof/>
                <w:webHidden/>
              </w:rPr>
              <w:fldChar w:fldCharType="begin"/>
            </w:r>
            <w:r w:rsidR="002729EA">
              <w:rPr>
                <w:noProof/>
                <w:webHidden/>
              </w:rPr>
              <w:instrText xml:space="preserve"> PAGEREF _Toc5802603 \h </w:instrText>
            </w:r>
            <w:r w:rsidR="002729EA">
              <w:rPr>
                <w:noProof/>
                <w:webHidden/>
              </w:rPr>
            </w:r>
            <w:r w:rsidR="002729EA">
              <w:rPr>
                <w:noProof/>
                <w:webHidden/>
              </w:rPr>
              <w:fldChar w:fldCharType="separate"/>
            </w:r>
            <w:r w:rsidR="002729EA">
              <w:rPr>
                <w:noProof/>
                <w:webHidden/>
              </w:rPr>
              <w:t>15</w:t>
            </w:r>
            <w:r w:rsidR="002729EA">
              <w:rPr>
                <w:noProof/>
                <w:webHidden/>
              </w:rPr>
              <w:fldChar w:fldCharType="end"/>
            </w:r>
          </w:hyperlink>
        </w:p>
        <w:p w14:paraId="4EB8A711" w14:textId="62E46002" w:rsidR="002729EA" w:rsidRDefault="00BA0A3F">
          <w:pPr>
            <w:pStyle w:val="TOC2"/>
            <w:tabs>
              <w:tab w:val="right" w:leader="dot" w:pos="9016"/>
            </w:tabs>
            <w:rPr>
              <w:rFonts w:eastAsiaTheme="minorEastAsia"/>
              <w:noProof/>
              <w:lang w:eastAsia="en-GB"/>
            </w:rPr>
          </w:pPr>
          <w:hyperlink w:anchor="_Toc5802604" w:history="1">
            <w:r w:rsidR="002729EA" w:rsidRPr="00A2150A">
              <w:rPr>
                <w:rStyle w:val="Hyperlink"/>
                <w:noProof/>
              </w:rPr>
              <w:t>9.1 Timescales &amp; Delivery</w:t>
            </w:r>
            <w:r w:rsidR="002729EA">
              <w:rPr>
                <w:noProof/>
                <w:webHidden/>
              </w:rPr>
              <w:tab/>
            </w:r>
            <w:r w:rsidR="002729EA">
              <w:rPr>
                <w:noProof/>
                <w:webHidden/>
              </w:rPr>
              <w:fldChar w:fldCharType="begin"/>
            </w:r>
            <w:r w:rsidR="002729EA">
              <w:rPr>
                <w:noProof/>
                <w:webHidden/>
              </w:rPr>
              <w:instrText xml:space="preserve"> PAGEREF _Toc5802604 \h </w:instrText>
            </w:r>
            <w:r w:rsidR="002729EA">
              <w:rPr>
                <w:noProof/>
                <w:webHidden/>
              </w:rPr>
            </w:r>
            <w:r w:rsidR="002729EA">
              <w:rPr>
                <w:noProof/>
                <w:webHidden/>
              </w:rPr>
              <w:fldChar w:fldCharType="separate"/>
            </w:r>
            <w:r w:rsidR="002729EA">
              <w:rPr>
                <w:noProof/>
                <w:webHidden/>
              </w:rPr>
              <w:t>15</w:t>
            </w:r>
            <w:r w:rsidR="002729EA">
              <w:rPr>
                <w:noProof/>
                <w:webHidden/>
              </w:rPr>
              <w:fldChar w:fldCharType="end"/>
            </w:r>
          </w:hyperlink>
        </w:p>
        <w:p w14:paraId="1CEE101E" w14:textId="78C5B5FD" w:rsidR="002729EA" w:rsidRDefault="00BA0A3F">
          <w:pPr>
            <w:pStyle w:val="TOC2"/>
            <w:tabs>
              <w:tab w:val="right" w:leader="dot" w:pos="9016"/>
            </w:tabs>
            <w:rPr>
              <w:rFonts w:eastAsiaTheme="minorEastAsia"/>
              <w:noProof/>
              <w:lang w:eastAsia="en-GB"/>
            </w:rPr>
          </w:pPr>
          <w:hyperlink w:anchor="_Toc5802605" w:history="1">
            <w:r w:rsidR="002729EA" w:rsidRPr="00A2150A">
              <w:rPr>
                <w:rStyle w:val="Hyperlink"/>
                <w:noProof/>
              </w:rPr>
              <w:t>9.2 Procurement</w:t>
            </w:r>
            <w:r w:rsidR="002729EA">
              <w:rPr>
                <w:noProof/>
                <w:webHidden/>
              </w:rPr>
              <w:tab/>
            </w:r>
            <w:r w:rsidR="002729EA">
              <w:rPr>
                <w:noProof/>
                <w:webHidden/>
              </w:rPr>
              <w:fldChar w:fldCharType="begin"/>
            </w:r>
            <w:r w:rsidR="002729EA">
              <w:rPr>
                <w:noProof/>
                <w:webHidden/>
              </w:rPr>
              <w:instrText xml:space="preserve"> PAGEREF _Toc5802605 \h </w:instrText>
            </w:r>
            <w:r w:rsidR="002729EA">
              <w:rPr>
                <w:noProof/>
                <w:webHidden/>
              </w:rPr>
            </w:r>
            <w:r w:rsidR="002729EA">
              <w:rPr>
                <w:noProof/>
                <w:webHidden/>
              </w:rPr>
              <w:fldChar w:fldCharType="separate"/>
            </w:r>
            <w:r w:rsidR="002729EA">
              <w:rPr>
                <w:noProof/>
                <w:webHidden/>
              </w:rPr>
              <w:t>16</w:t>
            </w:r>
            <w:r w:rsidR="002729EA">
              <w:rPr>
                <w:noProof/>
                <w:webHidden/>
              </w:rPr>
              <w:fldChar w:fldCharType="end"/>
            </w:r>
          </w:hyperlink>
        </w:p>
        <w:p w14:paraId="73ED19AD" w14:textId="3675055E" w:rsidR="002729EA" w:rsidRDefault="00BA0A3F">
          <w:pPr>
            <w:pStyle w:val="TOC2"/>
            <w:tabs>
              <w:tab w:val="right" w:leader="dot" w:pos="9016"/>
            </w:tabs>
            <w:rPr>
              <w:rFonts w:eastAsiaTheme="minorEastAsia"/>
              <w:noProof/>
              <w:lang w:eastAsia="en-GB"/>
            </w:rPr>
          </w:pPr>
          <w:hyperlink w:anchor="_Toc5802606" w:history="1">
            <w:r w:rsidR="002729EA" w:rsidRPr="00A2150A">
              <w:rPr>
                <w:rStyle w:val="Hyperlink"/>
                <w:noProof/>
              </w:rPr>
              <w:t>9.3 Sponsorship &amp; Governance</w:t>
            </w:r>
            <w:r w:rsidR="002729EA">
              <w:rPr>
                <w:noProof/>
                <w:webHidden/>
              </w:rPr>
              <w:tab/>
            </w:r>
            <w:r w:rsidR="002729EA">
              <w:rPr>
                <w:noProof/>
                <w:webHidden/>
              </w:rPr>
              <w:fldChar w:fldCharType="begin"/>
            </w:r>
            <w:r w:rsidR="002729EA">
              <w:rPr>
                <w:noProof/>
                <w:webHidden/>
              </w:rPr>
              <w:instrText xml:space="preserve"> PAGEREF _Toc5802606 \h </w:instrText>
            </w:r>
            <w:r w:rsidR="002729EA">
              <w:rPr>
                <w:noProof/>
                <w:webHidden/>
              </w:rPr>
            </w:r>
            <w:r w:rsidR="002729EA">
              <w:rPr>
                <w:noProof/>
                <w:webHidden/>
              </w:rPr>
              <w:fldChar w:fldCharType="separate"/>
            </w:r>
            <w:r w:rsidR="002729EA">
              <w:rPr>
                <w:noProof/>
                <w:webHidden/>
              </w:rPr>
              <w:t>16</w:t>
            </w:r>
            <w:r w:rsidR="002729EA">
              <w:rPr>
                <w:noProof/>
                <w:webHidden/>
              </w:rPr>
              <w:fldChar w:fldCharType="end"/>
            </w:r>
          </w:hyperlink>
        </w:p>
        <w:p w14:paraId="69FEE653" w14:textId="0971D4DF" w:rsidR="002729EA" w:rsidRDefault="00BA0A3F">
          <w:pPr>
            <w:pStyle w:val="TOC2"/>
            <w:tabs>
              <w:tab w:val="right" w:leader="dot" w:pos="9016"/>
            </w:tabs>
            <w:rPr>
              <w:rFonts w:eastAsiaTheme="minorEastAsia"/>
              <w:noProof/>
              <w:lang w:eastAsia="en-GB"/>
            </w:rPr>
          </w:pPr>
          <w:hyperlink w:anchor="_Toc5802607" w:history="1">
            <w:r w:rsidR="002729EA" w:rsidRPr="00A2150A">
              <w:rPr>
                <w:rStyle w:val="Hyperlink"/>
                <w:noProof/>
              </w:rPr>
              <w:t>9.4 Resourcing</w:t>
            </w:r>
            <w:r w:rsidR="002729EA">
              <w:rPr>
                <w:noProof/>
                <w:webHidden/>
              </w:rPr>
              <w:tab/>
            </w:r>
            <w:r w:rsidR="002729EA">
              <w:rPr>
                <w:noProof/>
                <w:webHidden/>
              </w:rPr>
              <w:fldChar w:fldCharType="begin"/>
            </w:r>
            <w:r w:rsidR="002729EA">
              <w:rPr>
                <w:noProof/>
                <w:webHidden/>
              </w:rPr>
              <w:instrText xml:space="preserve"> PAGEREF _Toc5802607 \h </w:instrText>
            </w:r>
            <w:r w:rsidR="002729EA">
              <w:rPr>
                <w:noProof/>
                <w:webHidden/>
              </w:rPr>
            </w:r>
            <w:r w:rsidR="002729EA">
              <w:rPr>
                <w:noProof/>
                <w:webHidden/>
              </w:rPr>
              <w:fldChar w:fldCharType="separate"/>
            </w:r>
            <w:r w:rsidR="002729EA">
              <w:rPr>
                <w:noProof/>
                <w:webHidden/>
              </w:rPr>
              <w:t>17</w:t>
            </w:r>
            <w:r w:rsidR="002729EA">
              <w:rPr>
                <w:noProof/>
                <w:webHidden/>
              </w:rPr>
              <w:fldChar w:fldCharType="end"/>
            </w:r>
          </w:hyperlink>
        </w:p>
        <w:p w14:paraId="72D6EE51" w14:textId="032559BA" w:rsidR="002729EA" w:rsidRDefault="00BA0A3F">
          <w:pPr>
            <w:pStyle w:val="TOC2"/>
            <w:tabs>
              <w:tab w:val="right" w:leader="dot" w:pos="9016"/>
            </w:tabs>
            <w:rPr>
              <w:rFonts w:eastAsiaTheme="minorEastAsia"/>
              <w:noProof/>
              <w:lang w:eastAsia="en-GB"/>
            </w:rPr>
          </w:pPr>
          <w:hyperlink w:anchor="_Toc5802608" w:history="1">
            <w:r w:rsidR="002729EA" w:rsidRPr="00A2150A">
              <w:rPr>
                <w:rStyle w:val="Hyperlink"/>
                <w:noProof/>
              </w:rPr>
              <w:t>9.5 Communications &amp; Engagement</w:t>
            </w:r>
            <w:r w:rsidR="002729EA">
              <w:rPr>
                <w:noProof/>
                <w:webHidden/>
              </w:rPr>
              <w:tab/>
            </w:r>
            <w:r w:rsidR="002729EA">
              <w:rPr>
                <w:noProof/>
                <w:webHidden/>
              </w:rPr>
              <w:fldChar w:fldCharType="begin"/>
            </w:r>
            <w:r w:rsidR="002729EA">
              <w:rPr>
                <w:noProof/>
                <w:webHidden/>
              </w:rPr>
              <w:instrText xml:space="preserve"> PAGEREF _Toc5802608 \h </w:instrText>
            </w:r>
            <w:r w:rsidR="002729EA">
              <w:rPr>
                <w:noProof/>
                <w:webHidden/>
              </w:rPr>
            </w:r>
            <w:r w:rsidR="002729EA">
              <w:rPr>
                <w:noProof/>
                <w:webHidden/>
              </w:rPr>
              <w:fldChar w:fldCharType="separate"/>
            </w:r>
            <w:r w:rsidR="002729EA">
              <w:rPr>
                <w:noProof/>
                <w:webHidden/>
              </w:rPr>
              <w:t>18</w:t>
            </w:r>
            <w:r w:rsidR="002729EA">
              <w:rPr>
                <w:noProof/>
                <w:webHidden/>
              </w:rPr>
              <w:fldChar w:fldCharType="end"/>
            </w:r>
          </w:hyperlink>
        </w:p>
        <w:p w14:paraId="3A819668" w14:textId="74F7B610" w:rsidR="002729EA" w:rsidRDefault="00BA0A3F">
          <w:pPr>
            <w:pStyle w:val="TOC2"/>
            <w:tabs>
              <w:tab w:val="right" w:leader="dot" w:pos="9016"/>
            </w:tabs>
            <w:rPr>
              <w:rFonts w:eastAsiaTheme="minorEastAsia"/>
              <w:noProof/>
              <w:lang w:eastAsia="en-GB"/>
            </w:rPr>
          </w:pPr>
          <w:hyperlink w:anchor="_Toc5802609" w:history="1">
            <w:r w:rsidR="002729EA" w:rsidRPr="00A2150A">
              <w:rPr>
                <w:rStyle w:val="Hyperlink"/>
                <w:noProof/>
              </w:rPr>
              <w:t>9.6 Training</w:t>
            </w:r>
            <w:r w:rsidR="002729EA">
              <w:rPr>
                <w:noProof/>
                <w:webHidden/>
              </w:rPr>
              <w:tab/>
            </w:r>
            <w:r w:rsidR="002729EA">
              <w:rPr>
                <w:noProof/>
                <w:webHidden/>
              </w:rPr>
              <w:fldChar w:fldCharType="begin"/>
            </w:r>
            <w:r w:rsidR="002729EA">
              <w:rPr>
                <w:noProof/>
                <w:webHidden/>
              </w:rPr>
              <w:instrText xml:space="preserve"> PAGEREF _Toc5802609 \h </w:instrText>
            </w:r>
            <w:r w:rsidR="002729EA">
              <w:rPr>
                <w:noProof/>
                <w:webHidden/>
              </w:rPr>
            </w:r>
            <w:r w:rsidR="002729EA">
              <w:rPr>
                <w:noProof/>
                <w:webHidden/>
              </w:rPr>
              <w:fldChar w:fldCharType="separate"/>
            </w:r>
            <w:r w:rsidR="002729EA">
              <w:rPr>
                <w:noProof/>
                <w:webHidden/>
              </w:rPr>
              <w:t>19</w:t>
            </w:r>
            <w:r w:rsidR="002729EA">
              <w:rPr>
                <w:noProof/>
                <w:webHidden/>
              </w:rPr>
              <w:fldChar w:fldCharType="end"/>
            </w:r>
          </w:hyperlink>
        </w:p>
        <w:p w14:paraId="1873ECB9" w14:textId="17497698" w:rsidR="002729EA" w:rsidRDefault="00BA0A3F">
          <w:pPr>
            <w:pStyle w:val="TOC2"/>
            <w:tabs>
              <w:tab w:val="right" w:leader="dot" w:pos="9016"/>
            </w:tabs>
            <w:rPr>
              <w:rFonts w:eastAsiaTheme="minorEastAsia"/>
              <w:noProof/>
              <w:lang w:eastAsia="en-GB"/>
            </w:rPr>
          </w:pPr>
          <w:hyperlink w:anchor="_Toc5802610" w:history="1">
            <w:r w:rsidR="002729EA" w:rsidRPr="00A2150A">
              <w:rPr>
                <w:rStyle w:val="Hyperlink"/>
                <w:noProof/>
              </w:rPr>
              <w:t>9.7 Internal Development</w:t>
            </w:r>
            <w:r w:rsidR="002729EA">
              <w:rPr>
                <w:noProof/>
                <w:webHidden/>
              </w:rPr>
              <w:tab/>
            </w:r>
            <w:r w:rsidR="002729EA">
              <w:rPr>
                <w:noProof/>
                <w:webHidden/>
              </w:rPr>
              <w:fldChar w:fldCharType="begin"/>
            </w:r>
            <w:r w:rsidR="002729EA">
              <w:rPr>
                <w:noProof/>
                <w:webHidden/>
              </w:rPr>
              <w:instrText xml:space="preserve"> PAGEREF _Toc5802610 \h </w:instrText>
            </w:r>
            <w:r w:rsidR="002729EA">
              <w:rPr>
                <w:noProof/>
                <w:webHidden/>
              </w:rPr>
            </w:r>
            <w:r w:rsidR="002729EA">
              <w:rPr>
                <w:noProof/>
                <w:webHidden/>
              </w:rPr>
              <w:fldChar w:fldCharType="separate"/>
            </w:r>
            <w:r w:rsidR="002729EA">
              <w:rPr>
                <w:noProof/>
                <w:webHidden/>
              </w:rPr>
              <w:t>19</w:t>
            </w:r>
            <w:r w:rsidR="002729EA">
              <w:rPr>
                <w:noProof/>
                <w:webHidden/>
              </w:rPr>
              <w:fldChar w:fldCharType="end"/>
            </w:r>
          </w:hyperlink>
        </w:p>
        <w:p w14:paraId="324D3FFD" w14:textId="614AEC54" w:rsidR="002729EA" w:rsidRDefault="00BA0A3F">
          <w:pPr>
            <w:pStyle w:val="TOC2"/>
            <w:tabs>
              <w:tab w:val="right" w:leader="dot" w:pos="9016"/>
            </w:tabs>
            <w:rPr>
              <w:rFonts w:eastAsiaTheme="minorEastAsia"/>
              <w:noProof/>
              <w:lang w:eastAsia="en-GB"/>
            </w:rPr>
          </w:pPr>
          <w:hyperlink w:anchor="_Toc5802611" w:history="1">
            <w:r w:rsidR="002729EA" w:rsidRPr="00A2150A">
              <w:rPr>
                <w:rStyle w:val="Hyperlink"/>
                <w:noProof/>
              </w:rPr>
              <w:t>9.8 General</w:t>
            </w:r>
            <w:r w:rsidR="002729EA">
              <w:rPr>
                <w:noProof/>
                <w:webHidden/>
              </w:rPr>
              <w:tab/>
            </w:r>
            <w:r w:rsidR="002729EA">
              <w:rPr>
                <w:noProof/>
                <w:webHidden/>
              </w:rPr>
              <w:fldChar w:fldCharType="begin"/>
            </w:r>
            <w:r w:rsidR="002729EA">
              <w:rPr>
                <w:noProof/>
                <w:webHidden/>
              </w:rPr>
              <w:instrText xml:space="preserve"> PAGEREF _Toc5802611 \h </w:instrText>
            </w:r>
            <w:r w:rsidR="002729EA">
              <w:rPr>
                <w:noProof/>
                <w:webHidden/>
              </w:rPr>
            </w:r>
            <w:r w:rsidR="002729EA">
              <w:rPr>
                <w:noProof/>
                <w:webHidden/>
              </w:rPr>
              <w:fldChar w:fldCharType="separate"/>
            </w:r>
            <w:r w:rsidR="002729EA">
              <w:rPr>
                <w:noProof/>
                <w:webHidden/>
              </w:rPr>
              <w:t>20</w:t>
            </w:r>
            <w:r w:rsidR="002729EA">
              <w:rPr>
                <w:noProof/>
                <w:webHidden/>
              </w:rPr>
              <w:fldChar w:fldCharType="end"/>
            </w:r>
          </w:hyperlink>
        </w:p>
        <w:p w14:paraId="589C8B06" w14:textId="5DFE6DD6" w:rsidR="002729EA" w:rsidRDefault="00BA0A3F">
          <w:pPr>
            <w:pStyle w:val="TOC1"/>
            <w:tabs>
              <w:tab w:val="right" w:leader="dot" w:pos="9016"/>
            </w:tabs>
            <w:rPr>
              <w:rFonts w:eastAsiaTheme="minorEastAsia"/>
              <w:noProof/>
              <w:lang w:eastAsia="en-GB"/>
            </w:rPr>
          </w:pPr>
          <w:hyperlink w:anchor="_Toc5802612" w:history="1">
            <w:r w:rsidR="002729EA" w:rsidRPr="00A2150A">
              <w:rPr>
                <w:rStyle w:val="Hyperlink"/>
                <w:noProof/>
              </w:rPr>
              <w:t>10. Outstanding Activities</w:t>
            </w:r>
            <w:r w:rsidR="002729EA">
              <w:rPr>
                <w:noProof/>
                <w:webHidden/>
              </w:rPr>
              <w:tab/>
            </w:r>
            <w:r w:rsidR="002729EA">
              <w:rPr>
                <w:noProof/>
                <w:webHidden/>
              </w:rPr>
              <w:fldChar w:fldCharType="begin"/>
            </w:r>
            <w:r w:rsidR="002729EA">
              <w:rPr>
                <w:noProof/>
                <w:webHidden/>
              </w:rPr>
              <w:instrText xml:space="preserve"> PAGEREF _Toc5802612 \h </w:instrText>
            </w:r>
            <w:r w:rsidR="002729EA">
              <w:rPr>
                <w:noProof/>
                <w:webHidden/>
              </w:rPr>
            </w:r>
            <w:r w:rsidR="002729EA">
              <w:rPr>
                <w:noProof/>
                <w:webHidden/>
              </w:rPr>
              <w:fldChar w:fldCharType="separate"/>
            </w:r>
            <w:r w:rsidR="002729EA">
              <w:rPr>
                <w:noProof/>
                <w:webHidden/>
              </w:rPr>
              <w:t>20</w:t>
            </w:r>
            <w:r w:rsidR="002729EA">
              <w:rPr>
                <w:noProof/>
                <w:webHidden/>
              </w:rPr>
              <w:fldChar w:fldCharType="end"/>
            </w:r>
          </w:hyperlink>
        </w:p>
        <w:p w14:paraId="32B97957" w14:textId="31279DE3" w:rsidR="00AD0228" w:rsidRDefault="00AD0228" w:rsidP="002729EA">
          <w:pPr>
            <w:pStyle w:val="TOC1"/>
            <w:tabs>
              <w:tab w:val="right" w:leader="dot" w:pos="9016"/>
            </w:tabs>
          </w:pPr>
          <w:r w:rsidRPr="006B4B2A">
            <w:rPr>
              <w:b/>
              <w:bCs/>
              <w:noProof/>
            </w:rPr>
            <w:fldChar w:fldCharType="end"/>
          </w:r>
        </w:p>
      </w:sdtContent>
    </w:sdt>
    <w:p w14:paraId="3E2F1EA2" w14:textId="77EC0AF0" w:rsidR="00FA61E4" w:rsidRPr="00FC0C0B" w:rsidRDefault="00FA61E4">
      <w:r w:rsidRPr="00FC0C0B">
        <w:br w:type="page"/>
      </w:r>
    </w:p>
    <w:p w14:paraId="0B466F40" w14:textId="3544B018" w:rsidR="00563909" w:rsidRPr="00600E8E" w:rsidRDefault="00AB4336" w:rsidP="00AB4336">
      <w:pPr>
        <w:pStyle w:val="Heading1"/>
      </w:pPr>
      <w:bookmarkStart w:id="5" w:name="_Toc5802592"/>
      <w:r>
        <w:lastRenderedPageBreak/>
        <w:t xml:space="preserve">1. </w:t>
      </w:r>
      <w:r w:rsidR="002E7666">
        <w:t>Executive Summary</w:t>
      </w:r>
      <w:bookmarkEnd w:id="5"/>
    </w:p>
    <w:p w14:paraId="288D7C1A" w14:textId="039845BC" w:rsidR="00FC0C0B" w:rsidRPr="002E7666" w:rsidRDefault="00FC0C0B" w:rsidP="00FA61E4">
      <w:pPr>
        <w:pStyle w:val="NoSpacing"/>
      </w:pPr>
    </w:p>
    <w:p w14:paraId="03B7E40A" w14:textId="0C7C9B7F" w:rsidR="002E7666" w:rsidRDefault="00E660CF" w:rsidP="00FA61E4">
      <w:pPr>
        <w:pStyle w:val="NoSpacing"/>
      </w:pPr>
      <w:r>
        <w:t>The HR &amp; OD Business Solution (HOBS) Project undertook a procurement process to select a</w:t>
      </w:r>
      <w:r w:rsidR="00081D67">
        <w:t xml:space="preserve"> replacement HR, Payroll and Learning Management Solution.</w:t>
      </w:r>
    </w:p>
    <w:p w14:paraId="007AD674" w14:textId="6389942B" w:rsidR="00081D67" w:rsidRDefault="00081D67" w:rsidP="00FA61E4">
      <w:pPr>
        <w:pStyle w:val="NoSpacing"/>
      </w:pPr>
    </w:p>
    <w:p w14:paraId="16D53DA4" w14:textId="2B22E3E0" w:rsidR="00214337" w:rsidRDefault="00214337" w:rsidP="00FA61E4">
      <w:pPr>
        <w:pStyle w:val="NoSpacing"/>
      </w:pPr>
      <w:r>
        <w:t xml:space="preserve">Engagement </w:t>
      </w:r>
      <w:r w:rsidR="00575B0B">
        <w:t xml:space="preserve">took place </w:t>
      </w:r>
      <w:r>
        <w:t xml:space="preserve">via regular workshops </w:t>
      </w:r>
      <w:r w:rsidR="00575B0B">
        <w:t xml:space="preserve">with key stakeholders and end users along with a number of </w:t>
      </w:r>
      <w:r>
        <w:t>station visits</w:t>
      </w:r>
      <w:r w:rsidR="00575B0B">
        <w:t>. This</w:t>
      </w:r>
      <w:r>
        <w:t xml:space="preserve"> culminated in a comprehensive business requirements document</w:t>
      </w:r>
      <w:r w:rsidR="00575B0B">
        <w:t xml:space="preserve">, </w:t>
      </w:r>
      <w:r>
        <w:t xml:space="preserve">used to measure the suitability of our successful product and any competitors. Carval Unity </w:t>
      </w:r>
      <w:r w:rsidR="00575B0B">
        <w:t>scored highest against our requirements, with the Service awarding Carval the contract. Civica subsequently purchased Carval</w:t>
      </w:r>
      <w:r>
        <w:t xml:space="preserve"> </w:t>
      </w:r>
      <w:r w:rsidR="00575B0B">
        <w:t>during implementation and the product rebranded as Civica HR &amp; Payroll.</w:t>
      </w:r>
    </w:p>
    <w:p w14:paraId="2543BDCD" w14:textId="77777777" w:rsidR="00214337" w:rsidRDefault="00214337" w:rsidP="00FA61E4">
      <w:pPr>
        <w:pStyle w:val="NoSpacing"/>
      </w:pPr>
    </w:p>
    <w:p w14:paraId="7C709DFC" w14:textId="58897B4B" w:rsidR="00214337" w:rsidRDefault="00081D67" w:rsidP="00FA61E4">
      <w:pPr>
        <w:pStyle w:val="NoSpacing"/>
      </w:pPr>
      <w:r>
        <w:t>Throu</w:t>
      </w:r>
      <w:r w:rsidR="00214337">
        <w:t>g</w:t>
      </w:r>
      <w:r>
        <w:t xml:space="preserve">hout the lifecycle of the </w:t>
      </w:r>
      <w:r w:rsidR="00575B0B">
        <w:t>P</w:t>
      </w:r>
      <w:r>
        <w:t xml:space="preserve">roject, </w:t>
      </w:r>
      <w:r w:rsidR="00214337">
        <w:t xml:space="preserve">our People Systems Programme </w:t>
      </w:r>
      <w:r w:rsidR="00AF1E7F">
        <w:t>Board and Project Team meetings</w:t>
      </w:r>
      <w:r w:rsidR="00575B0B">
        <w:t xml:space="preserve"> engaged a broad range of key stakeholders</w:t>
      </w:r>
      <w:r w:rsidR="00F34C69">
        <w:t xml:space="preserve">, with </w:t>
      </w:r>
      <w:r w:rsidR="00AF1E7F">
        <w:t>effective communication</w:t>
      </w:r>
      <w:r w:rsidR="00575B0B">
        <w:t>s</w:t>
      </w:r>
      <w:r w:rsidR="00AF1E7F">
        <w:t xml:space="preserve"> </w:t>
      </w:r>
      <w:r w:rsidR="00F34C69">
        <w:t>ensuring</w:t>
      </w:r>
      <w:r w:rsidR="00575B0B">
        <w:t xml:space="preserve"> progress </w:t>
      </w:r>
      <w:r w:rsidR="00F34C69">
        <w:t xml:space="preserve">shared with our staff </w:t>
      </w:r>
      <w:r w:rsidR="00575B0B">
        <w:t>at appropriate times</w:t>
      </w:r>
      <w:r w:rsidR="00AF1E7F">
        <w:t>.</w:t>
      </w:r>
    </w:p>
    <w:p w14:paraId="3C19E5C8" w14:textId="52C4A2AA" w:rsidR="00214337" w:rsidRDefault="00214337" w:rsidP="00FA61E4">
      <w:pPr>
        <w:pStyle w:val="NoSpacing"/>
      </w:pPr>
    </w:p>
    <w:p w14:paraId="5CA147AC" w14:textId="0C918348" w:rsidR="00214337" w:rsidRDefault="00214337" w:rsidP="00FA61E4">
      <w:pPr>
        <w:pStyle w:val="NoSpacing"/>
      </w:pPr>
      <w:r>
        <w:t xml:space="preserve">Existing internal resources were seconded to the </w:t>
      </w:r>
      <w:r w:rsidR="00575B0B">
        <w:t>P</w:t>
      </w:r>
      <w:r>
        <w:t>roject</w:t>
      </w:r>
      <w:r w:rsidR="00575B0B">
        <w:t>,</w:t>
      </w:r>
      <w:r>
        <w:t xml:space="preserve"> bringing with</w:t>
      </w:r>
      <w:r w:rsidR="00AF1E7F">
        <w:t xml:space="preserve"> them an </w:t>
      </w:r>
      <w:r>
        <w:t xml:space="preserve">understanding </w:t>
      </w:r>
      <w:r w:rsidR="00575B0B">
        <w:t>of</w:t>
      </w:r>
      <w:r>
        <w:t xml:space="preserve"> the ways of working of the </w:t>
      </w:r>
      <w:r w:rsidR="00575B0B">
        <w:t>S</w:t>
      </w:r>
      <w:r>
        <w:t>ervice</w:t>
      </w:r>
      <w:r w:rsidR="00575B0B">
        <w:t>,</w:t>
      </w:r>
      <w:r>
        <w:t xml:space="preserve"> and subsequently retaining the replacement system knowledge when returning to </w:t>
      </w:r>
      <w:r w:rsidR="00575B0B">
        <w:t xml:space="preserve">their </w:t>
      </w:r>
      <w:r>
        <w:t>substantive positions.</w:t>
      </w:r>
    </w:p>
    <w:p w14:paraId="326DEDA7" w14:textId="2422B79F" w:rsidR="00214337" w:rsidRDefault="00214337" w:rsidP="00FA61E4">
      <w:pPr>
        <w:pStyle w:val="NoSpacing"/>
      </w:pPr>
    </w:p>
    <w:p w14:paraId="66D96081" w14:textId="77777777" w:rsidR="00575B0B" w:rsidRDefault="00214337" w:rsidP="00FA61E4">
      <w:pPr>
        <w:pStyle w:val="NoSpacing"/>
      </w:pPr>
      <w:r>
        <w:t>With more detail known about Civica during the implementation process, the shape of the interfaces to</w:t>
      </w:r>
      <w:r w:rsidR="00AF1E7F">
        <w:t xml:space="preserve"> o</w:t>
      </w:r>
      <w:r>
        <w:t>ur other systems became clearer</w:t>
      </w:r>
      <w:r w:rsidR="00575B0B">
        <w:t>,</w:t>
      </w:r>
      <w:r>
        <w:t xml:space="preserve"> and as a consequence</w:t>
      </w:r>
      <w:r w:rsidR="00575B0B">
        <w:t>,</w:t>
      </w:r>
      <w:r>
        <w:t xml:space="preserve"> further supporting activities were identified that changed the scope </w:t>
      </w:r>
      <w:r w:rsidR="00575B0B">
        <w:t xml:space="preserve">and timeline </w:t>
      </w:r>
      <w:r>
        <w:t xml:space="preserve">of the </w:t>
      </w:r>
      <w:r w:rsidR="00575B0B">
        <w:t>P</w:t>
      </w:r>
      <w:r>
        <w:t xml:space="preserve">roject. </w:t>
      </w:r>
    </w:p>
    <w:p w14:paraId="633C7A20" w14:textId="77777777" w:rsidR="00575B0B" w:rsidRDefault="00575B0B" w:rsidP="00FA61E4">
      <w:pPr>
        <w:pStyle w:val="NoSpacing"/>
      </w:pPr>
    </w:p>
    <w:p w14:paraId="62EB169E" w14:textId="4DF325FB" w:rsidR="00214337" w:rsidRDefault="00575B0B" w:rsidP="00FA61E4">
      <w:pPr>
        <w:pStyle w:val="NoSpacing"/>
      </w:pPr>
      <w:r>
        <w:t xml:space="preserve">To ensure </w:t>
      </w:r>
      <w:r w:rsidR="003A586A">
        <w:t>adherence</w:t>
      </w:r>
      <w:r>
        <w:t xml:space="preserve"> with governance processes, the team maintained all </w:t>
      </w:r>
      <w:r w:rsidR="00214337">
        <w:t>Project documentation throughout</w:t>
      </w:r>
      <w:r>
        <w:t xml:space="preserve"> the lifecycle of the Project. This</w:t>
      </w:r>
      <w:r w:rsidR="00214337">
        <w:t xml:space="preserve"> including changes to the </w:t>
      </w:r>
      <w:r>
        <w:t>scope</w:t>
      </w:r>
      <w:r w:rsidR="00214337">
        <w:t xml:space="preserve"> and </w:t>
      </w:r>
      <w:r>
        <w:t>schedule</w:t>
      </w:r>
      <w:r w:rsidR="00214337">
        <w:t xml:space="preserve"> of the </w:t>
      </w:r>
      <w:r w:rsidR="00F02A3B">
        <w:t>P</w:t>
      </w:r>
      <w:r w:rsidR="00214337">
        <w:t>roject.</w:t>
      </w:r>
    </w:p>
    <w:p w14:paraId="0404E195" w14:textId="24888A62" w:rsidR="00825E8C" w:rsidRDefault="00825E8C" w:rsidP="00FA61E4">
      <w:pPr>
        <w:pStyle w:val="NoSpacing"/>
      </w:pPr>
    </w:p>
    <w:p w14:paraId="0D49A62D" w14:textId="3E7ABB67" w:rsidR="009B3B1D" w:rsidRDefault="009B3B1D" w:rsidP="009B3B1D">
      <w:pPr>
        <w:pStyle w:val="NoSpacing"/>
      </w:pPr>
      <w:r>
        <w:t>Following go-live on December 3</w:t>
      </w:r>
      <w:r w:rsidRPr="009B3B1D">
        <w:rPr>
          <w:vertAlign w:val="superscript"/>
        </w:rPr>
        <w:t>rd</w:t>
      </w:r>
      <w:r>
        <w:t>, SAP performed the December pay run, with the first Civica-only pay run undertaken in January. The Service</w:t>
      </w:r>
      <w:r w:rsidRPr="00BD6657">
        <w:t xml:space="preserve"> encountered </w:t>
      </w:r>
      <w:r>
        <w:t>issue</w:t>
      </w:r>
      <w:r w:rsidR="00485ACE">
        <w:t>s</w:t>
      </w:r>
      <w:r w:rsidRPr="00BD6657">
        <w:t xml:space="preserve"> resulting in occurrences of underpayments to staff. </w:t>
      </w:r>
      <w:r>
        <w:t xml:space="preserve">The issues related to </w:t>
      </w:r>
      <w:r w:rsidR="00DC392D">
        <w:t xml:space="preserve">a Service requested </w:t>
      </w:r>
      <w:r>
        <w:t>customisation and timesheets</w:t>
      </w:r>
      <w:r w:rsidR="00C609DE">
        <w:t>.</w:t>
      </w:r>
    </w:p>
    <w:p w14:paraId="7DD6F563" w14:textId="77777777" w:rsidR="009B3B1D" w:rsidRDefault="009B3B1D" w:rsidP="009B3B1D">
      <w:pPr>
        <w:pStyle w:val="NoSpacing"/>
      </w:pPr>
    </w:p>
    <w:p w14:paraId="0B983AAE" w14:textId="6BE76973" w:rsidR="00C609DE" w:rsidRDefault="00C609DE" w:rsidP="009B3B1D">
      <w:pPr>
        <w:pStyle w:val="NoSpacing"/>
      </w:pPr>
      <w:r>
        <w:t>The On-Call timesheet</w:t>
      </w:r>
      <w:r w:rsidR="009B3B1D" w:rsidRPr="00BD6657">
        <w:t xml:space="preserve"> customisation relating </w:t>
      </w:r>
      <w:r>
        <w:t>to</w:t>
      </w:r>
      <w:r w:rsidR="009B3B1D" w:rsidRPr="00BD6657">
        <w:t xml:space="preserve"> activity payments of less than an hour, did not work as expected. </w:t>
      </w:r>
      <w:r w:rsidR="00801F74">
        <w:t>T</w:t>
      </w:r>
      <w:r w:rsidR="00485ACE" w:rsidRPr="00BD6657">
        <w:t>imesheets</w:t>
      </w:r>
      <w:r w:rsidR="00485ACE">
        <w:t xml:space="preserve"> </w:t>
      </w:r>
      <w:r w:rsidR="00485ACE" w:rsidRPr="00BD6657">
        <w:t xml:space="preserve">not submitted </w:t>
      </w:r>
      <w:r w:rsidR="00485ACE">
        <w:t>or</w:t>
      </w:r>
      <w:r w:rsidR="00485ACE" w:rsidRPr="00BD6657">
        <w:t xml:space="preserve"> </w:t>
      </w:r>
      <w:r w:rsidR="00801F74">
        <w:t>authorised</w:t>
      </w:r>
      <w:r w:rsidR="00485ACE">
        <w:t xml:space="preserve"> </w:t>
      </w:r>
      <w:r w:rsidR="00801F74">
        <w:t xml:space="preserve">because </w:t>
      </w:r>
      <w:r w:rsidR="00485ACE">
        <w:t>of staff not following processes correctly</w:t>
      </w:r>
      <w:r w:rsidR="00801F74">
        <w:t xml:space="preserve"> excluded </w:t>
      </w:r>
      <w:r w:rsidR="00485ACE">
        <w:t xml:space="preserve">the hours recorded </w:t>
      </w:r>
      <w:r w:rsidR="00801F74">
        <w:t>from</w:t>
      </w:r>
      <w:r w:rsidR="00485ACE">
        <w:t xml:space="preserve"> the January pay run</w:t>
      </w:r>
      <w:r w:rsidR="009B3B1D" w:rsidRPr="00BD6657">
        <w:t xml:space="preserve">. </w:t>
      </w:r>
    </w:p>
    <w:p w14:paraId="58106ED7" w14:textId="77777777" w:rsidR="00C609DE" w:rsidRDefault="00C609DE" w:rsidP="009B3B1D">
      <w:pPr>
        <w:pStyle w:val="NoSpacing"/>
      </w:pPr>
    </w:p>
    <w:p w14:paraId="4FB4BCB4" w14:textId="00A75713" w:rsidR="009B3B1D" w:rsidRPr="00DC392D" w:rsidRDefault="009B3B1D" w:rsidP="00DC392D">
      <w:pPr>
        <w:pStyle w:val="NoSpacing"/>
      </w:pPr>
      <w:r w:rsidRPr="00BD6657">
        <w:t xml:space="preserve">To address this, for January’s pay, Pay Section made out of payroll payments to 59 individuals, totalling £17,273.51, with a further 169 manual adjustments in February’s pay run, to avert further underpayments. </w:t>
      </w:r>
      <w:r w:rsidR="00801F74">
        <w:t xml:space="preserve">The manual adjustments had an impact on Pay Section, causing additional work from January that ran into February. Whilst the number of issues decreased in February, </w:t>
      </w:r>
      <w:r w:rsidR="00801F74" w:rsidRPr="00BD6657">
        <w:t>Pay Section made a further 30 out of payroll payments, totalling £5,382.80</w:t>
      </w:r>
      <w:r w:rsidR="00801F74">
        <w:t>, after the February pay run</w:t>
      </w:r>
      <w:r w:rsidR="00801F74" w:rsidRPr="00BD6657">
        <w:t>.</w:t>
      </w:r>
      <w:r w:rsidR="00DC392D">
        <w:t xml:space="preserve"> T</w:t>
      </w:r>
      <w:r w:rsidR="00DC392D" w:rsidRPr="00DC392D">
        <w:t>he timesheet customisation issue</w:t>
      </w:r>
      <w:r w:rsidR="00DC392D">
        <w:t xml:space="preserve"> was resolved</w:t>
      </w:r>
      <w:r w:rsidR="00DC392D" w:rsidRPr="00DC392D">
        <w:t>.</w:t>
      </w:r>
    </w:p>
    <w:p w14:paraId="12EBB5CB" w14:textId="1EA3BD73" w:rsidR="00801F74" w:rsidRDefault="00801F74" w:rsidP="00801F74">
      <w:pPr>
        <w:pStyle w:val="NoSpacing"/>
      </w:pPr>
    </w:p>
    <w:p w14:paraId="45092692" w14:textId="16B24F0E" w:rsidR="00485ACE" w:rsidRDefault="00801F74" w:rsidP="00801F74">
      <w:pPr>
        <w:pStyle w:val="NoSpacing"/>
      </w:pPr>
      <w:r>
        <w:t>As staff became familiar with the processes following additional 1:1 support, enquiries following the March pay run reduced to expected levels.</w:t>
      </w:r>
      <w:r w:rsidR="00DC392D">
        <w:t xml:space="preserve"> The end of the financial year April pay run executed without encountering unexpe</w:t>
      </w:r>
      <w:bookmarkStart w:id="6" w:name="_GoBack"/>
      <w:bookmarkEnd w:id="6"/>
      <w:r w:rsidR="00DC392D">
        <w:t>cted issues. All transactional areas are working confidently with the system.</w:t>
      </w:r>
    </w:p>
    <w:p w14:paraId="28E25E62" w14:textId="1D7D34B4" w:rsidR="00801F74" w:rsidRDefault="00801F74" w:rsidP="00801F74">
      <w:pPr>
        <w:pStyle w:val="NoSpacing"/>
      </w:pPr>
    </w:p>
    <w:p w14:paraId="3C109015" w14:textId="7F853281" w:rsidR="00B97633" w:rsidRPr="00801F74" w:rsidRDefault="00801F74" w:rsidP="00801F74">
      <w:pPr>
        <w:pStyle w:val="NoSpacing"/>
      </w:pPr>
      <w:r>
        <w:t xml:space="preserve">This closure report notes that whilst issues did arise, </w:t>
      </w:r>
      <w:r w:rsidR="00DC392D">
        <w:t>the core Civica product performed as configured, with no issues identified with the out of the box solution.</w:t>
      </w:r>
    </w:p>
    <w:p w14:paraId="0DE131E6" w14:textId="0D58E88B" w:rsidR="002E7666" w:rsidRPr="00801F74" w:rsidRDefault="002E7666" w:rsidP="00801F74">
      <w:pPr>
        <w:pStyle w:val="NoSpacing"/>
      </w:pPr>
    </w:p>
    <w:p w14:paraId="43B6DB84" w14:textId="77777777" w:rsidR="00F02A3B" w:rsidRPr="00801F74" w:rsidRDefault="00F02A3B" w:rsidP="00801F74">
      <w:pPr>
        <w:pStyle w:val="NoSpacing"/>
      </w:pPr>
      <w:r w:rsidRPr="00801F74">
        <w:br w:type="page"/>
      </w:r>
    </w:p>
    <w:p w14:paraId="07B22C40" w14:textId="77777777" w:rsidR="00CC4BB1" w:rsidRPr="00801F74" w:rsidRDefault="00CC4BB1" w:rsidP="00801F74">
      <w:pPr>
        <w:pStyle w:val="NoSpacing"/>
        <w:sectPr w:rsidR="00CC4BB1" w:rsidRPr="00801F74" w:rsidSect="000B065A">
          <w:headerReference w:type="default" r:id="rId11"/>
          <w:pgSz w:w="11906" w:h="16838"/>
          <w:pgMar w:top="709" w:right="1440" w:bottom="1440" w:left="1440" w:header="708" w:footer="708" w:gutter="0"/>
          <w:cols w:space="708"/>
          <w:docGrid w:linePitch="360"/>
        </w:sectPr>
      </w:pPr>
    </w:p>
    <w:p w14:paraId="2B0701BE" w14:textId="77DA2B0B" w:rsidR="00563909" w:rsidRPr="00D13AD1" w:rsidRDefault="009D1E99" w:rsidP="0060655B">
      <w:pPr>
        <w:pStyle w:val="Heading1"/>
      </w:pPr>
      <w:bookmarkStart w:id="7" w:name="_Toc5802593"/>
      <w:r>
        <w:lastRenderedPageBreak/>
        <w:t xml:space="preserve">2. </w:t>
      </w:r>
      <w:r w:rsidR="00563909" w:rsidRPr="00D13AD1">
        <w:t>Business Case</w:t>
      </w:r>
      <w:r w:rsidR="002E7666">
        <w:t xml:space="preserve"> Review</w:t>
      </w:r>
      <w:bookmarkEnd w:id="7"/>
    </w:p>
    <w:p w14:paraId="46DA8D8C" w14:textId="3FE97603" w:rsidR="00BA08B5" w:rsidRDefault="00BA08B5" w:rsidP="0060655B">
      <w:pPr>
        <w:pStyle w:val="NoSpacing"/>
      </w:pPr>
    </w:p>
    <w:p w14:paraId="7A6139B0" w14:textId="1305135E" w:rsidR="002E7666" w:rsidRDefault="00F02A3B" w:rsidP="0060655B">
      <w:pPr>
        <w:pStyle w:val="NoSpacing"/>
      </w:pPr>
      <w:r>
        <w:t xml:space="preserve">Presentation of the original business case to the Fire Authority took place in </w:t>
      </w:r>
      <w:r w:rsidR="00B20C69">
        <w:t xml:space="preserve">June </w:t>
      </w:r>
      <w:r>
        <w:t xml:space="preserve">2016, with formal approval to proceed granted. </w:t>
      </w:r>
    </w:p>
    <w:p w14:paraId="295B7519" w14:textId="77777777" w:rsidR="002E7666" w:rsidRDefault="002E7666" w:rsidP="0060655B">
      <w:pPr>
        <w:pStyle w:val="NoSpacing"/>
      </w:pPr>
    </w:p>
    <w:p w14:paraId="0C44B189" w14:textId="767261F3" w:rsidR="002E7666" w:rsidRDefault="002E7666" w:rsidP="002E7666">
      <w:pPr>
        <w:pStyle w:val="Heading2"/>
      </w:pPr>
      <w:bookmarkStart w:id="8" w:name="_Toc5802594"/>
      <w:r>
        <w:t>2.1 Benefits Achieved to Date</w:t>
      </w:r>
      <w:bookmarkEnd w:id="8"/>
    </w:p>
    <w:p w14:paraId="1D249EDE" w14:textId="7EDA4F99" w:rsidR="002E7666" w:rsidRDefault="002E7666" w:rsidP="0060655B">
      <w:pPr>
        <w:pStyle w:val="NoSpacing"/>
      </w:pPr>
    </w:p>
    <w:p w14:paraId="4808417D" w14:textId="4A432C4F" w:rsidR="00F02A3B" w:rsidRDefault="00F02A3B" w:rsidP="008A4896">
      <w:pPr>
        <w:pStyle w:val="NoSpacing"/>
        <w:numPr>
          <w:ilvl w:val="0"/>
          <w:numId w:val="1"/>
        </w:numPr>
      </w:pPr>
      <w:r>
        <w:t>Upon formal approval of the Project, the Service took the decision to reduce the number of changes applied to the SAP environment to only those that fixed critical issues, resulting in:</w:t>
      </w:r>
    </w:p>
    <w:p w14:paraId="0E07C245" w14:textId="77777777" w:rsidR="00F02A3B" w:rsidRDefault="00F02A3B" w:rsidP="00F02A3B">
      <w:pPr>
        <w:pStyle w:val="NoSpacing"/>
      </w:pPr>
    </w:p>
    <w:p w14:paraId="59FAD781" w14:textId="34496935" w:rsidR="00F02A3B" w:rsidRDefault="00F02A3B" w:rsidP="008A4896">
      <w:pPr>
        <w:pStyle w:val="NoSpacing"/>
        <w:numPr>
          <w:ilvl w:val="1"/>
          <w:numId w:val="2"/>
        </w:numPr>
        <w:ind w:left="709"/>
      </w:pPr>
      <w:r>
        <w:t>The contract for an ICT SAP specialist to end early, saving £60,000 on salary costs</w:t>
      </w:r>
    </w:p>
    <w:p w14:paraId="7F55D80A" w14:textId="77777777" w:rsidR="00F02A3B" w:rsidRDefault="00F02A3B" w:rsidP="00F02A3B">
      <w:pPr>
        <w:pStyle w:val="NoSpacing"/>
      </w:pPr>
    </w:p>
    <w:p w14:paraId="3B83AF44" w14:textId="0BE8637C" w:rsidR="00F02A3B" w:rsidRDefault="00F02A3B" w:rsidP="008A4896">
      <w:pPr>
        <w:pStyle w:val="NoSpacing"/>
        <w:numPr>
          <w:ilvl w:val="1"/>
          <w:numId w:val="2"/>
        </w:numPr>
        <w:ind w:left="709"/>
      </w:pPr>
      <w:r>
        <w:t>The agreed monthly commitment to ROC</w:t>
      </w:r>
      <w:r w:rsidR="00F34C69">
        <w:t>, Lemongrass</w:t>
      </w:r>
      <w:r>
        <w:t xml:space="preserve"> and Epi-Use, our SAP development partners, reduced </w:t>
      </w:r>
      <w:r w:rsidR="00F34C69">
        <w:t>from an average of £30</w:t>
      </w:r>
      <w:r w:rsidR="00B20C69">
        <w:t xml:space="preserve">,000 </w:t>
      </w:r>
      <w:r w:rsidR="00F34C69">
        <w:t xml:space="preserve">per month, </w:t>
      </w:r>
      <w:r>
        <w:t xml:space="preserve">to a </w:t>
      </w:r>
      <w:r w:rsidR="00F34C69">
        <w:t>time and materials based contract</w:t>
      </w:r>
    </w:p>
    <w:p w14:paraId="6D3D49DC" w14:textId="77777777" w:rsidR="00B31DF2" w:rsidRDefault="00B31DF2" w:rsidP="00B31DF2">
      <w:pPr>
        <w:pStyle w:val="NoSpacing"/>
      </w:pPr>
    </w:p>
    <w:p w14:paraId="56E15837" w14:textId="1DF05458" w:rsidR="00B31DF2" w:rsidRDefault="00B31DF2" w:rsidP="00B31DF2">
      <w:pPr>
        <w:pStyle w:val="NoSpacing"/>
        <w:numPr>
          <w:ilvl w:val="0"/>
          <w:numId w:val="2"/>
        </w:numPr>
      </w:pPr>
      <w:r>
        <w:t xml:space="preserve">Removal of the </w:t>
      </w:r>
      <w:r w:rsidRPr="00B31DF2">
        <w:t xml:space="preserve">SAP license costs of £66,000pa from </w:t>
      </w:r>
      <w:r>
        <w:t xml:space="preserve">the </w:t>
      </w:r>
      <w:r w:rsidRPr="00B31DF2">
        <w:t>ICT OPEX budget</w:t>
      </w:r>
      <w:r>
        <w:t>.</w:t>
      </w:r>
    </w:p>
    <w:p w14:paraId="43094DC2" w14:textId="77777777" w:rsidR="00F02A3B" w:rsidRDefault="00F02A3B" w:rsidP="0060655B">
      <w:pPr>
        <w:pStyle w:val="NoSpacing"/>
      </w:pPr>
    </w:p>
    <w:p w14:paraId="2255FAE0" w14:textId="77777777" w:rsidR="00CC4BB1" w:rsidRDefault="00CC4BB1">
      <w:pPr>
        <w:sectPr w:rsidR="00CC4BB1" w:rsidSect="00CC4BB1">
          <w:pgSz w:w="11906" w:h="16838"/>
          <w:pgMar w:top="709" w:right="1440" w:bottom="1440" w:left="1440" w:header="709" w:footer="709" w:gutter="0"/>
          <w:cols w:space="708"/>
          <w:docGrid w:linePitch="360"/>
        </w:sectPr>
      </w:pPr>
    </w:p>
    <w:p w14:paraId="7CF271F9" w14:textId="22E4B0F8" w:rsidR="002E7666" w:rsidRDefault="002E7666" w:rsidP="002E7666">
      <w:pPr>
        <w:pStyle w:val="Heading2"/>
      </w:pPr>
      <w:bookmarkStart w:id="9" w:name="_Toc5802595"/>
      <w:r>
        <w:lastRenderedPageBreak/>
        <w:t>2.2 Benefits – Post Project</w:t>
      </w:r>
      <w:bookmarkEnd w:id="9"/>
    </w:p>
    <w:p w14:paraId="1CB7C231" w14:textId="4F583430" w:rsidR="002E7666" w:rsidRDefault="002E7666" w:rsidP="0060655B">
      <w:pPr>
        <w:pStyle w:val="NoSpacing"/>
      </w:pPr>
    </w:p>
    <w:p w14:paraId="05D6EEAE" w14:textId="6F861AF5" w:rsidR="00CC4BB1" w:rsidRDefault="00CC4BB1" w:rsidP="0060655B">
      <w:pPr>
        <w:pStyle w:val="NoSpacing"/>
      </w:pPr>
      <w:r>
        <w:t>The following table details the benefits for the HOBS Project and their status.</w:t>
      </w:r>
    </w:p>
    <w:p w14:paraId="4B1CA46A" w14:textId="4FB49DEA" w:rsidR="00CC4BB1" w:rsidRDefault="00CC4BB1" w:rsidP="0060655B">
      <w:pPr>
        <w:pStyle w:val="NoSpacing"/>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032"/>
        <w:gridCol w:w="1417"/>
        <w:gridCol w:w="1276"/>
        <w:gridCol w:w="2126"/>
        <w:gridCol w:w="1276"/>
        <w:gridCol w:w="1701"/>
        <w:gridCol w:w="2977"/>
      </w:tblGrid>
      <w:tr w:rsidR="00CC4BB1" w:rsidRPr="00CC4BB1" w14:paraId="4B7B4A8E" w14:textId="77777777" w:rsidTr="00CC4BB1">
        <w:trPr>
          <w:trHeight w:val="139"/>
        </w:trPr>
        <w:tc>
          <w:tcPr>
            <w:tcW w:w="791" w:type="dxa"/>
            <w:shd w:val="clear" w:color="auto" w:fill="FF0000"/>
            <w:hideMark/>
          </w:tcPr>
          <w:p w14:paraId="53AA4506"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ID</w:t>
            </w:r>
          </w:p>
        </w:tc>
        <w:tc>
          <w:tcPr>
            <w:tcW w:w="3032" w:type="dxa"/>
            <w:shd w:val="clear" w:color="auto" w:fill="FF0000"/>
            <w:hideMark/>
          </w:tcPr>
          <w:p w14:paraId="4626D391"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Benefit Description</w:t>
            </w:r>
          </w:p>
        </w:tc>
        <w:tc>
          <w:tcPr>
            <w:tcW w:w="1417" w:type="dxa"/>
            <w:shd w:val="clear" w:color="auto" w:fill="FF0000"/>
            <w:hideMark/>
          </w:tcPr>
          <w:p w14:paraId="5A8F3A17"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Benefit Owner</w:t>
            </w:r>
          </w:p>
        </w:tc>
        <w:tc>
          <w:tcPr>
            <w:tcW w:w="1276" w:type="dxa"/>
            <w:shd w:val="clear" w:color="auto" w:fill="FF0000"/>
            <w:hideMark/>
          </w:tcPr>
          <w:p w14:paraId="43B46B15"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Benefit Type</w:t>
            </w:r>
          </w:p>
        </w:tc>
        <w:tc>
          <w:tcPr>
            <w:tcW w:w="2126" w:type="dxa"/>
            <w:shd w:val="clear" w:color="auto" w:fill="FF0000"/>
            <w:hideMark/>
          </w:tcPr>
          <w:p w14:paraId="7B7CDF97"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Observable Difference</w:t>
            </w:r>
          </w:p>
        </w:tc>
        <w:tc>
          <w:tcPr>
            <w:tcW w:w="1276" w:type="dxa"/>
            <w:shd w:val="clear" w:color="auto" w:fill="FF0000"/>
            <w:hideMark/>
          </w:tcPr>
          <w:p w14:paraId="009A9154"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 xml:space="preserve">Attribution </w:t>
            </w:r>
          </w:p>
        </w:tc>
        <w:tc>
          <w:tcPr>
            <w:tcW w:w="1701" w:type="dxa"/>
            <w:shd w:val="clear" w:color="auto" w:fill="FF0000"/>
            <w:hideMark/>
          </w:tcPr>
          <w:p w14:paraId="44C60587"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Timing</w:t>
            </w:r>
          </w:p>
        </w:tc>
        <w:tc>
          <w:tcPr>
            <w:tcW w:w="2977" w:type="dxa"/>
            <w:shd w:val="clear" w:color="auto" w:fill="FF0000"/>
            <w:hideMark/>
          </w:tcPr>
          <w:p w14:paraId="7BCEE6DB"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Benefit Status</w:t>
            </w:r>
          </w:p>
        </w:tc>
      </w:tr>
      <w:tr w:rsidR="00CC4BB1" w:rsidRPr="00CC4BB1" w14:paraId="79182E9E" w14:textId="77777777" w:rsidTr="00B0589B">
        <w:trPr>
          <w:trHeight w:val="1384"/>
        </w:trPr>
        <w:tc>
          <w:tcPr>
            <w:tcW w:w="791" w:type="dxa"/>
            <w:shd w:val="clear" w:color="auto" w:fill="auto"/>
            <w:hideMark/>
          </w:tcPr>
          <w:p w14:paraId="53E8121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B816001</w:t>
            </w:r>
          </w:p>
        </w:tc>
        <w:tc>
          <w:tcPr>
            <w:tcW w:w="3032" w:type="dxa"/>
            <w:shd w:val="clear" w:color="auto" w:fill="auto"/>
            <w:hideMark/>
          </w:tcPr>
          <w:p w14:paraId="090BA4E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Reduced ICT infrastructure costs</w:t>
            </w:r>
            <w:r w:rsidRPr="00CC4BB1">
              <w:rPr>
                <w:rFonts w:ascii="Calibri" w:eastAsia="Calibri" w:hAnsi="Calibri" w:cs="Times New Roman"/>
                <w:sz w:val="16"/>
                <w:lang w:eastAsia="en-GB"/>
              </w:rPr>
              <w:br/>
              <w:t>- simplified system architecture</w:t>
            </w:r>
          </w:p>
        </w:tc>
        <w:tc>
          <w:tcPr>
            <w:tcW w:w="1417" w:type="dxa"/>
            <w:shd w:val="clear" w:color="auto" w:fill="auto"/>
            <w:hideMark/>
          </w:tcPr>
          <w:p w14:paraId="1EC2C90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Martin Chester, ICT Service Delivery Manager</w:t>
            </w:r>
          </w:p>
        </w:tc>
        <w:tc>
          <w:tcPr>
            <w:tcW w:w="1276" w:type="dxa"/>
            <w:shd w:val="clear" w:color="auto" w:fill="auto"/>
            <w:hideMark/>
          </w:tcPr>
          <w:p w14:paraId="31A6DC7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Financial - Cashable</w:t>
            </w:r>
          </w:p>
        </w:tc>
        <w:tc>
          <w:tcPr>
            <w:tcW w:w="2126" w:type="dxa"/>
            <w:shd w:val="clear" w:color="auto" w:fill="auto"/>
            <w:hideMark/>
          </w:tcPr>
          <w:p w14:paraId="6964DA02" w14:textId="5A0A9886" w:rsidR="00CC4BB1" w:rsidRPr="00CC4BB1" w:rsidRDefault="00CC4BB1" w:rsidP="00B0589B">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in the ICT OPEX budget for infrastructure.</w:t>
            </w:r>
            <w:r w:rsidRPr="00CC4BB1">
              <w:rPr>
                <w:rFonts w:ascii="Calibri" w:eastAsia="Calibri" w:hAnsi="Calibri" w:cs="Times New Roman"/>
                <w:sz w:val="16"/>
                <w:lang w:eastAsia="en-GB"/>
              </w:rPr>
              <w:br/>
              <w:t>Note: The Project will claim a cashable benefit, however, ICT are likely to re-utilise the infrastructure for other services.</w:t>
            </w:r>
          </w:p>
        </w:tc>
        <w:tc>
          <w:tcPr>
            <w:tcW w:w="1276" w:type="dxa"/>
            <w:shd w:val="clear" w:color="auto" w:fill="auto"/>
            <w:hideMark/>
          </w:tcPr>
          <w:p w14:paraId="5D0C669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ICT OPEX budget</w:t>
            </w:r>
          </w:p>
        </w:tc>
        <w:tc>
          <w:tcPr>
            <w:tcW w:w="1701" w:type="dxa"/>
            <w:shd w:val="clear" w:color="auto" w:fill="auto"/>
            <w:hideMark/>
          </w:tcPr>
          <w:p w14:paraId="3FC80C2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January 2019</w:t>
            </w:r>
          </w:p>
        </w:tc>
        <w:tc>
          <w:tcPr>
            <w:tcW w:w="2977" w:type="dxa"/>
            <w:shd w:val="clear" w:color="auto" w:fill="auto"/>
            <w:hideMark/>
          </w:tcPr>
          <w:p w14:paraId="59284627" w14:textId="50146B75"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With the ICT infrastructure for SAP reduced, access is only for le</w:t>
            </w:r>
            <w:r w:rsidR="00553E7C">
              <w:rPr>
                <w:rFonts w:ascii="Calibri" w:eastAsia="Calibri" w:hAnsi="Calibri" w:cs="Times New Roman"/>
                <w:sz w:val="16"/>
                <w:lang w:eastAsia="en-GB"/>
              </w:rPr>
              <w:t>gacy reporting and data checks.</w:t>
            </w:r>
          </w:p>
        </w:tc>
      </w:tr>
      <w:tr w:rsidR="00CC4BB1" w:rsidRPr="00CC4BB1" w14:paraId="42FDB58D" w14:textId="77777777" w:rsidTr="00CC4BB1">
        <w:trPr>
          <w:trHeight w:val="900"/>
        </w:trPr>
        <w:tc>
          <w:tcPr>
            <w:tcW w:w="791" w:type="dxa"/>
            <w:shd w:val="clear" w:color="auto" w:fill="auto"/>
            <w:hideMark/>
          </w:tcPr>
          <w:p w14:paraId="2FC150A5"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B816002</w:t>
            </w:r>
          </w:p>
        </w:tc>
        <w:tc>
          <w:tcPr>
            <w:tcW w:w="3032" w:type="dxa"/>
            <w:shd w:val="clear" w:color="auto" w:fill="auto"/>
            <w:hideMark/>
          </w:tcPr>
          <w:p w14:paraId="263F9D7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Reduced external supplier costs</w:t>
            </w:r>
            <w:r w:rsidRPr="00CC4BB1">
              <w:rPr>
                <w:rFonts w:ascii="Calibri" w:eastAsia="Calibri" w:hAnsi="Calibri" w:cs="Times New Roman"/>
                <w:sz w:val="16"/>
                <w:lang w:eastAsia="en-GB"/>
              </w:rPr>
              <w:br/>
              <w:t>- Improved system admin user experience</w:t>
            </w:r>
            <w:r w:rsidRPr="00CC4BB1">
              <w:rPr>
                <w:rFonts w:ascii="Calibri" w:eastAsia="Calibri" w:hAnsi="Calibri" w:cs="Times New Roman"/>
                <w:sz w:val="16"/>
                <w:lang w:eastAsia="en-GB"/>
              </w:rPr>
              <w:br/>
              <w:t>- system knowledge internally held</w:t>
            </w:r>
          </w:p>
        </w:tc>
        <w:tc>
          <w:tcPr>
            <w:tcW w:w="1417" w:type="dxa"/>
            <w:shd w:val="clear" w:color="auto" w:fill="auto"/>
            <w:hideMark/>
          </w:tcPr>
          <w:p w14:paraId="71898C30"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shd w:val="clear" w:color="auto" w:fill="auto"/>
            <w:hideMark/>
          </w:tcPr>
          <w:p w14:paraId="44D40E17" w14:textId="0A541515"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162D5D8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in the reliance on external suppliers to resolve simple issues and aid with configuration changes.</w:t>
            </w:r>
          </w:p>
        </w:tc>
        <w:tc>
          <w:tcPr>
            <w:tcW w:w="1276" w:type="dxa"/>
            <w:shd w:val="clear" w:color="auto" w:fill="auto"/>
            <w:hideMark/>
          </w:tcPr>
          <w:p w14:paraId="656AB1D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HR budget</w:t>
            </w:r>
          </w:p>
        </w:tc>
        <w:tc>
          <w:tcPr>
            <w:tcW w:w="1701" w:type="dxa"/>
            <w:shd w:val="clear" w:color="auto" w:fill="auto"/>
            <w:hideMark/>
          </w:tcPr>
          <w:p w14:paraId="4935EAE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December 2018</w:t>
            </w:r>
          </w:p>
        </w:tc>
        <w:tc>
          <w:tcPr>
            <w:tcW w:w="2977" w:type="dxa"/>
            <w:shd w:val="clear" w:color="auto" w:fill="auto"/>
            <w:hideMark/>
          </w:tcPr>
          <w:p w14:paraId="3481CA02"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HR knowledge of Civica solution increasing</w:t>
            </w:r>
          </w:p>
          <w:p w14:paraId="722F6EA3" w14:textId="77777777" w:rsidR="00CC4BB1" w:rsidRPr="00CC4BB1" w:rsidRDefault="00CC4BB1" w:rsidP="00CC4BB1">
            <w:pPr>
              <w:spacing w:after="0" w:line="240" w:lineRule="auto"/>
              <w:rPr>
                <w:rFonts w:ascii="Calibri" w:eastAsia="Calibri" w:hAnsi="Calibri" w:cs="Times New Roman"/>
                <w:sz w:val="16"/>
                <w:lang w:eastAsia="en-GB"/>
              </w:rPr>
            </w:pPr>
          </w:p>
          <w:p w14:paraId="20B4611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Civica User Group managing changes</w:t>
            </w:r>
          </w:p>
        </w:tc>
      </w:tr>
      <w:tr w:rsidR="00CC4BB1" w:rsidRPr="00CC4BB1" w14:paraId="159C347A" w14:textId="77777777" w:rsidTr="00CC4BB1">
        <w:trPr>
          <w:trHeight w:val="1575"/>
        </w:trPr>
        <w:tc>
          <w:tcPr>
            <w:tcW w:w="791" w:type="dxa"/>
            <w:shd w:val="clear" w:color="auto" w:fill="auto"/>
            <w:hideMark/>
          </w:tcPr>
          <w:p w14:paraId="1A2AC84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B816003</w:t>
            </w:r>
          </w:p>
        </w:tc>
        <w:tc>
          <w:tcPr>
            <w:tcW w:w="3032" w:type="dxa"/>
            <w:shd w:val="clear" w:color="auto" w:fill="auto"/>
            <w:hideMark/>
          </w:tcPr>
          <w:p w14:paraId="76520E6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Reduced external supplier costs</w:t>
            </w:r>
            <w:r w:rsidRPr="00CC4BB1">
              <w:rPr>
                <w:rFonts w:ascii="Calibri" w:eastAsia="Calibri" w:hAnsi="Calibri" w:cs="Times New Roman"/>
                <w:sz w:val="16"/>
                <w:lang w:eastAsia="en-GB"/>
              </w:rPr>
              <w:br/>
              <w:t>- reduced license costs per year</w:t>
            </w:r>
            <w:r w:rsidRPr="00CC4BB1">
              <w:rPr>
                <w:rFonts w:ascii="Calibri" w:eastAsia="Calibri" w:hAnsi="Calibri" w:cs="Times New Roman"/>
                <w:sz w:val="16"/>
                <w:lang w:eastAsia="en-GB"/>
              </w:rPr>
              <w:br/>
              <w:t>- system knowledge internally held</w:t>
            </w:r>
          </w:p>
        </w:tc>
        <w:tc>
          <w:tcPr>
            <w:tcW w:w="1417" w:type="dxa"/>
            <w:shd w:val="clear" w:color="auto" w:fill="auto"/>
            <w:hideMark/>
          </w:tcPr>
          <w:p w14:paraId="44FF719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Martin Chester, ICT Service Delivery Manager</w:t>
            </w:r>
          </w:p>
        </w:tc>
        <w:tc>
          <w:tcPr>
            <w:tcW w:w="1276" w:type="dxa"/>
            <w:shd w:val="clear" w:color="auto" w:fill="auto"/>
            <w:hideMark/>
          </w:tcPr>
          <w:p w14:paraId="16B678F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Financial - Cashable</w:t>
            </w:r>
          </w:p>
        </w:tc>
        <w:tc>
          <w:tcPr>
            <w:tcW w:w="2126" w:type="dxa"/>
            <w:shd w:val="clear" w:color="auto" w:fill="auto"/>
            <w:hideMark/>
          </w:tcPr>
          <w:p w14:paraId="714B68E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in the ICT OPEX budget for licenses, maintenance and support.</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the reliance on external suppliers to resolve simple issues.</w:t>
            </w:r>
          </w:p>
        </w:tc>
        <w:tc>
          <w:tcPr>
            <w:tcW w:w="1276" w:type="dxa"/>
            <w:shd w:val="clear" w:color="auto" w:fill="auto"/>
            <w:hideMark/>
          </w:tcPr>
          <w:p w14:paraId="75046990"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ICT budget</w:t>
            </w:r>
          </w:p>
        </w:tc>
        <w:tc>
          <w:tcPr>
            <w:tcW w:w="1701" w:type="dxa"/>
            <w:shd w:val="clear" w:color="auto" w:fill="auto"/>
            <w:hideMark/>
          </w:tcPr>
          <w:p w14:paraId="4552BF0F"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December 2018</w:t>
            </w:r>
          </w:p>
        </w:tc>
        <w:tc>
          <w:tcPr>
            <w:tcW w:w="2977" w:type="dxa"/>
            <w:shd w:val="clear" w:color="auto" w:fill="auto"/>
            <w:hideMark/>
          </w:tcPr>
          <w:p w14:paraId="12788522"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SAP license costs of £66,000pa removed from ICT OPEX budget</w:t>
            </w:r>
          </w:p>
          <w:p w14:paraId="3498254C" w14:textId="77777777" w:rsidR="00CC4BB1" w:rsidRPr="00CC4BB1" w:rsidRDefault="00CC4BB1" w:rsidP="00CC4BB1">
            <w:pPr>
              <w:spacing w:after="0" w:line="240" w:lineRule="auto"/>
              <w:rPr>
                <w:rFonts w:ascii="Calibri" w:eastAsia="Calibri" w:hAnsi="Calibri" w:cs="Times New Roman"/>
                <w:sz w:val="16"/>
                <w:lang w:eastAsia="en-GB"/>
              </w:rPr>
            </w:pPr>
          </w:p>
          <w:p w14:paraId="4BDB9413" w14:textId="06861BA5"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External SAP supplier costs</w:t>
            </w:r>
            <w:r w:rsidR="00F34C69">
              <w:rPr>
                <w:rFonts w:ascii="Calibri" w:eastAsia="Calibri" w:hAnsi="Calibri" w:cs="Times New Roman"/>
                <w:sz w:val="16"/>
                <w:lang w:eastAsia="en-GB"/>
              </w:rPr>
              <w:t>, ranging between £250k-£350k,</w:t>
            </w:r>
            <w:r w:rsidRPr="00CC4BB1">
              <w:rPr>
                <w:rFonts w:ascii="Calibri" w:eastAsia="Calibri" w:hAnsi="Calibri" w:cs="Times New Roman"/>
                <w:sz w:val="16"/>
                <w:lang w:eastAsia="en-GB"/>
              </w:rPr>
              <w:t xml:space="preserve"> removed from ICT OPEX budget</w:t>
            </w:r>
          </w:p>
          <w:p w14:paraId="41CC70F9" w14:textId="77777777" w:rsidR="00CC4BB1" w:rsidRPr="00CC4BB1" w:rsidRDefault="00CC4BB1" w:rsidP="00CC4BB1">
            <w:pPr>
              <w:spacing w:after="0" w:line="240" w:lineRule="auto"/>
              <w:rPr>
                <w:rFonts w:ascii="Calibri" w:eastAsia="Calibri" w:hAnsi="Calibri" w:cs="Times New Roman"/>
                <w:sz w:val="16"/>
                <w:lang w:eastAsia="en-GB"/>
              </w:rPr>
            </w:pPr>
          </w:p>
          <w:p w14:paraId="5B16D2A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ICT knowledge of Civica solution increasing</w:t>
            </w:r>
          </w:p>
        </w:tc>
      </w:tr>
      <w:tr w:rsidR="00CC4BB1" w:rsidRPr="00CC4BB1" w14:paraId="0D0FDD36" w14:textId="77777777" w:rsidTr="00CC4BB1">
        <w:trPr>
          <w:trHeight w:val="900"/>
        </w:trPr>
        <w:tc>
          <w:tcPr>
            <w:tcW w:w="791" w:type="dxa"/>
            <w:shd w:val="clear" w:color="auto" w:fill="auto"/>
            <w:hideMark/>
          </w:tcPr>
          <w:p w14:paraId="2495DDB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B816004</w:t>
            </w:r>
          </w:p>
        </w:tc>
        <w:tc>
          <w:tcPr>
            <w:tcW w:w="3032" w:type="dxa"/>
            <w:shd w:val="clear" w:color="auto" w:fill="auto"/>
            <w:hideMark/>
          </w:tcPr>
          <w:p w14:paraId="2466EA68"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Reduction in supplier fix response times</w:t>
            </w:r>
            <w:r w:rsidRPr="00CC4BB1">
              <w:rPr>
                <w:rFonts w:ascii="Calibri" w:eastAsia="Calibri" w:hAnsi="Calibri" w:cs="Times New Roman"/>
                <w:sz w:val="16"/>
                <w:lang w:eastAsia="en-GB"/>
              </w:rPr>
              <w:br/>
              <w:t>- improved system admin user experience</w:t>
            </w:r>
            <w:r w:rsidRPr="00CC4BB1">
              <w:rPr>
                <w:rFonts w:ascii="Calibri" w:eastAsia="Calibri" w:hAnsi="Calibri" w:cs="Times New Roman"/>
                <w:sz w:val="16"/>
                <w:lang w:eastAsia="en-GB"/>
              </w:rPr>
              <w:br/>
              <w:t>- system knowledge internally held</w:t>
            </w:r>
            <w:r w:rsidRPr="00CC4BB1">
              <w:rPr>
                <w:rFonts w:ascii="Calibri" w:eastAsia="Calibri" w:hAnsi="Calibri" w:cs="Times New Roman"/>
                <w:sz w:val="16"/>
                <w:lang w:eastAsia="en-GB"/>
              </w:rPr>
              <w:br/>
              <w:t>- improved external support</w:t>
            </w:r>
          </w:p>
        </w:tc>
        <w:tc>
          <w:tcPr>
            <w:tcW w:w="1417" w:type="dxa"/>
            <w:shd w:val="clear" w:color="auto" w:fill="auto"/>
            <w:hideMark/>
          </w:tcPr>
          <w:p w14:paraId="1B3B4B1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Martin Chester, ICT Service Delivery Manager</w:t>
            </w:r>
          </w:p>
        </w:tc>
        <w:tc>
          <w:tcPr>
            <w:tcW w:w="1276" w:type="dxa"/>
            <w:shd w:val="clear" w:color="auto" w:fill="auto"/>
            <w:hideMark/>
          </w:tcPr>
          <w:p w14:paraId="4CBD34E8" w14:textId="4E525EF3"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11A389E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for time it will take our supplier to resolve issues.</w:t>
            </w:r>
          </w:p>
        </w:tc>
        <w:tc>
          <w:tcPr>
            <w:tcW w:w="1276" w:type="dxa"/>
            <w:shd w:val="clear" w:color="auto" w:fill="auto"/>
            <w:hideMark/>
          </w:tcPr>
          <w:p w14:paraId="49EEA37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Civica HR &amp; Payroll service downtime figures.</w:t>
            </w:r>
          </w:p>
        </w:tc>
        <w:tc>
          <w:tcPr>
            <w:tcW w:w="1701" w:type="dxa"/>
            <w:shd w:val="clear" w:color="auto" w:fill="auto"/>
            <w:hideMark/>
          </w:tcPr>
          <w:p w14:paraId="63029ED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December 2018</w:t>
            </w:r>
          </w:p>
        </w:tc>
        <w:tc>
          <w:tcPr>
            <w:tcW w:w="2977" w:type="dxa"/>
            <w:shd w:val="clear" w:color="auto" w:fill="auto"/>
            <w:hideMark/>
          </w:tcPr>
          <w:p w14:paraId="7694934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Initial challenges with database related issues overcome</w:t>
            </w:r>
          </w:p>
          <w:p w14:paraId="3CE38162" w14:textId="77777777" w:rsidR="00CC4BB1" w:rsidRPr="00CC4BB1" w:rsidRDefault="00CC4BB1" w:rsidP="00CC4BB1">
            <w:pPr>
              <w:spacing w:after="0" w:line="240" w:lineRule="auto"/>
              <w:rPr>
                <w:rFonts w:ascii="Calibri" w:eastAsia="Calibri" w:hAnsi="Calibri" w:cs="Times New Roman"/>
                <w:sz w:val="16"/>
                <w:lang w:eastAsia="en-GB"/>
              </w:rPr>
            </w:pPr>
          </w:p>
          <w:p w14:paraId="7EE75E0C" w14:textId="7B58E7F0" w:rsidR="00CC4BB1" w:rsidRPr="00CC4BB1" w:rsidRDefault="00CC4BB1" w:rsidP="00F34C6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Civica Service Desk providing timely support</w:t>
            </w:r>
            <w:r w:rsidR="00F34C69">
              <w:rPr>
                <w:rFonts w:ascii="Calibri" w:eastAsia="Calibri" w:hAnsi="Calibri" w:cs="Times New Roman"/>
                <w:sz w:val="16"/>
                <w:lang w:eastAsia="en-GB"/>
              </w:rPr>
              <w:t xml:space="preserve"> and resolution, with issues resolved in-house in hours (on average), rather than days and weeks where SAP support </w:t>
            </w:r>
            <w:r w:rsidR="003070BF">
              <w:rPr>
                <w:rFonts w:ascii="Calibri" w:eastAsia="Calibri" w:hAnsi="Calibri" w:cs="Times New Roman"/>
                <w:sz w:val="16"/>
                <w:lang w:eastAsia="en-GB"/>
              </w:rPr>
              <w:t>partners</w:t>
            </w:r>
            <w:r w:rsidR="00F34C69">
              <w:rPr>
                <w:rFonts w:ascii="Calibri" w:eastAsia="Calibri" w:hAnsi="Calibri" w:cs="Times New Roman"/>
                <w:sz w:val="16"/>
                <w:lang w:eastAsia="en-GB"/>
              </w:rPr>
              <w:t xml:space="preserve"> were involved.</w:t>
            </w:r>
          </w:p>
        </w:tc>
      </w:tr>
      <w:tr w:rsidR="00CC4BB1" w:rsidRPr="00CC4BB1" w14:paraId="3770BD4C" w14:textId="77777777" w:rsidTr="00CC4BB1">
        <w:trPr>
          <w:trHeight w:val="900"/>
        </w:trPr>
        <w:tc>
          <w:tcPr>
            <w:tcW w:w="791" w:type="dxa"/>
            <w:shd w:val="clear" w:color="auto" w:fill="auto"/>
            <w:hideMark/>
          </w:tcPr>
          <w:p w14:paraId="34A614FE"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B816005</w:t>
            </w:r>
          </w:p>
        </w:tc>
        <w:tc>
          <w:tcPr>
            <w:tcW w:w="3032" w:type="dxa"/>
            <w:shd w:val="clear" w:color="auto" w:fill="auto"/>
            <w:hideMark/>
          </w:tcPr>
          <w:p w14:paraId="62802CD6"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Reduced ICT support (Cherwell)</w:t>
            </w:r>
            <w:r w:rsidRPr="00CC4BB1">
              <w:rPr>
                <w:rFonts w:ascii="Calibri" w:eastAsia="Calibri" w:hAnsi="Calibri" w:cs="Times New Roman"/>
                <w:sz w:val="16"/>
                <w:lang w:eastAsia="en-GB"/>
              </w:rPr>
              <w:br/>
              <w:t>- improved external support</w:t>
            </w:r>
          </w:p>
        </w:tc>
        <w:tc>
          <w:tcPr>
            <w:tcW w:w="1417" w:type="dxa"/>
            <w:shd w:val="clear" w:color="auto" w:fill="auto"/>
            <w:hideMark/>
          </w:tcPr>
          <w:p w14:paraId="6A45026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Martin Chester, ICT Service Delivery Manager</w:t>
            </w:r>
          </w:p>
        </w:tc>
        <w:tc>
          <w:tcPr>
            <w:tcW w:w="1276" w:type="dxa"/>
            <w:shd w:val="clear" w:color="auto" w:fill="auto"/>
            <w:hideMark/>
          </w:tcPr>
          <w:p w14:paraId="747A2280"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Financial - Non Cashable</w:t>
            </w:r>
          </w:p>
        </w:tc>
        <w:tc>
          <w:tcPr>
            <w:tcW w:w="2126" w:type="dxa"/>
            <w:shd w:val="clear" w:color="auto" w:fill="auto"/>
            <w:hideMark/>
          </w:tcPr>
          <w:p w14:paraId="0C8A76B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in the number of support calls to the ICT Service Desk.</w:t>
            </w:r>
          </w:p>
        </w:tc>
        <w:tc>
          <w:tcPr>
            <w:tcW w:w="1276" w:type="dxa"/>
            <w:shd w:val="clear" w:color="auto" w:fill="auto"/>
            <w:hideMark/>
          </w:tcPr>
          <w:p w14:paraId="36F9522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ICT Service Desk incident, request and problem statistics.</w:t>
            </w:r>
          </w:p>
        </w:tc>
        <w:tc>
          <w:tcPr>
            <w:tcW w:w="1701" w:type="dxa"/>
            <w:shd w:val="clear" w:color="auto" w:fill="auto"/>
            <w:hideMark/>
          </w:tcPr>
          <w:p w14:paraId="15D2605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January/February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Post Early Life Support</w:t>
            </w:r>
          </w:p>
        </w:tc>
        <w:tc>
          <w:tcPr>
            <w:tcW w:w="2977" w:type="dxa"/>
            <w:shd w:val="clear" w:color="auto" w:fill="auto"/>
            <w:hideMark/>
          </w:tcPr>
          <w:p w14:paraId="3A9269C5" w14:textId="27F23F95" w:rsid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 xml:space="preserve">Reduced impact on the ICT Service Desk and ICT Application Support following a reduction in </w:t>
            </w:r>
            <w:r w:rsidR="00B0589B">
              <w:rPr>
                <w:rFonts w:ascii="Calibri" w:eastAsia="Calibri" w:hAnsi="Calibri" w:cs="Times New Roman"/>
                <w:sz w:val="16"/>
                <w:lang w:eastAsia="en-GB"/>
              </w:rPr>
              <w:t xml:space="preserve">ICT related </w:t>
            </w:r>
            <w:r w:rsidRPr="00CC4BB1">
              <w:rPr>
                <w:rFonts w:ascii="Calibri" w:eastAsia="Calibri" w:hAnsi="Calibri" w:cs="Times New Roman"/>
                <w:sz w:val="16"/>
                <w:lang w:eastAsia="en-GB"/>
              </w:rPr>
              <w:t>incidents reported</w:t>
            </w:r>
            <w:r w:rsidR="00B0589B">
              <w:rPr>
                <w:rFonts w:ascii="Calibri" w:eastAsia="Calibri" w:hAnsi="Calibri" w:cs="Times New Roman"/>
                <w:sz w:val="16"/>
                <w:lang w:eastAsia="en-GB"/>
              </w:rPr>
              <w:t>.</w:t>
            </w:r>
          </w:p>
          <w:p w14:paraId="52B7CF56" w14:textId="77777777" w:rsidR="00B0589B" w:rsidRDefault="00B0589B" w:rsidP="00CC4BB1">
            <w:pPr>
              <w:spacing w:after="0" w:line="240" w:lineRule="auto"/>
              <w:rPr>
                <w:rFonts w:ascii="Calibri" w:eastAsia="Calibri" w:hAnsi="Calibri" w:cs="Times New Roman"/>
                <w:sz w:val="16"/>
                <w:lang w:eastAsia="en-GB"/>
              </w:rPr>
            </w:pPr>
          </w:p>
          <w:p w14:paraId="42C5C058" w14:textId="5CE4233B" w:rsidR="00B0589B" w:rsidRPr="00CC4BB1" w:rsidRDefault="00B0589B" w:rsidP="00CC4BB1">
            <w:pPr>
              <w:spacing w:after="0" w:line="240" w:lineRule="auto"/>
              <w:rPr>
                <w:rFonts w:ascii="Calibri" w:eastAsia="Calibri" w:hAnsi="Calibri" w:cs="Times New Roman"/>
                <w:sz w:val="16"/>
                <w:lang w:eastAsia="en-GB"/>
              </w:rPr>
            </w:pPr>
            <w:r>
              <w:rPr>
                <w:rFonts w:ascii="Calibri" w:eastAsia="Calibri" w:hAnsi="Calibri" w:cs="Times New Roman"/>
                <w:sz w:val="16"/>
                <w:lang w:eastAsia="en-GB"/>
              </w:rPr>
              <w:t>SAP average of 30-50 incidents per month reduces to approximately 10 with Civica.</w:t>
            </w:r>
          </w:p>
        </w:tc>
      </w:tr>
    </w:tbl>
    <w:p w14:paraId="714411E4" w14:textId="1D5C8CCE" w:rsidR="00CC4BB1" w:rsidRDefault="00CC4BB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032"/>
        <w:gridCol w:w="1417"/>
        <w:gridCol w:w="1276"/>
        <w:gridCol w:w="2126"/>
        <w:gridCol w:w="1276"/>
        <w:gridCol w:w="1701"/>
        <w:gridCol w:w="2977"/>
      </w:tblGrid>
      <w:tr w:rsidR="00CC4BB1" w:rsidRPr="00CC4BB1" w14:paraId="2D22D176" w14:textId="77777777" w:rsidTr="00CC4BB1">
        <w:trPr>
          <w:trHeight w:val="132"/>
        </w:trPr>
        <w:tc>
          <w:tcPr>
            <w:tcW w:w="791" w:type="dxa"/>
            <w:tcBorders>
              <w:top w:val="single" w:sz="4" w:space="0" w:color="auto"/>
              <w:left w:val="single" w:sz="4" w:space="0" w:color="auto"/>
              <w:bottom w:val="single" w:sz="4" w:space="0" w:color="auto"/>
              <w:right w:val="single" w:sz="4" w:space="0" w:color="auto"/>
            </w:tcBorders>
            <w:shd w:val="clear" w:color="auto" w:fill="FF0000"/>
            <w:hideMark/>
          </w:tcPr>
          <w:p w14:paraId="69682150" w14:textId="36658FA2" w:rsidR="00CC4BB1" w:rsidRPr="00CC4BB1" w:rsidRDefault="00CC4BB1" w:rsidP="00CC4BB1">
            <w:pPr>
              <w:spacing w:after="0" w:line="240" w:lineRule="auto"/>
              <w:rPr>
                <w:rFonts w:ascii="Calibri" w:eastAsia="Calibri" w:hAnsi="Calibri" w:cs="Times New Roman"/>
                <w:color w:val="FFFFFF" w:themeColor="background1"/>
                <w:sz w:val="16"/>
                <w:lang w:eastAsia="en-GB"/>
              </w:rPr>
            </w:pPr>
            <w:r w:rsidRPr="00CC4BB1">
              <w:rPr>
                <w:rFonts w:ascii="Calibri" w:eastAsia="Calibri" w:hAnsi="Calibri" w:cs="Times New Roman"/>
                <w:color w:val="FFFFFF" w:themeColor="background1"/>
                <w:sz w:val="16"/>
                <w:lang w:eastAsia="en-GB"/>
              </w:rPr>
              <w:lastRenderedPageBreak/>
              <w:t>ID</w:t>
            </w:r>
          </w:p>
        </w:tc>
        <w:tc>
          <w:tcPr>
            <w:tcW w:w="3032" w:type="dxa"/>
            <w:tcBorders>
              <w:top w:val="single" w:sz="4" w:space="0" w:color="auto"/>
              <w:left w:val="single" w:sz="4" w:space="0" w:color="auto"/>
              <w:bottom w:val="single" w:sz="4" w:space="0" w:color="auto"/>
              <w:right w:val="single" w:sz="4" w:space="0" w:color="auto"/>
            </w:tcBorders>
            <w:shd w:val="clear" w:color="auto" w:fill="FF0000"/>
            <w:hideMark/>
          </w:tcPr>
          <w:p w14:paraId="5AD2D792" w14:textId="77777777" w:rsidR="00CC4BB1" w:rsidRPr="00CC4BB1" w:rsidRDefault="00CC4BB1" w:rsidP="00CC4BB1">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Benefit Description</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14:paraId="65A4F040" w14:textId="77777777" w:rsidR="00CC4BB1" w:rsidRPr="00CC4BB1" w:rsidRDefault="00CC4BB1" w:rsidP="00CC4BB1">
            <w:pPr>
              <w:spacing w:after="0" w:line="240" w:lineRule="auto"/>
              <w:rPr>
                <w:rFonts w:ascii="Calibri" w:eastAsia="Calibri" w:hAnsi="Calibri" w:cs="Times New Roman"/>
                <w:color w:val="FFFFFF" w:themeColor="background1"/>
                <w:sz w:val="16"/>
                <w:lang w:eastAsia="en-GB"/>
              </w:rPr>
            </w:pPr>
            <w:r w:rsidRPr="00CC4BB1">
              <w:rPr>
                <w:rFonts w:ascii="Calibri" w:eastAsia="Calibri" w:hAnsi="Calibri" w:cs="Times New Roman"/>
                <w:color w:val="FFFFFF" w:themeColor="background1"/>
                <w:sz w:val="16"/>
                <w:lang w:eastAsia="en-GB"/>
              </w:rPr>
              <w:t>Benefit Owner</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03A1BCE4" w14:textId="77777777" w:rsidR="00CC4BB1" w:rsidRPr="00CC4BB1" w:rsidRDefault="00CC4BB1" w:rsidP="00CC4BB1">
            <w:pPr>
              <w:spacing w:after="0" w:line="240" w:lineRule="auto"/>
              <w:rPr>
                <w:rFonts w:ascii="Calibri" w:eastAsia="Calibri" w:hAnsi="Calibri" w:cs="Times New Roman"/>
                <w:color w:val="FFFFFF" w:themeColor="background1"/>
                <w:sz w:val="16"/>
                <w:lang w:eastAsia="en-GB"/>
              </w:rPr>
            </w:pPr>
            <w:r w:rsidRPr="00CC4BB1">
              <w:rPr>
                <w:rFonts w:ascii="Calibri" w:eastAsia="Calibri" w:hAnsi="Calibri" w:cs="Times New Roman"/>
                <w:color w:val="FFFFFF" w:themeColor="background1"/>
                <w:sz w:val="16"/>
                <w:lang w:eastAsia="en-GB"/>
              </w:rPr>
              <w:t>Benefit Type</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6ED8310B" w14:textId="77777777" w:rsidR="00CC4BB1" w:rsidRPr="00CC4BB1" w:rsidRDefault="00CC4BB1" w:rsidP="00CC4BB1">
            <w:pPr>
              <w:spacing w:after="0" w:line="240" w:lineRule="auto"/>
              <w:rPr>
                <w:rFonts w:ascii="Calibri" w:eastAsia="Calibri" w:hAnsi="Calibri" w:cs="Times New Roman"/>
                <w:color w:val="FFFFFF" w:themeColor="background1"/>
                <w:sz w:val="16"/>
                <w:lang w:eastAsia="en-GB"/>
              </w:rPr>
            </w:pPr>
            <w:r w:rsidRPr="00CC4BB1">
              <w:rPr>
                <w:rFonts w:ascii="Calibri" w:eastAsia="Calibri" w:hAnsi="Calibri" w:cs="Times New Roman"/>
                <w:color w:val="FFFFFF" w:themeColor="background1"/>
                <w:sz w:val="16"/>
                <w:lang w:eastAsia="en-GB"/>
              </w:rPr>
              <w:t>Observable Difference</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76DE785E" w14:textId="77777777" w:rsidR="00CC4BB1" w:rsidRPr="00CC4BB1" w:rsidRDefault="00CC4BB1" w:rsidP="00CC4BB1">
            <w:pPr>
              <w:spacing w:after="0" w:line="240" w:lineRule="auto"/>
              <w:rPr>
                <w:rFonts w:ascii="Calibri" w:eastAsia="Calibri" w:hAnsi="Calibri" w:cs="Times New Roman"/>
                <w:color w:val="FFFFFF" w:themeColor="background1"/>
                <w:sz w:val="16"/>
                <w:lang w:eastAsia="en-GB"/>
              </w:rPr>
            </w:pPr>
            <w:r w:rsidRPr="00CC4BB1">
              <w:rPr>
                <w:rFonts w:ascii="Calibri" w:eastAsia="Calibri" w:hAnsi="Calibri" w:cs="Times New Roman"/>
                <w:color w:val="FFFFFF" w:themeColor="background1"/>
                <w:sz w:val="16"/>
                <w:lang w:eastAsia="en-GB"/>
              </w:rPr>
              <w:t xml:space="preserve">Attribution </w:t>
            </w:r>
          </w:p>
        </w:tc>
        <w:tc>
          <w:tcPr>
            <w:tcW w:w="1701" w:type="dxa"/>
            <w:tcBorders>
              <w:top w:val="single" w:sz="4" w:space="0" w:color="auto"/>
              <w:left w:val="single" w:sz="4" w:space="0" w:color="auto"/>
              <w:bottom w:val="single" w:sz="4" w:space="0" w:color="auto"/>
              <w:right w:val="single" w:sz="4" w:space="0" w:color="auto"/>
            </w:tcBorders>
            <w:shd w:val="clear" w:color="auto" w:fill="FF0000"/>
            <w:hideMark/>
          </w:tcPr>
          <w:p w14:paraId="4FBC9446" w14:textId="77777777" w:rsidR="00CC4BB1" w:rsidRPr="00CC4BB1" w:rsidRDefault="00CC4BB1" w:rsidP="00CC4BB1">
            <w:pPr>
              <w:spacing w:after="0" w:line="240" w:lineRule="auto"/>
              <w:rPr>
                <w:rFonts w:ascii="Calibri" w:eastAsia="Calibri" w:hAnsi="Calibri" w:cs="Times New Roman"/>
                <w:color w:val="FFFFFF" w:themeColor="background1"/>
                <w:sz w:val="16"/>
                <w:lang w:eastAsia="en-GB"/>
              </w:rPr>
            </w:pPr>
            <w:r w:rsidRPr="00CC4BB1">
              <w:rPr>
                <w:rFonts w:ascii="Calibri" w:eastAsia="Calibri" w:hAnsi="Calibri" w:cs="Times New Roman"/>
                <w:color w:val="FFFFFF" w:themeColor="background1"/>
                <w:sz w:val="16"/>
                <w:lang w:eastAsia="en-GB"/>
              </w:rPr>
              <w:t>Timing</w:t>
            </w:r>
          </w:p>
        </w:tc>
        <w:tc>
          <w:tcPr>
            <w:tcW w:w="2977" w:type="dxa"/>
            <w:tcBorders>
              <w:top w:val="single" w:sz="4" w:space="0" w:color="auto"/>
              <w:left w:val="single" w:sz="4" w:space="0" w:color="auto"/>
              <w:bottom w:val="single" w:sz="4" w:space="0" w:color="auto"/>
              <w:right w:val="single" w:sz="4" w:space="0" w:color="auto"/>
            </w:tcBorders>
            <w:shd w:val="clear" w:color="auto" w:fill="FF0000"/>
            <w:hideMark/>
          </w:tcPr>
          <w:p w14:paraId="10913173" w14:textId="77777777" w:rsidR="00CC4BB1" w:rsidRPr="00CC4BB1" w:rsidRDefault="00CC4BB1" w:rsidP="00CC4BB1">
            <w:pPr>
              <w:spacing w:after="0" w:line="240" w:lineRule="auto"/>
              <w:rPr>
                <w:rFonts w:ascii="Calibri" w:eastAsia="Calibri" w:hAnsi="Calibri" w:cs="Times New Roman"/>
                <w:color w:val="FFFFFF" w:themeColor="background1"/>
                <w:sz w:val="16"/>
                <w:lang w:eastAsia="en-GB"/>
              </w:rPr>
            </w:pPr>
            <w:r w:rsidRPr="00CC4BB1">
              <w:rPr>
                <w:rFonts w:ascii="Calibri" w:eastAsia="Calibri" w:hAnsi="Calibri" w:cs="Times New Roman"/>
                <w:color w:val="FFFFFF" w:themeColor="background1"/>
                <w:sz w:val="16"/>
                <w:lang w:eastAsia="en-GB"/>
              </w:rPr>
              <w:t>Benefit Status</w:t>
            </w:r>
          </w:p>
        </w:tc>
      </w:tr>
      <w:tr w:rsidR="00B0589B" w:rsidRPr="00CC4BB1" w14:paraId="25CF58A0" w14:textId="77777777" w:rsidTr="00261489">
        <w:trPr>
          <w:trHeight w:val="675"/>
        </w:trPr>
        <w:tc>
          <w:tcPr>
            <w:tcW w:w="791" w:type="dxa"/>
            <w:shd w:val="clear" w:color="auto" w:fill="auto"/>
            <w:hideMark/>
          </w:tcPr>
          <w:p w14:paraId="4CA8A83E"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B816006</w:t>
            </w:r>
          </w:p>
        </w:tc>
        <w:tc>
          <w:tcPr>
            <w:tcW w:w="3032" w:type="dxa"/>
            <w:shd w:val="clear" w:color="auto" w:fill="auto"/>
            <w:hideMark/>
          </w:tcPr>
          <w:p w14:paraId="7D4B3D25"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Reduced downtime of system (yearly finance updates)</w:t>
            </w:r>
            <w:r w:rsidRPr="00CC4BB1">
              <w:rPr>
                <w:rFonts w:ascii="Calibri" w:eastAsia="Calibri" w:hAnsi="Calibri" w:cs="Times New Roman"/>
                <w:sz w:val="16"/>
                <w:lang w:eastAsia="en-GB"/>
              </w:rPr>
              <w:br/>
              <w:t>- improved external support</w:t>
            </w:r>
          </w:p>
        </w:tc>
        <w:tc>
          <w:tcPr>
            <w:tcW w:w="1417" w:type="dxa"/>
            <w:shd w:val="clear" w:color="auto" w:fill="auto"/>
            <w:hideMark/>
          </w:tcPr>
          <w:p w14:paraId="4A75A07D"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Martin Chester, ICT Service Delivery Manager</w:t>
            </w:r>
          </w:p>
        </w:tc>
        <w:tc>
          <w:tcPr>
            <w:tcW w:w="1276" w:type="dxa"/>
            <w:shd w:val="clear" w:color="auto" w:fill="auto"/>
            <w:hideMark/>
          </w:tcPr>
          <w:p w14:paraId="1D9AB28E" w14:textId="7C402439" w:rsidR="00B0589B" w:rsidRPr="00CC4BB1" w:rsidRDefault="003070BF"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B0589B" w:rsidRPr="00CC4BB1">
              <w:rPr>
                <w:rFonts w:ascii="Calibri" w:eastAsia="Calibri" w:hAnsi="Calibri" w:cs="Times New Roman"/>
                <w:sz w:val="16"/>
                <w:lang w:eastAsia="en-GB"/>
              </w:rPr>
              <w:t xml:space="preserve"> - Measurable</w:t>
            </w:r>
          </w:p>
        </w:tc>
        <w:tc>
          <w:tcPr>
            <w:tcW w:w="2126" w:type="dxa"/>
            <w:shd w:val="clear" w:color="auto" w:fill="auto"/>
            <w:hideMark/>
          </w:tcPr>
          <w:p w14:paraId="52C0AE94"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in the time the HR &amp; Payroll system is unavailable due to system patches.</w:t>
            </w:r>
          </w:p>
        </w:tc>
        <w:tc>
          <w:tcPr>
            <w:tcW w:w="1276" w:type="dxa"/>
            <w:shd w:val="clear" w:color="auto" w:fill="auto"/>
            <w:hideMark/>
          </w:tcPr>
          <w:p w14:paraId="44F6380F"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Civica HR &amp; Payroll service downtime figures.</w:t>
            </w:r>
          </w:p>
        </w:tc>
        <w:tc>
          <w:tcPr>
            <w:tcW w:w="1701" w:type="dxa"/>
            <w:shd w:val="clear" w:color="auto" w:fill="auto"/>
            <w:hideMark/>
          </w:tcPr>
          <w:p w14:paraId="34D17E8D"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April 2019</w:t>
            </w:r>
          </w:p>
        </w:tc>
        <w:tc>
          <w:tcPr>
            <w:tcW w:w="2977" w:type="dxa"/>
            <w:shd w:val="clear" w:color="auto" w:fill="auto"/>
            <w:hideMark/>
          </w:tcPr>
          <w:p w14:paraId="63F0BEA9"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Forecast downtime for yearly updates, included in release 5.16, is less than for SAP</w:t>
            </w:r>
            <w:r>
              <w:rPr>
                <w:rFonts w:ascii="Calibri" w:eastAsia="Calibri" w:hAnsi="Calibri" w:cs="Times New Roman"/>
                <w:sz w:val="16"/>
                <w:lang w:eastAsia="en-GB"/>
              </w:rPr>
              <w:t>, which would take 1-2 days and involve partner suppliers, whereas Civica takes a few hours and managed by ICT out of hours.</w:t>
            </w:r>
          </w:p>
        </w:tc>
      </w:tr>
      <w:tr w:rsidR="00CC4BB1" w:rsidRPr="00CC4BB1" w14:paraId="61F9A654" w14:textId="77777777" w:rsidTr="00CC4BB1">
        <w:trPr>
          <w:trHeight w:val="900"/>
        </w:trPr>
        <w:tc>
          <w:tcPr>
            <w:tcW w:w="791" w:type="dxa"/>
            <w:shd w:val="clear" w:color="auto" w:fill="auto"/>
            <w:hideMark/>
          </w:tcPr>
          <w:p w14:paraId="14ADC97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B816008</w:t>
            </w:r>
          </w:p>
        </w:tc>
        <w:tc>
          <w:tcPr>
            <w:tcW w:w="3032" w:type="dxa"/>
            <w:shd w:val="clear" w:color="auto" w:fill="auto"/>
            <w:hideMark/>
          </w:tcPr>
          <w:p w14:paraId="6A15B64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Increased efficiency in HR</w:t>
            </w:r>
            <w:r w:rsidRPr="00CC4BB1">
              <w:rPr>
                <w:rFonts w:ascii="Calibri" w:eastAsia="Calibri" w:hAnsi="Calibri" w:cs="Times New Roman"/>
                <w:sz w:val="16"/>
                <w:lang w:eastAsia="en-GB"/>
              </w:rPr>
              <w:br/>
              <w:t>- increased staff system knowledge</w:t>
            </w:r>
            <w:r w:rsidRPr="00CC4BB1">
              <w:rPr>
                <w:rFonts w:ascii="Calibri" w:eastAsia="Calibri" w:hAnsi="Calibri" w:cs="Times New Roman"/>
                <w:sz w:val="16"/>
                <w:lang w:eastAsia="en-GB"/>
              </w:rPr>
              <w:br/>
              <w:t>- simplified processes and procedures</w:t>
            </w:r>
          </w:p>
        </w:tc>
        <w:tc>
          <w:tcPr>
            <w:tcW w:w="1417" w:type="dxa"/>
            <w:shd w:val="clear" w:color="auto" w:fill="auto"/>
            <w:hideMark/>
          </w:tcPr>
          <w:p w14:paraId="5DFEFE3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shd w:val="clear" w:color="auto" w:fill="auto"/>
            <w:hideMark/>
          </w:tcPr>
          <w:p w14:paraId="1A6C3D55"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Financial - Non Cashable</w:t>
            </w:r>
          </w:p>
        </w:tc>
        <w:tc>
          <w:tcPr>
            <w:tcW w:w="2126" w:type="dxa"/>
            <w:shd w:val="clear" w:color="auto" w:fill="auto"/>
            <w:hideMark/>
          </w:tcPr>
          <w:p w14:paraId="4579B12F"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for time taken to process individual HR &amp; Payroll system changes.</w:t>
            </w:r>
          </w:p>
        </w:tc>
        <w:tc>
          <w:tcPr>
            <w:tcW w:w="1276" w:type="dxa"/>
            <w:shd w:val="clear" w:color="auto" w:fill="auto"/>
            <w:hideMark/>
          </w:tcPr>
          <w:p w14:paraId="688F209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HR transactional services SLAs.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End user service satisfaction.</w:t>
            </w:r>
          </w:p>
        </w:tc>
        <w:tc>
          <w:tcPr>
            <w:tcW w:w="1701" w:type="dxa"/>
            <w:shd w:val="clear" w:color="auto" w:fill="auto"/>
            <w:hideMark/>
          </w:tcPr>
          <w:p w14:paraId="55E2AD8E"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7428F2DB" w14:textId="49E545D6"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 xml:space="preserve">Recommend that this benefit is </w:t>
            </w:r>
            <w:r w:rsidR="003A586A" w:rsidRPr="00CC4BB1">
              <w:rPr>
                <w:rFonts w:ascii="Calibri" w:eastAsia="Calibri" w:hAnsi="Calibri" w:cs="Times New Roman"/>
                <w:sz w:val="16"/>
                <w:lang w:eastAsia="en-GB"/>
              </w:rPr>
              <w:t>re-evaluated</w:t>
            </w:r>
            <w:r w:rsidRPr="00CC4BB1">
              <w:rPr>
                <w:rFonts w:ascii="Calibri" w:eastAsia="Calibri" w:hAnsi="Calibri" w:cs="Times New Roman"/>
                <w:sz w:val="16"/>
                <w:lang w:eastAsia="en-GB"/>
              </w:rPr>
              <w:t xml:space="preserve"> in 3-6 months, following the restructure</w:t>
            </w:r>
          </w:p>
        </w:tc>
      </w:tr>
      <w:tr w:rsidR="00CC4BB1" w:rsidRPr="00CC4BB1" w14:paraId="7221F613" w14:textId="77777777" w:rsidTr="00CC4BB1">
        <w:trPr>
          <w:trHeight w:val="90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4845101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B816007</w:t>
            </w:r>
          </w:p>
        </w:tc>
        <w:tc>
          <w:tcPr>
            <w:tcW w:w="3032" w:type="dxa"/>
            <w:tcBorders>
              <w:top w:val="single" w:sz="4" w:space="0" w:color="auto"/>
              <w:left w:val="single" w:sz="4" w:space="0" w:color="auto"/>
              <w:bottom w:val="single" w:sz="4" w:space="0" w:color="auto"/>
              <w:right w:val="single" w:sz="4" w:space="0" w:color="auto"/>
            </w:tcBorders>
            <w:shd w:val="clear" w:color="auto" w:fill="auto"/>
            <w:hideMark/>
          </w:tcPr>
          <w:p w14:paraId="1C87FB2F" w14:textId="77777777" w:rsidR="00CC4BB1" w:rsidRPr="00CC4BB1" w:rsidRDefault="00CC4BB1" w:rsidP="00CC4BB1">
            <w:pPr>
              <w:spacing w:after="0" w:line="240" w:lineRule="auto"/>
              <w:rPr>
                <w:rFonts w:ascii="Calibri" w:eastAsia="Calibri" w:hAnsi="Calibri" w:cs="Times New Roman"/>
                <w:b/>
                <w:sz w:val="16"/>
                <w:lang w:eastAsia="en-GB"/>
              </w:rPr>
            </w:pPr>
            <w:r w:rsidRPr="00CC4BB1">
              <w:rPr>
                <w:rFonts w:ascii="Calibri" w:eastAsia="Calibri" w:hAnsi="Calibri" w:cs="Times New Roman"/>
                <w:b/>
                <w:sz w:val="16"/>
                <w:lang w:eastAsia="en-GB"/>
              </w:rPr>
              <w:t>Reduced HR support (Cherwell)</w:t>
            </w:r>
            <w:r w:rsidRPr="00CC4BB1">
              <w:rPr>
                <w:rFonts w:ascii="Calibri" w:eastAsia="Calibri" w:hAnsi="Calibri" w:cs="Times New Roman"/>
                <w:b/>
                <w:sz w:val="16"/>
                <w:lang w:eastAsia="en-GB"/>
              </w:rPr>
              <w:br/>
              <w:t>- increased staff system knowledge</w:t>
            </w:r>
            <w:r w:rsidRPr="00CC4BB1">
              <w:rPr>
                <w:rFonts w:ascii="Calibri" w:eastAsia="Calibri" w:hAnsi="Calibri" w:cs="Times New Roman"/>
                <w:b/>
                <w:sz w:val="16"/>
                <w:lang w:eastAsia="en-GB"/>
              </w:rPr>
              <w:br/>
              <w:t>- simplified processes and procedures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7BBFAF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9794BE"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Financial - Non Cashable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F323402"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in the number of support calls to the HR Support Desk.</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4021BA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HR Support Desk incident and request statistics.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EB90D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B2134C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The initial volume of calls to HR, following go live, was high, however this is now reducing to an acceptable level</w:t>
            </w:r>
          </w:p>
          <w:p w14:paraId="13F326BE" w14:textId="77777777" w:rsidR="00CC4BB1" w:rsidRPr="00CC4BB1" w:rsidRDefault="00CC4BB1" w:rsidP="00CC4BB1">
            <w:pPr>
              <w:spacing w:after="0" w:line="240" w:lineRule="auto"/>
              <w:rPr>
                <w:rFonts w:ascii="Calibri" w:eastAsia="Calibri" w:hAnsi="Calibri" w:cs="Times New Roman"/>
                <w:sz w:val="16"/>
                <w:lang w:eastAsia="en-GB"/>
              </w:rPr>
            </w:pPr>
          </w:p>
        </w:tc>
      </w:tr>
      <w:tr w:rsidR="00CC4BB1" w:rsidRPr="00CC4BB1" w14:paraId="313BEF76" w14:textId="77777777" w:rsidTr="00CC4BB1">
        <w:trPr>
          <w:trHeight w:val="900"/>
        </w:trPr>
        <w:tc>
          <w:tcPr>
            <w:tcW w:w="791" w:type="dxa"/>
            <w:shd w:val="clear" w:color="auto" w:fill="auto"/>
            <w:hideMark/>
          </w:tcPr>
          <w:p w14:paraId="416EDE9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B816009</w:t>
            </w:r>
          </w:p>
        </w:tc>
        <w:tc>
          <w:tcPr>
            <w:tcW w:w="3032" w:type="dxa"/>
            <w:shd w:val="clear" w:color="auto" w:fill="auto"/>
            <w:hideMark/>
          </w:tcPr>
          <w:p w14:paraId="555D831F"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Increased productivity in HR</w:t>
            </w:r>
            <w:r w:rsidRPr="00CC4BB1">
              <w:rPr>
                <w:rFonts w:ascii="Calibri" w:eastAsia="Calibri" w:hAnsi="Calibri" w:cs="Times New Roman"/>
                <w:sz w:val="16"/>
                <w:lang w:eastAsia="en-GB"/>
              </w:rPr>
              <w:br/>
              <w:t>- increased staff system knowledge</w:t>
            </w:r>
            <w:r w:rsidRPr="00CC4BB1">
              <w:rPr>
                <w:rFonts w:ascii="Calibri" w:eastAsia="Calibri" w:hAnsi="Calibri" w:cs="Times New Roman"/>
                <w:sz w:val="16"/>
                <w:lang w:eastAsia="en-GB"/>
              </w:rPr>
              <w:br/>
              <w:t>- simplified processes and procedures</w:t>
            </w:r>
          </w:p>
        </w:tc>
        <w:tc>
          <w:tcPr>
            <w:tcW w:w="1417" w:type="dxa"/>
            <w:shd w:val="clear" w:color="auto" w:fill="auto"/>
            <w:hideMark/>
          </w:tcPr>
          <w:p w14:paraId="7F7C0E4E"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shd w:val="clear" w:color="auto" w:fill="auto"/>
            <w:hideMark/>
          </w:tcPr>
          <w:p w14:paraId="553DC29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Financial - Non Cashable</w:t>
            </w:r>
          </w:p>
        </w:tc>
        <w:tc>
          <w:tcPr>
            <w:tcW w:w="2126" w:type="dxa"/>
            <w:shd w:val="clear" w:color="auto" w:fill="auto"/>
            <w:hideMark/>
          </w:tcPr>
          <w:p w14:paraId="3D5E14CF"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Increased volume of changes applied to the HR &amp; Payroll system.</w:t>
            </w:r>
          </w:p>
        </w:tc>
        <w:tc>
          <w:tcPr>
            <w:tcW w:w="1276" w:type="dxa"/>
            <w:shd w:val="clear" w:color="auto" w:fill="auto"/>
            <w:hideMark/>
          </w:tcPr>
          <w:p w14:paraId="5D5124C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HR transactional services SLAs.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End user service satisfaction.</w:t>
            </w:r>
          </w:p>
        </w:tc>
        <w:tc>
          <w:tcPr>
            <w:tcW w:w="1701" w:type="dxa"/>
            <w:shd w:val="clear" w:color="auto" w:fill="auto"/>
            <w:hideMark/>
          </w:tcPr>
          <w:p w14:paraId="0CFC2555"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4030F536" w14:textId="47544D90"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 xml:space="preserve">Recommend that this benefit is </w:t>
            </w:r>
            <w:r w:rsidR="003A586A" w:rsidRPr="00CC4BB1">
              <w:rPr>
                <w:rFonts w:ascii="Calibri" w:eastAsia="Calibri" w:hAnsi="Calibri" w:cs="Times New Roman"/>
                <w:sz w:val="16"/>
                <w:lang w:eastAsia="en-GB"/>
              </w:rPr>
              <w:t>re-evaluated</w:t>
            </w:r>
            <w:r w:rsidRPr="00CC4BB1">
              <w:rPr>
                <w:rFonts w:ascii="Calibri" w:eastAsia="Calibri" w:hAnsi="Calibri" w:cs="Times New Roman"/>
                <w:sz w:val="16"/>
                <w:lang w:eastAsia="en-GB"/>
              </w:rPr>
              <w:t xml:space="preserve"> in 3-6 months, following the restructure</w:t>
            </w:r>
          </w:p>
        </w:tc>
      </w:tr>
      <w:tr w:rsidR="00CC4BB1" w:rsidRPr="00CC4BB1" w14:paraId="6F1D6B3E" w14:textId="77777777" w:rsidTr="00CC4BB1">
        <w:trPr>
          <w:trHeight w:val="900"/>
        </w:trPr>
        <w:tc>
          <w:tcPr>
            <w:tcW w:w="791" w:type="dxa"/>
            <w:shd w:val="clear" w:color="auto" w:fill="auto"/>
            <w:hideMark/>
          </w:tcPr>
          <w:p w14:paraId="7CCC48B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B816010</w:t>
            </w:r>
          </w:p>
        </w:tc>
        <w:tc>
          <w:tcPr>
            <w:tcW w:w="3032" w:type="dxa"/>
            <w:shd w:val="clear" w:color="auto" w:fill="auto"/>
            <w:hideMark/>
          </w:tcPr>
          <w:p w14:paraId="440ECDB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Fewer Payroll interventions required</w:t>
            </w:r>
            <w:r w:rsidRPr="00CC4BB1">
              <w:rPr>
                <w:rFonts w:ascii="Calibri" w:eastAsia="Calibri" w:hAnsi="Calibri" w:cs="Times New Roman"/>
                <w:sz w:val="16"/>
                <w:lang w:eastAsia="en-GB"/>
              </w:rPr>
              <w:br/>
              <w:t>- increased staff system knowledge</w:t>
            </w:r>
            <w:r w:rsidRPr="00CC4BB1">
              <w:rPr>
                <w:rFonts w:ascii="Calibri" w:eastAsia="Calibri" w:hAnsi="Calibri" w:cs="Times New Roman"/>
                <w:sz w:val="16"/>
                <w:lang w:eastAsia="en-GB"/>
              </w:rPr>
              <w:br/>
              <w:t>- simplified processes and procedures</w:t>
            </w:r>
          </w:p>
        </w:tc>
        <w:tc>
          <w:tcPr>
            <w:tcW w:w="1417" w:type="dxa"/>
            <w:shd w:val="clear" w:color="auto" w:fill="auto"/>
            <w:hideMark/>
          </w:tcPr>
          <w:p w14:paraId="06F64CD5"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Glenn McGuinness, Assistant Director, Finance</w:t>
            </w:r>
          </w:p>
        </w:tc>
        <w:tc>
          <w:tcPr>
            <w:tcW w:w="1276" w:type="dxa"/>
            <w:shd w:val="clear" w:color="auto" w:fill="auto"/>
            <w:hideMark/>
          </w:tcPr>
          <w:p w14:paraId="31EE4412"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Financial - Non Cashable</w:t>
            </w:r>
          </w:p>
        </w:tc>
        <w:tc>
          <w:tcPr>
            <w:tcW w:w="2126" w:type="dxa"/>
            <w:shd w:val="clear" w:color="auto" w:fill="auto"/>
            <w:hideMark/>
          </w:tcPr>
          <w:p w14:paraId="1CB6455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in the number of corrections to salary data by the Payroll team.</w:t>
            </w:r>
          </w:p>
        </w:tc>
        <w:tc>
          <w:tcPr>
            <w:tcW w:w="1276" w:type="dxa"/>
            <w:shd w:val="clear" w:color="auto" w:fill="auto"/>
            <w:hideMark/>
          </w:tcPr>
          <w:p w14:paraId="178E526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Payroll services SLAs.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End user service satisfaction.</w:t>
            </w:r>
          </w:p>
        </w:tc>
        <w:tc>
          <w:tcPr>
            <w:tcW w:w="1701" w:type="dxa"/>
            <w:shd w:val="clear" w:color="auto" w:fill="auto"/>
            <w:hideMark/>
          </w:tcPr>
          <w:p w14:paraId="49FB02D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3DA7F2E1" w14:textId="15D7BCC2"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 xml:space="preserve">Recommend that this benefit is </w:t>
            </w:r>
            <w:r w:rsidR="003A586A" w:rsidRPr="00CC4BB1">
              <w:rPr>
                <w:rFonts w:ascii="Calibri" w:eastAsia="Calibri" w:hAnsi="Calibri" w:cs="Times New Roman"/>
                <w:sz w:val="16"/>
                <w:lang w:eastAsia="en-GB"/>
              </w:rPr>
              <w:t>re-evaluated</w:t>
            </w:r>
            <w:r w:rsidRPr="00CC4BB1">
              <w:rPr>
                <w:rFonts w:ascii="Calibri" w:eastAsia="Calibri" w:hAnsi="Calibri" w:cs="Times New Roman"/>
                <w:sz w:val="16"/>
                <w:lang w:eastAsia="en-GB"/>
              </w:rPr>
              <w:t xml:space="preserve"> in 3-6 months</w:t>
            </w:r>
          </w:p>
        </w:tc>
      </w:tr>
      <w:tr w:rsidR="00CC4BB1" w:rsidRPr="00CC4BB1" w14:paraId="5A136C4D" w14:textId="77777777" w:rsidTr="00CC4BB1">
        <w:trPr>
          <w:trHeight w:val="2250"/>
        </w:trPr>
        <w:tc>
          <w:tcPr>
            <w:tcW w:w="791" w:type="dxa"/>
            <w:shd w:val="clear" w:color="auto" w:fill="auto"/>
            <w:hideMark/>
          </w:tcPr>
          <w:p w14:paraId="56A80AA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B816011</w:t>
            </w:r>
          </w:p>
        </w:tc>
        <w:tc>
          <w:tcPr>
            <w:tcW w:w="3032" w:type="dxa"/>
            <w:shd w:val="clear" w:color="auto" w:fill="auto"/>
            <w:hideMark/>
          </w:tcPr>
          <w:p w14:paraId="07ACABEB"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Reduced HR operational costs / admin staff</w:t>
            </w:r>
            <w:r w:rsidRPr="00CC4BB1">
              <w:rPr>
                <w:rFonts w:ascii="Calibri" w:eastAsia="Calibri" w:hAnsi="Calibri" w:cs="Times New Roman"/>
                <w:sz w:val="16"/>
                <w:lang w:eastAsia="en-GB"/>
              </w:rPr>
              <w:br/>
              <w:t>- improved external support</w:t>
            </w:r>
            <w:r w:rsidRPr="00CC4BB1">
              <w:rPr>
                <w:rFonts w:ascii="Calibri" w:eastAsia="Calibri" w:hAnsi="Calibri" w:cs="Times New Roman"/>
                <w:sz w:val="16"/>
                <w:lang w:eastAsia="en-GB"/>
              </w:rPr>
              <w:br/>
              <w:t>- increased staff system knowledge</w:t>
            </w:r>
            <w:r w:rsidRPr="00CC4BB1">
              <w:rPr>
                <w:rFonts w:ascii="Calibri" w:eastAsia="Calibri" w:hAnsi="Calibri" w:cs="Times New Roman"/>
                <w:sz w:val="16"/>
                <w:lang w:eastAsia="en-GB"/>
              </w:rPr>
              <w:br/>
              <w:t>- simplified processes and procedures</w:t>
            </w:r>
          </w:p>
        </w:tc>
        <w:tc>
          <w:tcPr>
            <w:tcW w:w="1417" w:type="dxa"/>
            <w:shd w:val="clear" w:color="auto" w:fill="auto"/>
            <w:hideMark/>
          </w:tcPr>
          <w:p w14:paraId="064BF94B"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shd w:val="clear" w:color="auto" w:fill="auto"/>
            <w:hideMark/>
          </w:tcPr>
          <w:p w14:paraId="2BA75816"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Financial - Cashable</w:t>
            </w:r>
          </w:p>
        </w:tc>
        <w:tc>
          <w:tcPr>
            <w:tcW w:w="2126" w:type="dxa"/>
            <w:shd w:val="clear" w:color="auto" w:fill="auto"/>
            <w:hideMark/>
          </w:tcPr>
          <w:p w14:paraId="4DEB136A" w14:textId="13C3E36C"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Reduced OPEX for the HR department.</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the reliance on temporary resources to address demand peaks.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 xml:space="preserve">Reduction in the number of resources required to deliver HR </w:t>
            </w:r>
            <w:r w:rsidR="003070BF" w:rsidRPr="00CC4BB1">
              <w:rPr>
                <w:rFonts w:ascii="Calibri" w:eastAsia="Calibri" w:hAnsi="Calibri" w:cs="Times New Roman"/>
                <w:sz w:val="16"/>
                <w:lang w:eastAsia="en-GB"/>
              </w:rPr>
              <w:t>transactional</w:t>
            </w:r>
            <w:r w:rsidRPr="00CC4BB1">
              <w:rPr>
                <w:rFonts w:ascii="Calibri" w:eastAsia="Calibri" w:hAnsi="Calibri" w:cs="Times New Roman"/>
                <w:sz w:val="16"/>
                <w:lang w:eastAsia="en-GB"/>
              </w:rPr>
              <w:t xml:space="preserve"> services.</w:t>
            </w:r>
          </w:p>
        </w:tc>
        <w:tc>
          <w:tcPr>
            <w:tcW w:w="1276" w:type="dxa"/>
            <w:shd w:val="clear" w:color="auto" w:fill="auto"/>
            <w:hideMark/>
          </w:tcPr>
          <w:p w14:paraId="4E54B80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HR budget.</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HR headcount.</w:t>
            </w:r>
          </w:p>
        </w:tc>
        <w:tc>
          <w:tcPr>
            <w:tcW w:w="1701" w:type="dxa"/>
            <w:shd w:val="clear" w:color="auto" w:fill="auto"/>
            <w:hideMark/>
          </w:tcPr>
          <w:p w14:paraId="2324BB50" w14:textId="77777777" w:rsidR="00CC4BB1" w:rsidRPr="00CC4BB1" w:rsidRDefault="00CC4BB1" w:rsidP="00CC4BB1">
            <w:pPr>
              <w:spacing w:after="0" w:line="240" w:lineRule="auto"/>
              <w:rPr>
                <w:rFonts w:ascii="Calibri" w:eastAsia="Calibri" w:hAnsi="Calibri" w:cs="Times New Roman"/>
                <w:color w:val="FF0000"/>
                <w:sz w:val="16"/>
                <w:lang w:eastAsia="en-GB"/>
              </w:rPr>
            </w:pPr>
            <w:r w:rsidRPr="00CC4BB1">
              <w:rPr>
                <w:rFonts w:ascii="Calibri" w:eastAsia="Calibri" w:hAnsi="Calibri" w:cs="Times New Roman"/>
                <w:color w:val="FF0000"/>
                <w:sz w:val="16"/>
                <w:lang w:eastAsia="en-GB"/>
              </w:rPr>
              <w:t>TBC</w:t>
            </w:r>
          </w:p>
        </w:tc>
        <w:tc>
          <w:tcPr>
            <w:tcW w:w="2977" w:type="dxa"/>
            <w:shd w:val="clear" w:color="auto" w:fill="auto"/>
            <w:hideMark/>
          </w:tcPr>
          <w:p w14:paraId="5332AC93" w14:textId="6F5353EA" w:rsidR="00CC4BB1" w:rsidRPr="00CC4BB1" w:rsidRDefault="00CC4BB1" w:rsidP="00CC4BB1">
            <w:pPr>
              <w:spacing w:after="0" w:line="240" w:lineRule="auto"/>
              <w:rPr>
                <w:rFonts w:ascii="Calibri" w:eastAsia="Calibri" w:hAnsi="Calibri" w:cs="Times New Roman"/>
                <w:color w:val="FF0000"/>
                <w:sz w:val="16"/>
                <w:lang w:eastAsia="en-GB"/>
              </w:rPr>
            </w:pPr>
            <w:r w:rsidRPr="00CC4BB1">
              <w:rPr>
                <w:rFonts w:ascii="Calibri" w:eastAsia="Calibri" w:hAnsi="Calibri" w:cs="Times New Roman"/>
                <w:sz w:val="16"/>
                <w:lang w:eastAsia="en-GB"/>
              </w:rPr>
              <w:t xml:space="preserve">Recommend that this benefit is </w:t>
            </w:r>
            <w:r w:rsidR="003A586A" w:rsidRPr="00CC4BB1">
              <w:rPr>
                <w:rFonts w:ascii="Calibri" w:eastAsia="Calibri" w:hAnsi="Calibri" w:cs="Times New Roman"/>
                <w:sz w:val="16"/>
                <w:lang w:eastAsia="en-GB"/>
              </w:rPr>
              <w:t>re-evaluated</w:t>
            </w:r>
            <w:r w:rsidRPr="00CC4BB1">
              <w:rPr>
                <w:rFonts w:ascii="Calibri" w:eastAsia="Calibri" w:hAnsi="Calibri" w:cs="Times New Roman"/>
                <w:sz w:val="16"/>
                <w:lang w:eastAsia="en-GB"/>
              </w:rPr>
              <w:t xml:space="preserve"> in 3-6 months, following the restructure</w:t>
            </w:r>
          </w:p>
        </w:tc>
      </w:tr>
    </w:tbl>
    <w:p w14:paraId="26055BE1" w14:textId="77777777" w:rsidR="00B0589B" w:rsidRDefault="00B0589B">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032"/>
        <w:gridCol w:w="1417"/>
        <w:gridCol w:w="1276"/>
        <w:gridCol w:w="2126"/>
        <w:gridCol w:w="1276"/>
        <w:gridCol w:w="1701"/>
        <w:gridCol w:w="2977"/>
      </w:tblGrid>
      <w:tr w:rsidR="00CC4BB1" w:rsidRPr="00CC4BB1" w14:paraId="034144FC" w14:textId="77777777" w:rsidTr="00CC4BB1">
        <w:trPr>
          <w:trHeight w:val="132"/>
        </w:trPr>
        <w:tc>
          <w:tcPr>
            <w:tcW w:w="791" w:type="dxa"/>
            <w:tcBorders>
              <w:top w:val="single" w:sz="4" w:space="0" w:color="auto"/>
              <w:left w:val="single" w:sz="4" w:space="0" w:color="auto"/>
              <w:bottom w:val="single" w:sz="4" w:space="0" w:color="auto"/>
              <w:right w:val="single" w:sz="4" w:space="0" w:color="auto"/>
            </w:tcBorders>
            <w:shd w:val="clear" w:color="auto" w:fill="FF0000"/>
            <w:hideMark/>
          </w:tcPr>
          <w:p w14:paraId="2226D46C" w14:textId="2BA2F7B3" w:rsidR="00CC4BB1" w:rsidRPr="00CC4BB1" w:rsidRDefault="00CC4BB1" w:rsidP="00CC4BB1">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lastRenderedPageBreak/>
              <w:t>ID</w:t>
            </w:r>
          </w:p>
        </w:tc>
        <w:tc>
          <w:tcPr>
            <w:tcW w:w="3032" w:type="dxa"/>
            <w:tcBorders>
              <w:top w:val="single" w:sz="4" w:space="0" w:color="auto"/>
              <w:left w:val="single" w:sz="4" w:space="0" w:color="auto"/>
              <w:bottom w:val="single" w:sz="4" w:space="0" w:color="auto"/>
              <w:right w:val="single" w:sz="4" w:space="0" w:color="auto"/>
            </w:tcBorders>
            <w:shd w:val="clear" w:color="auto" w:fill="FF0000"/>
            <w:hideMark/>
          </w:tcPr>
          <w:p w14:paraId="46B00834" w14:textId="77777777" w:rsidR="00CC4BB1" w:rsidRPr="00CC4BB1" w:rsidRDefault="00CC4BB1" w:rsidP="00CC4BB1">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Benefit Description</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14:paraId="6A378BFA" w14:textId="77777777" w:rsidR="00CC4BB1" w:rsidRPr="00CC4BB1" w:rsidRDefault="00CC4BB1" w:rsidP="00CC4BB1">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Benefit Owner</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7001F4E5" w14:textId="77777777" w:rsidR="00CC4BB1" w:rsidRPr="00CC4BB1" w:rsidRDefault="00CC4BB1" w:rsidP="00CC4BB1">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Benefit Type</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161CF7CB" w14:textId="77777777" w:rsidR="00CC4BB1" w:rsidRPr="00CC4BB1" w:rsidRDefault="00CC4BB1" w:rsidP="00CC4BB1">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Observable Difference</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705AF14C" w14:textId="77777777" w:rsidR="00CC4BB1" w:rsidRPr="00CC4BB1" w:rsidRDefault="00CC4BB1" w:rsidP="00CC4BB1">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 xml:space="preserve">Attribution </w:t>
            </w:r>
          </w:p>
        </w:tc>
        <w:tc>
          <w:tcPr>
            <w:tcW w:w="1701" w:type="dxa"/>
            <w:tcBorders>
              <w:top w:val="single" w:sz="4" w:space="0" w:color="auto"/>
              <w:left w:val="single" w:sz="4" w:space="0" w:color="auto"/>
              <w:bottom w:val="single" w:sz="4" w:space="0" w:color="auto"/>
              <w:right w:val="single" w:sz="4" w:space="0" w:color="auto"/>
            </w:tcBorders>
            <w:shd w:val="clear" w:color="auto" w:fill="FF0000"/>
            <w:hideMark/>
          </w:tcPr>
          <w:p w14:paraId="6BE7E68B" w14:textId="77777777" w:rsidR="00CC4BB1" w:rsidRPr="00CC4BB1" w:rsidRDefault="00CC4BB1" w:rsidP="00CC4BB1">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Timing</w:t>
            </w:r>
          </w:p>
        </w:tc>
        <w:tc>
          <w:tcPr>
            <w:tcW w:w="2977" w:type="dxa"/>
            <w:tcBorders>
              <w:top w:val="single" w:sz="4" w:space="0" w:color="auto"/>
              <w:left w:val="single" w:sz="4" w:space="0" w:color="auto"/>
              <w:bottom w:val="single" w:sz="4" w:space="0" w:color="auto"/>
              <w:right w:val="single" w:sz="4" w:space="0" w:color="auto"/>
            </w:tcBorders>
            <w:shd w:val="clear" w:color="auto" w:fill="FF0000"/>
            <w:hideMark/>
          </w:tcPr>
          <w:p w14:paraId="3A845F1A" w14:textId="77777777" w:rsidR="00CC4BB1" w:rsidRPr="00CC4BB1" w:rsidRDefault="00CC4BB1" w:rsidP="00CC4BB1">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Benefit Status</w:t>
            </w:r>
          </w:p>
        </w:tc>
      </w:tr>
      <w:tr w:rsidR="00B0589B" w:rsidRPr="00CC4BB1" w14:paraId="2C08D0FE" w14:textId="77777777" w:rsidTr="00B0589B">
        <w:trPr>
          <w:trHeight w:val="631"/>
        </w:trPr>
        <w:tc>
          <w:tcPr>
            <w:tcW w:w="791" w:type="dxa"/>
            <w:shd w:val="clear" w:color="auto" w:fill="auto"/>
            <w:hideMark/>
          </w:tcPr>
          <w:p w14:paraId="4414126D"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B816012</w:t>
            </w:r>
          </w:p>
        </w:tc>
        <w:tc>
          <w:tcPr>
            <w:tcW w:w="3032" w:type="dxa"/>
            <w:shd w:val="clear" w:color="auto" w:fill="auto"/>
            <w:hideMark/>
          </w:tcPr>
          <w:p w14:paraId="5113C8DF"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Higher staff morale in L&amp;D</w:t>
            </w:r>
            <w:r w:rsidRPr="00CC4BB1">
              <w:rPr>
                <w:rFonts w:ascii="Calibri" w:eastAsia="Calibri" w:hAnsi="Calibri" w:cs="Times New Roman"/>
                <w:sz w:val="16"/>
                <w:lang w:eastAsia="en-GB"/>
              </w:rPr>
              <w:br/>
              <w:t>- simplified processes and procedures</w:t>
            </w:r>
            <w:r w:rsidRPr="00CC4BB1">
              <w:rPr>
                <w:rFonts w:ascii="Calibri" w:eastAsia="Calibri" w:hAnsi="Calibri" w:cs="Times New Roman"/>
                <w:sz w:val="16"/>
                <w:lang w:eastAsia="en-GB"/>
              </w:rPr>
              <w:br/>
              <w:t>- improved end user experience</w:t>
            </w:r>
          </w:p>
        </w:tc>
        <w:tc>
          <w:tcPr>
            <w:tcW w:w="1417" w:type="dxa"/>
            <w:shd w:val="clear" w:color="auto" w:fill="auto"/>
            <w:hideMark/>
          </w:tcPr>
          <w:p w14:paraId="7F0DF4B7"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shd w:val="clear" w:color="auto" w:fill="auto"/>
            <w:hideMark/>
          </w:tcPr>
          <w:p w14:paraId="55720B49" w14:textId="361867A8" w:rsidR="00B0589B" w:rsidRPr="00CC4BB1" w:rsidRDefault="003070BF"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B0589B" w:rsidRPr="00CC4BB1">
              <w:rPr>
                <w:rFonts w:ascii="Calibri" w:eastAsia="Calibri" w:hAnsi="Calibri" w:cs="Times New Roman"/>
                <w:sz w:val="16"/>
                <w:lang w:eastAsia="en-GB"/>
              </w:rPr>
              <w:t xml:space="preserve"> - Measurable</w:t>
            </w:r>
          </w:p>
        </w:tc>
        <w:tc>
          <w:tcPr>
            <w:tcW w:w="2126" w:type="dxa"/>
            <w:shd w:val="clear" w:color="auto" w:fill="auto"/>
            <w:hideMark/>
          </w:tcPr>
          <w:p w14:paraId="1327E4A3"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Improved Employee Engagement results.</w:t>
            </w:r>
          </w:p>
        </w:tc>
        <w:tc>
          <w:tcPr>
            <w:tcW w:w="1276" w:type="dxa"/>
            <w:shd w:val="clear" w:color="auto" w:fill="auto"/>
            <w:hideMark/>
          </w:tcPr>
          <w:p w14:paraId="7C7AF104"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Employee Engagement survey results.</w:t>
            </w:r>
          </w:p>
        </w:tc>
        <w:tc>
          <w:tcPr>
            <w:tcW w:w="1701" w:type="dxa"/>
            <w:shd w:val="clear" w:color="auto" w:fill="auto"/>
            <w:hideMark/>
          </w:tcPr>
          <w:p w14:paraId="137D2250" w14:textId="66C36D62" w:rsidR="00B0589B" w:rsidRPr="00CC4BB1" w:rsidRDefault="00B0589B" w:rsidP="00B0589B">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429A1447"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Recommend that this benefit is re-evaluated in 3-6 months, following the restructure</w:t>
            </w:r>
          </w:p>
        </w:tc>
      </w:tr>
      <w:tr w:rsidR="00B0589B" w:rsidRPr="00CC4BB1" w14:paraId="35D5CE3D" w14:textId="77777777" w:rsidTr="00B0589B">
        <w:trPr>
          <w:trHeight w:val="853"/>
        </w:trPr>
        <w:tc>
          <w:tcPr>
            <w:tcW w:w="791" w:type="dxa"/>
            <w:shd w:val="clear" w:color="auto" w:fill="auto"/>
            <w:hideMark/>
          </w:tcPr>
          <w:p w14:paraId="69467B02"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B816013</w:t>
            </w:r>
          </w:p>
        </w:tc>
        <w:tc>
          <w:tcPr>
            <w:tcW w:w="3032" w:type="dxa"/>
            <w:shd w:val="clear" w:color="auto" w:fill="auto"/>
            <w:hideMark/>
          </w:tcPr>
          <w:p w14:paraId="4FE9FAA8"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Higher staff morale in Payroll</w:t>
            </w:r>
            <w:r w:rsidRPr="00CC4BB1">
              <w:rPr>
                <w:rFonts w:ascii="Calibri" w:eastAsia="Calibri" w:hAnsi="Calibri" w:cs="Times New Roman"/>
                <w:sz w:val="16"/>
                <w:lang w:eastAsia="en-GB"/>
              </w:rPr>
              <w:br/>
              <w:t>- simplified processes and procedures</w:t>
            </w:r>
            <w:r w:rsidRPr="00CC4BB1">
              <w:rPr>
                <w:rFonts w:ascii="Calibri" w:eastAsia="Calibri" w:hAnsi="Calibri" w:cs="Times New Roman"/>
                <w:sz w:val="16"/>
                <w:lang w:eastAsia="en-GB"/>
              </w:rPr>
              <w:br/>
              <w:t>- improved end user experience</w:t>
            </w:r>
          </w:p>
        </w:tc>
        <w:tc>
          <w:tcPr>
            <w:tcW w:w="1417" w:type="dxa"/>
            <w:shd w:val="clear" w:color="auto" w:fill="auto"/>
            <w:hideMark/>
          </w:tcPr>
          <w:p w14:paraId="5E41CD54"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Glenn McGuinness, Assistant Director, Finance</w:t>
            </w:r>
          </w:p>
        </w:tc>
        <w:tc>
          <w:tcPr>
            <w:tcW w:w="1276" w:type="dxa"/>
            <w:shd w:val="clear" w:color="auto" w:fill="auto"/>
            <w:hideMark/>
          </w:tcPr>
          <w:p w14:paraId="1D6F089A" w14:textId="727F47D1" w:rsidR="00B0589B" w:rsidRPr="00CC4BB1" w:rsidRDefault="003070BF"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B0589B" w:rsidRPr="00CC4BB1">
              <w:rPr>
                <w:rFonts w:ascii="Calibri" w:eastAsia="Calibri" w:hAnsi="Calibri" w:cs="Times New Roman"/>
                <w:sz w:val="16"/>
                <w:lang w:eastAsia="en-GB"/>
              </w:rPr>
              <w:t xml:space="preserve"> - Measurable</w:t>
            </w:r>
          </w:p>
        </w:tc>
        <w:tc>
          <w:tcPr>
            <w:tcW w:w="2126" w:type="dxa"/>
            <w:shd w:val="clear" w:color="auto" w:fill="auto"/>
            <w:hideMark/>
          </w:tcPr>
          <w:p w14:paraId="47A9C3CD"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Improved Employee Engagement results.</w:t>
            </w:r>
          </w:p>
        </w:tc>
        <w:tc>
          <w:tcPr>
            <w:tcW w:w="1276" w:type="dxa"/>
            <w:shd w:val="clear" w:color="auto" w:fill="auto"/>
            <w:hideMark/>
          </w:tcPr>
          <w:p w14:paraId="56C970BA"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Employee Engagement survey results.</w:t>
            </w:r>
          </w:p>
        </w:tc>
        <w:tc>
          <w:tcPr>
            <w:tcW w:w="1701" w:type="dxa"/>
            <w:shd w:val="clear" w:color="auto" w:fill="auto"/>
            <w:hideMark/>
          </w:tcPr>
          <w:p w14:paraId="08F686EF" w14:textId="6784303D" w:rsidR="00B0589B" w:rsidRPr="00CC4BB1" w:rsidRDefault="00B0589B" w:rsidP="00B0589B">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74A33FDC" w14:textId="77777777" w:rsidR="00B0589B" w:rsidRPr="00CC4BB1" w:rsidRDefault="00B0589B" w:rsidP="00261489">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Recommend that this benefit is re-evaluated in 3-6 months, following the restructure</w:t>
            </w:r>
          </w:p>
        </w:tc>
      </w:tr>
      <w:tr w:rsidR="00CC4BB1" w:rsidRPr="00CC4BB1" w14:paraId="26E991B8" w14:textId="77777777" w:rsidTr="00B0589B">
        <w:trPr>
          <w:trHeight w:val="694"/>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302314BB"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B816014</w:t>
            </w:r>
          </w:p>
        </w:tc>
        <w:tc>
          <w:tcPr>
            <w:tcW w:w="3032" w:type="dxa"/>
            <w:tcBorders>
              <w:top w:val="single" w:sz="4" w:space="0" w:color="auto"/>
              <w:left w:val="single" w:sz="4" w:space="0" w:color="auto"/>
              <w:bottom w:val="single" w:sz="4" w:space="0" w:color="auto"/>
              <w:right w:val="single" w:sz="4" w:space="0" w:color="auto"/>
            </w:tcBorders>
            <w:shd w:val="clear" w:color="auto" w:fill="auto"/>
            <w:hideMark/>
          </w:tcPr>
          <w:p w14:paraId="4CDF0D4B" w14:textId="77777777" w:rsidR="00CC4BB1" w:rsidRPr="00CC4BB1" w:rsidRDefault="00CC4BB1" w:rsidP="00CC4BB1">
            <w:pPr>
              <w:spacing w:after="0" w:line="240" w:lineRule="auto"/>
              <w:rPr>
                <w:rFonts w:ascii="Calibri" w:eastAsia="Calibri" w:hAnsi="Calibri" w:cs="Times New Roman"/>
                <w:b/>
                <w:sz w:val="16"/>
                <w:lang w:eastAsia="en-GB"/>
              </w:rPr>
            </w:pPr>
            <w:r w:rsidRPr="00CC4BB1">
              <w:rPr>
                <w:rFonts w:ascii="Calibri" w:eastAsia="Calibri" w:hAnsi="Calibri" w:cs="Times New Roman"/>
                <w:b/>
                <w:sz w:val="16"/>
                <w:lang w:eastAsia="en-GB"/>
              </w:rPr>
              <w:t>Higher staff morale in HR</w:t>
            </w:r>
            <w:r w:rsidRPr="00CC4BB1">
              <w:rPr>
                <w:rFonts w:ascii="Calibri" w:eastAsia="Calibri" w:hAnsi="Calibri" w:cs="Times New Roman"/>
                <w:b/>
                <w:sz w:val="16"/>
                <w:lang w:eastAsia="en-GB"/>
              </w:rPr>
              <w:br/>
              <w:t>- simplified processes and procedures</w:t>
            </w:r>
            <w:r w:rsidRPr="00CC4BB1">
              <w:rPr>
                <w:rFonts w:ascii="Calibri" w:eastAsia="Calibri" w:hAnsi="Calibri" w:cs="Times New Roman"/>
                <w:b/>
                <w:sz w:val="16"/>
                <w:lang w:eastAsia="en-GB"/>
              </w:rPr>
              <w:br/>
              <w:t>- improved end user experience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40DDB6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A6BA23" w14:textId="2D31B8BA"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13FA1A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Improved Employee Engagement results.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28CAA6"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Employee Engagement survey results.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F31361" w14:textId="065788DD" w:rsidR="00CC4BB1" w:rsidRPr="00CC4BB1" w:rsidRDefault="00CC4BB1" w:rsidP="00B0589B">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t>Note: Provides time for familiarity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C3B383F" w14:textId="49453BF4"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 xml:space="preserve">Recommend that this benefit is </w:t>
            </w:r>
            <w:r w:rsidR="003070BF" w:rsidRPr="00CC4BB1">
              <w:rPr>
                <w:rFonts w:ascii="Calibri" w:eastAsia="Calibri" w:hAnsi="Calibri" w:cs="Times New Roman"/>
                <w:sz w:val="16"/>
                <w:lang w:eastAsia="en-GB"/>
              </w:rPr>
              <w:t>re</w:t>
            </w:r>
            <w:r w:rsidR="003070BF">
              <w:rPr>
                <w:rFonts w:ascii="Calibri" w:eastAsia="Calibri" w:hAnsi="Calibri" w:cs="Times New Roman"/>
                <w:sz w:val="16"/>
                <w:lang w:eastAsia="en-GB"/>
              </w:rPr>
              <w:t>-e</w:t>
            </w:r>
            <w:r w:rsidR="003070BF" w:rsidRPr="00CC4BB1">
              <w:rPr>
                <w:rFonts w:ascii="Calibri" w:eastAsia="Calibri" w:hAnsi="Calibri" w:cs="Times New Roman"/>
                <w:sz w:val="16"/>
                <w:lang w:eastAsia="en-GB"/>
              </w:rPr>
              <w:t>valuated</w:t>
            </w:r>
            <w:r w:rsidRPr="00CC4BB1">
              <w:rPr>
                <w:rFonts w:ascii="Calibri" w:eastAsia="Calibri" w:hAnsi="Calibri" w:cs="Times New Roman"/>
                <w:sz w:val="16"/>
                <w:lang w:eastAsia="en-GB"/>
              </w:rPr>
              <w:t xml:space="preserve"> in 3-6 months, following the restructure</w:t>
            </w:r>
          </w:p>
        </w:tc>
      </w:tr>
      <w:tr w:rsidR="00CC4BB1" w:rsidRPr="00CC4BB1" w14:paraId="2812A278" w14:textId="77777777" w:rsidTr="00CC4BB1">
        <w:trPr>
          <w:trHeight w:val="900"/>
        </w:trPr>
        <w:tc>
          <w:tcPr>
            <w:tcW w:w="791" w:type="dxa"/>
            <w:shd w:val="clear" w:color="auto" w:fill="auto"/>
            <w:hideMark/>
          </w:tcPr>
          <w:p w14:paraId="73F3D1B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B816015</w:t>
            </w:r>
          </w:p>
        </w:tc>
        <w:tc>
          <w:tcPr>
            <w:tcW w:w="3032" w:type="dxa"/>
            <w:shd w:val="clear" w:color="auto" w:fill="auto"/>
            <w:hideMark/>
          </w:tcPr>
          <w:p w14:paraId="6BC0CED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Improved L&amp;D satisfaction with the new system</w:t>
            </w:r>
            <w:r w:rsidRPr="00CC4BB1">
              <w:rPr>
                <w:rFonts w:ascii="Calibri" w:eastAsia="Calibri" w:hAnsi="Calibri" w:cs="Times New Roman"/>
                <w:sz w:val="16"/>
                <w:lang w:eastAsia="en-GB"/>
              </w:rPr>
              <w:br/>
              <w:t>- improved end user experience</w:t>
            </w:r>
          </w:p>
        </w:tc>
        <w:tc>
          <w:tcPr>
            <w:tcW w:w="1417" w:type="dxa"/>
            <w:shd w:val="clear" w:color="auto" w:fill="auto"/>
            <w:hideMark/>
          </w:tcPr>
          <w:p w14:paraId="5ECBF00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shd w:val="clear" w:color="auto" w:fill="auto"/>
            <w:hideMark/>
          </w:tcPr>
          <w:p w14:paraId="50C472B1" w14:textId="21A1B9CD"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1B70DFF2"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Feedback from L&amp;D resources.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Improved Employee Engagement results.</w:t>
            </w:r>
          </w:p>
        </w:tc>
        <w:tc>
          <w:tcPr>
            <w:tcW w:w="1276" w:type="dxa"/>
            <w:shd w:val="clear" w:color="auto" w:fill="auto"/>
            <w:hideMark/>
          </w:tcPr>
          <w:p w14:paraId="544C131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Employee Engagement survey results.</w:t>
            </w:r>
          </w:p>
        </w:tc>
        <w:tc>
          <w:tcPr>
            <w:tcW w:w="1701" w:type="dxa"/>
            <w:shd w:val="clear" w:color="auto" w:fill="auto"/>
            <w:hideMark/>
          </w:tcPr>
          <w:p w14:paraId="05863554" w14:textId="6E2F0116" w:rsidR="00CC4BB1" w:rsidRPr="00CC4BB1" w:rsidRDefault="00CC4BB1" w:rsidP="00B0589B">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08B87950" w14:textId="62B8D706"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 xml:space="preserve">Recommend that this benefit is </w:t>
            </w:r>
            <w:r w:rsidR="003070BF" w:rsidRPr="00CC4BB1">
              <w:rPr>
                <w:rFonts w:ascii="Calibri" w:eastAsia="Calibri" w:hAnsi="Calibri" w:cs="Times New Roman"/>
                <w:sz w:val="16"/>
                <w:lang w:eastAsia="en-GB"/>
              </w:rPr>
              <w:t>re-evaluated</w:t>
            </w:r>
            <w:r w:rsidRPr="00CC4BB1">
              <w:rPr>
                <w:rFonts w:ascii="Calibri" w:eastAsia="Calibri" w:hAnsi="Calibri" w:cs="Times New Roman"/>
                <w:sz w:val="16"/>
                <w:lang w:eastAsia="en-GB"/>
              </w:rPr>
              <w:t xml:space="preserve"> in 3-6 months, following the restructure</w:t>
            </w:r>
          </w:p>
        </w:tc>
      </w:tr>
      <w:tr w:rsidR="00CC4BB1" w:rsidRPr="00CC4BB1" w14:paraId="11C03971" w14:textId="77777777" w:rsidTr="00B0589B">
        <w:trPr>
          <w:trHeight w:val="974"/>
        </w:trPr>
        <w:tc>
          <w:tcPr>
            <w:tcW w:w="791" w:type="dxa"/>
            <w:shd w:val="clear" w:color="auto" w:fill="auto"/>
            <w:hideMark/>
          </w:tcPr>
          <w:p w14:paraId="6DEF961B"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B816016</w:t>
            </w:r>
          </w:p>
        </w:tc>
        <w:tc>
          <w:tcPr>
            <w:tcW w:w="3032" w:type="dxa"/>
            <w:shd w:val="clear" w:color="auto" w:fill="auto"/>
            <w:hideMark/>
          </w:tcPr>
          <w:p w14:paraId="1B5E72B6"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Improved Operations' satisfaction with the new system</w:t>
            </w:r>
            <w:r w:rsidRPr="00CC4BB1">
              <w:rPr>
                <w:rFonts w:ascii="Calibri" w:eastAsia="Calibri" w:hAnsi="Calibri" w:cs="Times New Roman"/>
                <w:sz w:val="16"/>
                <w:lang w:eastAsia="en-GB"/>
              </w:rPr>
              <w:br/>
              <w:t>- improved end user experience</w:t>
            </w:r>
          </w:p>
        </w:tc>
        <w:tc>
          <w:tcPr>
            <w:tcW w:w="1417" w:type="dxa"/>
            <w:shd w:val="clear" w:color="auto" w:fill="auto"/>
            <w:hideMark/>
          </w:tcPr>
          <w:p w14:paraId="11636EF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Neil Fenwick, Senior Divisional Officer</w:t>
            </w:r>
          </w:p>
        </w:tc>
        <w:tc>
          <w:tcPr>
            <w:tcW w:w="1276" w:type="dxa"/>
            <w:shd w:val="clear" w:color="auto" w:fill="auto"/>
            <w:hideMark/>
          </w:tcPr>
          <w:p w14:paraId="2EA57C3C" w14:textId="4624B901"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1D9BD69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Feedback from Operations resources.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Improved Employee Engagement results.</w:t>
            </w:r>
          </w:p>
        </w:tc>
        <w:tc>
          <w:tcPr>
            <w:tcW w:w="1276" w:type="dxa"/>
            <w:shd w:val="clear" w:color="auto" w:fill="auto"/>
            <w:hideMark/>
          </w:tcPr>
          <w:p w14:paraId="7E848C6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Employee Engagement survey results.</w:t>
            </w:r>
          </w:p>
        </w:tc>
        <w:tc>
          <w:tcPr>
            <w:tcW w:w="1701" w:type="dxa"/>
            <w:shd w:val="clear" w:color="auto" w:fill="auto"/>
            <w:hideMark/>
          </w:tcPr>
          <w:p w14:paraId="3E0AA5E1" w14:textId="7F102A3B" w:rsidR="00CC4BB1" w:rsidRPr="00CC4BB1" w:rsidRDefault="00CC4BB1" w:rsidP="00B0589B">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398A829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Recommend that appropriate survey questions are asked to measure this</w:t>
            </w:r>
          </w:p>
        </w:tc>
      </w:tr>
      <w:tr w:rsidR="00CC4BB1" w:rsidRPr="00CC4BB1" w14:paraId="4445558A" w14:textId="77777777" w:rsidTr="00CC4BB1">
        <w:trPr>
          <w:trHeight w:val="900"/>
        </w:trPr>
        <w:tc>
          <w:tcPr>
            <w:tcW w:w="791" w:type="dxa"/>
            <w:shd w:val="clear" w:color="auto" w:fill="auto"/>
            <w:hideMark/>
          </w:tcPr>
          <w:p w14:paraId="1668571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B816017</w:t>
            </w:r>
          </w:p>
        </w:tc>
        <w:tc>
          <w:tcPr>
            <w:tcW w:w="3032" w:type="dxa"/>
            <w:shd w:val="clear" w:color="auto" w:fill="auto"/>
            <w:hideMark/>
          </w:tcPr>
          <w:p w14:paraId="3BE1687E"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Improved Payroll satisfaction with the new system</w:t>
            </w:r>
            <w:r w:rsidRPr="00CC4BB1">
              <w:rPr>
                <w:rFonts w:ascii="Calibri" w:eastAsia="Calibri" w:hAnsi="Calibri" w:cs="Times New Roman"/>
                <w:sz w:val="16"/>
                <w:lang w:eastAsia="en-GB"/>
              </w:rPr>
              <w:br/>
              <w:t>- improved end user experience</w:t>
            </w:r>
          </w:p>
        </w:tc>
        <w:tc>
          <w:tcPr>
            <w:tcW w:w="1417" w:type="dxa"/>
            <w:shd w:val="clear" w:color="auto" w:fill="auto"/>
            <w:hideMark/>
          </w:tcPr>
          <w:p w14:paraId="51727586"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Glenn McGuinness, Assistant Director, Finance</w:t>
            </w:r>
          </w:p>
        </w:tc>
        <w:tc>
          <w:tcPr>
            <w:tcW w:w="1276" w:type="dxa"/>
            <w:shd w:val="clear" w:color="auto" w:fill="auto"/>
            <w:hideMark/>
          </w:tcPr>
          <w:p w14:paraId="2F138806" w14:textId="5D0530A1"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1B5608B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Feedback from Payroll resources.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Improved Employee Engagement results.</w:t>
            </w:r>
          </w:p>
        </w:tc>
        <w:tc>
          <w:tcPr>
            <w:tcW w:w="1276" w:type="dxa"/>
            <w:shd w:val="clear" w:color="auto" w:fill="auto"/>
            <w:hideMark/>
          </w:tcPr>
          <w:p w14:paraId="4E988F8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Employee Engagement survey results.</w:t>
            </w:r>
          </w:p>
        </w:tc>
        <w:tc>
          <w:tcPr>
            <w:tcW w:w="1701" w:type="dxa"/>
            <w:shd w:val="clear" w:color="auto" w:fill="auto"/>
            <w:hideMark/>
          </w:tcPr>
          <w:p w14:paraId="4DC7C380" w14:textId="485FFD01" w:rsidR="00CC4BB1" w:rsidRPr="00CC4BB1" w:rsidRDefault="00CC4BB1" w:rsidP="00B0589B">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03A3F6F2"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Recommend that appropriate survey questions are asked to measure this</w:t>
            </w:r>
          </w:p>
        </w:tc>
      </w:tr>
      <w:tr w:rsidR="00CC4BB1" w:rsidRPr="00CC4BB1" w14:paraId="7750D6D2" w14:textId="77777777" w:rsidTr="00B0589B">
        <w:trPr>
          <w:trHeight w:val="718"/>
        </w:trPr>
        <w:tc>
          <w:tcPr>
            <w:tcW w:w="791" w:type="dxa"/>
            <w:shd w:val="clear" w:color="auto" w:fill="auto"/>
            <w:hideMark/>
          </w:tcPr>
          <w:p w14:paraId="32EF6EBE"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B816018</w:t>
            </w:r>
          </w:p>
        </w:tc>
        <w:tc>
          <w:tcPr>
            <w:tcW w:w="3032" w:type="dxa"/>
            <w:shd w:val="clear" w:color="auto" w:fill="auto"/>
            <w:hideMark/>
          </w:tcPr>
          <w:p w14:paraId="2678402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Improved HR satisfaction with the new system</w:t>
            </w:r>
            <w:r w:rsidRPr="00CC4BB1">
              <w:rPr>
                <w:rFonts w:ascii="Calibri" w:eastAsia="Calibri" w:hAnsi="Calibri" w:cs="Times New Roman"/>
                <w:sz w:val="16"/>
                <w:lang w:eastAsia="en-GB"/>
              </w:rPr>
              <w:br/>
              <w:t>- improved end user experience</w:t>
            </w:r>
          </w:p>
        </w:tc>
        <w:tc>
          <w:tcPr>
            <w:tcW w:w="1417" w:type="dxa"/>
            <w:shd w:val="clear" w:color="auto" w:fill="auto"/>
            <w:hideMark/>
          </w:tcPr>
          <w:p w14:paraId="6E42A6F5"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shd w:val="clear" w:color="auto" w:fill="auto"/>
            <w:hideMark/>
          </w:tcPr>
          <w:p w14:paraId="0E0BF014" w14:textId="6B4B31DD"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7B05F878"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Feedback from HR resources.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Improved Employee Engagement results.</w:t>
            </w:r>
          </w:p>
        </w:tc>
        <w:tc>
          <w:tcPr>
            <w:tcW w:w="1276" w:type="dxa"/>
            <w:shd w:val="clear" w:color="auto" w:fill="auto"/>
            <w:hideMark/>
          </w:tcPr>
          <w:p w14:paraId="2F19FF3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Employee Engagement survey results.</w:t>
            </w:r>
          </w:p>
        </w:tc>
        <w:tc>
          <w:tcPr>
            <w:tcW w:w="1701" w:type="dxa"/>
            <w:shd w:val="clear" w:color="auto" w:fill="auto"/>
            <w:hideMark/>
          </w:tcPr>
          <w:p w14:paraId="135FCE59" w14:textId="6987DAB3" w:rsidR="00CC4BB1" w:rsidRPr="00CC4BB1" w:rsidRDefault="00CC4BB1" w:rsidP="00B0589B">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5D7BF41D" w14:textId="29800C20"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 xml:space="preserve">Recommend that this benefit is </w:t>
            </w:r>
            <w:r w:rsidR="003070BF" w:rsidRPr="00CC4BB1">
              <w:rPr>
                <w:rFonts w:ascii="Calibri" w:eastAsia="Calibri" w:hAnsi="Calibri" w:cs="Times New Roman"/>
                <w:sz w:val="16"/>
                <w:lang w:eastAsia="en-GB"/>
              </w:rPr>
              <w:t>re-evaluated</w:t>
            </w:r>
            <w:r w:rsidRPr="00CC4BB1">
              <w:rPr>
                <w:rFonts w:ascii="Calibri" w:eastAsia="Calibri" w:hAnsi="Calibri" w:cs="Times New Roman"/>
                <w:sz w:val="16"/>
                <w:lang w:eastAsia="en-GB"/>
              </w:rPr>
              <w:t xml:space="preserve"> in 3-6 months, following the restructure</w:t>
            </w:r>
          </w:p>
        </w:tc>
      </w:tr>
      <w:tr w:rsidR="00CC4BB1" w:rsidRPr="00CC4BB1" w14:paraId="13E34C4A" w14:textId="77777777" w:rsidTr="00CC4BB1">
        <w:trPr>
          <w:trHeight w:val="1125"/>
        </w:trPr>
        <w:tc>
          <w:tcPr>
            <w:tcW w:w="791" w:type="dxa"/>
            <w:shd w:val="clear" w:color="auto" w:fill="auto"/>
            <w:hideMark/>
          </w:tcPr>
          <w:p w14:paraId="218810B6"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B816019</w:t>
            </w:r>
          </w:p>
        </w:tc>
        <w:tc>
          <w:tcPr>
            <w:tcW w:w="3032" w:type="dxa"/>
            <w:shd w:val="clear" w:color="auto" w:fill="auto"/>
            <w:hideMark/>
          </w:tcPr>
          <w:p w14:paraId="7BF5D77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Reduction in time spent in ESS/MSS</w:t>
            </w:r>
            <w:r w:rsidRPr="00CC4BB1">
              <w:rPr>
                <w:rFonts w:ascii="Calibri" w:eastAsia="Calibri" w:hAnsi="Calibri" w:cs="Times New Roman"/>
                <w:sz w:val="16"/>
                <w:lang w:eastAsia="en-GB"/>
              </w:rPr>
              <w:br/>
              <w:t>- simplified processes and procedures</w:t>
            </w:r>
            <w:r w:rsidRPr="00CC4BB1">
              <w:rPr>
                <w:rFonts w:ascii="Calibri" w:eastAsia="Calibri" w:hAnsi="Calibri" w:cs="Times New Roman"/>
                <w:sz w:val="16"/>
                <w:lang w:eastAsia="en-GB"/>
              </w:rPr>
              <w:br/>
              <w:t>- improved end user experience</w:t>
            </w:r>
            <w:r w:rsidRPr="00CC4BB1">
              <w:rPr>
                <w:rFonts w:ascii="Calibri" w:eastAsia="Calibri" w:hAnsi="Calibri" w:cs="Times New Roman"/>
                <w:sz w:val="16"/>
                <w:lang w:eastAsia="en-GB"/>
              </w:rPr>
              <w:br/>
              <w:t>- single HR source of truth</w:t>
            </w:r>
            <w:r w:rsidRPr="00CC4BB1">
              <w:rPr>
                <w:rFonts w:ascii="Calibri" w:eastAsia="Calibri" w:hAnsi="Calibri" w:cs="Times New Roman"/>
                <w:sz w:val="16"/>
                <w:lang w:eastAsia="en-GB"/>
              </w:rPr>
              <w:br/>
              <w:t>- appropriate management reporting</w:t>
            </w:r>
          </w:p>
        </w:tc>
        <w:tc>
          <w:tcPr>
            <w:tcW w:w="1417" w:type="dxa"/>
            <w:shd w:val="clear" w:color="auto" w:fill="auto"/>
            <w:hideMark/>
          </w:tcPr>
          <w:p w14:paraId="215765F8"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shd w:val="clear" w:color="auto" w:fill="auto"/>
            <w:hideMark/>
          </w:tcPr>
          <w:p w14:paraId="30EF9311" w14:textId="49340B28"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71E9C0F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Feedback from staff.</w:t>
            </w:r>
          </w:p>
        </w:tc>
        <w:tc>
          <w:tcPr>
            <w:tcW w:w="1276" w:type="dxa"/>
            <w:shd w:val="clear" w:color="auto" w:fill="auto"/>
            <w:hideMark/>
          </w:tcPr>
          <w:p w14:paraId="2F9C18F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Staff survey results.</w:t>
            </w:r>
          </w:p>
        </w:tc>
        <w:tc>
          <w:tcPr>
            <w:tcW w:w="1701" w:type="dxa"/>
            <w:shd w:val="clear" w:color="auto" w:fill="auto"/>
            <w:hideMark/>
          </w:tcPr>
          <w:p w14:paraId="1275E0B2" w14:textId="517D38E5" w:rsidR="00CC4BB1" w:rsidRPr="00CC4BB1" w:rsidRDefault="00CC4BB1" w:rsidP="00B0589B">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4F39CBE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Recommend that appropriate survey questions are asked to measure this</w:t>
            </w:r>
          </w:p>
          <w:p w14:paraId="77504271" w14:textId="77777777" w:rsidR="00CC4BB1" w:rsidRPr="00CC4BB1" w:rsidRDefault="00CC4BB1" w:rsidP="00CC4BB1">
            <w:pPr>
              <w:spacing w:after="0" w:line="240" w:lineRule="auto"/>
              <w:rPr>
                <w:rFonts w:ascii="Calibri" w:eastAsia="Calibri" w:hAnsi="Calibri" w:cs="Times New Roman"/>
                <w:sz w:val="16"/>
                <w:lang w:eastAsia="en-GB"/>
              </w:rPr>
            </w:pPr>
          </w:p>
          <w:p w14:paraId="5D11EDF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Some processes may not have reduced time, but have gone a long way to address audit issues and reduce data entry duplication across systems</w:t>
            </w:r>
          </w:p>
        </w:tc>
      </w:tr>
    </w:tbl>
    <w:p w14:paraId="46FCE532" w14:textId="77777777" w:rsidR="00B0589B" w:rsidRDefault="00B0589B">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032"/>
        <w:gridCol w:w="1417"/>
        <w:gridCol w:w="1276"/>
        <w:gridCol w:w="2126"/>
        <w:gridCol w:w="1276"/>
        <w:gridCol w:w="1701"/>
        <w:gridCol w:w="2977"/>
      </w:tblGrid>
      <w:tr w:rsidR="00B0589B" w:rsidRPr="00CC4BB1" w14:paraId="4015F115" w14:textId="77777777" w:rsidTr="00261489">
        <w:trPr>
          <w:trHeight w:val="132"/>
        </w:trPr>
        <w:tc>
          <w:tcPr>
            <w:tcW w:w="791" w:type="dxa"/>
            <w:tcBorders>
              <w:top w:val="single" w:sz="4" w:space="0" w:color="auto"/>
              <w:left w:val="single" w:sz="4" w:space="0" w:color="auto"/>
              <w:bottom w:val="single" w:sz="4" w:space="0" w:color="auto"/>
              <w:right w:val="single" w:sz="4" w:space="0" w:color="auto"/>
            </w:tcBorders>
            <w:shd w:val="clear" w:color="auto" w:fill="FF0000"/>
            <w:hideMark/>
          </w:tcPr>
          <w:p w14:paraId="0A50C8D2" w14:textId="030DE453" w:rsidR="00B0589B" w:rsidRPr="00CC4BB1" w:rsidRDefault="00B0589B" w:rsidP="00261489">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lastRenderedPageBreak/>
              <w:t>ID</w:t>
            </w:r>
          </w:p>
        </w:tc>
        <w:tc>
          <w:tcPr>
            <w:tcW w:w="3032" w:type="dxa"/>
            <w:tcBorders>
              <w:top w:val="single" w:sz="4" w:space="0" w:color="auto"/>
              <w:left w:val="single" w:sz="4" w:space="0" w:color="auto"/>
              <w:bottom w:val="single" w:sz="4" w:space="0" w:color="auto"/>
              <w:right w:val="single" w:sz="4" w:space="0" w:color="auto"/>
            </w:tcBorders>
            <w:shd w:val="clear" w:color="auto" w:fill="FF0000"/>
            <w:hideMark/>
          </w:tcPr>
          <w:p w14:paraId="5834CEAB" w14:textId="77777777" w:rsidR="00B0589B" w:rsidRPr="00CC4BB1" w:rsidRDefault="00B0589B" w:rsidP="00261489">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Benefit Description</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14:paraId="7CE960AA" w14:textId="77777777" w:rsidR="00B0589B" w:rsidRPr="00CC4BB1" w:rsidRDefault="00B0589B" w:rsidP="00261489">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Benefit Owner</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202E6534" w14:textId="77777777" w:rsidR="00B0589B" w:rsidRPr="00CC4BB1" w:rsidRDefault="00B0589B" w:rsidP="00261489">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Benefit Type</w:t>
            </w: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2EED30B7" w14:textId="77777777" w:rsidR="00B0589B" w:rsidRPr="00CC4BB1" w:rsidRDefault="00B0589B" w:rsidP="00261489">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Observable Difference</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5C72B87E" w14:textId="77777777" w:rsidR="00B0589B" w:rsidRPr="00CC4BB1" w:rsidRDefault="00B0589B" w:rsidP="00261489">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 xml:space="preserve">Attribution </w:t>
            </w:r>
          </w:p>
        </w:tc>
        <w:tc>
          <w:tcPr>
            <w:tcW w:w="1701" w:type="dxa"/>
            <w:tcBorders>
              <w:top w:val="single" w:sz="4" w:space="0" w:color="auto"/>
              <w:left w:val="single" w:sz="4" w:space="0" w:color="auto"/>
              <w:bottom w:val="single" w:sz="4" w:space="0" w:color="auto"/>
              <w:right w:val="single" w:sz="4" w:space="0" w:color="auto"/>
            </w:tcBorders>
            <w:shd w:val="clear" w:color="auto" w:fill="FF0000"/>
            <w:hideMark/>
          </w:tcPr>
          <w:p w14:paraId="381C95B6" w14:textId="77777777" w:rsidR="00B0589B" w:rsidRPr="00CC4BB1" w:rsidRDefault="00B0589B" w:rsidP="00261489">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Timing</w:t>
            </w:r>
          </w:p>
        </w:tc>
        <w:tc>
          <w:tcPr>
            <w:tcW w:w="2977" w:type="dxa"/>
            <w:tcBorders>
              <w:top w:val="single" w:sz="4" w:space="0" w:color="auto"/>
              <w:left w:val="single" w:sz="4" w:space="0" w:color="auto"/>
              <w:bottom w:val="single" w:sz="4" w:space="0" w:color="auto"/>
              <w:right w:val="single" w:sz="4" w:space="0" w:color="auto"/>
            </w:tcBorders>
            <w:shd w:val="clear" w:color="auto" w:fill="FF0000"/>
            <w:hideMark/>
          </w:tcPr>
          <w:p w14:paraId="3BA83C16" w14:textId="77777777" w:rsidR="00B0589B" w:rsidRPr="00CC4BB1" w:rsidRDefault="00B0589B" w:rsidP="00261489">
            <w:pPr>
              <w:spacing w:after="0" w:line="240" w:lineRule="auto"/>
              <w:rPr>
                <w:rFonts w:ascii="Calibri" w:eastAsia="Calibri" w:hAnsi="Calibri" w:cs="Times New Roman"/>
                <w:b/>
                <w:color w:val="FFFFFF" w:themeColor="background1"/>
                <w:sz w:val="16"/>
                <w:lang w:eastAsia="en-GB"/>
              </w:rPr>
            </w:pPr>
            <w:r w:rsidRPr="00CC4BB1">
              <w:rPr>
                <w:rFonts w:ascii="Calibri" w:eastAsia="Calibri" w:hAnsi="Calibri" w:cs="Times New Roman"/>
                <w:b/>
                <w:color w:val="FFFFFF" w:themeColor="background1"/>
                <w:sz w:val="16"/>
                <w:lang w:eastAsia="en-GB"/>
              </w:rPr>
              <w:t>Benefit Status</w:t>
            </w:r>
          </w:p>
        </w:tc>
      </w:tr>
      <w:tr w:rsidR="00CC4BB1" w:rsidRPr="00CC4BB1" w14:paraId="6C5729D5" w14:textId="77777777" w:rsidTr="00B0589B">
        <w:trPr>
          <w:trHeight w:val="1198"/>
        </w:trPr>
        <w:tc>
          <w:tcPr>
            <w:tcW w:w="791" w:type="dxa"/>
            <w:shd w:val="clear" w:color="auto" w:fill="auto"/>
            <w:hideMark/>
          </w:tcPr>
          <w:p w14:paraId="11F27CC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B816020</w:t>
            </w:r>
          </w:p>
        </w:tc>
        <w:tc>
          <w:tcPr>
            <w:tcW w:w="3032" w:type="dxa"/>
            <w:shd w:val="clear" w:color="auto" w:fill="auto"/>
            <w:hideMark/>
          </w:tcPr>
          <w:p w14:paraId="1EA9226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Creating time for Operational staff to do more TFS/CFS/Training</w:t>
            </w:r>
            <w:r w:rsidRPr="00CC4BB1">
              <w:rPr>
                <w:rFonts w:ascii="Calibri" w:eastAsia="Calibri" w:hAnsi="Calibri" w:cs="Times New Roman"/>
                <w:sz w:val="16"/>
                <w:lang w:eastAsia="en-GB"/>
              </w:rPr>
              <w:br/>
              <w:t>- simplified processes and procedures</w:t>
            </w:r>
            <w:r w:rsidRPr="00CC4BB1">
              <w:rPr>
                <w:rFonts w:ascii="Calibri" w:eastAsia="Calibri" w:hAnsi="Calibri" w:cs="Times New Roman"/>
                <w:sz w:val="16"/>
                <w:lang w:eastAsia="en-GB"/>
              </w:rPr>
              <w:br/>
              <w:t>- improved end user experience</w:t>
            </w:r>
            <w:r w:rsidRPr="00CC4BB1">
              <w:rPr>
                <w:rFonts w:ascii="Calibri" w:eastAsia="Calibri" w:hAnsi="Calibri" w:cs="Times New Roman"/>
                <w:sz w:val="16"/>
                <w:lang w:eastAsia="en-GB"/>
              </w:rPr>
              <w:br/>
              <w:t>- single HR source of truth</w:t>
            </w:r>
            <w:r w:rsidRPr="00CC4BB1">
              <w:rPr>
                <w:rFonts w:ascii="Calibri" w:eastAsia="Calibri" w:hAnsi="Calibri" w:cs="Times New Roman"/>
                <w:sz w:val="16"/>
                <w:lang w:eastAsia="en-GB"/>
              </w:rPr>
              <w:br/>
              <w:t>- appropriate management reporting</w:t>
            </w:r>
          </w:p>
        </w:tc>
        <w:tc>
          <w:tcPr>
            <w:tcW w:w="1417" w:type="dxa"/>
            <w:shd w:val="clear" w:color="auto" w:fill="auto"/>
            <w:hideMark/>
          </w:tcPr>
          <w:p w14:paraId="599A846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Neil Fenwick, Senior Divisional Officer</w:t>
            </w:r>
          </w:p>
        </w:tc>
        <w:tc>
          <w:tcPr>
            <w:tcW w:w="1276" w:type="dxa"/>
            <w:shd w:val="clear" w:color="auto" w:fill="auto"/>
            <w:hideMark/>
          </w:tcPr>
          <w:p w14:paraId="17D6C807" w14:textId="14F7BA15"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25C46F2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Feedback from Operational staff.</w:t>
            </w:r>
          </w:p>
        </w:tc>
        <w:tc>
          <w:tcPr>
            <w:tcW w:w="1276" w:type="dxa"/>
            <w:shd w:val="clear" w:color="auto" w:fill="auto"/>
            <w:hideMark/>
          </w:tcPr>
          <w:p w14:paraId="7BE86D3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Operational activities.</w:t>
            </w:r>
          </w:p>
        </w:tc>
        <w:tc>
          <w:tcPr>
            <w:tcW w:w="1701" w:type="dxa"/>
            <w:shd w:val="clear" w:color="auto" w:fill="auto"/>
            <w:hideMark/>
          </w:tcPr>
          <w:p w14:paraId="1EB2356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35B7EEF6"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Too early to measure this</w:t>
            </w:r>
          </w:p>
        </w:tc>
      </w:tr>
      <w:tr w:rsidR="00CC4BB1" w:rsidRPr="00CC4BB1" w14:paraId="391E2FF3" w14:textId="77777777" w:rsidTr="00B0589B">
        <w:trPr>
          <w:trHeight w:val="1697"/>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14:paraId="5475270F"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B816021</w:t>
            </w:r>
          </w:p>
        </w:tc>
        <w:tc>
          <w:tcPr>
            <w:tcW w:w="3032" w:type="dxa"/>
            <w:tcBorders>
              <w:top w:val="single" w:sz="4" w:space="0" w:color="auto"/>
              <w:left w:val="single" w:sz="4" w:space="0" w:color="auto"/>
              <w:bottom w:val="single" w:sz="4" w:space="0" w:color="auto"/>
              <w:right w:val="single" w:sz="4" w:space="0" w:color="auto"/>
            </w:tcBorders>
            <w:shd w:val="clear" w:color="auto" w:fill="auto"/>
            <w:hideMark/>
          </w:tcPr>
          <w:p w14:paraId="2D685752" w14:textId="77777777" w:rsidR="00CC4BB1" w:rsidRPr="00CC4BB1" w:rsidRDefault="00CC4BB1" w:rsidP="00CC4BB1">
            <w:pPr>
              <w:spacing w:after="0" w:line="240" w:lineRule="auto"/>
              <w:rPr>
                <w:rFonts w:ascii="Calibri" w:eastAsia="Calibri" w:hAnsi="Calibri" w:cs="Times New Roman"/>
                <w:b/>
                <w:sz w:val="16"/>
                <w:lang w:eastAsia="en-GB"/>
              </w:rPr>
            </w:pPr>
            <w:r w:rsidRPr="00CC4BB1">
              <w:rPr>
                <w:rFonts w:ascii="Calibri" w:eastAsia="Calibri" w:hAnsi="Calibri" w:cs="Times New Roman"/>
                <w:b/>
                <w:sz w:val="16"/>
                <w:lang w:eastAsia="en-GB"/>
              </w:rPr>
              <w:t>Improved manager confidence in our reporting capability</w:t>
            </w:r>
            <w:r w:rsidRPr="00CC4BB1">
              <w:rPr>
                <w:rFonts w:ascii="Calibri" w:eastAsia="Calibri" w:hAnsi="Calibri" w:cs="Times New Roman"/>
                <w:b/>
                <w:sz w:val="16"/>
                <w:lang w:eastAsia="en-GB"/>
              </w:rPr>
              <w:br/>
              <w:t>- single HR source of truth</w:t>
            </w:r>
            <w:r w:rsidRPr="00CC4BB1">
              <w:rPr>
                <w:rFonts w:ascii="Calibri" w:eastAsia="Calibri" w:hAnsi="Calibri" w:cs="Times New Roman"/>
                <w:b/>
                <w:sz w:val="16"/>
                <w:lang w:eastAsia="en-GB"/>
              </w:rPr>
              <w:br/>
              <w:t>- appropriate management reporting</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6EABBB5"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2FDD34" w14:textId="60DC0261"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545F48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 reliance on standalone spreadsheets.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requests for ad-hoc reports.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Standardised reports used.</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Feedback from managers.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7C384D6"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Line manager usage of non-standard reporting methods for HR &amp; Payroll data.</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Line manager survey results.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CBE7C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3867AB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Recommend that appropriate survey questions are asked to measure this</w:t>
            </w:r>
          </w:p>
        </w:tc>
      </w:tr>
      <w:tr w:rsidR="00CC4BB1" w:rsidRPr="00CC4BB1" w14:paraId="60777B88" w14:textId="77777777" w:rsidTr="00B0589B">
        <w:trPr>
          <w:trHeight w:val="1765"/>
        </w:trPr>
        <w:tc>
          <w:tcPr>
            <w:tcW w:w="791" w:type="dxa"/>
            <w:shd w:val="clear" w:color="auto" w:fill="auto"/>
            <w:hideMark/>
          </w:tcPr>
          <w:p w14:paraId="7B1C653E"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B816022</w:t>
            </w:r>
          </w:p>
        </w:tc>
        <w:tc>
          <w:tcPr>
            <w:tcW w:w="3032" w:type="dxa"/>
            <w:shd w:val="clear" w:color="auto" w:fill="auto"/>
            <w:hideMark/>
          </w:tcPr>
          <w:p w14:paraId="0B64FC0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Improved manager confidence in our 'people' data</w:t>
            </w:r>
            <w:r w:rsidRPr="00CC4BB1">
              <w:rPr>
                <w:rFonts w:ascii="Calibri" w:eastAsia="Calibri" w:hAnsi="Calibri" w:cs="Times New Roman"/>
                <w:sz w:val="16"/>
                <w:lang w:eastAsia="en-GB"/>
              </w:rPr>
              <w:br/>
              <w:t>- improved establishment control</w:t>
            </w:r>
            <w:r w:rsidRPr="00CC4BB1">
              <w:rPr>
                <w:rFonts w:ascii="Calibri" w:eastAsia="Calibri" w:hAnsi="Calibri" w:cs="Times New Roman"/>
                <w:sz w:val="16"/>
                <w:lang w:eastAsia="en-GB"/>
              </w:rPr>
              <w:br/>
              <w:t>- single HR source of truth</w:t>
            </w:r>
            <w:r w:rsidRPr="00CC4BB1">
              <w:rPr>
                <w:rFonts w:ascii="Calibri" w:eastAsia="Calibri" w:hAnsi="Calibri" w:cs="Times New Roman"/>
                <w:sz w:val="16"/>
                <w:lang w:eastAsia="en-GB"/>
              </w:rPr>
              <w:br/>
              <w:t>- redeveloped and enhanced system interface</w:t>
            </w:r>
          </w:p>
        </w:tc>
        <w:tc>
          <w:tcPr>
            <w:tcW w:w="1417" w:type="dxa"/>
            <w:shd w:val="clear" w:color="auto" w:fill="auto"/>
            <w:hideMark/>
          </w:tcPr>
          <w:p w14:paraId="3C255FC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Colette Black, Assistant Director, HR &amp; OD</w:t>
            </w:r>
          </w:p>
        </w:tc>
        <w:tc>
          <w:tcPr>
            <w:tcW w:w="1276" w:type="dxa"/>
            <w:shd w:val="clear" w:color="auto" w:fill="auto"/>
            <w:hideMark/>
          </w:tcPr>
          <w:p w14:paraId="00D90B5A" w14:textId="4D0208D9"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219520F0"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 reliance on standalone spreadsheets.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requests for ad-hoc reports.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Standardised reports used.</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Feedback from managers.</w:t>
            </w:r>
          </w:p>
        </w:tc>
        <w:tc>
          <w:tcPr>
            <w:tcW w:w="1276" w:type="dxa"/>
            <w:shd w:val="clear" w:color="auto" w:fill="auto"/>
            <w:hideMark/>
          </w:tcPr>
          <w:p w14:paraId="711D553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Line manager usage of non-standard data storage methods for HR &amp; Payroll data.</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Line manager survey results.</w:t>
            </w:r>
          </w:p>
        </w:tc>
        <w:tc>
          <w:tcPr>
            <w:tcW w:w="1701" w:type="dxa"/>
            <w:shd w:val="clear" w:color="auto" w:fill="auto"/>
            <w:hideMark/>
          </w:tcPr>
          <w:p w14:paraId="0D5B86B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0B4B3D3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Recommend that appropriate survey questions are asked to measure this</w:t>
            </w:r>
          </w:p>
        </w:tc>
      </w:tr>
      <w:tr w:rsidR="00CC4BB1" w:rsidRPr="00CC4BB1" w14:paraId="082E9B76" w14:textId="77777777" w:rsidTr="00CC4BB1">
        <w:trPr>
          <w:trHeight w:val="900"/>
        </w:trPr>
        <w:tc>
          <w:tcPr>
            <w:tcW w:w="791" w:type="dxa"/>
            <w:shd w:val="clear" w:color="auto" w:fill="auto"/>
            <w:hideMark/>
          </w:tcPr>
          <w:p w14:paraId="62CAFE7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B816023</w:t>
            </w:r>
          </w:p>
        </w:tc>
        <w:tc>
          <w:tcPr>
            <w:tcW w:w="3032" w:type="dxa"/>
            <w:shd w:val="clear" w:color="auto" w:fill="auto"/>
            <w:hideMark/>
          </w:tcPr>
          <w:p w14:paraId="209161A5"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Reduction in time taken for Civica to update ERB</w:t>
            </w:r>
            <w:r w:rsidRPr="00CC4BB1">
              <w:rPr>
                <w:rFonts w:ascii="Calibri" w:eastAsia="Calibri" w:hAnsi="Calibri" w:cs="Times New Roman"/>
                <w:sz w:val="16"/>
                <w:lang w:eastAsia="en-GB"/>
              </w:rPr>
              <w:br/>
              <w:t>- redeveloped and enhanced system interface</w:t>
            </w:r>
          </w:p>
        </w:tc>
        <w:tc>
          <w:tcPr>
            <w:tcW w:w="1417" w:type="dxa"/>
            <w:shd w:val="clear" w:color="auto" w:fill="auto"/>
            <w:hideMark/>
          </w:tcPr>
          <w:p w14:paraId="045BA9D2"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Martin Chester, ICT Service Delivery Manager</w:t>
            </w:r>
          </w:p>
        </w:tc>
        <w:tc>
          <w:tcPr>
            <w:tcW w:w="1276" w:type="dxa"/>
            <w:shd w:val="clear" w:color="auto" w:fill="auto"/>
            <w:hideMark/>
          </w:tcPr>
          <w:p w14:paraId="4B8E9D94" w14:textId="0AEB4F22"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39400AC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Reduction in the time it takes ERB to receive HR updates.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 'queued' updates.</w:t>
            </w:r>
          </w:p>
        </w:tc>
        <w:tc>
          <w:tcPr>
            <w:tcW w:w="1276" w:type="dxa"/>
            <w:shd w:val="clear" w:color="auto" w:fill="auto"/>
            <w:hideMark/>
          </w:tcPr>
          <w:p w14:paraId="68E9A61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ERB data accuracy and timeliness.</w:t>
            </w:r>
          </w:p>
        </w:tc>
        <w:tc>
          <w:tcPr>
            <w:tcW w:w="1701" w:type="dxa"/>
            <w:shd w:val="clear" w:color="auto" w:fill="auto"/>
            <w:hideMark/>
          </w:tcPr>
          <w:p w14:paraId="6694C219"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December 2018</w:t>
            </w:r>
          </w:p>
        </w:tc>
        <w:tc>
          <w:tcPr>
            <w:tcW w:w="2977" w:type="dxa"/>
            <w:shd w:val="clear" w:color="auto" w:fill="auto"/>
            <w:hideMark/>
          </w:tcPr>
          <w:p w14:paraId="73E736CF"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Interface implemented. Data accuracy and timeliness improved</w:t>
            </w:r>
          </w:p>
        </w:tc>
      </w:tr>
      <w:tr w:rsidR="00CC4BB1" w:rsidRPr="00CC4BB1" w14:paraId="47027A3D" w14:textId="77777777" w:rsidTr="00CC4BB1">
        <w:trPr>
          <w:trHeight w:val="1800"/>
        </w:trPr>
        <w:tc>
          <w:tcPr>
            <w:tcW w:w="791" w:type="dxa"/>
            <w:shd w:val="clear" w:color="auto" w:fill="auto"/>
            <w:hideMark/>
          </w:tcPr>
          <w:p w14:paraId="7F0EC5DF"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B816024</w:t>
            </w:r>
          </w:p>
        </w:tc>
        <w:tc>
          <w:tcPr>
            <w:tcW w:w="3032" w:type="dxa"/>
            <w:shd w:val="clear" w:color="auto" w:fill="auto"/>
            <w:hideMark/>
          </w:tcPr>
          <w:p w14:paraId="74C9EB3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Reduced effort in maintaining appliance availability</w:t>
            </w:r>
            <w:r w:rsidRPr="00CC4BB1">
              <w:rPr>
                <w:rFonts w:ascii="Calibri" w:eastAsia="Calibri" w:hAnsi="Calibri" w:cs="Times New Roman"/>
                <w:sz w:val="16"/>
                <w:lang w:eastAsia="en-GB"/>
              </w:rPr>
              <w:br/>
              <w:t>- redeveloped and enhanced system interface</w:t>
            </w:r>
            <w:r w:rsidRPr="00CC4BB1">
              <w:rPr>
                <w:rFonts w:ascii="Calibri" w:eastAsia="Calibri" w:hAnsi="Calibri" w:cs="Times New Roman"/>
                <w:sz w:val="16"/>
                <w:lang w:eastAsia="en-GB"/>
              </w:rPr>
              <w:br/>
              <w:t>- reduction in gaps in our HR data</w:t>
            </w:r>
            <w:r w:rsidRPr="00CC4BB1">
              <w:rPr>
                <w:rFonts w:ascii="Calibri" w:eastAsia="Calibri" w:hAnsi="Calibri" w:cs="Times New Roman"/>
                <w:sz w:val="16"/>
                <w:lang w:eastAsia="en-GB"/>
              </w:rPr>
              <w:br/>
              <w:t>- appropriate management reporting</w:t>
            </w:r>
            <w:r w:rsidRPr="00CC4BB1">
              <w:rPr>
                <w:rFonts w:ascii="Calibri" w:eastAsia="Calibri" w:hAnsi="Calibri" w:cs="Times New Roman"/>
                <w:sz w:val="16"/>
                <w:lang w:eastAsia="en-GB"/>
              </w:rPr>
              <w:br/>
              <w:t>- improved confidence in our HR data</w:t>
            </w:r>
          </w:p>
        </w:tc>
        <w:tc>
          <w:tcPr>
            <w:tcW w:w="1417" w:type="dxa"/>
            <w:shd w:val="clear" w:color="auto" w:fill="auto"/>
            <w:hideMark/>
          </w:tcPr>
          <w:p w14:paraId="0151190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Neil Fenwick, Senior Divisional Officer</w:t>
            </w:r>
          </w:p>
        </w:tc>
        <w:tc>
          <w:tcPr>
            <w:tcW w:w="1276" w:type="dxa"/>
            <w:shd w:val="clear" w:color="auto" w:fill="auto"/>
            <w:hideMark/>
          </w:tcPr>
          <w:p w14:paraId="1F3949F4" w14:textId="2816CA9D"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73D6E284"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Improved data accuracy on ERB.</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manual updates to ERB.</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calls from stations to Control to update appliance status.</w:t>
            </w:r>
          </w:p>
        </w:tc>
        <w:tc>
          <w:tcPr>
            <w:tcW w:w="1276" w:type="dxa"/>
            <w:shd w:val="clear" w:color="auto" w:fill="auto"/>
            <w:hideMark/>
          </w:tcPr>
          <w:p w14:paraId="15BCD53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ERB data accuracy and timeliness.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Control workload when maintaining appliance availability status in Remsdaq 4i.</w:t>
            </w:r>
          </w:p>
        </w:tc>
        <w:tc>
          <w:tcPr>
            <w:tcW w:w="1701" w:type="dxa"/>
            <w:shd w:val="clear" w:color="auto" w:fill="auto"/>
            <w:hideMark/>
          </w:tcPr>
          <w:p w14:paraId="084D10A1"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977" w:type="dxa"/>
            <w:shd w:val="clear" w:color="auto" w:fill="auto"/>
            <w:hideMark/>
          </w:tcPr>
          <w:p w14:paraId="0F839BF3"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Too early to measure this</w:t>
            </w:r>
          </w:p>
        </w:tc>
      </w:tr>
    </w:tbl>
    <w:p w14:paraId="45186282" w14:textId="77777777" w:rsidR="00CC4BB1" w:rsidRPr="00CC4BB1" w:rsidRDefault="00CC4BB1" w:rsidP="00CC4BB1">
      <w:pPr>
        <w:spacing w:after="160" w:line="259" w:lineRule="auto"/>
        <w:rPr>
          <w:rFonts w:ascii="Calibri" w:eastAsia="Calibri" w:hAnsi="Calibri" w:cs="Times New Roman"/>
        </w:rPr>
      </w:pPr>
      <w:r w:rsidRPr="00CC4BB1">
        <w:rPr>
          <w:rFonts w:ascii="Calibri" w:eastAsia="Calibri" w:hAnsi="Calibri" w:cs="Times New Roman"/>
        </w:rP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032"/>
        <w:gridCol w:w="1417"/>
        <w:gridCol w:w="1276"/>
        <w:gridCol w:w="2126"/>
        <w:gridCol w:w="1559"/>
        <w:gridCol w:w="1701"/>
        <w:gridCol w:w="2694"/>
      </w:tblGrid>
      <w:tr w:rsidR="00CC4BB1" w:rsidRPr="00CC4BB1" w14:paraId="63928E0C" w14:textId="77777777" w:rsidTr="00A20530">
        <w:trPr>
          <w:trHeight w:val="139"/>
        </w:trPr>
        <w:tc>
          <w:tcPr>
            <w:tcW w:w="791" w:type="dxa"/>
            <w:shd w:val="clear" w:color="auto" w:fill="FF0000"/>
            <w:hideMark/>
          </w:tcPr>
          <w:p w14:paraId="5387E1BA"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lastRenderedPageBreak/>
              <w:t>ID</w:t>
            </w:r>
          </w:p>
        </w:tc>
        <w:tc>
          <w:tcPr>
            <w:tcW w:w="3032" w:type="dxa"/>
            <w:shd w:val="clear" w:color="auto" w:fill="FF0000"/>
            <w:hideMark/>
          </w:tcPr>
          <w:p w14:paraId="1EEB87DF"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Benefit Description</w:t>
            </w:r>
          </w:p>
        </w:tc>
        <w:tc>
          <w:tcPr>
            <w:tcW w:w="1417" w:type="dxa"/>
            <w:shd w:val="clear" w:color="auto" w:fill="FF0000"/>
            <w:hideMark/>
          </w:tcPr>
          <w:p w14:paraId="4CC82DAF"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Benefit Owner</w:t>
            </w:r>
          </w:p>
        </w:tc>
        <w:tc>
          <w:tcPr>
            <w:tcW w:w="1276" w:type="dxa"/>
            <w:shd w:val="clear" w:color="auto" w:fill="FF0000"/>
            <w:hideMark/>
          </w:tcPr>
          <w:p w14:paraId="368D6AD7"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Benefit Type</w:t>
            </w:r>
          </w:p>
        </w:tc>
        <w:tc>
          <w:tcPr>
            <w:tcW w:w="2126" w:type="dxa"/>
            <w:shd w:val="clear" w:color="auto" w:fill="FF0000"/>
            <w:hideMark/>
          </w:tcPr>
          <w:p w14:paraId="6A4892E5"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Observable Difference</w:t>
            </w:r>
          </w:p>
        </w:tc>
        <w:tc>
          <w:tcPr>
            <w:tcW w:w="1559" w:type="dxa"/>
            <w:shd w:val="clear" w:color="auto" w:fill="FF0000"/>
            <w:hideMark/>
          </w:tcPr>
          <w:p w14:paraId="7D383E65"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 xml:space="preserve">Attribution </w:t>
            </w:r>
          </w:p>
        </w:tc>
        <w:tc>
          <w:tcPr>
            <w:tcW w:w="1701" w:type="dxa"/>
            <w:shd w:val="clear" w:color="auto" w:fill="FF0000"/>
            <w:hideMark/>
          </w:tcPr>
          <w:p w14:paraId="71BE9569"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Timing</w:t>
            </w:r>
          </w:p>
        </w:tc>
        <w:tc>
          <w:tcPr>
            <w:tcW w:w="2694" w:type="dxa"/>
            <w:shd w:val="clear" w:color="auto" w:fill="FF0000"/>
            <w:hideMark/>
          </w:tcPr>
          <w:p w14:paraId="3776CC90" w14:textId="77777777" w:rsidR="00CC4BB1" w:rsidRPr="00CC4BB1" w:rsidRDefault="00CC4BB1" w:rsidP="00CC4BB1">
            <w:pPr>
              <w:spacing w:after="0" w:line="240" w:lineRule="auto"/>
              <w:rPr>
                <w:rFonts w:ascii="Calibri" w:eastAsia="Calibri" w:hAnsi="Calibri" w:cs="Times New Roman"/>
                <w:b/>
                <w:color w:val="FFFFFF"/>
                <w:sz w:val="16"/>
                <w:lang w:eastAsia="en-GB"/>
              </w:rPr>
            </w:pPr>
            <w:r w:rsidRPr="00CC4BB1">
              <w:rPr>
                <w:rFonts w:ascii="Calibri" w:eastAsia="Calibri" w:hAnsi="Calibri" w:cs="Times New Roman"/>
                <w:b/>
                <w:color w:val="FFFFFF"/>
                <w:sz w:val="16"/>
                <w:lang w:eastAsia="en-GB"/>
              </w:rPr>
              <w:t>Benefit Status</w:t>
            </w:r>
          </w:p>
        </w:tc>
      </w:tr>
      <w:tr w:rsidR="00CC4BB1" w:rsidRPr="00CC4BB1" w14:paraId="53457A70" w14:textId="77777777" w:rsidTr="00A20530">
        <w:trPr>
          <w:trHeight w:val="1800"/>
        </w:trPr>
        <w:tc>
          <w:tcPr>
            <w:tcW w:w="791" w:type="dxa"/>
            <w:shd w:val="clear" w:color="auto" w:fill="auto"/>
            <w:hideMark/>
          </w:tcPr>
          <w:p w14:paraId="0860451E"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B816025</w:t>
            </w:r>
          </w:p>
        </w:tc>
        <w:tc>
          <w:tcPr>
            <w:tcW w:w="3032" w:type="dxa"/>
            <w:shd w:val="clear" w:color="auto" w:fill="auto"/>
            <w:hideMark/>
          </w:tcPr>
          <w:p w14:paraId="704852CF"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Improved appliance availability</w:t>
            </w:r>
            <w:r w:rsidRPr="00CC4BB1">
              <w:rPr>
                <w:rFonts w:ascii="Calibri" w:eastAsia="Calibri" w:hAnsi="Calibri" w:cs="Times New Roman"/>
                <w:sz w:val="16"/>
                <w:lang w:eastAsia="en-GB"/>
              </w:rPr>
              <w:br/>
              <w:t>- redeveloped and enhanced system interface</w:t>
            </w:r>
            <w:r w:rsidRPr="00CC4BB1">
              <w:rPr>
                <w:rFonts w:ascii="Calibri" w:eastAsia="Calibri" w:hAnsi="Calibri" w:cs="Times New Roman"/>
                <w:sz w:val="16"/>
                <w:lang w:eastAsia="en-GB"/>
              </w:rPr>
              <w:br/>
              <w:t>- reduction in gaps in our HR data</w:t>
            </w:r>
            <w:r w:rsidRPr="00CC4BB1">
              <w:rPr>
                <w:rFonts w:ascii="Calibri" w:eastAsia="Calibri" w:hAnsi="Calibri" w:cs="Times New Roman"/>
                <w:sz w:val="16"/>
                <w:lang w:eastAsia="en-GB"/>
              </w:rPr>
              <w:br/>
              <w:t>- improved confidence in our HR data</w:t>
            </w:r>
          </w:p>
        </w:tc>
        <w:tc>
          <w:tcPr>
            <w:tcW w:w="1417" w:type="dxa"/>
            <w:shd w:val="clear" w:color="auto" w:fill="auto"/>
            <w:hideMark/>
          </w:tcPr>
          <w:p w14:paraId="219DB0E8"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Neil Fenwick, Senior Divisional Officer</w:t>
            </w:r>
          </w:p>
        </w:tc>
        <w:tc>
          <w:tcPr>
            <w:tcW w:w="1276" w:type="dxa"/>
            <w:shd w:val="clear" w:color="auto" w:fill="auto"/>
            <w:hideMark/>
          </w:tcPr>
          <w:p w14:paraId="399888BA" w14:textId="6BD6FDFC" w:rsidR="00CC4BB1" w:rsidRPr="00CC4BB1" w:rsidRDefault="003070BF"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Non-Financial</w:t>
            </w:r>
            <w:r w:rsidR="00CC4BB1" w:rsidRPr="00CC4BB1">
              <w:rPr>
                <w:rFonts w:ascii="Calibri" w:eastAsia="Calibri" w:hAnsi="Calibri" w:cs="Times New Roman"/>
                <w:sz w:val="16"/>
                <w:lang w:eastAsia="en-GB"/>
              </w:rPr>
              <w:t xml:space="preserve"> - Measurable</w:t>
            </w:r>
          </w:p>
        </w:tc>
        <w:tc>
          <w:tcPr>
            <w:tcW w:w="2126" w:type="dxa"/>
            <w:shd w:val="clear" w:color="auto" w:fill="auto"/>
            <w:hideMark/>
          </w:tcPr>
          <w:p w14:paraId="2BC2163F"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Improved data accuracy on ERB.</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manual updates to ERB.</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calls from stations to Control to update appliance status.</w:t>
            </w:r>
          </w:p>
        </w:tc>
        <w:tc>
          <w:tcPr>
            <w:tcW w:w="1559" w:type="dxa"/>
            <w:shd w:val="clear" w:color="auto" w:fill="auto"/>
            <w:hideMark/>
          </w:tcPr>
          <w:p w14:paraId="4FDC3E16"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ERB data accuracy and timeliness.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Control workload when maintaining appliance availability status in Remsdaq 4i.</w:t>
            </w:r>
          </w:p>
        </w:tc>
        <w:tc>
          <w:tcPr>
            <w:tcW w:w="1701" w:type="dxa"/>
            <w:shd w:val="clear" w:color="auto" w:fill="auto"/>
            <w:hideMark/>
          </w:tcPr>
          <w:p w14:paraId="4F46AB9B"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694" w:type="dxa"/>
            <w:shd w:val="clear" w:color="auto" w:fill="auto"/>
            <w:hideMark/>
          </w:tcPr>
          <w:p w14:paraId="65323C70"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Too early to measure this</w:t>
            </w:r>
          </w:p>
        </w:tc>
      </w:tr>
      <w:tr w:rsidR="00CC4BB1" w:rsidRPr="00CC4BB1" w14:paraId="0A367430" w14:textId="77777777" w:rsidTr="00A20530">
        <w:trPr>
          <w:trHeight w:val="1575"/>
        </w:trPr>
        <w:tc>
          <w:tcPr>
            <w:tcW w:w="791" w:type="dxa"/>
            <w:shd w:val="clear" w:color="auto" w:fill="auto"/>
            <w:hideMark/>
          </w:tcPr>
          <w:p w14:paraId="2B770E27"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B816026</w:t>
            </w:r>
          </w:p>
        </w:tc>
        <w:tc>
          <w:tcPr>
            <w:tcW w:w="3032" w:type="dxa"/>
            <w:shd w:val="clear" w:color="auto" w:fill="auto"/>
            <w:hideMark/>
          </w:tcPr>
          <w:p w14:paraId="1166C47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b/>
                <w:sz w:val="16"/>
                <w:lang w:eastAsia="en-GB"/>
              </w:rPr>
              <w:t>Reduction in the number of dynamic out duties</w:t>
            </w:r>
            <w:r w:rsidRPr="00CC4BB1">
              <w:rPr>
                <w:rFonts w:ascii="Calibri" w:eastAsia="Calibri" w:hAnsi="Calibri" w:cs="Times New Roman"/>
                <w:sz w:val="16"/>
                <w:lang w:eastAsia="en-GB"/>
              </w:rPr>
              <w:br/>
              <w:t>- reduction in gaps in our HR data</w:t>
            </w:r>
            <w:r w:rsidRPr="00CC4BB1">
              <w:rPr>
                <w:rFonts w:ascii="Calibri" w:eastAsia="Calibri" w:hAnsi="Calibri" w:cs="Times New Roman"/>
                <w:sz w:val="16"/>
                <w:lang w:eastAsia="en-GB"/>
              </w:rPr>
              <w:br/>
              <w:t>- appropriate management reporting</w:t>
            </w:r>
            <w:r w:rsidRPr="00CC4BB1">
              <w:rPr>
                <w:rFonts w:ascii="Calibri" w:eastAsia="Calibri" w:hAnsi="Calibri" w:cs="Times New Roman"/>
                <w:sz w:val="16"/>
                <w:lang w:eastAsia="en-GB"/>
              </w:rPr>
              <w:br/>
              <w:t>- improved confidence in our HR data</w:t>
            </w:r>
          </w:p>
        </w:tc>
        <w:tc>
          <w:tcPr>
            <w:tcW w:w="1417" w:type="dxa"/>
            <w:shd w:val="clear" w:color="auto" w:fill="auto"/>
            <w:hideMark/>
          </w:tcPr>
          <w:p w14:paraId="2E8CAC7A"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Neil Fenwick, Senior Divisional Officer</w:t>
            </w:r>
          </w:p>
        </w:tc>
        <w:tc>
          <w:tcPr>
            <w:tcW w:w="1276" w:type="dxa"/>
            <w:shd w:val="clear" w:color="auto" w:fill="auto"/>
            <w:hideMark/>
          </w:tcPr>
          <w:p w14:paraId="65C19F95"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Financial - Cashable</w:t>
            </w:r>
          </w:p>
        </w:tc>
        <w:tc>
          <w:tcPr>
            <w:tcW w:w="2126" w:type="dxa"/>
            <w:shd w:val="clear" w:color="auto" w:fill="auto"/>
            <w:hideMark/>
          </w:tcPr>
          <w:p w14:paraId="5013FA1C"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Improved data accuracy on ERB.</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manual updates to ERB.</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Reduction in the number of dynamic out duties.</w:t>
            </w:r>
          </w:p>
        </w:tc>
        <w:tc>
          <w:tcPr>
            <w:tcW w:w="1559" w:type="dxa"/>
            <w:shd w:val="clear" w:color="auto" w:fill="auto"/>
            <w:hideMark/>
          </w:tcPr>
          <w:p w14:paraId="296EDBFD"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ERB data accuracy and timeliness.</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Control workload when maintaining appliance crewing levels.</w:t>
            </w:r>
          </w:p>
        </w:tc>
        <w:tc>
          <w:tcPr>
            <w:tcW w:w="1701" w:type="dxa"/>
            <w:shd w:val="clear" w:color="auto" w:fill="auto"/>
            <w:hideMark/>
          </w:tcPr>
          <w:p w14:paraId="1CFA4E42"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March 2019</w:t>
            </w:r>
            <w:r w:rsidRPr="00CC4BB1">
              <w:rPr>
                <w:rFonts w:ascii="Calibri" w:eastAsia="Calibri" w:hAnsi="Calibri" w:cs="Times New Roman"/>
                <w:sz w:val="16"/>
                <w:lang w:eastAsia="en-GB"/>
              </w:rPr>
              <w:br/>
            </w:r>
            <w:r w:rsidRPr="00CC4BB1">
              <w:rPr>
                <w:rFonts w:ascii="Calibri" w:eastAsia="Calibri" w:hAnsi="Calibri" w:cs="Times New Roman"/>
                <w:sz w:val="16"/>
                <w:lang w:eastAsia="en-GB"/>
              </w:rPr>
              <w:br/>
              <w:t>Note: Provides time for familiarity</w:t>
            </w:r>
          </w:p>
        </w:tc>
        <w:tc>
          <w:tcPr>
            <w:tcW w:w="2694" w:type="dxa"/>
            <w:shd w:val="clear" w:color="auto" w:fill="auto"/>
            <w:hideMark/>
          </w:tcPr>
          <w:p w14:paraId="4998E92E" w14:textId="77777777" w:rsidR="00CC4BB1" w:rsidRPr="00CC4BB1" w:rsidRDefault="00CC4BB1" w:rsidP="00CC4BB1">
            <w:pPr>
              <w:spacing w:after="0" w:line="240" w:lineRule="auto"/>
              <w:rPr>
                <w:rFonts w:ascii="Calibri" w:eastAsia="Calibri" w:hAnsi="Calibri" w:cs="Times New Roman"/>
                <w:sz w:val="16"/>
                <w:lang w:eastAsia="en-GB"/>
              </w:rPr>
            </w:pPr>
            <w:r w:rsidRPr="00CC4BB1">
              <w:rPr>
                <w:rFonts w:ascii="Calibri" w:eastAsia="Calibri" w:hAnsi="Calibri" w:cs="Times New Roman"/>
                <w:sz w:val="16"/>
                <w:lang w:eastAsia="en-GB"/>
              </w:rPr>
              <w:t>Too early to measure this</w:t>
            </w:r>
          </w:p>
        </w:tc>
      </w:tr>
    </w:tbl>
    <w:p w14:paraId="099DCE9B" w14:textId="28CB13D1" w:rsidR="002E7666" w:rsidRDefault="002E7666" w:rsidP="0060655B">
      <w:pPr>
        <w:pStyle w:val="NoSpacing"/>
      </w:pPr>
    </w:p>
    <w:p w14:paraId="11C402F5" w14:textId="75D0264C" w:rsidR="002E7666" w:rsidRDefault="002E7666" w:rsidP="002E7666">
      <w:pPr>
        <w:pStyle w:val="Heading2"/>
      </w:pPr>
      <w:bookmarkStart w:id="10" w:name="_Toc5802596"/>
      <w:r>
        <w:t>2.3 Deviations from the Business Case</w:t>
      </w:r>
      <w:bookmarkEnd w:id="10"/>
    </w:p>
    <w:p w14:paraId="1E3E10F4" w14:textId="505222BC" w:rsidR="002E7666" w:rsidRDefault="002E7666" w:rsidP="0060655B">
      <w:pPr>
        <w:pStyle w:val="NoSpacing"/>
      </w:pPr>
    </w:p>
    <w:p w14:paraId="2C5E8B12" w14:textId="366D7734" w:rsidR="00CC4BB1" w:rsidRDefault="00CC4BB1" w:rsidP="0060655B">
      <w:pPr>
        <w:pStyle w:val="NoSpacing"/>
        <w:sectPr w:rsidR="00CC4BB1" w:rsidSect="00B0589B">
          <w:pgSz w:w="16838" w:h="11906" w:orient="landscape"/>
          <w:pgMar w:top="1440" w:right="709" w:bottom="1560" w:left="1440" w:header="709" w:footer="709" w:gutter="0"/>
          <w:cols w:space="708"/>
          <w:docGrid w:linePitch="360"/>
        </w:sectPr>
      </w:pPr>
      <w:r>
        <w:t xml:space="preserve">There are no deviations from the original business </w:t>
      </w:r>
      <w:r w:rsidR="00B0589B">
        <w:t>case;</w:t>
      </w:r>
      <w:r>
        <w:t xml:space="preserve"> </w:t>
      </w:r>
      <w:r w:rsidR="00B0589B">
        <w:t>however,</w:t>
      </w:r>
      <w:r>
        <w:t xml:space="preserve"> </w:t>
      </w:r>
      <w:r w:rsidR="0054125E">
        <w:t xml:space="preserve">the Project identified </w:t>
      </w:r>
      <w:r>
        <w:t>additional and expanded benefits</w:t>
      </w:r>
      <w:r w:rsidR="00B0589B">
        <w:t xml:space="preserve">, </w:t>
      </w:r>
      <w:r w:rsidR="0054125E">
        <w:t>detailed in Section 2.2.</w:t>
      </w:r>
    </w:p>
    <w:p w14:paraId="0AB46A6E" w14:textId="1E04CB65" w:rsidR="002E7666" w:rsidRDefault="002E7666" w:rsidP="002E7666">
      <w:pPr>
        <w:pStyle w:val="Heading1"/>
      </w:pPr>
      <w:bookmarkStart w:id="11" w:name="_Toc5802597"/>
      <w:r>
        <w:lastRenderedPageBreak/>
        <w:t>3. Project Objectives Review</w:t>
      </w:r>
      <w:bookmarkEnd w:id="11"/>
    </w:p>
    <w:p w14:paraId="30B2EA89" w14:textId="4FA6C2A7" w:rsidR="002E7666" w:rsidRDefault="002E7666" w:rsidP="0060655B">
      <w:pPr>
        <w:pStyle w:val="NoSpacing"/>
      </w:pPr>
    </w:p>
    <w:p w14:paraId="4B8668E5" w14:textId="10C242A8" w:rsidR="00DB65AD" w:rsidRDefault="00DB65AD" w:rsidP="0060655B">
      <w:pPr>
        <w:pStyle w:val="NoSpacing"/>
      </w:pPr>
      <w:r>
        <w:t xml:space="preserve">The timelines of the </w:t>
      </w:r>
      <w:r w:rsidR="0054125E">
        <w:t>P</w:t>
      </w:r>
      <w:r>
        <w:t>roject extended from the original plan, however</w:t>
      </w:r>
      <w:r w:rsidR="0054125E">
        <w:t>,</w:t>
      </w:r>
      <w:r>
        <w:t xml:space="preserve"> </w:t>
      </w:r>
      <w:r w:rsidR="0054125E">
        <w:t xml:space="preserve">an approved Exception Report </w:t>
      </w:r>
      <w:r>
        <w:t xml:space="preserve">recorded </w:t>
      </w:r>
      <w:r w:rsidR="0054125E">
        <w:t>these</w:t>
      </w:r>
      <w:r>
        <w:t xml:space="preserve"> as an appropriate approach with the circumstances </w:t>
      </w:r>
      <w:r w:rsidR="0054125E">
        <w:t>outlined</w:t>
      </w:r>
      <w:r>
        <w:t>.</w:t>
      </w:r>
    </w:p>
    <w:p w14:paraId="1CABEF36" w14:textId="0E8BDD05" w:rsidR="00A04E85" w:rsidRDefault="00A04E85" w:rsidP="0060655B">
      <w:pPr>
        <w:pStyle w:val="NoSpacing"/>
      </w:pPr>
    </w:p>
    <w:p w14:paraId="26AAB2EE" w14:textId="25911C02" w:rsidR="00A04E85" w:rsidRDefault="00A04E85" w:rsidP="0060655B">
      <w:pPr>
        <w:pStyle w:val="NoSpacing"/>
      </w:pPr>
      <w:r>
        <w:t xml:space="preserve">Despite the overall extension to the </w:t>
      </w:r>
      <w:r w:rsidR="0054125E">
        <w:t>planned schedule</w:t>
      </w:r>
      <w:r>
        <w:t xml:space="preserve"> of one year, the </w:t>
      </w:r>
      <w:r w:rsidR="0054125E">
        <w:t>P</w:t>
      </w:r>
      <w:r>
        <w:t xml:space="preserve">roject delivered within a 5% tolerance of the overall budget of £600,000. During implementation, customisation or additional work, not in the original scope of the </w:t>
      </w:r>
      <w:r w:rsidR="0054125E">
        <w:t>P</w:t>
      </w:r>
      <w:r>
        <w:t xml:space="preserve">roject e.g. to </w:t>
      </w:r>
      <w:r w:rsidR="0054125E">
        <w:t xml:space="preserve">mitigate significant risk to the Service and </w:t>
      </w:r>
      <w:r>
        <w:t>replace the provision of HBS, incurred costs not originally accounted for.</w:t>
      </w:r>
    </w:p>
    <w:p w14:paraId="60D99AB1" w14:textId="361DE655" w:rsidR="00B953FC" w:rsidRDefault="00B953FC" w:rsidP="0060655B">
      <w:pPr>
        <w:pStyle w:val="NoSpacing"/>
      </w:pPr>
    </w:p>
    <w:p w14:paraId="341A1B47" w14:textId="09074E07" w:rsidR="00B953FC" w:rsidRDefault="0054125E" w:rsidP="0060655B">
      <w:pPr>
        <w:pStyle w:val="NoSpacing"/>
      </w:pPr>
      <w:r>
        <w:t xml:space="preserve">Various representatives and key stakeholders reviewed the Business Requirements document, approved as comprehensive at the time of procurement, </w:t>
      </w:r>
      <w:r w:rsidR="00B953FC">
        <w:t xml:space="preserve">as an accurate </w:t>
      </w:r>
      <w:r>
        <w:t xml:space="preserve">representation of our </w:t>
      </w:r>
      <w:r w:rsidR="00B953FC">
        <w:t>requirement</w:t>
      </w:r>
      <w:r>
        <w:t>s.</w:t>
      </w:r>
    </w:p>
    <w:p w14:paraId="77A54F18" w14:textId="5637313A" w:rsidR="00B953FC" w:rsidRDefault="00B953FC" w:rsidP="0060655B">
      <w:pPr>
        <w:pStyle w:val="NoSpacing"/>
      </w:pPr>
    </w:p>
    <w:p w14:paraId="41207E63" w14:textId="133E5976" w:rsidR="00396422" w:rsidRDefault="0047586B" w:rsidP="0060655B">
      <w:pPr>
        <w:pStyle w:val="NoSpacing"/>
      </w:pPr>
      <w:r>
        <w:t>As part of our</w:t>
      </w:r>
      <w:r w:rsidR="00396422">
        <w:t xml:space="preserve"> quality assurance, </w:t>
      </w:r>
      <w:proofErr w:type="gramStart"/>
      <w:r w:rsidR="0054125E">
        <w:t>three</w:t>
      </w:r>
      <w:proofErr w:type="gramEnd"/>
      <w:r w:rsidR="00396422">
        <w:t xml:space="preserve"> iteration</w:t>
      </w:r>
      <w:r w:rsidR="008B219A">
        <w:t>s of UAT and three months of HR and pay reconciliation</w:t>
      </w:r>
      <w:r w:rsidR="005C257A">
        <w:t xml:space="preserve"> were undertaken</w:t>
      </w:r>
      <w:r w:rsidR="008B219A">
        <w:t xml:space="preserve">. The Programme Board provided governance and sign off </w:t>
      </w:r>
      <w:proofErr w:type="gramStart"/>
      <w:r w:rsidR="00FA281C">
        <w:t>throughout</w:t>
      </w:r>
      <w:r w:rsidR="005B7132">
        <w:t>,</w:t>
      </w:r>
      <w:proofErr w:type="gramEnd"/>
      <w:r w:rsidR="008B219A">
        <w:t xml:space="preserve"> based on the evidence presented to them.</w:t>
      </w:r>
    </w:p>
    <w:p w14:paraId="13AB100E" w14:textId="72B54EA1" w:rsidR="008B219A" w:rsidRDefault="008B219A" w:rsidP="0060655B">
      <w:pPr>
        <w:pStyle w:val="NoSpacing"/>
      </w:pPr>
    </w:p>
    <w:p w14:paraId="110ECB69" w14:textId="3ECB9354" w:rsidR="00FA281C" w:rsidRDefault="00FA281C" w:rsidP="00FA281C">
      <w:pPr>
        <w:pStyle w:val="NoSpacing"/>
      </w:pPr>
      <w:r>
        <w:t xml:space="preserve">Despite us being confident that we achieved our business requirements, we identified numerous challenges throughout </w:t>
      </w:r>
      <w:r w:rsidR="00B97633">
        <w:t xml:space="preserve">the </w:t>
      </w:r>
      <w:r>
        <w:t xml:space="preserve">implementation </w:t>
      </w:r>
      <w:r w:rsidR="0054125E">
        <w:t>and configuration</w:t>
      </w:r>
      <w:r w:rsidR="00B97633">
        <w:t xml:space="preserve"> phase of the Project</w:t>
      </w:r>
      <w:r w:rsidR="0054125E">
        <w:t xml:space="preserve">. </w:t>
      </w:r>
      <w:r w:rsidR="00B97633">
        <w:t>This, c</w:t>
      </w:r>
      <w:r w:rsidR="00D82201">
        <w:t xml:space="preserve">ombined with </w:t>
      </w:r>
      <w:r w:rsidR="00B97633">
        <w:t xml:space="preserve">the </w:t>
      </w:r>
      <w:r w:rsidR="00D82201">
        <w:t>high level of complexity</w:t>
      </w:r>
      <w:r w:rsidR="00B97633">
        <w:t xml:space="preserve"> introduced by the Service’s ways of working</w:t>
      </w:r>
      <w:r w:rsidR="00D82201">
        <w:t xml:space="preserve">, </w:t>
      </w:r>
      <w:r w:rsidR="0054125E">
        <w:t xml:space="preserve">became apparent when the Project </w:t>
      </w:r>
      <w:r w:rsidR="00B97633">
        <w:t xml:space="preserve">attempted to configure the system </w:t>
      </w:r>
      <w:r>
        <w:t xml:space="preserve">for the first time. </w:t>
      </w:r>
      <w:r w:rsidR="00B97633">
        <w:t>To address some of these challenge</w:t>
      </w:r>
      <w:r w:rsidR="005B7132">
        <w:t>s</w:t>
      </w:r>
      <w:r>
        <w:t>, it was necessary to undertake customisation requests and process workarounds.</w:t>
      </w:r>
    </w:p>
    <w:p w14:paraId="67B28B77" w14:textId="1E56A96F" w:rsidR="00FA281C" w:rsidRDefault="00FA281C" w:rsidP="00FA281C">
      <w:pPr>
        <w:pStyle w:val="NoSpacing"/>
      </w:pPr>
    </w:p>
    <w:p w14:paraId="7DAEC13E" w14:textId="7414E8A9" w:rsidR="00FA281C" w:rsidRDefault="00FA281C" w:rsidP="00FA281C">
      <w:pPr>
        <w:pStyle w:val="NoSpacing"/>
      </w:pPr>
      <w:r>
        <w:t xml:space="preserve">Service </w:t>
      </w:r>
      <w:r w:rsidR="00D82201">
        <w:t>O</w:t>
      </w:r>
      <w:r>
        <w:t xml:space="preserve">wners confirmed their benefits for the </w:t>
      </w:r>
      <w:r w:rsidR="00D82201">
        <w:t>P</w:t>
      </w:r>
      <w:r>
        <w:t xml:space="preserve">roject and there is </w:t>
      </w:r>
      <w:r w:rsidR="003A586A">
        <w:t>a</w:t>
      </w:r>
      <w:r>
        <w:t xml:space="preserve"> requirement that benefit realisation will continue after the </w:t>
      </w:r>
      <w:r w:rsidR="00D82201">
        <w:t>P</w:t>
      </w:r>
      <w:r>
        <w:t>roject has closed.</w:t>
      </w:r>
    </w:p>
    <w:p w14:paraId="067B20B6" w14:textId="3096BC8A" w:rsidR="00FA281C" w:rsidRDefault="00FA281C" w:rsidP="00FA281C">
      <w:pPr>
        <w:pStyle w:val="NoSpacing"/>
      </w:pPr>
    </w:p>
    <w:p w14:paraId="21CBD8C5" w14:textId="7FC310A7" w:rsidR="00FA281C" w:rsidRDefault="00FA281C" w:rsidP="00FA281C">
      <w:pPr>
        <w:pStyle w:val="NoSpacing"/>
      </w:pPr>
      <w:r>
        <w:t xml:space="preserve">The </w:t>
      </w:r>
      <w:r w:rsidR="00D82201">
        <w:t>S</w:t>
      </w:r>
      <w:r>
        <w:t>ervice Risks and Issues register, JCAD, was maintained throughout</w:t>
      </w:r>
      <w:r w:rsidR="00D82201">
        <w:t xml:space="preserve"> </w:t>
      </w:r>
      <w:r>
        <w:t>and presented as a regular agenda item at the Programme Board. There are no current risks or issues outstanding.</w:t>
      </w:r>
    </w:p>
    <w:p w14:paraId="00022A4B" w14:textId="4F6A4A33" w:rsidR="00FA281C" w:rsidRDefault="00FA281C" w:rsidP="00FA281C">
      <w:pPr>
        <w:pStyle w:val="NoSpacing"/>
      </w:pPr>
    </w:p>
    <w:p w14:paraId="43EE00E8" w14:textId="047515BC" w:rsidR="002E7666" w:rsidRDefault="002E7666" w:rsidP="002E7666">
      <w:pPr>
        <w:pStyle w:val="Heading1"/>
      </w:pPr>
      <w:bookmarkStart w:id="12" w:name="_Toc5802598"/>
      <w:r>
        <w:t>4. Project Team Performance</w:t>
      </w:r>
      <w:bookmarkEnd w:id="12"/>
    </w:p>
    <w:p w14:paraId="1ACF6EF1" w14:textId="2ECAC8AC" w:rsidR="002E7666" w:rsidRDefault="002E7666" w:rsidP="0060655B">
      <w:pPr>
        <w:pStyle w:val="NoSpacing"/>
      </w:pPr>
    </w:p>
    <w:p w14:paraId="34812EB3" w14:textId="481FB794" w:rsidR="002E7666" w:rsidRDefault="0047586B" w:rsidP="0060655B">
      <w:pPr>
        <w:pStyle w:val="NoSpacing"/>
      </w:pPr>
      <w:r>
        <w:t xml:space="preserve">We engaged various skills and experience from the </w:t>
      </w:r>
      <w:r w:rsidR="00D82201">
        <w:t>S</w:t>
      </w:r>
      <w:r>
        <w:t xml:space="preserve">ervice to support the </w:t>
      </w:r>
      <w:r w:rsidR="00D82201">
        <w:t>P</w:t>
      </w:r>
      <w:r>
        <w:t>roject implementation.  The team worked well together, worked proactively and always looked for solutions to improve ways of working.</w:t>
      </w:r>
    </w:p>
    <w:p w14:paraId="1EE30C71" w14:textId="55F24F83" w:rsidR="0047586B" w:rsidRDefault="0047586B" w:rsidP="0060655B">
      <w:pPr>
        <w:pStyle w:val="NoSpacing"/>
      </w:pPr>
    </w:p>
    <w:p w14:paraId="4BE1383E" w14:textId="602BD532" w:rsidR="0047586B" w:rsidRDefault="0047586B" w:rsidP="0060655B">
      <w:pPr>
        <w:pStyle w:val="NoSpacing"/>
      </w:pPr>
      <w:r>
        <w:t>The</w:t>
      </w:r>
      <w:r w:rsidR="003A586A">
        <w:t xml:space="preserve"> </w:t>
      </w:r>
      <w:r w:rsidR="00B97633">
        <w:t>P</w:t>
      </w:r>
      <w:r w:rsidR="003A586A">
        <w:t xml:space="preserve">roject </w:t>
      </w:r>
      <w:r w:rsidR="00B97633">
        <w:t>t</w:t>
      </w:r>
      <w:r w:rsidR="003A586A">
        <w:t>eam</w:t>
      </w:r>
      <w:r>
        <w:t xml:space="preserve"> were happy to take </w:t>
      </w:r>
      <w:r w:rsidR="005F768C">
        <w:t>on challenges and celebrated success</w:t>
      </w:r>
      <w:r w:rsidR="00D82201">
        <w:t>.</w:t>
      </w:r>
    </w:p>
    <w:p w14:paraId="0B7883D2" w14:textId="4A95FBE4" w:rsidR="005F768C" w:rsidRDefault="005F768C" w:rsidP="0060655B">
      <w:pPr>
        <w:pStyle w:val="NoSpacing"/>
      </w:pPr>
    </w:p>
    <w:p w14:paraId="76ED4379" w14:textId="0C9E3632" w:rsidR="005F768C" w:rsidRDefault="00D82201" w:rsidP="0060655B">
      <w:pPr>
        <w:pStyle w:val="NoSpacing"/>
      </w:pPr>
      <w:r>
        <w:t>The Project</w:t>
      </w:r>
      <w:r w:rsidR="005F768C">
        <w:t xml:space="preserve"> was very successful in engaging our existing </w:t>
      </w:r>
      <w:r>
        <w:t xml:space="preserve">Service resources. </w:t>
      </w:r>
      <w:r w:rsidR="005F768C">
        <w:t>The addition</w:t>
      </w:r>
      <w:r w:rsidR="002573F6">
        <w:t>al</w:t>
      </w:r>
      <w:r w:rsidR="005F768C">
        <w:t xml:space="preserve"> benefit was retaining the experience attained once the </w:t>
      </w:r>
      <w:r>
        <w:t>P</w:t>
      </w:r>
      <w:r w:rsidR="005F768C">
        <w:t>roject concluded.</w:t>
      </w:r>
    </w:p>
    <w:p w14:paraId="7EB9CFB1" w14:textId="016042F9" w:rsidR="002E7666" w:rsidRDefault="002E7666" w:rsidP="0060655B">
      <w:pPr>
        <w:pStyle w:val="NoSpacing"/>
      </w:pPr>
    </w:p>
    <w:p w14:paraId="61ACF344" w14:textId="77777777" w:rsidR="00D82201" w:rsidRDefault="00D82201">
      <w:pPr>
        <w:rPr>
          <w:rFonts w:ascii="Calibri" w:eastAsiaTheme="majorEastAsia" w:hAnsi="Calibri" w:cstheme="majorBidi"/>
          <w:color w:val="FF0000"/>
          <w:sz w:val="28"/>
          <w:szCs w:val="32"/>
        </w:rPr>
      </w:pPr>
      <w:r>
        <w:br w:type="page"/>
      </w:r>
    </w:p>
    <w:p w14:paraId="4E3C9D46" w14:textId="77777777" w:rsidR="00D82201" w:rsidRDefault="00D82201" w:rsidP="002E7666">
      <w:pPr>
        <w:pStyle w:val="Heading1"/>
        <w:sectPr w:rsidR="00D82201" w:rsidSect="000B065A">
          <w:pgSz w:w="11906" w:h="16838"/>
          <w:pgMar w:top="709" w:right="1440" w:bottom="1440" w:left="1440" w:header="708" w:footer="708" w:gutter="0"/>
          <w:cols w:space="708"/>
          <w:docGrid w:linePitch="360"/>
        </w:sectPr>
      </w:pPr>
    </w:p>
    <w:p w14:paraId="64F5EC79" w14:textId="38E542B3" w:rsidR="002E7666" w:rsidRDefault="002E7666" w:rsidP="002E7666">
      <w:pPr>
        <w:pStyle w:val="Heading1"/>
      </w:pPr>
      <w:bookmarkStart w:id="13" w:name="_Toc5802599"/>
      <w:r>
        <w:lastRenderedPageBreak/>
        <w:t xml:space="preserve">5. Product </w:t>
      </w:r>
      <w:r w:rsidR="006832CA">
        <w:t>Management</w:t>
      </w:r>
      <w:bookmarkEnd w:id="13"/>
    </w:p>
    <w:p w14:paraId="32D3BBD1" w14:textId="5248E883" w:rsidR="002E7666" w:rsidRDefault="002E7666" w:rsidP="0060655B">
      <w:pPr>
        <w:pStyle w:val="NoSpacing"/>
      </w:pPr>
    </w:p>
    <w:p w14:paraId="520CDC9B" w14:textId="4BF7495D" w:rsidR="002E7666" w:rsidRDefault="00D82201" w:rsidP="0060655B">
      <w:pPr>
        <w:pStyle w:val="NoSpacing"/>
      </w:pPr>
      <w:r>
        <w:t>The HOBS Project Product Breakdown Structure details the key deliverables. Upon approval of this Project Closure Report, the remaining products will be marked complete. Further detail is available in the full Product Breakdown Structure.</w:t>
      </w:r>
    </w:p>
    <w:p w14:paraId="65BF8CB2" w14:textId="1994082E" w:rsidR="002E7666" w:rsidRDefault="002E7666" w:rsidP="0060655B">
      <w:pPr>
        <w:pStyle w:val="NoSpacing"/>
      </w:pPr>
    </w:p>
    <w:p w14:paraId="5F0A95FD" w14:textId="5F3E82F6" w:rsidR="00D82201" w:rsidRDefault="00D82201" w:rsidP="0060655B">
      <w:pPr>
        <w:pStyle w:val="NoSpacing"/>
      </w:pPr>
      <w:r>
        <w:rPr>
          <w:noProof/>
          <w:lang w:eastAsia="en-GB"/>
        </w:rPr>
        <w:drawing>
          <wp:inline distT="0" distB="0" distL="0" distR="0" wp14:anchorId="7C32F480" wp14:editId="3E4965FC">
            <wp:extent cx="9327515" cy="39681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27515" cy="3968115"/>
                    </a:xfrm>
                    <a:prstGeom prst="rect">
                      <a:avLst/>
                    </a:prstGeom>
                  </pic:spPr>
                </pic:pic>
              </a:graphicData>
            </a:graphic>
          </wp:inline>
        </w:drawing>
      </w:r>
    </w:p>
    <w:p w14:paraId="20007384" w14:textId="77777777" w:rsidR="00D82201" w:rsidRDefault="00D82201" w:rsidP="0060655B">
      <w:pPr>
        <w:pStyle w:val="NoSpacing"/>
      </w:pPr>
    </w:p>
    <w:p w14:paraId="3D12852D" w14:textId="77777777" w:rsidR="00D82201" w:rsidRDefault="00D82201">
      <w:pPr>
        <w:sectPr w:rsidR="00D82201" w:rsidSect="00D82201">
          <w:pgSz w:w="16838" w:h="11906" w:orient="landscape"/>
          <w:pgMar w:top="1440" w:right="709" w:bottom="1440" w:left="1440" w:header="709" w:footer="709" w:gutter="0"/>
          <w:cols w:space="708"/>
          <w:docGrid w:linePitch="360"/>
        </w:sectPr>
      </w:pPr>
    </w:p>
    <w:p w14:paraId="455900BA" w14:textId="6D684B5F" w:rsidR="006832CA" w:rsidRDefault="006832CA" w:rsidP="006832CA">
      <w:pPr>
        <w:pStyle w:val="Heading1"/>
      </w:pPr>
      <w:bookmarkStart w:id="14" w:name="_Toc5802600"/>
      <w:r>
        <w:lastRenderedPageBreak/>
        <w:t>6. Risks &amp; Issues Management</w:t>
      </w:r>
      <w:bookmarkEnd w:id="14"/>
    </w:p>
    <w:p w14:paraId="7ED520EA" w14:textId="4752E93F" w:rsidR="006832CA" w:rsidRDefault="006832CA" w:rsidP="0060655B">
      <w:pPr>
        <w:pStyle w:val="NoSpacing"/>
      </w:pPr>
    </w:p>
    <w:p w14:paraId="52CADF8A" w14:textId="036C75FC" w:rsidR="006832CA" w:rsidRDefault="005F768C" w:rsidP="0060655B">
      <w:pPr>
        <w:pStyle w:val="NoSpacing"/>
      </w:pPr>
      <w:r>
        <w:t xml:space="preserve">There are no outstanding </w:t>
      </w:r>
      <w:r w:rsidR="00D82201">
        <w:t>P</w:t>
      </w:r>
      <w:r>
        <w:t>roject risks.</w:t>
      </w:r>
    </w:p>
    <w:p w14:paraId="64A227A9" w14:textId="77777777" w:rsidR="006832CA" w:rsidRDefault="006832CA" w:rsidP="0060655B">
      <w:pPr>
        <w:pStyle w:val="NoSpacing"/>
      </w:pPr>
    </w:p>
    <w:p w14:paraId="1B202695" w14:textId="6680F6F2" w:rsidR="006832CA" w:rsidRDefault="001D5C6B" w:rsidP="006832CA">
      <w:pPr>
        <w:pStyle w:val="Heading1"/>
      </w:pPr>
      <w:bookmarkStart w:id="15" w:name="_Toc5802601"/>
      <w:r>
        <w:t>7</w:t>
      </w:r>
      <w:r w:rsidR="006832CA">
        <w:t>. Financial Management</w:t>
      </w:r>
      <w:bookmarkEnd w:id="15"/>
    </w:p>
    <w:p w14:paraId="520BBDAD" w14:textId="16965F8B" w:rsidR="006832CA" w:rsidRDefault="006832CA" w:rsidP="006832CA">
      <w:pPr>
        <w:pStyle w:val="NoSpacing"/>
      </w:pPr>
    </w:p>
    <w:p w14:paraId="744092C8" w14:textId="57738C05" w:rsidR="006832CA" w:rsidRDefault="00D3620A" w:rsidP="006832CA">
      <w:pPr>
        <w:pStyle w:val="NoSpacing"/>
      </w:pPr>
      <w:r>
        <w:t>With a budget of £600,000, t</w:t>
      </w:r>
      <w:r w:rsidR="005F768C">
        <w:t xml:space="preserve">he </w:t>
      </w:r>
      <w:r w:rsidR="00D82201">
        <w:t>P</w:t>
      </w:r>
      <w:r w:rsidR="005F768C">
        <w:t xml:space="preserve">roject delivered within </w:t>
      </w:r>
      <w:r>
        <w:t xml:space="preserve">the </w:t>
      </w:r>
      <w:r w:rsidR="00BD6657">
        <w:t>authorised</w:t>
      </w:r>
      <w:r>
        <w:t xml:space="preserve"> </w:t>
      </w:r>
      <w:r w:rsidR="005F768C">
        <w:t>5% tolerance</w:t>
      </w:r>
      <w:r>
        <w:t xml:space="preserve">. </w:t>
      </w:r>
    </w:p>
    <w:p w14:paraId="5B17B52B" w14:textId="739834D6" w:rsidR="002573F6" w:rsidRDefault="002573F6" w:rsidP="006832CA">
      <w:pPr>
        <w:pStyle w:val="NoSpacing"/>
      </w:pPr>
    </w:p>
    <w:p w14:paraId="312FFE30" w14:textId="57EEECE4" w:rsidR="002573F6" w:rsidRDefault="002573F6" w:rsidP="006832CA">
      <w:pPr>
        <w:pStyle w:val="NoSpacing"/>
      </w:pPr>
      <w:r>
        <w:t xml:space="preserve">Regular </w:t>
      </w:r>
      <w:r w:rsidR="00D82201">
        <w:t>F</w:t>
      </w:r>
      <w:r>
        <w:t xml:space="preserve">inance meetings throughout the </w:t>
      </w:r>
      <w:r w:rsidR="00D82201">
        <w:t>P</w:t>
      </w:r>
      <w:r>
        <w:t>roject lifecycle enabled an accurate monitoring of forecast expenditure.</w:t>
      </w:r>
    </w:p>
    <w:p w14:paraId="4154E58D" w14:textId="77777777" w:rsidR="006832CA" w:rsidRDefault="006832CA" w:rsidP="006832CA">
      <w:pPr>
        <w:pStyle w:val="NoSpacing"/>
      </w:pPr>
    </w:p>
    <w:p w14:paraId="3CCD4134" w14:textId="011869CB" w:rsidR="001D5C6B" w:rsidRDefault="001D5C6B" w:rsidP="001D5C6B">
      <w:pPr>
        <w:pStyle w:val="Heading1"/>
      </w:pPr>
      <w:bookmarkStart w:id="16" w:name="_Toc5802602"/>
      <w:r>
        <w:t>8. Records Management</w:t>
      </w:r>
      <w:bookmarkEnd w:id="16"/>
    </w:p>
    <w:p w14:paraId="294B482D" w14:textId="77777777" w:rsidR="001D5C6B" w:rsidRDefault="001D5C6B" w:rsidP="001D5C6B">
      <w:pPr>
        <w:pStyle w:val="NoSpacing"/>
      </w:pPr>
    </w:p>
    <w:p w14:paraId="679E1A82" w14:textId="35BEAB8F" w:rsidR="005F768C" w:rsidRDefault="00F62BA8" w:rsidP="001D5C6B">
      <w:pPr>
        <w:pStyle w:val="NoSpacing"/>
      </w:pPr>
      <w:r>
        <w:t xml:space="preserve">A full suite of </w:t>
      </w:r>
      <w:r w:rsidR="00D82201">
        <w:t>P</w:t>
      </w:r>
      <w:r>
        <w:t xml:space="preserve">roject and </w:t>
      </w:r>
      <w:r w:rsidR="00D82201">
        <w:t>P</w:t>
      </w:r>
      <w:r>
        <w:t>rogramme documentation is available in the Change and Innovation Programme folders.</w:t>
      </w:r>
    </w:p>
    <w:p w14:paraId="5D1E8EC8" w14:textId="44EEDCD7" w:rsidR="00F62BA8" w:rsidRDefault="00F62BA8" w:rsidP="001D5C6B">
      <w:pPr>
        <w:pStyle w:val="NoSpacing"/>
      </w:pPr>
    </w:p>
    <w:p w14:paraId="1A9AF99A" w14:textId="017CD68D" w:rsidR="00F62BA8" w:rsidRDefault="00F62BA8" w:rsidP="001D5C6B">
      <w:pPr>
        <w:pStyle w:val="NoSpacing"/>
      </w:pPr>
      <w:r>
        <w:t>Minutes of the Programme Board and Project Team meetings are available.</w:t>
      </w:r>
    </w:p>
    <w:p w14:paraId="2D3F7FF8" w14:textId="3CDEC4F8" w:rsidR="00F62BA8" w:rsidRDefault="00F62BA8" w:rsidP="001D5C6B">
      <w:pPr>
        <w:pStyle w:val="NoSpacing"/>
      </w:pPr>
    </w:p>
    <w:p w14:paraId="49373EFA" w14:textId="132471C0" w:rsidR="00F62BA8" w:rsidRDefault="00F62BA8" w:rsidP="001D5C6B">
      <w:pPr>
        <w:pStyle w:val="NoSpacing"/>
      </w:pPr>
      <w:r>
        <w:t>Monthly highlight reports submitted for Change Board.</w:t>
      </w:r>
    </w:p>
    <w:p w14:paraId="782C8C24" w14:textId="44DC21E8" w:rsidR="00F62BA8" w:rsidRDefault="00F62BA8" w:rsidP="001D5C6B">
      <w:pPr>
        <w:pStyle w:val="NoSpacing"/>
      </w:pPr>
    </w:p>
    <w:p w14:paraId="4C0DA190" w14:textId="799AE465" w:rsidR="00F62BA8" w:rsidRDefault="00F62BA8" w:rsidP="001D5C6B">
      <w:pPr>
        <w:pStyle w:val="NoSpacing"/>
      </w:pPr>
      <w:r>
        <w:t>UAT, data migration and reconciliation sheets continue to be available for audit purposes.</w:t>
      </w:r>
    </w:p>
    <w:p w14:paraId="4638E1EA" w14:textId="29006FF2" w:rsidR="00F62BA8" w:rsidRDefault="00F62BA8" w:rsidP="001D5C6B">
      <w:pPr>
        <w:pStyle w:val="NoSpacing"/>
      </w:pPr>
    </w:p>
    <w:p w14:paraId="2FA03475" w14:textId="43E2C52F" w:rsidR="00F62BA8" w:rsidRDefault="00F62BA8" w:rsidP="001D5C6B">
      <w:pPr>
        <w:pStyle w:val="NoSpacing"/>
      </w:pPr>
      <w:r>
        <w:t xml:space="preserve">The </w:t>
      </w:r>
      <w:r w:rsidR="00D82201">
        <w:t>S</w:t>
      </w:r>
      <w:r>
        <w:t xml:space="preserve">ervice completed multiple data customer agreements with Civica throughout the duration of the </w:t>
      </w:r>
      <w:r w:rsidR="00D82201">
        <w:t>P</w:t>
      </w:r>
      <w:r>
        <w:t>roject.</w:t>
      </w:r>
      <w:r w:rsidR="00D82201">
        <w:t xml:space="preserve"> </w:t>
      </w:r>
      <w:r>
        <w:t xml:space="preserve">The current agreement is </w:t>
      </w:r>
      <w:r w:rsidR="00D82201">
        <w:t>valid</w:t>
      </w:r>
      <w:r>
        <w:t xml:space="preserve"> until March 2020 </w:t>
      </w:r>
      <w:r w:rsidR="00DF4495">
        <w:t xml:space="preserve">and </w:t>
      </w:r>
      <w:r>
        <w:t>enable</w:t>
      </w:r>
      <w:r w:rsidR="00DF4495">
        <w:t>s</w:t>
      </w:r>
      <w:r>
        <w:t xml:space="preserve"> Civica to support ticket enquiries.</w:t>
      </w:r>
    </w:p>
    <w:p w14:paraId="4FC78B01" w14:textId="7FB8E7B1" w:rsidR="00F62BA8" w:rsidRDefault="00F62BA8" w:rsidP="001D5C6B">
      <w:pPr>
        <w:pStyle w:val="NoSpacing"/>
      </w:pPr>
    </w:p>
    <w:p w14:paraId="739D6CA1" w14:textId="57EBC76D" w:rsidR="00F62BA8" w:rsidRDefault="00D82201" w:rsidP="001D5C6B">
      <w:pPr>
        <w:pStyle w:val="NoSpacing"/>
      </w:pPr>
      <w:r>
        <w:t xml:space="preserve">The Service approved the </w:t>
      </w:r>
      <w:r w:rsidR="00F62BA8">
        <w:t xml:space="preserve">Data Protection Impact Assessment. Ownership of this document </w:t>
      </w:r>
      <w:r>
        <w:t>now sits with S</w:t>
      </w:r>
      <w:r w:rsidR="00F62BA8">
        <w:t xml:space="preserve">ervice </w:t>
      </w:r>
      <w:r>
        <w:t>O</w:t>
      </w:r>
      <w:r w:rsidR="00F62BA8">
        <w:t>wners as identified within the document.</w:t>
      </w:r>
    </w:p>
    <w:p w14:paraId="337CD8D2" w14:textId="2C8C9887" w:rsidR="00F62BA8" w:rsidRDefault="00F62BA8" w:rsidP="001D5C6B">
      <w:pPr>
        <w:pStyle w:val="NoSpacing"/>
      </w:pPr>
    </w:p>
    <w:p w14:paraId="28C44ED5" w14:textId="36CF84FD" w:rsidR="00F62BA8" w:rsidRDefault="00F62BA8" w:rsidP="001D5C6B">
      <w:pPr>
        <w:pStyle w:val="NoSpacing"/>
      </w:pPr>
      <w:r>
        <w:t>The Programme complied with the GDPR requ</w:t>
      </w:r>
      <w:r w:rsidR="003B54C1">
        <w:t>irements</w:t>
      </w:r>
      <w:r>
        <w:t xml:space="preserve"> </w:t>
      </w:r>
      <w:r w:rsidR="00D82201">
        <w:t>issued in December 2018.</w:t>
      </w:r>
    </w:p>
    <w:p w14:paraId="0E9ECA4C" w14:textId="21FDB603" w:rsidR="001D5C6B" w:rsidRDefault="001D5C6B" w:rsidP="001D5C6B">
      <w:pPr>
        <w:pStyle w:val="NoSpacing"/>
      </w:pPr>
    </w:p>
    <w:p w14:paraId="5E64CBE8" w14:textId="77777777" w:rsidR="00A20530" w:rsidRDefault="00A20530">
      <w:pPr>
        <w:rPr>
          <w:rFonts w:ascii="Calibri" w:eastAsiaTheme="majorEastAsia" w:hAnsi="Calibri" w:cstheme="majorBidi"/>
          <w:color w:val="FF0000"/>
          <w:sz w:val="28"/>
          <w:szCs w:val="32"/>
        </w:rPr>
      </w:pPr>
      <w:r>
        <w:br w:type="page"/>
      </w:r>
    </w:p>
    <w:p w14:paraId="002A73FB" w14:textId="2488DDFB" w:rsidR="002E7666" w:rsidRDefault="006832CA" w:rsidP="002E7666">
      <w:pPr>
        <w:pStyle w:val="Heading1"/>
      </w:pPr>
      <w:bookmarkStart w:id="17" w:name="_Toc5802603"/>
      <w:r>
        <w:lastRenderedPageBreak/>
        <w:t>9</w:t>
      </w:r>
      <w:r w:rsidR="002E7666">
        <w:t xml:space="preserve">. </w:t>
      </w:r>
      <w:r w:rsidR="003663D3">
        <w:t xml:space="preserve">Observations, </w:t>
      </w:r>
      <w:r w:rsidR="002E7666">
        <w:t>Lessons Learned</w:t>
      </w:r>
      <w:r w:rsidR="00050F00">
        <w:t xml:space="preserve"> &amp; Recommendations</w:t>
      </w:r>
      <w:bookmarkEnd w:id="17"/>
    </w:p>
    <w:p w14:paraId="0440509E" w14:textId="4E44781E" w:rsidR="002E7666" w:rsidRDefault="002E7666" w:rsidP="002E7666">
      <w:pPr>
        <w:pStyle w:val="NoSpacing"/>
      </w:pPr>
    </w:p>
    <w:p w14:paraId="33C0F3BC" w14:textId="55B0D9C8" w:rsidR="008A4896" w:rsidRDefault="008A4896" w:rsidP="008A4896">
      <w:pPr>
        <w:pStyle w:val="Heading2"/>
      </w:pPr>
      <w:bookmarkStart w:id="18" w:name="_Toc5802604"/>
      <w:r>
        <w:t>9.1 Timescales &amp; Delivery</w:t>
      </w:r>
      <w:bookmarkEnd w:id="18"/>
    </w:p>
    <w:p w14:paraId="7C9FA2EC" w14:textId="373DE407" w:rsidR="008A4896" w:rsidRDefault="008A4896" w:rsidP="002E7666">
      <w:pPr>
        <w:pStyle w:val="NoSpacing"/>
      </w:pPr>
    </w:p>
    <w:p w14:paraId="5C61B3B6" w14:textId="7D5A07F2" w:rsidR="008A4896" w:rsidRDefault="008A4896" w:rsidP="008A4896">
      <w:pPr>
        <w:pStyle w:val="NoSpacing"/>
      </w:pPr>
      <w:r>
        <w:t>9.1.1 There was a required deviation from the original schedule for the Project, with the original go live date of the 24th September 2018 no longer viable. The deviation was required to ensure the solution retained the highest level of quality.</w:t>
      </w:r>
    </w:p>
    <w:p w14:paraId="1DBD9CC1" w14:textId="20883B48" w:rsidR="008A4896" w:rsidRDefault="008A4896" w:rsidP="008A4896">
      <w:pPr>
        <w:pStyle w:val="NoSpacing"/>
      </w:pPr>
    </w:p>
    <w:p w14:paraId="1C3BA062" w14:textId="365C45FF" w:rsidR="008A4896" w:rsidRDefault="008A4896" w:rsidP="004C0042">
      <w:pPr>
        <w:pStyle w:val="NoSpacing"/>
      </w:pPr>
      <w:r>
        <w:t xml:space="preserve">9.1.2 </w:t>
      </w:r>
      <w:r w:rsidR="004C0042">
        <w:t xml:space="preserve">During the first iteration of User Acceptance Testing in November 2017, Carval announced the company buy out from Civica.  The unexpected changes to Carval/Civica internal resources had an impact on their ability to progress the resolution of issues as quickly as they wanted to.  This continued to </w:t>
      </w:r>
      <w:r w:rsidR="00CB7362">
        <w:t>affect</w:t>
      </w:r>
      <w:r w:rsidR="004C0042">
        <w:t xml:space="preserve"> the progress of our second iteration of User Acceptance Testing.  In addition, at this time, we pushed ahead to replace the on call HBS solution for pay activity.  This culminated in some customisation activity and testing.</w:t>
      </w:r>
    </w:p>
    <w:p w14:paraId="36848002" w14:textId="77777777" w:rsidR="008A4896" w:rsidRDefault="008A4896" w:rsidP="008A4896">
      <w:pPr>
        <w:pStyle w:val="NoSpacing"/>
      </w:pPr>
    </w:p>
    <w:p w14:paraId="2556F626" w14:textId="27C40FB2" w:rsidR="008A4896" w:rsidRDefault="008A4896" w:rsidP="008A4896">
      <w:pPr>
        <w:pStyle w:val="NoSpacing"/>
      </w:pPr>
      <w:r>
        <w:t xml:space="preserve">9.1.3 </w:t>
      </w:r>
      <w:r w:rsidR="004C0042">
        <w:t xml:space="preserve">The final data migration from SAP to Civica HR &amp; Payroll in August 2018 identified a number of data issues.  Technical issues arose around the use of the Civica Secure File Transfer Protocol (SFTP) environment.  Upon completion of the final data migration, the Project Team identified that legacy Payroll data, relating to cumulative year to date figures had not migrated accurately and that subsequent partial data updates </w:t>
      </w:r>
      <w:r w:rsidR="00C837A3">
        <w:t>had</w:t>
      </w:r>
      <w:r w:rsidR="004C0042">
        <w:t xml:space="preserve"> overwrit</w:t>
      </w:r>
      <w:r w:rsidR="00C837A3">
        <w:t>t</w:t>
      </w:r>
      <w:r w:rsidR="004C0042">
        <w:t>e</w:t>
      </w:r>
      <w:r w:rsidR="00C837A3">
        <w:t>n</w:t>
      </w:r>
      <w:r w:rsidR="004C0042">
        <w:t xml:space="preserve"> all the existing data, leaving it incomplete.  To progress the activity, a process was devised to manual migrate the final detail ahead of our first month of pay reconciliation.</w:t>
      </w:r>
    </w:p>
    <w:p w14:paraId="39F58785" w14:textId="00FF4449" w:rsidR="008A4896" w:rsidRDefault="008A4896" w:rsidP="002E7666">
      <w:pPr>
        <w:pStyle w:val="NoSpacing"/>
      </w:pPr>
    </w:p>
    <w:p w14:paraId="5BEB59F1" w14:textId="38E4C3F1" w:rsidR="008A4896" w:rsidRDefault="008A4896" w:rsidP="002E7666">
      <w:pPr>
        <w:pStyle w:val="NoSpacing"/>
      </w:pPr>
      <w:r>
        <w:t>9.1.4</w:t>
      </w:r>
      <w:r w:rsidRPr="008A4896">
        <w:t xml:space="preserve"> As a result of the issues outlined </w:t>
      </w:r>
      <w:r>
        <w:t>above</w:t>
      </w:r>
      <w:r w:rsidRPr="008A4896">
        <w:t xml:space="preserve">, </w:t>
      </w:r>
      <w:r w:rsidR="00C837A3">
        <w:t>the commencement of</w:t>
      </w:r>
      <w:r w:rsidRPr="008A4896">
        <w:t xml:space="preserve"> August’s pay</w:t>
      </w:r>
      <w:r w:rsidR="00C837A3">
        <w:t xml:space="preserve"> reconciliation </w:t>
      </w:r>
      <w:proofErr w:type="gramStart"/>
      <w:r w:rsidR="00C837A3">
        <w:t>was delayed</w:t>
      </w:r>
      <w:proofErr w:type="gramEnd"/>
      <w:r w:rsidR="00C837A3">
        <w:t xml:space="preserve"> with a subsequent delay to both September and October reconciliations.</w:t>
      </w:r>
      <w:r w:rsidRPr="008A4896">
        <w:t xml:space="preserve"> </w:t>
      </w:r>
      <w:r w:rsidR="004160CB">
        <w:t>The Service approved a deviation in the schedule with a new go live date of the 3</w:t>
      </w:r>
      <w:r w:rsidR="004160CB" w:rsidRPr="004160CB">
        <w:rPr>
          <w:vertAlign w:val="superscript"/>
        </w:rPr>
        <w:t>rd</w:t>
      </w:r>
      <w:r w:rsidR="004160CB">
        <w:t xml:space="preserve"> December 2018.</w:t>
      </w:r>
    </w:p>
    <w:p w14:paraId="127B11AD" w14:textId="6820DAAE" w:rsidR="008A4896" w:rsidRDefault="008A4896" w:rsidP="002E7666">
      <w:pPr>
        <w:pStyle w:val="NoSpacing"/>
      </w:pPr>
    </w:p>
    <w:p w14:paraId="592CC8DA" w14:textId="15F7870D" w:rsidR="008A4896" w:rsidRPr="008A4896" w:rsidRDefault="008A4896" w:rsidP="008A4896">
      <w:pPr>
        <w:pStyle w:val="NoSpacing"/>
        <w:rPr>
          <w:u w:val="single"/>
        </w:rPr>
      </w:pPr>
      <w:r>
        <w:rPr>
          <w:u w:val="single"/>
        </w:rPr>
        <w:t>Recommendation</w:t>
      </w:r>
    </w:p>
    <w:p w14:paraId="0C76FFF3" w14:textId="7F2C14F4" w:rsidR="008A4896" w:rsidRPr="008A4896" w:rsidRDefault="008A4896" w:rsidP="004160CB">
      <w:pPr>
        <w:pStyle w:val="NoSpacing"/>
        <w:numPr>
          <w:ilvl w:val="0"/>
          <w:numId w:val="8"/>
        </w:numPr>
      </w:pPr>
      <w:r w:rsidRPr="008A4896">
        <w:t>Future projects may wish to consider maintaining multiple environments to mitigate data migration issues.</w:t>
      </w:r>
    </w:p>
    <w:p w14:paraId="4C45C83F" w14:textId="77777777" w:rsidR="008A4896" w:rsidRPr="008A4896" w:rsidRDefault="008A4896" w:rsidP="008A4896">
      <w:pPr>
        <w:pStyle w:val="NoSpacing"/>
      </w:pPr>
    </w:p>
    <w:p w14:paraId="2C1FF0DB" w14:textId="6E8A4DF4" w:rsidR="008A4896" w:rsidRPr="008A4896" w:rsidRDefault="008A4896" w:rsidP="008A4896">
      <w:pPr>
        <w:pStyle w:val="NoSpacing"/>
      </w:pPr>
      <w:r>
        <w:t>9.1.</w:t>
      </w:r>
      <w:r w:rsidR="00CB7362">
        <w:t>5</w:t>
      </w:r>
      <w:r w:rsidRPr="008A4896">
        <w:t xml:space="preserve"> Communication between the supplier and the Service must sit solely with the </w:t>
      </w:r>
      <w:r w:rsidR="004160CB">
        <w:t>P</w:t>
      </w:r>
      <w:r w:rsidRPr="008A4896">
        <w:t xml:space="preserve">roject team. Any variations to the </w:t>
      </w:r>
      <w:r w:rsidR="004160CB">
        <w:t>P</w:t>
      </w:r>
      <w:r w:rsidRPr="008A4896">
        <w:t xml:space="preserve">roject timeline, or pre-planned supplier consultancy / technical days, must be authorised, and communicated, by the </w:t>
      </w:r>
      <w:r w:rsidR="004160CB">
        <w:t>P</w:t>
      </w:r>
      <w:r w:rsidRPr="008A4896">
        <w:t>roject team.</w:t>
      </w:r>
      <w:r w:rsidR="004160CB">
        <w:t xml:space="preserve"> End users, resulting in delays in correcting the issues, had made changes to the planned schedule.</w:t>
      </w:r>
    </w:p>
    <w:p w14:paraId="6067BE79" w14:textId="77777777" w:rsidR="008A4896" w:rsidRPr="008A4896" w:rsidRDefault="008A4896" w:rsidP="008A4896">
      <w:pPr>
        <w:pStyle w:val="NoSpacing"/>
      </w:pPr>
    </w:p>
    <w:p w14:paraId="1DECEF37" w14:textId="21F4812F" w:rsidR="008A4896" w:rsidRPr="008A4896" w:rsidRDefault="003070BF" w:rsidP="008A4896">
      <w:pPr>
        <w:pStyle w:val="NoSpacing"/>
        <w:rPr>
          <w:u w:val="single"/>
        </w:rPr>
      </w:pPr>
      <w:r>
        <w:rPr>
          <w:u w:val="single"/>
        </w:rPr>
        <w:t>Recommendation</w:t>
      </w:r>
    </w:p>
    <w:p w14:paraId="07031BA6" w14:textId="13AB89CA" w:rsidR="008A4896" w:rsidRPr="008A4896" w:rsidRDefault="008A4896" w:rsidP="004160CB">
      <w:pPr>
        <w:pStyle w:val="NoSpacing"/>
        <w:numPr>
          <w:ilvl w:val="0"/>
          <w:numId w:val="8"/>
        </w:numPr>
      </w:pPr>
      <w:r w:rsidRPr="008A4896">
        <w:t xml:space="preserve">Future </w:t>
      </w:r>
      <w:r w:rsidR="004160CB">
        <w:t>Programmes and P</w:t>
      </w:r>
      <w:r w:rsidRPr="008A4896">
        <w:t xml:space="preserve">rojects may wish to note in any project terms of reference that supplier communications is through Purchasing &amp; Supply or the </w:t>
      </w:r>
      <w:r w:rsidR="00590C35">
        <w:t>P</w:t>
      </w:r>
      <w:r w:rsidRPr="008A4896">
        <w:t xml:space="preserve">roject </w:t>
      </w:r>
      <w:r w:rsidR="00590C35">
        <w:t>t</w:t>
      </w:r>
      <w:r w:rsidRPr="008A4896">
        <w:t>eam only.</w:t>
      </w:r>
    </w:p>
    <w:p w14:paraId="1D48742B" w14:textId="77777777" w:rsidR="008A4896" w:rsidRPr="008A4896" w:rsidRDefault="008A4896" w:rsidP="008A4896">
      <w:pPr>
        <w:pStyle w:val="NoSpacing"/>
      </w:pPr>
    </w:p>
    <w:p w14:paraId="7F9D4652" w14:textId="1E0AC98D" w:rsidR="008A4896" w:rsidRPr="008A4896" w:rsidRDefault="008A4896" w:rsidP="008A4896">
      <w:pPr>
        <w:pStyle w:val="NoSpacing"/>
      </w:pPr>
      <w:r>
        <w:t>9.1.</w:t>
      </w:r>
      <w:r w:rsidR="00CB7362">
        <w:t>6</w:t>
      </w:r>
      <w:r w:rsidRPr="008A4896">
        <w:t xml:space="preserve"> As the Service seeks to reduce operational and change related costs, solution delivery is likely to involve the procurement and usage of products that require minimal bespoke customisation. As such, product suppliers will work on a consultancy basis rather than having on-site speci</w:t>
      </w:r>
      <w:r>
        <w:t>alists supporting the delivery.</w:t>
      </w:r>
    </w:p>
    <w:p w14:paraId="4F9FBA8A" w14:textId="77777777" w:rsidR="008A4896" w:rsidRPr="008A4896" w:rsidRDefault="008A4896" w:rsidP="008A4896">
      <w:pPr>
        <w:pStyle w:val="NoSpacing"/>
      </w:pPr>
    </w:p>
    <w:p w14:paraId="62BE29E5" w14:textId="5FECE02C" w:rsidR="008A4896" w:rsidRPr="008A4896" w:rsidRDefault="008A4896" w:rsidP="008A4896">
      <w:pPr>
        <w:pStyle w:val="NoSpacing"/>
        <w:rPr>
          <w:u w:val="single"/>
        </w:rPr>
      </w:pPr>
      <w:r>
        <w:rPr>
          <w:u w:val="single"/>
        </w:rPr>
        <w:t>Recommendation</w:t>
      </w:r>
    </w:p>
    <w:p w14:paraId="5F43AB46" w14:textId="2C386FF8" w:rsidR="008A4896" w:rsidRPr="008A4896" w:rsidRDefault="008A4896" w:rsidP="004160CB">
      <w:pPr>
        <w:pStyle w:val="NoSpacing"/>
        <w:numPr>
          <w:ilvl w:val="0"/>
          <w:numId w:val="8"/>
        </w:numPr>
      </w:pPr>
      <w:r w:rsidRPr="008A4896">
        <w:t xml:space="preserve">When planning future </w:t>
      </w:r>
      <w:r w:rsidR="004160CB">
        <w:t>Programmes and P</w:t>
      </w:r>
      <w:r w:rsidRPr="008A4896">
        <w:t>rojects, the Service must</w:t>
      </w:r>
      <w:r w:rsidR="004160CB">
        <w:t xml:space="preserve"> </w:t>
      </w:r>
      <w:r w:rsidRPr="008A4896">
        <w:t>understand and accept the resourcing constraints encountered, when issues arise that require supplier support.</w:t>
      </w:r>
    </w:p>
    <w:p w14:paraId="2B629F40" w14:textId="016ED6C7" w:rsidR="008A4896" w:rsidRDefault="008A4896" w:rsidP="002E7666">
      <w:pPr>
        <w:pStyle w:val="NoSpacing"/>
      </w:pPr>
    </w:p>
    <w:p w14:paraId="14323576" w14:textId="413E3BAB" w:rsidR="00404F58" w:rsidRPr="00BD6657" w:rsidRDefault="00404F58" w:rsidP="002E7666">
      <w:pPr>
        <w:pStyle w:val="NoSpacing"/>
      </w:pPr>
      <w:r w:rsidRPr="00BD6657">
        <w:t xml:space="preserve">9.1.7 The first Civica pay run encountered two main challenges resulting in </w:t>
      </w:r>
      <w:r w:rsidR="00BD6657" w:rsidRPr="00BD6657">
        <w:t>occurrences</w:t>
      </w:r>
      <w:r w:rsidRPr="00BD6657">
        <w:t xml:space="preserve"> of underpayments to staff. Firstly, a requested customisation relating to On-Call timesheet activity </w:t>
      </w:r>
      <w:r w:rsidRPr="00BD6657">
        <w:lastRenderedPageBreak/>
        <w:t>payments of less than an hour, did not work as expected. The second issue was because of incomplete timesheets, either not submitted or not approved. To address this, for January’s pay, Pay Section made out of payroll payments to 59 individuals, totalling £17,273.51, with a further 169 manual adjustments in February’s pay run, to avert further underpayments.</w:t>
      </w:r>
      <w:r w:rsidR="002A531C" w:rsidRPr="00BD6657">
        <w:t xml:space="preserve"> Pay Section made a further 30 out of payroll payments in February, totalling £5,382.80.</w:t>
      </w:r>
    </w:p>
    <w:p w14:paraId="7E778D47" w14:textId="63034F1D" w:rsidR="006E775D" w:rsidRPr="00D3620A" w:rsidRDefault="006E775D" w:rsidP="002E7666">
      <w:pPr>
        <w:pStyle w:val="NoSpacing"/>
        <w:rPr>
          <w:highlight w:val="yellow"/>
        </w:rPr>
      </w:pPr>
    </w:p>
    <w:p w14:paraId="10FF0539" w14:textId="6BDB2C21" w:rsidR="006E775D" w:rsidRPr="00BD6657" w:rsidRDefault="006E775D" w:rsidP="002E7666">
      <w:pPr>
        <w:pStyle w:val="NoSpacing"/>
      </w:pPr>
      <w:r w:rsidRPr="00BD6657">
        <w:t xml:space="preserve">9.1.8 With support from HR and “champions” from Operations, the HOBS Project Team engaged with Group, Station and Watch / Crew Managers, through </w:t>
      </w:r>
      <w:r w:rsidR="00BD6657" w:rsidRPr="00BD6657">
        <w:t>targeted</w:t>
      </w:r>
      <w:r w:rsidRPr="00BD6657">
        <w:t xml:space="preserve"> communications, to ensure the submission and authorisation of timesheets. A similar approach, with Group Managers only, took place in March. In February, there were 18 unauthorised timesheets and 56 in March.</w:t>
      </w:r>
    </w:p>
    <w:p w14:paraId="0F4F7291" w14:textId="0632A058" w:rsidR="006E775D" w:rsidRPr="00BD6657" w:rsidRDefault="006E775D" w:rsidP="002E7666">
      <w:pPr>
        <w:pStyle w:val="NoSpacing"/>
      </w:pPr>
    </w:p>
    <w:p w14:paraId="5F3E0B76" w14:textId="3D2A2A3E" w:rsidR="006E775D" w:rsidRDefault="006E775D" w:rsidP="002E7666">
      <w:pPr>
        <w:pStyle w:val="NoSpacing"/>
      </w:pPr>
      <w:r w:rsidRPr="00BD6657">
        <w:t>9.1.9 As a result of the efforts in January and February, Pay Section saw a significant reduction in queries, down to an expected monthly level. Civica resolved the one-hour payment issue.</w:t>
      </w:r>
    </w:p>
    <w:p w14:paraId="7C379C38" w14:textId="5A7934A3" w:rsidR="00CB7362" w:rsidRDefault="00CB7362" w:rsidP="00D3620A">
      <w:pPr>
        <w:pStyle w:val="NoSpacing"/>
      </w:pPr>
    </w:p>
    <w:p w14:paraId="50442192" w14:textId="43F72AF4" w:rsidR="00050F00" w:rsidRPr="00C837A3" w:rsidRDefault="00050F00" w:rsidP="00C837A3">
      <w:pPr>
        <w:pStyle w:val="Heading2"/>
      </w:pPr>
      <w:bookmarkStart w:id="19" w:name="_Toc5802605"/>
      <w:r w:rsidRPr="00C837A3">
        <w:t>9.</w:t>
      </w:r>
      <w:r w:rsidR="008A4896" w:rsidRPr="00C837A3">
        <w:t>2</w:t>
      </w:r>
      <w:r w:rsidRPr="00C837A3">
        <w:t xml:space="preserve"> Procurement</w:t>
      </w:r>
      <w:bookmarkEnd w:id="19"/>
    </w:p>
    <w:p w14:paraId="0B8D4CD7" w14:textId="77777777" w:rsidR="00050F00" w:rsidRDefault="00050F00" w:rsidP="002E7666">
      <w:pPr>
        <w:pStyle w:val="NoSpacing"/>
      </w:pPr>
    </w:p>
    <w:p w14:paraId="26CF31A4" w14:textId="299C55A5" w:rsidR="005D1727" w:rsidRDefault="000A5666" w:rsidP="002E7666">
      <w:pPr>
        <w:pStyle w:val="NoSpacing"/>
      </w:pPr>
      <w:r>
        <w:t>9.</w:t>
      </w:r>
      <w:r w:rsidR="008A4896">
        <w:t>2</w:t>
      </w:r>
      <w:r>
        <w:t xml:space="preserve">.1 </w:t>
      </w:r>
      <w:r w:rsidR="00050F00">
        <w:t xml:space="preserve">The Project took a </w:t>
      </w:r>
      <w:r w:rsidR="00D82201">
        <w:t>s</w:t>
      </w:r>
      <w:r w:rsidR="005D1727">
        <w:t xml:space="preserve">tructured and planned approach </w:t>
      </w:r>
      <w:r w:rsidR="00050F00">
        <w:t>to procuring the solution, with early involvement of stakeholders. The development of a robust set of requirements enabled the Service to</w:t>
      </w:r>
      <w:r w:rsidR="00050A05">
        <w:t>;</w:t>
      </w:r>
      <w:r w:rsidR="00050F00">
        <w:t xml:space="preserve"> understand the objectives</w:t>
      </w:r>
      <w:r w:rsidR="00050A05">
        <w:t>, clearly state</w:t>
      </w:r>
      <w:r w:rsidR="00050F00">
        <w:t xml:space="preserve"> the products for delivery</w:t>
      </w:r>
      <w:r w:rsidR="00050A05">
        <w:t xml:space="preserve"> and hold the supplier to account during the user acceptance testing phases.</w:t>
      </w:r>
    </w:p>
    <w:p w14:paraId="6A726888" w14:textId="2B1D9868" w:rsidR="00050A05" w:rsidRDefault="00050A05" w:rsidP="002E7666">
      <w:pPr>
        <w:pStyle w:val="NoSpacing"/>
      </w:pPr>
    </w:p>
    <w:p w14:paraId="296C9AF6" w14:textId="28DA51E3" w:rsidR="00050A05" w:rsidRPr="00050A05" w:rsidRDefault="00050A05" w:rsidP="002E7666">
      <w:pPr>
        <w:pStyle w:val="NoSpacing"/>
        <w:rPr>
          <w:u w:val="single"/>
        </w:rPr>
      </w:pPr>
      <w:r w:rsidRPr="00050A05">
        <w:rPr>
          <w:u w:val="single"/>
        </w:rPr>
        <w:t>Recommendations</w:t>
      </w:r>
    </w:p>
    <w:p w14:paraId="7E9AA378" w14:textId="02ABFAFF" w:rsidR="005D1727" w:rsidRDefault="00050A05" w:rsidP="008A4896">
      <w:pPr>
        <w:pStyle w:val="NoSpacing"/>
        <w:numPr>
          <w:ilvl w:val="0"/>
          <w:numId w:val="1"/>
        </w:numPr>
      </w:pPr>
      <w:r>
        <w:t>Future projects to produce detailed and robust requirements, removing, where possible, any ambiguity or opportunity for misinterpretation on behalf of both the supplier and senior users</w:t>
      </w:r>
      <w:r w:rsidR="001C1F61">
        <w:t>.</w:t>
      </w:r>
    </w:p>
    <w:p w14:paraId="6730096D" w14:textId="3FF4D065" w:rsidR="000A5666" w:rsidRDefault="000A5666" w:rsidP="008A4896">
      <w:pPr>
        <w:pStyle w:val="NoSpacing"/>
        <w:numPr>
          <w:ilvl w:val="0"/>
          <w:numId w:val="1"/>
        </w:numPr>
      </w:pPr>
      <w:r>
        <w:t xml:space="preserve">Team managers or senior end users to form the procurement panel, rather than Director or Heads of Function, as they will be closer to </w:t>
      </w:r>
      <w:r w:rsidR="001C1F61">
        <w:t>day-to-day</w:t>
      </w:r>
      <w:r>
        <w:t xml:space="preserve"> operations</w:t>
      </w:r>
      <w:r w:rsidR="001C1F61">
        <w:t>.</w:t>
      </w:r>
    </w:p>
    <w:p w14:paraId="1DB05A71" w14:textId="009F4B9C" w:rsidR="00050F00" w:rsidRDefault="00050F00" w:rsidP="002E7666">
      <w:pPr>
        <w:pStyle w:val="NoSpacing"/>
      </w:pPr>
    </w:p>
    <w:p w14:paraId="7A24443C" w14:textId="13CF115C" w:rsidR="00050A05" w:rsidRDefault="000A5666" w:rsidP="002E7666">
      <w:pPr>
        <w:pStyle w:val="NoSpacing"/>
      </w:pPr>
      <w:r>
        <w:t>9.</w:t>
      </w:r>
      <w:r w:rsidR="008A4896">
        <w:t>2</w:t>
      </w:r>
      <w:r>
        <w:t xml:space="preserve">.2 </w:t>
      </w:r>
      <w:r w:rsidR="00050A05">
        <w:t>Due to the procurement approach taken, the level of contract documentation produced was excessive, requiring the Service to outline elements of the contract that were unknown at the time of writing, such as Service Level Agreements, support hours and supplier performance figures.</w:t>
      </w:r>
    </w:p>
    <w:p w14:paraId="0CFD5695" w14:textId="27E869C2" w:rsidR="00050A05" w:rsidRDefault="00050A05" w:rsidP="002E7666">
      <w:pPr>
        <w:pStyle w:val="NoSpacing"/>
      </w:pPr>
    </w:p>
    <w:p w14:paraId="16A24DB8" w14:textId="77777777" w:rsidR="000A5666" w:rsidRPr="00050A05" w:rsidRDefault="000A5666" w:rsidP="000A5666">
      <w:pPr>
        <w:pStyle w:val="NoSpacing"/>
        <w:rPr>
          <w:u w:val="single"/>
        </w:rPr>
      </w:pPr>
      <w:r w:rsidRPr="00050A05">
        <w:rPr>
          <w:u w:val="single"/>
        </w:rPr>
        <w:t>Recommendations</w:t>
      </w:r>
    </w:p>
    <w:p w14:paraId="1A2E0614" w14:textId="57116FEB" w:rsidR="00050A05" w:rsidRDefault="000A5666" w:rsidP="008A4896">
      <w:pPr>
        <w:pStyle w:val="NoSpacing"/>
        <w:numPr>
          <w:ilvl w:val="0"/>
          <w:numId w:val="1"/>
        </w:numPr>
      </w:pPr>
      <w:r>
        <w:t xml:space="preserve">The Service should consider defining a standard set of contract elements, across different levels of service/application categories (Gold, Silver and Bronze), if the </w:t>
      </w:r>
      <w:r w:rsidR="004160CB">
        <w:t>restricted</w:t>
      </w:r>
      <w:r>
        <w:t xml:space="preserve"> procurement approach is used</w:t>
      </w:r>
      <w:r w:rsidR="001C1F61">
        <w:t>.</w:t>
      </w:r>
    </w:p>
    <w:p w14:paraId="1A3A26B6" w14:textId="7AB06467" w:rsidR="00050A05" w:rsidRDefault="00050A05" w:rsidP="002E7666">
      <w:pPr>
        <w:pStyle w:val="NoSpacing"/>
      </w:pPr>
    </w:p>
    <w:p w14:paraId="5C08ADAA" w14:textId="344A3330" w:rsidR="000A5666" w:rsidRDefault="007E4C4D" w:rsidP="007E4C4D">
      <w:pPr>
        <w:pStyle w:val="Heading2"/>
      </w:pPr>
      <w:bookmarkStart w:id="20" w:name="_Toc5802606"/>
      <w:r>
        <w:t>9.</w:t>
      </w:r>
      <w:r w:rsidR="008A4896">
        <w:t>3</w:t>
      </w:r>
      <w:r>
        <w:t xml:space="preserve"> Sponsorship &amp; Governance</w:t>
      </w:r>
      <w:bookmarkEnd w:id="20"/>
    </w:p>
    <w:p w14:paraId="5BAD8123" w14:textId="760F0E3F" w:rsidR="007E4C4D" w:rsidRDefault="007E4C4D" w:rsidP="002E7666">
      <w:pPr>
        <w:pStyle w:val="NoSpacing"/>
      </w:pPr>
    </w:p>
    <w:p w14:paraId="3AA28A89" w14:textId="0436EF85" w:rsidR="007E4C4D" w:rsidRDefault="001B6874" w:rsidP="002E7666">
      <w:pPr>
        <w:pStyle w:val="NoSpacing"/>
      </w:pPr>
      <w:r>
        <w:t>9.</w:t>
      </w:r>
      <w:r w:rsidR="008A4896">
        <w:t>3</w:t>
      </w:r>
      <w:r>
        <w:t xml:space="preserve">.1 </w:t>
      </w:r>
      <w:r w:rsidR="007E4C4D">
        <w:t>The Service assigned a specialist HR &amp; OD Project Manager to run the Project, bringing a wealth of experience and knowledge in this area. This enable the HR Department to offload some of the decision-making processes, in the knowledge that the Project Manager would take the appropriate approach.</w:t>
      </w:r>
    </w:p>
    <w:p w14:paraId="4A0FFF53" w14:textId="48B931F9" w:rsidR="007E4C4D" w:rsidRDefault="007E4C4D" w:rsidP="002E7666">
      <w:pPr>
        <w:pStyle w:val="NoSpacing"/>
      </w:pPr>
    </w:p>
    <w:p w14:paraId="03BF0589" w14:textId="529A8170" w:rsidR="007E4C4D" w:rsidRDefault="007E4C4D" w:rsidP="002E7666">
      <w:pPr>
        <w:pStyle w:val="NoSpacing"/>
      </w:pPr>
      <w:r>
        <w:rPr>
          <w:u w:val="single"/>
        </w:rPr>
        <w:t>Recommendations</w:t>
      </w:r>
    </w:p>
    <w:p w14:paraId="0C6478DD" w14:textId="1BA23575" w:rsidR="007E4C4D" w:rsidRPr="007E4C4D" w:rsidRDefault="007E4C4D" w:rsidP="008A4896">
      <w:pPr>
        <w:pStyle w:val="NoSpacing"/>
        <w:numPr>
          <w:ilvl w:val="0"/>
          <w:numId w:val="1"/>
        </w:numPr>
      </w:pPr>
      <w:r>
        <w:t>The Service should consider Project Managers with a specialist level of knowledge when delivering Projects of this nature</w:t>
      </w:r>
      <w:r w:rsidR="001C1F61">
        <w:t>.</w:t>
      </w:r>
    </w:p>
    <w:p w14:paraId="0192585B" w14:textId="630F1F8F" w:rsidR="007E4C4D" w:rsidRDefault="007E4C4D" w:rsidP="002E7666">
      <w:pPr>
        <w:pStyle w:val="NoSpacing"/>
      </w:pPr>
    </w:p>
    <w:p w14:paraId="51A95ED9" w14:textId="3CD50A62" w:rsidR="007E4C4D" w:rsidRDefault="001B6874" w:rsidP="002E7666">
      <w:pPr>
        <w:pStyle w:val="NoSpacing"/>
      </w:pPr>
      <w:r>
        <w:t>9.</w:t>
      </w:r>
      <w:r w:rsidR="008A4896">
        <w:t>3</w:t>
      </w:r>
      <w:r>
        <w:t xml:space="preserve">.2 </w:t>
      </w:r>
      <w:r w:rsidR="007E4C4D">
        <w:t>A well-structured Programme Board provided the right level of governance and quality assurance. The key stakeholders were represented appropriately and able to make decisions without escalation to the Sponsoring Group (SLT/ Change Board).</w:t>
      </w:r>
    </w:p>
    <w:p w14:paraId="2BFC1011" w14:textId="0C74088C" w:rsidR="007E4C4D" w:rsidRDefault="007E4C4D" w:rsidP="002E7666">
      <w:pPr>
        <w:pStyle w:val="NoSpacing"/>
      </w:pPr>
    </w:p>
    <w:p w14:paraId="5A78AA6A" w14:textId="477141D7" w:rsidR="007E4C4D" w:rsidRDefault="001B6874" w:rsidP="002E7666">
      <w:pPr>
        <w:pStyle w:val="NoSpacing"/>
      </w:pPr>
      <w:r>
        <w:lastRenderedPageBreak/>
        <w:t>9.</w:t>
      </w:r>
      <w:r w:rsidR="008A4896">
        <w:t>3</w:t>
      </w:r>
      <w:r>
        <w:t xml:space="preserve">.3 </w:t>
      </w:r>
      <w:r w:rsidR="007E4C4D">
        <w:t>In the early stages of the People Systems Programme, the level of engagement with the Sponsoring Group</w:t>
      </w:r>
      <w:r w:rsidR="00316C6B">
        <w:t>,</w:t>
      </w:r>
      <w:r w:rsidR="007E4C4D">
        <w:t xml:space="preserve"> </w:t>
      </w:r>
      <w:r w:rsidR="00316C6B">
        <w:t>via the Senior Responsible Owner (SRO), left gaps in communications and progress updates. This resulted in an increased level of apprehension and concern with the status of the Project. The Service addressed the situation through a change in SRO, which resulted in a significant improvement in engagement and trust with the Sponsoring Group. The Service acknowledges that the Programme and Project had delivered progress updates, however the Sponsoring Group were not aware of them.</w:t>
      </w:r>
    </w:p>
    <w:p w14:paraId="77389E7A" w14:textId="17539C86" w:rsidR="007E4C4D" w:rsidRDefault="007E4C4D" w:rsidP="002E7666">
      <w:pPr>
        <w:pStyle w:val="NoSpacing"/>
      </w:pPr>
    </w:p>
    <w:p w14:paraId="101C9AD9" w14:textId="77777777" w:rsidR="00316C6B" w:rsidRPr="00316C6B" w:rsidRDefault="00316C6B" w:rsidP="00316C6B">
      <w:pPr>
        <w:pStyle w:val="NoSpacing"/>
      </w:pPr>
      <w:r w:rsidRPr="00316C6B">
        <w:rPr>
          <w:u w:val="single"/>
        </w:rPr>
        <w:t>Recommendations</w:t>
      </w:r>
    </w:p>
    <w:p w14:paraId="5DA9160E" w14:textId="24F86DD3" w:rsidR="003620DC" w:rsidRDefault="003620DC" w:rsidP="003620DC">
      <w:pPr>
        <w:pStyle w:val="NoSpacing"/>
        <w:numPr>
          <w:ilvl w:val="0"/>
          <w:numId w:val="1"/>
        </w:numPr>
      </w:pPr>
      <w:r w:rsidRPr="003620DC">
        <w:t xml:space="preserve">The appointment of a </w:t>
      </w:r>
      <w:r w:rsidR="00F41552">
        <w:t>P</w:t>
      </w:r>
      <w:r w:rsidR="00F41552" w:rsidRPr="003620DC">
        <w:t>r</w:t>
      </w:r>
      <w:r w:rsidR="00F41552">
        <w:t>o</w:t>
      </w:r>
      <w:r w:rsidR="00F41552" w:rsidRPr="003620DC">
        <w:t>gramme</w:t>
      </w:r>
      <w:r w:rsidRPr="003620DC">
        <w:t xml:space="preserve"> SRO should be the responsibility of SLT</w:t>
      </w:r>
    </w:p>
    <w:p w14:paraId="30835CAC" w14:textId="77777777" w:rsidR="007E4C4D" w:rsidRDefault="007E4C4D" w:rsidP="007E4C4D">
      <w:pPr>
        <w:pStyle w:val="NoSpacing"/>
      </w:pPr>
    </w:p>
    <w:p w14:paraId="3E986C8B" w14:textId="2DBF55FA" w:rsidR="00316C6B" w:rsidRDefault="001B6874" w:rsidP="007E4C4D">
      <w:pPr>
        <w:pStyle w:val="NoSpacing"/>
      </w:pPr>
      <w:r>
        <w:t>9.</w:t>
      </w:r>
      <w:r w:rsidR="008A4896">
        <w:t>3</w:t>
      </w:r>
      <w:r>
        <w:t xml:space="preserve">.4 </w:t>
      </w:r>
      <w:r w:rsidR="00316C6B">
        <w:t xml:space="preserve">Before the change in SRO, the Project felt pressured into adhering to the planned delivery timelines, due to the previously </w:t>
      </w:r>
      <w:r w:rsidR="00F41552">
        <w:t>perceived poor</w:t>
      </w:r>
      <w:r w:rsidR="00316C6B">
        <w:t xml:space="preserve"> level of Sponsoring Group engagement and communications. Any recommendations to timeline changes </w:t>
      </w:r>
      <w:r>
        <w:t>resulted in</w:t>
      </w:r>
      <w:r w:rsidR="00316C6B">
        <w:t xml:space="preserve"> </w:t>
      </w:r>
      <w:r w:rsidR="005B7132">
        <w:t>strong</w:t>
      </w:r>
      <w:r w:rsidR="003620DC">
        <w:t xml:space="preserve"> </w:t>
      </w:r>
      <w:r>
        <w:t>challenge</w:t>
      </w:r>
      <w:r w:rsidR="00316C6B">
        <w:t xml:space="preserve"> </w:t>
      </w:r>
      <w:r w:rsidR="005B7132">
        <w:t xml:space="preserve">seemingly </w:t>
      </w:r>
      <w:r w:rsidR="00316C6B">
        <w:t>without a</w:t>
      </w:r>
      <w:r w:rsidR="005B7132">
        <w:t xml:space="preserve"> full consideration </w:t>
      </w:r>
      <w:r w:rsidR="00316C6B">
        <w:t>of the reasons.</w:t>
      </w:r>
    </w:p>
    <w:p w14:paraId="3E48D3A2" w14:textId="06E46FCA" w:rsidR="001B6874" w:rsidRDefault="001B6874" w:rsidP="007E4C4D">
      <w:pPr>
        <w:pStyle w:val="NoSpacing"/>
      </w:pPr>
    </w:p>
    <w:p w14:paraId="04A15F0B" w14:textId="1D77485D" w:rsidR="001B6874" w:rsidRDefault="001B6874" w:rsidP="007E4C4D">
      <w:pPr>
        <w:pStyle w:val="NoSpacing"/>
      </w:pPr>
      <w:r>
        <w:t>9.</w:t>
      </w:r>
      <w:r w:rsidR="008A4896">
        <w:t>3</w:t>
      </w:r>
      <w:r>
        <w:t xml:space="preserve">.5 </w:t>
      </w:r>
      <w:r w:rsidR="003620DC" w:rsidRPr="003620DC">
        <w:t>Following the Strategic decision to change the SRO, the programme regained impetus and the programme team experienced increased levels of engagement</w:t>
      </w:r>
    </w:p>
    <w:p w14:paraId="6A95E6F2" w14:textId="42D92D3B" w:rsidR="00316C6B" w:rsidRDefault="00316C6B" w:rsidP="007E4C4D">
      <w:pPr>
        <w:pStyle w:val="NoSpacing"/>
      </w:pPr>
    </w:p>
    <w:p w14:paraId="20A919DC" w14:textId="7B8ADB66" w:rsidR="00316C6B" w:rsidRPr="00316C6B" w:rsidRDefault="00316C6B" w:rsidP="007E4C4D">
      <w:pPr>
        <w:pStyle w:val="NoSpacing"/>
      </w:pPr>
      <w:r>
        <w:rPr>
          <w:u w:val="single"/>
        </w:rPr>
        <w:t>Recommendation</w:t>
      </w:r>
    </w:p>
    <w:p w14:paraId="3A86F792" w14:textId="21DE3CB6" w:rsidR="007E4C4D" w:rsidRDefault="001B6874" w:rsidP="008A4896">
      <w:pPr>
        <w:pStyle w:val="NoSpacing"/>
        <w:numPr>
          <w:ilvl w:val="0"/>
          <w:numId w:val="3"/>
        </w:numPr>
      </w:pPr>
      <w:r>
        <w:t xml:space="preserve">All Programme and Project Managers </w:t>
      </w:r>
      <w:r w:rsidR="005B7132">
        <w:t>given</w:t>
      </w:r>
      <w:r>
        <w:t xml:space="preserve"> the f</w:t>
      </w:r>
      <w:r w:rsidR="007E4C4D">
        <w:t>reedom to recommend timeline change</w:t>
      </w:r>
      <w:r>
        <w:t>s</w:t>
      </w:r>
      <w:r w:rsidR="001C1F61">
        <w:t>.</w:t>
      </w:r>
    </w:p>
    <w:p w14:paraId="66D461A5" w14:textId="0DBCB13C" w:rsidR="007E4C4D" w:rsidRDefault="007E4C4D" w:rsidP="007E4C4D">
      <w:pPr>
        <w:pStyle w:val="NoSpacing"/>
      </w:pPr>
    </w:p>
    <w:p w14:paraId="359D5879" w14:textId="481C0822" w:rsidR="001B6874" w:rsidRDefault="001B6874" w:rsidP="007E4C4D">
      <w:pPr>
        <w:pStyle w:val="NoSpacing"/>
      </w:pPr>
      <w:r>
        <w:t>9.</w:t>
      </w:r>
      <w:r w:rsidR="008A4896">
        <w:t>3</w:t>
      </w:r>
      <w:r>
        <w:t>.6 The Project adhered to the Service’s Business Continuity processes throughout the lifecycle of the Project, with risks and issues recorded, monitored and managed well. Reviews undertaken by the Risk &amp; Business Continuity Team identified only minor risk status and wording changes.</w:t>
      </w:r>
    </w:p>
    <w:p w14:paraId="47565FFB" w14:textId="6D74516B" w:rsidR="001B6874" w:rsidRDefault="001B6874" w:rsidP="007E4C4D">
      <w:pPr>
        <w:pStyle w:val="NoSpacing"/>
      </w:pPr>
    </w:p>
    <w:p w14:paraId="4AC179C7" w14:textId="2272B063" w:rsidR="001B6874" w:rsidRDefault="001B6874" w:rsidP="007E4C4D">
      <w:pPr>
        <w:pStyle w:val="NoSpacing"/>
      </w:pPr>
      <w:r>
        <w:t>9.</w:t>
      </w:r>
      <w:r w:rsidR="008A4896">
        <w:t>3</w:t>
      </w:r>
      <w:r>
        <w:t>.7 Through</w:t>
      </w:r>
      <w:r w:rsidR="00846525">
        <w:t>-</w:t>
      </w:r>
      <w:r>
        <w:t xml:space="preserve">out the early stages of the Project, a number of requests to change the format of </w:t>
      </w:r>
      <w:r w:rsidR="00846525">
        <w:t xml:space="preserve">the </w:t>
      </w:r>
      <w:r w:rsidRPr="001B6874">
        <w:t xml:space="preserve">documentation </w:t>
      </w:r>
      <w:r w:rsidR="00846525">
        <w:t xml:space="preserve">resulted in delays in delivery. It was felt that these changes were </w:t>
      </w:r>
      <w:r w:rsidR="003070BF">
        <w:t>unnecessary</w:t>
      </w:r>
      <w:r w:rsidR="00846525">
        <w:t xml:space="preserve"> and did not add value, </w:t>
      </w:r>
      <w:r w:rsidR="005B7132">
        <w:t>the perception being they created ‘</w:t>
      </w:r>
      <w:r w:rsidR="00846525">
        <w:t>documents for documents sake</w:t>
      </w:r>
      <w:r w:rsidR="005B7132">
        <w:t>’</w:t>
      </w:r>
      <w:r w:rsidR="00846525">
        <w:t>.</w:t>
      </w:r>
    </w:p>
    <w:p w14:paraId="3E90FB16" w14:textId="77777777" w:rsidR="001B6874" w:rsidRDefault="001B6874" w:rsidP="007E4C4D">
      <w:pPr>
        <w:pStyle w:val="NoSpacing"/>
      </w:pPr>
    </w:p>
    <w:p w14:paraId="09E1105F" w14:textId="4360D662" w:rsidR="001B6874" w:rsidRPr="00846525" w:rsidRDefault="00846525" w:rsidP="007E4C4D">
      <w:pPr>
        <w:pStyle w:val="NoSpacing"/>
        <w:rPr>
          <w:u w:val="single"/>
        </w:rPr>
      </w:pPr>
      <w:r>
        <w:rPr>
          <w:u w:val="single"/>
        </w:rPr>
        <w:t>Recommendation</w:t>
      </w:r>
    </w:p>
    <w:p w14:paraId="2264576E" w14:textId="15DD9615" w:rsidR="001B6874" w:rsidRDefault="00846525" w:rsidP="008A4896">
      <w:pPr>
        <w:pStyle w:val="NoSpacing"/>
        <w:numPr>
          <w:ilvl w:val="0"/>
          <w:numId w:val="3"/>
        </w:numPr>
      </w:pPr>
      <w:r>
        <w:t xml:space="preserve">Programme and Project documentation </w:t>
      </w:r>
      <w:r w:rsidR="005B7132">
        <w:t>should be</w:t>
      </w:r>
      <w:r>
        <w:t xml:space="preserve"> standardised and aligns with the needs of the Sponsoring Group</w:t>
      </w:r>
      <w:r w:rsidR="001B6874" w:rsidRPr="001B6874">
        <w:t>.</w:t>
      </w:r>
      <w:r>
        <w:t xml:space="preserve"> Produce only the documentation required to govern the Programme or Project appropriately.</w:t>
      </w:r>
    </w:p>
    <w:p w14:paraId="4C373529" w14:textId="64887394" w:rsidR="00050F00" w:rsidRDefault="00050F00" w:rsidP="002E7666">
      <w:pPr>
        <w:pStyle w:val="NoSpacing"/>
      </w:pPr>
    </w:p>
    <w:p w14:paraId="61C6DA84" w14:textId="7E76B687" w:rsidR="00846525" w:rsidRDefault="00846525" w:rsidP="00846525">
      <w:pPr>
        <w:pStyle w:val="Heading2"/>
      </w:pPr>
      <w:bookmarkStart w:id="21" w:name="_Toc5802607"/>
      <w:r>
        <w:t>9.</w:t>
      </w:r>
      <w:r w:rsidR="008A4896">
        <w:t>4</w:t>
      </w:r>
      <w:r>
        <w:t xml:space="preserve"> Resourcing</w:t>
      </w:r>
      <w:bookmarkEnd w:id="21"/>
    </w:p>
    <w:p w14:paraId="6B735963" w14:textId="2DE7F880" w:rsidR="00846525" w:rsidRDefault="00846525" w:rsidP="002E7666">
      <w:pPr>
        <w:pStyle w:val="NoSpacing"/>
      </w:pPr>
    </w:p>
    <w:p w14:paraId="37351939" w14:textId="746D6FD9" w:rsidR="00846525" w:rsidRDefault="00846525" w:rsidP="002E7666">
      <w:pPr>
        <w:pStyle w:val="NoSpacing"/>
      </w:pPr>
      <w:r>
        <w:t>9.</w:t>
      </w:r>
      <w:r w:rsidR="008A4896">
        <w:t>4</w:t>
      </w:r>
      <w:r>
        <w:t>.1 The Project took the approach of seconding appropriate internal resources into the Project Team, for the duration of the Project. Those resources were able to gain significant knowledge of the solution and take this back to their substantive roles, ultimately reducing the reliance on external specialist resources.</w:t>
      </w:r>
    </w:p>
    <w:p w14:paraId="6F299610" w14:textId="0D7A92CD" w:rsidR="00846525" w:rsidRDefault="00846525" w:rsidP="002E7666">
      <w:pPr>
        <w:pStyle w:val="NoSpacing"/>
      </w:pPr>
    </w:p>
    <w:p w14:paraId="325E8CBA" w14:textId="45769B3E" w:rsidR="00846525" w:rsidRDefault="00846525" w:rsidP="002E7666">
      <w:pPr>
        <w:pStyle w:val="NoSpacing"/>
      </w:pPr>
      <w:r>
        <w:rPr>
          <w:u w:val="single"/>
        </w:rPr>
        <w:t>Recommendation</w:t>
      </w:r>
    </w:p>
    <w:p w14:paraId="722E78FB" w14:textId="32E9E240" w:rsidR="00846525" w:rsidRPr="00846525" w:rsidRDefault="00846525" w:rsidP="008A4896">
      <w:pPr>
        <w:pStyle w:val="NoSpacing"/>
        <w:numPr>
          <w:ilvl w:val="0"/>
          <w:numId w:val="3"/>
        </w:numPr>
      </w:pPr>
      <w:r>
        <w:t>Future Programmes and Project</w:t>
      </w:r>
      <w:r w:rsidR="005B7132">
        <w:t>s</w:t>
      </w:r>
      <w:r>
        <w:t xml:space="preserve"> to consider the secondment approach, as this will provide dedicated internal skills, enable the retention of knowledge gained through the Project and support issue resolution and solution </w:t>
      </w:r>
      <w:r w:rsidR="003070BF">
        <w:t>delivery</w:t>
      </w:r>
      <w:r>
        <w:t xml:space="preserve"> in a timely manner.</w:t>
      </w:r>
    </w:p>
    <w:p w14:paraId="0549C4B9" w14:textId="2F111D8A" w:rsidR="00E93405" w:rsidRDefault="00E93405" w:rsidP="002E7666">
      <w:pPr>
        <w:pStyle w:val="NoSpacing"/>
      </w:pPr>
    </w:p>
    <w:p w14:paraId="3EA6F6D3" w14:textId="27A20AA2" w:rsidR="00A72995" w:rsidRDefault="00A72995" w:rsidP="002E7666">
      <w:pPr>
        <w:pStyle w:val="NoSpacing"/>
      </w:pPr>
      <w:r>
        <w:t>9.</w:t>
      </w:r>
      <w:r w:rsidR="008A4896">
        <w:t>4</w:t>
      </w:r>
      <w:r>
        <w:t xml:space="preserve">.2 </w:t>
      </w:r>
      <w:r w:rsidRPr="00A72995">
        <w:t>The overall engagement of our HR team during UAT and dual running meant go live was a seamless process. The HR team continue to raise process questions, but the impact on business as usual activity was minimal.</w:t>
      </w:r>
    </w:p>
    <w:p w14:paraId="610C206A" w14:textId="77777777" w:rsidR="00A72995" w:rsidRDefault="00A72995" w:rsidP="002E7666">
      <w:pPr>
        <w:pStyle w:val="NoSpacing"/>
      </w:pPr>
    </w:p>
    <w:p w14:paraId="3CE76F8F" w14:textId="7CEC871E" w:rsidR="002824FB" w:rsidRDefault="002824FB" w:rsidP="002E7666">
      <w:pPr>
        <w:pStyle w:val="NoSpacing"/>
      </w:pPr>
      <w:r>
        <w:lastRenderedPageBreak/>
        <w:t>9.</w:t>
      </w:r>
      <w:r w:rsidR="008A4896">
        <w:t>4</w:t>
      </w:r>
      <w:r>
        <w:t>.</w:t>
      </w:r>
      <w:r w:rsidR="00A72995">
        <w:t>3</w:t>
      </w:r>
      <w:r>
        <w:t xml:space="preserve"> Through-out the User Acceptance Testing (UAT) phase of the Project, </w:t>
      </w:r>
      <w:r w:rsidR="006875A7">
        <w:t>perceived staffing challenges compromised departments ability</w:t>
      </w:r>
      <w:r w:rsidRPr="002824FB">
        <w:t xml:space="preserve"> to release appropriate staff from regular work activity to engage in time specific Project activity</w:t>
      </w:r>
      <w:r>
        <w:t>. This resulted in the Project Team picking up the slack and this affected their own work.</w:t>
      </w:r>
    </w:p>
    <w:p w14:paraId="186BB756" w14:textId="5CF631E3" w:rsidR="002824FB" w:rsidRDefault="002824FB" w:rsidP="002E7666">
      <w:pPr>
        <w:pStyle w:val="NoSpacing"/>
      </w:pPr>
    </w:p>
    <w:p w14:paraId="61C018F2" w14:textId="77777777" w:rsidR="002824FB" w:rsidRDefault="002824FB" w:rsidP="002824FB">
      <w:pPr>
        <w:pStyle w:val="NoSpacing"/>
      </w:pPr>
      <w:r>
        <w:rPr>
          <w:u w:val="single"/>
        </w:rPr>
        <w:t>Recommendation</w:t>
      </w:r>
    </w:p>
    <w:p w14:paraId="360AA74A" w14:textId="36CBF4F4" w:rsidR="002824FB" w:rsidRDefault="002824FB" w:rsidP="008A4896">
      <w:pPr>
        <w:pStyle w:val="NoSpacing"/>
        <w:numPr>
          <w:ilvl w:val="0"/>
          <w:numId w:val="3"/>
        </w:numPr>
      </w:pPr>
      <w:r>
        <w:t>The Service should consider how UAT activities are resourced, ensuring there is a commitment to meet agreed timelines. It may be prudent to plan for this during the Delivery Phase of the Project through temporary contract resources.</w:t>
      </w:r>
    </w:p>
    <w:p w14:paraId="26DF964E" w14:textId="77777777" w:rsidR="002824FB" w:rsidRDefault="002824FB" w:rsidP="002E7666">
      <w:pPr>
        <w:pStyle w:val="NoSpacing"/>
      </w:pPr>
    </w:p>
    <w:p w14:paraId="4E591927" w14:textId="36D5C788" w:rsidR="002824FB" w:rsidRDefault="002824FB" w:rsidP="00A72995">
      <w:pPr>
        <w:pStyle w:val="NoSpacing"/>
      </w:pPr>
      <w:r>
        <w:t>9.</w:t>
      </w:r>
      <w:r w:rsidR="008A4896">
        <w:t>4</w:t>
      </w:r>
      <w:r>
        <w:t>.</w:t>
      </w:r>
      <w:r w:rsidR="00A72995">
        <w:t>4</w:t>
      </w:r>
      <w:r w:rsidRPr="002824FB">
        <w:t xml:space="preserve"> </w:t>
      </w:r>
      <w:r>
        <w:t>Challenges ar</w:t>
      </w:r>
      <w:r w:rsidR="001C1F61">
        <w:t>ose</w:t>
      </w:r>
      <w:r>
        <w:t xml:space="preserve"> during the Project where </w:t>
      </w:r>
      <w:r w:rsidR="001C1F61">
        <w:t xml:space="preserve">a </w:t>
      </w:r>
      <w:r w:rsidRPr="002824FB">
        <w:t xml:space="preserve">single point of dependency within </w:t>
      </w:r>
      <w:r w:rsidR="001C1F61">
        <w:t xml:space="preserve">Learning &amp; Development </w:t>
      </w:r>
      <w:r w:rsidR="006875A7">
        <w:t xml:space="preserve">Dept. </w:t>
      </w:r>
      <w:r>
        <w:t>occurred</w:t>
      </w:r>
      <w:r w:rsidRPr="002824FB">
        <w:t>.</w:t>
      </w:r>
      <w:r w:rsidR="001C1F61">
        <w:t xml:space="preserve"> The </w:t>
      </w:r>
      <w:r w:rsidR="001C1F61" w:rsidRPr="001C1F61">
        <w:t>resource provide</w:t>
      </w:r>
      <w:r w:rsidR="001C1F61">
        <w:t>d</w:t>
      </w:r>
      <w:r w:rsidR="001C1F61" w:rsidRPr="001C1F61">
        <w:t xml:space="preserve"> training delivery and data migration material</w:t>
      </w:r>
      <w:r w:rsidR="00A72995">
        <w:t>,</w:t>
      </w:r>
      <w:r w:rsidR="001C1F61">
        <w:t xml:space="preserve"> and </w:t>
      </w:r>
      <w:r w:rsidR="001C1F61" w:rsidRPr="001C1F61">
        <w:t>despite concerns raised throughout the last 9 months prior to go live</w:t>
      </w:r>
      <w:r w:rsidR="00A72995">
        <w:t xml:space="preserve"> that this would result</w:t>
      </w:r>
      <w:r w:rsidR="001C1F61">
        <w:t xml:space="preserve"> in </w:t>
      </w:r>
      <w:r w:rsidR="00A72995">
        <w:t xml:space="preserve">a </w:t>
      </w:r>
      <w:r w:rsidR="001C1F61">
        <w:t>lack of knowledge within the wider team</w:t>
      </w:r>
      <w:r w:rsidR="00A72995">
        <w:t>,</w:t>
      </w:r>
      <w:r w:rsidR="001C1F61">
        <w:t xml:space="preserve"> </w:t>
      </w:r>
      <w:r w:rsidR="00A72995">
        <w:t>the</w:t>
      </w:r>
      <w:r w:rsidR="001C1F61">
        <w:t xml:space="preserve"> risk becom</w:t>
      </w:r>
      <w:r w:rsidR="00A72995">
        <w:t>e</w:t>
      </w:r>
      <w:r w:rsidR="001C1F61">
        <w:t xml:space="preserve"> an issue when the single point of dependency left the Service, with minimal knowledge transfer taking place. This caused undue pressure and stress on the remaining members of the team post go live.</w:t>
      </w:r>
    </w:p>
    <w:p w14:paraId="426F0F11" w14:textId="69914589" w:rsidR="00A72995" w:rsidRDefault="00A72995" w:rsidP="00A72995">
      <w:pPr>
        <w:pStyle w:val="NoSpacing"/>
      </w:pPr>
    </w:p>
    <w:p w14:paraId="05257EAD" w14:textId="6D5D80A0" w:rsidR="00A72995" w:rsidRDefault="00A72995" w:rsidP="00A72995">
      <w:pPr>
        <w:pStyle w:val="NoSpacing"/>
      </w:pPr>
      <w:r>
        <w:t>9.</w:t>
      </w:r>
      <w:r w:rsidR="008A4896">
        <w:t>4</w:t>
      </w:r>
      <w:r>
        <w:t xml:space="preserve">.5 </w:t>
      </w:r>
      <w:r w:rsidRPr="00A72995">
        <w:t>Increased engagement from our Payroll team during UAT and dual running would have reduced the extent of confidence and educational issues that arose, which had a high impact during our first two months of pay processing.</w:t>
      </w:r>
    </w:p>
    <w:p w14:paraId="1742E844" w14:textId="76F6CDCA" w:rsidR="002824FB" w:rsidRDefault="002824FB" w:rsidP="002E7666">
      <w:pPr>
        <w:pStyle w:val="NoSpacing"/>
      </w:pPr>
    </w:p>
    <w:p w14:paraId="7541A70E" w14:textId="278CBB49" w:rsidR="001C1F61" w:rsidRDefault="001C1F61" w:rsidP="002E7666">
      <w:pPr>
        <w:pStyle w:val="NoSpacing"/>
      </w:pPr>
      <w:r>
        <w:rPr>
          <w:u w:val="single"/>
        </w:rPr>
        <w:t>Recommendation</w:t>
      </w:r>
    </w:p>
    <w:p w14:paraId="73374070" w14:textId="3503DFBA" w:rsidR="002824FB" w:rsidRDefault="001C1F61" w:rsidP="008A4896">
      <w:pPr>
        <w:pStyle w:val="NoSpacing"/>
        <w:numPr>
          <w:ilvl w:val="0"/>
          <w:numId w:val="4"/>
        </w:numPr>
      </w:pPr>
      <w:r>
        <w:t xml:space="preserve">Future Programmes and Project </w:t>
      </w:r>
      <w:r w:rsidR="006875A7">
        <w:t>should</w:t>
      </w:r>
      <w:r>
        <w:t xml:space="preserve"> ensure </w:t>
      </w:r>
      <w:r w:rsidR="006875A7">
        <w:t xml:space="preserve">wherever possible, </w:t>
      </w:r>
      <w:r>
        <w:t>a minimum of two resources are available for any team specific training and knowledge transfer, and this must be supported and planned by the Manager of the team. This reduces the risk if a team member leaves and enables a more effective process for internal knowledge sharing.</w:t>
      </w:r>
    </w:p>
    <w:p w14:paraId="5EE61B08" w14:textId="77777777" w:rsidR="002824FB" w:rsidRDefault="002824FB" w:rsidP="002E7666">
      <w:pPr>
        <w:pStyle w:val="NoSpacing"/>
      </w:pPr>
    </w:p>
    <w:p w14:paraId="5E1EC7C1" w14:textId="2E01ED92" w:rsidR="00846525" w:rsidRDefault="00846525" w:rsidP="00846525">
      <w:pPr>
        <w:pStyle w:val="Heading2"/>
      </w:pPr>
      <w:bookmarkStart w:id="22" w:name="_Toc5802608"/>
      <w:r>
        <w:t>9.</w:t>
      </w:r>
      <w:r w:rsidR="008A4896">
        <w:t>5</w:t>
      </w:r>
      <w:r>
        <w:t xml:space="preserve"> Communications &amp; Engagement</w:t>
      </w:r>
      <w:bookmarkEnd w:id="22"/>
    </w:p>
    <w:p w14:paraId="5C5D36BD" w14:textId="77777777" w:rsidR="00846525" w:rsidRDefault="00846525" w:rsidP="002E7666">
      <w:pPr>
        <w:pStyle w:val="NoSpacing"/>
      </w:pPr>
    </w:p>
    <w:p w14:paraId="33719CE3" w14:textId="52CD3DB1" w:rsidR="00BA7E76" w:rsidRDefault="00846525" w:rsidP="002E7666">
      <w:pPr>
        <w:pStyle w:val="NoSpacing"/>
      </w:pPr>
      <w:r>
        <w:t>9.</w:t>
      </w:r>
      <w:r w:rsidR="008A4896">
        <w:t>5</w:t>
      </w:r>
      <w:r>
        <w:t>.1 The Project</w:t>
      </w:r>
      <w:r w:rsidR="0024783C">
        <w:t xml:space="preserve"> implemented an effective communications plan, working closely with the Marketing &amp; Communications Team.</w:t>
      </w:r>
    </w:p>
    <w:p w14:paraId="7F2CB11F" w14:textId="20E7B2BE" w:rsidR="002824FB" w:rsidRDefault="002824FB" w:rsidP="002E7666">
      <w:pPr>
        <w:pStyle w:val="NoSpacing"/>
      </w:pPr>
    </w:p>
    <w:p w14:paraId="73C0D440" w14:textId="2A6A247B" w:rsidR="002824FB" w:rsidRDefault="002824FB" w:rsidP="002E7666">
      <w:pPr>
        <w:pStyle w:val="NoSpacing"/>
      </w:pPr>
      <w:r>
        <w:t>9.</w:t>
      </w:r>
      <w:r w:rsidR="008A4896">
        <w:t>5</w:t>
      </w:r>
      <w:r>
        <w:t>.2 There were challenges post go live in relation to the completion and authorisation of On-Call timesheets, and d</w:t>
      </w:r>
      <w:r w:rsidRPr="002824FB">
        <w:t xml:space="preserve">espite </w:t>
      </w:r>
      <w:r>
        <w:t xml:space="preserve">some </w:t>
      </w:r>
      <w:r w:rsidRPr="002824FB">
        <w:t xml:space="preserve">negative feedback about the amount of communications relating </w:t>
      </w:r>
      <w:r>
        <w:t>this</w:t>
      </w:r>
      <w:r w:rsidRPr="002824FB">
        <w:t xml:space="preserve">, </w:t>
      </w:r>
      <w:r>
        <w:t xml:space="preserve">adherence to </w:t>
      </w:r>
      <w:r w:rsidRPr="002824FB">
        <w:t xml:space="preserve">the processes improved and by the third ‘Civica only’ pay-run, staff pay enquiries had reduced </w:t>
      </w:r>
      <w:r w:rsidR="003070BF" w:rsidRPr="002824FB">
        <w:t>significantly</w:t>
      </w:r>
      <w:r w:rsidRPr="002824FB">
        <w:t>.</w:t>
      </w:r>
    </w:p>
    <w:p w14:paraId="786B60DF" w14:textId="14CB9123" w:rsidR="00A72995" w:rsidRDefault="00A72995" w:rsidP="002E7666">
      <w:pPr>
        <w:pStyle w:val="NoSpacing"/>
      </w:pPr>
    </w:p>
    <w:p w14:paraId="76053908" w14:textId="77777777" w:rsidR="00A72995" w:rsidRPr="00A72995" w:rsidRDefault="00A72995" w:rsidP="00A72995">
      <w:pPr>
        <w:pStyle w:val="NoSpacing"/>
        <w:rPr>
          <w:u w:val="single"/>
        </w:rPr>
      </w:pPr>
      <w:r>
        <w:rPr>
          <w:u w:val="single"/>
        </w:rPr>
        <w:t>Recommendation</w:t>
      </w:r>
    </w:p>
    <w:p w14:paraId="608BB61E" w14:textId="71C492E8" w:rsidR="00A72995" w:rsidRDefault="00A72995" w:rsidP="008A4896">
      <w:pPr>
        <w:pStyle w:val="NoSpacing"/>
        <w:numPr>
          <w:ilvl w:val="0"/>
          <w:numId w:val="4"/>
        </w:numPr>
      </w:pPr>
      <w:r>
        <w:t xml:space="preserve">A pragmatic approach taken when communicating to Operational staff, with </w:t>
      </w:r>
      <w:r w:rsidR="006875A7">
        <w:t xml:space="preserve">the PP&amp;R Management Structure </w:t>
      </w:r>
      <w:r>
        <w:t>leading where possible and appropriate.</w:t>
      </w:r>
    </w:p>
    <w:p w14:paraId="116EDEBA" w14:textId="77777777" w:rsidR="00A72995" w:rsidRDefault="00A72995" w:rsidP="002E7666">
      <w:pPr>
        <w:pStyle w:val="NoSpacing"/>
      </w:pPr>
    </w:p>
    <w:p w14:paraId="6C4302D8" w14:textId="51E8AA44" w:rsidR="00A72995" w:rsidRDefault="00A72995" w:rsidP="002E7666">
      <w:pPr>
        <w:pStyle w:val="NoSpacing"/>
      </w:pPr>
      <w:r>
        <w:t>9.</w:t>
      </w:r>
      <w:r w:rsidR="008A4896">
        <w:t>5</w:t>
      </w:r>
      <w:r>
        <w:t xml:space="preserve">.3 </w:t>
      </w:r>
      <w:r w:rsidRPr="00A72995">
        <w:t>Historical ‘Over promising’ in terms of Project delivery</w:t>
      </w:r>
      <w:r>
        <w:t xml:space="preserve"> </w:t>
      </w:r>
      <w:r w:rsidRPr="00A72995">
        <w:t xml:space="preserve">led to a reoccurring dependency throughout the Service that “Civica will sort it out”. </w:t>
      </w:r>
    </w:p>
    <w:p w14:paraId="469B8853" w14:textId="77777777" w:rsidR="00A72995" w:rsidRDefault="00A72995" w:rsidP="002E7666">
      <w:pPr>
        <w:pStyle w:val="NoSpacing"/>
      </w:pPr>
    </w:p>
    <w:p w14:paraId="756840DB" w14:textId="13E23400" w:rsidR="00A72995" w:rsidRPr="00A72995" w:rsidRDefault="00A72995" w:rsidP="002E7666">
      <w:pPr>
        <w:pStyle w:val="NoSpacing"/>
        <w:rPr>
          <w:u w:val="single"/>
        </w:rPr>
      </w:pPr>
      <w:r>
        <w:rPr>
          <w:u w:val="single"/>
        </w:rPr>
        <w:t>Recommendation</w:t>
      </w:r>
    </w:p>
    <w:p w14:paraId="6EAD2999" w14:textId="75B631A0" w:rsidR="00A72995" w:rsidRDefault="00A72995" w:rsidP="008A4896">
      <w:pPr>
        <w:pStyle w:val="NoSpacing"/>
        <w:numPr>
          <w:ilvl w:val="0"/>
          <w:numId w:val="4"/>
        </w:numPr>
      </w:pPr>
      <w:r>
        <w:t>I</w:t>
      </w:r>
      <w:r w:rsidRPr="00A72995">
        <w:t>mproved expectation management and greater involvement from End Users in the development of system specifications</w:t>
      </w:r>
      <w:r>
        <w:t xml:space="preserve"> would</w:t>
      </w:r>
      <w:r w:rsidRPr="00A72995">
        <w:t xml:space="preserve"> mitigate</w:t>
      </w:r>
      <w:r>
        <w:t xml:space="preserve"> this</w:t>
      </w:r>
      <w:r w:rsidRPr="00A72995">
        <w:t xml:space="preserve">, </w:t>
      </w:r>
      <w:r w:rsidR="006875A7">
        <w:t xml:space="preserve">either </w:t>
      </w:r>
      <w:r w:rsidRPr="00A72995">
        <w:t>wholly or in p</w:t>
      </w:r>
      <w:r>
        <w:t>art.</w:t>
      </w:r>
    </w:p>
    <w:p w14:paraId="597D622A" w14:textId="45D47B0D" w:rsidR="009D2DF7" w:rsidRDefault="009D2DF7" w:rsidP="002E7666">
      <w:pPr>
        <w:pStyle w:val="NoSpacing"/>
      </w:pPr>
    </w:p>
    <w:p w14:paraId="5897C101" w14:textId="4F46D0C0" w:rsidR="00174DF7" w:rsidRDefault="00A72995" w:rsidP="002E7666">
      <w:pPr>
        <w:pStyle w:val="NoSpacing"/>
      </w:pPr>
      <w:r>
        <w:t>9.</w:t>
      </w:r>
      <w:r w:rsidR="008A4896">
        <w:t>5</w:t>
      </w:r>
      <w:r>
        <w:t>.4 The Service should give</w:t>
      </w:r>
      <w:r w:rsidRPr="00A72995">
        <w:t xml:space="preserve"> recognition </w:t>
      </w:r>
      <w:r>
        <w:t>to</w:t>
      </w:r>
      <w:r w:rsidRPr="00A72995">
        <w:t xml:space="preserve"> post go live perception </w:t>
      </w:r>
      <w:r>
        <w:t>against</w:t>
      </w:r>
      <w:r w:rsidRPr="00A72995">
        <w:t xml:space="preserve"> the true state of play. In a large proportion of cases, challenges perceived as system issues actually had a root cause in end users not following the documented processes. This misunderstanding gave rise to a rippling negative effect and a reduction in confidence in the solution.</w:t>
      </w:r>
    </w:p>
    <w:p w14:paraId="6B6653F2" w14:textId="77777777" w:rsidR="00A72995" w:rsidRDefault="00A72995" w:rsidP="002E7666">
      <w:pPr>
        <w:pStyle w:val="NoSpacing"/>
      </w:pPr>
    </w:p>
    <w:p w14:paraId="4A07B2BD" w14:textId="77777777" w:rsidR="00D3620A" w:rsidRDefault="00D3620A" w:rsidP="00A72995">
      <w:pPr>
        <w:pStyle w:val="NoSpacing"/>
        <w:rPr>
          <w:u w:val="single"/>
        </w:rPr>
      </w:pPr>
    </w:p>
    <w:p w14:paraId="15845B45" w14:textId="750488F9" w:rsidR="00A72995" w:rsidRPr="00A72995" w:rsidRDefault="00A72995" w:rsidP="00A72995">
      <w:pPr>
        <w:pStyle w:val="NoSpacing"/>
        <w:rPr>
          <w:u w:val="single"/>
        </w:rPr>
      </w:pPr>
      <w:r>
        <w:rPr>
          <w:u w:val="single"/>
        </w:rPr>
        <w:t>Recommendation</w:t>
      </w:r>
    </w:p>
    <w:p w14:paraId="11AE351E" w14:textId="7C3483C0" w:rsidR="00A72995" w:rsidRDefault="002810F0" w:rsidP="008A4896">
      <w:pPr>
        <w:pStyle w:val="NoSpacing"/>
        <w:numPr>
          <w:ilvl w:val="0"/>
          <w:numId w:val="4"/>
        </w:numPr>
      </w:pPr>
      <w:r>
        <w:t>The Service takes a more considered approach when addressing perceived issues and, unless it is clearly the case, not suggest that there are/were issues with the solution where no issue exists.</w:t>
      </w:r>
    </w:p>
    <w:p w14:paraId="63388B93" w14:textId="7252BADB" w:rsidR="00A72995" w:rsidRDefault="00A72995" w:rsidP="00A72995">
      <w:pPr>
        <w:pStyle w:val="NoSpacing"/>
      </w:pPr>
    </w:p>
    <w:p w14:paraId="6AD76AA7" w14:textId="35FFAB8E" w:rsidR="00CA520E" w:rsidRDefault="00CA520E" w:rsidP="00A72995">
      <w:pPr>
        <w:pStyle w:val="NoSpacing"/>
      </w:pPr>
      <w:r>
        <w:t>9.</w:t>
      </w:r>
      <w:r w:rsidR="008A4896">
        <w:t>5</w:t>
      </w:r>
      <w:r>
        <w:t xml:space="preserve">.5 </w:t>
      </w:r>
      <w:r w:rsidRPr="00CA520E">
        <w:t>The team underestimated the adversity to change throughout a proportion of the Service</w:t>
      </w:r>
      <w:r>
        <w:t>.</w:t>
      </w:r>
    </w:p>
    <w:p w14:paraId="47279D71" w14:textId="77777777" w:rsidR="00CA520E" w:rsidRDefault="00CA520E" w:rsidP="00CA520E">
      <w:pPr>
        <w:pStyle w:val="NoSpacing"/>
      </w:pPr>
    </w:p>
    <w:p w14:paraId="3B7EFC9A" w14:textId="77777777" w:rsidR="00CA520E" w:rsidRDefault="00CA520E" w:rsidP="00CA520E">
      <w:pPr>
        <w:pStyle w:val="NoSpacing"/>
        <w:rPr>
          <w:u w:val="single"/>
        </w:rPr>
      </w:pPr>
      <w:r>
        <w:rPr>
          <w:u w:val="single"/>
        </w:rPr>
        <w:t>Recommendation</w:t>
      </w:r>
    </w:p>
    <w:p w14:paraId="54E3821A" w14:textId="6BA0753A" w:rsidR="00CA520E" w:rsidRDefault="00CA520E" w:rsidP="008A4896">
      <w:pPr>
        <w:pStyle w:val="NoSpacing"/>
        <w:numPr>
          <w:ilvl w:val="0"/>
          <w:numId w:val="4"/>
        </w:numPr>
      </w:pPr>
      <w:r>
        <w:t>Ensure s</w:t>
      </w:r>
      <w:r w:rsidRPr="00CA520E">
        <w:t>ufficient resource allocated to communications and stakeholder management.</w:t>
      </w:r>
    </w:p>
    <w:p w14:paraId="4638EC34" w14:textId="51D6B14D" w:rsidR="002810F0" w:rsidRPr="00D3620A" w:rsidRDefault="002810F0" w:rsidP="00D3620A">
      <w:pPr>
        <w:pStyle w:val="NoSpacing"/>
      </w:pPr>
    </w:p>
    <w:p w14:paraId="2A040C24" w14:textId="7E449BCA" w:rsidR="00D3620A" w:rsidRPr="00D3620A" w:rsidRDefault="00D3620A" w:rsidP="00D3620A">
      <w:pPr>
        <w:pStyle w:val="NoSpacing"/>
      </w:pPr>
      <w:r w:rsidRPr="00BD6657">
        <w:t>9.5.6 Upon approval of this Project Closure Report, the Project will issue further communications, detailing the ongoing governance as noted in 9.8.3, and that all outstanding issues are with the relevant areas. The Service notes that closure of the Project does not state that all outstanding activities are complete.</w:t>
      </w:r>
    </w:p>
    <w:p w14:paraId="79D576DD" w14:textId="77777777" w:rsidR="00D3620A" w:rsidRPr="00D3620A" w:rsidRDefault="00D3620A" w:rsidP="00D3620A">
      <w:pPr>
        <w:pStyle w:val="NoSpacing"/>
      </w:pPr>
    </w:p>
    <w:p w14:paraId="3F0561BA" w14:textId="7034B5B7" w:rsidR="002810F0" w:rsidRDefault="002810F0" w:rsidP="002810F0">
      <w:pPr>
        <w:pStyle w:val="Heading2"/>
      </w:pPr>
      <w:bookmarkStart w:id="23" w:name="_Toc5802609"/>
      <w:r>
        <w:t>9.</w:t>
      </w:r>
      <w:r w:rsidR="008A4896">
        <w:t>6</w:t>
      </w:r>
      <w:r>
        <w:t xml:space="preserve"> Training</w:t>
      </w:r>
      <w:bookmarkEnd w:id="23"/>
    </w:p>
    <w:p w14:paraId="418C3405" w14:textId="5670A76C" w:rsidR="002810F0" w:rsidRDefault="002810F0" w:rsidP="00A72995">
      <w:pPr>
        <w:pStyle w:val="NoSpacing"/>
      </w:pPr>
    </w:p>
    <w:p w14:paraId="3AD3B0B4" w14:textId="2D21CF78" w:rsidR="002810F0" w:rsidRDefault="002810F0" w:rsidP="00A72995">
      <w:pPr>
        <w:pStyle w:val="NoSpacing"/>
      </w:pPr>
      <w:r>
        <w:t>9.</w:t>
      </w:r>
      <w:r w:rsidR="008A4896">
        <w:t>6</w:t>
      </w:r>
      <w:r>
        <w:t>.1 The Project delivered a robust set of lesson plans and supporting video training materials. These have, in the main, reduced</w:t>
      </w:r>
      <w:r w:rsidR="00F2285B">
        <w:t xml:space="preserve"> the number of end user queries.</w:t>
      </w:r>
    </w:p>
    <w:p w14:paraId="14E13F5A" w14:textId="441E156B" w:rsidR="00F2285B" w:rsidRDefault="00F2285B" w:rsidP="00A72995">
      <w:pPr>
        <w:pStyle w:val="NoSpacing"/>
      </w:pPr>
    </w:p>
    <w:p w14:paraId="51287F37" w14:textId="390C5693" w:rsidR="00F2285B" w:rsidRPr="00BD6657" w:rsidRDefault="00F2285B" w:rsidP="00A72995">
      <w:pPr>
        <w:pStyle w:val="NoSpacing"/>
      </w:pPr>
      <w:r w:rsidRPr="00BD6657">
        <w:t>9.</w:t>
      </w:r>
      <w:r w:rsidR="008A4896" w:rsidRPr="00BD6657">
        <w:t>6</w:t>
      </w:r>
      <w:r w:rsidRPr="00BD6657">
        <w:t xml:space="preserve">.2 Training could </w:t>
      </w:r>
      <w:r w:rsidR="00D3620A" w:rsidRPr="00BD6657">
        <w:t xml:space="preserve">be </w:t>
      </w:r>
      <w:r w:rsidRPr="00BD6657">
        <w:t xml:space="preserve">more productive if delivered closer to go live. In addition, experience has highlighted that </w:t>
      </w:r>
      <w:r w:rsidR="00B31DF2" w:rsidRPr="00BD6657">
        <w:t>certain areas</w:t>
      </w:r>
      <w:r w:rsidRPr="00BD6657">
        <w:t xml:space="preserve"> respond better </w:t>
      </w:r>
      <w:r w:rsidR="00B31DF2" w:rsidRPr="00BD6657">
        <w:t>with a</w:t>
      </w:r>
      <w:r w:rsidRPr="00BD6657">
        <w:t xml:space="preserve"> train the trainer</w:t>
      </w:r>
      <w:r w:rsidR="00B31DF2" w:rsidRPr="00BD6657">
        <w:t xml:space="preserve"> approach</w:t>
      </w:r>
      <w:r w:rsidRPr="00BD6657">
        <w:t>, or have training champions</w:t>
      </w:r>
      <w:r w:rsidR="00D3620A" w:rsidRPr="00BD6657">
        <w:t xml:space="preserve"> in place</w:t>
      </w:r>
      <w:r w:rsidRPr="00BD6657">
        <w:t xml:space="preserve"> for future rollouts of this magnitude.</w:t>
      </w:r>
    </w:p>
    <w:p w14:paraId="08EB23BA" w14:textId="20857C0C" w:rsidR="00F2285B" w:rsidRPr="00BD6657" w:rsidRDefault="00F2285B" w:rsidP="00A72995">
      <w:pPr>
        <w:pStyle w:val="NoSpacing"/>
      </w:pPr>
    </w:p>
    <w:p w14:paraId="3BF4A0D1" w14:textId="7EE74171" w:rsidR="00F2285B" w:rsidRPr="00BD6657" w:rsidRDefault="00F2285B" w:rsidP="00A72995">
      <w:pPr>
        <w:pStyle w:val="NoSpacing"/>
      </w:pPr>
      <w:r w:rsidRPr="00BD6657">
        <w:rPr>
          <w:u w:val="single"/>
        </w:rPr>
        <w:t>Recommendation</w:t>
      </w:r>
    </w:p>
    <w:p w14:paraId="08C67DF2" w14:textId="5A2FDA85" w:rsidR="00F2285B" w:rsidRPr="00BD6657" w:rsidRDefault="00F2285B" w:rsidP="008A4896">
      <w:pPr>
        <w:pStyle w:val="NoSpacing"/>
        <w:numPr>
          <w:ilvl w:val="0"/>
          <w:numId w:val="4"/>
        </w:numPr>
      </w:pPr>
      <w:r w:rsidRPr="00BD6657">
        <w:t xml:space="preserve">Projects </w:t>
      </w:r>
      <w:r w:rsidR="00B31DF2" w:rsidRPr="00BD6657">
        <w:t xml:space="preserve">to </w:t>
      </w:r>
      <w:r w:rsidRPr="00BD6657">
        <w:t>consider utilising external training resources to deliver to a wider group closer to the go live date.</w:t>
      </w:r>
    </w:p>
    <w:p w14:paraId="00D88EB8" w14:textId="7B96EF4F" w:rsidR="00F2285B" w:rsidRPr="001F3710" w:rsidRDefault="00F2285B" w:rsidP="008A4896">
      <w:pPr>
        <w:pStyle w:val="NoSpacing"/>
        <w:numPr>
          <w:ilvl w:val="0"/>
          <w:numId w:val="4"/>
        </w:numPr>
      </w:pPr>
      <w:r w:rsidRPr="001F3710">
        <w:t>Utilise solution “Champions” more effectively.</w:t>
      </w:r>
    </w:p>
    <w:p w14:paraId="68F4453C" w14:textId="6A61F381" w:rsidR="00F2285B" w:rsidRPr="001F3710" w:rsidRDefault="00F2285B" w:rsidP="008A4896">
      <w:pPr>
        <w:pStyle w:val="NoSpacing"/>
        <w:numPr>
          <w:ilvl w:val="0"/>
          <w:numId w:val="4"/>
        </w:numPr>
      </w:pPr>
      <w:r w:rsidRPr="001F3710">
        <w:t>Produce robust lesson plans and training videos to compliment face-to-face training to reduce post go live support queries.</w:t>
      </w:r>
    </w:p>
    <w:p w14:paraId="4AC77D32" w14:textId="7A74D421" w:rsidR="00F2285B" w:rsidRDefault="00F2285B" w:rsidP="00F2285B">
      <w:pPr>
        <w:pStyle w:val="NoSpacing"/>
      </w:pPr>
    </w:p>
    <w:p w14:paraId="6EFAFDD5" w14:textId="719AFEDD" w:rsidR="00261489" w:rsidRDefault="00261489" w:rsidP="00261489">
      <w:pPr>
        <w:pStyle w:val="Heading2"/>
      </w:pPr>
      <w:bookmarkStart w:id="24" w:name="_Toc5802610"/>
      <w:r>
        <w:t>9.7 Internal Development</w:t>
      </w:r>
      <w:bookmarkEnd w:id="24"/>
    </w:p>
    <w:p w14:paraId="623057D3" w14:textId="5C133093" w:rsidR="00261489" w:rsidRDefault="00261489" w:rsidP="00F2285B">
      <w:pPr>
        <w:pStyle w:val="NoSpacing"/>
      </w:pPr>
    </w:p>
    <w:p w14:paraId="673B66F8" w14:textId="0768C3C4" w:rsidR="00261489" w:rsidRDefault="00261489" w:rsidP="00F2285B">
      <w:pPr>
        <w:pStyle w:val="NoSpacing"/>
      </w:pPr>
      <w:r>
        <w:t xml:space="preserve">9.7.1 To ensure that SAP could be successfully </w:t>
      </w:r>
      <w:r w:rsidR="006875A7">
        <w:t>decommissioned</w:t>
      </w:r>
      <w:r>
        <w:t xml:space="preserve">, the new solution had to integrate with the Electronic Rota Book (ERB). The Project took the innovative approach of using an existing internal resource, </w:t>
      </w:r>
      <w:r w:rsidR="006875A7">
        <w:t>with</w:t>
      </w:r>
      <w:r>
        <w:t xml:space="preserve"> the right skills to </w:t>
      </w:r>
      <w:r w:rsidR="006875A7">
        <w:t>undertake</w:t>
      </w:r>
      <w:r>
        <w:t xml:space="preserve"> the integration work.</w:t>
      </w:r>
    </w:p>
    <w:p w14:paraId="60339387" w14:textId="64770169" w:rsidR="00261489" w:rsidRDefault="00261489" w:rsidP="00F2285B">
      <w:pPr>
        <w:pStyle w:val="NoSpacing"/>
      </w:pPr>
    </w:p>
    <w:p w14:paraId="447E0C16" w14:textId="6B2A5306" w:rsidR="00261489" w:rsidRDefault="00261489" w:rsidP="00F2285B">
      <w:pPr>
        <w:pStyle w:val="NoSpacing"/>
      </w:pPr>
      <w:r>
        <w:t>9.7.2 The same internal development resource also redeveloped the ERB SMS module, removing the Service’s reliance on the SAP infrastructure, which previously performed this function.</w:t>
      </w:r>
    </w:p>
    <w:p w14:paraId="51C00690" w14:textId="76441976" w:rsidR="00261489" w:rsidRDefault="00261489" w:rsidP="00F2285B">
      <w:pPr>
        <w:pStyle w:val="NoSpacing"/>
      </w:pPr>
    </w:p>
    <w:p w14:paraId="2D91AAE5" w14:textId="795F96FB" w:rsidR="00261489" w:rsidRDefault="00261489" w:rsidP="00F2285B">
      <w:pPr>
        <w:pStyle w:val="NoSpacing"/>
      </w:pPr>
      <w:r>
        <w:t>9.7.3 The interface between Civica and ERB has processed in excess of 40,000 changes since go live, with the ERB SMS module processing over 50,000 text messages.</w:t>
      </w:r>
    </w:p>
    <w:p w14:paraId="6330153D" w14:textId="5BBA7274" w:rsidR="00261489" w:rsidRDefault="00261489" w:rsidP="00F2285B">
      <w:pPr>
        <w:pStyle w:val="NoSpacing"/>
      </w:pPr>
    </w:p>
    <w:p w14:paraId="1AC5AA1A" w14:textId="43DA294C" w:rsidR="00261489" w:rsidRDefault="00261489" w:rsidP="00F2285B">
      <w:pPr>
        <w:pStyle w:val="NoSpacing"/>
      </w:pPr>
      <w:r>
        <w:t xml:space="preserve">9.7.4 Taking this approach has saved the Service from relying on external partner suppliers to manage and maintain the solution. </w:t>
      </w:r>
      <w:r w:rsidR="006875A7">
        <w:t>It has also helped facilitate k</w:t>
      </w:r>
      <w:r>
        <w:t>nowledge sharing with other technical resources within the Service.</w:t>
      </w:r>
    </w:p>
    <w:p w14:paraId="33AD1A8A" w14:textId="523928B5" w:rsidR="00261489" w:rsidRDefault="00261489" w:rsidP="00F2285B">
      <w:pPr>
        <w:pStyle w:val="NoSpacing"/>
      </w:pPr>
    </w:p>
    <w:p w14:paraId="75DB7E4B" w14:textId="7733A152" w:rsidR="00261489" w:rsidRDefault="00261489" w:rsidP="00F2285B">
      <w:pPr>
        <w:pStyle w:val="NoSpacing"/>
      </w:pPr>
      <w:r>
        <w:rPr>
          <w:u w:val="single"/>
        </w:rPr>
        <w:t>Recommendation</w:t>
      </w:r>
    </w:p>
    <w:p w14:paraId="12C0BDDA" w14:textId="29395BFD" w:rsidR="00261489" w:rsidRDefault="00261489" w:rsidP="00F2285B">
      <w:pPr>
        <w:pStyle w:val="NoSpacing"/>
        <w:numPr>
          <w:ilvl w:val="0"/>
          <w:numId w:val="5"/>
        </w:numPr>
      </w:pPr>
      <w:r>
        <w:t xml:space="preserve">Using internal development resources has proven both successful and cost effective. This approach </w:t>
      </w:r>
      <w:r w:rsidR="003663D3">
        <w:t>is considered for all future technical Projects.</w:t>
      </w:r>
    </w:p>
    <w:p w14:paraId="188AB202" w14:textId="5246A234" w:rsidR="003663D3" w:rsidRDefault="003663D3" w:rsidP="00F2285B">
      <w:pPr>
        <w:pStyle w:val="NoSpacing"/>
        <w:numPr>
          <w:ilvl w:val="0"/>
          <w:numId w:val="5"/>
        </w:numPr>
      </w:pPr>
      <w:r>
        <w:t>Exploit further our existing resources with similar skill sets.</w:t>
      </w:r>
    </w:p>
    <w:p w14:paraId="1EB2A340" w14:textId="346DB88E" w:rsidR="003663D3" w:rsidRDefault="003663D3" w:rsidP="00F2285B">
      <w:pPr>
        <w:pStyle w:val="NoSpacing"/>
        <w:numPr>
          <w:ilvl w:val="0"/>
          <w:numId w:val="5"/>
        </w:numPr>
      </w:pPr>
      <w:r>
        <w:lastRenderedPageBreak/>
        <w:t>Update the Service Digital Strategy to incorporate an internal development approach into the solution delivery process.</w:t>
      </w:r>
    </w:p>
    <w:p w14:paraId="704DECD6" w14:textId="1B622DDD" w:rsidR="003663D3" w:rsidRPr="00261489" w:rsidRDefault="003663D3" w:rsidP="00F2285B">
      <w:pPr>
        <w:pStyle w:val="NoSpacing"/>
        <w:numPr>
          <w:ilvl w:val="0"/>
          <w:numId w:val="5"/>
        </w:numPr>
      </w:pPr>
      <w:r>
        <w:t>Ensure the appropriate tools, technologies and platforms are available to support innovation and future solution delivery.</w:t>
      </w:r>
    </w:p>
    <w:p w14:paraId="5D30EF06" w14:textId="77777777" w:rsidR="00261489" w:rsidRDefault="00261489" w:rsidP="00F2285B">
      <w:pPr>
        <w:pStyle w:val="NoSpacing"/>
      </w:pPr>
    </w:p>
    <w:p w14:paraId="3370E632" w14:textId="05499D08" w:rsidR="00F2285B" w:rsidRDefault="00F2285B" w:rsidP="00F2285B">
      <w:pPr>
        <w:pStyle w:val="Heading2"/>
      </w:pPr>
      <w:bookmarkStart w:id="25" w:name="_Toc5802611"/>
      <w:r>
        <w:t>9.</w:t>
      </w:r>
      <w:r w:rsidR="00261489">
        <w:t>8</w:t>
      </w:r>
      <w:r>
        <w:t xml:space="preserve"> General</w:t>
      </w:r>
      <w:bookmarkEnd w:id="25"/>
    </w:p>
    <w:p w14:paraId="53D15F4B" w14:textId="38316E68" w:rsidR="00F2285B" w:rsidRDefault="00F2285B" w:rsidP="00F2285B">
      <w:pPr>
        <w:pStyle w:val="NoSpacing"/>
      </w:pPr>
    </w:p>
    <w:p w14:paraId="5B656445" w14:textId="4930C3F9" w:rsidR="00F2285B" w:rsidRDefault="00F2285B" w:rsidP="00F2285B">
      <w:pPr>
        <w:pStyle w:val="NoSpacing"/>
      </w:pPr>
      <w:r>
        <w:t>9.</w:t>
      </w:r>
      <w:r w:rsidR="00261489">
        <w:t>8</w:t>
      </w:r>
      <w:r>
        <w:t>.1 The Project developed a robust set of benefits that supported the justification for the Project.</w:t>
      </w:r>
    </w:p>
    <w:p w14:paraId="1BE48756" w14:textId="777535D7" w:rsidR="00F2285B" w:rsidRDefault="00F2285B" w:rsidP="00F2285B">
      <w:pPr>
        <w:pStyle w:val="NoSpacing"/>
      </w:pPr>
    </w:p>
    <w:p w14:paraId="669F623A" w14:textId="3FE3FA3C" w:rsidR="00F2285B" w:rsidRDefault="00F2285B" w:rsidP="00F2285B">
      <w:pPr>
        <w:pStyle w:val="NoSpacing"/>
      </w:pPr>
      <w:r>
        <w:rPr>
          <w:u w:val="single"/>
        </w:rPr>
        <w:t>Recommendation</w:t>
      </w:r>
    </w:p>
    <w:p w14:paraId="7D99BAFF" w14:textId="0B86A842" w:rsidR="00F2285B" w:rsidRDefault="00F2285B" w:rsidP="008A4896">
      <w:pPr>
        <w:pStyle w:val="NoSpacing"/>
        <w:numPr>
          <w:ilvl w:val="0"/>
          <w:numId w:val="5"/>
        </w:numPr>
      </w:pPr>
      <w:r>
        <w:t>The Service defines corporate benefits management processes and deliverables.</w:t>
      </w:r>
    </w:p>
    <w:p w14:paraId="2803A7C4" w14:textId="74EE860E" w:rsidR="00F2285B" w:rsidRDefault="00F2285B" w:rsidP="008A4896">
      <w:pPr>
        <w:pStyle w:val="NoSpacing"/>
        <w:numPr>
          <w:ilvl w:val="0"/>
          <w:numId w:val="5"/>
        </w:numPr>
      </w:pPr>
      <w:r>
        <w:t>Benefit Owners to take a more proactive approach in developing and defining the benefits that affect their business areas.</w:t>
      </w:r>
    </w:p>
    <w:p w14:paraId="705A4E08" w14:textId="0CB3A6B5" w:rsidR="002810F0" w:rsidRDefault="002810F0" w:rsidP="00A72995">
      <w:pPr>
        <w:pStyle w:val="NoSpacing"/>
      </w:pPr>
    </w:p>
    <w:p w14:paraId="630F24F9" w14:textId="2E8F6C1F" w:rsidR="00CA520E" w:rsidRDefault="00CA520E" w:rsidP="00A72995">
      <w:pPr>
        <w:pStyle w:val="NoSpacing"/>
      </w:pPr>
      <w:r>
        <w:t>9.</w:t>
      </w:r>
      <w:r w:rsidR="00261489">
        <w:t>8</w:t>
      </w:r>
      <w:r>
        <w:t xml:space="preserve">.2 </w:t>
      </w:r>
      <w:r w:rsidRPr="00CA520E">
        <w:t>Service departments have not always taken ownership of their data responsibilities</w:t>
      </w:r>
      <w:r>
        <w:t>, ongoing changes and business maintenance</w:t>
      </w:r>
      <w:r w:rsidRPr="00CA520E">
        <w:t>. This will continue to create problems for process, reports and interface connections if unresolved.</w:t>
      </w:r>
    </w:p>
    <w:p w14:paraId="7977B791" w14:textId="5E202D5E" w:rsidR="00CA520E" w:rsidRDefault="00CA520E" w:rsidP="00A72995">
      <w:pPr>
        <w:pStyle w:val="NoSpacing"/>
      </w:pPr>
    </w:p>
    <w:p w14:paraId="13794C23" w14:textId="09048E20" w:rsidR="00CA520E" w:rsidRDefault="00CA520E" w:rsidP="00A72995">
      <w:pPr>
        <w:pStyle w:val="NoSpacing"/>
      </w:pPr>
      <w:r>
        <w:t>9.</w:t>
      </w:r>
      <w:r w:rsidR="00261489">
        <w:t>8</w:t>
      </w:r>
      <w:r>
        <w:t xml:space="preserve">.3 The Project defined and implemented the Civica User Group and temporarily manages this. The group, with representation from each key business area, manages ideas, suggestions, issues and changes. This </w:t>
      </w:r>
      <w:r w:rsidR="006875A7">
        <w:t xml:space="preserve">is </w:t>
      </w:r>
      <w:r>
        <w:t>work</w:t>
      </w:r>
      <w:r w:rsidR="006E708F">
        <w:t>ing</w:t>
      </w:r>
      <w:r>
        <w:t xml:space="preserve"> very well</w:t>
      </w:r>
      <w:r w:rsidR="005D7775">
        <w:t>,</w:t>
      </w:r>
      <w:r>
        <w:t xml:space="preserve"> and ensures a good level of governance for the solution.</w:t>
      </w:r>
    </w:p>
    <w:p w14:paraId="3F64F3AD" w14:textId="2F878975" w:rsidR="00CA520E" w:rsidRDefault="00CA520E" w:rsidP="00A72995">
      <w:pPr>
        <w:pStyle w:val="NoSpacing"/>
      </w:pPr>
    </w:p>
    <w:p w14:paraId="7DB11D73" w14:textId="42D5400B" w:rsidR="00CA520E" w:rsidRPr="00CA520E" w:rsidRDefault="00CA520E" w:rsidP="00A72995">
      <w:pPr>
        <w:pStyle w:val="NoSpacing"/>
        <w:rPr>
          <w:u w:val="single"/>
        </w:rPr>
      </w:pPr>
      <w:r w:rsidRPr="00CA520E">
        <w:rPr>
          <w:u w:val="single"/>
        </w:rPr>
        <w:t>Recommendation</w:t>
      </w:r>
    </w:p>
    <w:p w14:paraId="6498E1B5" w14:textId="0C2DB057" w:rsidR="00A72995" w:rsidRDefault="003070BF" w:rsidP="008A4896">
      <w:pPr>
        <w:pStyle w:val="NoSpacing"/>
        <w:numPr>
          <w:ilvl w:val="0"/>
          <w:numId w:val="6"/>
        </w:numPr>
      </w:pPr>
      <w:r>
        <w:t>Programmes</w:t>
      </w:r>
      <w:r w:rsidR="00CA520E">
        <w:t xml:space="preserve"> and Projects set up the governance and change management processes for the delivered solution.</w:t>
      </w:r>
    </w:p>
    <w:p w14:paraId="3F7ACED1" w14:textId="36AD466C" w:rsidR="00CA520E" w:rsidRDefault="00CA520E" w:rsidP="008A4896">
      <w:pPr>
        <w:pStyle w:val="NoSpacing"/>
        <w:numPr>
          <w:ilvl w:val="0"/>
          <w:numId w:val="6"/>
        </w:numPr>
      </w:pPr>
      <w:r>
        <w:t>The Innovation &amp; Change Team takes ownership for the User Groups, to provide corporate governance and oversight and provide an appropriate channel to the Change Board.</w:t>
      </w:r>
    </w:p>
    <w:p w14:paraId="307379EC" w14:textId="621389C6" w:rsidR="00CA520E" w:rsidRPr="00A72995" w:rsidRDefault="00CA520E" w:rsidP="008A4896">
      <w:pPr>
        <w:pStyle w:val="NoSpacing"/>
        <w:numPr>
          <w:ilvl w:val="0"/>
          <w:numId w:val="6"/>
        </w:numPr>
      </w:pPr>
      <w:r>
        <w:t>System administration roles to sit within Innovation &amp; Change for all appropriate and unowned systems. This, combined with the recommendation above, will support a robust and controlled approach to systems change management, and allow knowledge sharing between administrators.</w:t>
      </w:r>
    </w:p>
    <w:p w14:paraId="22BC37C2" w14:textId="21357430" w:rsidR="007E4C4D" w:rsidRPr="00A72995" w:rsidRDefault="007E4C4D" w:rsidP="00A72995">
      <w:pPr>
        <w:pStyle w:val="NoSpacing"/>
      </w:pPr>
    </w:p>
    <w:p w14:paraId="388E08FD" w14:textId="52F52C95" w:rsidR="00174DF7" w:rsidRDefault="00174DF7" w:rsidP="00174DF7">
      <w:pPr>
        <w:pStyle w:val="Heading1"/>
      </w:pPr>
      <w:bookmarkStart w:id="26" w:name="_Toc5802612"/>
      <w:r>
        <w:t xml:space="preserve">10. </w:t>
      </w:r>
      <w:r w:rsidR="00095010">
        <w:t>O</w:t>
      </w:r>
      <w:r>
        <w:t>u</w:t>
      </w:r>
      <w:r w:rsidR="00B02E37">
        <w:t>t</w:t>
      </w:r>
      <w:r>
        <w:t>standing</w:t>
      </w:r>
      <w:r w:rsidR="00095010">
        <w:t xml:space="preserve"> Activities</w:t>
      </w:r>
      <w:bookmarkEnd w:id="26"/>
    </w:p>
    <w:p w14:paraId="106E9A07" w14:textId="003FDF56" w:rsidR="00174DF7" w:rsidRDefault="00174DF7" w:rsidP="002E7666">
      <w:pPr>
        <w:pStyle w:val="NoSpacing"/>
      </w:pPr>
    </w:p>
    <w:p w14:paraId="3B4AE9E3" w14:textId="211A0DF4" w:rsidR="00B02E37" w:rsidRDefault="00F721CC" w:rsidP="002E7666">
      <w:pPr>
        <w:pStyle w:val="NoSpacing"/>
      </w:pPr>
      <w:r>
        <w:t>A</w:t>
      </w:r>
      <w:r w:rsidR="00E40737">
        <w:t xml:space="preserve"> consequence of the provision of </w:t>
      </w:r>
      <w:r w:rsidR="00B02E37">
        <w:t xml:space="preserve">continued support to HR for Systems Administration and to Payroll since go live, </w:t>
      </w:r>
      <w:r w:rsidR="00E40737">
        <w:t xml:space="preserve">the </w:t>
      </w:r>
      <w:r>
        <w:t xml:space="preserve">Project </w:t>
      </w:r>
      <w:r w:rsidR="00E40737">
        <w:t>team</w:t>
      </w:r>
      <w:r w:rsidR="00B02E37">
        <w:t xml:space="preserve"> have been unable to complete the final lesson pla</w:t>
      </w:r>
      <w:r w:rsidR="00095010">
        <w:t xml:space="preserve">ns for systems administration. </w:t>
      </w:r>
      <w:r w:rsidR="00E40737">
        <w:t>The project team</w:t>
      </w:r>
      <w:r w:rsidR="00B02E37">
        <w:t xml:space="preserve"> are confident that there is sufficient knowledge within the </w:t>
      </w:r>
      <w:r w:rsidR="00095010">
        <w:t>S</w:t>
      </w:r>
      <w:r w:rsidR="00B02E37">
        <w:t xml:space="preserve">ervice to complete these activities; however, it is important </w:t>
      </w:r>
      <w:r w:rsidR="00F41552">
        <w:t>to produce</w:t>
      </w:r>
      <w:r w:rsidR="00B02E37">
        <w:t xml:space="preserve"> clear guidance documents.</w:t>
      </w:r>
    </w:p>
    <w:p w14:paraId="5550162F" w14:textId="77777777" w:rsidR="00B02E37" w:rsidRDefault="00B02E37" w:rsidP="002E7666">
      <w:pPr>
        <w:pStyle w:val="NoSpacing"/>
      </w:pPr>
    </w:p>
    <w:p w14:paraId="2D678903" w14:textId="129E69AA" w:rsidR="00B02E37" w:rsidRDefault="00B02E37" w:rsidP="002E7666">
      <w:pPr>
        <w:pStyle w:val="NoSpacing"/>
      </w:pPr>
      <w:r>
        <w:t xml:space="preserve">Based on current workloads, </w:t>
      </w:r>
      <w:r w:rsidR="0040559E">
        <w:t>the</w:t>
      </w:r>
      <w:r w:rsidR="006875A7">
        <w:t xml:space="preserve"> </w:t>
      </w:r>
      <w:r w:rsidR="00F41552">
        <w:t xml:space="preserve">forecast </w:t>
      </w:r>
      <w:r w:rsidR="0040559E">
        <w:t xml:space="preserve">is </w:t>
      </w:r>
      <w:r w:rsidR="00F41552">
        <w:t>that</w:t>
      </w:r>
      <w:r>
        <w:t xml:space="preserve"> this work </w:t>
      </w:r>
      <w:r w:rsidR="006875A7">
        <w:t>will</w:t>
      </w:r>
      <w:r w:rsidR="00FD4F45">
        <w:t xml:space="preserve"> </w:t>
      </w:r>
      <w:r w:rsidR="00B97633">
        <w:t>conclude</w:t>
      </w:r>
      <w:r>
        <w:t xml:space="preserve"> by the end of April 2019.</w:t>
      </w:r>
    </w:p>
    <w:p w14:paraId="05068EC5" w14:textId="20CD10BE" w:rsidR="00FD4F45" w:rsidRDefault="00FD4F45" w:rsidP="002E7666">
      <w:pPr>
        <w:pStyle w:val="NoSpacing"/>
      </w:pPr>
    </w:p>
    <w:p w14:paraId="76081D64" w14:textId="7C462D57" w:rsidR="00FD4F45" w:rsidRPr="00FD4F45" w:rsidRDefault="00FD4F45" w:rsidP="002E7666">
      <w:pPr>
        <w:pStyle w:val="NoSpacing"/>
        <w:rPr>
          <w:u w:val="single"/>
        </w:rPr>
      </w:pPr>
      <w:r w:rsidRPr="00FD4F45">
        <w:rPr>
          <w:u w:val="single"/>
        </w:rPr>
        <w:t>Recommendation</w:t>
      </w:r>
    </w:p>
    <w:p w14:paraId="3E2919E5" w14:textId="5F962656" w:rsidR="00FD4F45" w:rsidRPr="002E7666" w:rsidRDefault="00FD4F45" w:rsidP="008A4896">
      <w:pPr>
        <w:pStyle w:val="NoSpacing"/>
        <w:numPr>
          <w:ilvl w:val="0"/>
          <w:numId w:val="7"/>
        </w:numPr>
      </w:pPr>
      <w:r>
        <w:t xml:space="preserve">Due to current staffing levels and the demands on current HR staff, </w:t>
      </w:r>
      <w:r w:rsidR="00095010">
        <w:t>the Project</w:t>
      </w:r>
      <w:r>
        <w:t xml:space="preserve"> recommend</w:t>
      </w:r>
      <w:r w:rsidR="00095010">
        <w:t>s</w:t>
      </w:r>
      <w:r>
        <w:t xml:space="preserve"> that </w:t>
      </w:r>
      <w:r w:rsidR="00095010">
        <w:t>Innovation &amp; Change</w:t>
      </w:r>
      <w:r>
        <w:t xml:space="preserve"> take over the management of all systems administration activity</w:t>
      </w:r>
      <w:r w:rsidR="00B97633">
        <w:t>, through members of the People Systems Programme – Phase II</w:t>
      </w:r>
      <w:r w:rsidR="00E40737">
        <w:t xml:space="preserve"> </w:t>
      </w:r>
      <w:r w:rsidR="00095010">
        <w:t>team</w:t>
      </w:r>
      <w:r>
        <w:t xml:space="preserve">, at least on a temporary basis </w:t>
      </w:r>
      <w:r w:rsidR="00095010">
        <w:t>and for a minimum of 6 months</w:t>
      </w:r>
      <w:r w:rsidR="00B97633">
        <w:t>, as noted in 9.6.3 above</w:t>
      </w:r>
      <w:r w:rsidR="00095010">
        <w:t xml:space="preserve">. </w:t>
      </w:r>
      <w:r>
        <w:t xml:space="preserve">This would support the </w:t>
      </w:r>
      <w:r w:rsidR="00095010">
        <w:t>S</w:t>
      </w:r>
      <w:r>
        <w:t xml:space="preserve">ervice in bedding in process, getting the </w:t>
      </w:r>
      <w:r w:rsidR="00095010">
        <w:t>S</w:t>
      </w:r>
      <w:r>
        <w:t xml:space="preserve">ervice to a better starting point, finalising all documentation and reduce the risk to the </w:t>
      </w:r>
      <w:r w:rsidR="005970A6">
        <w:t>accuracy of core data</w:t>
      </w:r>
      <w:r>
        <w:t xml:space="preserve"> whilst HR goes through a staff restructure.</w:t>
      </w:r>
    </w:p>
    <w:sectPr w:rsidR="00FD4F45" w:rsidRPr="002E7666" w:rsidSect="000B065A">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6325" w14:textId="77777777" w:rsidR="00BA0A3F" w:rsidRDefault="00BA0A3F" w:rsidP="007216A8">
      <w:pPr>
        <w:spacing w:after="0" w:line="240" w:lineRule="auto"/>
      </w:pPr>
      <w:r>
        <w:separator/>
      </w:r>
    </w:p>
  </w:endnote>
  <w:endnote w:type="continuationSeparator" w:id="0">
    <w:p w14:paraId="091745F5" w14:textId="77777777" w:rsidR="00BA0A3F" w:rsidRDefault="00BA0A3F" w:rsidP="0072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259175"/>
      <w:docPartObj>
        <w:docPartGallery w:val="Page Numbers (Bottom of Page)"/>
        <w:docPartUnique/>
      </w:docPartObj>
    </w:sdtPr>
    <w:sdtContent>
      <w:p w14:paraId="305B2BB5" w14:textId="67A2E824" w:rsidR="00BA0A3F" w:rsidRDefault="00BA0A3F" w:rsidP="00CF2836">
        <w:pPr>
          <w:pStyle w:val="Footer"/>
          <w:jc w:val="center"/>
        </w:pPr>
      </w:p>
      <w:tbl>
        <w:tblPr>
          <w:tblStyle w:val="TableGrid1"/>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3031"/>
          <w:gridCol w:w="3003"/>
        </w:tblGrid>
        <w:tr w:rsidR="00BA0A3F" w:rsidRPr="00CF2836" w14:paraId="7635A71E" w14:textId="77777777" w:rsidTr="00CC4BB1">
          <w:trPr>
            <w:jc w:val="center"/>
          </w:trPr>
          <w:tc>
            <w:tcPr>
              <w:tcW w:w="3190" w:type="dxa"/>
            </w:tcPr>
            <w:p w14:paraId="34A88710" w14:textId="330A3B64" w:rsidR="00BA0A3F" w:rsidRPr="00CF2836" w:rsidRDefault="00BA0A3F" w:rsidP="002E7666">
              <w:pPr>
                <w:tabs>
                  <w:tab w:val="center" w:pos="4513"/>
                  <w:tab w:val="right" w:pos="9026"/>
                </w:tabs>
                <w:rPr>
                  <w:rFonts w:ascii="Calibri" w:eastAsia="Calibri" w:hAnsi="Calibri" w:cs="Times New Roman"/>
                  <w:sz w:val="20"/>
                </w:rPr>
              </w:pPr>
              <w:r>
                <w:rPr>
                  <w:rFonts w:ascii="Calibri" w:eastAsia="Calibri" w:hAnsi="Calibri" w:cs="Times New Roman"/>
                  <w:sz w:val="20"/>
                </w:rPr>
                <w:t>Project Closure Report</w:t>
              </w:r>
            </w:p>
          </w:tc>
          <w:tc>
            <w:tcPr>
              <w:tcW w:w="3190" w:type="dxa"/>
            </w:tcPr>
            <w:p w14:paraId="40522F27" w14:textId="77777777" w:rsidR="00BA0A3F" w:rsidRPr="00CF2836" w:rsidRDefault="00BA0A3F" w:rsidP="00CF2836">
              <w:pPr>
                <w:tabs>
                  <w:tab w:val="center" w:pos="4513"/>
                  <w:tab w:val="right" w:pos="9026"/>
                </w:tabs>
                <w:jc w:val="center"/>
                <w:rPr>
                  <w:rFonts w:ascii="Calibri" w:eastAsia="Calibri" w:hAnsi="Calibri" w:cs="Times New Roman"/>
                  <w:sz w:val="20"/>
                </w:rPr>
              </w:pPr>
              <w:r w:rsidRPr="00CF2836">
                <w:rPr>
                  <w:rFonts w:ascii="Calibri" w:eastAsia="Calibri" w:hAnsi="Calibri" w:cs="Times New Roman"/>
                  <w:sz w:val="20"/>
                </w:rPr>
                <w:t>Uncontrolled when printed</w:t>
              </w:r>
            </w:p>
          </w:tc>
          <w:tc>
            <w:tcPr>
              <w:tcW w:w="3191" w:type="dxa"/>
            </w:tcPr>
            <w:p w14:paraId="2BE7C9CE" w14:textId="24956BA1" w:rsidR="00BA0A3F" w:rsidRPr="00CF2836" w:rsidRDefault="00BA0A3F" w:rsidP="00DB107E">
              <w:pPr>
                <w:tabs>
                  <w:tab w:val="center" w:pos="4513"/>
                  <w:tab w:val="right" w:pos="9026"/>
                </w:tabs>
                <w:jc w:val="right"/>
                <w:rPr>
                  <w:rFonts w:ascii="Calibri" w:eastAsia="Calibri" w:hAnsi="Calibri" w:cs="Times New Roman"/>
                  <w:sz w:val="20"/>
                </w:rPr>
              </w:pPr>
              <w:r>
                <w:rPr>
                  <w:rFonts w:ascii="Calibri" w:eastAsia="Calibri" w:hAnsi="Calibri" w:cs="Times New Roman"/>
                  <w:sz w:val="20"/>
                </w:rPr>
                <w:t>Version Number: 1.7</w:t>
              </w:r>
            </w:p>
          </w:tc>
        </w:tr>
        <w:tr w:rsidR="00BA0A3F" w:rsidRPr="00CF2836" w14:paraId="28CDF3C3" w14:textId="77777777" w:rsidTr="00CC4BB1">
          <w:trPr>
            <w:jc w:val="center"/>
          </w:trPr>
          <w:tc>
            <w:tcPr>
              <w:tcW w:w="3190" w:type="dxa"/>
            </w:tcPr>
            <w:p w14:paraId="03592E73" w14:textId="3A6BCDD2" w:rsidR="00BA0A3F" w:rsidRPr="00CF2836" w:rsidRDefault="00BA0A3F" w:rsidP="00F41552">
              <w:pPr>
                <w:tabs>
                  <w:tab w:val="center" w:pos="4513"/>
                  <w:tab w:val="right" w:pos="9026"/>
                </w:tabs>
                <w:rPr>
                  <w:rFonts w:ascii="Calibri" w:eastAsia="Calibri" w:hAnsi="Calibri" w:cs="Times New Roman"/>
                  <w:sz w:val="20"/>
                </w:rPr>
              </w:pPr>
              <w:r w:rsidRPr="00CF2836">
                <w:rPr>
                  <w:rFonts w:ascii="Calibri" w:eastAsia="Calibri" w:hAnsi="Calibri" w:cs="Times New Roman"/>
                  <w:sz w:val="20"/>
                </w:rPr>
                <w:t xml:space="preserve">Status: </w:t>
              </w:r>
              <w:r>
                <w:rPr>
                  <w:rFonts w:ascii="Calibri" w:eastAsia="Calibri" w:hAnsi="Calibri" w:cs="Times New Roman"/>
                  <w:sz w:val="20"/>
                </w:rPr>
                <w:t>FINAL</w:t>
              </w:r>
            </w:p>
          </w:tc>
          <w:tc>
            <w:tcPr>
              <w:tcW w:w="3190" w:type="dxa"/>
            </w:tcPr>
            <w:p w14:paraId="0F57B1B2" w14:textId="3768B165" w:rsidR="00BA0A3F" w:rsidRPr="00CF2836" w:rsidRDefault="00BA0A3F" w:rsidP="00CF2836">
              <w:pPr>
                <w:tabs>
                  <w:tab w:val="center" w:pos="4513"/>
                  <w:tab w:val="right" w:pos="9026"/>
                </w:tabs>
                <w:jc w:val="center"/>
                <w:rPr>
                  <w:rFonts w:ascii="Calibri" w:eastAsia="Calibri" w:hAnsi="Calibri" w:cs="Times New Roman"/>
                  <w:sz w:val="20"/>
                </w:rPr>
              </w:pPr>
              <w:r>
                <w:rPr>
                  <w:rFonts w:ascii="Calibri" w:eastAsia="Calibri" w:hAnsi="Calibri" w:cs="Times New Roman"/>
                  <w:sz w:val="20"/>
                </w:rPr>
                <w:fldChar w:fldCharType="begin"/>
              </w:r>
              <w:r>
                <w:rPr>
                  <w:rFonts w:ascii="Calibri" w:eastAsia="Calibri" w:hAnsi="Calibri" w:cs="Times New Roman"/>
                  <w:sz w:val="20"/>
                  <w:lang w:val="en-GB"/>
                </w:rPr>
                <w:instrText xml:space="preserve"> DATE \@ "dd MMMM yyyy" </w:instrText>
              </w:r>
              <w:r>
                <w:rPr>
                  <w:rFonts w:ascii="Calibri" w:eastAsia="Calibri" w:hAnsi="Calibri" w:cs="Times New Roman"/>
                  <w:sz w:val="20"/>
                </w:rPr>
                <w:fldChar w:fldCharType="separate"/>
              </w:r>
              <w:r>
                <w:rPr>
                  <w:rFonts w:ascii="Calibri" w:eastAsia="Calibri" w:hAnsi="Calibri" w:cs="Times New Roman"/>
                  <w:noProof/>
                  <w:sz w:val="20"/>
                </w:rPr>
                <w:t>07 May 2019</w:t>
              </w:r>
              <w:r>
                <w:rPr>
                  <w:rFonts w:ascii="Calibri" w:eastAsia="Calibri" w:hAnsi="Calibri" w:cs="Times New Roman"/>
                  <w:sz w:val="20"/>
                </w:rPr>
                <w:fldChar w:fldCharType="end"/>
              </w:r>
            </w:p>
          </w:tc>
          <w:tc>
            <w:tcPr>
              <w:tcW w:w="3191" w:type="dxa"/>
            </w:tcPr>
            <w:p w14:paraId="3248AAD1" w14:textId="302D3651" w:rsidR="00BA0A3F" w:rsidRPr="00CF2836" w:rsidRDefault="00BA0A3F" w:rsidP="00CF2836">
              <w:pPr>
                <w:tabs>
                  <w:tab w:val="center" w:pos="4513"/>
                  <w:tab w:val="right" w:pos="9026"/>
                </w:tabs>
                <w:jc w:val="right"/>
                <w:rPr>
                  <w:rFonts w:ascii="Calibri" w:eastAsia="Calibri" w:hAnsi="Calibri" w:cs="Times New Roman"/>
                  <w:sz w:val="20"/>
                </w:rPr>
              </w:pPr>
              <w:r w:rsidRPr="00CF2836">
                <w:rPr>
                  <w:rFonts w:ascii="Calibri" w:eastAsia="Calibri" w:hAnsi="Calibri" w:cs="Times New Roman"/>
                  <w:sz w:val="20"/>
                </w:rPr>
                <w:t xml:space="preserve">Page </w:t>
              </w:r>
              <w:r w:rsidRPr="00CF2836">
                <w:rPr>
                  <w:rFonts w:ascii="Calibri" w:eastAsia="Calibri" w:hAnsi="Calibri" w:cs="Times New Roman"/>
                  <w:b/>
                  <w:sz w:val="20"/>
                </w:rPr>
                <w:fldChar w:fldCharType="begin"/>
              </w:r>
              <w:r w:rsidRPr="00CF2836">
                <w:rPr>
                  <w:rFonts w:ascii="Calibri" w:eastAsia="Calibri" w:hAnsi="Calibri" w:cs="Times New Roman"/>
                  <w:b/>
                  <w:sz w:val="20"/>
                </w:rPr>
                <w:instrText xml:space="preserve"> PAGE  \* Arabic  \* MERGEFORMAT </w:instrText>
              </w:r>
              <w:r w:rsidRPr="00CF2836">
                <w:rPr>
                  <w:rFonts w:ascii="Calibri" w:eastAsia="Calibri" w:hAnsi="Calibri" w:cs="Times New Roman"/>
                  <w:b/>
                  <w:sz w:val="20"/>
                </w:rPr>
                <w:fldChar w:fldCharType="separate"/>
              </w:r>
              <w:r w:rsidR="00DC392D">
                <w:rPr>
                  <w:rFonts w:ascii="Calibri" w:eastAsia="Calibri" w:hAnsi="Calibri" w:cs="Times New Roman"/>
                  <w:b/>
                  <w:noProof/>
                  <w:sz w:val="20"/>
                </w:rPr>
                <w:t>20</w:t>
              </w:r>
              <w:r w:rsidRPr="00CF2836">
                <w:rPr>
                  <w:rFonts w:ascii="Calibri" w:eastAsia="Calibri" w:hAnsi="Calibri" w:cs="Times New Roman"/>
                  <w:b/>
                  <w:sz w:val="20"/>
                </w:rPr>
                <w:fldChar w:fldCharType="end"/>
              </w:r>
              <w:r w:rsidRPr="00CF2836">
                <w:rPr>
                  <w:rFonts w:ascii="Calibri" w:eastAsia="Calibri" w:hAnsi="Calibri" w:cs="Times New Roman"/>
                  <w:sz w:val="20"/>
                </w:rPr>
                <w:t xml:space="preserve"> of </w:t>
              </w:r>
              <w:r w:rsidRPr="00CF2836">
                <w:rPr>
                  <w:rFonts w:ascii="Calibri" w:eastAsia="Calibri" w:hAnsi="Calibri" w:cs="Times New Roman"/>
                  <w:b/>
                  <w:sz w:val="20"/>
                </w:rPr>
                <w:fldChar w:fldCharType="begin"/>
              </w:r>
              <w:r w:rsidRPr="00CF2836">
                <w:rPr>
                  <w:rFonts w:ascii="Calibri" w:eastAsia="Calibri" w:hAnsi="Calibri" w:cs="Times New Roman"/>
                  <w:b/>
                  <w:sz w:val="20"/>
                </w:rPr>
                <w:instrText xml:space="preserve"> NUMPAGES  \* Arabic  \* MERGEFORMAT </w:instrText>
              </w:r>
              <w:r w:rsidRPr="00CF2836">
                <w:rPr>
                  <w:rFonts w:ascii="Calibri" w:eastAsia="Calibri" w:hAnsi="Calibri" w:cs="Times New Roman"/>
                  <w:b/>
                  <w:sz w:val="20"/>
                </w:rPr>
                <w:fldChar w:fldCharType="separate"/>
              </w:r>
              <w:r w:rsidR="00DC392D">
                <w:rPr>
                  <w:rFonts w:ascii="Calibri" w:eastAsia="Calibri" w:hAnsi="Calibri" w:cs="Times New Roman"/>
                  <w:b/>
                  <w:noProof/>
                  <w:sz w:val="20"/>
                </w:rPr>
                <w:t>20</w:t>
              </w:r>
              <w:r w:rsidRPr="00CF2836">
                <w:rPr>
                  <w:rFonts w:ascii="Calibri" w:eastAsia="Calibri" w:hAnsi="Calibri" w:cs="Times New Roman"/>
                  <w:b/>
                  <w:sz w:val="20"/>
                </w:rPr>
                <w:fldChar w:fldCharType="end"/>
              </w:r>
            </w:p>
          </w:tc>
        </w:tr>
      </w:tbl>
      <w:p w14:paraId="49238BE9" w14:textId="4C189F45" w:rsidR="00BA0A3F" w:rsidRPr="0092394A" w:rsidRDefault="00BA0A3F" w:rsidP="00CF283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053841"/>
      <w:docPartObj>
        <w:docPartGallery w:val="Page Numbers (Bottom of Page)"/>
        <w:docPartUnique/>
      </w:docPartObj>
    </w:sdtPr>
    <w:sdtContent>
      <w:sdt>
        <w:sdtPr>
          <w:id w:val="1728636285"/>
          <w:docPartObj>
            <w:docPartGallery w:val="Page Numbers (Top of Page)"/>
            <w:docPartUnique/>
          </w:docPartObj>
        </w:sdtPr>
        <w:sdtContent>
          <w:p w14:paraId="211E9E5A" w14:textId="6C3EF291" w:rsidR="00BA0A3F" w:rsidRDefault="00BA0A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39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392D">
              <w:rPr>
                <w:b/>
                <w:bCs/>
                <w:noProof/>
              </w:rPr>
              <w:t>20</w:t>
            </w:r>
            <w:r>
              <w:rPr>
                <w:b/>
                <w:bCs/>
                <w:sz w:val="24"/>
                <w:szCs w:val="24"/>
              </w:rPr>
              <w:fldChar w:fldCharType="end"/>
            </w:r>
          </w:p>
        </w:sdtContent>
      </w:sdt>
    </w:sdtContent>
  </w:sdt>
  <w:p w14:paraId="4006E5E6" w14:textId="2E5F8283" w:rsidR="00BA0A3F" w:rsidRDefault="00BA0A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07185" w14:textId="77777777" w:rsidR="00BA0A3F" w:rsidRDefault="00BA0A3F" w:rsidP="007216A8">
      <w:pPr>
        <w:spacing w:after="0" w:line="240" w:lineRule="auto"/>
      </w:pPr>
      <w:r>
        <w:separator/>
      </w:r>
    </w:p>
  </w:footnote>
  <w:footnote w:type="continuationSeparator" w:id="0">
    <w:p w14:paraId="320FC067" w14:textId="77777777" w:rsidR="00BA0A3F" w:rsidRDefault="00BA0A3F" w:rsidP="00721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654C" w14:textId="2EDDA2C5" w:rsidR="00BA0A3F" w:rsidRDefault="00BA0A3F">
    <w:pPr>
      <w:pStyle w:val="Header"/>
    </w:pPr>
    <w:r>
      <w:rPr>
        <w:noProof/>
        <w:lang w:eastAsia="en-GB"/>
      </w:rPr>
      <w:drawing>
        <wp:anchor distT="0" distB="0" distL="114300" distR="114300" simplePos="0" relativeHeight="251657216" behindDoc="1" locked="0" layoutInCell="1" allowOverlap="1" wp14:anchorId="44E8B0F4" wp14:editId="0756C222">
          <wp:simplePos x="0" y="0"/>
          <wp:positionH relativeFrom="page">
            <wp:posOffset>9525</wp:posOffset>
          </wp:positionH>
          <wp:positionV relativeFrom="page">
            <wp:align>top</wp:align>
          </wp:positionV>
          <wp:extent cx="7784465" cy="1763395"/>
          <wp:effectExtent l="0" t="0" r="698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4465" cy="176339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253A" w14:textId="0DF9585A" w:rsidR="00BA0A3F" w:rsidRDefault="00BA0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171BB"/>
    <w:multiLevelType w:val="hybridMultilevel"/>
    <w:tmpl w:val="EACE7E38"/>
    <w:lvl w:ilvl="0" w:tplc="F2AAFC28">
      <w:start w:val="1"/>
      <w:numFmt w:val="bullet"/>
      <w:lvlText w:val=""/>
      <w:lvlJc w:val="left"/>
      <w:pPr>
        <w:ind w:left="360" w:hanging="360"/>
      </w:pPr>
      <w:rPr>
        <w:rFonts w:ascii="Wingdings" w:hAnsi="Wingdings" w:hint="default"/>
        <w:color w:val="FF0000"/>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FB6FD7"/>
    <w:multiLevelType w:val="hybridMultilevel"/>
    <w:tmpl w:val="B680BEC6"/>
    <w:lvl w:ilvl="0" w:tplc="F2AAFC28">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975AA3"/>
    <w:multiLevelType w:val="hybridMultilevel"/>
    <w:tmpl w:val="B1942E0E"/>
    <w:lvl w:ilvl="0" w:tplc="F2AAFC28">
      <w:start w:val="1"/>
      <w:numFmt w:val="bullet"/>
      <w:lvlText w:val=""/>
      <w:lvlJc w:val="left"/>
      <w:pPr>
        <w:ind w:left="360" w:hanging="360"/>
      </w:pPr>
      <w:rPr>
        <w:rFonts w:ascii="Wingdings" w:hAnsi="Wingdings"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99678C"/>
    <w:multiLevelType w:val="hybridMultilevel"/>
    <w:tmpl w:val="80326A8C"/>
    <w:lvl w:ilvl="0" w:tplc="F2AAFC28">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805165"/>
    <w:multiLevelType w:val="hybridMultilevel"/>
    <w:tmpl w:val="8D708FB8"/>
    <w:lvl w:ilvl="0" w:tplc="F2AAFC28">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C53DF1"/>
    <w:multiLevelType w:val="hybridMultilevel"/>
    <w:tmpl w:val="1C4037CC"/>
    <w:lvl w:ilvl="0" w:tplc="F2AAFC28">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18672D"/>
    <w:multiLevelType w:val="hybridMultilevel"/>
    <w:tmpl w:val="135286D2"/>
    <w:lvl w:ilvl="0" w:tplc="F2AAFC28">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626908"/>
    <w:multiLevelType w:val="hybridMultilevel"/>
    <w:tmpl w:val="3A88DC36"/>
    <w:lvl w:ilvl="0" w:tplc="F2AAFC28">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
  </w:num>
  <w:num w:numId="6">
    <w:abstractNumId w:val="4"/>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09"/>
    <w:rsid w:val="0000746F"/>
    <w:rsid w:val="000148A8"/>
    <w:rsid w:val="00024CFF"/>
    <w:rsid w:val="00024E53"/>
    <w:rsid w:val="0002693C"/>
    <w:rsid w:val="000275E6"/>
    <w:rsid w:val="00027773"/>
    <w:rsid w:val="00030590"/>
    <w:rsid w:val="0003090E"/>
    <w:rsid w:val="00030EB4"/>
    <w:rsid w:val="000327CB"/>
    <w:rsid w:val="0003377B"/>
    <w:rsid w:val="00047BB6"/>
    <w:rsid w:val="00050209"/>
    <w:rsid w:val="00050A05"/>
    <w:rsid w:val="00050F00"/>
    <w:rsid w:val="000518EA"/>
    <w:rsid w:val="00056CA7"/>
    <w:rsid w:val="0006093E"/>
    <w:rsid w:val="00061274"/>
    <w:rsid w:val="000656F1"/>
    <w:rsid w:val="00065BA3"/>
    <w:rsid w:val="000742E0"/>
    <w:rsid w:val="00080F73"/>
    <w:rsid w:val="00081D67"/>
    <w:rsid w:val="00082F77"/>
    <w:rsid w:val="00083158"/>
    <w:rsid w:val="0008582A"/>
    <w:rsid w:val="00091A4B"/>
    <w:rsid w:val="00095010"/>
    <w:rsid w:val="000A23B4"/>
    <w:rsid w:val="000A25FF"/>
    <w:rsid w:val="000A2E57"/>
    <w:rsid w:val="000A314D"/>
    <w:rsid w:val="000A4A73"/>
    <w:rsid w:val="000A5666"/>
    <w:rsid w:val="000B065A"/>
    <w:rsid w:val="000B0D07"/>
    <w:rsid w:val="000B1662"/>
    <w:rsid w:val="000C3E38"/>
    <w:rsid w:val="000D3B07"/>
    <w:rsid w:val="000D7408"/>
    <w:rsid w:val="000E2DAB"/>
    <w:rsid w:val="000E5BFE"/>
    <w:rsid w:val="000E7F90"/>
    <w:rsid w:val="000F7C07"/>
    <w:rsid w:val="00100C78"/>
    <w:rsid w:val="00101B21"/>
    <w:rsid w:val="001054B5"/>
    <w:rsid w:val="00105C2A"/>
    <w:rsid w:val="00110498"/>
    <w:rsid w:val="00112895"/>
    <w:rsid w:val="0011415A"/>
    <w:rsid w:val="00120DDB"/>
    <w:rsid w:val="00132973"/>
    <w:rsid w:val="0013397E"/>
    <w:rsid w:val="0013429B"/>
    <w:rsid w:val="00135A3E"/>
    <w:rsid w:val="001541C0"/>
    <w:rsid w:val="0016265F"/>
    <w:rsid w:val="00165B9D"/>
    <w:rsid w:val="001715DB"/>
    <w:rsid w:val="00173871"/>
    <w:rsid w:val="00174DF7"/>
    <w:rsid w:val="001813C8"/>
    <w:rsid w:val="00184649"/>
    <w:rsid w:val="00187EA8"/>
    <w:rsid w:val="00190022"/>
    <w:rsid w:val="001923C7"/>
    <w:rsid w:val="00193C71"/>
    <w:rsid w:val="00197CFF"/>
    <w:rsid w:val="001A2A00"/>
    <w:rsid w:val="001A5792"/>
    <w:rsid w:val="001A5C05"/>
    <w:rsid w:val="001A70B3"/>
    <w:rsid w:val="001B043F"/>
    <w:rsid w:val="001B3C25"/>
    <w:rsid w:val="001B6874"/>
    <w:rsid w:val="001C1F61"/>
    <w:rsid w:val="001C2021"/>
    <w:rsid w:val="001C2C60"/>
    <w:rsid w:val="001C35BE"/>
    <w:rsid w:val="001D2042"/>
    <w:rsid w:val="001D2556"/>
    <w:rsid w:val="001D5C6B"/>
    <w:rsid w:val="001D6609"/>
    <w:rsid w:val="001D6A61"/>
    <w:rsid w:val="001E17C8"/>
    <w:rsid w:val="001E4267"/>
    <w:rsid w:val="001F15F3"/>
    <w:rsid w:val="001F3710"/>
    <w:rsid w:val="002002DC"/>
    <w:rsid w:val="0020197F"/>
    <w:rsid w:val="002064CC"/>
    <w:rsid w:val="00214337"/>
    <w:rsid w:val="002220F5"/>
    <w:rsid w:val="00223F28"/>
    <w:rsid w:val="002274B5"/>
    <w:rsid w:val="0022795E"/>
    <w:rsid w:val="00227E21"/>
    <w:rsid w:val="00230E5C"/>
    <w:rsid w:val="00231AFB"/>
    <w:rsid w:val="002324CA"/>
    <w:rsid w:val="002335AB"/>
    <w:rsid w:val="00235B90"/>
    <w:rsid w:val="0024783C"/>
    <w:rsid w:val="00252A38"/>
    <w:rsid w:val="00255210"/>
    <w:rsid w:val="002573F6"/>
    <w:rsid w:val="00261489"/>
    <w:rsid w:val="00261EB0"/>
    <w:rsid w:val="00263583"/>
    <w:rsid w:val="002639DA"/>
    <w:rsid w:val="002675C2"/>
    <w:rsid w:val="002729EA"/>
    <w:rsid w:val="00274628"/>
    <w:rsid w:val="002810F0"/>
    <w:rsid w:val="002824FB"/>
    <w:rsid w:val="00290CDC"/>
    <w:rsid w:val="002A14DC"/>
    <w:rsid w:val="002A18DE"/>
    <w:rsid w:val="002A4856"/>
    <w:rsid w:val="002A531C"/>
    <w:rsid w:val="002B220D"/>
    <w:rsid w:val="002B2CE5"/>
    <w:rsid w:val="002B37F4"/>
    <w:rsid w:val="002B4B0D"/>
    <w:rsid w:val="002C580A"/>
    <w:rsid w:val="002D023A"/>
    <w:rsid w:val="002D0A68"/>
    <w:rsid w:val="002D29AC"/>
    <w:rsid w:val="002E06A6"/>
    <w:rsid w:val="002E21DA"/>
    <w:rsid w:val="002E358A"/>
    <w:rsid w:val="002E6BE5"/>
    <w:rsid w:val="002E7666"/>
    <w:rsid w:val="002E7D08"/>
    <w:rsid w:val="002F35C0"/>
    <w:rsid w:val="002F568B"/>
    <w:rsid w:val="003070BF"/>
    <w:rsid w:val="003161B9"/>
    <w:rsid w:val="0031671A"/>
    <w:rsid w:val="00316C6B"/>
    <w:rsid w:val="00321134"/>
    <w:rsid w:val="0033042E"/>
    <w:rsid w:val="0033428B"/>
    <w:rsid w:val="00347D90"/>
    <w:rsid w:val="00355834"/>
    <w:rsid w:val="00361BE6"/>
    <w:rsid w:val="003620DC"/>
    <w:rsid w:val="003663D3"/>
    <w:rsid w:val="003717D8"/>
    <w:rsid w:val="00372B4B"/>
    <w:rsid w:val="00372BFA"/>
    <w:rsid w:val="00381818"/>
    <w:rsid w:val="00382DC2"/>
    <w:rsid w:val="003842F9"/>
    <w:rsid w:val="00384CE7"/>
    <w:rsid w:val="00385F70"/>
    <w:rsid w:val="00390179"/>
    <w:rsid w:val="00393FB1"/>
    <w:rsid w:val="00396422"/>
    <w:rsid w:val="003A40D7"/>
    <w:rsid w:val="003A586A"/>
    <w:rsid w:val="003B1DB6"/>
    <w:rsid w:val="003B4DE3"/>
    <w:rsid w:val="003B54C1"/>
    <w:rsid w:val="003B660C"/>
    <w:rsid w:val="003C1610"/>
    <w:rsid w:val="003C1C92"/>
    <w:rsid w:val="003C4359"/>
    <w:rsid w:val="003C5FC2"/>
    <w:rsid w:val="003D1F36"/>
    <w:rsid w:val="003D589C"/>
    <w:rsid w:val="003D646F"/>
    <w:rsid w:val="003E04D7"/>
    <w:rsid w:val="003E0B5F"/>
    <w:rsid w:val="003F078D"/>
    <w:rsid w:val="003F776A"/>
    <w:rsid w:val="004008E7"/>
    <w:rsid w:val="00404F58"/>
    <w:rsid w:val="0040559E"/>
    <w:rsid w:val="0040679B"/>
    <w:rsid w:val="00407BBA"/>
    <w:rsid w:val="00413CEE"/>
    <w:rsid w:val="00414030"/>
    <w:rsid w:val="004160CB"/>
    <w:rsid w:val="0041642F"/>
    <w:rsid w:val="0042099F"/>
    <w:rsid w:val="00421896"/>
    <w:rsid w:val="00421B13"/>
    <w:rsid w:val="00426D8B"/>
    <w:rsid w:val="00432A7F"/>
    <w:rsid w:val="00437A03"/>
    <w:rsid w:val="0044174C"/>
    <w:rsid w:val="00445A3C"/>
    <w:rsid w:val="004472C7"/>
    <w:rsid w:val="004544D1"/>
    <w:rsid w:val="0045497A"/>
    <w:rsid w:val="00455D7C"/>
    <w:rsid w:val="00456296"/>
    <w:rsid w:val="00456495"/>
    <w:rsid w:val="00462336"/>
    <w:rsid w:val="00463174"/>
    <w:rsid w:val="00474ADA"/>
    <w:rsid w:val="0047586B"/>
    <w:rsid w:val="00475A3A"/>
    <w:rsid w:val="00477D63"/>
    <w:rsid w:val="00482D7D"/>
    <w:rsid w:val="00483DB2"/>
    <w:rsid w:val="004851B2"/>
    <w:rsid w:val="004854E8"/>
    <w:rsid w:val="00485ACE"/>
    <w:rsid w:val="004950F7"/>
    <w:rsid w:val="004A0DBA"/>
    <w:rsid w:val="004A27AA"/>
    <w:rsid w:val="004A2900"/>
    <w:rsid w:val="004A2A80"/>
    <w:rsid w:val="004A3551"/>
    <w:rsid w:val="004B17B3"/>
    <w:rsid w:val="004B75D1"/>
    <w:rsid w:val="004C0042"/>
    <w:rsid w:val="004D38E5"/>
    <w:rsid w:val="004D6964"/>
    <w:rsid w:val="004E4B20"/>
    <w:rsid w:val="004F1E15"/>
    <w:rsid w:val="004F778C"/>
    <w:rsid w:val="005044FE"/>
    <w:rsid w:val="00520F65"/>
    <w:rsid w:val="00524963"/>
    <w:rsid w:val="00527E88"/>
    <w:rsid w:val="00530E3A"/>
    <w:rsid w:val="0053714D"/>
    <w:rsid w:val="00540AFD"/>
    <w:rsid w:val="0054125E"/>
    <w:rsid w:val="00546548"/>
    <w:rsid w:val="00550AC7"/>
    <w:rsid w:val="00551504"/>
    <w:rsid w:val="00552545"/>
    <w:rsid w:val="00553E7C"/>
    <w:rsid w:val="00555232"/>
    <w:rsid w:val="0056231D"/>
    <w:rsid w:val="00562626"/>
    <w:rsid w:val="00562D7B"/>
    <w:rsid w:val="005630FF"/>
    <w:rsid w:val="00563909"/>
    <w:rsid w:val="00564EE7"/>
    <w:rsid w:val="005702B8"/>
    <w:rsid w:val="005713BD"/>
    <w:rsid w:val="00575B0B"/>
    <w:rsid w:val="005858C3"/>
    <w:rsid w:val="0059097F"/>
    <w:rsid w:val="00590C35"/>
    <w:rsid w:val="00592813"/>
    <w:rsid w:val="005952DA"/>
    <w:rsid w:val="005970A6"/>
    <w:rsid w:val="005B196F"/>
    <w:rsid w:val="005B4539"/>
    <w:rsid w:val="005B60C8"/>
    <w:rsid w:val="005B7132"/>
    <w:rsid w:val="005C0123"/>
    <w:rsid w:val="005C1217"/>
    <w:rsid w:val="005C257A"/>
    <w:rsid w:val="005C40CE"/>
    <w:rsid w:val="005D057E"/>
    <w:rsid w:val="005D1727"/>
    <w:rsid w:val="005D7775"/>
    <w:rsid w:val="005E15C5"/>
    <w:rsid w:val="005E2F3A"/>
    <w:rsid w:val="005E3F12"/>
    <w:rsid w:val="005E7CEA"/>
    <w:rsid w:val="005F0415"/>
    <w:rsid w:val="005F2D2C"/>
    <w:rsid w:val="005F4C9E"/>
    <w:rsid w:val="005F6256"/>
    <w:rsid w:val="005F768C"/>
    <w:rsid w:val="00600E8E"/>
    <w:rsid w:val="0060655B"/>
    <w:rsid w:val="00606D6B"/>
    <w:rsid w:val="00611250"/>
    <w:rsid w:val="00621B9B"/>
    <w:rsid w:val="00624BF5"/>
    <w:rsid w:val="006325CB"/>
    <w:rsid w:val="00635276"/>
    <w:rsid w:val="0064115E"/>
    <w:rsid w:val="00642263"/>
    <w:rsid w:val="00644580"/>
    <w:rsid w:val="00647B49"/>
    <w:rsid w:val="006512FD"/>
    <w:rsid w:val="00652BDC"/>
    <w:rsid w:val="00666317"/>
    <w:rsid w:val="00670C60"/>
    <w:rsid w:val="00670FE9"/>
    <w:rsid w:val="00671787"/>
    <w:rsid w:val="00675251"/>
    <w:rsid w:val="00680AF0"/>
    <w:rsid w:val="00680B16"/>
    <w:rsid w:val="00680E53"/>
    <w:rsid w:val="006832CA"/>
    <w:rsid w:val="006875A7"/>
    <w:rsid w:val="0069229B"/>
    <w:rsid w:val="006A04E5"/>
    <w:rsid w:val="006A605D"/>
    <w:rsid w:val="006B4B2A"/>
    <w:rsid w:val="006B5ED3"/>
    <w:rsid w:val="006B79A1"/>
    <w:rsid w:val="006C60AE"/>
    <w:rsid w:val="006D0E8D"/>
    <w:rsid w:val="006D55A2"/>
    <w:rsid w:val="006D5E2B"/>
    <w:rsid w:val="006D6731"/>
    <w:rsid w:val="006E0C56"/>
    <w:rsid w:val="006E1455"/>
    <w:rsid w:val="006E4191"/>
    <w:rsid w:val="006E4AEA"/>
    <w:rsid w:val="006E6BFE"/>
    <w:rsid w:val="006E708F"/>
    <w:rsid w:val="006E775D"/>
    <w:rsid w:val="006F306B"/>
    <w:rsid w:val="006F57CE"/>
    <w:rsid w:val="00707152"/>
    <w:rsid w:val="00715171"/>
    <w:rsid w:val="0071683E"/>
    <w:rsid w:val="00720A38"/>
    <w:rsid w:val="007216A8"/>
    <w:rsid w:val="00732C9F"/>
    <w:rsid w:val="007342BE"/>
    <w:rsid w:val="00734FC1"/>
    <w:rsid w:val="007441D3"/>
    <w:rsid w:val="007453A2"/>
    <w:rsid w:val="0074600B"/>
    <w:rsid w:val="00751196"/>
    <w:rsid w:val="00752DDC"/>
    <w:rsid w:val="007532D3"/>
    <w:rsid w:val="00760089"/>
    <w:rsid w:val="0076302C"/>
    <w:rsid w:val="00767EEE"/>
    <w:rsid w:val="00770258"/>
    <w:rsid w:val="00771360"/>
    <w:rsid w:val="00774598"/>
    <w:rsid w:val="007769C1"/>
    <w:rsid w:val="00777285"/>
    <w:rsid w:val="00777C19"/>
    <w:rsid w:val="00780581"/>
    <w:rsid w:val="00781100"/>
    <w:rsid w:val="00781E85"/>
    <w:rsid w:val="00784304"/>
    <w:rsid w:val="007843E7"/>
    <w:rsid w:val="00790455"/>
    <w:rsid w:val="00793E91"/>
    <w:rsid w:val="007A40F0"/>
    <w:rsid w:val="007A4CF9"/>
    <w:rsid w:val="007A5D9B"/>
    <w:rsid w:val="007A7B11"/>
    <w:rsid w:val="007B1788"/>
    <w:rsid w:val="007B1789"/>
    <w:rsid w:val="007B48D7"/>
    <w:rsid w:val="007B49A4"/>
    <w:rsid w:val="007B5912"/>
    <w:rsid w:val="007B5E87"/>
    <w:rsid w:val="007B63B5"/>
    <w:rsid w:val="007B6C34"/>
    <w:rsid w:val="007B72BF"/>
    <w:rsid w:val="007C458E"/>
    <w:rsid w:val="007C4926"/>
    <w:rsid w:val="007C5C5C"/>
    <w:rsid w:val="007D3168"/>
    <w:rsid w:val="007D46F3"/>
    <w:rsid w:val="007D6BD6"/>
    <w:rsid w:val="007E38F2"/>
    <w:rsid w:val="007E4C4D"/>
    <w:rsid w:val="007E6991"/>
    <w:rsid w:val="007E6C7A"/>
    <w:rsid w:val="007F3D8C"/>
    <w:rsid w:val="007F798E"/>
    <w:rsid w:val="008008BD"/>
    <w:rsid w:val="00801F74"/>
    <w:rsid w:val="00807706"/>
    <w:rsid w:val="00807972"/>
    <w:rsid w:val="008109D9"/>
    <w:rsid w:val="00810D6F"/>
    <w:rsid w:val="00814E8D"/>
    <w:rsid w:val="0081566F"/>
    <w:rsid w:val="0082310B"/>
    <w:rsid w:val="00825E8C"/>
    <w:rsid w:val="0082763D"/>
    <w:rsid w:val="0084202D"/>
    <w:rsid w:val="0084411E"/>
    <w:rsid w:val="00846525"/>
    <w:rsid w:val="008516B3"/>
    <w:rsid w:val="00856FC9"/>
    <w:rsid w:val="00864102"/>
    <w:rsid w:val="008673AF"/>
    <w:rsid w:val="00870CD4"/>
    <w:rsid w:val="008771E0"/>
    <w:rsid w:val="00885306"/>
    <w:rsid w:val="00887A91"/>
    <w:rsid w:val="00892A00"/>
    <w:rsid w:val="00893D4E"/>
    <w:rsid w:val="008A11BD"/>
    <w:rsid w:val="008A1CCD"/>
    <w:rsid w:val="008A1DAF"/>
    <w:rsid w:val="008A33B0"/>
    <w:rsid w:val="008A4896"/>
    <w:rsid w:val="008B219A"/>
    <w:rsid w:val="008B45A5"/>
    <w:rsid w:val="008C0CAF"/>
    <w:rsid w:val="008C7EB3"/>
    <w:rsid w:val="008D0237"/>
    <w:rsid w:val="008D4796"/>
    <w:rsid w:val="008D53B6"/>
    <w:rsid w:val="008D790E"/>
    <w:rsid w:val="008E0273"/>
    <w:rsid w:val="008E0FAD"/>
    <w:rsid w:val="008E6044"/>
    <w:rsid w:val="00902050"/>
    <w:rsid w:val="009028BC"/>
    <w:rsid w:val="00902F66"/>
    <w:rsid w:val="00920174"/>
    <w:rsid w:val="00920B66"/>
    <w:rsid w:val="0092214C"/>
    <w:rsid w:val="0092394A"/>
    <w:rsid w:val="00932F9B"/>
    <w:rsid w:val="00934944"/>
    <w:rsid w:val="00937B9D"/>
    <w:rsid w:val="009434EE"/>
    <w:rsid w:val="00945DCD"/>
    <w:rsid w:val="00954AC6"/>
    <w:rsid w:val="00957BF5"/>
    <w:rsid w:val="00965595"/>
    <w:rsid w:val="009676A5"/>
    <w:rsid w:val="00970446"/>
    <w:rsid w:val="00974645"/>
    <w:rsid w:val="00987592"/>
    <w:rsid w:val="00992402"/>
    <w:rsid w:val="00992700"/>
    <w:rsid w:val="00992E45"/>
    <w:rsid w:val="00992FE4"/>
    <w:rsid w:val="009A22FC"/>
    <w:rsid w:val="009A36C0"/>
    <w:rsid w:val="009A539A"/>
    <w:rsid w:val="009A6247"/>
    <w:rsid w:val="009B3B1D"/>
    <w:rsid w:val="009B4497"/>
    <w:rsid w:val="009B5730"/>
    <w:rsid w:val="009B706F"/>
    <w:rsid w:val="009C0E2D"/>
    <w:rsid w:val="009C26B0"/>
    <w:rsid w:val="009C5F98"/>
    <w:rsid w:val="009C76B4"/>
    <w:rsid w:val="009D1E99"/>
    <w:rsid w:val="009D282E"/>
    <w:rsid w:val="009D29FE"/>
    <w:rsid w:val="009D2DF7"/>
    <w:rsid w:val="009D42CC"/>
    <w:rsid w:val="009D4B50"/>
    <w:rsid w:val="009D54E4"/>
    <w:rsid w:val="009D78FD"/>
    <w:rsid w:val="009E1237"/>
    <w:rsid w:val="009E1DF1"/>
    <w:rsid w:val="009F0D42"/>
    <w:rsid w:val="009F7E21"/>
    <w:rsid w:val="00A03B80"/>
    <w:rsid w:val="00A04E85"/>
    <w:rsid w:val="00A06DD6"/>
    <w:rsid w:val="00A112B5"/>
    <w:rsid w:val="00A1557D"/>
    <w:rsid w:val="00A20530"/>
    <w:rsid w:val="00A20BFE"/>
    <w:rsid w:val="00A20DD4"/>
    <w:rsid w:val="00A216FF"/>
    <w:rsid w:val="00A24E97"/>
    <w:rsid w:val="00A2579B"/>
    <w:rsid w:val="00A26127"/>
    <w:rsid w:val="00A265A7"/>
    <w:rsid w:val="00A33FC5"/>
    <w:rsid w:val="00A340FD"/>
    <w:rsid w:val="00A43E73"/>
    <w:rsid w:val="00A51F3D"/>
    <w:rsid w:val="00A53879"/>
    <w:rsid w:val="00A60F02"/>
    <w:rsid w:val="00A7095C"/>
    <w:rsid w:val="00A72995"/>
    <w:rsid w:val="00A72EF7"/>
    <w:rsid w:val="00A73234"/>
    <w:rsid w:val="00A75CFA"/>
    <w:rsid w:val="00A80FA2"/>
    <w:rsid w:val="00A847FD"/>
    <w:rsid w:val="00A84EBC"/>
    <w:rsid w:val="00A86BD1"/>
    <w:rsid w:val="00AA1651"/>
    <w:rsid w:val="00AA1B00"/>
    <w:rsid w:val="00AA70B4"/>
    <w:rsid w:val="00AB1AEC"/>
    <w:rsid w:val="00AB1ED3"/>
    <w:rsid w:val="00AB2A6A"/>
    <w:rsid w:val="00AB4336"/>
    <w:rsid w:val="00AB4633"/>
    <w:rsid w:val="00AB48C2"/>
    <w:rsid w:val="00AC1031"/>
    <w:rsid w:val="00AC7DD9"/>
    <w:rsid w:val="00AD0228"/>
    <w:rsid w:val="00AD08B8"/>
    <w:rsid w:val="00AE2200"/>
    <w:rsid w:val="00AE27D4"/>
    <w:rsid w:val="00AE764C"/>
    <w:rsid w:val="00AF12A7"/>
    <w:rsid w:val="00AF1DB3"/>
    <w:rsid w:val="00AF1E7F"/>
    <w:rsid w:val="00AF329C"/>
    <w:rsid w:val="00AF3C6E"/>
    <w:rsid w:val="00B02E37"/>
    <w:rsid w:val="00B0589B"/>
    <w:rsid w:val="00B12DE6"/>
    <w:rsid w:val="00B15FE3"/>
    <w:rsid w:val="00B20C69"/>
    <w:rsid w:val="00B25DDB"/>
    <w:rsid w:val="00B26F88"/>
    <w:rsid w:val="00B270A9"/>
    <w:rsid w:val="00B27AE1"/>
    <w:rsid w:val="00B31DF2"/>
    <w:rsid w:val="00B33117"/>
    <w:rsid w:val="00B3327A"/>
    <w:rsid w:val="00B40ADB"/>
    <w:rsid w:val="00B4111B"/>
    <w:rsid w:val="00B411B9"/>
    <w:rsid w:val="00B4122F"/>
    <w:rsid w:val="00B567B7"/>
    <w:rsid w:val="00B62C2B"/>
    <w:rsid w:val="00B6390F"/>
    <w:rsid w:val="00B66671"/>
    <w:rsid w:val="00B724B7"/>
    <w:rsid w:val="00B81449"/>
    <w:rsid w:val="00B82BD6"/>
    <w:rsid w:val="00B87142"/>
    <w:rsid w:val="00B87616"/>
    <w:rsid w:val="00B94693"/>
    <w:rsid w:val="00B953FC"/>
    <w:rsid w:val="00B97633"/>
    <w:rsid w:val="00BA08B5"/>
    <w:rsid w:val="00BA0A3F"/>
    <w:rsid w:val="00BA0A49"/>
    <w:rsid w:val="00BA163F"/>
    <w:rsid w:val="00BA1A57"/>
    <w:rsid w:val="00BA1C05"/>
    <w:rsid w:val="00BA2635"/>
    <w:rsid w:val="00BA2757"/>
    <w:rsid w:val="00BA5117"/>
    <w:rsid w:val="00BA5368"/>
    <w:rsid w:val="00BA7E76"/>
    <w:rsid w:val="00BB5295"/>
    <w:rsid w:val="00BB58DA"/>
    <w:rsid w:val="00BB5CA6"/>
    <w:rsid w:val="00BB66FF"/>
    <w:rsid w:val="00BC07AC"/>
    <w:rsid w:val="00BC1FA1"/>
    <w:rsid w:val="00BC2154"/>
    <w:rsid w:val="00BC450F"/>
    <w:rsid w:val="00BD0A6C"/>
    <w:rsid w:val="00BD3875"/>
    <w:rsid w:val="00BD6657"/>
    <w:rsid w:val="00BD73B6"/>
    <w:rsid w:val="00BD74EA"/>
    <w:rsid w:val="00BD7CBD"/>
    <w:rsid w:val="00BE55BF"/>
    <w:rsid w:val="00BF4F07"/>
    <w:rsid w:val="00BF5909"/>
    <w:rsid w:val="00C01232"/>
    <w:rsid w:val="00C027B3"/>
    <w:rsid w:val="00C05F47"/>
    <w:rsid w:val="00C0604F"/>
    <w:rsid w:val="00C07679"/>
    <w:rsid w:val="00C136B2"/>
    <w:rsid w:val="00C173F9"/>
    <w:rsid w:val="00C22F8D"/>
    <w:rsid w:val="00C24234"/>
    <w:rsid w:val="00C25AD2"/>
    <w:rsid w:val="00C31B31"/>
    <w:rsid w:val="00C34B34"/>
    <w:rsid w:val="00C35765"/>
    <w:rsid w:val="00C36E2D"/>
    <w:rsid w:val="00C42499"/>
    <w:rsid w:val="00C447A0"/>
    <w:rsid w:val="00C46D51"/>
    <w:rsid w:val="00C5269A"/>
    <w:rsid w:val="00C567BA"/>
    <w:rsid w:val="00C569F0"/>
    <w:rsid w:val="00C57739"/>
    <w:rsid w:val="00C609DE"/>
    <w:rsid w:val="00C65DBA"/>
    <w:rsid w:val="00C669BF"/>
    <w:rsid w:val="00C70526"/>
    <w:rsid w:val="00C74195"/>
    <w:rsid w:val="00C77FBC"/>
    <w:rsid w:val="00C81435"/>
    <w:rsid w:val="00C837A3"/>
    <w:rsid w:val="00C90C60"/>
    <w:rsid w:val="00C90EE8"/>
    <w:rsid w:val="00C915FC"/>
    <w:rsid w:val="00CA2D9D"/>
    <w:rsid w:val="00CA520E"/>
    <w:rsid w:val="00CB0D27"/>
    <w:rsid w:val="00CB43A2"/>
    <w:rsid w:val="00CB6079"/>
    <w:rsid w:val="00CB7362"/>
    <w:rsid w:val="00CB7962"/>
    <w:rsid w:val="00CC4BB1"/>
    <w:rsid w:val="00CD3106"/>
    <w:rsid w:val="00CD352E"/>
    <w:rsid w:val="00CD4C52"/>
    <w:rsid w:val="00CD62B1"/>
    <w:rsid w:val="00CE06F9"/>
    <w:rsid w:val="00CE1E14"/>
    <w:rsid w:val="00CE36AE"/>
    <w:rsid w:val="00CE5069"/>
    <w:rsid w:val="00CE699C"/>
    <w:rsid w:val="00CE7455"/>
    <w:rsid w:val="00CF2836"/>
    <w:rsid w:val="00D00E08"/>
    <w:rsid w:val="00D05D58"/>
    <w:rsid w:val="00D105A1"/>
    <w:rsid w:val="00D105F9"/>
    <w:rsid w:val="00D13AD1"/>
    <w:rsid w:val="00D21079"/>
    <w:rsid w:val="00D222CF"/>
    <w:rsid w:val="00D22B01"/>
    <w:rsid w:val="00D31A16"/>
    <w:rsid w:val="00D3620A"/>
    <w:rsid w:val="00D36EC3"/>
    <w:rsid w:val="00D3745F"/>
    <w:rsid w:val="00D4119E"/>
    <w:rsid w:val="00D41A96"/>
    <w:rsid w:val="00D44140"/>
    <w:rsid w:val="00D46BDE"/>
    <w:rsid w:val="00D50131"/>
    <w:rsid w:val="00D54223"/>
    <w:rsid w:val="00D55381"/>
    <w:rsid w:val="00D5671A"/>
    <w:rsid w:val="00D56960"/>
    <w:rsid w:val="00D65D83"/>
    <w:rsid w:val="00D710DB"/>
    <w:rsid w:val="00D81B4A"/>
    <w:rsid w:val="00D82201"/>
    <w:rsid w:val="00D831A2"/>
    <w:rsid w:val="00D90347"/>
    <w:rsid w:val="00D90923"/>
    <w:rsid w:val="00DA043D"/>
    <w:rsid w:val="00DA180E"/>
    <w:rsid w:val="00DB107E"/>
    <w:rsid w:val="00DB2C99"/>
    <w:rsid w:val="00DB65AD"/>
    <w:rsid w:val="00DC2B0F"/>
    <w:rsid w:val="00DC392D"/>
    <w:rsid w:val="00DC41CE"/>
    <w:rsid w:val="00DD1058"/>
    <w:rsid w:val="00DD4B01"/>
    <w:rsid w:val="00DD4F38"/>
    <w:rsid w:val="00DE53B8"/>
    <w:rsid w:val="00DF4495"/>
    <w:rsid w:val="00E015F1"/>
    <w:rsid w:val="00E105F6"/>
    <w:rsid w:val="00E10905"/>
    <w:rsid w:val="00E13261"/>
    <w:rsid w:val="00E17BC8"/>
    <w:rsid w:val="00E20A9C"/>
    <w:rsid w:val="00E21C0D"/>
    <w:rsid w:val="00E22B28"/>
    <w:rsid w:val="00E22C3F"/>
    <w:rsid w:val="00E25396"/>
    <w:rsid w:val="00E254DD"/>
    <w:rsid w:val="00E26A9D"/>
    <w:rsid w:val="00E27E83"/>
    <w:rsid w:val="00E3085D"/>
    <w:rsid w:val="00E32E34"/>
    <w:rsid w:val="00E3407D"/>
    <w:rsid w:val="00E34D68"/>
    <w:rsid w:val="00E40737"/>
    <w:rsid w:val="00E42D90"/>
    <w:rsid w:val="00E4457D"/>
    <w:rsid w:val="00E45CB1"/>
    <w:rsid w:val="00E46F3D"/>
    <w:rsid w:val="00E50807"/>
    <w:rsid w:val="00E52B96"/>
    <w:rsid w:val="00E536E7"/>
    <w:rsid w:val="00E60E27"/>
    <w:rsid w:val="00E615AE"/>
    <w:rsid w:val="00E64E9A"/>
    <w:rsid w:val="00E65B15"/>
    <w:rsid w:val="00E660CF"/>
    <w:rsid w:val="00E66E42"/>
    <w:rsid w:val="00E673E8"/>
    <w:rsid w:val="00E677EB"/>
    <w:rsid w:val="00E71D61"/>
    <w:rsid w:val="00E75CBF"/>
    <w:rsid w:val="00E75E82"/>
    <w:rsid w:val="00E764CE"/>
    <w:rsid w:val="00E819E1"/>
    <w:rsid w:val="00E8271E"/>
    <w:rsid w:val="00E90562"/>
    <w:rsid w:val="00E90597"/>
    <w:rsid w:val="00E93405"/>
    <w:rsid w:val="00E953BB"/>
    <w:rsid w:val="00E96786"/>
    <w:rsid w:val="00EA4E8A"/>
    <w:rsid w:val="00EB6749"/>
    <w:rsid w:val="00EC1382"/>
    <w:rsid w:val="00EC1DA3"/>
    <w:rsid w:val="00EC2555"/>
    <w:rsid w:val="00EC6D7F"/>
    <w:rsid w:val="00ED3AE0"/>
    <w:rsid w:val="00ED43D8"/>
    <w:rsid w:val="00ED4F06"/>
    <w:rsid w:val="00ED7278"/>
    <w:rsid w:val="00EE0576"/>
    <w:rsid w:val="00EE1695"/>
    <w:rsid w:val="00EE2EDB"/>
    <w:rsid w:val="00EE32DA"/>
    <w:rsid w:val="00EE3A90"/>
    <w:rsid w:val="00EF0A3F"/>
    <w:rsid w:val="00EF3057"/>
    <w:rsid w:val="00F00641"/>
    <w:rsid w:val="00F02A3B"/>
    <w:rsid w:val="00F04042"/>
    <w:rsid w:val="00F056FB"/>
    <w:rsid w:val="00F16CD6"/>
    <w:rsid w:val="00F20AF8"/>
    <w:rsid w:val="00F20D73"/>
    <w:rsid w:val="00F2285B"/>
    <w:rsid w:val="00F23160"/>
    <w:rsid w:val="00F32AC7"/>
    <w:rsid w:val="00F34C69"/>
    <w:rsid w:val="00F356C8"/>
    <w:rsid w:val="00F37E63"/>
    <w:rsid w:val="00F41552"/>
    <w:rsid w:val="00F4359E"/>
    <w:rsid w:val="00F43FC2"/>
    <w:rsid w:val="00F44BE5"/>
    <w:rsid w:val="00F47233"/>
    <w:rsid w:val="00F57889"/>
    <w:rsid w:val="00F57BAC"/>
    <w:rsid w:val="00F62BA8"/>
    <w:rsid w:val="00F6394C"/>
    <w:rsid w:val="00F64125"/>
    <w:rsid w:val="00F6592C"/>
    <w:rsid w:val="00F66674"/>
    <w:rsid w:val="00F721CC"/>
    <w:rsid w:val="00F81B0E"/>
    <w:rsid w:val="00F82655"/>
    <w:rsid w:val="00F919F9"/>
    <w:rsid w:val="00F95111"/>
    <w:rsid w:val="00F9623F"/>
    <w:rsid w:val="00F9654A"/>
    <w:rsid w:val="00F979B0"/>
    <w:rsid w:val="00FA1B80"/>
    <w:rsid w:val="00FA1C6B"/>
    <w:rsid w:val="00FA281C"/>
    <w:rsid w:val="00FA4262"/>
    <w:rsid w:val="00FA61E4"/>
    <w:rsid w:val="00FA7CBF"/>
    <w:rsid w:val="00FB3943"/>
    <w:rsid w:val="00FB5492"/>
    <w:rsid w:val="00FC0C0B"/>
    <w:rsid w:val="00FD4F45"/>
    <w:rsid w:val="00FE1E47"/>
    <w:rsid w:val="00FE1F8C"/>
    <w:rsid w:val="00FE2D19"/>
    <w:rsid w:val="00FE389D"/>
    <w:rsid w:val="00FF10CE"/>
    <w:rsid w:val="00FF2CE5"/>
    <w:rsid w:val="00FF4ECC"/>
    <w:rsid w:val="00FF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47DB0C"/>
  <w15:docId w15:val="{2D0B9C0B-D133-4B62-A8E3-A51557ED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C6B"/>
    <w:pPr>
      <w:keepNext/>
      <w:keepLines/>
      <w:pBdr>
        <w:top w:val="single" w:sz="4" w:space="1" w:color="FF0000"/>
        <w:bottom w:val="single" w:sz="12" w:space="1" w:color="FF0000"/>
      </w:pBdr>
      <w:spacing w:after="0" w:line="240" w:lineRule="auto"/>
      <w:outlineLvl w:val="0"/>
    </w:pPr>
    <w:rPr>
      <w:rFonts w:ascii="Calibri" w:eastAsiaTheme="majorEastAsia" w:hAnsi="Calibri" w:cstheme="majorBidi"/>
      <w:color w:val="FF0000"/>
      <w:sz w:val="28"/>
      <w:szCs w:val="32"/>
    </w:rPr>
  </w:style>
  <w:style w:type="paragraph" w:styleId="Heading2">
    <w:name w:val="heading 2"/>
    <w:basedOn w:val="Normal"/>
    <w:next w:val="Normal"/>
    <w:link w:val="Heading2Char"/>
    <w:uiPriority w:val="9"/>
    <w:unhideWhenUsed/>
    <w:qFormat/>
    <w:rsid w:val="001D5C6B"/>
    <w:pPr>
      <w:keepNext/>
      <w:keepLines/>
      <w:spacing w:after="0" w:line="240" w:lineRule="auto"/>
      <w:outlineLvl w:val="1"/>
    </w:pPr>
    <w:rPr>
      <w:rFonts w:ascii="Calibri" w:eastAsiaTheme="majorEastAsia" w:hAnsi="Calibri" w:cstheme="majorBidi"/>
      <w:color w:val="548DD4" w:themeColor="text2" w:themeTint="99"/>
      <w:sz w:val="24"/>
      <w:szCs w:val="26"/>
    </w:rPr>
  </w:style>
  <w:style w:type="paragraph" w:styleId="Heading3">
    <w:name w:val="heading 3"/>
    <w:basedOn w:val="Normal"/>
    <w:next w:val="Normal"/>
    <w:link w:val="Heading3Char"/>
    <w:uiPriority w:val="9"/>
    <w:unhideWhenUsed/>
    <w:qFormat/>
    <w:rsid w:val="00AB4336"/>
    <w:pPr>
      <w:keepNext/>
      <w:keepLines/>
      <w:spacing w:after="0" w:line="240" w:lineRule="auto"/>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E45CB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37B9D"/>
    <w:pPr>
      <w:pBdr>
        <w:bottom w:val="single" w:sz="4" w:space="4" w:color="C00000"/>
      </w:pBdr>
      <w:spacing w:before="120" w:after="120" w:line="240" w:lineRule="auto"/>
      <w:ind w:right="936"/>
    </w:pPr>
    <w:rPr>
      <w:rFonts w:ascii="Arial" w:hAnsi="Arial"/>
      <w:bCs/>
      <w:i/>
      <w:iCs/>
      <w:szCs w:val="24"/>
      <w:lang w:val="en-US"/>
    </w:rPr>
  </w:style>
  <w:style w:type="character" w:customStyle="1" w:styleId="IntenseQuoteChar">
    <w:name w:val="Intense Quote Char"/>
    <w:basedOn w:val="DefaultParagraphFont"/>
    <w:link w:val="IntenseQuote"/>
    <w:uiPriority w:val="30"/>
    <w:rsid w:val="00937B9D"/>
    <w:rPr>
      <w:rFonts w:ascii="Arial" w:hAnsi="Arial"/>
      <w:bCs/>
      <w:i/>
      <w:iCs/>
      <w:szCs w:val="24"/>
      <w:lang w:val="en-US"/>
    </w:rPr>
  </w:style>
  <w:style w:type="paragraph" w:styleId="BalloonText">
    <w:name w:val="Balloon Text"/>
    <w:basedOn w:val="Normal"/>
    <w:link w:val="BalloonTextChar"/>
    <w:uiPriority w:val="99"/>
    <w:semiHidden/>
    <w:unhideWhenUsed/>
    <w:rsid w:val="00721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A8"/>
    <w:rPr>
      <w:rFonts w:ascii="Tahoma" w:hAnsi="Tahoma" w:cs="Tahoma"/>
      <w:sz w:val="16"/>
      <w:szCs w:val="16"/>
    </w:rPr>
  </w:style>
  <w:style w:type="paragraph" w:styleId="Header">
    <w:name w:val="header"/>
    <w:basedOn w:val="Normal"/>
    <w:link w:val="HeaderChar"/>
    <w:unhideWhenUsed/>
    <w:rsid w:val="007216A8"/>
    <w:pPr>
      <w:tabs>
        <w:tab w:val="center" w:pos="4513"/>
        <w:tab w:val="right" w:pos="9026"/>
      </w:tabs>
      <w:spacing w:after="0" w:line="240" w:lineRule="auto"/>
    </w:pPr>
  </w:style>
  <w:style w:type="character" w:customStyle="1" w:styleId="HeaderChar">
    <w:name w:val="Header Char"/>
    <w:basedOn w:val="DefaultParagraphFont"/>
    <w:link w:val="Header"/>
    <w:rsid w:val="007216A8"/>
  </w:style>
  <w:style w:type="paragraph" w:styleId="Footer">
    <w:name w:val="footer"/>
    <w:basedOn w:val="Normal"/>
    <w:link w:val="FooterChar"/>
    <w:uiPriority w:val="99"/>
    <w:unhideWhenUsed/>
    <w:rsid w:val="00721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6A8"/>
  </w:style>
  <w:style w:type="table" w:styleId="TableGrid">
    <w:name w:val="Table Grid"/>
    <w:basedOn w:val="TableNormal"/>
    <w:uiPriority w:val="39"/>
    <w:rsid w:val="005639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A6C"/>
    <w:pPr>
      <w:spacing w:after="0" w:line="240" w:lineRule="auto"/>
    </w:pPr>
  </w:style>
  <w:style w:type="paragraph" w:styleId="FootnoteText">
    <w:name w:val="footnote text"/>
    <w:basedOn w:val="Normal"/>
    <w:link w:val="FootnoteTextChar"/>
    <w:uiPriority w:val="99"/>
    <w:semiHidden/>
    <w:unhideWhenUsed/>
    <w:rsid w:val="00E953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3BB"/>
    <w:rPr>
      <w:sz w:val="20"/>
      <w:szCs w:val="20"/>
    </w:rPr>
  </w:style>
  <w:style w:type="character" w:styleId="FootnoteReference">
    <w:name w:val="footnote reference"/>
    <w:basedOn w:val="DefaultParagraphFont"/>
    <w:uiPriority w:val="99"/>
    <w:semiHidden/>
    <w:unhideWhenUsed/>
    <w:rsid w:val="00E953BB"/>
    <w:rPr>
      <w:vertAlign w:val="superscript"/>
    </w:rPr>
  </w:style>
  <w:style w:type="paragraph" w:styleId="ListParagraph">
    <w:name w:val="List Paragraph"/>
    <w:basedOn w:val="Normal"/>
    <w:link w:val="ListParagraphChar"/>
    <w:uiPriority w:val="34"/>
    <w:qFormat/>
    <w:rsid w:val="00D56960"/>
    <w:pPr>
      <w:ind w:left="720"/>
      <w:contextualSpacing/>
    </w:pPr>
  </w:style>
  <w:style w:type="character" w:customStyle="1" w:styleId="Heading1Char">
    <w:name w:val="Heading 1 Char"/>
    <w:basedOn w:val="DefaultParagraphFont"/>
    <w:link w:val="Heading1"/>
    <w:uiPriority w:val="9"/>
    <w:rsid w:val="001D5C6B"/>
    <w:rPr>
      <w:rFonts w:ascii="Calibri" w:eastAsiaTheme="majorEastAsia" w:hAnsi="Calibri" w:cstheme="majorBidi"/>
      <w:color w:val="FF0000"/>
      <w:sz w:val="28"/>
      <w:szCs w:val="32"/>
    </w:rPr>
  </w:style>
  <w:style w:type="character" w:customStyle="1" w:styleId="Heading2Char">
    <w:name w:val="Heading 2 Char"/>
    <w:basedOn w:val="DefaultParagraphFont"/>
    <w:link w:val="Heading2"/>
    <w:uiPriority w:val="9"/>
    <w:rsid w:val="001D5C6B"/>
    <w:rPr>
      <w:rFonts w:ascii="Calibri" w:eastAsiaTheme="majorEastAsia" w:hAnsi="Calibri" w:cstheme="majorBidi"/>
      <w:color w:val="548DD4" w:themeColor="text2" w:themeTint="99"/>
      <w:sz w:val="24"/>
      <w:szCs w:val="26"/>
    </w:rPr>
  </w:style>
  <w:style w:type="character" w:customStyle="1" w:styleId="Heading3Char">
    <w:name w:val="Heading 3 Char"/>
    <w:basedOn w:val="DefaultParagraphFont"/>
    <w:link w:val="Heading3"/>
    <w:uiPriority w:val="9"/>
    <w:rsid w:val="00AB4336"/>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E45CB1"/>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7D31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168"/>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C74195"/>
  </w:style>
  <w:style w:type="paragraph" w:styleId="NormalWeb">
    <w:name w:val="Normal (Web)"/>
    <w:basedOn w:val="Normal"/>
    <w:uiPriority w:val="99"/>
    <w:rsid w:val="00BA5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BA5368"/>
    <w:rPr>
      <w:color w:val="0000FF" w:themeColor="hyperlink"/>
      <w:u w:val="single"/>
    </w:rPr>
  </w:style>
  <w:style w:type="character" w:styleId="FollowedHyperlink">
    <w:name w:val="FollowedHyperlink"/>
    <w:basedOn w:val="DefaultParagraphFont"/>
    <w:uiPriority w:val="99"/>
    <w:semiHidden/>
    <w:unhideWhenUsed/>
    <w:rsid w:val="00BA5368"/>
    <w:rPr>
      <w:color w:val="800080" w:themeColor="followedHyperlink"/>
      <w:u w:val="single"/>
    </w:rPr>
  </w:style>
  <w:style w:type="paragraph" w:styleId="TOCHeading">
    <w:name w:val="TOC Heading"/>
    <w:basedOn w:val="Heading1"/>
    <w:next w:val="Normal"/>
    <w:uiPriority w:val="39"/>
    <w:unhideWhenUsed/>
    <w:qFormat/>
    <w:rsid w:val="00AD0228"/>
    <w:pPr>
      <w:spacing w:line="259" w:lineRule="auto"/>
      <w:outlineLvl w:val="9"/>
    </w:pPr>
    <w:rPr>
      <w:lang w:val="en-US"/>
    </w:rPr>
  </w:style>
  <w:style w:type="paragraph" w:styleId="TOC1">
    <w:name w:val="toc 1"/>
    <w:basedOn w:val="Normal"/>
    <w:next w:val="Normal"/>
    <w:autoRedefine/>
    <w:uiPriority w:val="39"/>
    <w:unhideWhenUsed/>
    <w:rsid w:val="00AD0228"/>
    <w:pPr>
      <w:spacing w:after="100"/>
    </w:pPr>
  </w:style>
  <w:style w:type="paragraph" w:styleId="TOC2">
    <w:name w:val="toc 2"/>
    <w:basedOn w:val="Normal"/>
    <w:next w:val="Normal"/>
    <w:autoRedefine/>
    <w:uiPriority w:val="39"/>
    <w:unhideWhenUsed/>
    <w:rsid w:val="00AD0228"/>
    <w:pPr>
      <w:spacing w:after="100"/>
      <w:ind w:left="220"/>
    </w:pPr>
  </w:style>
  <w:style w:type="paragraph" w:styleId="TOC3">
    <w:name w:val="toc 3"/>
    <w:basedOn w:val="Normal"/>
    <w:next w:val="Normal"/>
    <w:autoRedefine/>
    <w:uiPriority w:val="39"/>
    <w:unhideWhenUsed/>
    <w:rsid w:val="00AD0228"/>
    <w:pPr>
      <w:spacing w:after="100"/>
      <w:ind w:left="440"/>
    </w:pPr>
  </w:style>
  <w:style w:type="character" w:styleId="CommentReference">
    <w:name w:val="annotation reference"/>
    <w:basedOn w:val="DefaultParagraphFont"/>
    <w:uiPriority w:val="99"/>
    <w:semiHidden/>
    <w:unhideWhenUsed/>
    <w:rsid w:val="00BB5295"/>
    <w:rPr>
      <w:sz w:val="16"/>
      <w:szCs w:val="16"/>
    </w:rPr>
  </w:style>
  <w:style w:type="paragraph" w:styleId="CommentText">
    <w:name w:val="annotation text"/>
    <w:basedOn w:val="Normal"/>
    <w:link w:val="CommentTextChar"/>
    <w:uiPriority w:val="99"/>
    <w:semiHidden/>
    <w:unhideWhenUsed/>
    <w:rsid w:val="00BB5295"/>
    <w:pPr>
      <w:spacing w:line="240" w:lineRule="auto"/>
    </w:pPr>
    <w:rPr>
      <w:sz w:val="20"/>
      <w:szCs w:val="20"/>
    </w:rPr>
  </w:style>
  <w:style w:type="character" w:customStyle="1" w:styleId="CommentTextChar">
    <w:name w:val="Comment Text Char"/>
    <w:basedOn w:val="DefaultParagraphFont"/>
    <w:link w:val="CommentText"/>
    <w:uiPriority w:val="99"/>
    <w:semiHidden/>
    <w:rsid w:val="00BB5295"/>
    <w:rPr>
      <w:sz w:val="20"/>
      <w:szCs w:val="20"/>
    </w:rPr>
  </w:style>
  <w:style w:type="paragraph" w:styleId="CommentSubject">
    <w:name w:val="annotation subject"/>
    <w:basedOn w:val="CommentText"/>
    <w:next w:val="CommentText"/>
    <w:link w:val="CommentSubjectChar"/>
    <w:uiPriority w:val="99"/>
    <w:semiHidden/>
    <w:unhideWhenUsed/>
    <w:rsid w:val="00BB5295"/>
    <w:rPr>
      <w:b/>
      <w:bCs/>
    </w:rPr>
  </w:style>
  <w:style w:type="character" w:customStyle="1" w:styleId="CommentSubjectChar">
    <w:name w:val="Comment Subject Char"/>
    <w:basedOn w:val="CommentTextChar"/>
    <w:link w:val="CommentSubject"/>
    <w:uiPriority w:val="99"/>
    <w:semiHidden/>
    <w:rsid w:val="00BB5295"/>
    <w:rPr>
      <w:b/>
      <w:bCs/>
      <w:sz w:val="20"/>
      <w:szCs w:val="20"/>
    </w:rPr>
  </w:style>
  <w:style w:type="table" w:customStyle="1" w:styleId="TableGrid1">
    <w:name w:val="Table Grid1"/>
    <w:basedOn w:val="TableNormal"/>
    <w:next w:val="TableGrid"/>
    <w:uiPriority w:val="39"/>
    <w:rsid w:val="00CF28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02457">
      <w:bodyDiv w:val="1"/>
      <w:marLeft w:val="0"/>
      <w:marRight w:val="0"/>
      <w:marTop w:val="0"/>
      <w:marBottom w:val="0"/>
      <w:divBdr>
        <w:top w:val="none" w:sz="0" w:space="0" w:color="auto"/>
        <w:left w:val="none" w:sz="0" w:space="0" w:color="auto"/>
        <w:bottom w:val="none" w:sz="0" w:space="0" w:color="auto"/>
        <w:right w:val="none" w:sz="0" w:space="0" w:color="auto"/>
      </w:divBdr>
    </w:div>
    <w:div w:id="1004087839">
      <w:bodyDiv w:val="1"/>
      <w:marLeft w:val="0"/>
      <w:marRight w:val="0"/>
      <w:marTop w:val="0"/>
      <w:marBottom w:val="0"/>
      <w:divBdr>
        <w:top w:val="none" w:sz="0" w:space="0" w:color="auto"/>
        <w:left w:val="none" w:sz="0" w:space="0" w:color="auto"/>
        <w:bottom w:val="none" w:sz="0" w:space="0" w:color="auto"/>
        <w:right w:val="none" w:sz="0" w:space="0" w:color="auto"/>
      </w:divBdr>
    </w:div>
    <w:div w:id="1631126977">
      <w:bodyDiv w:val="1"/>
      <w:marLeft w:val="0"/>
      <w:marRight w:val="0"/>
      <w:marTop w:val="0"/>
      <w:marBottom w:val="0"/>
      <w:divBdr>
        <w:top w:val="none" w:sz="0" w:space="0" w:color="auto"/>
        <w:left w:val="none" w:sz="0" w:space="0" w:color="auto"/>
        <w:bottom w:val="none" w:sz="0" w:space="0" w:color="auto"/>
        <w:right w:val="none" w:sz="0" w:space="0" w:color="auto"/>
      </w:divBdr>
    </w:div>
    <w:div w:id="16403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C38C-2024-4A3B-9001-57D4EE2C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6262</Words>
  <Characters>35695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Essex County Fire And Rescue Service</Company>
  <LinksUpToDate>false</LinksUpToDate>
  <CharactersWithSpaces>41874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hannah.wakeman@essex-fire.gov.uk</dc:creator>
  <cp:lastModifiedBy>Peter Morath</cp:lastModifiedBy>
  <cp:revision>3</cp:revision>
  <cp:lastPrinted>2019-03-27T12:40:00Z</cp:lastPrinted>
  <dcterms:created xsi:type="dcterms:W3CDTF">2019-05-07T09:54:00Z</dcterms:created>
  <dcterms:modified xsi:type="dcterms:W3CDTF">2019-05-07T10:42:00Z</dcterms:modified>
</cp:coreProperties>
</file>