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00703E5E">
        <w:rPr>
          <w:rFonts w:ascii="Arial" w:hAnsi="Arial" w:cs="Arial"/>
          <w:b/>
          <w:sz w:val="24"/>
          <w:szCs w:val="24"/>
        </w:rPr>
        <w:t xml:space="preserve"> Scrutiny Programme 2018/19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703E5E" w:rsidRDefault="00703E5E" w:rsidP="00773654">
            <w:pPr>
              <w:spacing w:line="480" w:lineRule="auto"/>
              <w:rPr>
                <w:rFonts w:ascii="Arial" w:hAnsi="Arial" w:cs="Arial"/>
                <w:b/>
                <w:sz w:val="24"/>
                <w:szCs w:val="24"/>
              </w:rPr>
            </w:pPr>
            <w:r>
              <w:rPr>
                <w:rFonts w:ascii="Arial" w:hAnsi="Arial" w:cs="Arial"/>
                <w:b/>
                <w:sz w:val="24"/>
                <w:szCs w:val="24"/>
              </w:rPr>
              <w:t>Custody contracted services</w:t>
            </w:r>
          </w:p>
          <w:p w:rsidR="00652B9C" w:rsidRPr="00046E42" w:rsidRDefault="00793326" w:rsidP="00793326">
            <w:pPr>
              <w:spacing w:line="480" w:lineRule="auto"/>
              <w:rPr>
                <w:rFonts w:ascii="Arial" w:hAnsi="Arial" w:cs="Arial"/>
                <w:b/>
                <w:sz w:val="24"/>
                <w:szCs w:val="24"/>
              </w:rPr>
            </w:pPr>
            <w:r>
              <w:rPr>
                <w:rFonts w:ascii="Arial" w:hAnsi="Arial" w:cs="Arial"/>
                <w:b/>
                <w:sz w:val="24"/>
                <w:szCs w:val="24"/>
              </w:rPr>
              <w:t>Update and action plan concerning</w:t>
            </w:r>
            <w:r w:rsidR="00703E5E">
              <w:rPr>
                <w:rFonts w:ascii="Arial" w:hAnsi="Arial" w:cs="Arial"/>
                <w:b/>
                <w:sz w:val="24"/>
                <w:szCs w:val="24"/>
              </w:rPr>
              <w:t xml:space="preserve"> Language </w:t>
            </w:r>
            <w:r>
              <w:rPr>
                <w:rFonts w:ascii="Arial" w:hAnsi="Arial" w:cs="Arial"/>
                <w:b/>
                <w:sz w:val="24"/>
                <w:szCs w:val="24"/>
              </w:rPr>
              <w:t xml:space="preserve">and Translation </w:t>
            </w:r>
            <w:r w:rsidR="00703E5E">
              <w:rPr>
                <w:rFonts w:ascii="Arial" w:hAnsi="Arial" w:cs="Arial"/>
                <w:b/>
                <w:sz w:val="24"/>
                <w:szCs w:val="24"/>
              </w:rPr>
              <w:t>Services</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5F1518" w:rsidP="00773654">
            <w:pPr>
              <w:spacing w:line="480" w:lineRule="auto"/>
              <w:rPr>
                <w:rFonts w:ascii="Arial" w:hAnsi="Arial" w:cs="Arial"/>
                <w:b/>
                <w:sz w:val="24"/>
                <w:szCs w:val="24"/>
              </w:rPr>
            </w:pPr>
            <w:r>
              <w:rPr>
                <w:rFonts w:ascii="Arial" w:hAnsi="Arial" w:cs="Arial"/>
                <w:b/>
                <w:sz w:val="24"/>
                <w:szCs w:val="24"/>
              </w:rPr>
              <w:t>ACC Paul Wells</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723C58" w:rsidP="00773654">
            <w:pPr>
              <w:spacing w:line="480" w:lineRule="auto"/>
              <w:rPr>
                <w:rFonts w:ascii="Arial" w:hAnsi="Arial" w:cs="Arial"/>
                <w:b/>
                <w:sz w:val="24"/>
                <w:szCs w:val="24"/>
              </w:rPr>
            </w:pPr>
            <w:r>
              <w:rPr>
                <w:rFonts w:ascii="Arial" w:hAnsi="Arial" w:cs="Arial"/>
                <w:b/>
                <w:sz w:val="24"/>
                <w:szCs w:val="24"/>
              </w:rPr>
              <w:t>30/04/2019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5F1518" w:rsidP="009F3263">
            <w:pPr>
              <w:spacing w:line="360" w:lineRule="auto"/>
              <w:rPr>
                <w:rFonts w:ascii="Arial" w:hAnsi="Arial" w:cs="Arial"/>
                <w:b/>
                <w:sz w:val="24"/>
                <w:szCs w:val="24"/>
              </w:rPr>
            </w:pPr>
            <w:r>
              <w:rPr>
                <w:rFonts w:ascii="Arial" w:hAnsi="Arial" w:cs="Arial"/>
                <w:b/>
                <w:sz w:val="24"/>
                <w:szCs w:val="24"/>
              </w:rPr>
              <w:t>A/</w:t>
            </w:r>
            <w:r w:rsidR="0065388A">
              <w:rPr>
                <w:rFonts w:ascii="Arial" w:hAnsi="Arial" w:cs="Arial"/>
                <w:b/>
                <w:sz w:val="24"/>
                <w:szCs w:val="24"/>
              </w:rPr>
              <w:t>CH/INSP</w:t>
            </w:r>
            <w:r>
              <w:rPr>
                <w:rFonts w:ascii="Arial" w:hAnsi="Arial" w:cs="Arial"/>
                <w:b/>
                <w:sz w:val="24"/>
                <w:szCs w:val="24"/>
              </w:rPr>
              <w:t xml:space="preserve"> Stuart Colbear</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1423E4" w:rsidP="00773654">
            <w:pPr>
              <w:spacing w:line="480" w:lineRule="auto"/>
              <w:rPr>
                <w:rFonts w:ascii="Arial" w:hAnsi="Arial" w:cs="Arial"/>
                <w:b/>
                <w:sz w:val="24"/>
                <w:szCs w:val="24"/>
              </w:rPr>
            </w:pPr>
            <w:r>
              <w:rPr>
                <w:rFonts w:ascii="Arial" w:hAnsi="Arial" w:cs="Arial"/>
                <w:b/>
                <w:sz w:val="24"/>
                <w:szCs w:val="24"/>
              </w:rPr>
              <w:t>11/04/</w:t>
            </w:r>
            <w:r w:rsidR="00723C58">
              <w:rPr>
                <w:rFonts w:ascii="Arial" w:hAnsi="Arial" w:cs="Arial"/>
                <w:b/>
                <w:sz w:val="24"/>
                <w:szCs w:val="24"/>
              </w:rPr>
              <w:t>20</w:t>
            </w:r>
            <w:r>
              <w:rPr>
                <w:rFonts w:ascii="Arial" w:hAnsi="Arial" w:cs="Arial"/>
                <w:b/>
                <w:sz w:val="24"/>
                <w:szCs w:val="24"/>
              </w:rPr>
              <w:t>19</w:t>
            </w:r>
          </w:p>
        </w:tc>
      </w:tr>
    </w:tbl>
    <w:p w:rsidR="001D5222" w:rsidRPr="004F62BB" w:rsidRDefault="001D5222" w:rsidP="00E92E89">
      <w:pPr>
        <w:spacing w:after="0" w:line="240" w:lineRule="auto"/>
        <w:ind w:left="709"/>
        <w:rPr>
          <w:rFonts w:ascii="Arial" w:hAnsi="Arial" w:cs="Arial"/>
          <w:b/>
          <w:sz w:val="24"/>
          <w:szCs w:val="24"/>
        </w:rPr>
      </w:pPr>
    </w:p>
    <w:p w:rsidR="004F62BB" w:rsidRDefault="004F62BB" w:rsidP="00E92E89">
      <w:pPr>
        <w:pStyle w:val="NoSpacing"/>
        <w:ind w:left="709"/>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652B9C" w:rsidRPr="00652B9C" w:rsidRDefault="005F1518" w:rsidP="00652B9C">
      <w:pPr>
        <w:pStyle w:val="NoSpacing"/>
        <w:ind w:left="720"/>
        <w:rPr>
          <w:rFonts w:ascii="Arial" w:hAnsi="Arial" w:cs="Arial"/>
          <w:sz w:val="24"/>
          <w:szCs w:val="24"/>
        </w:rPr>
      </w:pPr>
      <w:r>
        <w:rPr>
          <w:rFonts w:ascii="Arial" w:hAnsi="Arial" w:cs="Arial"/>
          <w:sz w:val="24"/>
          <w:szCs w:val="24"/>
        </w:rPr>
        <w:t>T</w:t>
      </w:r>
      <w:r w:rsidR="00793326">
        <w:rPr>
          <w:rFonts w:ascii="Arial" w:hAnsi="Arial" w:cs="Arial"/>
          <w:sz w:val="24"/>
          <w:szCs w:val="24"/>
        </w:rPr>
        <w:t>his report is designed to provide a further update on Language and Translation Services (The Big Word) contracted to Essex Police, including the developmental</w:t>
      </w:r>
      <w:r>
        <w:rPr>
          <w:rFonts w:ascii="Arial" w:hAnsi="Arial" w:cs="Arial"/>
          <w:sz w:val="24"/>
          <w:szCs w:val="24"/>
        </w:rPr>
        <w:t xml:space="preserve"> action plan</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DB57A9" w:rsidP="00652B9C">
      <w:pPr>
        <w:pStyle w:val="NoSpacing"/>
        <w:ind w:left="720"/>
        <w:rPr>
          <w:rFonts w:ascii="Arial" w:hAnsi="Arial" w:cs="Arial"/>
          <w:sz w:val="24"/>
          <w:szCs w:val="24"/>
        </w:rPr>
      </w:pPr>
      <w:r>
        <w:rPr>
          <w:rFonts w:ascii="Arial" w:hAnsi="Arial" w:cs="Arial"/>
          <w:sz w:val="24"/>
          <w:szCs w:val="24"/>
        </w:rPr>
        <w:t>This report is f</w:t>
      </w:r>
      <w:r w:rsidR="007451F4">
        <w:rPr>
          <w:rFonts w:ascii="Arial" w:hAnsi="Arial" w:cs="Arial"/>
          <w:sz w:val="24"/>
          <w:szCs w:val="24"/>
        </w:rPr>
        <w:t>or the information of the board only.</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14315E" w:rsidRDefault="0014315E" w:rsidP="0014315E">
      <w:pPr>
        <w:pStyle w:val="NoSpacing"/>
        <w:ind w:left="720"/>
        <w:rPr>
          <w:rFonts w:ascii="Arial" w:hAnsi="Arial" w:cs="Arial"/>
          <w:b/>
          <w:sz w:val="24"/>
          <w:szCs w:val="24"/>
          <w:u w:val="single"/>
        </w:rPr>
      </w:pPr>
    </w:p>
    <w:p w:rsidR="0014315E" w:rsidRPr="0042534E" w:rsidRDefault="0014315E" w:rsidP="00F74323">
      <w:pPr>
        <w:pStyle w:val="NoSpacing"/>
        <w:ind w:left="720"/>
        <w:rPr>
          <w:rFonts w:ascii="Arial" w:hAnsi="Arial" w:cs="Arial"/>
          <w:b/>
          <w:sz w:val="24"/>
          <w:szCs w:val="24"/>
          <w:u w:val="single"/>
        </w:rPr>
      </w:pPr>
    </w:p>
    <w:p w:rsidR="001423E4" w:rsidRDefault="00F74323" w:rsidP="00AF6CD7">
      <w:pPr>
        <w:pStyle w:val="NoSpacing"/>
        <w:ind w:left="720"/>
        <w:rPr>
          <w:rFonts w:ascii="Arial" w:hAnsi="Arial" w:cs="Arial"/>
          <w:sz w:val="24"/>
          <w:szCs w:val="24"/>
        </w:rPr>
      </w:pPr>
      <w:r>
        <w:rPr>
          <w:rFonts w:ascii="Arial" w:hAnsi="Arial" w:cs="Arial"/>
          <w:sz w:val="24"/>
          <w:szCs w:val="24"/>
        </w:rPr>
        <w:lastRenderedPageBreak/>
        <w:t xml:space="preserve">The Big Word </w:t>
      </w:r>
      <w:r w:rsidR="00793326">
        <w:rPr>
          <w:rFonts w:ascii="Arial" w:hAnsi="Arial" w:cs="Arial"/>
          <w:sz w:val="24"/>
          <w:szCs w:val="24"/>
        </w:rPr>
        <w:t xml:space="preserve">(TBW) </w:t>
      </w:r>
      <w:r w:rsidR="005F1518">
        <w:rPr>
          <w:rFonts w:ascii="Arial" w:hAnsi="Arial" w:cs="Arial"/>
          <w:sz w:val="24"/>
          <w:szCs w:val="24"/>
        </w:rPr>
        <w:t xml:space="preserve">continues to provide </w:t>
      </w:r>
      <w:r>
        <w:rPr>
          <w:rFonts w:ascii="Arial" w:hAnsi="Arial" w:cs="Arial"/>
          <w:sz w:val="24"/>
          <w:szCs w:val="24"/>
        </w:rPr>
        <w:t xml:space="preserve">language and translation services </w:t>
      </w:r>
      <w:r w:rsidR="003B559D">
        <w:rPr>
          <w:rFonts w:ascii="Arial" w:hAnsi="Arial" w:cs="Arial"/>
          <w:sz w:val="24"/>
          <w:szCs w:val="24"/>
        </w:rPr>
        <w:t xml:space="preserve">for </w:t>
      </w:r>
      <w:r w:rsidR="005F1518">
        <w:rPr>
          <w:rFonts w:ascii="Arial" w:hAnsi="Arial" w:cs="Arial"/>
          <w:sz w:val="24"/>
          <w:szCs w:val="24"/>
        </w:rPr>
        <w:t>Essex Police under contract since</w:t>
      </w:r>
      <w:r>
        <w:rPr>
          <w:rFonts w:ascii="Arial" w:hAnsi="Arial" w:cs="Arial"/>
          <w:sz w:val="24"/>
          <w:szCs w:val="24"/>
        </w:rPr>
        <w:t xml:space="preserve"> </w:t>
      </w:r>
      <w:r w:rsidR="003B559D">
        <w:rPr>
          <w:rFonts w:ascii="Arial" w:hAnsi="Arial" w:cs="Arial"/>
          <w:sz w:val="24"/>
          <w:szCs w:val="24"/>
        </w:rPr>
        <w:t>1</w:t>
      </w:r>
      <w:r w:rsidR="003B559D" w:rsidRPr="003B559D">
        <w:rPr>
          <w:rFonts w:ascii="Arial" w:hAnsi="Arial" w:cs="Arial"/>
          <w:sz w:val="24"/>
          <w:szCs w:val="24"/>
          <w:vertAlign w:val="superscript"/>
        </w:rPr>
        <w:t>st</w:t>
      </w:r>
      <w:r w:rsidR="003B559D">
        <w:rPr>
          <w:rFonts w:ascii="Arial" w:hAnsi="Arial" w:cs="Arial"/>
          <w:sz w:val="24"/>
          <w:szCs w:val="24"/>
        </w:rPr>
        <w:t xml:space="preserve"> September 2017</w:t>
      </w:r>
      <w:r w:rsidR="00D83091">
        <w:rPr>
          <w:rFonts w:ascii="Arial" w:hAnsi="Arial" w:cs="Arial"/>
          <w:sz w:val="24"/>
          <w:szCs w:val="24"/>
        </w:rPr>
        <w:t xml:space="preserve"> until 31</w:t>
      </w:r>
      <w:r w:rsidR="00D83091" w:rsidRPr="00D83091">
        <w:rPr>
          <w:rFonts w:ascii="Arial" w:hAnsi="Arial" w:cs="Arial"/>
          <w:sz w:val="24"/>
          <w:szCs w:val="24"/>
          <w:vertAlign w:val="superscript"/>
        </w:rPr>
        <w:t>st</w:t>
      </w:r>
      <w:r w:rsidR="00D83091">
        <w:rPr>
          <w:rFonts w:ascii="Arial" w:hAnsi="Arial" w:cs="Arial"/>
          <w:sz w:val="24"/>
          <w:szCs w:val="24"/>
        </w:rPr>
        <w:t xml:space="preserve"> August 2020</w:t>
      </w:r>
      <w:r w:rsidR="005F1518">
        <w:rPr>
          <w:rFonts w:ascii="Arial" w:hAnsi="Arial" w:cs="Arial"/>
          <w:sz w:val="24"/>
          <w:szCs w:val="24"/>
        </w:rPr>
        <w:t xml:space="preserve">. </w:t>
      </w:r>
    </w:p>
    <w:p w:rsidR="001423E4" w:rsidRDefault="001423E4" w:rsidP="00AF6CD7">
      <w:pPr>
        <w:pStyle w:val="NoSpacing"/>
        <w:ind w:left="720"/>
        <w:rPr>
          <w:rFonts w:ascii="Arial" w:hAnsi="Arial" w:cs="Arial"/>
          <w:sz w:val="24"/>
          <w:szCs w:val="24"/>
        </w:rPr>
      </w:pPr>
    </w:p>
    <w:p w:rsidR="001423E4" w:rsidRDefault="005F1518" w:rsidP="00AF6CD7">
      <w:pPr>
        <w:pStyle w:val="NoSpacing"/>
        <w:ind w:left="720"/>
        <w:rPr>
          <w:rFonts w:ascii="Arial" w:hAnsi="Arial" w:cs="Arial"/>
          <w:sz w:val="24"/>
          <w:szCs w:val="24"/>
        </w:rPr>
      </w:pPr>
      <w:r>
        <w:rPr>
          <w:rFonts w:ascii="Arial" w:hAnsi="Arial" w:cs="Arial"/>
          <w:sz w:val="24"/>
          <w:szCs w:val="24"/>
        </w:rPr>
        <w:t>Significant d</w:t>
      </w:r>
      <w:r w:rsidR="003B559D">
        <w:rPr>
          <w:rFonts w:ascii="Arial" w:hAnsi="Arial" w:cs="Arial"/>
          <w:sz w:val="24"/>
          <w:szCs w:val="24"/>
        </w:rPr>
        <w:t xml:space="preserve">emand for their services </w:t>
      </w:r>
      <w:r>
        <w:rPr>
          <w:rFonts w:ascii="Arial" w:hAnsi="Arial" w:cs="Arial"/>
          <w:sz w:val="24"/>
          <w:szCs w:val="24"/>
        </w:rPr>
        <w:t>comes from Essex Police Custody</w:t>
      </w:r>
      <w:r w:rsidR="001423E4">
        <w:rPr>
          <w:rFonts w:ascii="Arial" w:hAnsi="Arial" w:cs="Arial"/>
          <w:sz w:val="24"/>
          <w:szCs w:val="24"/>
        </w:rPr>
        <w:t>, however the service extends to provide</w:t>
      </w:r>
      <w:r>
        <w:rPr>
          <w:rFonts w:ascii="Arial" w:hAnsi="Arial" w:cs="Arial"/>
          <w:sz w:val="24"/>
          <w:szCs w:val="24"/>
        </w:rPr>
        <w:t xml:space="preserve"> a service to investigative departments as necessary. </w:t>
      </w:r>
    </w:p>
    <w:p w:rsidR="001423E4" w:rsidRDefault="001423E4" w:rsidP="00AF6CD7">
      <w:pPr>
        <w:pStyle w:val="NoSpacing"/>
        <w:ind w:left="720"/>
        <w:rPr>
          <w:rFonts w:ascii="Arial" w:hAnsi="Arial" w:cs="Arial"/>
          <w:sz w:val="24"/>
          <w:szCs w:val="24"/>
        </w:rPr>
      </w:pPr>
    </w:p>
    <w:p w:rsidR="001423E4" w:rsidRDefault="005F1518" w:rsidP="00AF6CD7">
      <w:pPr>
        <w:pStyle w:val="NoSpacing"/>
        <w:ind w:left="720"/>
        <w:rPr>
          <w:rFonts w:ascii="Arial" w:hAnsi="Arial" w:cs="Arial"/>
          <w:sz w:val="24"/>
          <w:szCs w:val="24"/>
        </w:rPr>
      </w:pPr>
      <w:r>
        <w:rPr>
          <w:rFonts w:ascii="Arial" w:hAnsi="Arial" w:cs="Arial"/>
          <w:sz w:val="24"/>
          <w:szCs w:val="24"/>
        </w:rPr>
        <w:t xml:space="preserve">The previous report identified </w:t>
      </w:r>
      <w:r w:rsidR="001423E4">
        <w:rPr>
          <w:rFonts w:ascii="Arial" w:hAnsi="Arial" w:cs="Arial"/>
          <w:sz w:val="24"/>
          <w:szCs w:val="24"/>
        </w:rPr>
        <w:t>on-going issues with TBW</w:t>
      </w:r>
      <w:r w:rsidR="003B559D">
        <w:rPr>
          <w:rFonts w:ascii="Arial" w:hAnsi="Arial" w:cs="Arial"/>
          <w:sz w:val="24"/>
          <w:szCs w:val="24"/>
        </w:rPr>
        <w:t xml:space="preserve"> </w:t>
      </w:r>
      <w:r w:rsidR="001423E4">
        <w:rPr>
          <w:rFonts w:ascii="Arial" w:hAnsi="Arial" w:cs="Arial"/>
          <w:sz w:val="24"/>
          <w:szCs w:val="24"/>
        </w:rPr>
        <w:t>and that it continues to fail</w:t>
      </w:r>
      <w:r>
        <w:rPr>
          <w:rFonts w:ascii="Arial" w:hAnsi="Arial" w:cs="Arial"/>
          <w:sz w:val="24"/>
          <w:szCs w:val="24"/>
        </w:rPr>
        <w:t xml:space="preserve"> </w:t>
      </w:r>
      <w:r w:rsidR="003B559D">
        <w:rPr>
          <w:rFonts w:ascii="Arial" w:hAnsi="Arial" w:cs="Arial"/>
          <w:sz w:val="24"/>
          <w:szCs w:val="24"/>
        </w:rPr>
        <w:t>to meet the contract specifications, resulting in significant operational impact</w:t>
      </w:r>
      <w:r w:rsidR="0042534E">
        <w:rPr>
          <w:rFonts w:ascii="Arial" w:hAnsi="Arial" w:cs="Arial"/>
          <w:sz w:val="24"/>
          <w:szCs w:val="24"/>
        </w:rPr>
        <w:t xml:space="preserve"> for victims, witnesses and suspects</w:t>
      </w:r>
      <w:r w:rsidR="003B559D">
        <w:rPr>
          <w:rFonts w:ascii="Arial" w:hAnsi="Arial" w:cs="Arial"/>
          <w:sz w:val="24"/>
          <w:szCs w:val="24"/>
        </w:rPr>
        <w:t xml:space="preserve"> </w:t>
      </w:r>
      <w:r w:rsidR="0042534E">
        <w:rPr>
          <w:rFonts w:ascii="Arial" w:hAnsi="Arial" w:cs="Arial"/>
          <w:sz w:val="24"/>
          <w:szCs w:val="24"/>
        </w:rPr>
        <w:t>due to delays in</w:t>
      </w:r>
      <w:r w:rsidR="003B559D">
        <w:rPr>
          <w:rFonts w:ascii="Arial" w:hAnsi="Arial" w:cs="Arial"/>
          <w:sz w:val="24"/>
          <w:szCs w:val="24"/>
        </w:rPr>
        <w:t xml:space="preserve"> process fo</w:t>
      </w:r>
      <w:r w:rsidR="0042534E">
        <w:rPr>
          <w:rFonts w:ascii="Arial" w:hAnsi="Arial" w:cs="Arial"/>
          <w:sz w:val="24"/>
          <w:szCs w:val="24"/>
        </w:rPr>
        <w:t>r non-English speaking members of the public</w:t>
      </w:r>
      <w:r w:rsidR="003B559D">
        <w:rPr>
          <w:rFonts w:ascii="Arial" w:hAnsi="Arial" w:cs="Arial"/>
          <w:sz w:val="24"/>
          <w:szCs w:val="24"/>
        </w:rPr>
        <w:t>.</w:t>
      </w:r>
      <w:r>
        <w:rPr>
          <w:rFonts w:ascii="Arial" w:hAnsi="Arial" w:cs="Arial"/>
          <w:sz w:val="24"/>
          <w:szCs w:val="24"/>
        </w:rPr>
        <w:t xml:space="preserve">  </w:t>
      </w:r>
    </w:p>
    <w:p w:rsidR="001423E4" w:rsidRDefault="001423E4" w:rsidP="00AF6CD7">
      <w:pPr>
        <w:pStyle w:val="NoSpacing"/>
        <w:ind w:left="720"/>
        <w:rPr>
          <w:rFonts w:ascii="Arial" w:hAnsi="Arial" w:cs="Arial"/>
          <w:sz w:val="24"/>
          <w:szCs w:val="24"/>
        </w:rPr>
      </w:pPr>
    </w:p>
    <w:p w:rsidR="001423E4" w:rsidRDefault="001423E4" w:rsidP="00AF6CD7">
      <w:pPr>
        <w:pStyle w:val="NoSpacing"/>
        <w:ind w:left="720"/>
        <w:rPr>
          <w:rFonts w:ascii="Arial" w:hAnsi="Arial" w:cs="Arial"/>
          <w:sz w:val="24"/>
          <w:szCs w:val="24"/>
        </w:rPr>
      </w:pPr>
    </w:p>
    <w:p w:rsidR="001423E4" w:rsidRDefault="005F1518" w:rsidP="00AF6CD7">
      <w:pPr>
        <w:pStyle w:val="NoSpacing"/>
        <w:ind w:left="720"/>
        <w:rPr>
          <w:rFonts w:ascii="Arial" w:hAnsi="Arial" w:cs="Arial"/>
          <w:sz w:val="24"/>
          <w:szCs w:val="24"/>
        </w:rPr>
      </w:pPr>
      <w:r>
        <w:rPr>
          <w:rFonts w:ascii="Arial" w:hAnsi="Arial" w:cs="Arial"/>
          <w:sz w:val="24"/>
          <w:szCs w:val="24"/>
        </w:rPr>
        <w:t xml:space="preserve">The </w:t>
      </w:r>
      <w:r w:rsidR="0042534E">
        <w:rPr>
          <w:rFonts w:ascii="Arial" w:hAnsi="Arial" w:cs="Arial"/>
          <w:sz w:val="24"/>
          <w:szCs w:val="24"/>
        </w:rPr>
        <w:t>Association of C</w:t>
      </w:r>
      <w:r w:rsidR="00A358A7">
        <w:rPr>
          <w:rFonts w:ascii="Arial" w:hAnsi="Arial" w:cs="Arial"/>
          <w:sz w:val="24"/>
          <w:szCs w:val="24"/>
        </w:rPr>
        <w:t>ourt and Police Interpreters (A</w:t>
      </w:r>
      <w:r w:rsidR="0042534E">
        <w:rPr>
          <w:rFonts w:ascii="Arial" w:hAnsi="Arial" w:cs="Arial"/>
          <w:sz w:val="24"/>
          <w:szCs w:val="24"/>
        </w:rPr>
        <w:t>P</w:t>
      </w:r>
      <w:r w:rsidR="00A358A7">
        <w:rPr>
          <w:rFonts w:ascii="Arial" w:hAnsi="Arial" w:cs="Arial"/>
          <w:sz w:val="24"/>
          <w:szCs w:val="24"/>
        </w:rPr>
        <w:t>C</w:t>
      </w:r>
      <w:r w:rsidR="00793326">
        <w:rPr>
          <w:rFonts w:ascii="Arial" w:hAnsi="Arial" w:cs="Arial"/>
          <w:sz w:val="24"/>
          <w:szCs w:val="24"/>
        </w:rPr>
        <w:t xml:space="preserve">I) </w:t>
      </w:r>
      <w:r>
        <w:rPr>
          <w:rFonts w:ascii="Arial" w:hAnsi="Arial" w:cs="Arial"/>
          <w:sz w:val="24"/>
          <w:szCs w:val="24"/>
        </w:rPr>
        <w:t xml:space="preserve">is in place to provide a service </w:t>
      </w:r>
      <w:r w:rsidR="00793326">
        <w:rPr>
          <w:rFonts w:ascii="Arial" w:hAnsi="Arial" w:cs="Arial"/>
          <w:sz w:val="24"/>
          <w:szCs w:val="24"/>
        </w:rPr>
        <w:t>where TBW are unable to meet the service demand</w:t>
      </w:r>
      <w:r w:rsidR="00E85307">
        <w:rPr>
          <w:rFonts w:ascii="Arial" w:hAnsi="Arial" w:cs="Arial"/>
          <w:sz w:val="24"/>
          <w:szCs w:val="24"/>
        </w:rPr>
        <w:t xml:space="preserve">. We are working with a national working group to explore options to provide a standalone translation service owned by the Police. </w:t>
      </w:r>
    </w:p>
    <w:p w:rsidR="001423E4" w:rsidRDefault="001423E4" w:rsidP="00AF6CD7">
      <w:pPr>
        <w:pStyle w:val="NoSpacing"/>
        <w:ind w:left="720"/>
        <w:rPr>
          <w:rFonts w:ascii="Arial" w:hAnsi="Arial" w:cs="Arial"/>
          <w:sz w:val="24"/>
          <w:szCs w:val="24"/>
        </w:rPr>
      </w:pPr>
    </w:p>
    <w:p w:rsidR="001423E4" w:rsidRDefault="00E85307" w:rsidP="00AF6CD7">
      <w:pPr>
        <w:pStyle w:val="NoSpacing"/>
        <w:ind w:left="720"/>
        <w:rPr>
          <w:rFonts w:ascii="Arial" w:hAnsi="Arial" w:cs="Arial"/>
          <w:sz w:val="24"/>
          <w:szCs w:val="24"/>
        </w:rPr>
      </w:pPr>
      <w:r>
        <w:rPr>
          <w:rFonts w:ascii="Arial" w:hAnsi="Arial" w:cs="Arial"/>
          <w:sz w:val="24"/>
          <w:szCs w:val="24"/>
        </w:rPr>
        <w:t xml:space="preserve">This work is ongoing but may provide a significant cost saving and improvement to the service. We are making good use of the APCI service and looking at what the future beyond August 2020 will look like. </w:t>
      </w:r>
    </w:p>
    <w:p w:rsidR="001423E4" w:rsidRDefault="001423E4" w:rsidP="00AF6CD7">
      <w:pPr>
        <w:pStyle w:val="NoSpacing"/>
        <w:ind w:left="720"/>
        <w:rPr>
          <w:rFonts w:ascii="Arial" w:hAnsi="Arial" w:cs="Arial"/>
          <w:sz w:val="24"/>
          <w:szCs w:val="24"/>
        </w:rPr>
      </w:pPr>
    </w:p>
    <w:p w:rsidR="00AF6CD7" w:rsidRDefault="00E85307" w:rsidP="00AF6CD7">
      <w:pPr>
        <w:pStyle w:val="NoSpacing"/>
        <w:ind w:left="720"/>
        <w:rPr>
          <w:rFonts w:ascii="Arial" w:hAnsi="Arial" w:cs="Arial"/>
          <w:sz w:val="24"/>
          <w:szCs w:val="24"/>
        </w:rPr>
      </w:pPr>
      <w:r>
        <w:rPr>
          <w:rFonts w:ascii="Arial" w:hAnsi="Arial" w:cs="Arial"/>
          <w:sz w:val="24"/>
          <w:szCs w:val="24"/>
        </w:rPr>
        <w:t>We are holding TBW to account in monthly meetings to highlight continuing issues. As the results of these plans become apparent an update will be given to this board</w:t>
      </w:r>
    </w:p>
    <w:p w:rsidR="005F1518" w:rsidRDefault="005F1518" w:rsidP="00AF6CD7">
      <w:pPr>
        <w:pStyle w:val="NoSpacing"/>
        <w:ind w:left="720"/>
        <w:rPr>
          <w:rFonts w:ascii="Arial" w:hAnsi="Arial" w:cs="Arial"/>
          <w:sz w:val="24"/>
          <w:szCs w:val="24"/>
        </w:rPr>
      </w:pPr>
    </w:p>
    <w:p w:rsidR="005F1518" w:rsidRDefault="005F1518" w:rsidP="00AF6CD7">
      <w:pPr>
        <w:pStyle w:val="NoSpacing"/>
        <w:ind w:left="720"/>
        <w:rPr>
          <w:rFonts w:ascii="Arial" w:hAnsi="Arial" w:cs="Arial"/>
          <w:sz w:val="24"/>
          <w:szCs w:val="24"/>
        </w:rPr>
      </w:pPr>
    </w:p>
    <w:p w:rsidR="00121A7F" w:rsidRDefault="004F62BB" w:rsidP="0014315E">
      <w:pPr>
        <w:pStyle w:val="NoSpacing"/>
        <w:numPr>
          <w:ilvl w:val="0"/>
          <w:numId w:val="8"/>
        </w:numPr>
        <w:rPr>
          <w:rFonts w:ascii="Arial" w:hAnsi="Arial" w:cs="Arial"/>
          <w:b/>
          <w:sz w:val="24"/>
          <w:szCs w:val="24"/>
          <w:u w:val="single"/>
        </w:rPr>
      </w:pPr>
      <w:r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4315E" w:rsidRPr="007D3E9B" w:rsidRDefault="0014315E" w:rsidP="0014315E">
      <w:pPr>
        <w:pStyle w:val="NoSpacing"/>
        <w:ind w:left="720"/>
        <w:rPr>
          <w:rFonts w:ascii="Arial" w:hAnsi="Arial" w:cs="Arial"/>
          <w:b/>
          <w:sz w:val="24"/>
          <w:szCs w:val="24"/>
          <w:u w:val="single"/>
        </w:rPr>
      </w:pPr>
    </w:p>
    <w:p w:rsidR="00A17278" w:rsidRDefault="0042534E" w:rsidP="006279AB">
      <w:pPr>
        <w:pStyle w:val="NoSpacing"/>
        <w:ind w:left="720"/>
        <w:rPr>
          <w:rFonts w:ascii="Arial" w:hAnsi="Arial" w:cs="Arial"/>
          <w:b/>
          <w:sz w:val="24"/>
          <w:szCs w:val="24"/>
          <w:u w:val="single"/>
        </w:rPr>
      </w:pPr>
      <w:r w:rsidRPr="0042534E">
        <w:rPr>
          <w:rFonts w:ascii="Arial" w:hAnsi="Arial" w:cs="Arial"/>
          <w:b/>
          <w:sz w:val="24"/>
          <w:szCs w:val="24"/>
          <w:u w:val="single"/>
        </w:rPr>
        <w:t>Language Services</w:t>
      </w:r>
    </w:p>
    <w:p w:rsidR="0014315E" w:rsidRPr="0042534E" w:rsidRDefault="0014315E" w:rsidP="006279AB">
      <w:pPr>
        <w:pStyle w:val="NoSpacing"/>
        <w:ind w:left="720"/>
        <w:rPr>
          <w:rFonts w:ascii="Arial" w:hAnsi="Arial" w:cs="Arial"/>
          <w:b/>
          <w:sz w:val="24"/>
          <w:szCs w:val="24"/>
          <w:u w:val="single"/>
        </w:rPr>
      </w:pPr>
    </w:p>
    <w:p w:rsidR="005F1518" w:rsidRDefault="005F1518" w:rsidP="00BE4F93">
      <w:pPr>
        <w:pStyle w:val="NoSpacing"/>
        <w:ind w:left="720"/>
        <w:rPr>
          <w:rFonts w:ascii="Arial" w:hAnsi="Arial" w:cs="Arial"/>
          <w:sz w:val="24"/>
          <w:szCs w:val="24"/>
        </w:rPr>
      </w:pPr>
      <w:r>
        <w:rPr>
          <w:rFonts w:ascii="Arial" w:hAnsi="Arial" w:cs="Arial"/>
          <w:sz w:val="24"/>
          <w:szCs w:val="24"/>
        </w:rPr>
        <w:t xml:space="preserve">Demand for </w:t>
      </w:r>
      <w:r w:rsidR="00A17278">
        <w:rPr>
          <w:rFonts w:ascii="Arial" w:hAnsi="Arial" w:cs="Arial"/>
          <w:sz w:val="24"/>
          <w:szCs w:val="24"/>
        </w:rPr>
        <w:t>la</w:t>
      </w:r>
      <w:r>
        <w:rPr>
          <w:rFonts w:ascii="Arial" w:hAnsi="Arial" w:cs="Arial"/>
          <w:sz w:val="24"/>
          <w:szCs w:val="24"/>
        </w:rPr>
        <w:t xml:space="preserve">nguage and translation services continues to rise. This is </w:t>
      </w:r>
      <w:r w:rsidR="00A17278">
        <w:rPr>
          <w:rFonts w:ascii="Arial" w:hAnsi="Arial" w:cs="Arial"/>
          <w:sz w:val="24"/>
          <w:szCs w:val="24"/>
        </w:rPr>
        <w:t xml:space="preserve">particularly </w:t>
      </w:r>
      <w:r>
        <w:rPr>
          <w:rFonts w:ascii="Arial" w:hAnsi="Arial" w:cs="Arial"/>
          <w:sz w:val="24"/>
          <w:szCs w:val="24"/>
        </w:rPr>
        <w:t xml:space="preserve">important </w:t>
      </w:r>
      <w:r w:rsidR="00A17278">
        <w:rPr>
          <w:rFonts w:ascii="Arial" w:hAnsi="Arial" w:cs="Arial"/>
          <w:sz w:val="24"/>
          <w:szCs w:val="24"/>
        </w:rPr>
        <w:t>when victims/witnesses and suspects do not speak English as a first language</w:t>
      </w:r>
      <w:r>
        <w:rPr>
          <w:rFonts w:ascii="Arial" w:hAnsi="Arial" w:cs="Arial"/>
          <w:sz w:val="24"/>
          <w:szCs w:val="24"/>
        </w:rPr>
        <w:t xml:space="preserve"> and allows us t</w:t>
      </w:r>
      <w:r w:rsidR="00A17278">
        <w:rPr>
          <w:rFonts w:ascii="Arial" w:hAnsi="Arial" w:cs="Arial"/>
          <w:sz w:val="24"/>
          <w:szCs w:val="24"/>
        </w:rPr>
        <w:t xml:space="preserve">o </w:t>
      </w:r>
      <w:r w:rsidR="0042534E">
        <w:rPr>
          <w:rFonts w:ascii="Arial" w:hAnsi="Arial" w:cs="Arial"/>
          <w:sz w:val="24"/>
          <w:szCs w:val="24"/>
        </w:rPr>
        <w:t xml:space="preserve">facilitate detainee care; </w:t>
      </w:r>
      <w:r w:rsidR="00A17278">
        <w:rPr>
          <w:rFonts w:ascii="Arial" w:hAnsi="Arial" w:cs="Arial"/>
          <w:sz w:val="24"/>
          <w:szCs w:val="24"/>
        </w:rPr>
        <w:t xml:space="preserve">enable communication of authorities, rights and entitlements and </w:t>
      </w:r>
      <w:r w:rsidR="0042534E">
        <w:rPr>
          <w:rFonts w:ascii="Arial" w:hAnsi="Arial" w:cs="Arial"/>
          <w:sz w:val="24"/>
          <w:szCs w:val="24"/>
        </w:rPr>
        <w:t xml:space="preserve">allow </w:t>
      </w:r>
      <w:r w:rsidR="00A17278">
        <w:rPr>
          <w:rFonts w:ascii="Arial" w:hAnsi="Arial" w:cs="Arial"/>
          <w:sz w:val="24"/>
          <w:szCs w:val="24"/>
        </w:rPr>
        <w:t xml:space="preserve">effective investigation </w:t>
      </w:r>
      <w:r w:rsidR="0042534E">
        <w:rPr>
          <w:rFonts w:ascii="Arial" w:hAnsi="Arial" w:cs="Arial"/>
          <w:sz w:val="24"/>
          <w:szCs w:val="24"/>
        </w:rPr>
        <w:t>of offences through interview.</w:t>
      </w:r>
      <w:r>
        <w:rPr>
          <w:rFonts w:ascii="Arial" w:hAnsi="Arial" w:cs="Arial"/>
          <w:sz w:val="24"/>
          <w:szCs w:val="24"/>
        </w:rPr>
        <w:t xml:space="preserve"> </w:t>
      </w:r>
    </w:p>
    <w:p w:rsidR="005F1518" w:rsidRDefault="005F1518" w:rsidP="00BE4F93">
      <w:pPr>
        <w:pStyle w:val="NoSpacing"/>
        <w:ind w:left="720"/>
        <w:rPr>
          <w:rFonts w:ascii="Arial" w:hAnsi="Arial" w:cs="Arial"/>
          <w:sz w:val="24"/>
          <w:szCs w:val="24"/>
        </w:rPr>
      </w:pPr>
    </w:p>
    <w:p w:rsidR="00E1350E" w:rsidRDefault="00E1350E" w:rsidP="00BE4F93">
      <w:pPr>
        <w:pStyle w:val="NoSpacing"/>
        <w:ind w:left="720"/>
        <w:rPr>
          <w:rFonts w:ascii="Arial" w:hAnsi="Arial" w:cs="Arial"/>
          <w:sz w:val="24"/>
          <w:szCs w:val="24"/>
        </w:rPr>
      </w:pPr>
      <w:r>
        <w:rPr>
          <w:rFonts w:ascii="Arial" w:hAnsi="Arial" w:cs="Arial"/>
          <w:sz w:val="24"/>
          <w:szCs w:val="24"/>
        </w:rPr>
        <w:t xml:space="preserve">The previous report </w:t>
      </w:r>
      <w:r w:rsidR="00E85307">
        <w:rPr>
          <w:rFonts w:ascii="Arial" w:hAnsi="Arial" w:cs="Arial"/>
          <w:sz w:val="24"/>
          <w:szCs w:val="24"/>
        </w:rPr>
        <w:t>from 3</w:t>
      </w:r>
      <w:r w:rsidR="00E85307" w:rsidRPr="00E85307">
        <w:rPr>
          <w:rFonts w:ascii="Arial" w:hAnsi="Arial" w:cs="Arial"/>
          <w:sz w:val="24"/>
          <w:szCs w:val="24"/>
          <w:vertAlign w:val="superscript"/>
        </w:rPr>
        <w:t>rd</w:t>
      </w:r>
      <w:r w:rsidR="00E85307">
        <w:rPr>
          <w:rFonts w:ascii="Arial" w:hAnsi="Arial" w:cs="Arial"/>
          <w:sz w:val="24"/>
          <w:szCs w:val="24"/>
        </w:rPr>
        <w:t xml:space="preserve"> January 2019 </w:t>
      </w:r>
      <w:r>
        <w:rPr>
          <w:rFonts w:ascii="Arial" w:hAnsi="Arial" w:cs="Arial"/>
          <w:sz w:val="24"/>
          <w:szCs w:val="24"/>
        </w:rPr>
        <w:t>identified a v</w:t>
      </w:r>
      <w:r w:rsidR="00BE4F93" w:rsidRPr="00BE4F93">
        <w:rPr>
          <w:rFonts w:ascii="Arial" w:hAnsi="Arial" w:cs="Arial"/>
          <w:sz w:val="24"/>
          <w:szCs w:val="24"/>
        </w:rPr>
        <w:t xml:space="preserve">ariety of issues </w:t>
      </w:r>
      <w:r w:rsidR="00793326" w:rsidRPr="00793326">
        <w:rPr>
          <w:rFonts w:ascii="Arial" w:hAnsi="Arial" w:cs="Arial"/>
          <w:sz w:val="24"/>
          <w:szCs w:val="24"/>
        </w:rPr>
        <w:t>surrounding the pro</w:t>
      </w:r>
      <w:r>
        <w:rPr>
          <w:rFonts w:ascii="Arial" w:hAnsi="Arial" w:cs="Arial"/>
          <w:sz w:val="24"/>
          <w:szCs w:val="24"/>
        </w:rPr>
        <w:t>vision of interpreters.</w:t>
      </w:r>
      <w:r w:rsidR="00793326" w:rsidRPr="00793326">
        <w:rPr>
          <w:rFonts w:ascii="Arial" w:hAnsi="Arial" w:cs="Arial"/>
          <w:sz w:val="24"/>
          <w:szCs w:val="24"/>
        </w:rPr>
        <w:t xml:space="preserve"> In a number of cases we have been unable to obtain certain languages, face to face translation in custody, or for document translation.</w:t>
      </w:r>
      <w:r>
        <w:rPr>
          <w:rFonts w:ascii="Arial" w:hAnsi="Arial" w:cs="Arial"/>
          <w:sz w:val="24"/>
          <w:szCs w:val="24"/>
        </w:rPr>
        <w:t xml:space="preserve"> </w:t>
      </w:r>
    </w:p>
    <w:p w:rsidR="00E1350E" w:rsidRDefault="00E1350E" w:rsidP="00BE4F93">
      <w:pPr>
        <w:pStyle w:val="NoSpacing"/>
        <w:ind w:left="720"/>
        <w:rPr>
          <w:rFonts w:ascii="Arial" w:hAnsi="Arial" w:cs="Arial"/>
          <w:sz w:val="24"/>
          <w:szCs w:val="24"/>
        </w:rPr>
      </w:pPr>
    </w:p>
    <w:p w:rsidR="00A17278" w:rsidRDefault="00793326" w:rsidP="00E1350E">
      <w:pPr>
        <w:pStyle w:val="NoSpacing"/>
        <w:ind w:left="720"/>
        <w:rPr>
          <w:rFonts w:ascii="Arial" w:hAnsi="Arial" w:cs="Arial"/>
          <w:sz w:val="24"/>
          <w:szCs w:val="24"/>
        </w:rPr>
      </w:pPr>
      <w:r>
        <w:rPr>
          <w:rFonts w:ascii="Arial" w:hAnsi="Arial" w:cs="Arial"/>
          <w:sz w:val="24"/>
          <w:szCs w:val="24"/>
        </w:rPr>
        <w:t>As a result a</w:t>
      </w:r>
      <w:r w:rsidR="00E1350E">
        <w:rPr>
          <w:rFonts w:ascii="Arial" w:hAnsi="Arial" w:cs="Arial"/>
          <w:sz w:val="24"/>
          <w:szCs w:val="24"/>
        </w:rPr>
        <w:t>n</w:t>
      </w:r>
      <w:r>
        <w:rPr>
          <w:rFonts w:ascii="Arial" w:hAnsi="Arial" w:cs="Arial"/>
          <w:sz w:val="24"/>
          <w:szCs w:val="24"/>
        </w:rPr>
        <w:t xml:space="preserve"> </w:t>
      </w:r>
      <w:r w:rsidR="00E1350E">
        <w:rPr>
          <w:rFonts w:ascii="Arial" w:hAnsi="Arial" w:cs="Arial"/>
          <w:sz w:val="24"/>
          <w:szCs w:val="24"/>
        </w:rPr>
        <w:t xml:space="preserve">ongoing </w:t>
      </w:r>
      <w:r>
        <w:rPr>
          <w:rFonts w:ascii="Arial" w:hAnsi="Arial" w:cs="Arial"/>
          <w:sz w:val="24"/>
          <w:szCs w:val="24"/>
        </w:rPr>
        <w:t>development</w:t>
      </w:r>
      <w:r w:rsidR="00E1350E">
        <w:rPr>
          <w:rFonts w:ascii="Arial" w:hAnsi="Arial" w:cs="Arial"/>
          <w:sz w:val="24"/>
          <w:szCs w:val="24"/>
        </w:rPr>
        <w:t xml:space="preserve">al action plan is being progressed </w:t>
      </w:r>
      <w:r>
        <w:rPr>
          <w:rFonts w:ascii="Arial" w:hAnsi="Arial" w:cs="Arial"/>
          <w:sz w:val="24"/>
          <w:szCs w:val="24"/>
        </w:rPr>
        <w:t>by Criminal Justice Command.</w:t>
      </w:r>
      <w:r w:rsidR="00E85307">
        <w:rPr>
          <w:rFonts w:ascii="Arial" w:hAnsi="Arial" w:cs="Arial"/>
          <w:sz w:val="24"/>
          <w:szCs w:val="24"/>
        </w:rPr>
        <w:t xml:space="preserve"> This is shown at the end of this document.</w:t>
      </w:r>
    </w:p>
    <w:p w:rsidR="003B559D" w:rsidRPr="007D3E9B" w:rsidRDefault="003B559D" w:rsidP="006279AB">
      <w:pPr>
        <w:pStyle w:val="NoSpacing"/>
        <w:ind w:left="720"/>
        <w:rPr>
          <w:rFonts w:ascii="Arial" w:hAnsi="Arial" w:cs="Arial"/>
          <w:sz w:val="24"/>
          <w:szCs w:val="24"/>
        </w:rPr>
      </w:pPr>
    </w:p>
    <w:p w:rsidR="00C654B8" w:rsidRDefault="00017D7D" w:rsidP="0014315E">
      <w:pPr>
        <w:pStyle w:val="NoSpacing"/>
        <w:numPr>
          <w:ilvl w:val="0"/>
          <w:numId w:val="8"/>
        </w:numPr>
        <w:rPr>
          <w:rFonts w:ascii="Arial" w:hAnsi="Arial" w:cs="Arial"/>
          <w:b/>
          <w:sz w:val="24"/>
          <w:szCs w:val="24"/>
          <w:u w:val="single"/>
        </w:rPr>
      </w:pPr>
      <w:r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14315E" w:rsidRPr="007D3E9B" w:rsidRDefault="0014315E" w:rsidP="0014315E">
      <w:pPr>
        <w:pStyle w:val="NoSpacing"/>
        <w:ind w:left="720"/>
        <w:rPr>
          <w:rFonts w:ascii="Arial" w:hAnsi="Arial" w:cs="Arial"/>
          <w:b/>
          <w:sz w:val="24"/>
          <w:szCs w:val="24"/>
          <w:u w:val="single"/>
        </w:rPr>
      </w:pPr>
    </w:p>
    <w:p w:rsidR="00121A7F" w:rsidRPr="00D83091" w:rsidRDefault="00D83091" w:rsidP="0030288C">
      <w:pPr>
        <w:pStyle w:val="NoSpacing"/>
        <w:ind w:left="720"/>
        <w:rPr>
          <w:rFonts w:ascii="Arial" w:hAnsi="Arial" w:cs="Arial"/>
          <w:b/>
          <w:sz w:val="24"/>
          <w:szCs w:val="24"/>
          <w:u w:val="single"/>
        </w:rPr>
      </w:pPr>
      <w:r w:rsidRPr="00D83091">
        <w:rPr>
          <w:rFonts w:ascii="Arial" w:hAnsi="Arial" w:cs="Arial"/>
          <w:b/>
          <w:sz w:val="24"/>
          <w:szCs w:val="24"/>
          <w:u w:val="single"/>
        </w:rPr>
        <w:t>Language Services</w:t>
      </w:r>
    </w:p>
    <w:p w:rsidR="00D83091" w:rsidRDefault="00D83091" w:rsidP="0030288C">
      <w:pPr>
        <w:pStyle w:val="NoSpacing"/>
        <w:ind w:left="720"/>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297"/>
      </w:tblGrid>
      <w:tr w:rsidR="00D83091" w:rsidRPr="00D83091">
        <w:trPr>
          <w:trHeight w:val="465"/>
        </w:trPr>
        <w:tc>
          <w:tcPr>
            <w:tcW w:w="9297" w:type="dxa"/>
          </w:tcPr>
          <w:p w:rsidR="00D83091" w:rsidRPr="00D83091" w:rsidRDefault="00D83091" w:rsidP="00D83091">
            <w:pPr>
              <w:pStyle w:val="NoSpacing"/>
              <w:rPr>
                <w:rFonts w:ascii="Arial" w:hAnsi="Arial" w:cs="Arial"/>
                <w:sz w:val="24"/>
                <w:szCs w:val="24"/>
              </w:rPr>
            </w:pPr>
            <w:r w:rsidRPr="00D83091">
              <w:rPr>
                <w:rFonts w:ascii="Arial" w:hAnsi="Arial" w:cs="Arial"/>
                <w:b/>
                <w:bCs/>
                <w:sz w:val="24"/>
                <w:szCs w:val="24"/>
              </w:rPr>
              <w:t xml:space="preserve"> </w:t>
            </w:r>
          </w:p>
          <w:p w:rsidR="00253BC8" w:rsidRDefault="00D83091" w:rsidP="00D83091">
            <w:pPr>
              <w:pStyle w:val="NoSpacing"/>
              <w:ind w:left="720"/>
              <w:rPr>
                <w:rFonts w:ascii="Arial" w:hAnsi="Arial" w:cs="Arial"/>
                <w:sz w:val="24"/>
                <w:szCs w:val="24"/>
              </w:rPr>
            </w:pPr>
            <w:r w:rsidRPr="00D83091">
              <w:rPr>
                <w:rFonts w:ascii="Arial" w:hAnsi="Arial" w:cs="Arial"/>
                <w:sz w:val="24"/>
                <w:szCs w:val="24"/>
              </w:rPr>
              <w:t xml:space="preserve">In relation to the Interpretation, Translation and Transcription Services to the Police the definition of a Critical Service Failure </w:t>
            </w:r>
            <w:r>
              <w:rPr>
                <w:rFonts w:ascii="Arial" w:hAnsi="Arial" w:cs="Arial"/>
                <w:sz w:val="24"/>
                <w:szCs w:val="24"/>
              </w:rPr>
              <w:t xml:space="preserve">in the Big Word contract is defined as </w:t>
            </w:r>
            <w:r w:rsidRPr="00D83091">
              <w:rPr>
                <w:rFonts w:ascii="Arial" w:hAnsi="Arial" w:cs="Arial"/>
                <w:sz w:val="24"/>
                <w:szCs w:val="24"/>
              </w:rPr>
              <w:t>mean</w:t>
            </w:r>
            <w:r>
              <w:rPr>
                <w:rFonts w:ascii="Arial" w:hAnsi="Arial" w:cs="Arial"/>
                <w:sz w:val="24"/>
                <w:szCs w:val="24"/>
              </w:rPr>
              <w:t>ing</w:t>
            </w:r>
            <w:r w:rsidRPr="00D83091">
              <w:rPr>
                <w:rFonts w:ascii="Arial" w:hAnsi="Arial" w:cs="Arial"/>
                <w:sz w:val="24"/>
                <w:szCs w:val="24"/>
              </w:rPr>
              <w:t xml:space="preserve"> a failure to meet the 98% fulfi</w:t>
            </w:r>
            <w:r w:rsidR="00E1350E">
              <w:rPr>
                <w:rFonts w:ascii="Arial" w:hAnsi="Arial" w:cs="Arial"/>
                <w:sz w:val="24"/>
                <w:szCs w:val="24"/>
              </w:rPr>
              <w:t>lment rate.</w:t>
            </w:r>
          </w:p>
          <w:p w:rsidR="00253BC8" w:rsidRDefault="00253BC8" w:rsidP="00D83091">
            <w:pPr>
              <w:pStyle w:val="NoSpacing"/>
              <w:ind w:left="720"/>
              <w:rPr>
                <w:rFonts w:ascii="Arial" w:hAnsi="Arial" w:cs="Arial"/>
                <w:sz w:val="24"/>
                <w:szCs w:val="24"/>
              </w:rPr>
            </w:pPr>
          </w:p>
          <w:p w:rsidR="00D83091" w:rsidRPr="00D83091" w:rsidRDefault="00E1350E" w:rsidP="00D83091">
            <w:pPr>
              <w:pStyle w:val="NoSpacing"/>
              <w:ind w:left="720"/>
              <w:rPr>
                <w:rFonts w:ascii="Arial" w:hAnsi="Arial" w:cs="Arial"/>
                <w:sz w:val="24"/>
                <w:szCs w:val="24"/>
              </w:rPr>
            </w:pPr>
            <w:r>
              <w:rPr>
                <w:rFonts w:ascii="Arial" w:hAnsi="Arial" w:cs="Arial"/>
                <w:sz w:val="24"/>
                <w:szCs w:val="24"/>
              </w:rPr>
              <w:t>We have identified a lack of KPI to provide a basis to evaluate the performance.</w:t>
            </w:r>
            <w:r w:rsidR="00E85307">
              <w:rPr>
                <w:rFonts w:ascii="Arial" w:hAnsi="Arial" w:cs="Arial"/>
                <w:sz w:val="24"/>
                <w:szCs w:val="24"/>
              </w:rPr>
              <w:t xml:space="preserve"> This relates to the provisi</w:t>
            </w:r>
            <w:r w:rsidR="004A2564">
              <w:rPr>
                <w:rFonts w:ascii="Arial" w:hAnsi="Arial" w:cs="Arial"/>
                <w:sz w:val="24"/>
                <w:szCs w:val="24"/>
              </w:rPr>
              <w:t>on of face to face interpreters.</w:t>
            </w:r>
          </w:p>
        </w:tc>
      </w:tr>
    </w:tbl>
    <w:p w:rsidR="00E85307" w:rsidRDefault="00E85307" w:rsidP="00E85307">
      <w:pPr>
        <w:pStyle w:val="NoSpacing"/>
        <w:rPr>
          <w:rFonts w:ascii="Arial" w:hAnsi="Arial" w:cs="Arial"/>
          <w:sz w:val="24"/>
          <w:szCs w:val="24"/>
        </w:rPr>
      </w:pPr>
    </w:p>
    <w:p w:rsidR="001423E4" w:rsidRDefault="004A2564" w:rsidP="00E85307">
      <w:pPr>
        <w:pStyle w:val="NoSpacing"/>
        <w:ind w:left="720"/>
        <w:rPr>
          <w:rFonts w:ascii="Arial" w:hAnsi="Arial" w:cs="Arial"/>
          <w:sz w:val="24"/>
          <w:szCs w:val="24"/>
        </w:rPr>
      </w:pPr>
      <w:r>
        <w:rPr>
          <w:rFonts w:ascii="Arial" w:hAnsi="Arial" w:cs="Arial"/>
          <w:sz w:val="24"/>
          <w:szCs w:val="24"/>
        </w:rPr>
        <w:t>We have identified that t</w:t>
      </w:r>
      <w:r w:rsidR="00A358A7">
        <w:rPr>
          <w:rFonts w:ascii="Arial" w:hAnsi="Arial" w:cs="Arial"/>
          <w:sz w:val="24"/>
          <w:szCs w:val="24"/>
        </w:rPr>
        <w:t>elephone</w:t>
      </w:r>
      <w:r w:rsidR="007E08F2">
        <w:rPr>
          <w:rFonts w:ascii="Arial" w:hAnsi="Arial" w:cs="Arial"/>
          <w:sz w:val="24"/>
          <w:szCs w:val="24"/>
        </w:rPr>
        <w:t xml:space="preserve"> interpreting services overall continue to</w:t>
      </w:r>
      <w:r w:rsidR="00A358A7">
        <w:rPr>
          <w:rFonts w:ascii="Arial" w:hAnsi="Arial" w:cs="Arial"/>
          <w:sz w:val="24"/>
          <w:szCs w:val="24"/>
        </w:rPr>
        <w:t xml:space="preserve"> work well so rights and entitlements, grounds for detention and risk assessment questions are largely unaffected.</w:t>
      </w:r>
      <w:r w:rsidR="007E08F2">
        <w:rPr>
          <w:rFonts w:ascii="Arial" w:hAnsi="Arial" w:cs="Arial"/>
          <w:sz w:val="24"/>
          <w:szCs w:val="24"/>
        </w:rPr>
        <w:t xml:space="preserve"> </w:t>
      </w:r>
    </w:p>
    <w:p w:rsidR="001423E4" w:rsidRDefault="001423E4" w:rsidP="00E85307">
      <w:pPr>
        <w:pStyle w:val="NoSpacing"/>
        <w:ind w:left="720"/>
        <w:rPr>
          <w:rFonts w:ascii="Arial" w:hAnsi="Arial" w:cs="Arial"/>
          <w:sz w:val="24"/>
          <w:szCs w:val="24"/>
        </w:rPr>
      </w:pPr>
    </w:p>
    <w:p w:rsidR="006E6A65" w:rsidRDefault="006E6A65" w:rsidP="00E85307">
      <w:pPr>
        <w:pStyle w:val="NoSpacing"/>
        <w:ind w:left="720"/>
        <w:rPr>
          <w:rFonts w:ascii="Arial" w:hAnsi="Arial" w:cs="Arial"/>
          <w:sz w:val="24"/>
          <w:szCs w:val="24"/>
        </w:rPr>
      </w:pPr>
      <w:r>
        <w:rPr>
          <w:rFonts w:ascii="Arial" w:hAnsi="Arial" w:cs="Arial"/>
          <w:sz w:val="24"/>
          <w:szCs w:val="24"/>
        </w:rPr>
        <w:t xml:space="preserve">Criminal Justice Command </w:t>
      </w:r>
      <w:r w:rsidR="00E1350E">
        <w:rPr>
          <w:rFonts w:ascii="Arial" w:hAnsi="Arial" w:cs="Arial"/>
          <w:sz w:val="24"/>
          <w:szCs w:val="24"/>
        </w:rPr>
        <w:t xml:space="preserve">continue to </w:t>
      </w:r>
      <w:r>
        <w:rPr>
          <w:rFonts w:ascii="Arial" w:hAnsi="Arial" w:cs="Arial"/>
          <w:sz w:val="24"/>
          <w:szCs w:val="24"/>
        </w:rPr>
        <w:t>hold mo</w:t>
      </w:r>
      <w:r w:rsidR="004A2564">
        <w:rPr>
          <w:rFonts w:ascii="Arial" w:hAnsi="Arial" w:cs="Arial"/>
          <w:sz w:val="24"/>
          <w:szCs w:val="24"/>
        </w:rPr>
        <w:t>nthly meetings with TBW</w:t>
      </w:r>
      <w:r>
        <w:rPr>
          <w:rFonts w:ascii="Arial" w:hAnsi="Arial" w:cs="Arial"/>
          <w:sz w:val="24"/>
          <w:szCs w:val="24"/>
        </w:rPr>
        <w:t xml:space="preserve"> contract manager and collate </w:t>
      </w:r>
      <w:r w:rsidR="00B05925">
        <w:rPr>
          <w:rFonts w:ascii="Arial" w:hAnsi="Arial" w:cs="Arial"/>
          <w:sz w:val="24"/>
          <w:szCs w:val="24"/>
        </w:rPr>
        <w:lastRenderedPageBreak/>
        <w:t xml:space="preserve">and feedback all complaints raised with us.  </w:t>
      </w:r>
      <w:r w:rsidR="00CF685C">
        <w:rPr>
          <w:rFonts w:ascii="Arial" w:hAnsi="Arial" w:cs="Arial"/>
          <w:sz w:val="24"/>
          <w:szCs w:val="24"/>
        </w:rPr>
        <w:t>The performance infor</w:t>
      </w:r>
      <w:r w:rsidR="004A2564">
        <w:rPr>
          <w:rFonts w:ascii="Arial" w:hAnsi="Arial" w:cs="Arial"/>
          <w:sz w:val="24"/>
          <w:szCs w:val="24"/>
        </w:rPr>
        <w:t xml:space="preserve">mation provided by TBW </w:t>
      </w:r>
      <w:r w:rsidR="00CF685C">
        <w:rPr>
          <w:rFonts w:ascii="Arial" w:hAnsi="Arial" w:cs="Arial"/>
          <w:sz w:val="24"/>
          <w:szCs w:val="24"/>
        </w:rPr>
        <w:t xml:space="preserve">is deemed unreliable </w:t>
      </w:r>
      <w:r w:rsidR="004A2564">
        <w:rPr>
          <w:rFonts w:ascii="Arial" w:hAnsi="Arial" w:cs="Arial"/>
          <w:sz w:val="24"/>
          <w:szCs w:val="24"/>
        </w:rPr>
        <w:t xml:space="preserve">by custody command project support </w:t>
      </w:r>
      <w:r w:rsidR="00CF685C">
        <w:rPr>
          <w:rFonts w:ascii="Arial" w:hAnsi="Arial" w:cs="Arial"/>
          <w:sz w:val="24"/>
          <w:szCs w:val="24"/>
        </w:rPr>
        <w:t>and does not reflect t</w:t>
      </w:r>
      <w:r w:rsidR="00E1350E">
        <w:rPr>
          <w:rFonts w:ascii="Arial" w:hAnsi="Arial" w:cs="Arial"/>
          <w:sz w:val="24"/>
          <w:szCs w:val="24"/>
        </w:rPr>
        <w:t xml:space="preserve">he reality of our </w:t>
      </w:r>
      <w:r w:rsidR="00CF685C">
        <w:rPr>
          <w:rFonts w:ascii="Arial" w:hAnsi="Arial" w:cs="Arial"/>
          <w:sz w:val="24"/>
          <w:szCs w:val="24"/>
        </w:rPr>
        <w:t>experience or complaints registered with Criminal Justice command.  Their</w:t>
      </w:r>
      <w:r w:rsidR="007E08F2">
        <w:rPr>
          <w:rFonts w:ascii="Arial" w:hAnsi="Arial" w:cs="Arial"/>
          <w:sz w:val="24"/>
          <w:szCs w:val="24"/>
        </w:rPr>
        <w:t xml:space="preserve"> data shows a 91.19% fulfilment</w:t>
      </w:r>
      <w:r w:rsidR="004A2564">
        <w:rPr>
          <w:rFonts w:ascii="Arial" w:hAnsi="Arial" w:cs="Arial"/>
          <w:sz w:val="24"/>
          <w:szCs w:val="24"/>
        </w:rPr>
        <w:t xml:space="preserve"> which still does not meet the requisite 98% compliance we are looking for</w:t>
      </w:r>
    </w:p>
    <w:p w:rsidR="00B05925" w:rsidRDefault="00B05925" w:rsidP="0030288C">
      <w:pPr>
        <w:pStyle w:val="NoSpacing"/>
        <w:ind w:left="720"/>
        <w:rPr>
          <w:rFonts w:ascii="Arial" w:hAnsi="Arial" w:cs="Arial"/>
          <w:sz w:val="24"/>
          <w:szCs w:val="24"/>
        </w:rPr>
      </w:pPr>
    </w:p>
    <w:p w:rsidR="00B05925" w:rsidRDefault="00B05925" w:rsidP="0065388A">
      <w:pPr>
        <w:pStyle w:val="NoSpacing"/>
        <w:ind w:left="720"/>
        <w:rPr>
          <w:rFonts w:ascii="Arial" w:hAnsi="Arial" w:cs="Arial"/>
          <w:sz w:val="24"/>
          <w:szCs w:val="24"/>
        </w:rPr>
      </w:pPr>
      <w:r>
        <w:rPr>
          <w:rFonts w:ascii="Arial" w:hAnsi="Arial" w:cs="Arial"/>
          <w:sz w:val="24"/>
          <w:szCs w:val="24"/>
        </w:rPr>
        <w:t>As of 1</w:t>
      </w:r>
      <w:r w:rsidRPr="00B05925">
        <w:rPr>
          <w:rFonts w:ascii="Arial" w:hAnsi="Arial" w:cs="Arial"/>
          <w:sz w:val="24"/>
          <w:szCs w:val="24"/>
          <w:vertAlign w:val="superscript"/>
        </w:rPr>
        <w:t>st</w:t>
      </w:r>
      <w:r>
        <w:rPr>
          <w:rFonts w:ascii="Arial" w:hAnsi="Arial" w:cs="Arial"/>
          <w:sz w:val="24"/>
          <w:szCs w:val="24"/>
        </w:rPr>
        <w:t xml:space="preserve"> September w</w:t>
      </w:r>
      <w:r w:rsidRPr="00B05925">
        <w:rPr>
          <w:rFonts w:ascii="Arial" w:hAnsi="Arial" w:cs="Arial"/>
          <w:sz w:val="24"/>
          <w:szCs w:val="24"/>
        </w:rPr>
        <w:t>e have had a total of 142 reported incidents/complaints</w:t>
      </w:r>
      <w:r w:rsidR="007808F9">
        <w:rPr>
          <w:rFonts w:ascii="Arial" w:hAnsi="Arial" w:cs="Arial"/>
          <w:sz w:val="24"/>
          <w:szCs w:val="24"/>
        </w:rPr>
        <w:t xml:space="preserve"> that relate to face to face translation services</w:t>
      </w:r>
      <w:r w:rsidR="0065388A">
        <w:rPr>
          <w:rFonts w:ascii="Arial" w:hAnsi="Arial" w:cs="Arial"/>
          <w:sz w:val="24"/>
          <w:szCs w:val="24"/>
        </w:rPr>
        <w:t xml:space="preserve">. </w:t>
      </w:r>
      <w:r w:rsidRPr="00B05925">
        <w:rPr>
          <w:rFonts w:ascii="Arial" w:hAnsi="Arial" w:cs="Arial"/>
          <w:sz w:val="24"/>
          <w:szCs w:val="24"/>
        </w:rPr>
        <w:t xml:space="preserve">The below table outlines how many complaints </w:t>
      </w:r>
      <w:r>
        <w:rPr>
          <w:rFonts w:ascii="Arial" w:hAnsi="Arial" w:cs="Arial"/>
          <w:sz w:val="24"/>
          <w:szCs w:val="24"/>
        </w:rPr>
        <w:t>we</w:t>
      </w:r>
      <w:r w:rsidRPr="00B05925">
        <w:rPr>
          <w:rFonts w:ascii="Arial" w:hAnsi="Arial" w:cs="Arial"/>
          <w:sz w:val="24"/>
          <w:szCs w:val="24"/>
        </w:rPr>
        <w:t xml:space="preserve"> have had for each language, the total number of jobs for that language and what percentage of all job</w:t>
      </w:r>
      <w:r>
        <w:rPr>
          <w:rFonts w:ascii="Arial" w:hAnsi="Arial" w:cs="Arial"/>
          <w:sz w:val="24"/>
          <w:szCs w:val="24"/>
        </w:rPr>
        <w:t>s is a complaint</w:t>
      </w:r>
      <w:r w:rsidRPr="00B05925">
        <w:rPr>
          <w:rFonts w:ascii="Arial" w:hAnsi="Arial" w:cs="Arial"/>
          <w:sz w:val="24"/>
          <w:szCs w:val="24"/>
        </w:rPr>
        <w:t>.</w:t>
      </w:r>
      <w:r w:rsidR="0065388A">
        <w:rPr>
          <w:rFonts w:ascii="Arial" w:hAnsi="Arial" w:cs="Arial"/>
          <w:sz w:val="24"/>
          <w:szCs w:val="24"/>
        </w:rPr>
        <w:t xml:space="preserve"> </w:t>
      </w:r>
      <w:r>
        <w:rPr>
          <w:rFonts w:ascii="Arial" w:hAnsi="Arial" w:cs="Arial"/>
          <w:sz w:val="24"/>
          <w:szCs w:val="24"/>
        </w:rPr>
        <w:t>Of what has been reported</w:t>
      </w:r>
      <w:r w:rsidR="0065388A">
        <w:rPr>
          <w:rFonts w:ascii="Arial" w:hAnsi="Arial" w:cs="Arial"/>
          <w:sz w:val="24"/>
          <w:szCs w:val="24"/>
        </w:rPr>
        <w:t>, 12</w:t>
      </w:r>
      <w:r w:rsidRPr="00B05925">
        <w:rPr>
          <w:rFonts w:ascii="Arial" w:hAnsi="Arial" w:cs="Arial"/>
          <w:sz w:val="24"/>
          <w:szCs w:val="24"/>
        </w:rPr>
        <w:t xml:space="preserve">% of all jobs have </w:t>
      </w:r>
      <w:r>
        <w:rPr>
          <w:rFonts w:ascii="Arial" w:hAnsi="Arial" w:cs="Arial"/>
          <w:sz w:val="24"/>
          <w:szCs w:val="24"/>
        </w:rPr>
        <w:t>resulted in</w:t>
      </w:r>
      <w:r w:rsidRPr="00B05925">
        <w:rPr>
          <w:rFonts w:ascii="Arial" w:hAnsi="Arial" w:cs="Arial"/>
          <w:sz w:val="24"/>
          <w:szCs w:val="24"/>
        </w:rPr>
        <w:t xml:space="preserve"> a complaint, and there are some languages which cause </w:t>
      </w:r>
      <w:r>
        <w:rPr>
          <w:rFonts w:ascii="Arial" w:hAnsi="Arial" w:cs="Arial"/>
          <w:sz w:val="24"/>
          <w:szCs w:val="24"/>
        </w:rPr>
        <w:t>particular concern.</w:t>
      </w:r>
      <w:r w:rsidR="0065388A">
        <w:rPr>
          <w:rFonts w:ascii="Arial" w:hAnsi="Arial" w:cs="Arial"/>
          <w:sz w:val="24"/>
          <w:szCs w:val="24"/>
        </w:rPr>
        <w:t xml:space="preserve"> This figure has risen 2% in the last quarter </w:t>
      </w:r>
    </w:p>
    <w:p w:rsidR="0065388A" w:rsidRDefault="0065388A" w:rsidP="0065388A">
      <w:pPr>
        <w:pStyle w:val="NoSpacing"/>
        <w:rPr>
          <w:rFonts w:ascii="Arial" w:hAnsi="Arial" w:cs="Arial"/>
          <w:sz w:val="24"/>
          <w:szCs w:val="24"/>
        </w:rPr>
      </w:pPr>
    </w:p>
    <w:p w:rsidR="0065388A" w:rsidRDefault="0065388A" w:rsidP="0065388A">
      <w:pPr>
        <w:pStyle w:val="NoSpacing"/>
        <w:rPr>
          <w:rFonts w:ascii="Arial" w:hAnsi="Arial" w:cs="Arial"/>
          <w:sz w:val="24"/>
          <w:szCs w:val="24"/>
        </w:rPr>
      </w:pPr>
    </w:p>
    <w:p w:rsidR="0065388A" w:rsidRDefault="0065388A" w:rsidP="0065388A">
      <w:pPr>
        <w:pStyle w:val="NoSpacing"/>
        <w:rPr>
          <w:rFonts w:ascii="Arial" w:hAnsi="Arial" w:cs="Arial"/>
          <w:sz w:val="24"/>
          <w:szCs w:val="24"/>
        </w:rPr>
      </w:pPr>
    </w:p>
    <w:tbl>
      <w:tblPr>
        <w:tblW w:w="7040" w:type="dxa"/>
        <w:jc w:val="center"/>
        <w:tblLook w:val="04A0" w:firstRow="1" w:lastRow="0" w:firstColumn="1" w:lastColumn="0" w:noHBand="0" w:noVBand="1"/>
      </w:tblPr>
      <w:tblGrid>
        <w:gridCol w:w="2880"/>
        <w:gridCol w:w="1360"/>
        <w:gridCol w:w="1414"/>
        <w:gridCol w:w="1400"/>
      </w:tblGrid>
      <w:tr w:rsidR="00F71083" w:rsidRPr="00F71083" w:rsidTr="001423E4">
        <w:trPr>
          <w:trHeight w:val="1130"/>
          <w:jc w:val="center"/>
        </w:trPr>
        <w:tc>
          <w:tcPr>
            <w:tcW w:w="28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F71083" w:rsidRPr="00F71083" w:rsidRDefault="00F71083" w:rsidP="00F71083">
            <w:pPr>
              <w:spacing w:after="0" w:line="240" w:lineRule="auto"/>
              <w:jc w:val="center"/>
              <w:rPr>
                <w:rFonts w:ascii="Arial" w:eastAsia="Times New Roman" w:hAnsi="Arial" w:cs="Arial"/>
                <w:b/>
                <w:bCs/>
                <w:color w:val="000000"/>
                <w:lang w:eastAsia="en-GB"/>
              </w:rPr>
            </w:pPr>
            <w:r w:rsidRPr="00F71083">
              <w:rPr>
                <w:rFonts w:ascii="Arial" w:eastAsia="Times New Roman" w:hAnsi="Arial" w:cs="Arial"/>
                <w:b/>
                <w:bCs/>
                <w:color w:val="000000"/>
                <w:lang w:eastAsia="en-GB"/>
              </w:rPr>
              <w:t>Language</w:t>
            </w:r>
          </w:p>
        </w:tc>
        <w:tc>
          <w:tcPr>
            <w:tcW w:w="1360" w:type="dxa"/>
            <w:tcBorders>
              <w:top w:val="single" w:sz="8" w:space="0" w:color="auto"/>
              <w:left w:val="nil"/>
              <w:bottom w:val="single" w:sz="8" w:space="0" w:color="auto"/>
              <w:right w:val="single" w:sz="4" w:space="0" w:color="auto"/>
            </w:tcBorders>
            <w:shd w:val="clear" w:color="000000" w:fill="F4B084"/>
            <w:vAlign w:val="center"/>
            <w:hideMark/>
          </w:tcPr>
          <w:p w:rsidR="00F71083" w:rsidRPr="00F71083" w:rsidRDefault="00F71083" w:rsidP="00F71083">
            <w:pPr>
              <w:spacing w:after="0" w:line="240" w:lineRule="auto"/>
              <w:jc w:val="center"/>
              <w:rPr>
                <w:rFonts w:ascii="Arial" w:eastAsia="Times New Roman" w:hAnsi="Arial" w:cs="Arial"/>
                <w:b/>
                <w:bCs/>
                <w:color w:val="000000"/>
                <w:lang w:eastAsia="en-GB"/>
              </w:rPr>
            </w:pPr>
            <w:r w:rsidRPr="00F71083">
              <w:rPr>
                <w:rFonts w:ascii="Arial" w:eastAsia="Times New Roman" w:hAnsi="Arial" w:cs="Arial"/>
                <w:b/>
                <w:bCs/>
                <w:color w:val="000000"/>
                <w:lang w:eastAsia="en-GB"/>
              </w:rPr>
              <w:t>Number of Requests</w:t>
            </w:r>
          </w:p>
        </w:tc>
        <w:tc>
          <w:tcPr>
            <w:tcW w:w="1400" w:type="dxa"/>
            <w:tcBorders>
              <w:top w:val="single" w:sz="8" w:space="0" w:color="auto"/>
              <w:left w:val="nil"/>
              <w:bottom w:val="single" w:sz="8" w:space="0" w:color="auto"/>
              <w:right w:val="single" w:sz="4" w:space="0" w:color="auto"/>
            </w:tcBorders>
            <w:shd w:val="clear" w:color="000000" w:fill="8EA9DB"/>
            <w:vAlign w:val="center"/>
            <w:hideMark/>
          </w:tcPr>
          <w:p w:rsidR="00F71083" w:rsidRPr="00F71083" w:rsidRDefault="00F71083" w:rsidP="00F71083">
            <w:pPr>
              <w:spacing w:after="0" w:line="240" w:lineRule="auto"/>
              <w:jc w:val="center"/>
              <w:rPr>
                <w:rFonts w:ascii="Arial" w:eastAsia="Times New Roman" w:hAnsi="Arial" w:cs="Arial"/>
                <w:b/>
                <w:bCs/>
                <w:color w:val="000000"/>
                <w:lang w:eastAsia="en-GB"/>
              </w:rPr>
            </w:pPr>
            <w:r w:rsidRPr="00F71083">
              <w:rPr>
                <w:rFonts w:ascii="Arial" w:eastAsia="Times New Roman" w:hAnsi="Arial" w:cs="Arial"/>
                <w:b/>
                <w:bCs/>
                <w:color w:val="000000"/>
                <w:lang w:eastAsia="en-GB"/>
              </w:rPr>
              <w:t>Number of Complaints</w:t>
            </w:r>
          </w:p>
        </w:tc>
        <w:tc>
          <w:tcPr>
            <w:tcW w:w="1400" w:type="dxa"/>
            <w:tcBorders>
              <w:top w:val="single" w:sz="8" w:space="0" w:color="auto"/>
              <w:left w:val="nil"/>
              <w:bottom w:val="single" w:sz="8" w:space="0" w:color="auto"/>
              <w:right w:val="single" w:sz="8" w:space="0" w:color="auto"/>
            </w:tcBorders>
            <w:shd w:val="clear" w:color="000000" w:fill="A9D08E"/>
            <w:vAlign w:val="center"/>
            <w:hideMark/>
          </w:tcPr>
          <w:p w:rsidR="00F71083" w:rsidRPr="00F71083" w:rsidRDefault="00F71083" w:rsidP="00F71083">
            <w:pPr>
              <w:spacing w:after="0" w:line="240" w:lineRule="auto"/>
              <w:jc w:val="center"/>
              <w:rPr>
                <w:rFonts w:ascii="Arial" w:eastAsia="Times New Roman" w:hAnsi="Arial" w:cs="Arial"/>
                <w:b/>
                <w:bCs/>
                <w:color w:val="000000"/>
                <w:lang w:eastAsia="en-GB"/>
              </w:rPr>
            </w:pPr>
            <w:r w:rsidRPr="00F71083">
              <w:rPr>
                <w:rFonts w:ascii="Arial" w:eastAsia="Times New Roman" w:hAnsi="Arial" w:cs="Arial"/>
                <w:b/>
                <w:bCs/>
                <w:color w:val="000000"/>
                <w:lang w:eastAsia="en-GB"/>
              </w:rPr>
              <w:t>% of requests resulting in a complaint</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Albanian</w:t>
            </w:r>
          </w:p>
        </w:tc>
        <w:tc>
          <w:tcPr>
            <w:tcW w:w="1360" w:type="dxa"/>
            <w:tcBorders>
              <w:top w:val="nil"/>
              <w:left w:val="nil"/>
              <w:bottom w:val="nil"/>
              <w:right w:val="nil"/>
            </w:tcBorders>
            <w:shd w:val="clear" w:color="000000" w:fill="F8CBAD"/>
            <w:noWrap/>
            <w:vAlign w:val="center"/>
            <w:hideMark/>
          </w:tcPr>
          <w:p w:rsidR="00F71083" w:rsidRPr="00F71083" w:rsidRDefault="00F71083" w:rsidP="00F71083">
            <w:pPr>
              <w:spacing w:after="0" w:line="240" w:lineRule="auto"/>
              <w:jc w:val="center"/>
              <w:rPr>
                <w:rFonts w:ascii="Calibri" w:eastAsia="Times New Roman" w:hAnsi="Calibri" w:cs="Calibri"/>
                <w:color w:val="000000"/>
                <w:lang w:eastAsia="en-GB"/>
              </w:rPr>
            </w:pPr>
            <w:r w:rsidRPr="00F71083">
              <w:rPr>
                <w:rFonts w:ascii="Calibri" w:eastAsia="Times New Roman" w:hAnsi="Calibri" w:cs="Calibri"/>
                <w:color w:val="000000"/>
                <w:lang w:eastAsia="en-GB"/>
              </w:rPr>
              <w:t>53</w:t>
            </w:r>
          </w:p>
        </w:tc>
        <w:tc>
          <w:tcPr>
            <w:tcW w:w="1400" w:type="dxa"/>
            <w:tcBorders>
              <w:top w:val="nil"/>
              <w:left w:val="single" w:sz="4" w:space="0" w:color="auto"/>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4%</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Amharic</w:t>
            </w:r>
          </w:p>
        </w:tc>
        <w:tc>
          <w:tcPr>
            <w:tcW w:w="1360" w:type="dxa"/>
            <w:tcBorders>
              <w:top w:val="single" w:sz="4" w:space="0" w:color="auto"/>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Arabic</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67%</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Bengali /Bangla</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British Sign Language</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12</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8</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67%</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Bulgarian</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50</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11</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22%</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Cantonese</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9</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22%</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Creole</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4</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Czech</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27%</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Dari</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Dutch</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33%</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Farsi</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9</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11%</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French</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12</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4</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33%</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German</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6</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33%</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Greek</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18%</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Gujarati</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50%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Hebrew</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Hindi</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Hungarian</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16</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13%</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Italian</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25</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5</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Kannada</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9</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lastRenderedPageBreak/>
              <w:t>Kurdish</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17</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6%</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Latvian</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10</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Lingala</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Lithuanian</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114</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15</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13%</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Malay</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Mandarin</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35</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Mandingo</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Moldovan</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100%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Nepalese</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Nepali</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4</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Oromo</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100%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Pashto</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9%</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Patois</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Polish</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269</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14</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5%</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Portuguese</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26</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6</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23%</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Punjabi</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12</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8%</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Romanian</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378</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47</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12%</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Russian</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34</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5</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15%</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Sinhala</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Slovak</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14</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7%</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Somali</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7</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Spanish</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15</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5</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33%</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Sri Lankan</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100%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Sylheti</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2</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Tagalog</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4</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Tamil</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19</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16%</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Thai</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8</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38%</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Tigrinya</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Turkish</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48</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4</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8%</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Urdu</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31</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310"/>
          <w:jc w:val="center"/>
        </w:trPr>
        <w:tc>
          <w:tcPr>
            <w:tcW w:w="2880" w:type="dxa"/>
            <w:tcBorders>
              <w:top w:val="nil"/>
              <w:left w:val="single" w:sz="8" w:space="0" w:color="auto"/>
              <w:bottom w:val="single" w:sz="4" w:space="0" w:color="auto"/>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Vietnamese</w:t>
            </w:r>
          </w:p>
        </w:tc>
        <w:tc>
          <w:tcPr>
            <w:tcW w:w="1360" w:type="dxa"/>
            <w:tcBorders>
              <w:top w:val="nil"/>
              <w:left w:val="nil"/>
              <w:bottom w:val="single" w:sz="4" w:space="0" w:color="auto"/>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17</w:t>
            </w:r>
          </w:p>
        </w:tc>
        <w:tc>
          <w:tcPr>
            <w:tcW w:w="1400" w:type="dxa"/>
            <w:tcBorders>
              <w:top w:val="nil"/>
              <w:left w:val="nil"/>
              <w:bottom w:val="single" w:sz="4" w:space="0" w:color="auto"/>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3</w:t>
            </w:r>
          </w:p>
        </w:tc>
        <w:tc>
          <w:tcPr>
            <w:tcW w:w="1400" w:type="dxa"/>
            <w:tcBorders>
              <w:top w:val="nil"/>
              <w:left w:val="nil"/>
              <w:bottom w:val="single" w:sz="4" w:space="0" w:color="auto"/>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18%</w:t>
            </w:r>
          </w:p>
        </w:tc>
      </w:tr>
      <w:tr w:rsidR="00F71083" w:rsidRPr="00F71083" w:rsidTr="001423E4">
        <w:trPr>
          <w:trHeight w:val="320"/>
          <w:jc w:val="center"/>
        </w:trPr>
        <w:tc>
          <w:tcPr>
            <w:tcW w:w="2880" w:type="dxa"/>
            <w:tcBorders>
              <w:top w:val="nil"/>
              <w:left w:val="single" w:sz="8" w:space="0" w:color="auto"/>
              <w:bottom w:val="nil"/>
              <w:right w:val="single" w:sz="8" w:space="0" w:color="auto"/>
            </w:tcBorders>
            <w:shd w:val="clear" w:color="000000" w:fill="D9D9D9"/>
            <w:noWrap/>
            <w:vAlign w:val="bottom"/>
            <w:hideMark/>
          </w:tcPr>
          <w:p w:rsidR="00F71083" w:rsidRPr="00F71083" w:rsidRDefault="00F71083" w:rsidP="00F71083">
            <w:pPr>
              <w:spacing w:after="0" w:line="240" w:lineRule="auto"/>
              <w:rPr>
                <w:rFonts w:ascii="Arial" w:eastAsia="Times New Roman" w:hAnsi="Arial" w:cs="Arial"/>
                <w:b/>
                <w:bCs/>
                <w:color w:val="000000"/>
                <w:sz w:val="24"/>
                <w:szCs w:val="24"/>
                <w:lang w:eastAsia="en-GB"/>
              </w:rPr>
            </w:pPr>
            <w:r w:rsidRPr="00F71083">
              <w:rPr>
                <w:rFonts w:ascii="Arial" w:eastAsia="Times New Roman" w:hAnsi="Arial" w:cs="Arial"/>
                <w:b/>
                <w:bCs/>
                <w:color w:val="000000"/>
                <w:sz w:val="24"/>
                <w:szCs w:val="24"/>
                <w:lang w:eastAsia="en-GB"/>
              </w:rPr>
              <w:t>Yoruba</w:t>
            </w:r>
          </w:p>
        </w:tc>
        <w:tc>
          <w:tcPr>
            <w:tcW w:w="1360" w:type="dxa"/>
            <w:tcBorders>
              <w:top w:val="nil"/>
              <w:left w:val="nil"/>
              <w:bottom w:val="nil"/>
              <w:right w:val="single" w:sz="4" w:space="0" w:color="auto"/>
            </w:tcBorders>
            <w:shd w:val="clear" w:color="000000" w:fill="F8CBAD"/>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4</w:t>
            </w:r>
          </w:p>
        </w:tc>
        <w:tc>
          <w:tcPr>
            <w:tcW w:w="1400" w:type="dxa"/>
            <w:tcBorders>
              <w:top w:val="nil"/>
              <w:left w:val="nil"/>
              <w:bottom w:val="nil"/>
              <w:right w:val="single" w:sz="4" w:space="0" w:color="auto"/>
            </w:tcBorders>
            <w:shd w:val="clear" w:color="000000" w:fill="B4C6E7"/>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c>
          <w:tcPr>
            <w:tcW w:w="1400" w:type="dxa"/>
            <w:tcBorders>
              <w:top w:val="nil"/>
              <w:left w:val="nil"/>
              <w:bottom w:val="nil"/>
              <w:right w:val="single" w:sz="8" w:space="0" w:color="auto"/>
            </w:tcBorders>
            <w:shd w:val="clear" w:color="000000" w:fill="E2EFDA"/>
            <w:noWrap/>
            <w:vAlign w:val="center"/>
            <w:hideMark/>
          </w:tcPr>
          <w:p w:rsidR="00F71083" w:rsidRPr="00F71083" w:rsidRDefault="00F71083" w:rsidP="00F71083">
            <w:pPr>
              <w:spacing w:after="0" w:line="240" w:lineRule="auto"/>
              <w:jc w:val="center"/>
              <w:rPr>
                <w:rFonts w:ascii="Arial" w:eastAsia="Times New Roman" w:hAnsi="Arial" w:cs="Arial"/>
                <w:color w:val="000000"/>
                <w:lang w:eastAsia="en-GB"/>
              </w:rPr>
            </w:pPr>
            <w:r w:rsidRPr="00F71083">
              <w:rPr>
                <w:rFonts w:ascii="Arial" w:eastAsia="Times New Roman" w:hAnsi="Arial" w:cs="Arial"/>
                <w:color w:val="000000"/>
                <w:lang w:eastAsia="en-GB"/>
              </w:rPr>
              <w:t>0%</w:t>
            </w:r>
          </w:p>
        </w:tc>
      </w:tr>
      <w:tr w:rsidR="00F71083" w:rsidRPr="00F71083" w:rsidTr="001423E4">
        <w:trPr>
          <w:trHeight w:val="290"/>
          <w:jc w:val="center"/>
        </w:trPr>
        <w:tc>
          <w:tcPr>
            <w:tcW w:w="28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F71083" w:rsidRPr="00F71083" w:rsidRDefault="00F71083" w:rsidP="00F71083">
            <w:pPr>
              <w:spacing w:after="0" w:line="240" w:lineRule="auto"/>
              <w:jc w:val="center"/>
              <w:rPr>
                <w:rFonts w:ascii="Arial" w:eastAsia="Times New Roman" w:hAnsi="Arial" w:cs="Arial"/>
                <w:b/>
                <w:bCs/>
                <w:color w:val="000000"/>
                <w:lang w:eastAsia="en-GB"/>
              </w:rPr>
            </w:pPr>
            <w:r w:rsidRPr="00F71083">
              <w:rPr>
                <w:rFonts w:ascii="Arial" w:eastAsia="Times New Roman" w:hAnsi="Arial" w:cs="Arial"/>
                <w:b/>
                <w:bCs/>
                <w:color w:val="000000"/>
                <w:lang w:eastAsia="en-GB"/>
              </w:rPr>
              <w:t>Total</w:t>
            </w:r>
          </w:p>
        </w:tc>
        <w:tc>
          <w:tcPr>
            <w:tcW w:w="1360" w:type="dxa"/>
            <w:tcBorders>
              <w:top w:val="single" w:sz="8" w:space="0" w:color="auto"/>
              <w:left w:val="nil"/>
              <w:bottom w:val="single" w:sz="8" w:space="0" w:color="auto"/>
              <w:right w:val="single" w:sz="4" w:space="0" w:color="auto"/>
            </w:tcBorders>
            <w:shd w:val="clear" w:color="000000" w:fill="F4B084"/>
            <w:noWrap/>
            <w:vAlign w:val="center"/>
            <w:hideMark/>
          </w:tcPr>
          <w:p w:rsidR="00F71083" w:rsidRPr="00F71083" w:rsidRDefault="00F71083" w:rsidP="00F71083">
            <w:pPr>
              <w:spacing w:after="0" w:line="240" w:lineRule="auto"/>
              <w:jc w:val="center"/>
              <w:rPr>
                <w:rFonts w:ascii="Arial" w:eastAsia="Times New Roman" w:hAnsi="Arial" w:cs="Arial"/>
                <w:b/>
                <w:bCs/>
                <w:color w:val="000000"/>
                <w:lang w:eastAsia="en-GB"/>
              </w:rPr>
            </w:pPr>
            <w:r w:rsidRPr="00F71083">
              <w:rPr>
                <w:rFonts w:ascii="Arial" w:eastAsia="Times New Roman" w:hAnsi="Arial" w:cs="Arial"/>
                <w:b/>
                <w:bCs/>
                <w:color w:val="000000"/>
                <w:lang w:eastAsia="en-GB"/>
              </w:rPr>
              <w:t>1361</w:t>
            </w:r>
          </w:p>
        </w:tc>
        <w:tc>
          <w:tcPr>
            <w:tcW w:w="1400" w:type="dxa"/>
            <w:tcBorders>
              <w:top w:val="single" w:sz="8" w:space="0" w:color="auto"/>
              <w:left w:val="nil"/>
              <w:bottom w:val="single" w:sz="8" w:space="0" w:color="auto"/>
              <w:right w:val="single" w:sz="4" w:space="0" w:color="auto"/>
            </w:tcBorders>
            <w:shd w:val="clear" w:color="000000" w:fill="9BC2E6"/>
            <w:noWrap/>
            <w:vAlign w:val="center"/>
            <w:hideMark/>
          </w:tcPr>
          <w:p w:rsidR="00F71083" w:rsidRPr="00F71083" w:rsidRDefault="00F71083" w:rsidP="00F71083">
            <w:pPr>
              <w:spacing w:after="0" w:line="240" w:lineRule="auto"/>
              <w:jc w:val="center"/>
              <w:rPr>
                <w:rFonts w:ascii="Arial" w:eastAsia="Times New Roman" w:hAnsi="Arial" w:cs="Arial"/>
                <w:b/>
                <w:bCs/>
                <w:color w:val="000000"/>
                <w:lang w:eastAsia="en-GB"/>
              </w:rPr>
            </w:pPr>
            <w:r w:rsidRPr="00F71083">
              <w:rPr>
                <w:rFonts w:ascii="Arial" w:eastAsia="Times New Roman" w:hAnsi="Arial" w:cs="Arial"/>
                <w:b/>
                <w:bCs/>
                <w:color w:val="000000"/>
                <w:lang w:eastAsia="en-GB"/>
              </w:rPr>
              <w:t>164</w:t>
            </w:r>
          </w:p>
        </w:tc>
        <w:tc>
          <w:tcPr>
            <w:tcW w:w="1400" w:type="dxa"/>
            <w:tcBorders>
              <w:top w:val="single" w:sz="8" w:space="0" w:color="auto"/>
              <w:left w:val="nil"/>
              <w:bottom w:val="single" w:sz="8" w:space="0" w:color="auto"/>
              <w:right w:val="single" w:sz="8" w:space="0" w:color="auto"/>
            </w:tcBorders>
            <w:shd w:val="clear" w:color="000000" w:fill="A9D08E"/>
            <w:noWrap/>
            <w:vAlign w:val="center"/>
            <w:hideMark/>
          </w:tcPr>
          <w:p w:rsidR="00F71083" w:rsidRPr="00F71083" w:rsidRDefault="00F71083" w:rsidP="00F71083">
            <w:pPr>
              <w:spacing w:after="0" w:line="240" w:lineRule="auto"/>
              <w:jc w:val="center"/>
              <w:rPr>
                <w:rFonts w:ascii="Arial" w:eastAsia="Times New Roman" w:hAnsi="Arial" w:cs="Arial"/>
                <w:b/>
                <w:bCs/>
                <w:color w:val="000000"/>
                <w:lang w:eastAsia="en-GB"/>
              </w:rPr>
            </w:pPr>
            <w:r w:rsidRPr="00F71083">
              <w:rPr>
                <w:rFonts w:ascii="Arial" w:eastAsia="Times New Roman" w:hAnsi="Arial" w:cs="Arial"/>
                <w:b/>
                <w:bCs/>
                <w:color w:val="000000"/>
                <w:lang w:eastAsia="en-GB"/>
              </w:rPr>
              <w:t>12%</w:t>
            </w:r>
          </w:p>
        </w:tc>
      </w:tr>
    </w:tbl>
    <w:p w:rsidR="00F71083" w:rsidRDefault="00F71083" w:rsidP="00B05925">
      <w:pPr>
        <w:pStyle w:val="NoSpacing"/>
        <w:ind w:left="720"/>
        <w:rPr>
          <w:rFonts w:ascii="Arial" w:hAnsi="Arial" w:cs="Arial"/>
          <w:sz w:val="24"/>
          <w:szCs w:val="24"/>
        </w:rPr>
      </w:pPr>
    </w:p>
    <w:p w:rsidR="00F71083" w:rsidRDefault="00F71083" w:rsidP="00B05925">
      <w:pPr>
        <w:pStyle w:val="NoSpacing"/>
        <w:ind w:left="720"/>
        <w:rPr>
          <w:rFonts w:ascii="Arial" w:hAnsi="Arial" w:cs="Arial"/>
          <w:sz w:val="24"/>
          <w:szCs w:val="24"/>
        </w:rPr>
      </w:pPr>
    </w:p>
    <w:p w:rsidR="001423E4" w:rsidRDefault="001423E4" w:rsidP="001423E4">
      <w:pPr>
        <w:pStyle w:val="NoSpacing"/>
        <w:rPr>
          <w:rFonts w:ascii="Arial" w:hAnsi="Arial" w:cs="Arial"/>
          <w:sz w:val="24"/>
          <w:szCs w:val="24"/>
        </w:rPr>
      </w:pPr>
    </w:p>
    <w:p w:rsidR="00B05925" w:rsidRDefault="00F71083" w:rsidP="0030288C">
      <w:pPr>
        <w:pStyle w:val="NoSpacing"/>
        <w:ind w:left="720"/>
        <w:rPr>
          <w:rFonts w:ascii="Arial" w:hAnsi="Arial" w:cs="Arial"/>
          <w:sz w:val="24"/>
          <w:szCs w:val="24"/>
        </w:rPr>
      </w:pPr>
      <w:r>
        <w:rPr>
          <w:noProof/>
          <w:lang w:eastAsia="en-GB"/>
        </w:rPr>
        <w:drawing>
          <wp:inline distT="0" distB="0" distL="0" distR="0" wp14:anchorId="51F0E3BA" wp14:editId="6D98F1AB">
            <wp:extent cx="6188710" cy="2900680"/>
            <wp:effectExtent l="0" t="0" r="254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1083" w:rsidRDefault="00F71083" w:rsidP="0030288C">
      <w:pPr>
        <w:pStyle w:val="NoSpacing"/>
        <w:ind w:left="720"/>
        <w:rPr>
          <w:rFonts w:ascii="Arial" w:hAnsi="Arial" w:cs="Arial"/>
          <w:sz w:val="24"/>
          <w:szCs w:val="24"/>
        </w:rPr>
      </w:pPr>
    </w:p>
    <w:p w:rsidR="00B05925" w:rsidRDefault="00B05925" w:rsidP="0030288C">
      <w:pPr>
        <w:pStyle w:val="NoSpacing"/>
        <w:ind w:left="720"/>
        <w:rPr>
          <w:rFonts w:ascii="Arial" w:hAnsi="Arial" w:cs="Arial"/>
          <w:sz w:val="24"/>
          <w:szCs w:val="24"/>
        </w:rPr>
      </w:pPr>
    </w:p>
    <w:p w:rsidR="00D83091" w:rsidRPr="007D3E9B" w:rsidRDefault="00D83091" w:rsidP="0030288C">
      <w:pPr>
        <w:pStyle w:val="NoSpacing"/>
        <w:ind w:left="720"/>
        <w:rPr>
          <w:rFonts w:ascii="Arial" w:hAnsi="Arial" w:cs="Arial"/>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121A7F" w:rsidRPr="00FB0277" w:rsidRDefault="00FB0277" w:rsidP="006279AB">
      <w:pPr>
        <w:pStyle w:val="NoSpacing"/>
        <w:ind w:left="720"/>
        <w:rPr>
          <w:rFonts w:ascii="Arial" w:hAnsi="Arial" w:cs="Arial"/>
          <w:b/>
          <w:sz w:val="24"/>
          <w:szCs w:val="24"/>
          <w:u w:val="single"/>
        </w:rPr>
      </w:pPr>
      <w:r w:rsidRPr="00FB0277">
        <w:rPr>
          <w:rFonts w:ascii="Arial" w:hAnsi="Arial" w:cs="Arial"/>
          <w:b/>
          <w:sz w:val="24"/>
          <w:szCs w:val="24"/>
          <w:u w:val="single"/>
        </w:rPr>
        <w:lastRenderedPageBreak/>
        <w:t>Language Services</w:t>
      </w:r>
    </w:p>
    <w:p w:rsidR="003832F7" w:rsidRDefault="003832F7" w:rsidP="006279AB">
      <w:pPr>
        <w:pStyle w:val="NoSpacing"/>
        <w:ind w:left="720"/>
        <w:rPr>
          <w:rFonts w:ascii="Arial" w:hAnsi="Arial" w:cs="Arial"/>
          <w:sz w:val="24"/>
          <w:szCs w:val="24"/>
        </w:rPr>
      </w:pPr>
    </w:p>
    <w:p w:rsidR="001423E4" w:rsidRDefault="007808F9" w:rsidP="00E85307">
      <w:pPr>
        <w:pStyle w:val="NoSpacing"/>
        <w:ind w:left="720"/>
        <w:rPr>
          <w:rFonts w:ascii="Arial" w:hAnsi="Arial" w:cs="Arial"/>
          <w:sz w:val="24"/>
          <w:szCs w:val="24"/>
        </w:rPr>
      </w:pPr>
      <w:r>
        <w:rPr>
          <w:rFonts w:ascii="Arial" w:hAnsi="Arial" w:cs="Arial"/>
          <w:sz w:val="24"/>
          <w:szCs w:val="24"/>
        </w:rPr>
        <w:t xml:space="preserve">The implications of being unable to communicate with members of the public who do not speak English include loss of confidence </w:t>
      </w:r>
      <w:r w:rsidR="001423E4">
        <w:rPr>
          <w:rFonts w:ascii="Arial" w:hAnsi="Arial" w:cs="Arial"/>
          <w:sz w:val="24"/>
          <w:szCs w:val="24"/>
        </w:rPr>
        <w:t>,</w:t>
      </w:r>
      <w:r>
        <w:rPr>
          <w:rFonts w:ascii="Arial" w:hAnsi="Arial" w:cs="Arial"/>
          <w:sz w:val="24"/>
          <w:szCs w:val="24"/>
        </w:rPr>
        <w:t xml:space="preserve">access to justice for victims </w:t>
      </w:r>
      <w:r w:rsidR="001423E4">
        <w:rPr>
          <w:rFonts w:ascii="Arial" w:hAnsi="Arial" w:cs="Arial"/>
          <w:sz w:val="24"/>
          <w:szCs w:val="24"/>
        </w:rPr>
        <w:t>&amp;</w:t>
      </w:r>
      <w:r>
        <w:rPr>
          <w:rFonts w:ascii="Arial" w:hAnsi="Arial" w:cs="Arial"/>
          <w:sz w:val="24"/>
          <w:szCs w:val="24"/>
        </w:rPr>
        <w:t xml:space="preserve"> witnesses, inability to </w:t>
      </w:r>
      <w:r w:rsidR="00A358A7">
        <w:rPr>
          <w:rFonts w:ascii="Arial" w:hAnsi="Arial" w:cs="Arial"/>
          <w:sz w:val="24"/>
          <w:szCs w:val="24"/>
        </w:rPr>
        <w:t xml:space="preserve">effectively </w:t>
      </w:r>
      <w:r>
        <w:rPr>
          <w:rFonts w:ascii="Arial" w:hAnsi="Arial" w:cs="Arial"/>
          <w:sz w:val="24"/>
          <w:szCs w:val="24"/>
        </w:rPr>
        <w:t>safeguard the rights and welfare of detainees in custody, increased detention periods and frustration of investigative processes, such as interview or the authorisation and obtaining of samples.</w:t>
      </w:r>
      <w:r w:rsidR="00A358A7">
        <w:rPr>
          <w:rFonts w:ascii="Arial" w:hAnsi="Arial" w:cs="Arial"/>
          <w:sz w:val="24"/>
          <w:szCs w:val="24"/>
        </w:rPr>
        <w:t xml:space="preserve">  </w:t>
      </w:r>
    </w:p>
    <w:p w:rsidR="001423E4" w:rsidRDefault="001423E4" w:rsidP="00E85307">
      <w:pPr>
        <w:pStyle w:val="NoSpacing"/>
        <w:ind w:left="720"/>
        <w:rPr>
          <w:rFonts w:ascii="Arial" w:hAnsi="Arial" w:cs="Arial"/>
          <w:sz w:val="24"/>
          <w:szCs w:val="24"/>
        </w:rPr>
      </w:pPr>
    </w:p>
    <w:p w:rsidR="00CF685C" w:rsidRPr="00EB2427" w:rsidRDefault="00A358A7" w:rsidP="00E85307">
      <w:pPr>
        <w:pStyle w:val="NoSpacing"/>
        <w:ind w:left="720"/>
        <w:rPr>
          <w:rFonts w:ascii="Arial" w:hAnsi="Arial" w:cs="Arial"/>
          <w:sz w:val="24"/>
          <w:szCs w:val="24"/>
        </w:rPr>
      </w:pPr>
      <w:r>
        <w:rPr>
          <w:rFonts w:ascii="Arial" w:hAnsi="Arial" w:cs="Arial"/>
          <w:sz w:val="24"/>
          <w:szCs w:val="24"/>
        </w:rPr>
        <w:t>However, telephone interpreting services generally operate well so we are able to mitigate the risks and ensure rights and entitlements are communicated.</w:t>
      </w:r>
      <w:r w:rsidR="004A2564">
        <w:rPr>
          <w:rFonts w:ascii="Arial" w:hAnsi="Arial" w:cs="Arial"/>
          <w:sz w:val="24"/>
          <w:szCs w:val="24"/>
        </w:rPr>
        <w:t xml:space="preserve"> This diminishes the ability to investigate matters promptly and provide an effective investigation. </w:t>
      </w:r>
    </w:p>
    <w:p w:rsidR="00CF685C" w:rsidRDefault="00CF685C" w:rsidP="007808F9">
      <w:pPr>
        <w:pStyle w:val="NoSpacing"/>
        <w:ind w:left="720"/>
        <w:rPr>
          <w:rFonts w:ascii="Arial" w:hAnsi="Arial" w:cs="Arial"/>
          <w:sz w:val="24"/>
          <w:szCs w:val="24"/>
        </w:rPr>
      </w:pPr>
    </w:p>
    <w:p w:rsidR="007808F9" w:rsidRDefault="007808F9" w:rsidP="007808F9">
      <w:pPr>
        <w:pStyle w:val="NoSpacing"/>
        <w:ind w:left="720"/>
        <w:rPr>
          <w:rFonts w:ascii="Arial" w:hAnsi="Arial" w:cs="Arial"/>
          <w:sz w:val="24"/>
          <w:szCs w:val="24"/>
        </w:rPr>
      </w:pPr>
      <w:r w:rsidRPr="007808F9">
        <w:rPr>
          <w:rFonts w:ascii="Arial" w:hAnsi="Arial" w:cs="Arial"/>
          <w:sz w:val="24"/>
          <w:szCs w:val="24"/>
        </w:rPr>
        <w:t xml:space="preserve">It appears that there have often been cancellations made by </w:t>
      </w:r>
      <w:r w:rsidR="00BE4F93">
        <w:rPr>
          <w:rFonts w:ascii="Arial" w:hAnsi="Arial" w:cs="Arial"/>
          <w:sz w:val="24"/>
          <w:szCs w:val="24"/>
        </w:rPr>
        <w:t>TBW</w:t>
      </w:r>
      <w:r w:rsidRPr="007808F9">
        <w:rPr>
          <w:rFonts w:ascii="Arial" w:hAnsi="Arial" w:cs="Arial"/>
          <w:sz w:val="24"/>
          <w:szCs w:val="24"/>
        </w:rPr>
        <w:t xml:space="preserve"> as they have been unable to fulfil the booking, but it is either not noted</w:t>
      </w:r>
      <w:r w:rsidR="00B573C9">
        <w:rPr>
          <w:rFonts w:ascii="Arial" w:hAnsi="Arial" w:cs="Arial"/>
          <w:sz w:val="24"/>
          <w:szCs w:val="24"/>
        </w:rPr>
        <w:t xml:space="preserve"> who cancelled, or noted that Essex Police</w:t>
      </w:r>
      <w:r w:rsidRPr="007808F9">
        <w:rPr>
          <w:rFonts w:ascii="Arial" w:hAnsi="Arial" w:cs="Arial"/>
          <w:sz w:val="24"/>
          <w:szCs w:val="24"/>
        </w:rPr>
        <w:t xml:space="preserve"> cancelled</w:t>
      </w:r>
      <w:r w:rsidR="00CF685C">
        <w:rPr>
          <w:rFonts w:ascii="Arial" w:hAnsi="Arial" w:cs="Arial"/>
          <w:sz w:val="24"/>
          <w:szCs w:val="24"/>
        </w:rPr>
        <w:t xml:space="preserve"> despite the protests of the officer booking</w:t>
      </w:r>
      <w:r w:rsidRPr="007808F9">
        <w:rPr>
          <w:rFonts w:ascii="Arial" w:hAnsi="Arial" w:cs="Arial"/>
          <w:sz w:val="24"/>
          <w:szCs w:val="24"/>
        </w:rPr>
        <w:t>.</w:t>
      </w:r>
      <w:r w:rsidR="00E85307">
        <w:rPr>
          <w:rFonts w:ascii="Arial" w:hAnsi="Arial" w:cs="Arial"/>
          <w:sz w:val="24"/>
          <w:szCs w:val="24"/>
        </w:rPr>
        <w:t xml:space="preserve"> This creates enormous delays when we then have to re-connect TBW and start the process again. It also suggests that the issue sits with Essex Police which is not the case</w:t>
      </w:r>
    </w:p>
    <w:p w:rsidR="00CF685C" w:rsidRDefault="00CF685C" w:rsidP="007808F9">
      <w:pPr>
        <w:pStyle w:val="NoSpacing"/>
        <w:ind w:left="720"/>
        <w:rPr>
          <w:rFonts w:ascii="Arial" w:hAnsi="Arial" w:cs="Arial"/>
          <w:sz w:val="24"/>
          <w:szCs w:val="24"/>
        </w:rPr>
      </w:pPr>
    </w:p>
    <w:p w:rsidR="00CF685C" w:rsidRPr="007808F9" w:rsidRDefault="001423E4" w:rsidP="007808F9">
      <w:pPr>
        <w:pStyle w:val="NoSpacing"/>
        <w:ind w:left="720"/>
        <w:rPr>
          <w:rFonts w:ascii="Arial" w:hAnsi="Arial" w:cs="Arial"/>
          <w:sz w:val="24"/>
          <w:szCs w:val="24"/>
        </w:rPr>
      </w:pPr>
      <w:r>
        <w:rPr>
          <w:rFonts w:ascii="Arial" w:hAnsi="Arial" w:cs="Arial"/>
          <w:sz w:val="24"/>
          <w:szCs w:val="24"/>
        </w:rPr>
        <w:t xml:space="preserve">Other instances </w:t>
      </w:r>
      <w:r w:rsidR="00CF685C">
        <w:rPr>
          <w:rFonts w:ascii="Arial" w:hAnsi="Arial" w:cs="Arial"/>
          <w:sz w:val="24"/>
          <w:szCs w:val="24"/>
        </w:rPr>
        <w:t>have included having to charge and remand detainees without interview due to lack of availability of face to face interpreters and having to forego investigative enquiries such as samples due to lack of availability of interpreters to relay the authority or seek consent.</w:t>
      </w:r>
    </w:p>
    <w:p w:rsidR="007808F9" w:rsidRDefault="007808F9" w:rsidP="006279AB">
      <w:pPr>
        <w:pStyle w:val="NoSpacing"/>
        <w:ind w:left="720"/>
        <w:rPr>
          <w:rFonts w:ascii="Arial" w:hAnsi="Arial" w:cs="Arial"/>
          <w:sz w:val="24"/>
          <w:szCs w:val="24"/>
        </w:rPr>
      </w:pPr>
    </w:p>
    <w:p w:rsidR="00FB0277" w:rsidRPr="007D3E9B" w:rsidRDefault="00FB0277" w:rsidP="00CF685C">
      <w:pPr>
        <w:pStyle w:val="NoSpacing"/>
        <w:rPr>
          <w:rFonts w:ascii="Arial" w:hAnsi="Arial" w:cs="Arial"/>
          <w:sz w:val="24"/>
          <w:szCs w:val="24"/>
        </w:rPr>
      </w:pPr>
    </w:p>
    <w:p w:rsidR="00121A7F" w:rsidRPr="00DE144B" w:rsidRDefault="00E92E89" w:rsidP="00DE144B">
      <w:pPr>
        <w:pStyle w:val="NoSpacing"/>
        <w:ind w:left="709" w:hanging="709"/>
        <w:rPr>
          <w:rFonts w:ascii="Arial" w:hAnsi="Arial" w:cs="Arial"/>
          <w:b/>
          <w:sz w:val="24"/>
          <w:szCs w:val="24"/>
          <w:u w:val="single"/>
        </w:rPr>
      </w:pPr>
      <w:r w:rsidRPr="00DE144B">
        <w:rPr>
          <w:rFonts w:ascii="Arial" w:hAnsi="Arial" w:cs="Arial"/>
          <w:b/>
          <w:sz w:val="24"/>
          <w:szCs w:val="24"/>
        </w:rPr>
        <w:t>6.1</w:t>
      </w:r>
      <w:r w:rsidR="00652B9C" w:rsidRPr="00DE144B">
        <w:rPr>
          <w:rFonts w:ascii="Arial" w:hAnsi="Arial" w:cs="Arial"/>
          <w:b/>
          <w:sz w:val="24"/>
          <w:szCs w:val="24"/>
        </w:rPr>
        <w:tab/>
      </w:r>
      <w:r w:rsidR="006279AB" w:rsidRPr="002670FF">
        <w:rPr>
          <w:rFonts w:ascii="Arial" w:hAnsi="Arial" w:cs="Arial"/>
          <w:b/>
          <w:sz w:val="24"/>
          <w:szCs w:val="24"/>
          <w:u w:val="single"/>
        </w:rPr>
        <w:t>Risks</w:t>
      </w:r>
      <w:r w:rsidR="00D8103E" w:rsidRPr="002670FF">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1423E4" w:rsidRDefault="001568EF" w:rsidP="0030288C">
      <w:pPr>
        <w:spacing w:after="0" w:line="240" w:lineRule="auto"/>
        <w:ind w:left="709"/>
        <w:contextualSpacing/>
        <w:rPr>
          <w:rFonts w:ascii="Arial" w:hAnsi="Arial"/>
          <w:sz w:val="24"/>
        </w:rPr>
      </w:pPr>
      <w:r>
        <w:rPr>
          <w:rFonts w:ascii="Arial" w:hAnsi="Arial"/>
          <w:sz w:val="24"/>
        </w:rPr>
        <w:lastRenderedPageBreak/>
        <w:t xml:space="preserve">Risk 1758 Force Risk Register, relates to Language and Translation services in custody.  It is an operational risk owned by Mr Glenn Caton, Head of Criminal Justice Command. </w:t>
      </w:r>
    </w:p>
    <w:p w:rsidR="001423E4" w:rsidRDefault="001423E4" w:rsidP="0030288C">
      <w:pPr>
        <w:spacing w:after="0" w:line="240" w:lineRule="auto"/>
        <w:ind w:left="709"/>
        <w:contextualSpacing/>
        <w:rPr>
          <w:rFonts w:ascii="Arial" w:hAnsi="Arial"/>
          <w:sz w:val="24"/>
        </w:rPr>
      </w:pPr>
    </w:p>
    <w:p w:rsidR="001423E4" w:rsidRDefault="001568EF" w:rsidP="0030288C">
      <w:pPr>
        <w:spacing w:after="0" w:line="240" w:lineRule="auto"/>
        <w:ind w:left="709"/>
        <w:contextualSpacing/>
        <w:rPr>
          <w:rFonts w:ascii="Arial" w:hAnsi="Arial"/>
          <w:sz w:val="24"/>
        </w:rPr>
      </w:pPr>
      <w:r w:rsidRPr="001568EF">
        <w:rPr>
          <w:rFonts w:ascii="Arial" w:hAnsi="Arial"/>
          <w:sz w:val="24"/>
        </w:rPr>
        <w:t xml:space="preserve">This risk and its mitigating actions are managed </w:t>
      </w:r>
      <w:r>
        <w:rPr>
          <w:rFonts w:ascii="Arial" w:hAnsi="Arial"/>
          <w:sz w:val="24"/>
        </w:rPr>
        <w:t xml:space="preserve">and governed </w:t>
      </w:r>
      <w:r w:rsidRPr="001568EF">
        <w:rPr>
          <w:rFonts w:ascii="Arial" w:hAnsi="Arial"/>
          <w:sz w:val="24"/>
        </w:rPr>
        <w:t>through the Criminal Justice Command Team’s monthly Risks meeting</w:t>
      </w:r>
      <w:r w:rsidR="009F3BCD">
        <w:rPr>
          <w:rFonts w:ascii="Arial" w:hAnsi="Arial"/>
          <w:sz w:val="24"/>
        </w:rPr>
        <w:t xml:space="preserve"> and ultimately by </w:t>
      </w:r>
      <w:r w:rsidR="001423E4">
        <w:rPr>
          <w:rFonts w:ascii="Arial" w:hAnsi="Arial"/>
          <w:sz w:val="24"/>
        </w:rPr>
        <w:t>A/</w:t>
      </w:r>
      <w:r w:rsidR="009F3BCD">
        <w:rPr>
          <w:rFonts w:ascii="Arial" w:hAnsi="Arial"/>
          <w:sz w:val="24"/>
        </w:rPr>
        <w:t xml:space="preserve">ACC </w:t>
      </w:r>
      <w:r w:rsidR="001423E4">
        <w:rPr>
          <w:rFonts w:ascii="Arial" w:hAnsi="Arial"/>
          <w:sz w:val="24"/>
        </w:rPr>
        <w:t xml:space="preserve">Wells </w:t>
      </w:r>
      <w:r w:rsidR="009F3BCD">
        <w:rPr>
          <w:rFonts w:ascii="Arial" w:hAnsi="Arial"/>
          <w:sz w:val="24"/>
        </w:rPr>
        <w:t>through the Criminal Justice Strategic Development Board</w:t>
      </w:r>
      <w:r w:rsidR="002670FF">
        <w:rPr>
          <w:rFonts w:ascii="Arial" w:hAnsi="Arial"/>
          <w:sz w:val="24"/>
        </w:rPr>
        <w:t xml:space="preserve">.  </w:t>
      </w:r>
    </w:p>
    <w:p w:rsidR="001423E4" w:rsidRDefault="001423E4" w:rsidP="0030288C">
      <w:pPr>
        <w:spacing w:after="0" w:line="240" w:lineRule="auto"/>
        <w:ind w:left="709"/>
        <w:contextualSpacing/>
        <w:rPr>
          <w:rFonts w:ascii="Arial" w:hAnsi="Arial"/>
          <w:sz w:val="24"/>
        </w:rPr>
      </w:pPr>
    </w:p>
    <w:p w:rsidR="001423E4" w:rsidRDefault="002670FF" w:rsidP="0030288C">
      <w:pPr>
        <w:spacing w:after="0" w:line="240" w:lineRule="auto"/>
        <w:ind w:left="709"/>
        <w:contextualSpacing/>
        <w:rPr>
          <w:rFonts w:ascii="Arial" w:hAnsi="Arial"/>
          <w:sz w:val="24"/>
        </w:rPr>
      </w:pPr>
      <w:r>
        <w:rPr>
          <w:rFonts w:ascii="Arial" w:hAnsi="Arial"/>
          <w:sz w:val="24"/>
        </w:rPr>
        <w:t>It had</w:t>
      </w:r>
      <w:r w:rsidR="001568EF">
        <w:rPr>
          <w:rFonts w:ascii="Arial" w:hAnsi="Arial"/>
          <w:sz w:val="24"/>
        </w:rPr>
        <w:t xml:space="preserve"> an initial risk score of 15, (probable likelihood and significant impact). </w:t>
      </w:r>
      <w:r>
        <w:rPr>
          <w:rFonts w:ascii="Arial" w:hAnsi="Arial"/>
          <w:sz w:val="24"/>
        </w:rPr>
        <w:t xml:space="preserve">This risk was reviewed recently and score reduced to 10 (possible likelihood and significant impact) due to mitigating actions completed so far. </w:t>
      </w:r>
    </w:p>
    <w:p w:rsidR="001423E4" w:rsidRDefault="001423E4" w:rsidP="0030288C">
      <w:pPr>
        <w:spacing w:after="0" w:line="240" w:lineRule="auto"/>
        <w:ind w:left="709"/>
        <w:contextualSpacing/>
        <w:rPr>
          <w:rFonts w:ascii="Arial" w:hAnsi="Arial"/>
          <w:sz w:val="24"/>
        </w:rPr>
      </w:pPr>
    </w:p>
    <w:p w:rsidR="001568EF" w:rsidRPr="007D3E9B" w:rsidRDefault="002670FF" w:rsidP="0030288C">
      <w:pPr>
        <w:spacing w:after="0" w:line="240" w:lineRule="auto"/>
        <w:ind w:left="709"/>
        <w:contextualSpacing/>
        <w:rPr>
          <w:rFonts w:ascii="Arial" w:hAnsi="Arial"/>
          <w:sz w:val="24"/>
        </w:rPr>
      </w:pPr>
      <w:r>
        <w:rPr>
          <w:rFonts w:ascii="Arial" w:hAnsi="Arial"/>
          <w:sz w:val="24"/>
        </w:rPr>
        <w:t xml:space="preserve">See section 8.0 below </w:t>
      </w:r>
      <w:r w:rsidRPr="002670FF">
        <w:rPr>
          <w:rFonts w:ascii="Arial" w:hAnsi="Arial"/>
          <w:i/>
          <w:sz w:val="24"/>
        </w:rPr>
        <w:t xml:space="preserve">Actions </w:t>
      </w:r>
      <w:r w:rsidR="0065388A" w:rsidRPr="002670FF">
        <w:rPr>
          <w:rFonts w:ascii="Arial" w:hAnsi="Arial"/>
          <w:i/>
          <w:sz w:val="24"/>
        </w:rPr>
        <w:t>for</w:t>
      </w:r>
      <w:r w:rsidRPr="002670FF">
        <w:rPr>
          <w:rFonts w:ascii="Arial" w:hAnsi="Arial"/>
          <w:i/>
          <w:sz w:val="24"/>
        </w:rPr>
        <w:t xml:space="preserve"> Improvement</w:t>
      </w:r>
      <w:r>
        <w:rPr>
          <w:rFonts w:ascii="Arial" w:hAnsi="Arial"/>
          <w:sz w:val="24"/>
        </w:rPr>
        <w:t xml:space="preserve"> for further details.</w:t>
      </w:r>
      <w:r w:rsidR="00977E61">
        <w:rPr>
          <w:rFonts w:ascii="Arial" w:hAnsi="Arial"/>
          <w:sz w:val="24"/>
        </w:rPr>
        <w:t xml:space="preserve"> This risk score remains unchanged</w:t>
      </w:r>
    </w:p>
    <w:p w:rsidR="0030288C" w:rsidRDefault="0030288C" w:rsidP="006279AB">
      <w:pPr>
        <w:pStyle w:val="NoSpacing"/>
        <w:ind w:left="720"/>
        <w:rPr>
          <w:rFonts w:ascii="Arial" w:hAnsi="Arial" w:cs="Arial"/>
          <w:sz w:val="24"/>
          <w:szCs w:val="24"/>
        </w:rPr>
      </w:pPr>
    </w:p>
    <w:p w:rsidR="001423E4" w:rsidRDefault="001423E4" w:rsidP="006279AB">
      <w:pPr>
        <w:pStyle w:val="NoSpacing"/>
        <w:ind w:left="720"/>
        <w:rPr>
          <w:rFonts w:ascii="Arial" w:hAnsi="Arial" w:cs="Arial"/>
          <w:sz w:val="24"/>
          <w:szCs w:val="24"/>
        </w:rPr>
      </w:pPr>
    </w:p>
    <w:p w:rsidR="001423E4" w:rsidRDefault="001423E4" w:rsidP="006279AB">
      <w:pPr>
        <w:pStyle w:val="NoSpacing"/>
        <w:ind w:left="720"/>
        <w:rPr>
          <w:rFonts w:ascii="Arial" w:hAnsi="Arial" w:cs="Arial"/>
          <w:sz w:val="24"/>
          <w:szCs w:val="24"/>
        </w:rPr>
      </w:pPr>
    </w:p>
    <w:p w:rsidR="001423E4" w:rsidRDefault="001423E4" w:rsidP="006279AB">
      <w:pPr>
        <w:pStyle w:val="NoSpacing"/>
        <w:ind w:left="720"/>
        <w:rPr>
          <w:rFonts w:ascii="Arial" w:hAnsi="Arial" w:cs="Arial"/>
          <w:sz w:val="24"/>
          <w:szCs w:val="24"/>
        </w:rPr>
      </w:pPr>
    </w:p>
    <w:p w:rsidR="001423E4" w:rsidRDefault="001423E4" w:rsidP="006279AB">
      <w:pPr>
        <w:pStyle w:val="NoSpacing"/>
        <w:ind w:left="720"/>
        <w:rPr>
          <w:rFonts w:ascii="Arial" w:hAnsi="Arial" w:cs="Arial"/>
          <w:sz w:val="24"/>
          <w:szCs w:val="24"/>
        </w:rPr>
      </w:pPr>
    </w:p>
    <w:p w:rsidR="003832F7" w:rsidRPr="00DE144B" w:rsidRDefault="00E92E89" w:rsidP="003832F7">
      <w:pPr>
        <w:pStyle w:val="NoSpacing"/>
        <w:rPr>
          <w:rFonts w:ascii="Arial" w:hAnsi="Arial" w:cs="Arial"/>
          <w:b/>
          <w:sz w:val="24"/>
          <w:szCs w:val="24"/>
          <w:u w:val="single"/>
        </w:rPr>
      </w:pPr>
      <w:r w:rsidRPr="00DE144B">
        <w:rPr>
          <w:rFonts w:ascii="Arial" w:hAnsi="Arial" w:cs="Arial"/>
          <w:b/>
          <w:sz w:val="24"/>
          <w:szCs w:val="24"/>
        </w:rPr>
        <w:t>6.2</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1D5222" w:rsidRDefault="001568EF" w:rsidP="001568EF">
      <w:pPr>
        <w:pStyle w:val="NoSpacing"/>
        <w:ind w:left="720"/>
        <w:rPr>
          <w:rFonts w:ascii="Arial" w:hAnsi="Arial" w:cs="Arial"/>
          <w:sz w:val="24"/>
          <w:szCs w:val="24"/>
        </w:rPr>
      </w:pPr>
      <w:r>
        <w:rPr>
          <w:rFonts w:ascii="Arial" w:hAnsi="Arial" w:cs="Arial"/>
          <w:sz w:val="24"/>
          <w:szCs w:val="24"/>
        </w:rPr>
        <w:t xml:space="preserve">The provision of translation services should be consistent across Essex, ensuring that all victims, witnesses and suspects have equal opportunities to access justice and have their welfare, rights and entitlements safeguarded when interacting with Essex Police.  </w:t>
      </w:r>
      <w:r w:rsidR="00BE4F93">
        <w:rPr>
          <w:rFonts w:ascii="Arial" w:hAnsi="Arial" w:cs="Arial"/>
          <w:sz w:val="24"/>
          <w:szCs w:val="24"/>
        </w:rPr>
        <w:t>Currently non-English speaking detainees in custody are detained for longer on average than English speaking detainees, partly due to poor service form translation services.  A particular area of concern he</w:t>
      </w:r>
      <w:r w:rsidR="00201081">
        <w:rPr>
          <w:rFonts w:ascii="Arial" w:hAnsi="Arial" w:cs="Arial"/>
          <w:sz w:val="24"/>
          <w:szCs w:val="24"/>
        </w:rPr>
        <w:t>r</w:t>
      </w:r>
      <w:r w:rsidR="00BE4F93">
        <w:rPr>
          <w:rFonts w:ascii="Arial" w:hAnsi="Arial" w:cs="Arial"/>
          <w:sz w:val="24"/>
          <w:szCs w:val="24"/>
        </w:rPr>
        <w:t>e</w:t>
      </w:r>
      <w:r w:rsidR="00201081">
        <w:rPr>
          <w:rFonts w:ascii="Arial" w:hAnsi="Arial" w:cs="Arial"/>
          <w:sz w:val="24"/>
          <w:szCs w:val="24"/>
        </w:rPr>
        <w:t xml:space="preserve"> is for those who require British Sign Language translation.</w:t>
      </w:r>
    </w:p>
    <w:p w:rsidR="001568EF" w:rsidRPr="00DE144B" w:rsidRDefault="001568EF" w:rsidP="001568EF">
      <w:pPr>
        <w:pStyle w:val="NoSpacing"/>
        <w:ind w:left="720"/>
        <w:rPr>
          <w:rFonts w:ascii="Arial" w:hAnsi="Arial" w:cs="Arial"/>
          <w:b/>
          <w:sz w:val="24"/>
          <w:szCs w:val="24"/>
        </w:rPr>
      </w:pPr>
    </w:p>
    <w:p w:rsidR="001D5222" w:rsidRPr="00DE144B" w:rsidRDefault="00E92E89" w:rsidP="00652B9C">
      <w:pPr>
        <w:pStyle w:val="NoSpacing"/>
        <w:rPr>
          <w:rFonts w:ascii="Arial" w:hAnsi="Arial" w:cs="Arial"/>
          <w:b/>
          <w:sz w:val="24"/>
          <w:szCs w:val="24"/>
        </w:rPr>
      </w:pPr>
      <w:r w:rsidRPr="00DE144B">
        <w:rPr>
          <w:rFonts w:ascii="Arial" w:hAnsi="Arial" w:cs="Arial"/>
          <w:b/>
          <w:sz w:val="24"/>
          <w:szCs w:val="24"/>
        </w:rPr>
        <w:t>6.3</w:t>
      </w:r>
      <w:r w:rsidRPr="00DE144B">
        <w:rPr>
          <w:rFonts w:ascii="Arial" w:hAnsi="Arial" w:cs="Arial"/>
          <w:b/>
          <w:sz w:val="24"/>
          <w:szCs w:val="24"/>
        </w:rPr>
        <w:tab/>
      </w:r>
      <w:r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832F7" w:rsidRDefault="003832F7" w:rsidP="003832F7">
      <w:pPr>
        <w:pStyle w:val="NoSpacing"/>
        <w:ind w:left="709"/>
        <w:rPr>
          <w:rFonts w:ascii="Arial" w:hAnsi="Arial" w:cs="Arial"/>
          <w:b/>
          <w:sz w:val="24"/>
          <w:szCs w:val="24"/>
        </w:rPr>
      </w:pPr>
    </w:p>
    <w:p w:rsidR="00BE4F93" w:rsidRDefault="00BE4F93" w:rsidP="004E4CBD">
      <w:pPr>
        <w:pStyle w:val="NoSpacing"/>
        <w:ind w:left="709"/>
        <w:rPr>
          <w:rFonts w:ascii="Arial" w:hAnsi="Arial" w:cs="Arial"/>
          <w:sz w:val="24"/>
          <w:szCs w:val="24"/>
        </w:rPr>
      </w:pPr>
      <w:r>
        <w:rPr>
          <w:rFonts w:ascii="Arial" w:hAnsi="Arial" w:cs="Arial"/>
          <w:sz w:val="24"/>
          <w:szCs w:val="24"/>
        </w:rPr>
        <w:t>Lack of face to face interpreters early in a detainee stay and during key processes and procedures during detainees stay presents the risk of a lack of effective risk assessment and risk mitigation for that detainee and members of the wider public affected by that detainee’s offending.</w:t>
      </w:r>
    </w:p>
    <w:p w:rsidR="0065388A" w:rsidRPr="001568EF" w:rsidRDefault="0065388A" w:rsidP="004E4CBD">
      <w:pPr>
        <w:pStyle w:val="NoSpacing"/>
        <w:ind w:left="709"/>
        <w:rPr>
          <w:rFonts w:ascii="Arial" w:hAnsi="Arial" w:cs="Arial"/>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BE4F93" w:rsidRPr="00BE4F93" w:rsidRDefault="00BE4F93" w:rsidP="009F3263">
      <w:pPr>
        <w:pStyle w:val="NoSpacing"/>
        <w:ind w:left="709"/>
        <w:rPr>
          <w:rFonts w:ascii="Arial" w:hAnsi="Arial" w:cs="Arial"/>
          <w:sz w:val="24"/>
          <w:szCs w:val="24"/>
        </w:rPr>
      </w:pPr>
      <w:r w:rsidRPr="00BE4F93">
        <w:rPr>
          <w:rFonts w:ascii="Arial" w:hAnsi="Arial" w:cs="Arial"/>
          <w:sz w:val="24"/>
          <w:szCs w:val="24"/>
        </w:rPr>
        <w:t>Kent and Essex Procurement</w:t>
      </w:r>
    </w:p>
    <w:p w:rsidR="00BE4F93" w:rsidRPr="00BE4F93" w:rsidRDefault="00BE4F93" w:rsidP="009F3263">
      <w:pPr>
        <w:pStyle w:val="NoSpacing"/>
        <w:ind w:left="709"/>
        <w:rPr>
          <w:rFonts w:ascii="Arial" w:hAnsi="Arial" w:cs="Arial"/>
          <w:sz w:val="24"/>
          <w:szCs w:val="24"/>
        </w:rPr>
      </w:pPr>
      <w:r w:rsidRPr="00BE4F93">
        <w:rPr>
          <w:rFonts w:ascii="Arial" w:hAnsi="Arial" w:cs="Arial"/>
          <w:sz w:val="24"/>
          <w:szCs w:val="24"/>
        </w:rPr>
        <w:t>Bedfordshire, Cambridgeshire and Hertfordshire Constabularies</w:t>
      </w:r>
    </w:p>
    <w:p w:rsidR="00BE4F93" w:rsidRPr="00BE4F93" w:rsidRDefault="00BE4F93" w:rsidP="009F3263">
      <w:pPr>
        <w:pStyle w:val="NoSpacing"/>
        <w:ind w:left="709"/>
        <w:rPr>
          <w:rFonts w:ascii="Arial" w:hAnsi="Arial" w:cs="Arial"/>
          <w:sz w:val="24"/>
          <w:szCs w:val="24"/>
        </w:rPr>
      </w:pPr>
      <w:r w:rsidRPr="00BE4F93">
        <w:rPr>
          <w:rFonts w:ascii="Arial" w:hAnsi="Arial" w:cs="Arial"/>
          <w:sz w:val="24"/>
          <w:szCs w:val="24"/>
        </w:rPr>
        <w:t>Kent Police Custody and Criminal Justice Command</w:t>
      </w:r>
    </w:p>
    <w:p w:rsidR="00BE4F93" w:rsidRPr="00BE4F93" w:rsidRDefault="00BE4F93" w:rsidP="009F3263">
      <w:pPr>
        <w:pStyle w:val="NoSpacing"/>
        <w:ind w:left="709"/>
        <w:rPr>
          <w:rFonts w:ascii="Arial" w:hAnsi="Arial" w:cs="Arial"/>
          <w:sz w:val="24"/>
          <w:szCs w:val="24"/>
        </w:rPr>
      </w:pPr>
      <w:r w:rsidRPr="00BE4F93">
        <w:rPr>
          <w:rFonts w:ascii="Arial" w:hAnsi="Arial" w:cs="Arial"/>
          <w:sz w:val="24"/>
          <w:szCs w:val="24"/>
        </w:rPr>
        <w:t>Essex Police Legal Department</w:t>
      </w:r>
    </w:p>
    <w:p w:rsidR="00517DD2" w:rsidRPr="009F3263" w:rsidRDefault="00517DD2" w:rsidP="00610F22">
      <w:pPr>
        <w:pStyle w:val="NoSpacing"/>
        <w:rPr>
          <w:rFonts w:ascii="Arial" w:hAnsi="Arial" w:cs="Arial"/>
          <w:sz w:val="24"/>
          <w:szCs w:val="24"/>
        </w:rPr>
      </w:pPr>
    </w:p>
    <w:p w:rsidR="003832F7" w:rsidRPr="007D3E9B" w:rsidRDefault="003832F7" w:rsidP="00665862">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A854E8">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1423E4" w:rsidRDefault="00201081" w:rsidP="00201081">
      <w:pPr>
        <w:pStyle w:val="NoSpacing"/>
        <w:ind w:left="720"/>
        <w:rPr>
          <w:rFonts w:ascii="Arial" w:hAnsi="Arial" w:cs="Arial"/>
          <w:sz w:val="24"/>
          <w:szCs w:val="24"/>
        </w:rPr>
      </w:pPr>
      <w:r>
        <w:rPr>
          <w:rFonts w:ascii="Arial" w:hAnsi="Arial" w:cs="Arial"/>
          <w:sz w:val="24"/>
          <w:szCs w:val="24"/>
        </w:rPr>
        <w:t xml:space="preserve">Criminal Justice Command have engaged with legal and procurement services over the issues in the contract and performance of The Big Word and </w:t>
      </w:r>
      <w:r w:rsidR="00A854E8">
        <w:rPr>
          <w:rFonts w:ascii="Arial" w:hAnsi="Arial" w:cs="Arial"/>
          <w:sz w:val="24"/>
          <w:szCs w:val="24"/>
        </w:rPr>
        <w:t xml:space="preserve">an improvement action plan is underway.  </w:t>
      </w:r>
    </w:p>
    <w:p w:rsidR="001423E4" w:rsidRDefault="001423E4" w:rsidP="00201081">
      <w:pPr>
        <w:pStyle w:val="NoSpacing"/>
        <w:ind w:left="720"/>
        <w:rPr>
          <w:rFonts w:ascii="Arial" w:hAnsi="Arial" w:cs="Arial"/>
          <w:sz w:val="24"/>
          <w:szCs w:val="24"/>
        </w:rPr>
      </w:pPr>
    </w:p>
    <w:p w:rsidR="001423E4" w:rsidRDefault="00B64AA6" w:rsidP="00201081">
      <w:pPr>
        <w:pStyle w:val="NoSpacing"/>
        <w:ind w:left="720"/>
        <w:rPr>
          <w:rFonts w:ascii="Arial" w:hAnsi="Arial" w:cs="Arial"/>
          <w:sz w:val="24"/>
          <w:szCs w:val="24"/>
        </w:rPr>
      </w:pPr>
      <w:r>
        <w:rPr>
          <w:rFonts w:ascii="Arial" w:hAnsi="Arial" w:cs="Arial"/>
          <w:sz w:val="24"/>
          <w:szCs w:val="24"/>
        </w:rPr>
        <w:t xml:space="preserve">Impacts upon efficiency are measured through numbers of complaints and </w:t>
      </w:r>
      <w:r w:rsidR="004A23F7">
        <w:rPr>
          <w:rFonts w:ascii="Arial" w:hAnsi="Arial" w:cs="Arial"/>
          <w:sz w:val="24"/>
          <w:szCs w:val="24"/>
        </w:rPr>
        <w:t>issues from the frontline users and the improvement plan is managed and scrutinised monthly through the Criminal Justice Gove</w:t>
      </w:r>
      <w:r w:rsidR="004A2564">
        <w:rPr>
          <w:rFonts w:ascii="Arial" w:hAnsi="Arial" w:cs="Arial"/>
          <w:sz w:val="24"/>
          <w:szCs w:val="24"/>
        </w:rPr>
        <w:t>rnance Board chaired by ACC Paul Wells</w:t>
      </w:r>
      <w:r w:rsidR="007609D1">
        <w:rPr>
          <w:rFonts w:ascii="Arial" w:hAnsi="Arial" w:cs="Arial"/>
          <w:sz w:val="24"/>
          <w:szCs w:val="24"/>
        </w:rPr>
        <w:t>.</w:t>
      </w:r>
    </w:p>
    <w:p w:rsidR="001423E4" w:rsidRDefault="001423E4" w:rsidP="00201081">
      <w:pPr>
        <w:pStyle w:val="NoSpacing"/>
        <w:ind w:left="720"/>
        <w:rPr>
          <w:rFonts w:ascii="Arial" w:hAnsi="Arial" w:cs="Arial"/>
          <w:sz w:val="24"/>
          <w:szCs w:val="24"/>
        </w:rPr>
      </w:pPr>
    </w:p>
    <w:p w:rsidR="00B64AA6" w:rsidRDefault="007609D1" w:rsidP="00201081">
      <w:pPr>
        <w:pStyle w:val="NoSpacing"/>
        <w:ind w:left="720"/>
        <w:rPr>
          <w:rFonts w:ascii="Arial" w:hAnsi="Arial" w:cs="Arial"/>
          <w:sz w:val="24"/>
          <w:szCs w:val="24"/>
        </w:rPr>
      </w:pPr>
      <w:r>
        <w:rPr>
          <w:rFonts w:ascii="Arial" w:hAnsi="Arial" w:cs="Arial"/>
          <w:sz w:val="24"/>
          <w:szCs w:val="24"/>
        </w:rPr>
        <w:t>This has been submitted to the Essex Police risk register and the grading will be updated to this board</w:t>
      </w:r>
    </w:p>
    <w:p w:rsidR="004A2564" w:rsidRDefault="004A2564" w:rsidP="00201081">
      <w:pPr>
        <w:pStyle w:val="NoSpacing"/>
        <w:ind w:left="720"/>
        <w:rPr>
          <w:rFonts w:ascii="Arial" w:hAnsi="Arial" w:cs="Arial"/>
          <w:sz w:val="24"/>
          <w:szCs w:val="24"/>
        </w:rPr>
      </w:pPr>
    </w:p>
    <w:p w:rsidR="00A854E8" w:rsidRDefault="00A854E8" w:rsidP="00201081">
      <w:pPr>
        <w:pStyle w:val="NoSpacing"/>
        <w:ind w:left="720"/>
        <w:rPr>
          <w:rFonts w:ascii="Arial" w:hAnsi="Arial" w:cs="Arial"/>
          <w:sz w:val="24"/>
          <w:szCs w:val="24"/>
        </w:rPr>
      </w:pPr>
      <w:r>
        <w:rPr>
          <w:rFonts w:ascii="Arial" w:hAnsi="Arial" w:cs="Arial"/>
          <w:sz w:val="24"/>
          <w:szCs w:val="24"/>
        </w:rPr>
        <w:t>Completed to date:</w:t>
      </w:r>
    </w:p>
    <w:p w:rsidR="00A854E8" w:rsidRDefault="00A854E8" w:rsidP="00201081">
      <w:pPr>
        <w:pStyle w:val="NoSpacing"/>
        <w:ind w:left="720"/>
        <w:rPr>
          <w:rFonts w:ascii="Arial" w:hAnsi="Arial" w:cs="Arial"/>
          <w:sz w:val="24"/>
          <w:szCs w:val="24"/>
        </w:rPr>
      </w:pPr>
    </w:p>
    <w:p w:rsidR="00B64AA6" w:rsidRDefault="00A854E8" w:rsidP="00B64AA6">
      <w:pPr>
        <w:pStyle w:val="NoSpacing"/>
        <w:numPr>
          <w:ilvl w:val="0"/>
          <w:numId w:val="9"/>
        </w:numPr>
        <w:rPr>
          <w:rFonts w:ascii="Arial" w:hAnsi="Arial" w:cs="Arial"/>
          <w:sz w:val="24"/>
          <w:szCs w:val="24"/>
        </w:rPr>
      </w:pPr>
      <w:r>
        <w:rPr>
          <w:rFonts w:ascii="Arial" w:hAnsi="Arial" w:cs="Arial"/>
          <w:sz w:val="24"/>
          <w:szCs w:val="24"/>
        </w:rPr>
        <w:lastRenderedPageBreak/>
        <w:t xml:space="preserve">There are now </w:t>
      </w:r>
      <w:r w:rsidR="00201081">
        <w:rPr>
          <w:rFonts w:ascii="Arial" w:hAnsi="Arial" w:cs="Arial"/>
          <w:sz w:val="24"/>
          <w:szCs w:val="24"/>
        </w:rPr>
        <w:t xml:space="preserve">regular meetings with </w:t>
      </w:r>
      <w:r>
        <w:rPr>
          <w:rFonts w:ascii="Arial" w:hAnsi="Arial" w:cs="Arial"/>
          <w:sz w:val="24"/>
          <w:szCs w:val="24"/>
        </w:rPr>
        <w:t>TBW</w:t>
      </w:r>
      <w:r w:rsidR="00201081">
        <w:rPr>
          <w:rFonts w:ascii="Arial" w:hAnsi="Arial" w:cs="Arial"/>
          <w:sz w:val="24"/>
          <w:szCs w:val="24"/>
        </w:rPr>
        <w:t xml:space="preserve"> contract manager to improve the data and </w:t>
      </w:r>
      <w:r>
        <w:rPr>
          <w:rFonts w:ascii="Arial" w:hAnsi="Arial" w:cs="Arial"/>
          <w:sz w:val="24"/>
          <w:szCs w:val="24"/>
        </w:rPr>
        <w:t xml:space="preserve">for all parties to better understand the reasons for and implications of </w:t>
      </w:r>
      <w:r w:rsidR="00201081">
        <w:rPr>
          <w:rFonts w:ascii="Arial" w:hAnsi="Arial" w:cs="Arial"/>
          <w:sz w:val="24"/>
          <w:szCs w:val="24"/>
        </w:rPr>
        <w:t>lack of provision.</w:t>
      </w:r>
      <w:r>
        <w:rPr>
          <w:rFonts w:ascii="Arial" w:hAnsi="Arial" w:cs="Arial"/>
          <w:sz w:val="24"/>
          <w:szCs w:val="24"/>
        </w:rPr>
        <w:t xml:space="preserve">  This work has led to impr</w:t>
      </w:r>
      <w:r w:rsidR="009F3BCD">
        <w:rPr>
          <w:rFonts w:ascii="Arial" w:hAnsi="Arial" w:cs="Arial"/>
          <w:sz w:val="24"/>
          <w:szCs w:val="24"/>
        </w:rPr>
        <w:t>ovements in process and service and a new agreed list of management information and performance reporting parameters.</w:t>
      </w:r>
    </w:p>
    <w:p w:rsidR="001423E4" w:rsidRDefault="001423E4" w:rsidP="001423E4">
      <w:pPr>
        <w:pStyle w:val="NoSpacing"/>
        <w:rPr>
          <w:rFonts w:ascii="Arial" w:hAnsi="Arial" w:cs="Arial"/>
          <w:sz w:val="24"/>
          <w:szCs w:val="24"/>
        </w:rPr>
      </w:pPr>
    </w:p>
    <w:p w:rsidR="001423E4" w:rsidRDefault="001423E4" w:rsidP="001423E4">
      <w:pPr>
        <w:pStyle w:val="NoSpacing"/>
        <w:rPr>
          <w:rFonts w:ascii="Arial" w:hAnsi="Arial" w:cs="Arial"/>
          <w:sz w:val="24"/>
          <w:szCs w:val="24"/>
        </w:rPr>
      </w:pPr>
    </w:p>
    <w:p w:rsidR="001423E4" w:rsidRDefault="001423E4" w:rsidP="001423E4">
      <w:pPr>
        <w:pStyle w:val="NoSpacing"/>
        <w:rPr>
          <w:rFonts w:ascii="Arial" w:hAnsi="Arial" w:cs="Arial"/>
          <w:sz w:val="24"/>
          <w:szCs w:val="24"/>
        </w:rPr>
      </w:pPr>
    </w:p>
    <w:p w:rsidR="001423E4" w:rsidRPr="00B64AA6" w:rsidRDefault="001423E4" w:rsidP="001423E4">
      <w:pPr>
        <w:pStyle w:val="NoSpacing"/>
        <w:rPr>
          <w:rFonts w:ascii="Arial" w:hAnsi="Arial" w:cs="Arial"/>
          <w:sz w:val="24"/>
          <w:szCs w:val="24"/>
        </w:rPr>
      </w:pPr>
    </w:p>
    <w:p w:rsidR="00A854E8" w:rsidRDefault="00A854E8" w:rsidP="00A854E8">
      <w:pPr>
        <w:pStyle w:val="NoSpacing"/>
        <w:numPr>
          <w:ilvl w:val="0"/>
          <w:numId w:val="9"/>
        </w:numPr>
        <w:rPr>
          <w:rFonts w:ascii="Arial" w:hAnsi="Arial" w:cs="Arial"/>
          <w:sz w:val="24"/>
          <w:szCs w:val="24"/>
        </w:rPr>
      </w:pPr>
      <w:r>
        <w:rPr>
          <w:rFonts w:ascii="Arial" w:hAnsi="Arial" w:cs="Arial"/>
          <w:sz w:val="24"/>
          <w:szCs w:val="24"/>
        </w:rPr>
        <w:t>A structured process has been created for reporting urgent and non-urgent requests and issues</w:t>
      </w:r>
      <w:r w:rsidR="00B64AA6">
        <w:rPr>
          <w:rFonts w:ascii="Arial" w:hAnsi="Arial" w:cs="Arial"/>
          <w:sz w:val="24"/>
          <w:szCs w:val="24"/>
        </w:rPr>
        <w:t xml:space="preserve"> through line management to a single point of contact in the project support officer role</w:t>
      </w:r>
      <w:r>
        <w:rPr>
          <w:rFonts w:ascii="Arial" w:hAnsi="Arial" w:cs="Arial"/>
          <w:sz w:val="24"/>
          <w:szCs w:val="24"/>
        </w:rPr>
        <w:t>.</w:t>
      </w:r>
      <w:r w:rsidR="00B64AA6">
        <w:rPr>
          <w:rFonts w:ascii="Arial" w:hAnsi="Arial" w:cs="Arial"/>
          <w:sz w:val="24"/>
          <w:szCs w:val="24"/>
        </w:rPr>
        <w:t xml:space="preserve">  This ensures complaints and issues from frontline users are investigated internally</w:t>
      </w:r>
      <w:r w:rsidR="009F3BCD">
        <w:rPr>
          <w:rFonts w:ascii="Arial" w:hAnsi="Arial" w:cs="Arial"/>
          <w:sz w:val="24"/>
          <w:szCs w:val="24"/>
        </w:rPr>
        <w:t xml:space="preserve"> first</w:t>
      </w:r>
      <w:r w:rsidR="00B64AA6">
        <w:rPr>
          <w:rFonts w:ascii="Arial" w:hAnsi="Arial" w:cs="Arial"/>
          <w:sz w:val="24"/>
          <w:szCs w:val="24"/>
        </w:rPr>
        <w:t>, learning identified and feedback given where required to our own officers and staff.</w:t>
      </w:r>
    </w:p>
    <w:p w:rsidR="001423E4" w:rsidRDefault="001423E4" w:rsidP="001423E4">
      <w:pPr>
        <w:pStyle w:val="NoSpacing"/>
        <w:ind w:left="1440"/>
        <w:rPr>
          <w:rFonts w:ascii="Arial" w:hAnsi="Arial" w:cs="Arial"/>
          <w:sz w:val="24"/>
          <w:szCs w:val="24"/>
        </w:rPr>
      </w:pPr>
    </w:p>
    <w:p w:rsidR="00A854E8" w:rsidRDefault="00A854E8" w:rsidP="00A854E8">
      <w:pPr>
        <w:pStyle w:val="NoSpacing"/>
        <w:numPr>
          <w:ilvl w:val="0"/>
          <w:numId w:val="9"/>
        </w:numPr>
        <w:rPr>
          <w:rFonts w:ascii="Arial" w:hAnsi="Arial" w:cs="Arial"/>
          <w:sz w:val="24"/>
          <w:szCs w:val="24"/>
        </w:rPr>
      </w:pPr>
      <w:r w:rsidRPr="00A854E8">
        <w:rPr>
          <w:rFonts w:ascii="Arial" w:hAnsi="Arial" w:cs="Arial"/>
          <w:sz w:val="24"/>
          <w:szCs w:val="24"/>
        </w:rPr>
        <w:t xml:space="preserve">Criminal Justice Command </w:t>
      </w:r>
      <w:r>
        <w:rPr>
          <w:rFonts w:ascii="Arial" w:hAnsi="Arial" w:cs="Arial"/>
          <w:sz w:val="24"/>
          <w:szCs w:val="24"/>
        </w:rPr>
        <w:t xml:space="preserve">have </w:t>
      </w:r>
      <w:r w:rsidRPr="00A854E8">
        <w:rPr>
          <w:rFonts w:ascii="Arial" w:hAnsi="Arial" w:cs="Arial"/>
          <w:sz w:val="24"/>
          <w:szCs w:val="24"/>
        </w:rPr>
        <w:t>secure</w:t>
      </w:r>
      <w:r>
        <w:rPr>
          <w:rFonts w:ascii="Arial" w:hAnsi="Arial" w:cs="Arial"/>
          <w:sz w:val="24"/>
          <w:szCs w:val="24"/>
        </w:rPr>
        <w:t>d an</w:t>
      </w:r>
      <w:r w:rsidRPr="00A854E8">
        <w:rPr>
          <w:rFonts w:ascii="Arial" w:hAnsi="Arial" w:cs="Arial"/>
          <w:sz w:val="24"/>
          <w:szCs w:val="24"/>
        </w:rPr>
        <w:t xml:space="preserve"> alternative l</w:t>
      </w:r>
      <w:r>
        <w:rPr>
          <w:rFonts w:ascii="Arial" w:hAnsi="Arial" w:cs="Arial"/>
          <w:sz w:val="24"/>
          <w:szCs w:val="24"/>
        </w:rPr>
        <w:t>anguage and translation service</w:t>
      </w:r>
      <w:r w:rsidRPr="00A854E8">
        <w:rPr>
          <w:rFonts w:ascii="Arial" w:hAnsi="Arial" w:cs="Arial"/>
          <w:sz w:val="24"/>
          <w:szCs w:val="24"/>
        </w:rPr>
        <w:t xml:space="preserve"> accessed directly with the interpreters themselves through their industry body the APCI on an ad hoc basis.  The APCI charge a higher rate than services accessed under the contract with the Big Word and </w:t>
      </w:r>
      <w:r>
        <w:rPr>
          <w:rFonts w:ascii="Arial" w:hAnsi="Arial" w:cs="Arial"/>
          <w:sz w:val="24"/>
          <w:szCs w:val="24"/>
        </w:rPr>
        <w:t>are</w:t>
      </w:r>
      <w:r w:rsidRPr="00A854E8">
        <w:rPr>
          <w:rFonts w:ascii="Arial" w:hAnsi="Arial" w:cs="Arial"/>
          <w:sz w:val="24"/>
          <w:szCs w:val="24"/>
        </w:rPr>
        <w:t xml:space="preserve"> only be used where The Big Word were unable to provide within a reasonable timescale.  Close management </w:t>
      </w:r>
      <w:r>
        <w:rPr>
          <w:rFonts w:ascii="Arial" w:hAnsi="Arial" w:cs="Arial"/>
          <w:sz w:val="24"/>
          <w:szCs w:val="24"/>
        </w:rPr>
        <w:t xml:space="preserve">structure </w:t>
      </w:r>
      <w:r w:rsidRPr="00A854E8">
        <w:rPr>
          <w:rFonts w:ascii="Arial" w:hAnsi="Arial" w:cs="Arial"/>
          <w:sz w:val="24"/>
          <w:szCs w:val="24"/>
        </w:rPr>
        <w:t xml:space="preserve">and scrutiny of these requests </w:t>
      </w:r>
      <w:r>
        <w:rPr>
          <w:rFonts w:ascii="Arial" w:hAnsi="Arial" w:cs="Arial"/>
          <w:sz w:val="24"/>
          <w:szCs w:val="24"/>
        </w:rPr>
        <w:t>is in place and all costs are chargeable to TBW</w:t>
      </w:r>
      <w:r w:rsidRPr="00A854E8">
        <w:rPr>
          <w:rFonts w:ascii="Arial" w:hAnsi="Arial" w:cs="Arial"/>
          <w:sz w:val="24"/>
          <w:szCs w:val="24"/>
        </w:rPr>
        <w:t>.</w:t>
      </w:r>
      <w:r w:rsidR="00B64AA6">
        <w:rPr>
          <w:rFonts w:ascii="Arial" w:hAnsi="Arial" w:cs="Arial"/>
          <w:sz w:val="24"/>
          <w:szCs w:val="24"/>
        </w:rPr>
        <w:t xml:space="preserve">  Financial monitoring is provided via corporate finance management accountant </w:t>
      </w:r>
      <w:r w:rsidR="00B64AA6">
        <w:rPr>
          <w:rFonts w:ascii="Arial" w:hAnsi="Arial" w:cs="Arial"/>
          <w:sz w:val="24"/>
          <w:szCs w:val="24"/>
        </w:rPr>
        <w:lastRenderedPageBreak/>
        <w:t>and CJ manager who processes all chargeable recovery costs.</w:t>
      </w:r>
      <w:r w:rsidR="009F3BCD">
        <w:rPr>
          <w:rFonts w:ascii="Arial" w:hAnsi="Arial" w:cs="Arial"/>
          <w:sz w:val="24"/>
          <w:szCs w:val="24"/>
        </w:rPr>
        <w:t xml:space="preserve">  This service has been used on five occasions to date.</w:t>
      </w:r>
    </w:p>
    <w:p w:rsidR="001423E4" w:rsidRPr="00A854E8" w:rsidRDefault="001423E4" w:rsidP="001423E4">
      <w:pPr>
        <w:pStyle w:val="NoSpacing"/>
        <w:rPr>
          <w:rFonts w:ascii="Arial" w:hAnsi="Arial" w:cs="Arial"/>
          <w:sz w:val="24"/>
          <w:szCs w:val="24"/>
        </w:rPr>
      </w:pPr>
    </w:p>
    <w:p w:rsidR="00A854E8" w:rsidRPr="00A854E8" w:rsidRDefault="00A854E8" w:rsidP="00A854E8">
      <w:pPr>
        <w:pStyle w:val="NoSpacing"/>
        <w:ind w:left="1440"/>
        <w:rPr>
          <w:rFonts w:ascii="Arial" w:hAnsi="Arial" w:cs="Arial"/>
          <w:i/>
          <w:sz w:val="24"/>
          <w:szCs w:val="24"/>
        </w:rPr>
      </w:pPr>
      <w:r w:rsidRPr="00A854E8">
        <w:rPr>
          <w:rFonts w:ascii="Arial" w:hAnsi="Arial" w:cs="Arial"/>
          <w:i/>
          <w:sz w:val="24"/>
          <w:szCs w:val="24"/>
        </w:rPr>
        <w:t xml:space="preserve">All </w:t>
      </w:r>
      <w:r>
        <w:rPr>
          <w:rFonts w:ascii="Arial" w:hAnsi="Arial" w:cs="Arial"/>
          <w:i/>
          <w:sz w:val="24"/>
          <w:szCs w:val="24"/>
        </w:rPr>
        <w:t xml:space="preserve">ACPI </w:t>
      </w:r>
      <w:r w:rsidRPr="00A854E8">
        <w:rPr>
          <w:rFonts w:ascii="Arial" w:hAnsi="Arial" w:cs="Arial"/>
          <w:i/>
          <w:sz w:val="24"/>
          <w:szCs w:val="24"/>
        </w:rPr>
        <w:t>members are on the national register and have various levels of vetting. The APCI have a sector of their association called APCI Response, which is a call centre able to put us in contact with independent interpreters. During business hours we will are able t</w:t>
      </w:r>
      <w:r w:rsidR="00EB2427">
        <w:rPr>
          <w:rFonts w:ascii="Arial" w:hAnsi="Arial" w:cs="Arial"/>
          <w:i/>
          <w:sz w:val="24"/>
          <w:szCs w:val="24"/>
        </w:rPr>
        <w:t>o call them direct and have them</w:t>
      </w:r>
      <w:r w:rsidRPr="00A854E8">
        <w:rPr>
          <w:rFonts w:ascii="Arial" w:hAnsi="Arial" w:cs="Arial"/>
          <w:i/>
          <w:sz w:val="24"/>
          <w:szCs w:val="24"/>
        </w:rPr>
        <w:t xml:space="preserve"> put us in touch with the required interpreter in order to fulfil bookings where TBW is unable to fulfil. Out of hours, the directors of the association will be taking calls and liaising with the interpreters. This service will be provided to us free of charge, and we pay the interpreters direct and reclaim costs from TBW as service credits.</w:t>
      </w:r>
    </w:p>
    <w:p w:rsidR="007D3E9B" w:rsidRPr="007D3E9B" w:rsidRDefault="007D3E9B" w:rsidP="00C654B8">
      <w:pPr>
        <w:pStyle w:val="NoSpacing"/>
        <w:ind w:left="709"/>
        <w:rPr>
          <w:rFonts w:ascii="Arial" w:hAnsi="Arial" w:cs="Arial"/>
          <w:sz w:val="24"/>
          <w:szCs w:val="24"/>
        </w:rPr>
      </w:pPr>
    </w:p>
    <w:p w:rsidR="004E4CBD" w:rsidRDefault="004E4CBD" w:rsidP="007D3E9B">
      <w:pPr>
        <w:pStyle w:val="NoSpacing"/>
        <w:rPr>
          <w:rFonts w:ascii="Arial" w:hAnsi="Arial" w:cs="Arial"/>
          <w:b/>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A854E8">
        <w:rPr>
          <w:rFonts w:ascii="Arial" w:hAnsi="Arial" w:cs="Arial"/>
          <w:b/>
          <w:sz w:val="24"/>
          <w:szCs w:val="24"/>
          <w:u w:val="single"/>
        </w:rPr>
        <w:t>Future Work/Development</w:t>
      </w:r>
    </w:p>
    <w:p w:rsidR="007D3E9B" w:rsidRPr="007D3E9B" w:rsidRDefault="007D3E9B" w:rsidP="007D3E9B">
      <w:pPr>
        <w:pStyle w:val="NoSpacing"/>
        <w:ind w:left="720"/>
        <w:rPr>
          <w:rFonts w:ascii="Arial" w:hAnsi="Arial" w:cs="Arial"/>
          <w:sz w:val="24"/>
          <w:szCs w:val="24"/>
        </w:rPr>
      </w:pPr>
    </w:p>
    <w:p w:rsidR="00201081" w:rsidRDefault="00201081" w:rsidP="007D3E9B">
      <w:pPr>
        <w:pStyle w:val="NoSpacing"/>
        <w:ind w:left="720"/>
        <w:rPr>
          <w:rFonts w:ascii="Arial" w:hAnsi="Arial" w:cs="Arial"/>
          <w:b/>
          <w:sz w:val="24"/>
          <w:szCs w:val="24"/>
          <w:u w:val="single"/>
        </w:rPr>
      </w:pPr>
    </w:p>
    <w:p w:rsidR="00A854E8" w:rsidRDefault="00A854E8" w:rsidP="007D3E9B">
      <w:pPr>
        <w:pStyle w:val="NoSpacing"/>
        <w:ind w:left="720"/>
        <w:rPr>
          <w:rFonts w:ascii="Arial" w:hAnsi="Arial" w:cs="Arial"/>
          <w:sz w:val="24"/>
          <w:szCs w:val="24"/>
        </w:rPr>
      </w:pPr>
      <w:r>
        <w:rPr>
          <w:rFonts w:ascii="Arial" w:hAnsi="Arial" w:cs="Arial"/>
          <w:sz w:val="24"/>
          <w:szCs w:val="24"/>
        </w:rPr>
        <w:t>Outstanding aspects of the improvement action plan are:</w:t>
      </w:r>
    </w:p>
    <w:p w:rsidR="001423E4" w:rsidRDefault="001423E4" w:rsidP="007D3E9B">
      <w:pPr>
        <w:pStyle w:val="NoSpacing"/>
        <w:ind w:left="720"/>
        <w:rPr>
          <w:rFonts w:ascii="Arial" w:hAnsi="Arial" w:cs="Arial"/>
          <w:sz w:val="24"/>
          <w:szCs w:val="24"/>
        </w:rPr>
      </w:pPr>
    </w:p>
    <w:p w:rsidR="0014315E" w:rsidRDefault="00A854E8" w:rsidP="00A854E8">
      <w:pPr>
        <w:pStyle w:val="NoSpacing"/>
        <w:numPr>
          <w:ilvl w:val="0"/>
          <w:numId w:val="12"/>
        </w:numPr>
        <w:rPr>
          <w:rFonts w:ascii="Arial" w:hAnsi="Arial" w:cs="Arial"/>
          <w:sz w:val="24"/>
          <w:szCs w:val="24"/>
        </w:rPr>
      </w:pPr>
      <w:r>
        <w:rPr>
          <w:rFonts w:ascii="Arial" w:hAnsi="Arial" w:cs="Arial"/>
          <w:sz w:val="24"/>
          <w:szCs w:val="24"/>
        </w:rPr>
        <w:t>S</w:t>
      </w:r>
      <w:r w:rsidR="0014315E">
        <w:rPr>
          <w:rFonts w:ascii="Arial" w:hAnsi="Arial" w:cs="Arial"/>
          <w:sz w:val="24"/>
          <w:szCs w:val="24"/>
        </w:rPr>
        <w:t xml:space="preserve">eeking to agree </w:t>
      </w:r>
      <w:r w:rsidR="009F3BCD">
        <w:rPr>
          <w:rFonts w:ascii="Arial" w:hAnsi="Arial" w:cs="Arial"/>
          <w:sz w:val="24"/>
          <w:szCs w:val="24"/>
        </w:rPr>
        <w:t xml:space="preserve">further </w:t>
      </w:r>
      <w:r w:rsidR="0014315E">
        <w:rPr>
          <w:rFonts w:ascii="Arial" w:hAnsi="Arial" w:cs="Arial"/>
          <w:sz w:val="24"/>
          <w:szCs w:val="24"/>
        </w:rPr>
        <w:t>key performance indicators with The Big Word as service levels have been seen to improve in ot</w:t>
      </w:r>
      <w:r w:rsidR="00EB2427">
        <w:rPr>
          <w:rFonts w:ascii="Arial" w:hAnsi="Arial" w:cs="Arial"/>
          <w:sz w:val="24"/>
          <w:szCs w:val="24"/>
        </w:rPr>
        <w:t xml:space="preserve">her forces using their services </w:t>
      </w:r>
      <w:r w:rsidR="0014315E">
        <w:rPr>
          <w:rFonts w:ascii="Arial" w:hAnsi="Arial" w:cs="Arial"/>
          <w:sz w:val="24"/>
          <w:szCs w:val="24"/>
        </w:rPr>
        <w:t>where these exist.  They have also recognised that their current management information is incorrect and we are working together with them to improve the accuracy of their ‘fulfilment’ criteria.</w:t>
      </w:r>
      <w:r>
        <w:rPr>
          <w:rFonts w:ascii="Arial" w:hAnsi="Arial" w:cs="Arial"/>
          <w:sz w:val="24"/>
          <w:szCs w:val="24"/>
        </w:rPr>
        <w:t xml:space="preserve">  Consideration is </w:t>
      </w:r>
      <w:r w:rsidR="009F3BCD">
        <w:rPr>
          <w:rFonts w:ascii="Arial" w:hAnsi="Arial" w:cs="Arial"/>
          <w:sz w:val="24"/>
          <w:szCs w:val="24"/>
        </w:rPr>
        <w:t xml:space="preserve">also </w:t>
      </w:r>
      <w:r>
        <w:rPr>
          <w:rFonts w:ascii="Arial" w:hAnsi="Arial" w:cs="Arial"/>
          <w:sz w:val="24"/>
          <w:szCs w:val="24"/>
        </w:rPr>
        <w:t>being given to enter performance indicators into a re-draft of the contract.</w:t>
      </w:r>
    </w:p>
    <w:p w:rsidR="001423E4" w:rsidRDefault="001423E4" w:rsidP="001423E4">
      <w:pPr>
        <w:pStyle w:val="NoSpacing"/>
        <w:ind w:left="1440"/>
        <w:rPr>
          <w:rFonts w:ascii="Arial" w:hAnsi="Arial" w:cs="Arial"/>
          <w:sz w:val="24"/>
          <w:szCs w:val="24"/>
        </w:rPr>
      </w:pPr>
    </w:p>
    <w:p w:rsidR="00A854E8" w:rsidRDefault="00A854E8" w:rsidP="00A854E8">
      <w:pPr>
        <w:pStyle w:val="NoSpacing"/>
        <w:numPr>
          <w:ilvl w:val="0"/>
          <w:numId w:val="12"/>
        </w:numPr>
        <w:rPr>
          <w:rFonts w:ascii="Arial" w:hAnsi="Arial" w:cs="Arial"/>
          <w:sz w:val="24"/>
          <w:szCs w:val="24"/>
        </w:rPr>
      </w:pPr>
      <w:r>
        <w:rPr>
          <w:rFonts w:ascii="Arial" w:hAnsi="Arial" w:cs="Arial"/>
          <w:sz w:val="24"/>
          <w:szCs w:val="24"/>
        </w:rPr>
        <w:lastRenderedPageBreak/>
        <w:t>Exploration of implementation of a mobile reporting application for TBW services through IT services and Mobile First.  This will allow a better level of service for telephone interpreting to the frontline user.</w:t>
      </w:r>
      <w:r w:rsidR="00B64AA6">
        <w:rPr>
          <w:rFonts w:ascii="Arial" w:hAnsi="Arial" w:cs="Arial"/>
          <w:sz w:val="24"/>
          <w:szCs w:val="24"/>
        </w:rPr>
        <w:t xml:space="preserve"> </w:t>
      </w:r>
    </w:p>
    <w:p w:rsidR="001423E4" w:rsidRDefault="001423E4" w:rsidP="001423E4">
      <w:pPr>
        <w:pStyle w:val="NoSpacing"/>
        <w:rPr>
          <w:rFonts w:ascii="Arial" w:hAnsi="Arial" w:cs="Arial"/>
          <w:sz w:val="24"/>
          <w:szCs w:val="24"/>
        </w:rPr>
      </w:pPr>
    </w:p>
    <w:p w:rsidR="00A854E8" w:rsidRDefault="00A854E8" w:rsidP="00A854E8">
      <w:pPr>
        <w:pStyle w:val="NoSpacing"/>
        <w:numPr>
          <w:ilvl w:val="0"/>
          <w:numId w:val="12"/>
        </w:numPr>
        <w:rPr>
          <w:rFonts w:ascii="Arial" w:hAnsi="Arial" w:cs="Arial"/>
          <w:sz w:val="24"/>
          <w:szCs w:val="24"/>
        </w:rPr>
      </w:pPr>
      <w:r>
        <w:rPr>
          <w:rFonts w:ascii="Arial" w:hAnsi="Arial" w:cs="Arial"/>
          <w:sz w:val="24"/>
          <w:szCs w:val="24"/>
        </w:rPr>
        <w:t>Exploration of the use of video conferencing for face to face interpreting requests, thereby drastically reducing delays ex</w:t>
      </w:r>
      <w:r w:rsidR="009F3BCD">
        <w:rPr>
          <w:rFonts w:ascii="Arial" w:hAnsi="Arial" w:cs="Arial"/>
          <w:sz w:val="24"/>
          <w:szCs w:val="24"/>
        </w:rPr>
        <w:t>perienced in the custody suites, following a demonstration of the service (installed at cost to The Big Word) a trial will take place at one custody location prior to any wider implementation.</w:t>
      </w:r>
    </w:p>
    <w:p w:rsidR="00A854E8" w:rsidRDefault="00A854E8" w:rsidP="009468F6">
      <w:pPr>
        <w:pStyle w:val="NoSpacing"/>
        <w:numPr>
          <w:ilvl w:val="0"/>
          <w:numId w:val="12"/>
        </w:numPr>
        <w:rPr>
          <w:rFonts w:ascii="Arial" w:hAnsi="Arial" w:cs="Arial"/>
          <w:sz w:val="24"/>
          <w:szCs w:val="24"/>
        </w:rPr>
      </w:pPr>
      <w:r>
        <w:rPr>
          <w:rFonts w:ascii="Arial" w:hAnsi="Arial" w:cs="Arial"/>
          <w:sz w:val="24"/>
          <w:szCs w:val="24"/>
        </w:rPr>
        <w:t>Exploration of re-tender of contract upon expiry rather than extension options through Kent and Essex procurement.</w:t>
      </w:r>
    </w:p>
    <w:p w:rsidR="001423E4" w:rsidRDefault="001423E4" w:rsidP="001423E4">
      <w:pPr>
        <w:pStyle w:val="NoSpacing"/>
        <w:ind w:left="1440"/>
        <w:rPr>
          <w:rFonts w:ascii="Arial" w:hAnsi="Arial" w:cs="Arial"/>
          <w:sz w:val="24"/>
          <w:szCs w:val="24"/>
        </w:rPr>
      </w:pPr>
    </w:p>
    <w:p w:rsidR="009468F6" w:rsidRDefault="009468F6" w:rsidP="009468F6">
      <w:pPr>
        <w:pStyle w:val="NoSpacing"/>
        <w:numPr>
          <w:ilvl w:val="0"/>
          <w:numId w:val="12"/>
        </w:numPr>
        <w:rPr>
          <w:rFonts w:ascii="Arial" w:hAnsi="Arial" w:cs="Arial"/>
          <w:sz w:val="24"/>
          <w:szCs w:val="24"/>
        </w:rPr>
      </w:pPr>
      <w:r w:rsidRPr="009468F6">
        <w:rPr>
          <w:rFonts w:ascii="Arial" w:hAnsi="Arial" w:cs="Arial"/>
          <w:sz w:val="24"/>
          <w:szCs w:val="24"/>
        </w:rPr>
        <w:t>We are working with a national working group led by Ian Fraser from Leicestershire Police to look at options to continue working with CLEP (Collaborative Law Enforcement procurement) or develop a police standalone framework</w:t>
      </w:r>
    </w:p>
    <w:p w:rsidR="009468F6" w:rsidRPr="009468F6" w:rsidRDefault="009468F6" w:rsidP="001423E4">
      <w:pPr>
        <w:pStyle w:val="NoSpacing"/>
        <w:ind w:left="1440"/>
        <w:rPr>
          <w:rFonts w:ascii="Arial" w:hAnsi="Arial" w:cs="Arial"/>
          <w:sz w:val="24"/>
          <w:szCs w:val="24"/>
        </w:rPr>
      </w:pPr>
    </w:p>
    <w:p w:rsidR="009468F6" w:rsidRDefault="00B64AA6" w:rsidP="001423E4">
      <w:pPr>
        <w:pStyle w:val="NoSpacing"/>
        <w:ind w:left="720"/>
        <w:rPr>
          <w:rFonts w:ascii="Arial" w:hAnsi="Arial" w:cs="Arial"/>
          <w:sz w:val="24"/>
          <w:szCs w:val="24"/>
        </w:rPr>
      </w:pPr>
      <w:r w:rsidRPr="009468F6">
        <w:rPr>
          <w:rFonts w:ascii="Arial" w:hAnsi="Arial" w:cs="Arial"/>
          <w:sz w:val="24"/>
          <w:szCs w:val="24"/>
        </w:rPr>
        <w:t xml:space="preserve">These </w:t>
      </w:r>
      <w:r>
        <w:rPr>
          <w:rFonts w:ascii="Arial" w:hAnsi="Arial" w:cs="Arial"/>
          <w:sz w:val="24"/>
          <w:szCs w:val="24"/>
        </w:rPr>
        <w:t>outstanding mitigating risk and improvement actions are managed via the risk register and due for review</w:t>
      </w:r>
      <w:r w:rsidR="009F3BCD">
        <w:rPr>
          <w:rFonts w:ascii="Arial" w:hAnsi="Arial" w:cs="Arial"/>
          <w:sz w:val="24"/>
          <w:szCs w:val="24"/>
        </w:rPr>
        <w:t xml:space="preserve"> by risk owner (Head of Criminal Justice)</w:t>
      </w:r>
      <w:r w:rsidR="007609D1">
        <w:rPr>
          <w:rFonts w:ascii="Arial" w:hAnsi="Arial" w:cs="Arial"/>
          <w:sz w:val="24"/>
          <w:szCs w:val="24"/>
        </w:rPr>
        <w:t xml:space="preserve"> on 24</w:t>
      </w:r>
      <w:r w:rsidRPr="00B64AA6">
        <w:rPr>
          <w:rFonts w:ascii="Arial" w:hAnsi="Arial" w:cs="Arial"/>
          <w:sz w:val="24"/>
          <w:szCs w:val="24"/>
          <w:vertAlign w:val="superscript"/>
        </w:rPr>
        <w:t>th</w:t>
      </w:r>
      <w:r w:rsidR="007609D1">
        <w:rPr>
          <w:rFonts w:ascii="Arial" w:hAnsi="Arial" w:cs="Arial"/>
          <w:sz w:val="24"/>
          <w:szCs w:val="24"/>
        </w:rPr>
        <w:t xml:space="preserve"> April</w:t>
      </w:r>
      <w:r>
        <w:rPr>
          <w:rFonts w:ascii="Arial" w:hAnsi="Arial" w:cs="Arial"/>
          <w:sz w:val="24"/>
          <w:szCs w:val="24"/>
        </w:rPr>
        <w:t xml:space="preserve"> 2019</w:t>
      </w:r>
      <w:r w:rsidR="007609D1">
        <w:rPr>
          <w:rFonts w:ascii="Arial" w:hAnsi="Arial" w:cs="Arial"/>
          <w:sz w:val="24"/>
          <w:szCs w:val="24"/>
        </w:rPr>
        <w:t>. The updates will be provided to this board</w:t>
      </w:r>
    </w:p>
    <w:tbl>
      <w:tblPr>
        <w:tblStyle w:val="TableGrid"/>
        <w:tblpPr w:leftFromText="180" w:rightFromText="180" w:horzAnchor="page" w:tblpX="940" w:tblpY="585"/>
        <w:tblW w:w="10388" w:type="dxa"/>
        <w:tblLook w:val="04A0" w:firstRow="1" w:lastRow="0" w:firstColumn="1" w:lastColumn="0" w:noHBand="0" w:noVBand="1"/>
      </w:tblPr>
      <w:tblGrid>
        <w:gridCol w:w="1659"/>
        <w:gridCol w:w="1845"/>
        <w:gridCol w:w="1278"/>
        <w:gridCol w:w="1305"/>
        <w:gridCol w:w="2810"/>
        <w:gridCol w:w="1491"/>
      </w:tblGrid>
      <w:tr w:rsidR="004A23F7" w:rsidRPr="004A23F7" w:rsidTr="009914E0">
        <w:trPr>
          <w:trHeight w:val="824"/>
        </w:trPr>
        <w:tc>
          <w:tcPr>
            <w:tcW w:w="1548" w:type="dxa"/>
          </w:tcPr>
          <w:p w:rsidR="004A23F7" w:rsidRPr="004A23F7" w:rsidRDefault="004A23F7" w:rsidP="004A23F7">
            <w:pPr>
              <w:jc w:val="center"/>
              <w:rPr>
                <w:rFonts w:ascii="Calibri" w:eastAsia="Calibri" w:hAnsi="Calibri" w:cs="Times New Roman"/>
                <w:b/>
                <w:sz w:val="28"/>
                <w:szCs w:val="28"/>
              </w:rPr>
            </w:pPr>
            <w:r w:rsidRPr="004A23F7">
              <w:rPr>
                <w:rFonts w:ascii="Calibri" w:eastAsia="Calibri" w:hAnsi="Calibri" w:cs="Times New Roman"/>
                <w:b/>
                <w:sz w:val="28"/>
                <w:szCs w:val="28"/>
              </w:rPr>
              <w:lastRenderedPageBreak/>
              <w:t>ACTION</w:t>
            </w:r>
          </w:p>
        </w:tc>
        <w:tc>
          <w:tcPr>
            <w:tcW w:w="1871" w:type="dxa"/>
          </w:tcPr>
          <w:p w:rsidR="004A23F7" w:rsidRPr="004A23F7" w:rsidRDefault="004A23F7" w:rsidP="004A23F7">
            <w:pPr>
              <w:jc w:val="center"/>
              <w:rPr>
                <w:rFonts w:ascii="Calibri" w:eastAsia="Calibri" w:hAnsi="Calibri" w:cs="Times New Roman"/>
                <w:b/>
                <w:sz w:val="28"/>
                <w:szCs w:val="28"/>
              </w:rPr>
            </w:pPr>
            <w:r w:rsidRPr="004A23F7">
              <w:rPr>
                <w:rFonts w:ascii="Calibri" w:eastAsia="Calibri" w:hAnsi="Calibri" w:cs="Times New Roman"/>
                <w:b/>
                <w:sz w:val="28"/>
                <w:szCs w:val="28"/>
              </w:rPr>
              <w:t>DETAIL</w:t>
            </w:r>
          </w:p>
        </w:tc>
        <w:tc>
          <w:tcPr>
            <w:tcW w:w="1278" w:type="dxa"/>
          </w:tcPr>
          <w:p w:rsidR="004A23F7" w:rsidRPr="004A23F7" w:rsidRDefault="004A23F7" w:rsidP="004A23F7">
            <w:pPr>
              <w:jc w:val="center"/>
              <w:rPr>
                <w:rFonts w:ascii="Calibri" w:eastAsia="Calibri" w:hAnsi="Calibri" w:cs="Times New Roman"/>
                <w:b/>
                <w:sz w:val="28"/>
                <w:szCs w:val="28"/>
              </w:rPr>
            </w:pPr>
            <w:r w:rsidRPr="004A23F7">
              <w:rPr>
                <w:rFonts w:ascii="Calibri" w:eastAsia="Calibri" w:hAnsi="Calibri" w:cs="Times New Roman"/>
                <w:b/>
                <w:sz w:val="28"/>
                <w:szCs w:val="28"/>
              </w:rPr>
              <w:t>TARGET</w:t>
            </w:r>
          </w:p>
        </w:tc>
        <w:tc>
          <w:tcPr>
            <w:tcW w:w="1305" w:type="dxa"/>
          </w:tcPr>
          <w:p w:rsidR="004A23F7" w:rsidRPr="004A23F7" w:rsidRDefault="004A23F7" w:rsidP="004A23F7">
            <w:pPr>
              <w:jc w:val="center"/>
              <w:rPr>
                <w:rFonts w:ascii="Calibri" w:eastAsia="Calibri" w:hAnsi="Calibri" w:cs="Times New Roman"/>
                <w:b/>
                <w:sz w:val="28"/>
                <w:szCs w:val="28"/>
              </w:rPr>
            </w:pPr>
            <w:r w:rsidRPr="004A23F7">
              <w:rPr>
                <w:rFonts w:ascii="Calibri" w:eastAsia="Calibri" w:hAnsi="Calibri" w:cs="Times New Roman"/>
                <w:b/>
                <w:sz w:val="28"/>
                <w:szCs w:val="28"/>
              </w:rPr>
              <w:t>OWNER</w:t>
            </w:r>
          </w:p>
        </w:tc>
        <w:tc>
          <w:tcPr>
            <w:tcW w:w="2895" w:type="dxa"/>
          </w:tcPr>
          <w:p w:rsidR="004A23F7" w:rsidRPr="004A23F7" w:rsidRDefault="004A23F7" w:rsidP="004A23F7">
            <w:pPr>
              <w:jc w:val="center"/>
              <w:rPr>
                <w:rFonts w:ascii="Calibri" w:eastAsia="Calibri" w:hAnsi="Calibri" w:cs="Times New Roman"/>
                <w:b/>
                <w:sz w:val="28"/>
                <w:szCs w:val="28"/>
              </w:rPr>
            </w:pPr>
            <w:r w:rsidRPr="004A23F7">
              <w:rPr>
                <w:rFonts w:ascii="Calibri" w:eastAsia="Calibri" w:hAnsi="Calibri" w:cs="Times New Roman"/>
                <w:b/>
                <w:sz w:val="28"/>
                <w:szCs w:val="28"/>
              </w:rPr>
              <w:t>Update</w:t>
            </w:r>
          </w:p>
        </w:tc>
        <w:tc>
          <w:tcPr>
            <w:tcW w:w="1491" w:type="dxa"/>
          </w:tcPr>
          <w:p w:rsidR="004A23F7" w:rsidRPr="004A23F7" w:rsidRDefault="004A23F7" w:rsidP="004A23F7">
            <w:pPr>
              <w:jc w:val="center"/>
              <w:rPr>
                <w:rFonts w:ascii="Calibri" w:eastAsia="Calibri" w:hAnsi="Calibri" w:cs="Times New Roman"/>
                <w:b/>
                <w:sz w:val="28"/>
                <w:szCs w:val="28"/>
              </w:rPr>
            </w:pPr>
            <w:r w:rsidRPr="004A23F7">
              <w:rPr>
                <w:rFonts w:ascii="Calibri" w:eastAsia="Calibri" w:hAnsi="Calibri" w:cs="Times New Roman"/>
                <w:b/>
                <w:sz w:val="28"/>
                <w:szCs w:val="28"/>
              </w:rPr>
              <w:t>Completed</w:t>
            </w:r>
          </w:p>
        </w:tc>
      </w:tr>
      <w:tr w:rsidR="004A23F7" w:rsidRPr="004A23F7" w:rsidTr="009914E0">
        <w:trPr>
          <w:trHeight w:val="778"/>
        </w:trPr>
        <w:tc>
          <w:tcPr>
            <w:tcW w:w="1548"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 xml:space="preserve">Arrange </w:t>
            </w:r>
            <w:r>
              <w:rPr>
                <w:rFonts w:ascii="Calibri" w:eastAsia="Calibri" w:hAnsi="Calibri" w:cs="Times New Roman"/>
              </w:rPr>
              <w:t>regular management</w:t>
            </w:r>
            <w:r w:rsidRPr="004A23F7">
              <w:rPr>
                <w:rFonts w:ascii="Calibri" w:eastAsia="Calibri" w:hAnsi="Calibri" w:cs="Times New Roman"/>
              </w:rPr>
              <w:t xml:space="preserve"> meeting with Big Word</w:t>
            </w:r>
            <w:r>
              <w:rPr>
                <w:rFonts w:ascii="Calibri" w:eastAsia="Calibri" w:hAnsi="Calibri" w:cs="Times New Roman"/>
              </w:rPr>
              <w:t xml:space="preserve"> and Custody.  Quarterly.</w:t>
            </w:r>
          </w:p>
        </w:tc>
        <w:tc>
          <w:tcPr>
            <w:tcW w:w="1871"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 xml:space="preserve">When issues were identified </w:t>
            </w:r>
            <w:r>
              <w:rPr>
                <w:rFonts w:ascii="Calibri" w:eastAsia="Calibri" w:hAnsi="Calibri" w:cs="Times New Roman"/>
              </w:rPr>
              <w:t xml:space="preserve">regular meetings between business and provider were required to </w:t>
            </w:r>
            <w:r w:rsidRPr="004A23F7">
              <w:rPr>
                <w:rFonts w:ascii="Calibri" w:eastAsia="Calibri" w:hAnsi="Calibri" w:cs="Times New Roman"/>
              </w:rPr>
              <w:t>address failures in service.</w:t>
            </w:r>
          </w:p>
        </w:tc>
        <w:tc>
          <w:tcPr>
            <w:tcW w:w="1278" w:type="dxa"/>
          </w:tcPr>
          <w:p w:rsidR="004A23F7" w:rsidRPr="004A23F7" w:rsidRDefault="004A23F7" w:rsidP="004A23F7">
            <w:pPr>
              <w:rPr>
                <w:rFonts w:ascii="Calibri" w:eastAsia="Calibri" w:hAnsi="Calibri" w:cs="Times New Roman"/>
              </w:rPr>
            </w:pPr>
            <w:r>
              <w:rPr>
                <w:rFonts w:ascii="Calibri" w:eastAsia="Calibri" w:hAnsi="Calibri" w:cs="Times New Roman"/>
              </w:rPr>
              <w:t>05/11/18</w:t>
            </w:r>
          </w:p>
        </w:tc>
        <w:tc>
          <w:tcPr>
            <w:tcW w:w="1305"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Alex Watts</w:t>
            </w:r>
          </w:p>
        </w:tc>
        <w:tc>
          <w:tcPr>
            <w:tcW w:w="2895"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Structures process to record complaints and escalate to TBW agreed. Super-user access to IMS system arranged. SPCO details passed to EP officers to record complaints via internal comms</w:t>
            </w:r>
            <w:r>
              <w:rPr>
                <w:rFonts w:ascii="Calibri" w:eastAsia="Calibri" w:hAnsi="Calibri" w:cs="Times New Roman"/>
              </w:rPr>
              <w:t>.</w:t>
            </w:r>
          </w:p>
        </w:tc>
        <w:tc>
          <w:tcPr>
            <w:tcW w:w="1491" w:type="dxa"/>
          </w:tcPr>
          <w:p w:rsidR="004A23F7" w:rsidRPr="004A23F7" w:rsidRDefault="004A23F7" w:rsidP="004A23F7">
            <w:pPr>
              <w:rPr>
                <w:rFonts w:ascii="Calibri" w:eastAsia="Calibri" w:hAnsi="Calibri" w:cs="Times New Roman"/>
              </w:rPr>
            </w:pPr>
            <w:r>
              <w:rPr>
                <w:rFonts w:ascii="Calibri" w:eastAsia="Calibri" w:hAnsi="Calibri" w:cs="Times New Roman"/>
              </w:rPr>
              <w:t>9/10/18</w:t>
            </w:r>
          </w:p>
        </w:tc>
      </w:tr>
      <w:tr w:rsidR="004A23F7" w:rsidRPr="004A23F7" w:rsidTr="009914E0">
        <w:trPr>
          <w:trHeight w:val="824"/>
        </w:trPr>
        <w:tc>
          <w:tcPr>
            <w:tcW w:w="1548"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Develop reporting process for issue.</w:t>
            </w:r>
          </w:p>
        </w:tc>
        <w:tc>
          <w:tcPr>
            <w:tcW w:w="1871"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A structure process to report issues was developed via CJ support to record, and progress complaints and failure of service to TBW.</w:t>
            </w:r>
          </w:p>
        </w:tc>
        <w:tc>
          <w:tcPr>
            <w:tcW w:w="1278" w:type="dxa"/>
          </w:tcPr>
          <w:p w:rsidR="004A23F7" w:rsidRPr="004A23F7" w:rsidRDefault="004A23F7" w:rsidP="004A23F7">
            <w:pPr>
              <w:rPr>
                <w:rFonts w:ascii="Calibri" w:eastAsia="Calibri" w:hAnsi="Calibri" w:cs="Times New Roman"/>
              </w:rPr>
            </w:pPr>
            <w:r>
              <w:rPr>
                <w:rFonts w:ascii="Calibri" w:eastAsia="Calibri" w:hAnsi="Calibri" w:cs="Times New Roman"/>
              </w:rPr>
              <w:t>19/11/18</w:t>
            </w:r>
          </w:p>
        </w:tc>
        <w:tc>
          <w:tcPr>
            <w:tcW w:w="1305" w:type="dxa"/>
          </w:tcPr>
          <w:p w:rsidR="004A23F7" w:rsidRPr="004A23F7" w:rsidRDefault="004A23F7" w:rsidP="004A23F7">
            <w:pPr>
              <w:rPr>
                <w:rFonts w:ascii="Calibri" w:eastAsia="Calibri" w:hAnsi="Calibri" w:cs="Times New Roman"/>
              </w:rPr>
            </w:pPr>
            <w:r>
              <w:rPr>
                <w:rFonts w:ascii="Calibri" w:eastAsia="Calibri" w:hAnsi="Calibri" w:cs="Times New Roman"/>
              </w:rPr>
              <w:t>Phil Jackson</w:t>
            </w:r>
          </w:p>
        </w:tc>
        <w:tc>
          <w:tcPr>
            <w:tcW w:w="2895"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No urgent issues are being compiled and presented to TBW on a monthly basis during meetings. Urgent issues are escalated directly with account manager Mark Lewis</w:t>
            </w:r>
            <w:r>
              <w:rPr>
                <w:rFonts w:ascii="Calibri" w:eastAsia="Calibri" w:hAnsi="Calibri" w:cs="Times New Roman"/>
              </w:rPr>
              <w:t xml:space="preserve"> on the day through CJ project support.  Non-urgent are compiled for the monthly meetings.</w:t>
            </w:r>
          </w:p>
        </w:tc>
        <w:tc>
          <w:tcPr>
            <w:tcW w:w="1491" w:type="dxa"/>
          </w:tcPr>
          <w:p w:rsidR="004A23F7" w:rsidRPr="004A23F7" w:rsidRDefault="004A23F7" w:rsidP="004A23F7">
            <w:pPr>
              <w:rPr>
                <w:rFonts w:ascii="Calibri" w:eastAsia="Calibri" w:hAnsi="Calibri" w:cs="Times New Roman"/>
              </w:rPr>
            </w:pPr>
            <w:r>
              <w:rPr>
                <w:rFonts w:ascii="Calibri" w:eastAsia="Calibri" w:hAnsi="Calibri" w:cs="Times New Roman"/>
              </w:rPr>
              <w:t>09/11/18</w:t>
            </w:r>
          </w:p>
        </w:tc>
      </w:tr>
      <w:tr w:rsidR="004A23F7" w:rsidRPr="004A23F7" w:rsidTr="009914E0">
        <w:trPr>
          <w:trHeight w:val="778"/>
        </w:trPr>
        <w:tc>
          <w:tcPr>
            <w:tcW w:w="1548"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Arrange schedule for performance</w:t>
            </w:r>
            <w:r>
              <w:rPr>
                <w:rFonts w:ascii="Calibri" w:eastAsia="Calibri" w:hAnsi="Calibri" w:cs="Times New Roman"/>
              </w:rPr>
              <w:t xml:space="preserve"> scrutiny. Monthly.</w:t>
            </w:r>
          </w:p>
        </w:tc>
        <w:tc>
          <w:tcPr>
            <w:tcW w:w="1871"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Monthly meetings arranged to progress complaints, discuss performance and AOB.</w:t>
            </w:r>
          </w:p>
        </w:tc>
        <w:tc>
          <w:tcPr>
            <w:tcW w:w="1278"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Ongoing</w:t>
            </w:r>
          </w:p>
        </w:tc>
        <w:tc>
          <w:tcPr>
            <w:tcW w:w="1305"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Alex Watts/A/Ins Jackson</w:t>
            </w:r>
          </w:p>
        </w:tc>
        <w:tc>
          <w:tcPr>
            <w:tcW w:w="2895"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Meetings are ongoing and scheduled monthly as per agreement. Once situation stabilizes then to be quarterly or telephone conference calls.</w:t>
            </w:r>
          </w:p>
        </w:tc>
        <w:tc>
          <w:tcPr>
            <w:tcW w:w="1491" w:type="dxa"/>
          </w:tcPr>
          <w:p w:rsidR="004A23F7" w:rsidRPr="004A23F7" w:rsidRDefault="004A23F7" w:rsidP="004A23F7">
            <w:pPr>
              <w:rPr>
                <w:rFonts w:ascii="Calibri" w:eastAsia="Calibri" w:hAnsi="Calibri" w:cs="Times New Roman"/>
              </w:rPr>
            </w:pPr>
            <w:r>
              <w:rPr>
                <w:rFonts w:ascii="Calibri" w:eastAsia="Calibri" w:hAnsi="Calibri" w:cs="Times New Roman"/>
              </w:rPr>
              <w:t>09/11/18</w:t>
            </w:r>
          </w:p>
        </w:tc>
      </w:tr>
      <w:tr w:rsidR="004A23F7" w:rsidRPr="004A23F7" w:rsidTr="009914E0">
        <w:trPr>
          <w:trHeight w:val="824"/>
        </w:trPr>
        <w:tc>
          <w:tcPr>
            <w:tcW w:w="1548"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Introduce backup provisions for interpreters</w:t>
            </w:r>
          </w:p>
        </w:tc>
        <w:tc>
          <w:tcPr>
            <w:tcW w:w="1871"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Due to lack of service provisions a secondary supplier was sought to cover service failures by TBW and to streamline a process for contacting provider.</w:t>
            </w:r>
          </w:p>
        </w:tc>
        <w:tc>
          <w:tcPr>
            <w:tcW w:w="1278"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05/11/2018</w:t>
            </w:r>
          </w:p>
        </w:tc>
        <w:tc>
          <w:tcPr>
            <w:tcW w:w="1305" w:type="dxa"/>
          </w:tcPr>
          <w:p w:rsidR="004A23F7" w:rsidRPr="004A23F7" w:rsidRDefault="004A23F7" w:rsidP="004A23F7">
            <w:pPr>
              <w:rPr>
                <w:rFonts w:ascii="Calibri" w:eastAsia="Calibri" w:hAnsi="Calibri" w:cs="Times New Roman"/>
              </w:rPr>
            </w:pPr>
            <w:r>
              <w:rPr>
                <w:rFonts w:ascii="Calibri" w:eastAsia="Calibri" w:hAnsi="Calibri" w:cs="Times New Roman"/>
              </w:rPr>
              <w:t>Phil Jackson</w:t>
            </w:r>
          </w:p>
        </w:tc>
        <w:tc>
          <w:tcPr>
            <w:tcW w:w="2895"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Meeting was held with APCI who agreed to allow the use of their response service, and provide out of hours cover at no expense to EP. Discussions held with finance, procurement and vetting to ensure that service was fit for purpose and that any extra cost for payment of interpreters could be recouped from TBW.</w:t>
            </w:r>
          </w:p>
        </w:tc>
        <w:tc>
          <w:tcPr>
            <w:tcW w:w="1491" w:type="dxa"/>
          </w:tcPr>
          <w:p w:rsidR="004A23F7" w:rsidRPr="004A23F7" w:rsidRDefault="004A23F7" w:rsidP="004A23F7">
            <w:pPr>
              <w:rPr>
                <w:rFonts w:ascii="Calibri" w:eastAsia="Calibri" w:hAnsi="Calibri" w:cs="Times New Roman"/>
              </w:rPr>
            </w:pPr>
            <w:r>
              <w:rPr>
                <w:rFonts w:ascii="Calibri" w:eastAsia="Calibri" w:hAnsi="Calibri" w:cs="Times New Roman"/>
              </w:rPr>
              <w:t>14/11/18</w:t>
            </w:r>
          </w:p>
        </w:tc>
      </w:tr>
      <w:tr w:rsidR="004A23F7" w:rsidRPr="004A23F7" w:rsidTr="009914E0">
        <w:trPr>
          <w:trHeight w:val="778"/>
        </w:trPr>
        <w:tc>
          <w:tcPr>
            <w:tcW w:w="1548"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 xml:space="preserve">KPI </w:t>
            </w:r>
            <w:r>
              <w:rPr>
                <w:rFonts w:ascii="Calibri" w:eastAsia="Calibri" w:hAnsi="Calibri" w:cs="Times New Roman"/>
              </w:rPr>
              <w:t>agreement and contract amendment</w:t>
            </w:r>
          </w:p>
        </w:tc>
        <w:tc>
          <w:tcPr>
            <w:tcW w:w="1871"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Meeting with procurement, TBW and CJ command to discuss KPI revision.</w:t>
            </w:r>
          </w:p>
        </w:tc>
        <w:tc>
          <w:tcPr>
            <w:tcW w:w="1278" w:type="dxa"/>
          </w:tcPr>
          <w:p w:rsidR="004A23F7" w:rsidRPr="004A23F7" w:rsidRDefault="004A23F7" w:rsidP="004A23F7">
            <w:pPr>
              <w:rPr>
                <w:rFonts w:ascii="Calibri" w:eastAsia="Calibri" w:hAnsi="Calibri" w:cs="Times New Roman"/>
              </w:rPr>
            </w:pPr>
            <w:r>
              <w:rPr>
                <w:rFonts w:ascii="Calibri" w:eastAsia="Calibri" w:hAnsi="Calibri" w:cs="Times New Roman"/>
              </w:rPr>
              <w:t>12/01/2019</w:t>
            </w:r>
          </w:p>
        </w:tc>
        <w:tc>
          <w:tcPr>
            <w:tcW w:w="1305" w:type="dxa"/>
          </w:tcPr>
          <w:p w:rsidR="004A23F7" w:rsidRPr="004A23F7" w:rsidRDefault="004A23F7" w:rsidP="004A23F7">
            <w:pPr>
              <w:rPr>
                <w:rFonts w:ascii="Calibri" w:eastAsia="Calibri" w:hAnsi="Calibri" w:cs="Times New Roman"/>
              </w:rPr>
            </w:pPr>
            <w:r>
              <w:rPr>
                <w:rFonts w:ascii="Calibri" w:eastAsia="Calibri" w:hAnsi="Calibri" w:cs="Times New Roman"/>
              </w:rPr>
              <w:t>Phil Jackson</w:t>
            </w:r>
          </w:p>
        </w:tc>
        <w:tc>
          <w:tcPr>
            <w:tcW w:w="2895"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Service credits discusses with procurement and TBW. No formal process for claiming or value of service credits. Mobile APP discussed and possible use of video conference service for F2F interpreting. Use of backup service discussed. Accurate MI reports being reviewed. KPI to be clarified in line with trigger points. Further meeting with progress to be discussed in 3 weeks.</w:t>
            </w:r>
          </w:p>
        </w:tc>
        <w:tc>
          <w:tcPr>
            <w:tcW w:w="1491" w:type="dxa"/>
          </w:tcPr>
          <w:p w:rsidR="004A23F7" w:rsidRPr="004A23F7" w:rsidRDefault="009468F6" w:rsidP="004A23F7">
            <w:pPr>
              <w:rPr>
                <w:rFonts w:ascii="Calibri" w:eastAsia="Calibri" w:hAnsi="Calibri" w:cs="Times New Roman"/>
              </w:rPr>
            </w:pPr>
            <w:r>
              <w:rPr>
                <w:rFonts w:ascii="Calibri" w:eastAsia="Calibri" w:hAnsi="Calibri" w:cs="Times New Roman"/>
              </w:rPr>
              <w:t xml:space="preserve">Ongoing </w:t>
            </w:r>
          </w:p>
        </w:tc>
      </w:tr>
      <w:tr w:rsidR="004A23F7" w:rsidRPr="004A23F7" w:rsidTr="009914E0">
        <w:trPr>
          <w:trHeight w:val="824"/>
        </w:trPr>
        <w:tc>
          <w:tcPr>
            <w:tcW w:w="1548"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Implementation of TBW mobile app for telephone interpreting.</w:t>
            </w:r>
          </w:p>
        </w:tc>
        <w:tc>
          <w:tcPr>
            <w:tcW w:w="1871"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To discuss with mobile first and TBW.</w:t>
            </w:r>
          </w:p>
        </w:tc>
        <w:tc>
          <w:tcPr>
            <w:tcW w:w="1278" w:type="dxa"/>
          </w:tcPr>
          <w:p w:rsidR="004A23F7" w:rsidRPr="004A23F7" w:rsidRDefault="009468F6" w:rsidP="004A23F7">
            <w:pPr>
              <w:rPr>
                <w:rFonts w:ascii="Calibri" w:eastAsia="Calibri" w:hAnsi="Calibri" w:cs="Times New Roman"/>
              </w:rPr>
            </w:pPr>
            <w:r>
              <w:rPr>
                <w:rFonts w:ascii="Calibri" w:eastAsia="Calibri" w:hAnsi="Calibri" w:cs="Times New Roman"/>
              </w:rPr>
              <w:t>01/06</w:t>
            </w:r>
            <w:r w:rsidR="004A23F7">
              <w:rPr>
                <w:rFonts w:ascii="Calibri" w:eastAsia="Calibri" w:hAnsi="Calibri" w:cs="Times New Roman"/>
              </w:rPr>
              <w:t>/2019</w:t>
            </w:r>
          </w:p>
        </w:tc>
        <w:tc>
          <w:tcPr>
            <w:tcW w:w="1305" w:type="dxa"/>
          </w:tcPr>
          <w:p w:rsidR="004A23F7" w:rsidRPr="004A23F7" w:rsidRDefault="004A23F7" w:rsidP="004A23F7">
            <w:pPr>
              <w:rPr>
                <w:rFonts w:ascii="Calibri" w:eastAsia="Calibri" w:hAnsi="Calibri" w:cs="Times New Roman"/>
              </w:rPr>
            </w:pPr>
            <w:r>
              <w:rPr>
                <w:rFonts w:ascii="Calibri" w:eastAsia="Calibri" w:hAnsi="Calibri" w:cs="Times New Roman"/>
              </w:rPr>
              <w:t>Phil Jackson</w:t>
            </w:r>
          </w:p>
        </w:tc>
        <w:tc>
          <w:tcPr>
            <w:tcW w:w="2895"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Email sent to mobile first to obtain a SPOC/contact for liaison with TBW to discuss use and testing of mobile app to facilitate ease of use of phone interpreting by front line officers.</w:t>
            </w:r>
          </w:p>
        </w:tc>
        <w:tc>
          <w:tcPr>
            <w:tcW w:w="1491" w:type="dxa"/>
          </w:tcPr>
          <w:p w:rsidR="004A23F7" w:rsidRPr="004A23F7" w:rsidRDefault="009468F6" w:rsidP="004A23F7">
            <w:pPr>
              <w:rPr>
                <w:rFonts w:ascii="Calibri" w:eastAsia="Calibri" w:hAnsi="Calibri" w:cs="Times New Roman"/>
              </w:rPr>
            </w:pPr>
            <w:r>
              <w:rPr>
                <w:rFonts w:ascii="Calibri" w:eastAsia="Calibri" w:hAnsi="Calibri" w:cs="Times New Roman"/>
              </w:rPr>
              <w:t xml:space="preserve">Ongoing </w:t>
            </w:r>
          </w:p>
        </w:tc>
      </w:tr>
      <w:tr w:rsidR="004A23F7" w:rsidRPr="004A23F7" w:rsidTr="009914E0">
        <w:trPr>
          <w:trHeight w:val="824"/>
        </w:trPr>
        <w:tc>
          <w:tcPr>
            <w:tcW w:w="1548"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Use of video conferencing for F2F interpreting</w:t>
            </w:r>
          </w:p>
        </w:tc>
        <w:tc>
          <w:tcPr>
            <w:tcW w:w="1871"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Liaison between EP and TBW about possible use of system.</w:t>
            </w:r>
          </w:p>
        </w:tc>
        <w:tc>
          <w:tcPr>
            <w:tcW w:w="1278" w:type="dxa"/>
          </w:tcPr>
          <w:p w:rsidR="004A23F7" w:rsidRPr="004A23F7" w:rsidRDefault="009468F6" w:rsidP="004A23F7">
            <w:pPr>
              <w:rPr>
                <w:rFonts w:ascii="Calibri" w:eastAsia="Calibri" w:hAnsi="Calibri" w:cs="Times New Roman"/>
              </w:rPr>
            </w:pPr>
            <w:r>
              <w:rPr>
                <w:rFonts w:ascii="Calibri" w:eastAsia="Calibri" w:hAnsi="Calibri" w:cs="Times New Roman"/>
              </w:rPr>
              <w:t>01/06</w:t>
            </w:r>
            <w:r w:rsidR="004A23F7">
              <w:rPr>
                <w:rFonts w:ascii="Calibri" w:eastAsia="Calibri" w:hAnsi="Calibri" w:cs="Times New Roman"/>
              </w:rPr>
              <w:t>/2019</w:t>
            </w:r>
          </w:p>
        </w:tc>
        <w:tc>
          <w:tcPr>
            <w:tcW w:w="1305" w:type="dxa"/>
          </w:tcPr>
          <w:p w:rsidR="004A23F7" w:rsidRPr="004A23F7" w:rsidRDefault="004A23F7" w:rsidP="004A23F7">
            <w:pPr>
              <w:rPr>
                <w:rFonts w:ascii="Calibri" w:eastAsia="Calibri" w:hAnsi="Calibri" w:cs="Times New Roman"/>
              </w:rPr>
            </w:pPr>
            <w:r>
              <w:rPr>
                <w:rFonts w:ascii="Calibri" w:eastAsia="Calibri" w:hAnsi="Calibri" w:cs="Times New Roman"/>
              </w:rPr>
              <w:t>Phil Jackson</w:t>
            </w:r>
          </w:p>
        </w:tc>
        <w:tc>
          <w:tcPr>
            <w:tcW w:w="2895" w:type="dxa"/>
          </w:tcPr>
          <w:p w:rsidR="004A23F7" w:rsidRPr="004A23F7" w:rsidRDefault="004A23F7" w:rsidP="004A23F7">
            <w:pPr>
              <w:rPr>
                <w:rFonts w:ascii="Calibri" w:eastAsia="Calibri" w:hAnsi="Calibri" w:cs="Times New Roman"/>
              </w:rPr>
            </w:pPr>
            <w:r w:rsidRPr="004A23F7">
              <w:rPr>
                <w:rFonts w:ascii="Calibri" w:eastAsia="Calibri" w:hAnsi="Calibri" w:cs="Times New Roman"/>
              </w:rPr>
              <w:t>Awaiting contact from TBW with details of the service they can offer, and possible MET POL testing of similar system for information.</w:t>
            </w:r>
          </w:p>
        </w:tc>
        <w:tc>
          <w:tcPr>
            <w:tcW w:w="1491" w:type="dxa"/>
          </w:tcPr>
          <w:p w:rsidR="004A23F7" w:rsidRPr="004A23F7" w:rsidRDefault="009468F6" w:rsidP="004A23F7">
            <w:pPr>
              <w:rPr>
                <w:rFonts w:ascii="Calibri" w:eastAsia="Calibri" w:hAnsi="Calibri" w:cs="Times New Roman"/>
              </w:rPr>
            </w:pPr>
            <w:r>
              <w:rPr>
                <w:rFonts w:ascii="Calibri" w:eastAsia="Calibri" w:hAnsi="Calibri" w:cs="Times New Roman"/>
              </w:rPr>
              <w:t xml:space="preserve">Ongoing </w:t>
            </w:r>
          </w:p>
        </w:tc>
      </w:tr>
      <w:tr w:rsidR="004A23F7" w:rsidRPr="004A23F7" w:rsidTr="009914E0">
        <w:trPr>
          <w:trHeight w:val="824"/>
        </w:trPr>
        <w:tc>
          <w:tcPr>
            <w:tcW w:w="1548" w:type="dxa"/>
          </w:tcPr>
          <w:p w:rsidR="004A23F7" w:rsidRPr="004A23F7" w:rsidRDefault="004A23F7" w:rsidP="004A23F7">
            <w:pPr>
              <w:rPr>
                <w:rFonts w:ascii="Calibri" w:eastAsia="Calibri" w:hAnsi="Calibri" w:cs="Times New Roman"/>
              </w:rPr>
            </w:pPr>
            <w:r>
              <w:rPr>
                <w:rFonts w:ascii="Calibri" w:eastAsia="Calibri" w:hAnsi="Calibri" w:cs="Times New Roman"/>
              </w:rPr>
              <w:t>Retender of Language and Translation Services contract</w:t>
            </w:r>
          </w:p>
        </w:tc>
        <w:tc>
          <w:tcPr>
            <w:tcW w:w="1871" w:type="dxa"/>
          </w:tcPr>
          <w:p w:rsidR="004A23F7" w:rsidRPr="004A23F7" w:rsidRDefault="004A23F7" w:rsidP="004A23F7">
            <w:pPr>
              <w:rPr>
                <w:rFonts w:ascii="Calibri" w:eastAsia="Calibri" w:hAnsi="Calibri" w:cs="Times New Roman"/>
              </w:rPr>
            </w:pPr>
            <w:r>
              <w:rPr>
                <w:rFonts w:ascii="Calibri" w:eastAsia="Calibri" w:hAnsi="Calibri" w:cs="Times New Roman"/>
              </w:rPr>
              <w:t>Via Procurement</w:t>
            </w:r>
          </w:p>
        </w:tc>
        <w:tc>
          <w:tcPr>
            <w:tcW w:w="1278" w:type="dxa"/>
          </w:tcPr>
          <w:p w:rsidR="004A23F7" w:rsidRDefault="004A23F7" w:rsidP="004A23F7">
            <w:pPr>
              <w:rPr>
                <w:rFonts w:ascii="Calibri" w:eastAsia="Calibri" w:hAnsi="Calibri" w:cs="Times New Roman"/>
              </w:rPr>
            </w:pPr>
            <w:r>
              <w:rPr>
                <w:rFonts w:ascii="Calibri" w:eastAsia="Calibri" w:hAnsi="Calibri" w:cs="Times New Roman"/>
              </w:rPr>
              <w:t>01/06/2019</w:t>
            </w:r>
          </w:p>
        </w:tc>
        <w:tc>
          <w:tcPr>
            <w:tcW w:w="1305" w:type="dxa"/>
          </w:tcPr>
          <w:p w:rsidR="004A23F7" w:rsidRDefault="004A23F7" w:rsidP="004A23F7">
            <w:pPr>
              <w:rPr>
                <w:rFonts w:ascii="Calibri" w:eastAsia="Calibri" w:hAnsi="Calibri" w:cs="Times New Roman"/>
              </w:rPr>
            </w:pPr>
            <w:r>
              <w:rPr>
                <w:rFonts w:ascii="Calibri" w:eastAsia="Calibri" w:hAnsi="Calibri" w:cs="Times New Roman"/>
              </w:rPr>
              <w:t>Phil Jackson</w:t>
            </w:r>
          </w:p>
        </w:tc>
        <w:tc>
          <w:tcPr>
            <w:tcW w:w="2895" w:type="dxa"/>
          </w:tcPr>
          <w:p w:rsidR="004A23F7" w:rsidRPr="004A23F7" w:rsidRDefault="001F08F9" w:rsidP="004A23F7">
            <w:pPr>
              <w:rPr>
                <w:rFonts w:ascii="Calibri" w:eastAsia="Calibri" w:hAnsi="Calibri" w:cs="Times New Roman"/>
              </w:rPr>
            </w:pPr>
            <w:r>
              <w:rPr>
                <w:rFonts w:ascii="Calibri" w:eastAsia="Calibri" w:hAnsi="Calibri" w:cs="Times New Roman"/>
              </w:rPr>
              <w:t xml:space="preserve">Rather than rolling into an extension, explore re-tender with better specifications, contract and KPI’s. </w:t>
            </w:r>
          </w:p>
        </w:tc>
        <w:tc>
          <w:tcPr>
            <w:tcW w:w="1491" w:type="dxa"/>
          </w:tcPr>
          <w:p w:rsidR="004A23F7" w:rsidRPr="004A23F7" w:rsidRDefault="009468F6" w:rsidP="004A23F7">
            <w:pPr>
              <w:rPr>
                <w:rFonts w:ascii="Calibri" w:eastAsia="Calibri" w:hAnsi="Calibri" w:cs="Times New Roman"/>
              </w:rPr>
            </w:pPr>
            <w:r>
              <w:rPr>
                <w:rFonts w:ascii="Calibri" w:eastAsia="Calibri" w:hAnsi="Calibri" w:cs="Times New Roman"/>
              </w:rPr>
              <w:t xml:space="preserve">Ongoing </w:t>
            </w:r>
          </w:p>
        </w:tc>
      </w:tr>
      <w:tr w:rsidR="009468F6" w:rsidRPr="004A23F7" w:rsidTr="009914E0">
        <w:trPr>
          <w:trHeight w:val="824"/>
        </w:trPr>
        <w:tc>
          <w:tcPr>
            <w:tcW w:w="1548" w:type="dxa"/>
          </w:tcPr>
          <w:p w:rsidR="009468F6" w:rsidRDefault="009468F6" w:rsidP="004A23F7">
            <w:pPr>
              <w:rPr>
                <w:rFonts w:ascii="Calibri" w:eastAsia="Calibri" w:hAnsi="Calibri" w:cs="Times New Roman"/>
              </w:rPr>
            </w:pPr>
            <w:r>
              <w:rPr>
                <w:rFonts w:ascii="Calibri" w:eastAsia="Calibri" w:hAnsi="Calibri" w:cs="Times New Roman"/>
              </w:rPr>
              <w:t xml:space="preserve">National Working Group looking at standalone </w:t>
            </w:r>
            <w:r>
              <w:rPr>
                <w:rFonts w:ascii="Calibri" w:eastAsia="Calibri" w:hAnsi="Calibri" w:cs="Times New Roman"/>
              </w:rPr>
              <w:lastRenderedPageBreak/>
              <w:t>language service provision</w:t>
            </w:r>
          </w:p>
        </w:tc>
        <w:tc>
          <w:tcPr>
            <w:tcW w:w="1871" w:type="dxa"/>
          </w:tcPr>
          <w:p w:rsidR="009468F6" w:rsidRDefault="009468F6" w:rsidP="004A23F7">
            <w:pPr>
              <w:rPr>
                <w:rFonts w:ascii="Calibri" w:eastAsia="Calibri" w:hAnsi="Calibri" w:cs="Times New Roman"/>
              </w:rPr>
            </w:pPr>
            <w:r>
              <w:rPr>
                <w:rFonts w:ascii="Calibri" w:eastAsia="Calibri" w:hAnsi="Calibri" w:cs="Times New Roman"/>
              </w:rPr>
              <w:lastRenderedPageBreak/>
              <w:t xml:space="preserve">Custody command are part of a working group looking at </w:t>
            </w:r>
            <w:r>
              <w:rPr>
                <w:rFonts w:ascii="Calibri" w:eastAsia="Calibri" w:hAnsi="Calibri" w:cs="Times New Roman"/>
              </w:rPr>
              <w:lastRenderedPageBreak/>
              <w:t>options to create a police standalone language translation system</w:t>
            </w:r>
          </w:p>
        </w:tc>
        <w:tc>
          <w:tcPr>
            <w:tcW w:w="1278" w:type="dxa"/>
          </w:tcPr>
          <w:p w:rsidR="009468F6" w:rsidRDefault="009468F6" w:rsidP="004A23F7">
            <w:pPr>
              <w:rPr>
                <w:rFonts w:ascii="Calibri" w:eastAsia="Calibri" w:hAnsi="Calibri" w:cs="Times New Roman"/>
              </w:rPr>
            </w:pPr>
            <w:r>
              <w:rPr>
                <w:rFonts w:ascii="Calibri" w:eastAsia="Calibri" w:hAnsi="Calibri" w:cs="Times New Roman"/>
              </w:rPr>
              <w:lastRenderedPageBreak/>
              <w:t>01/6/2019</w:t>
            </w:r>
          </w:p>
        </w:tc>
        <w:tc>
          <w:tcPr>
            <w:tcW w:w="1305" w:type="dxa"/>
          </w:tcPr>
          <w:p w:rsidR="009468F6" w:rsidRDefault="009468F6" w:rsidP="004A23F7">
            <w:pPr>
              <w:rPr>
                <w:rFonts w:ascii="Calibri" w:eastAsia="Calibri" w:hAnsi="Calibri" w:cs="Times New Roman"/>
              </w:rPr>
            </w:pPr>
            <w:r>
              <w:rPr>
                <w:rFonts w:ascii="Calibri" w:eastAsia="Calibri" w:hAnsi="Calibri" w:cs="Times New Roman"/>
              </w:rPr>
              <w:t>Phil Jackson</w:t>
            </w:r>
          </w:p>
        </w:tc>
        <w:tc>
          <w:tcPr>
            <w:tcW w:w="2895" w:type="dxa"/>
          </w:tcPr>
          <w:p w:rsidR="009468F6" w:rsidRDefault="009468F6" w:rsidP="004A23F7">
            <w:pPr>
              <w:rPr>
                <w:rFonts w:ascii="Calibri" w:eastAsia="Calibri" w:hAnsi="Calibri" w:cs="Times New Roman"/>
              </w:rPr>
            </w:pPr>
            <w:r>
              <w:rPr>
                <w:rFonts w:ascii="Calibri" w:eastAsia="Calibri" w:hAnsi="Calibri" w:cs="Times New Roman"/>
              </w:rPr>
              <w:t xml:space="preserve">This is an ongoing piece of work looking at the options to come away from CLEP and whether we </w:t>
            </w:r>
            <w:r>
              <w:rPr>
                <w:rFonts w:ascii="Calibri" w:eastAsia="Calibri" w:hAnsi="Calibri" w:cs="Times New Roman"/>
              </w:rPr>
              <w:lastRenderedPageBreak/>
              <w:t>can produce our own standalone system. The national working group is led by Ian Fraser from Leicester Police and meets quarterly to discuss progress</w:t>
            </w:r>
          </w:p>
        </w:tc>
        <w:tc>
          <w:tcPr>
            <w:tcW w:w="1491" w:type="dxa"/>
          </w:tcPr>
          <w:p w:rsidR="009468F6" w:rsidRDefault="009468F6" w:rsidP="004A23F7">
            <w:pPr>
              <w:rPr>
                <w:rFonts w:ascii="Calibri" w:eastAsia="Calibri" w:hAnsi="Calibri" w:cs="Times New Roman"/>
              </w:rPr>
            </w:pPr>
            <w:r>
              <w:rPr>
                <w:rFonts w:ascii="Calibri" w:eastAsia="Calibri" w:hAnsi="Calibri" w:cs="Times New Roman"/>
              </w:rPr>
              <w:lastRenderedPageBreak/>
              <w:t>Ongoing</w:t>
            </w:r>
          </w:p>
        </w:tc>
      </w:tr>
    </w:tbl>
    <w:p w:rsidR="004A23F7" w:rsidRPr="00610F22" w:rsidRDefault="004A23F7" w:rsidP="007D3E9B">
      <w:pPr>
        <w:pStyle w:val="NoSpacing"/>
        <w:ind w:left="720"/>
        <w:rPr>
          <w:rFonts w:ascii="Arial" w:hAnsi="Arial" w:cs="Arial"/>
          <w:sz w:val="24"/>
          <w:szCs w:val="24"/>
        </w:rPr>
      </w:pPr>
    </w:p>
    <w:p w:rsidR="00201081" w:rsidRPr="00201081" w:rsidRDefault="00201081" w:rsidP="007D3E9B">
      <w:pPr>
        <w:pStyle w:val="NoSpacing"/>
        <w:ind w:left="720"/>
        <w:rPr>
          <w:rFonts w:ascii="Arial" w:hAnsi="Arial" w:cs="Arial"/>
          <w:b/>
          <w:sz w:val="24"/>
          <w:szCs w:val="24"/>
          <w:u w:val="single"/>
        </w:rPr>
      </w:pPr>
    </w:p>
    <w:sectPr w:rsidR="00201081" w:rsidRPr="00201081" w:rsidSect="00773654">
      <w:headerReference w:type="default" r:id="rId8"/>
      <w:footerReference w:type="default" r:id="rId9"/>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F27" w:rsidRDefault="00BE0F27" w:rsidP="00121A7F">
      <w:pPr>
        <w:spacing w:after="0" w:line="240" w:lineRule="auto"/>
      </w:pPr>
      <w:r>
        <w:separator/>
      </w:r>
    </w:p>
  </w:endnote>
  <w:endnote w:type="continuationSeparator" w:id="0">
    <w:p w:rsidR="00BE0F27" w:rsidRDefault="00BE0F27"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B05925" w:rsidRPr="00F93D34" w:rsidRDefault="00F93D34" w:rsidP="00703E5E">
            <w:pPr>
              <w:pStyle w:val="Footer"/>
              <w:jc w:val="center"/>
              <w:rPr>
                <w:rFonts w:ascii="Arial" w:hAnsi="Arial" w:cs="Arial"/>
                <w:sz w:val="20"/>
                <w:szCs w:val="20"/>
              </w:rPr>
            </w:pPr>
            <w:r w:rsidRPr="00F93D34">
              <w:rPr>
                <w:rFonts w:ascii="Arial" w:hAnsi="Arial" w:cs="Arial"/>
                <w:sz w:val="20"/>
                <w:szCs w:val="20"/>
              </w:rPr>
              <w:t>OFFICIAL</w:t>
            </w:r>
          </w:p>
          <w:p w:rsidR="00B05925" w:rsidRPr="006279AB" w:rsidRDefault="00B05925" w:rsidP="004F62BB">
            <w:pPr>
              <w:pStyle w:val="Footer"/>
              <w:jc w:val="center"/>
              <w:rPr>
                <w:rFonts w:ascii="Arial" w:hAnsi="Arial" w:cs="Arial"/>
                <w:sz w:val="20"/>
                <w:szCs w:val="20"/>
              </w:rPr>
            </w:pPr>
          </w:p>
          <w:p w:rsidR="00B05925" w:rsidRDefault="00B05925">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4C18E8">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4C18E8">
              <w:rPr>
                <w:rFonts w:ascii="Arial" w:hAnsi="Arial" w:cs="Arial"/>
                <w:bCs/>
                <w:noProof/>
                <w:sz w:val="20"/>
                <w:szCs w:val="20"/>
              </w:rPr>
              <w:t>10</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F27" w:rsidRDefault="00BE0F27" w:rsidP="00121A7F">
      <w:pPr>
        <w:spacing w:after="0" w:line="240" w:lineRule="auto"/>
      </w:pPr>
      <w:r>
        <w:separator/>
      </w:r>
    </w:p>
  </w:footnote>
  <w:footnote w:type="continuationSeparator" w:id="0">
    <w:p w:rsidR="00BE0F27" w:rsidRDefault="00BE0F27"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25" w:rsidRDefault="00F93D34" w:rsidP="004F62BB">
    <w:pPr>
      <w:pStyle w:val="Header"/>
      <w:jc w:val="center"/>
      <w:rPr>
        <w:rFonts w:ascii="Arial" w:hAnsi="Arial" w:cs="Arial"/>
        <w:sz w:val="20"/>
      </w:rPr>
    </w:pPr>
    <w:r>
      <w:rPr>
        <w:rFonts w:ascii="Arial" w:hAnsi="Arial" w:cs="Arial"/>
        <w:sz w:val="20"/>
      </w:rPr>
      <w:t>OFFICIAL</w:t>
    </w:r>
  </w:p>
  <w:p w:rsidR="00B05925" w:rsidRPr="006279AB" w:rsidRDefault="00B05925"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3F0E"/>
    <w:multiLevelType w:val="hybridMultilevel"/>
    <w:tmpl w:val="5E28B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592725"/>
    <w:multiLevelType w:val="hybridMultilevel"/>
    <w:tmpl w:val="BCA80F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F9777ED"/>
    <w:multiLevelType w:val="hybridMultilevel"/>
    <w:tmpl w:val="486EF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D139A"/>
    <w:multiLevelType w:val="hybridMultilevel"/>
    <w:tmpl w:val="600AE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1"/>
  </w:num>
  <w:num w:numId="6">
    <w:abstractNumId w:val="10"/>
  </w:num>
  <w:num w:numId="7">
    <w:abstractNumId w:val="3"/>
  </w:num>
  <w:num w:numId="8">
    <w:abstractNumId w:val="7"/>
  </w:num>
  <w:num w:numId="9">
    <w:abstractNumId w:val="0"/>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7D5B"/>
    <w:rsid w:val="00031F03"/>
    <w:rsid w:val="00046E42"/>
    <w:rsid w:val="00121849"/>
    <w:rsid w:val="00121A7F"/>
    <w:rsid w:val="001423E4"/>
    <w:rsid w:val="0014315E"/>
    <w:rsid w:val="001568EF"/>
    <w:rsid w:val="00182A62"/>
    <w:rsid w:val="001D5222"/>
    <w:rsid w:val="001E2DAF"/>
    <w:rsid w:val="001F08F9"/>
    <w:rsid w:val="00201081"/>
    <w:rsid w:val="00234BCF"/>
    <w:rsid w:val="00235EFA"/>
    <w:rsid w:val="00253BC8"/>
    <w:rsid w:val="002670FF"/>
    <w:rsid w:val="002E46DF"/>
    <w:rsid w:val="0030288C"/>
    <w:rsid w:val="00376772"/>
    <w:rsid w:val="003832F7"/>
    <w:rsid w:val="003A0F89"/>
    <w:rsid w:val="003B559D"/>
    <w:rsid w:val="003F7C58"/>
    <w:rsid w:val="0042534E"/>
    <w:rsid w:val="00481761"/>
    <w:rsid w:val="004A23F7"/>
    <w:rsid w:val="004A2564"/>
    <w:rsid w:val="004B064E"/>
    <w:rsid w:val="004C18E8"/>
    <w:rsid w:val="004E4CBD"/>
    <w:rsid w:val="004F62BB"/>
    <w:rsid w:val="00517DD2"/>
    <w:rsid w:val="00523007"/>
    <w:rsid w:val="00583860"/>
    <w:rsid w:val="005A7360"/>
    <w:rsid w:val="005F1518"/>
    <w:rsid w:val="00610F22"/>
    <w:rsid w:val="006279AB"/>
    <w:rsid w:val="0063208F"/>
    <w:rsid w:val="00652B9C"/>
    <w:rsid w:val="0065388A"/>
    <w:rsid w:val="00656F5B"/>
    <w:rsid w:val="00665862"/>
    <w:rsid w:val="006E6A65"/>
    <w:rsid w:val="006F271A"/>
    <w:rsid w:val="00703E5E"/>
    <w:rsid w:val="007222D9"/>
    <w:rsid w:val="00723C58"/>
    <w:rsid w:val="00724335"/>
    <w:rsid w:val="007427EA"/>
    <w:rsid w:val="007451F4"/>
    <w:rsid w:val="007609D1"/>
    <w:rsid w:val="00773654"/>
    <w:rsid w:val="007808F9"/>
    <w:rsid w:val="00793326"/>
    <w:rsid w:val="00794F13"/>
    <w:rsid w:val="007A4CFA"/>
    <w:rsid w:val="007A7C60"/>
    <w:rsid w:val="007D0515"/>
    <w:rsid w:val="007D3E9B"/>
    <w:rsid w:val="007E08F2"/>
    <w:rsid w:val="007F244C"/>
    <w:rsid w:val="007F5B15"/>
    <w:rsid w:val="00841A12"/>
    <w:rsid w:val="008B19D3"/>
    <w:rsid w:val="008E522B"/>
    <w:rsid w:val="009424CC"/>
    <w:rsid w:val="009468F6"/>
    <w:rsid w:val="00977757"/>
    <w:rsid w:val="00977E61"/>
    <w:rsid w:val="009F3263"/>
    <w:rsid w:val="009F3BCD"/>
    <w:rsid w:val="00A11310"/>
    <w:rsid w:val="00A17278"/>
    <w:rsid w:val="00A358A7"/>
    <w:rsid w:val="00A854E8"/>
    <w:rsid w:val="00A85689"/>
    <w:rsid w:val="00AB1FBF"/>
    <w:rsid w:val="00AB6794"/>
    <w:rsid w:val="00AC1ABD"/>
    <w:rsid w:val="00AF6CD7"/>
    <w:rsid w:val="00B05925"/>
    <w:rsid w:val="00B573C9"/>
    <w:rsid w:val="00B64AA6"/>
    <w:rsid w:val="00B94824"/>
    <w:rsid w:val="00BE0F27"/>
    <w:rsid w:val="00BE4F93"/>
    <w:rsid w:val="00C1201E"/>
    <w:rsid w:val="00C44E4F"/>
    <w:rsid w:val="00C654B8"/>
    <w:rsid w:val="00C86C42"/>
    <w:rsid w:val="00CF685C"/>
    <w:rsid w:val="00D35BFA"/>
    <w:rsid w:val="00D459B2"/>
    <w:rsid w:val="00D8103E"/>
    <w:rsid w:val="00D83091"/>
    <w:rsid w:val="00D86616"/>
    <w:rsid w:val="00D96814"/>
    <w:rsid w:val="00DB57A9"/>
    <w:rsid w:val="00DE144B"/>
    <w:rsid w:val="00E1350E"/>
    <w:rsid w:val="00E44503"/>
    <w:rsid w:val="00E85307"/>
    <w:rsid w:val="00E92048"/>
    <w:rsid w:val="00E92E89"/>
    <w:rsid w:val="00EB2427"/>
    <w:rsid w:val="00EF50A6"/>
    <w:rsid w:val="00F44851"/>
    <w:rsid w:val="00F71083"/>
    <w:rsid w:val="00F74323"/>
    <w:rsid w:val="00F93D34"/>
    <w:rsid w:val="00FB0277"/>
    <w:rsid w:val="00FB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6336302-15DE-49B8-B522-904E3829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3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table" w:styleId="GridTable2-Accent1">
    <w:name w:val="Grid Table 2 Accent 1"/>
    <w:basedOn w:val="TableNormal"/>
    <w:uiPriority w:val="47"/>
    <w:rsid w:val="007F5B1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B0592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86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16"/>
    <w:rPr>
      <w:rFonts w:ascii="Segoe UI" w:hAnsi="Segoe UI" w:cs="Segoe UI"/>
      <w:sz w:val="18"/>
      <w:szCs w:val="18"/>
    </w:rPr>
  </w:style>
  <w:style w:type="character" w:styleId="CommentReference">
    <w:name w:val="annotation reference"/>
    <w:basedOn w:val="DefaultParagraphFont"/>
    <w:uiPriority w:val="99"/>
    <w:semiHidden/>
    <w:unhideWhenUsed/>
    <w:rsid w:val="007451F4"/>
    <w:rPr>
      <w:sz w:val="16"/>
      <w:szCs w:val="16"/>
    </w:rPr>
  </w:style>
  <w:style w:type="paragraph" w:styleId="CommentText">
    <w:name w:val="annotation text"/>
    <w:basedOn w:val="Normal"/>
    <w:link w:val="CommentTextChar"/>
    <w:uiPriority w:val="99"/>
    <w:semiHidden/>
    <w:unhideWhenUsed/>
    <w:rsid w:val="007451F4"/>
    <w:pPr>
      <w:spacing w:line="240" w:lineRule="auto"/>
    </w:pPr>
    <w:rPr>
      <w:sz w:val="20"/>
      <w:szCs w:val="20"/>
    </w:rPr>
  </w:style>
  <w:style w:type="character" w:customStyle="1" w:styleId="CommentTextChar">
    <w:name w:val="Comment Text Char"/>
    <w:basedOn w:val="DefaultParagraphFont"/>
    <w:link w:val="CommentText"/>
    <w:uiPriority w:val="99"/>
    <w:semiHidden/>
    <w:rsid w:val="007451F4"/>
    <w:rPr>
      <w:sz w:val="20"/>
      <w:szCs w:val="20"/>
    </w:rPr>
  </w:style>
  <w:style w:type="paragraph" w:styleId="CommentSubject">
    <w:name w:val="annotation subject"/>
    <w:basedOn w:val="CommentText"/>
    <w:next w:val="CommentText"/>
    <w:link w:val="CommentSubjectChar"/>
    <w:uiPriority w:val="99"/>
    <w:semiHidden/>
    <w:unhideWhenUsed/>
    <w:rsid w:val="007451F4"/>
    <w:rPr>
      <w:b/>
      <w:bCs/>
    </w:rPr>
  </w:style>
  <w:style w:type="character" w:customStyle="1" w:styleId="CommentSubjectChar">
    <w:name w:val="Comment Subject Char"/>
    <w:basedOn w:val="CommentTextChar"/>
    <w:link w:val="CommentSubject"/>
    <w:uiPriority w:val="99"/>
    <w:semiHidden/>
    <w:rsid w:val="007451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072">
      <w:bodyDiv w:val="1"/>
      <w:marLeft w:val="0"/>
      <w:marRight w:val="0"/>
      <w:marTop w:val="0"/>
      <w:marBottom w:val="0"/>
      <w:divBdr>
        <w:top w:val="none" w:sz="0" w:space="0" w:color="auto"/>
        <w:left w:val="none" w:sz="0" w:space="0" w:color="auto"/>
        <w:bottom w:val="none" w:sz="0" w:space="0" w:color="auto"/>
        <w:right w:val="none" w:sz="0" w:space="0" w:color="auto"/>
      </w:divBdr>
    </w:div>
    <w:div w:id="282738333">
      <w:bodyDiv w:val="1"/>
      <w:marLeft w:val="0"/>
      <w:marRight w:val="0"/>
      <w:marTop w:val="0"/>
      <w:marBottom w:val="0"/>
      <w:divBdr>
        <w:top w:val="none" w:sz="0" w:space="0" w:color="auto"/>
        <w:left w:val="none" w:sz="0" w:space="0" w:color="auto"/>
        <w:bottom w:val="none" w:sz="0" w:space="0" w:color="auto"/>
        <w:right w:val="none" w:sz="0" w:space="0" w:color="auto"/>
      </w:divBdr>
    </w:div>
    <w:div w:id="479347206">
      <w:bodyDiv w:val="1"/>
      <w:marLeft w:val="0"/>
      <w:marRight w:val="0"/>
      <w:marTop w:val="0"/>
      <w:marBottom w:val="0"/>
      <w:divBdr>
        <w:top w:val="none" w:sz="0" w:space="0" w:color="auto"/>
        <w:left w:val="none" w:sz="0" w:space="0" w:color="auto"/>
        <w:bottom w:val="none" w:sz="0" w:space="0" w:color="auto"/>
        <w:right w:val="none" w:sz="0" w:space="0" w:color="auto"/>
      </w:divBdr>
    </w:div>
    <w:div w:id="788936296">
      <w:bodyDiv w:val="1"/>
      <w:marLeft w:val="0"/>
      <w:marRight w:val="0"/>
      <w:marTop w:val="0"/>
      <w:marBottom w:val="0"/>
      <w:divBdr>
        <w:top w:val="none" w:sz="0" w:space="0" w:color="auto"/>
        <w:left w:val="none" w:sz="0" w:space="0" w:color="auto"/>
        <w:bottom w:val="none" w:sz="0" w:space="0" w:color="auto"/>
        <w:right w:val="none" w:sz="0" w:space="0" w:color="auto"/>
      </w:divBdr>
    </w:div>
    <w:div w:id="1133795064">
      <w:bodyDiv w:val="1"/>
      <w:marLeft w:val="0"/>
      <w:marRight w:val="0"/>
      <w:marTop w:val="0"/>
      <w:marBottom w:val="0"/>
      <w:divBdr>
        <w:top w:val="none" w:sz="0" w:space="0" w:color="auto"/>
        <w:left w:val="none" w:sz="0" w:space="0" w:color="auto"/>
        <w:bottom w:val="none" w:sz="0" w:space="0" w:color="auto"/>
        <w:right w:val="none" w:sz="0" w:space="0" w:color="auto"/>
      </w:divBdr>
    </w:div>
    <w:div w:id="1225679545">
      <w:bodyDiv w:val="1"/>
      <w:marLeft w:val="0"/>
      <w:marRight w:val="0"/>
      <w:marTop w:val="0"/>
      <w:marBottom w:val="0"/>
      <w:divBdr>
        <w:top w:val="none" w:sz="0" w:space="0" w:color="auto"/>
        <w:left w:val="none" w:sz="0" w:space="0" w:color="auto"/>
        <w:bottom w:val="none" w:sz="0" w:space="0" w:color="auto"/>
        <w:right w:val="none" w:sz="0" w:space="0" w:color="auto"/>
      </w:divBdr>
    </w:div>
    <w:div w:id="1480919023">
      <w:bodyDiv w:val="1"/>
      <w:marLeft w:val="0"/>
      <w:marRight w:val="0"/>
      <w:marTop w:val="0"/>
      <w:marBottom w:val="0"/>
      <w:divBdr>
        <w:top w:val="none" w:sz="0" w:space="0" w:color="auto"/>
        <w:left w:val="none" w:sz="0" w:space="0" w:color="auto"/>
        <w:bottom w:val="none" w:sz="0" w:space="0" w:color="auto"/>
        <w:right w:val="none" w:sz="0" w:space="0" w:color="auto"/>
      </w:divBdr>
    </w:div>
    <w:div w:id="20640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42074427\AppData\Local\Microsoft\Windows\INetCache\Content.Outlook\C8RW2QDL\Big%20Wor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The Big Word Requests and Complaints Between 01/09/2017</a:t>
            </a:r>
            <a:r>
              <a:rPr lang="en-GB" baseline="0"/>
              <a:t> - 31/03/2019</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Requests</c:v>
                </c:pt>
              </c:strCache>
            </c:strRef>
          </c:tx>
          <c:spPr>
            <a:solidFill>
              <a:schemeClr val="accent1"/>
            </a:solidFill>
            <a:ln>
              <a:noFill/>
            </a:ln>
            <a:effectLst/>
          </c:spPr>
          <c:invertIfNegative val="0"/>
          <c:cat>
            <c:strRef>
              <c:f>Sheet1!$A$2:$A$54</c:f>
              <c:strCache>
                <c:ptCount val="53"/>
                <c:pt idx="0">
                  <c:v>Albanian</c:v>
                </c:pt>
                <c:pt idx="1">
                  <c:v>Amharic</c:v>
                </c:pt>
                <c:pt idx="2">
                  <c:v>Arabic</c:v>
                </c:pt>
                <c:pt idx="3">
                  <c:v>Bengali /Bangla</c:v>
                </c:pt>
                <c:pt idx="4">
                  <c:v>British Sign Language</c:v>
                </c:pt>
                <c:pt idx="5">
                  <c:v>Bulgarian</c:v>
                </c:pt>
                <c:pt idx="6">
                  <c:v>Cantonese</c:v>
                </c:pt>
                <c:pt idx="7">
                  <c:v>Creole</c:v>
                </c:pt>
                <c:pt idx="8">
                  <c:v>Czech</c:v>
                </c:pt>
                <c:pt idx="9">
                  <c:v>Dari</c:v>
                </c:pt>
                <c:pt idx="10">
                  <c:v>Dutch</c:v>
                </c:pt>
                <c:pt idx="11">
                  <c:v>Farsi</c:v>
                </c:pt>
                <c:pt idx="12">
                  <c:v>French</c:v>
                </c:pt>
                <c:pt idx="13">
                  <c:v>German</c:v>
                </c:pt>
                <c:pt idx="14">
                  <c:v>Greek</c:v>
                </c:pt>
                <c:pt idx="15">
                  <c:v>Gujarati</c:v>
                </c:pt>
                <c:pt idx="16">
                  <c:v>Hebrew</c:v>
                </c:pt>
                <c:pt idx="17">
                  <c:v>Hindi</c:v>
                </c:pt>
                <c:pt idx="18">
                  <c:v>Hungarian</c:v>
                </c:pt>
                <c:pt idx="19">
                  <c:v>Italian</c:v>
                </c:pt>
                <c:pt idx="20">
                  <c:v>Kannada</c:v>
                </c:pt>
                <c:pt idx="21">
                  <c:v>Kurdish</c:v>
                </c:pt>
                <c:pt idx="22">
                  <c:v>Latvian</c:v>
                </c:pt>
                <c:pt idx="23">
                  <c:v>Lingala</c:v>
                </c:pt>
                <c:pt idx="24">
                  <c:v>Lithuanian</c:v>
                </c:pt>
                <c:pt idx="25">
                  <c:v>Malay</c:v>
                </c:pt>
                <c:pt idx="26">
                  <c:v>Mandarin</c:v>
                </c:pt>
                <c:pt idx="27">
                  <c:v>Mandingo</c:v>
                </c:pt>
                <c:pt idx="28">
                  <c:v>Moldovan</c:v>
                </c:pt>
                <c:pt idx="29">
                  <c:v>Nepalese</c:v>
                </c:pt>
                <c:pt idx="30">
                  <c:v>Nepali</c:v>
                </c:pt>
                <c:pt idx="31">
                  <c:v>Oromo</c:v>
                </c:pt>
                <c:pt idx="32">
                  <c:v>Pashto</c:v>
                </c:pt>
                <c:pt idx="33">
                  <c:v>Patois</c:v>
                </c:pt>
                <c:pt idx="34">
                  <c:v>Polish</c:v>
                </c:pt>
                <c:pt idx="35">
                  <c:v>Portuguese</c:v>
                </c:pt>
                <c:pt idx="36">
                  <c:v>Punjabi</c:v>
                </c:pt>
                <c:pt idx="37">
                  <c:v>Romanian</c:v>
                </c:pt>
                <c:pt idx="38">
                  <c:v>Russian</c:v>
                </c:pt>
                <c:pt idx="39">
                  <c:v>Sinhala</c:v>
                </c:pt>
                <c:pt idx="40">
                  <c:v>Slovak</c:v>
                </c:pt>
                <c:pt idx="41">
                  <c:v>Somali</c:v>
                </c:pt>
                <c:pt idx="42">
                  <c:v>Spanish</c:v>
                </c:pt>
                <c:pt idx="43">
                  <c:v>Sri Lankan</c:v>
                </c:pt>
                <c:pt idx="44">
                  <c:v>Sylheti</c:v>
                </c:pt>
                <c:pt idx="45">
                  <c:v>Tagalog</c:v>
                </c:pt>
                <c:pt idx="46">
                  <c:v>Tamil</c:v>
                </c:pt>
                <c:pt idx="47">
                  <c:v>Thai</c:v>
                </c:pt>
                <c:pt idx="48">
                  <c:v>Tigrinya</c:v>
                </c:pt>
                <c:pt idx="49">
                  <c:v>Turkish</c:v>
                </c:pt>
                <c:pt idx="50">
                  <c:v>Urdu</c:v>
                </c:pt>
                <c:pt idx="51">
                  <c:v>Vietnamese</c:v>
                </c:pt>
                <c:pt idx="52">
                  <c:v>Yoruba</c:v>
                </c:pt>
              </c:strCache>
            </c:strRef>
          </c:cat>
          <c:val>
            <c:numRef>
              <c:f>Sheet1!$B$2:$B$54</c:f>
              <c:numCache>
                <c:formatCode>General</c:formatCode>
                <c:ptCount val="53"/>
                <c:pt idx="0">
                  <c:v>53</c:v>
                </c:pt>
                <c:pt idx="1">
                  <c:v>0</c:v>
                </c:pt>
                <c:pt idx="2">
                  <c:v>3</c:v>
                </c:pt>
                <c:pt idx="3">
                  <c:v>31</c:v>
                </c:pt>
                <c:pt idx="4">
                  <c:v>12</c:v>
                </c:pt>
                <c:pt idx="5">
                  <c:v>50</c:v>
                </c:pt>
                <c:pt idx="6">
                  <c:v>9</c:v>
                </c:pt>
                <c:pt idx="7">
                  <c:v>4</c:v>
                </c:pt>
                <c:pt idx="8">
                  <c:v>11</c:v>
                </c:pt>
                <c:pt idx="9">
                  <c:v>2</c:v>
                </c:pt>
                <c:pt idx="10">
                  <c:v>3</c:v>
                </c:pt>
                <c:pt idx="11">
                  <c:v>9</c:v>
                </c:pt>
                <c:pt idx="12">
                  <c:v>12</c:v>
                </c:pt>
                <c:pt idx="13">
                  <c:v>6</c:v>
                </c:pt>
                <c:pt idx="14">
                  <c:v>11</c:v>
                </c:pt>
                <c:pt idx="15">
                  <c:v>2</c:v>
                </c:pt>
                <c:pt idx="16">
                  <c:v>2</c:v>
                </c:pt>
                <c:pt idx="17">
                  <c:v>1</c:v>
                </c:pt>
                <c:pt idx="18">
                  <c:v>16</c:v>
                </c:pt>
                <c:pt idx="19">
                  <c:v>25</c:v>
                </c:pt>
                <c:pt idx="20">
                  <c:v>9</c:v>
                </c:pt>
                <c:pt idx="21">
                  <c:v>17</c:v>
                </c:pt>
                <c:pt idx="22">
                  <c:v>10</c:v>
                </c:pt>
                <c:pt idx="23">
                  <c:v>1</c:v>
                </c:pt>
                <c:pt idx="24">
                  <c:v>114</c:v>
                </c:pt>
                <c:pt idx="25">
                  <c:v>1</c:v>
                </c:pt>
                <c:pt idx="26">
                  <c:v>35</c:v>
                </c:pt>
                <c:pt idx="27">
                  <c:v>1</c:v>
                </c:pt>
                <c:pt idx="28">
                  <c:v>1</c:v>
                </c:pt>
                <c:pt idx="29">
                  <c:v>1</c:v>
                </c:pt>
                <c:pt idx="30">
                  <c:v>4</c:v>
                </c:pt>
                <c:pt idx="31">
                  <c:v>2</c:v>
                </c:pt>
                <c:pt idx="32">
                  <c:v>11</c:v>
                </c:pt>
                <c:pt idx="33">
                  <c:v>1</c:v>
                </c:pt>
                <c:pt idx="34">
                  <c:v>269</c:v>
                </c:pt>
                <c:pt idx="35">
                  <c:v>26</c:v>
                </c:pt>
                <c:pt idx="36">
                  <c:v>12</c:v>
                </c:pt>
                <c:pt idx="37">
                  <c:v>378</c:v>
                </c:pt>
                <c:pt idx="38">
                  <c:v>34</c:v>
                </c:pt>
                <c:pt idx="39">
                  <c:v>1</c:v>
                </c:pt>
                <c:pt idx="40">
                  <c:v>14</c:v>
                </c:pt>
                <c:pt idx="41">
                  <c:v>7</c:v>
                </c:pt>
                <c:pt idx="42">
                  <c:v>15</c:v>
                </c:pt>
                <c:pt idx="43">
                  <c:v>1</c:v>
                </c:pt>
                <c:pt idx="44">
                  <c:v>2</c:v>
                </c:pt>
                <c:pt idx="45">
                  <c:v>4</c:v>
                </c:pt>
                <c:pt idx="46">
                  <c:v>19</c:v>
                </c:pt>
                <c:pt idx="47">
                  <c:v>8</c:v>
                </c:pt>
                <c:pt idx="48">
                  <c:v>1</c:v>
                </c:pt>
                <c:pt idx="49">
                  <c:v>48</c:v>
                </c:pt>
                <c:pt idx="50">
                  <c:v>31</c:v>
                </c:pt>
                <c:pt idx="51">
                  <c:v>17</c:v>
                </c:pt>
                <c:pt idx="52">
                  <c:v>4</c:v>
                </c:pt>
              </c:numCache>
            </c:numRef>
          </c:val>
          <c:extLst>
            <c:ext xmlns:c16="http://schemas.microsoft.com/office/drawing/2014/chart" uri="{C3380CC4-5D6E-409C-BE32-E72D297353CC}">
              <c16:uniqueId val="{00000000-40FD-4108-BC8F-4FDC13A895E1}"/>
            </c:ext>
          </c:extLst>
        </c:ser>
        <c:dLbls>
          <c:showLegendKey val="0"/>
          <c:showVal val="0"/>
          <c:showCatName val="0"/>
          <c:showSerName val="0"/>
          <c:showPercent val="0"/>
          <c:showBubbleSize val="0"/>
        </c:dLbls>
        <c:gapWidth val="219"/>
        <c:axId val="626338184"/>
        <c:axId val="626340152"/>
      </c:barChart>
      <c:lineChart>
        <c:grouping val="standard"/>
        <c:varyColors val="0"/>
        <c:ser>
          <c:idx val="1"/>
          <c:order val="1"/>
          <c:tx>
            <c:strRef>
              <c:f>Sheet1!$C$1</c:f>
              <c:strCache>
                <c:ptCount val="1"/>
                <c:pt idx="0">
                  <c:v>Number of Complaints</c:v>
                </c:pt>
              </c:strCache>
            </c:strRef>
          </c:tx>
          <c:spPr>
            <a:ln w="28575" cap="rnd">
              <a:solidFill>
                <a:srgbClr val="C00000"/>
              </a:solidFill>
              <a:round/>
            </a:ln>
            <a:effectLst/>
          </c:spPr>
          <c:marker>
            <c:symbol val="none"/>
          </c:marker>
          <c:cat>
            <c:strRef>
              <c:f>Sheet1!$A$2:$A$54</c:f>
              <c:strCache>
                <c:ptCount val="53"/>
                <c:pt idx="0">
                  <c:v>Albanian</c:v>
                </c:pt>
                <c:pt idx="1">
                  <c:v>Amharic</c:v>
                </c:pt>
                <c:pt idx="2">
                  <c:v>Arabic</c:v>
                </c:pt>
                <c:pt idx="3">
                  <c:v>Bengali /Bangla</c:v>
                </c:pt>
                <c:pt idx="4">
                  <c:v>British Sign Language</c:v>
                </c:pt>
                <c:pt idx="5">
                  <c:v>Bulgarian</c:v>
                </c:pt>
                <c:pt idx="6">
                  <c:v>Cantonese</c:v>
                </c:pt>
                <c:pt idx="7">
                  <c:v>Creole</c:v>
                </c:pt>
                <c:pt idx="8">
                  <c:v>Czech</c:v>
                </c:pt>
                <c:pt idx="9">
                  <c:v>Dari</c:v>
                </c:pt>
                <c:pt idx="10">
                  <c:v>Dutch</c:v>
                </c:pt>
                <c:pt idx="11">
                  <c:v>Farsi</c:v>
                </c:pt>
                <c:pt idx="12">
                  <c:v>French</c:v>
                </c:pt>
                <c:pt idx="13">
                  <c:v>German</c:v>
                </c:pt>
                <c:pt idx="14">
                  <c:v>Greek</c:v>
                </c:pt>
                <c:pt idx="15">
                  <c:v>Gujarati</c:v>
                </c:pt>
                <c:pt idx="16">
                  <c:v>Hebrew</c:v>
                </c:pt>
                <c:pt idx="17">
                  <c:v>Hindi</c:v>
                </c:pt>
                <c:pt idx="18">
                  <c:v>Hungarian</c:v>
                </c:pt>
                <c:pt idx="19">
                  <c:v>Italian</c:v>
                </c:pt>
                <c:pt idx="20">
                  <c:v>Kannada</c:v>
                </c:pt>
                <c:pt idx="21">
                  <c:v>Kurdish</c:v>
                </c:pt>
                <c:pt idx="22">
                  <c:v>Latvian</c:v>
                </c:pt>
                <c:pt idx="23">
                  <c:v>Lingala</c:v>
                </c:pt>
                <c:pt idx="24">
                  <c:v>Lithuanian</c:v>
                </c:pt>
                <c:pt idx="25">
                  <c:v>Malay</c:v>
                </c:pt>
                <c:pt idx="26">
                  <c:v>Mandarin</c:v>
                </c:pt>
                <c:pt idx="27">
                  <c:v>Mandingo</c:v>
                </c:pt>
                <c:pt idx="28">
                  <c:v>Moldovan</c:v>
                </c:pt>
                <c:pt idx="29">
                  <c:v>Nepalese</c:v>
                </c:pt>
                <c:pt idx="30">
                  <c:v>Nepali</c:v>
                </c:pt>
                <c:pt idx="31">
                  <c:v>Oromo</c:v>
                </c:pt>
                <c:pt idx="32">
                  <c:v>Pashto</c:v>
                </c:pt>
                <c:pt idx="33">
                  <c:v>Patois</c:v>
                </c:pt>
                <c:pt idx="34">
                  <c:v>Polish</c:v>
                </c:pt>
                <c:pt idx="35">
                  <c:v>Portuguese</c:v>
                </c:pt>
                <c:pt idx="36">
                  <c:v>Punjabi</c:v>
                </c:pt>
                <c:pt idx="37">
                  <c:v>Romanian</c:v>
                </c:pt>
                <c:pt idx="38">
                  <c:v>Russian</c:v>
                </c:pt>
                <c:pt idx="39">
                  <c:v>Sinhala</c:v>
                </c:pt>
                <c:pt idx="40">
                  <c:v>Slovak</c:v>
                </c:pt>
                <c:pt idx="41">
                  <c:v>Somali</c:v>
                </c:pt>
                <c:pt idx="42">
                  <c:v>Spanish</c:v>
                </c:pt>
                <c:pt idx="43">
                  <c:v>Sri Lankan</c:v>
                </c:pt>
                <c:pt idx="44">
                  <c:v>Sylheti</c:v>
                </c:pt>
                <c:pt idx="45">
                  <c:v>Tagalog</c:v>
                </c:pt>
                <c:pt idx="46">
                  <c:v>Tamil</c:v>
                </c:pt>
                <c:pt idx="47">
                  <c:v>Thai</c:v>
                </c:pt>
                <c:pt idx="48">
                  <c:v>Tigrinya</c:v>
                </c:pt>
                <c:pt idx="49">
                  <c:v>Turkish</c:v>
                </c:pt>
                <c:pt idx="50">
                  <c:v>Urdu</c:v>
                </c:pt>
                <c:pt idx="51">
                  <c:v>Vietnamese</c:v>
                </c:pt>
                <c:pt idx="52">
                  <c:v>Yoruba</c:v>
                </c:pt>
              </c:strCache>
            </c:strRef>
          </c:cat>
          <c:val>
            <c:numRef>
              <c:f>Sheet1!$C$2:$C$54</c:f>
              <c:numCache>
                <c:formatCode>General</c:formatCode>
                <c:ptCount val="53"/>
                <c:pt idx="0">
                  <c:v>2</c:v>
                </c:pt>
                <c:pt idx="1">
                  <c:v>0</c:v>
                </c:pt>
                <c:pt idx="2">
                  <c:v>2</c:v>
                </c:pt>
                <c:pt idx="3">
                  <c:v>3</c:v>
                </c:pt>
                <c:pt idx="4">
                  <c:v>8</c:v>
                </c:pt>
                <c:pt idx="5">
                  <c:v>11</c:v>
                </c:pt>
                <c:pt idx="6">
                  <c:v>2</c:v>
                </c:pt>
                <c:pt idx="7">
                  <c:v>0</c:v>
                </c:pt>
                <c:pt idx="8">
                  <c:v>3</c:v>
                </c:pt>
                <c:pt idx="9">
                  <c:v>0</c:v>
                </c:pt>
                <c:pt idx="10">
                  <c:v>1</c:v>
                </c:pt>
                <c:pt idx="11">
                  <c:v>1</c:v>
                </c:pt>
                <c:pt idx="12">
                  <c:v>4</c:v>
                </c:pt>
                <c:pt idx="13">
                  <c:v>2</c:v>
                </c:pt>
                <c:pt idx="14">
                  <c:v>2</c:v>
                </c:pt>
                <c:pt idx="15">
                  <c:v>1</c:v>
                </c:pt>
                <c:pt idx="16">
                  <c:v>0</c:v>
                </c:pt>
                <c:pt idx="17">
                  <c:v>0</c:v>
                </c:pt>
                <c:pt idx="18">
                  <c:v>2</c:v>
                </c:pt>
                <c:pt idx="19">
                  <c:v>5</c:v>
                </c:pt>
                <c:pt idx="20">
                  <c:v>0</c:v>
                </c:pt>
                <c:pt idx="21">
                  <c:v>1</c:v>
                </c:pt>
                <c:pt idx="22">
                  <c:v>2</c:v>
                </c:pt>
                <c:pt idx="23">
                  <c:v>0</c:v>
                </c:pt>
                <c:pt idx="24">
                  <c:v>15</c:v>
                </c:pt>
                <c:pt idx="25">
                  <c:v>0</c:v>
                </c:pt>
                <c:pt idx="26">
                  <c:v>0</c:v>
                </c:pt>
                <c:pt idx="27">
                  <c:v>0</c:v>
                </c:pt>
                <c:pt idx="28">
                  <c:v>1</c:v>
                </c:pt>
                <c:pt idx="29">
                  <c:v>0</c:v>
                </c:pt>
                <c:pt idx="30">
                  <c:v>0</c:v>
                </c:pt>
                <c:pt idx="31">
                  <c:v>2</c:v>
                </c:pt>
                <c:pt idx="32">
                  <c:v>1</c:v>
                </c:pt>
                <c:pt idx="33">
                  <c:v>0</c:v>
                </c:pt>
                <c:pt idx="34">
                  <c:v>14</c:v>
                </c:pt>
                <c:pt idx="35">
                  <c:v>6</c:v>
                </c:pt>
                <c:pt idx="36">
                  <c:v>1</c:v>
                </c:pt>
                <c:pt idx="37">
                  <c:v>47</c:v>
                </c:pt>
                <c:pt idx="38">
                  <c:v>5</c:v>
                </c:pt>
                <c:pt idx="39">
                  <c:v>0</c:v>
                </c:pt>
                <c:pt idx="40">
                  <c:v>1</c:v>
                </c:pt>
                <c:pt idx="41">
                  <c:v>0</c:v>
                </c:pt>
                <c:pt idx="42">
                  <c:v>5</c:v>
                </c:pt>
                <c:pt idx="43">
                  <c:v>1</c:v>
                </c:pt>
                <c:pt idx="44">
                  <c:v>0</c:v>
                </c:pt>
                <c:pt idx="45">
                  <c:v>0</c:v>
                </c:pt>
                <c:pt idx="46">
                  <c:v>3</c:v>
                </c:pt>
                <c:pt idx="47">
                  <c:v>3</c:v>
                </c:pt>
                <c:pt idx="48">
                  <c:v>0</c:v>
                </c:pt>
                <c:pt idx="49">
                  <c:v>4</c:v>
                </c:pt>
                <c:pt idx="50">
                  <c:v>0</c:v>
                </c:pt>
                <c:pt idx="51">
                  <c:v>3</c:v>
                </c:pt>
                <c:pt idx="52">
                  <c:v>0</c:v>
                </c:pt>
              </c:numCache>
            </c:numRef>
          </c:val>
          <c:smooth val="0"/>
          <c:extLst>
            <c:ext xmlns:c16="http://schemas.microsoft.com/office/drawing/2014/chart" uri="{C3380CC4-5D6E-409C-BE32-E72D297353CC}">
              <c16:uniqueId val="{00000001-40FD-4108-BC8F-4FDC13A895E1}"/>
            </c:ext>
          </c:extLst>
        </c:ser>
        <c:dLbls>
          <c:showLegendKey val="0"/>
          <c:showVal val="0"/>
          <c:showCatName val="0"/>
          <c:showSerName val="0"/>
          <c:showPercent val="0"/>
          <c:showBubbleSize val="0"/>
        </c:dLbls>
        <c:marker val="1"/>
        <c:smooth val="0"/>
        <c:axId val="626338184"/>
        <c:axId val="626340152"/>
      </c:lineChart>
      <c:catAx>
        <c:axId val="626338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340152"/>
        <c:crosses val="autoZero"/>
        <c:auto val="1"/>
        <c:lblAlgn val="ctr"/>
        <c:lblOffset val="100"/>
        <c:noMultiLvlLbl val="0"/>
      </c:catAx>
      <c:valAx>
        <c:axId val="626340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338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2437</Words>
  <Characters>13897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Anna Hook 42078328</cp:lastModifiedBy>
  <cp:revision>2</cp:revision>
  <cp:lastPrinted>2019-04-11T14:10:00Z</cp:lastPrinted>
  <dcterms:created xsi:type="dcterms:W3CDTF">2019-04-18T12:00:00Z</dcterms:created>
  <dcterms:modified xsi:type="dcterms:W3CDTF">2019-04-18T12:00:00Z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