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51A66" w14:textId="77777777" w:rsidR="00AA7CFF" w:rsidRPr="004F62BB" w:rsidRDefault="00AA7CFF" w:rsidP="00AA7CFF">
      <w:pPr>
        <w:spacing w:after="0" w:line="240" w:lineRule="auto"/>
        <w:jc w:val="center"/>
        <w:rPr>
          <w:rFonts w:ascii="Arial" w:hAnsi="Arial" w:cs="Arial"/>
          <w:b/>
          <w:sz w:val="24"/>
          <w:szCs w:val="24"/>
        </w:rPr>
      </w:pPr>
      <w:r w:rsidRPr="004F62BB">
        <w:rPr>
          <w:rFonts w:ascii="Arial" w:hAnsi="Arial" w:cs="Arial"/>
          <w:b/>
          <w:sz w:val="24"/>
          <w:szCs w:val="24"/>
        </w:rPr>
        <w:t>Performance and Resource</w:t>
      </w:r>
      <w:r>
        <w:rPr>
          <w:rFonts w:ascii="Arial" w:hAnsi="Arial" w:cs="Arial"/>
          <w:b/>
          <w:sz w:val="24"/>
          <w:szCs w:val="24"/>
        </w:rPr>
        <w:t>s Scrutiny Programme 2018/2019</w:t>
      </w:r>
    </w:p>
    <w:p w14:paraId="1FC2A9CD" w14:textId="77777777" w:rsidR="00AA7CFF" w:rsidRDefault="00AA7CFF" w:rsidP="00AA7CFF">
      <w:pPr>
        <w:spacing w:after="0" w:line="240" w:lineRule="auto"/>
        <w:jc w:val="center"/>
        <w:rPr>
          <w:rFonts w:ascii="Arial" w:hAnsi="Arial" w:cs="Arial"/>
          <w:b/>
          <w:sz w:val="24"/>
          <w:szCs w:val="24"/>
        </w:rPr>
      </w:pPr>
    </w:p>
    <w:p w14:paraId="09F8E2C9" w14:textId="77777777" w:rsidR="00AA7CFF" w:rsidRPr="004F62BB" w:rsidRDefault="00AA7CFF" w:rsidP="00AA7CFF">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Pr>
          <w:rFonts w:ascii="Arial" w:hAnsi="Arial" w:cs="Arial"/>
          <w:b/>
          <w:sz w:val="24"/>
          <w:szCs w:val="24"/>
        </w:rPr>
        <w:t>, Fire</w:t>
      </w:r>
      <w:r w:rsidRPr="004F62BB">
        <w:rPr>
          <w:rFonts w:ascii="Arial" w:hAnsi="Arial" w:cs="Arial"/>
          <w:b/>
          <w:sz w:val="24"/>
          <w:szCs w:val="24"/>
        </w:rPr>
        <w:t xml:space="preserve"> and Crime Commissioner for Essex</w:t>
      </w:r>
    </w:p>
    <w:p w14:paraId="2C20ED2C" w14:textId="77777777" w:rsidR="00AA7CFF" w:rsidRDefault="00AA7CFF" w:rsidP="00AA7CFF">
      <w:pPr>
        <w:spacing w:after="0" w:line="240" w:lineRule="auto"/>
        <w:jc w:val="center"/>
        <w:rPr>
          <w:rFonts w:ascii="Arial" w:hAnsi="Arial" w:cs="Arial"/>
          <w:b/>
          <w:sz w:val="24"/>
          <w:szCs w:val="24"/>
        </w:rPr>
      </w:pPr>
    </w:p>
    <w:p w14:paraId="063774A6" w14:textId="77777777" w:rsidR="00AA7CFF" w:rsidRDefault="00AA7CFF" w:rsidP="00AA7CFF">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AA7CFF" w:rsidRPr="00046E42" w14:paraId="59640DB3" w14:textId="77777777" w:rsidTr="00D50BE0">
        <w:tc>
          <w:tcPr>
            <w:tcW w:w="3260" w:type="dxa"/>
          </w:tcPr>
          <w:p w14:paraId="1882B89B" w14:textId="77777777" w:rsidR="00AA7CFF" w:rsidRPr="00046E42" w:rsidRDefault="00AA7CFF" w:rsidP="00D50BE0">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14:paraId="69F0E3E7" w14:textId="30C4DAB7" w:rsidR="00AA7CFF" w:rsidRPr="00046E42" w:rsidRDefault="000409E6" w:rsidP="00BF6671">
            <w:pPr>
              <w:spacing w:line="480" w:lineRule="auto"/>
              <w:rPr>
                <w:rFonts w:ascii="Arial" w:hAnsi="Arial" w:cs="Arial"/>
                <w:b/>
                <w:sz w:val="24"/>
                <w:szCs w:val="24"/>
              </w:rPr>
            </w:pPr>
            <w:r>
              <w:rPr>
                <w:rFonts w:ascii="Arial" w:hAnsi="Arial" w:cs="Arial"/>
                <w:b/>
                <w:sz w:val="24"/>
                <w:szCs w:val="24"/>
              </w:rPr>
              <w:t xml:space="preserve">Balanced Scorecard </w:t>
            </w:r>
            <w:proofErr w:type="spellStart"/>
            <w:r>
              <w:rPr>
                <w:rFonts w:ascii="Arial" w:hAnsi="Arial" w:cs="Arial"/>
                <w:b/>
                <w:sz w:val="24"/>
                <w:szCs w:val="24"/>
              </w:rPr>
              <w:t>Gradings</w:t>
            </w:r>
            <w:proofErr w:type="spellEnd"/>
            <w:r>
              <w:rPr>
                <w:rFonts w:ascii="Arial" w:hAnsi="Arial" w:cs="Arial"/>
                <w:b/>
                <w:sz w:val="24"/>
                <w:szCs w:val="24"/>
              </w:rPr>
              <w:t xml:space="preserve"> – 1</w:t>
            </w:r>
            <w:r w:rsidR="00BF6671">
              <w:rPr>
                <w:rFonts w:ascii="Arial" w:hAnsi="Arial" w:cs="Arial"/>
                <w:b/>
                <w:sz w:val="24"/>
                <w:szCs w:val="24"/>
              </w:rPr>
              <w:t>2</w:t>
            </w:r>
            <w:r w:rsidR="00BF6671" w:rsidRPr="00BF6671">
              <w:rPr>
                <w:rFonts w:ascii="Arial" w:hAnsi="Arial" w:cs="Arial"/>
                <w:b/>
                <w:sz w:val="24"/>
                <w:szCs w:val="24"/>
                <w:vertAlign w:val="superscript"/>
              </w:rPr>
              <w:t>th</w:t>
            </w:r>
            <w:r w:rsidR="00BF6671">
              <w:rPr>
                <w:rFonts w:ascii="Arial" w:hAnsi="Arial" w:cs="Arial"/>
                <w:b/>
                <w:sz w:val="24"/>
                <w:szCs w:val="24"/>
              </w:rPr>
              <w:t xml:space="preserve"> </w:t>
            </w:r>
            <w:r>
              <w:rPr>
                <w:rFonts w:ascii="Arial" w:hAnsi="Arial" w:cs="Arial"/>
                <w:b/>
                <w:sz w:val="24"/>
                <w:szCs w:val="24"/>
              </w:rPr>
              <w:t>Cycle</w:t>
            </w:r>
          </w:p>
        </w:tc>
      </w:tr>
      <w:tr w:rsidR="00AA7CFF" w:rsidRPr="00046E42" w14:paraId="5BABD948" w14:textId="77777777" w:rsidTr="00D50BE0">
        <w:tc>
          <w:tcPr>
            <w:tcW w:w="3260" w:type="dxa"/>
          </w:tcPr>
          <w:p w14:paraId="6E6E84BC" w14:textId="77777777" w:rsidR="00AA7CFF" w:rsidRPr="00046E42" w:rsidRDefault="00AA7CFF" w:rsidP="00D50BE0">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14:paraId="20E7120A" w14:textId="5375502C" w:rsidR="00AA7CFF" w:rsidRPr="00046E42" w:rsidRDefault="00FA2D63" w:rsidP="00D50BE0">
            <w:pPr>
              <w:spacing w:line="480" w:lineRule="auto"/>
              <w:rPr>
                <w:rFonts w:ascii="Arial" w:hAnsi="Arial" w:cs="Arial"/>
                <w:b/>
                <w:sz w:val="24"/>
                <w:szCs w:val="24"/>
              </w:rPr>
            </w:pPr>
            <w:r>
              <w:rPr>
                <w:rFonts w:ascii="Arial" w:hAnsi="Arial" w:cs="Arial"/>
                <w:b/>
                <w:color w:val="0070C0"/>
                <w:sz w:val="24"/>
                <w:szCs w:val="24"/>
              </w:rPr>
              <w:t>8</w:t>
            </w:r>
            <w:bookmarkStart w:id="0" w:name="_GoBack"/>
            <w:bookmarkEnd w:id="0"/>
            <w:r w:rsidR="002C17BD">
              <w:rPr>
                <w:rFonts w:ascii="Arial" w:hAnsi="Arial" w:cs="Arial"/>
                <w:b/>
                <w:color w:val="0070C0"/>
                <w:sz w:val="24"/>
                <w:szCs w:val="24"/>
              </w:rPr>
              <w:t>.0</w:t>
            </w:r>
          </w:p>
        </w:tc>
      </w:tr>
      <w:tr w:rsidR="00AA7CFF" w:rsidRPr="00046E42" w14:paraId="526F9963" w14:textId="77777777" w:rsidTr="00D50BE0">
        <w:tc>
          <w:tcPr>
            <w:tcW w:w="3260" w:type="dxa"/>
          </w:tcPr>
          <w:p w14:paraId="6ABB7C37" w14:textId="77777777" w:rsidR="00AA7CFF" w:rsidRPr="00046E42" w:rsidRDefault="00AA7CFF" w:rsidP="00D50BE0">
            <w:pPr>
              <w:spacing w:line="480" w:lineRule="auto"/>
              <w:rPr>
                <w:rFonts w:ascii="Arial" w:hAnsi="Arial" w:cs="Arial"/>
                <w:b/>
                <w:sz w:val="24"/>
                <w:szCs w:val="24"/>
              </w:rPr>
            </w:pPr>
            <w:r>
              <w:rPr>
                <w:rFonts w:ascii="Arial" w:hAnsi="Arial" w:cs="Arial"/>
                <w:b/>
                <w:sz w:val="24"/>
                <w:szCs w:val="24"/>
              </w:rPr>
              <w:t>Chief Officer</w:t>
            </w:r>
          </w:p>
        </w:tc>
        <w:tc>
          <w:tcPr>
            <w:tcW w:w="5103" w:type="dxa"/>
          </w:tcPr>
          <w:p w14:paraId="35993AC0" w14:textId="13EB7527" w:rsidR="00AA7CFF" w:rsidRPr="00046E42" w:rsidRDefault="000409E6" w:rsidP="00D50BE0">
            <w:pPr>
              <w:spacing w:line="480" w:lineRule="auto"/>
              <w:rPr>
                <w:rFonts w:ascii="Arial" w:hAnsi="Arial" w:cs="Arial"/>
                <w:b/>
                <w:sz w:val="24"/>
                <w:szCs w:val="24"/>
              </w:rPr>
            </w:pPr>
            <w:proofErr w:type="spellStart"/>
            <w:r w:rsidRPr="007E357D">
              <w:rPr>
                <w:rFonts w:ascii="Arial" w:hAnsi="Arial" w:cs="Arial"/>
                <w:b/>
                <w:color w:val="000000" w:themeColor="text1"/>
                <w:sz w:val="24"/>
                <w:szCs w:val="24"/>
              </w:rPr>
              <w:t>Dr.</w:t>
            </w:r>
            <w:proofErr w:type="spellEnd"/>
            <w:r w:rsidRPr="007E357D">
              <w:rPr>
                <w:rFonts w:ascii="Arial" w:hAnsi="Arial" w:cs="Arial"/>
                <w:b/>
                <w:color w:val="000000" w:themeColor="text1"/>
                <w:sz w:val="24"/>
                <w:szCs w:val="24"/>
              </w:rPr>
              <w:t xml:space="preserve"> Victoria Harrington</w:t>
            </w:r>
          </w:p>
        </w:tc>
      </w:tr>
      <w:tr w:rsidR="00AA7CFF" w:rsidRPr="00046E42" w14:paraId="7F457A0D" w14:textId="77777777" w:rsidTr="00D50BE0">
        <w:tc>
          <w:tcPr>
            <w:tcW w:w="3260" w:type="dxa"/>
          </w:tcPr>
          <w:p w14:paraId="1E5C494D" w14:textId="77777777" w:rsidR="00AA7CFF" w:rsidRDefault="00AA7CFF" w:rsidP="00D50BE0">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14:paraId="5574DCBF" w14:textId="408ECD1F" w:rsidR="00AA7CFF" w:rsidRPr="00046E42" w:rsidRDefault="00BF6671" w:rsidP="00BF6671">
            <w:pPr>
              <w:spacing w:line="480" w:lineRule="auto"/>
              <w:rPr>
                <w:rFonts w:ascii="Arial" w:hAnsi="Arial" w:cs="Arial"/>
                <w:b/>
                <w:sz w:val="24"/>
                <w:szCs w:val="24"/>
              </w:rPr>
            </w:pPr>
            <w:r>
              <w:rPr>
                <w:rFonts w:ascii="Arial" w:hAnsi="Arial" w:cs="Arial"/>
                <w:b/>
                <w:sz w:val="24"/>
                <w:szCs w:val="24"/>
              </w:rPr>
              <w:t>18 February 2019</w:t>
            </w:r>
          </w:p>
        </w:tc>
      </w:tr>
      <w:tr w:rsidR="00AA7CFF" w:rsidRPr="00046E42" w14:paraId="454A9E1A" w14:textId="77777777" w:rsidTr="00D50BE0">
        <w:tc>
          <w:tcPr>
            <w:tcW w:w="3260" w:type="dxa"/>
          </w:tcPr>
          <w:p w14:paraId="27684FCB" w14:textId="77777777" w:rsidR="00AA7CFF" w:rsidRDefault="00AA7CFF" w:rsidP="00D50BE0">
            <w:pPr>
              <w:spacing w:line="480" w:lineRule="auto"/>
              <w:rPr>
                <w:rFonts w:ascii="Arial" w:hAnsi="Arial" w:cs="Arial"/>
                <w:b/>
                <w:sz w:val="24"/>
                <w:szCs w:val="24"/>
              </w:rPr>
            </w:pPr>
            <w:r>
              <w:rPr>
                <w:rFonts w:ascii="Arial" w:hAnsi="Arial" w:cs="Arial"/>
                <w:b/>
                <w:sz w:val="24"/>
                <w:szCs w:val="24"/>
              </w:rPr>
              <w:t>Version Number</w:t>
            </w:r>
          </w:p>
        </w:tc>
        <w:tc>
          <w:tcPr>
            <w:tcW w:w="5103" w:type="dxa"/>
          </w:tcPr>
          <w:p w14:paraId="67C9D704" w14:textId="42D429BB" w:rsidR="00AA7CFF" w:rsidRPr="00046E42" w:rsidRDefault="00EB3307" w:rsidP="00D50BE0">
            <w:pPr>
              <w:spacing w:line="480" w:lineRule="auto"/>
              <w:rPr>
                <w:rFonts w:ascii="Arial" w:hAnsi="Arial" w:cs="Arial"/>
                <w:b/>
                <w:sz w:val="24"/>
                <w:szCs w:val="24"/>
              </w:rPr>
            </w:pPr>
            <w:r>
              <w:rPr>
                <w:rFonts w:ascii="Arial" w:hAnsi="Arial" w:cs="Arial"/>
                <w:b/>
                <w:sz w:val="24"/>
                <w:szCs w:val="24"/>
              </w:rPr>
              <w:t>1.1</w:t>
            </w:r>
            <w:r w:rsidR="000409E6">
              <w:rPr>
                <w:rFonts w:ascii="Arial" w:hAnsi="Arial" w:cs="Arial"/>
                <w:b/>
                <w:sz w:val="24"/>
                <w:szCs w:val="24"/>
              </w:rPr>
              <w:t>.</w:t>
            </w:r>
          </w:p>
        </w:tc>
      </w:tr>
      <w:tr w:rsidR="00AA7CFF" w:rsidRPr="00046E42" w14:paraId="7383B5D9" w14:textId="77777777" w:rsidTr="00D50BE0">
        <w:tc>
          <w:tcPr>
            <w:tcW w:w="3260" w:type="dxa"/>
          </w:tcPr>
          <w:p w14:paraId="5AA029A1" w14:textId="77777777" w:rsidR="00AA7CFF" w:rsidRPr="00046E42" w:rsidRDefault="00AA7CFF" w:rsidP="00D50BE0">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14:paraId="4D69EBB1" w14:textId="77777777" w:rsidR="00AA7CFF" w:rsidRPr="00046E42" w:rsidRDefault="00AA7CFF" w:rsidP="00D50BE0">
            <w:pPr>
              <w:spacing w:line="480" w:lineRule="auto"/>
              <w:rPr>
                <w:rFonts w:ascii="Arial" w:hAnsi="Arial" w:cs="Arial"/>
                <w:b/>
                <w:sz w:val="24"/>
                <w:szCs w:val="24"/>
              </w:rPr>
            </w:pPr>
            <w:r w:rsidRPr="00046E42">
              <w:rPr>
                <w:rFonts w:ascii="Arial" w:hAnsi="Arial" w:cs="Arial"/>
                <w:b/>
                <w:sz w:val="24"/>
                <w:szCs w:val="24"/>
              </w:rPr>
              <w:t>Essex Police</w:t>
            </w:r>
          </w:p>
        </w:tc>
      </w:tr>
      <w:tr w:rsidR="00AA7CFF" w:rsidRPr="00046E42" w14:paraId="26CEFDE7" w14:textId="77777777" w:rsidTr="00D50BE0">
        <w:tc>
          <w:tcPr>
            <w:tcW w:w="3260" w:type="dxa"/>
          </w:tcPr>
          <w:p w14:paraId="1EE429CA" w14:textId="77777777" w:rsidR="00AA7CFF" w:rsidRPr="00046E42" w:rsidRDefault="00AA7CFF" w:rsidP="00D50BE0">
            <w:pPr>
              <w:spacing w:line="480" w:lineRule="auto"/>
              <w:rPr>
                <w:rFonts w:ascii="Arial" w:hAnsi="Arial" w:cs="Arial"/>
                <w:b/>
                <w:sz w:val="24"/>
                <w:szCs w:val="24"/>
              </w:rPr>
            </w:pPr>
            <w:r w:rsidRPr="00046E42">
              <w:rPr>
                <w:rFonts w:ascii="Arial" w:hAnsi="Arial" w:cs="Arial"/>
                <w:b/>
                <w:sz w:val="24"/>
                <w:szCs w:val="24"/>
              </w:rPr>
              <w:t>Date of Meeting:</w:t>
            </w:r>
          </w:p>
        </w:tc>
        <w:tc>
          <w:tcPr>
            <w:tcW w:w="5103" w:type="dxa"/>
          </w:tcPr>
          <w:p w14:paraId="3223E9D9" w14:textId="34A2BFD1" w:rsidR="00AA7CFF" w:rsidRPr="00046E42" w:rsidRDefault="00BF6671" w:rsidP="00EB3307">
            <w:pPr>
              <w:spacing w:line="480" w:lineRule="auto"/>
              <w:rPr>
                <w:rFonts w:ascii="Arial" w:hAnsi="Arial" w:cs="Arial"/>
                <w:b/>
                <w:sz w:val="24"/>
                <w:szCs w:val="24"/>
              </w:rPr>
            </w:pPr>
            <w:r>
              <w:rPr>
                <w:rFonts w:ascii="Arial" w:hAnsi="Arial" w:cs="Arial"/>
                <w:b/>
                <w:sz w:val="24"/>
                <w:szCs w:val="24"/>
              </w:rPr>
              <w:t xml:space="preserve">28 </w:t>
            </w:r>
            <w:r w:rsidR="00EB3307">
              <w:rPr>
                <w:rFonts w:ascii="Arial" w:hAnsi="Arial" w:cs="Arial"/>
                <w:b/>
                <w:sz w:val="24"/>
                <w:szCs w:val="24"/>
              </w:rPr>
              <w:t>March</w:t>
            </w:r>
            <w:r>
              <w:rPr>
                <w:rFonts w:ascii="Arial" w:hAnsi="Arial" w:cs="Arial"/>
                <w:b/>
                <w:sz w:val="24"/>
                <w:szCs w:val="24"/>
              </w:rPr>
              <w:t xml:space="preserve"> 2019</w:t>
            </w:r>
          </w:p>
        </w:tc>
      </w:tr>
      <w:tr w:rsidR="00AA7CFF" w:rsidRPr="00046E42" w14:paraId="6BE68E58" w14:textId="77777777" w:rsidTr="00D50BE0">
        <w:tc>
          <w:tcPr>
            <w:tcW w:w="3260" w:type="dxa"/>
          </w:tcPr>
          <w:p w14:paraId="6DEF591D" w14:textId="77777777" w:rsidR="00AA7CFF" w:rsidRPr="00046E42" w:rsidRDefault="00AA7CFF" w:rsidP="00D50BE0">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Chief Officer:</w:t>
            </w:r>
          </w:p>
        </w:tc>
        <w:tc>
          <w:tcPr>
            <w:tcW w:w="5103" w:type="dxa"/>
          </w:tcPr>
          <w:p w14:paraId="123A9158" w14:textId="66331ED0" w:rsidR="00AA7CFF" w:rsidRPr="00046E42" w:rsidRDefault="000409E6" w:rsidP="00D50BE0">
            <w:pPr>
              <w:spacing w:line="360" w:lineRule="auto"/>
              <w:rPr>
                <w:rFonts w:ascii="Arial" w:hAnsi="Arial" w:cs="Arial"/>
                <w:b/>
                <w:sz w:val="24"/>
                <w:szCs w:val="24"/>
              </w:rPr>
            </w:pPr>
            <w:r w:rsidRPr="000409E6">
              <w:rPr>
                <w:rFonts w:ascii="Arial" w:hAnsi="Arial" w:cs="Arial"/>
                <w:b/>
                <w:sz w:val="24"/>
                <w:szCs w:val="24"/>
              </w:rPr>
              <w:t>Matt Robbins 42073495</w:t>
            </w:r>
          </w:p>
        </w:tc>
      </w:tr>
      <w:tr w:rsidR="000409E6" w:rsidRPr="000409E6" w14:paraId="1C2A17E5" w14:textId="77777777" w:rsidTr="00D50BE0">
        <w:tc>
          <w:tcPr>
            <w:tcW w:w="3260" w:type="dxa"/>
          </w:tcPr>
          <w:p w14:paraId="06EFBAB6" w14:textId="77777777" w:rsidR="00AA7CFF" w:rsidRPr="000409E6" w:rsidRDefault="00AA7CFF" w:rsidP="00D50BE0">
            <w:pPr>
              <w:spacing w:line="480" w:lineRule="auto"/>
              <w:rPr>
                <w:rFonts w:ascii="Arial" w:hAnsi="Arial" w:cs="Arial"/>
                <w:b/>
                <w:color w:val="000000" w:themeColor="text1"/>
                <w:sz w:val="24"/>
                <w:szCs w:val="24"/>
              </w:rPr>
            </w:pPr>
            <w:r w:rsidRPr="000409E6">
              <w:rPr>
                <w:rFonts w:ascii="Arial" w:hAnsi="Arial" w:cs="Arial"/>
                <w:b/>
                <w:color w:val="000000" w:themeColor="text1"/>
                <w:sz w:val="24"/>
                <w:szCs w:val="24"/>
              </w:rPr>
              <w:t>Date of Approval:</w:t>
            </w:r>
          </w:p>
        </w:tc>
        <w:tc>
          <w:tcPr>
            <w:tcW w:w="5103" w:type="dxa"/>
          </w:tcPr>
          <w:p w14:paraId="35DA8B98" w14:textId="68402737" w:rsidR="00AA7CFF" w:rsidRPr="000409E6" w:rsidRDefault="006F06CB" w:rsidP="00D50BE0">
            <w:pPr>
              <w:spacing w:line="480" w:lineRule="auto"/>
              <w:rPr>
                <w:rFonts w:ascii="Arial" w:hAnsi="Arial" w:cs="Arial"/>
                <w:b/>
                <w:color w:val="000000" w:themeColor="text1"/>
                <w:sz w:val="24"/>
                <w:szCs w:val="24"/>
              </w:rPr>
            </w:pPr>
            <w:r>
              <w:rPr>
                <w:rFonts w:ascii="Arial" w:hAnsi="Arial" w:cs="Arial"/>
                <w:b/>
                <w:color w:val="000000" w:themeColor="text1"/>
                <w:sz w:val="24"/>
                <w:szCs w:val="24"/>
              </w:rPr>
              <w:t>7</w:t>
            </w:r>
            <w:r>
              <w:rPr>
                <w:rFonts w:ascii="Arial" w:hAnsi="Arial" w:cs="Arial"/>
                <w:b/>
                <w:color w:val="000000" w:themeColor="text1"/>
                <w:sz w:val="24"/>
                <w:szCs w:val="24"/>
                <w:vertAlign w:val="superscript"/>
              </w:rPr>
              <w:t xml:space="preserve"> </w:t>
            </w:r>
            <w:r>
              <w:rPr>
                <w:rFonts w:ascii="Arial" w:hAnsi="Arial" w:cs="Arial"/>
                <w:b/>
                <w:color w:val="000000" w:themeColor="text1"/>
                <w:sz w:val="24"/>
                <w:szCs w:val="24"/>
              </w:rPr>
              <w:t>March 2019</w:t>
            </w:r>
          </w:p>
        </w:tc>
      </w:tr>
    </w:tbl>
    <w:p w14:paraId="15E35F38" w14:textId="77777777" w:rsidR="00AA7CFF" w:rsidRPr="000409E6" w:rsidRDefault="00AA7CFF" w:rsidP="00AA7CFF">
      <w:pPr>
        <w:spacing w:after="0" w:line="240" w:lineRule="auto"/>
        <w:ind w:left="709"/>
        <w:rPr>
          <w:rFonts w:ascii="Arial" w:hAnsi="Arial" w:cs="Arial"/>
          <w:b/>
          <w:color w:val="000000" w:themeColor="text1"/>
          <w:sz w:val="24"/>
          <w:szCs w:val="24"/>
        </w:rPr>
      </w:pPr>
    </w:p>
    <w:p w14:paraId="4EC8B591" w14:textId="77777777" w:rsidR="00AA7CFF" w:rsidRPr="000409E6" w:rsidRDefault="00AA7CFF" w:rsidP="00AA7CFF">
      <w:pPr>
        <w:pStyle w:val="NoSpacing"/>
        <w:numPr>
          <w:ilvl w:val="0"/>
          <w:numId w:val="8"/>
        </w:numPr>
        <w:rPr>
          <w:rFonts w:ascii="Arial" w:hAnsi="Arial" w:cs="Arial"/>
          <w:b/>
          <w:color w:val="000000" w:themeColor="text1"/>
          <w:sz w:val="24"/>
          <w:szCs w:val="24"/>
          <w:u w:val="single"/>
        </w:rPr>
      </w:pPr>
      <w:r w:rsidRPr="000409E6">
        <w:rPr>
          <w:rFonts w:ascii="Arial" w:hAnsi="Arial" w:cs="Arial"/>
          <w:b/>
          <w:color w:val="000000" w:themeColor="text1"/>
          <w:sz w:val="24"/>
          <w:szCs w:val="24"/>
          <w:u w:val="single"/>
        </w:rPr>
        <w:t>Purpose of Report</w:t>
      </w:r>
    </w:p>
    <w:p w14:paraId="04EA6DCC" w14:textId="77777777" w:rsidR="00AA7CFF" w:rsidRPr="000409E6" w:rsidRDefault="00AA7CFF" w:rsidP="00AA7CFF">
      <w:pPr>
        <w:pStyle w:val="NoSpacing"/>
        <w:ind w:left="720"/>
        <w:rPr>
          <w:rFonts w:ascii="Arial" w:hAnsi="Arial" w:cs="Arial"/>
          <w:b/>
          <w:color w:val="000000" w:themeColor="text1"/>
          <w:sz w:val="24"/>
          <w:szCs w:val="24"/>
          <w:u w:val="single"/>
        </w:rPr>
      </w:pPr>
    </w:p>
    <w:p w14:paraId="3082D0BA" w14:textId="73F12683" w:rsidR="00AA7CFF" w:rsidRPr="000409E6" w:rsidRDefault="00AA7CFF" w:rsidP="00AA7CFF">
      <w:pPr>
        <w:pStyle w:val="NoSpacing"/>
        <w:ind w:left="720"/>
        <w:rPr>
          <w:rFonts w:ascii="Arial" w:hAnsi="Arial" w:cs="Arial"/>
          <w:color w:val="000000" w:themeColor="text1"/>
          <w:sz w:val="24"/>
          <w:szCs w:val="24"/>
        </w:rPr>
      </w:pPr>
      <w:r w:rsidRPr="000409E6">
        <w:rPr>
          <w:rFonts w:ascii="Arial" w:hAnsi="Arial" w:cs="Arial"/>
          <w:color w:val="000000" w:themeColor="text1"/>
          <w:sz w:val="24"/>
          <w:szCs w:val="24"/>
        </w:rPr>
        <w:t xml:space="preserve">To provide a quarterly update on the final Balanced Scorecard </w:t>
      </w:r>
      <w:proofErr w:type="spellStart"/>
      <w:r w:rsidRPr="000409E6">
        <w:rPr>
          <w:rFonts w:ascii="Arial" w:hAnsi="Arial" w:cs="Arial"/>
          <w:color w:val="000000" w:themeColor="text1"/>
          <w:sz w:val="24"/>
          <w:szCs w:val="24"/>
        </w:rPr>
        <w:t>gradings</w:t>
      </w:r>
      <w:proofErr w:type="spellEnd"/>
      <w:r w:rsidRPr="000409E6">
        <w:rPr>
          <w:rFonts w:ascii="Arial" w:hAnsi="Arial" w:cs="Arial"/>
          <w:color w:val="000000" w:themeColor="text1"/>
          <w:sz w:val="24"/>
          <w:szCs w:val="24"/>
        </w:rPr>
        <w:t xml:space="preserve">, following </w:t>
      </w:r>
      <w:proofErr w:type="gramStart"/>
      <w:r w:rsidRPr="000409E6">
        <w:rPr>
          <w:rFonts w:ascii="Arial" w:hAnsi="Arial" w:cs="Arial"/>
          <w:color w:val="000000" w:themeColor="text1"/>
          <w:sz w:val="24"/>
          <w:szCs w:val="24"/>
        </w:rPr>
        <w:t>the</w:t>
      </w:r>
      <w:proofErr w:type="gramEnd"/>
      <w:r w:rsidRPr="000409E6">
        <w:rPr>
          <w:rFonts w:ascii="Arial" w:hAnsi="Arial" w:cs="Arial"/>
          <w:color w:val="000000" w:themeColor="text1"/>
          <w:sz w:val="24"/>
          <w:szCs w:val="24"/>
        </w:rPr>
        <w:t xml:space="preserve"> Essex Synergy and Performance Meeting, which was held on</w:t>
      </w:r>
      <w:r w:rsidR="00BF6671">
        <w:rPr>
          <w:rFonts w:ascii="Arial" w:hAnsi="Arial" w:cs="Arial"/>
          <w:color w:val="000000" w:themeColor="text1"/>
          <w:sz w:val="24"/>
          <w:szCs w:val="24"/>
        </w:rPr>
        <w:t xml:space="preserve"> Friday 25</w:t>
      </w:r>
      <w:r w:rsidR="00BF6671" w:rsidRPr="00BF6671">
        <w:rPr>
          <w:rFonts w:ascii="Arial" w:hAnsi="Arial" w:cs="Arial"/>
          <w:color w:val="000000" w:themeColor="text1"/>
          <w:sz w:val="24"/>
          <w:szCs w:val="24"/>
          <w:vertAlign w:val="superscript"/>
        </w:rPr>
        <w:t>th</w:t>
      </w:r>
      <w:r w:rsidR="00BF6671">
        <w:rPr>
          <w:rFonts w:ascii="Arial" w:hAnsi="Arial" w:cs="Arial"/>
          <w:color w:val="000000" w:themeColor="text1"/>
          <w:sz w:val="24"/>
          <w:szCs w:val="24"/>
        </w:rPr>
        <w:t xml:space="preserve"> January 2019</w:t>
      </w:r>
      <w:r w:rsidRPr="000409E6">
        <w:rPr>
          <w:rFonts w:ascii="Arial" w:hAnsi="Arial" w:cs="Arial"/>
          <w:color w:val="000000" w:themeColor="text1"/>
          <w:sz w:val="24"/>
          <w:szCs w:val="24"/>
        </w:rPr>
        <w:t xml:space="preserve">.  This report discusses the </w:t>
      </w:r>
      <w:r w:rsidR="0080401A">
        <w:rPr>
          <w:rFonts w:ascii="Arial" w:hAnsi="Arial" w:cs="Arial"/>
          <w:color w:val="000000" w:themeColor="text1"/>
          <w:sz w:val="24"/>
          <w:szCs w:val="24"/>
        </w:rPr>
        <w:t>1</w:t>
      </w:r>
      <w:r w:rsidR="00BF6671">
        <w:rPr>
          <w:rFonts w:ascii="Arial" w:hAnsi="Arial" w:cs="Arial"/>
          <w:color w:val="000000" w:themeColor="text1"/>
          <w:sz w:val="24"/>
          <w:szCs w:val="24"/>
        </w:rPr>
        <w:t>2</w:t>
      </w:r>
      <w:r w:rsidR="00BF6671" w:rsidRPr="00BF6671">
        <w:rPr>
          <w:rFonts w:ascii="Arial" w:hAnsi="Arial" w:cs="Arial"/>
          <w:color w:val="000000" w:themeColor="text1"/>
          <w:sz w:val="24"/>
          <w:szCs w:val="24"/>
          <w:vertAlign w:val="superscript"/>
        </w:rPr>
        <w:t>th</w:t>
      </w:r>
      <w:r w:rsidR="00BF6671">
        <w:rPr>
          <w:rFonts w:ascii="Arial" w:hAnsi="Arial" w:cs="Arial"/>
          <w:color w:val="000000" w:themeColor="text1"/>
          <w:sz w:val="24"/>
          <w:szCs w:val="24"/>
        </w:rPr>
        <w:t xml:space="preserve"> </w:t>
      </w:r>
      <w:r w:rsidRPr="000409E6">
        <w:rPr>
          <w:rFonts w:ascii="Arial" w:hAnsi="Arial" w:cs="Arial"/>
          <w:color w:val="000000" w:themeColor="text1"/>
          <w:sz w:val="24"/>
          <w:szCs w:val="24"/>
        </w:rPr>
        <w:t>cycle.</w:t>
      </w:r>
    </w:p>
    <w:p w14:paraId="258E2A17" w14:textId="77777777" w:rsidR="00AA7CFF" w:rsidRPr="000409E6" w:rsidRDefault="00AA7CFF" w:rsidP="00AA7CFF">
      <w:pPr>
        <w:pStyle w:val="NoSpacing"/>
        <w:ind w:left="720"/>
        <w:rPr>
          <w:rFonts w:ascii="Arial" w:hAnsi="Arial" w:cs="Arial"/>
          <w:color w:val="000000" w:themeColor="text1"/>
          <w:sz w:val="24"/>
          <w:szCs w:val="24"/>
        </w:rPr>
      </w:pPr>
    </w:p>
    <w:p w14:paraId="59F188E0" w14:textId="77777777" w:rsidR="00AA7CFF" w:rsidRPr="000409E6" w:rsidRDefault="00AA7CFF" w:rsidP="00AA7CFF">
      <w:pPr>
        <w:pStyle w:val="NoSpacing"/>
        <w:numPr>
          <w:ilvl w:val="0"/>
          <w:numId w:val="8"/>
        </w:numPr>
        <w:rPr>
          <w:rFonts w:ascii="Arial" w:hAnsi="Arial" w:cs="Arial"/>
          <w:b/>
          <w:color w:val="000000" w:themeColor="text1"/>
          <w:sz w:val="24"/>
          <w:szCs w:val="24"/>
          <w:u w:val="single"/>
        </w:rPr>
      </w:pPr>
      <w:r w:rsidRPr="000409E6">
        <w:rPr>
          <w:rFonts w:ascii="Arial" w:hAnsi="Arial" w:cs="Arial"/>
          <w:b/>
          <w:color w:val="000000" w:themeColor="text1"/>
          <w:sz w:val="24"/>
          <w:szCs w:val="24"/>
          <w:u w:val="single"/>
        </w:rPr>
        <w:t>Recommendations</w:t>
      </w:r>
    </w:p>
    <w:p w14:paraId="221CCF05" w14:textId="77777777" w:rsidR="00AA7CFF" w:rsidRPr="000409E6" w:rsidRDefault="00AA7CFF" w:rsidP="00AA7CFF">
      <w:pPr>
        <w:pStyle w:val="NoSpacing"/>
        <w:ind w:left="720"/>
        <w:rPr>
          <w:rFonts w:ascii="Arial" w:hAnsi="Arial" w:cs="Arial"/>
          <w:b/>
          <w:color w:val="000000" w:themeColor="text1"/>
          <w:sz w:val="24"/>
          <w:szCs w:val="24"/>
          <w:u w:val="single"/>
        </w:rPr>
      </w:pPr>
    </w:p>
    <w:p w14:paraId="463EBDE5" w14:textId="77777777" w:rsidR="00AA7CFF" w:rsidRPr="006C3C34" w:rsidRDefault="00AA7CFF" w:rsidP="00AA7CFF">
      <w:pPr>
        <w:pStyle w:val="NoSpacing"/>
        <w:ind w:left="720"/>
        <w:rPr>
          <w:rFonts w:ascii="Arial" w:hAnsi="Arial" w:cs="Arial"/>
          <w:color w:val="000000" w:themeColor="text1"/>
          <w:sz w:val="24"/>
          <w:szCs w:val="24"/>
        </w:rPr>
      </w:pPr>
      <w:r w:rsidRPr="006C3C34">
        <w:rPr>
          <w:rFonts w:ascii="Arial" w:hAnsi="Arial" w:cs="Arial"/>
          <w:color w:val="000000" w:themeColor="text1"/>
          <w:sz w:val="24"/>
          <w:szCs w:val="24"/>
        </w:rPr>
        <w:t>There are no recommendations.  This report is for the board to note.</w:t>
      </w:r>
    </w:p>
    <w:p w14:paraId="7007D42D" w14:textId="77777777" w:rsidR="00AA7CFF" w:rsidRPr="006C3C34" w:rsidRDefault="00AA7CFF" w:rsidP="00AA7CFF">
      <w:pPr>
        <w:pStyle w:val="NoSpacing"/>
        <w:ind w:left="720"/>
        <w:rPr>
          <w:rFonts w:ascii="Arial" w:hAnsi="Arial" w:cs="Arial"/>
          <w:color w:val="000000" w:themeColor="text1"/>
          <w:sz w:val="24"/>
          <w:szCs w:val="24"/>
        </w:rPr>
      </w:pPr>
    </w:p>
    <w:p w14:paraId="7763C851" w14:textId="77777777" w:rsidR="00AA7CFF" w:rsidRPr="006C3C34" w:rsidRDefault="00AA7CFF" w:rsidP="00AA7CFF">
      <w:pPr>
        <w:pStyle w:val="NoSpacing"/>
        <w:numPr>
          <w:ilvl w:val="0"/>
          <w:numId w:val="8"/>
        </w:numPr>
        <w:rPr>
          <w:rFonts w:ascii="Arial" w:hAnsi="Arial" w:cs="Arial"/>
          <w:b/>
          <w:color w:val="000000" w:themeColor="text1"/>
          <w:sz w:val="24"/>
          <w:szCs w:val="24"/>
          <w:u w:val="single"/>
        </w:rPr>
      </w:pPr>
      <w:r w:rsidRPr="006C3C34">
        <w:rPr>
          <w:rFonts w:ascii="Arial" w:hAnsi="Arial" w:cs="Arial"/>
          <w:b/>
          <w:color w:val="000000" w:themeColor="text1"/>
          <w:sz w:val="24"/>
          <w:szCs w:val="24"/>
          <w:u w:val="single"/>
        </w:rPr>
        <w:t>Executive Summary</w:t>
      </w:r>
    </w:p>
    <w:p w14:paraId="4A08C2F0" w14:textId="77777777" w:rsidR="00AA7CFF" w:rsidRPr="006C3C34" w:rsidRDefault="00AA7CFF" w:rsidP="00AA7CFF">
      <w:pPr>
        <w:pStyle w:val="NoSpacing"/>
        <w:ind w:left="720"/>
        <w:rPr>
          <w:rFonts w:ascii="Arial" w:hAnsi="Arial" w:cs="Arial"/>
          <w:b/>
          <w:color w:val="000000" w:themeColor="text1"/>
          <w:sz w:val="24"/>
          <w:szCs w:val="24"/>
          <w:u w:val="single"/>
        </w:rPr>
      </w:pPr>
    </w:p>
    <w:p w14:paraId="7EF1149F" w14:textId="6F6467F3" w:rsidR="006C3C34" w:rsidRPr="006C3C34" w:rsidRDefault="006C3C34" w:rsidP="006C3C34">
      <w:pPr>
        <w:pStyle w:val="NoSpacing"/>
        <w:ind w:left="720"/>
        <w:rPr>
          <w:rFonts w:ascii="Arial" w:hAnsi="Arial" w:cs="Arial"/>
          <w:color w:val="000000" w:themeColor="text1"/>
          <w:sz w:val="24"/>
          <w:szCs w:val="24"/>
        </w:rPr>
      </w:pPr>
      <w:r w:rsidRPr="006C3C34">
        <w:rPr>
          <w:rFonts w:ascii="Arial" w:hAnsi="Arial" w:cs="Arial"/>
          <w:color w:val="000000" w:themeColor="text1"/>
          <w:sz w:val="24"/>
          <w:szCs w:val="24"/>
        </w:rPr>
        <w:t xml:space="preserve">There were </w:t>
      </w:r>
      <w:r w:rsidR="00BF6671">
        <w:rPr>
          <w:rFonts w:ascii="Arial" w:hAnsi="Arial" w:cs="Arial"/>
          <w:color w:val="000000" w:themeColor="text1"/>
          <w:sz w:val="24"/>
          <w:szCs w:val="24"/>
        </w:rPr>
        <w:t xml:space="preserve">three changes in cycle 12 compared to cycle 11 (all </w:t>
      </w:r>
      <w:r w:rsidR="00073F7E">
        <w:rPr>
          <w:rFonts w:ascii="Arial" w:hAnsi="Arial" w:cs="Arial"/>
          <w:color w:val="000000" w:themeColor="text1"/>
          <w:sz w:val="24"/>
          <w:szCs w:val="24"/>
        </w:rPr>
        <w:t xml:space="preserve">a deterioration from </w:t>
      </w:r>
      <w:r w:rsidR="00BF6671" w:rsidRPr="00073F7E">
        <w:rPr>
          <w:rFonts w:ascii="Arial" w:hAnsi="Arial" w:cs="Arial"/>
          <w:color w:val="000000" w:themeColor="text1"/>
          <w:sz w:val="24"/>
          <w:szCs w:val="24"/>
        </w:rPr>
        <w:t>Good t</w:t>
      </w:r>
      <w:r w:rsidR="00BF6671">
        <w:rPr>
          <w:rFonts w:ascii="Arial" w:hAnsi="Arial" w:cs="Arial"/>
          <w:color w:val="000000" w:themeColor="text1"/>
          <w:sz w:val="24"/>
          <w:szCs w:val="24"/>
        </w:rPr>
        <w:t xml:space="preserve">o </w:t>
      </w:r>
      <w:r w:rsidR="00BF6671" w:rsidRPr="00BF6671">
        <w:rPr>
          <w:rFonts w:ascii="Arial" w:hAnsi="Arial" w:cs="Arial"/>
          <w:color w:val="FF0000"/>
          <w:sz w:val="24"/>
          <w:szCs w:val="24"/>
        </w:rPr>
        <w:t>Requires Improvement</w:t>
      </w:r>
      <w:r w:rsidR="00BF6671">
        <w:rPr>
          <w:rFonts w:ascii="Arial" w:hAnsi="Arial" w:cs="Arial"/>
          <w:color w:val="000000" w:themeColor="text1"/>
          <w:sz w:val="24"/>
          <w:szCs w:val="24"/>
        </w:rPr>
        <w:t>)</w:t>
      </w:r>
      <w:r w:rsidRPr="006C3C34">
        <w:rPr>
          <w:rFonts w:ascii="Arial" w:hAnsi="Arial" w:cs="Arial"/>
          <w:color w:val="000000" w:themeColor="text1"/>
          <w:sz w:val="24"/>
          <w:szCs w:val="24"/>
        </w:rPr>
        <w:t>:</w:t>
      </w:r>
    </w:p>
    <w:p w14:paraId="01B11439" w14:textId="1E18EA62" w:rsidR="00BF6671" w:rsidRDefault="006C3C34" w:rsidP="00BF6671">
      <w:pPr>
        <w:pStyle w:val="NoSpacing"/>
        <w:numPr>
          <w:ilvl w:val="0"/>
          <w:numId w:val="14"/>
        </w:numPr>
        <w:rPr>
          <w:rFonts w:ascii="Arial" w:hAnsi="Arial" w:cs="Arial"/>
          <w:color w:val="000000" w:themeColor="text1"/>
          <w:sz w:val="24"/>
          <w:szCs w:val="24"/>
        </w:rPr>
      </w:pPr>
      <w:r w:rsidRPr="00953FB4">
        <w:rPr>
          <w:rFonts w:ascii="Arial" w:hAnsi="Arial" w:cs="Arial"/>
          <w:color w:val="000000" w:themeColor="text1"/>
          <w:sz w:val="24"/>
          <w:szCs w:val="24"/>
        </w:rPr>
        <w:t>Keeping People Safe</w:t>
      </w:r>
    </w:p>
    <w:p w14:paraId="3CE46680" w14:textId="49EDE1F8" w:rsidR="00BF6671" w:rsidRDefault="00BF6671" w:rsidP="00BF6671">
      <w:pPr>
        <w:pStyle w:val="NoSpacing"/>
        <w:numPr>
          <w:ilvl w:val="0"/>
          <w:numId w:val="14"/>
        </w:numPr>
        <w:rPr>
          <w:rFonts w:ascii="Arial" w:hAnsi="Arial" w:cs="Arial"/>
          <w:color w:val="000000" w:themeColor="text1"/>
          <w:sz w:val="24"/>
          <w:szCs w:val="24"/>
        </w:rPr>
      </w:pPr>
      <w:r>
        <w:rPr>
          <w:rFonts w:ascii="Arial" w:hAnsi="Arial" w:cs="Arial"/>
          <w:color w:val="000000" w:themeColor="text1"/>
          <w:sz w:val="24"/>
          <w:szCs w:val="24"/>
        </w:rPr>
        <w:t>Gangs</w:t>
      </w:r>
    </w:p>
    <w:p w14:paraId="3DC2DB9A" w14:textId="26EFBED0" w:rsidR="006C3C34" w:rsidRPr="00BF6671" w:rsidRDefault="00BF6671" w:rsidP="0040511F">
      <w:pPr>
        <w:pStyle w:val="NoSpacing"/>
        <w:numPr>
          <w:ilvl w:val="0"/>
          <w:numId w:val="14"/>
        </w:numPr>
        <w:rPr>
          <w:rFonts w:ascii="Arial" w:hAnsi="Arial" w:cs="Arial"/>
          <w:color w:val="000000" w:themeColor="text1"/>
          <w:sz w:val="24"/>
          <w:szCs w:val="24"/>
        </w:rPr>
      </w:pPr>
      <w:r w:rsidRPr="00BF6671">
        <w:rPr>
          <w:rFonts w:ascii="Arial" w:hAnsi="Arial" w:cs="Arial"/>
          <w:color w:val="000000" w:themeColor="text1"/>
          <w:sz w:val="24"/>
          <w:szCs w:val="24"/>
        </w:rPr>
        <w:t>Digital Crime</w:t>
      </w:r>
    </w:p>
    <w:p w14:paraId="2164E34D" w14:textId="77777777" w:rsidR="006C3C34" w:rsidRDefault="006C3C34" w:rsidP="00AA7CFF">
      <w:pPr>
        <w:pStyle w:val="NoSpacing"/>
        <w:ind w:left="720"/>
        <w:rPr>
          <w:rFonts w:ascii="Arial" w:hAnsi="Arial" w:cs="Arial"/>
          <w:color w:val="FF0000"/>
          <w:sz w:val="24"/>
          <w:szCs w:val="24"/>
        </w:rPr>
      </w:pPr>
    </w:p>
    <w:p w14:paraId="15521FCE" w14:textId="0DBEC105" w:rsidR="006C3C34" w:rsidRPr="006C3C34" w:rsidRDefault="006C3C34" w:rsidP="006C3C34">
      <w:pPr>
        <w:pStyle w:val="NoSpacing"/>
        <w:ind w:left="720"/>
        <w:rPr>
          <w:rFonts w:ascii="Arial" w:hAnsi="Arial" w:cs="Arial"/>
          <w:color w:val="000000" w:themeColor="text1"/>
          <w:sz w:val="24"/>
          <w:szCs w:val="24"/>
        </w:rPr>
      </w:pPr>
      <w:r w:rsidRPr="006C3C34">
        <w:rPr>
          <w:rFonts w:ascii="Arial" w:hAnsi="Arial" w:cs="Arial"/>
          <w:color w:val="000000" w:themeColor="text1"/>
          <w:sz w:val="24"/>
          <w:szCs w:val="24"/>
        </w:rPr>
        <w:t>The following areas are</w:t>
      </w:r>
      <w:r w:rsidR="00FE4F69">
        <w:rPr>
          <w:rFonts w:ascii="Arial" w:hAnsi="Arial" w:cs="Arial"/>
          <w:color w:val="000000" w:themeColor="text1"/>
          <w:sz w:val="24"/>
          <w:szCs w:val="24"/>
        </w:rPr>
        <w:t xml:space="preserve"> currently graded</w:t>
      </w:r>
      <w:r w:rsidRPr="006C3C34">
        <w:rPr>
          <w:rFonts w:ascii="Arial" w:hAnsi="Arial" w:cs="Arial"/>
          <w:color w:val="000000" w:themeColor="text1"/>
          <w:sz w:val="24"/>
          <w:szCs w:val="24"/>
        </w:rPr>
        <w:t xml:space="preserve"> at </w:t>
      </w:r>
      <w:r w:rsidRPr="006C3C34">
        <w:rPr>
          <w:rFonts w:ascii="Arial" w:hAnsi="Arial" w:cs="Arial"/>
          <w:color w:val="FF0000"/>
          <w:sz w:val="24"/>
          <w:szCs w:val="24"/>
        </w:rPr>
        <w:t>Requires Improvement</w:t>
      </w:r>
      <w:r w:rsidRPr="006C3C34">
        <w:rPr>
          <w:rFonts w:ascii="Arial" w:hAnsi="Arial" w:cs="Arial"/>
          <w:color w:val="000000" w:themeColor="text1"/>
          <w:sz w:val="24"/>
          <w:szCs w:val="24"/>
        </w:rPr>
        <w:t>:</w:t>
      </w:r>
    </w:p>
    <w:p w14:paraId="753F53FB" w14:textId="77777777" w:rsidR="00BF6671" w:rsidRPr="00BF6671" w:rsidRDefault="00BF6671" w:rsidP="00BF6671">
      <w:pPr>
        <w:pStyle w:val="NoSpacing"/>
        <w:numPr>
          <w:ilvl w:val="0"/>
          <w:numId w:val="17"/>
        </w:numPr>
        <w:rPr>
          <w:rFonts w:ascii="Arial" w:hAnsi="Arial" w:cs="Arial"/>
          <w:color w:val="000000" w:themeColor="text1"/>
          <w:sz w:val="24"/>
          <w:szCs w:val="24"/>
        </w:rPr>
      </w:pPr>
      <w:r w:rsidRPr="00BF6671">
        <w:rPr>
          <w:rFonts w:ascii="Arial" w:hAnsi="Arial" w:cs="Arial"/>
          <w:color w:val="000000" w:themeColor="text1"/>
          <w:sz w:val="24"/>
          <w:szCs w:val="24"/>
        </w:rPr>
        <w:t>Keeping People Safe</w:t>
      </w:r>
    </w:p>
    <w:p w14:paraId="1985B002" w14:textId="6601C1A1" w:rsidR="00BF6671" w:rsidRPr="00BF6671" w:rsidRDefault="00BF6671" w:rsidP="00BF6671">
      <w:pPr>
        <w:pStyle w:val="NoSpacing"/>
        <w:numPr>
          <w:ilvl w:val="0"/>
          <w:numId w:val="17"/>
        </w:numPr>
        <w:rPr>
          <w:rFonts w:ascii="Arial" w:hAnsi="Arial" w:cs="Arial"/>
          <w:color w:val="000000" w:themeColor="text1"/>
          <w:sz w:val="24"/>
          <w:szCs w:val="24"/>
        </w:rPr>
      </w:pPr>
      <w:r w:rsidRPr="00BF6671">
        <w:rPr>
          <w:rFonts w:ascii="Arial" w:hAnsi="Arial" w:cs="Arial"/>
          <w:color w:val="000000" w:themeColor="text1"/>
          <w:sz w:val="24"/>
          <w:szCs w:val="24"/>
        </w:rPr>
        <w:t>C</w:t>
      </w:r>
      <w:r>
        <w:rPr>
          <w:rFonts w:ascii="Arial" w:hAnsi="Arial" w:cs="Arial"/>
          <w:color w:val="000000" w:themeColor="text1"/>
          <w:sz w:val="24"/>
          <w:szCs w:val="24"/>
        </w:rPr>
        <w:t>hild Abuse/Child Sexual Exploitation</w:t>
      </w:r>
    </w:p>
    <w:p w14:paraId="38BDFEE4" w14:textId="77777777" w:rsidR="00BF6671" w:rsidRPr="00BF6671" w:rsidRDefault="00BF6671" w:rsidP="00BF6671">
      <w:pPr>
        <w:pStyle w:val="NoSpacing"/>
        <w:numPr>
          <w:ilvl w:val="0"/>
          <w:numId w:val="17"/>
        </w:numPr>
        <w:rPr>
          <w:rFonts w:ascii="Arial" w:hAnsi="Arial" w:cs="Arial"/>
          <w:color w:val="000000" w:themeColor="text1"/>
          <w:sz w:val="24"/>
          <w:szCs w:val="24"/>
        </w:rPr>
      </w:pPr>
      <w:r w:rsidRPr="00BF6671">
        <w:rPr>
          <w:rFonts w:ascii="Arial" w:hAnsi="Arial" w:cs="Arial"/>
          <w:color w:val="000000" w:themeColor="text1"/>
          <w:sz w:val="24"/>
          <w:szCs w:val="24"/>
        </w:rPr>
        <w:t>Domestic Abuse</w:t>
      </w:r>
    </w:p>
    <w:p w14:paraId="6BE83336" w14:textId="77777777" w:rsidR="00BF6671" w:rsidRPr="00BF6671" w:rsidRDefault="00BF6671" w:rsidP="00BF6671">
      <w:pPr>
        <w:pStyle w:val="NoSpacing"/>
        <w:numPr>
          <w:ilvl w:val="0"/>
          <w:numId w:val="17"/>
        </w:numPr>
        <w:rPr>
          <w:rFonts w:ascii="Arial" w:hAnsi="Arial" w:cs="Arial"/>
          <w:color w:val="000000" w:themeColor="text1"/>
          <w:sz w:val="24"/>
          <w:szCs w:val="24"/>
        </w:rPr>
      </w:pPr>
      <w:r w:rsidRPr="00BF6671">
        <w:rPr>
          <w:rFonts w:ascii="Arial" w:hAnsi="Arial" w:cs="Arial"/>
          <w:color w:val="000000" w:themeColor="text1"/>
          <w:sz w:val="24"/>
          <w:szCs w:val="24"/>
        </w:rPr>
        <w:t>Gangs</w:t>
      </w:r>
    </w:p>
    <w:p w14:paraId="46019C46" w14:textId="77777777" w:rsidR="00BF6671" w:rsidRPr="00BF6671" w:rsidRDefault="00BF6671" w:rsidP="00BF6671">
      <w:pPr>
        <w:pStyle w:val="NoSpacing"/>
        <w:numPr>
          <w:ilvl w:val="0"/>
          <w:numId w:val="17"/>
        </w:numPr>
        <w:rPr>
          <w:rFonts w:ascii="Arial" w:hAnsi="Arial" w:cs="Arial"/>
          <w:color w:val="000000" w:themeColor="text1"/>
          <w:sz w:val="24"/>
          <w:szCs w:val="24"/>
        </w:rPr>
      </w:pPr>
      <w:r w:rsidRPr="00BF6671">
        <w:rPr>
          <w:rFonts w:ascii="Arial" w:hAnsi="Arial" w:cs="Arial"/>
          <w:color w:val="000000" w:themeColor="text1"/>
          <w:sz w:val="24"/>
          <w:szCs w:val="24"/>
        </w:rPr>
        <w:t>Violence with Injury</w:t>
      </w:r>
    </w:p>
    <w:p w14:paraId="46D4F46F" w14:textId="77777777" w:rsidR="00BF6671" w:rsidRPr="00BF6671" w:rsidRDefault="00BF6671" w:rsidP="00BF6671">
      <w:pPr>
        <w:pStyle w:val="NoSpacing"/>
        <w:numPr>
          <w:ilvl w:val="0"/>
          <w:numId w:val="17"/>
        </w:numPr>
        <w:rPr>
          <w:rFonts w:ascii="Arial" w:hAnsi="Arial" w:cs="Arial"/>
          <w:color w:val="000000" w:themeColor="text1"/>
          <w:sz w:val="24"/>
          <w:szCs w:val="24"/>
        </w:rPr>
      </w:pPr>
      <w:r w:rsidRPr="00BF6671">
        <w:rPr>
          <w:rFonts w:ascii="Arial" w:hAnsi="Arial" w:cs="Arial"/>
          <w:color w:val="000000" w:themeColor="text1"/>
          <w:sz w:val="24"/>
          <w:szCs w:val="24"/>
        </w:rPr>
        <w:lastRenderedPageBreak/>
        <w:t>Modern Slavery</w:t>
      </w:r>
    </w:p>
    <w:p w14:paraId="72B21958" w14:textId="77777777" w:rsidR="00BF6671" w:rsidRPr="00BF6671" w:rsidRDefault="00BF6671" w:rsidP="00BF6671">
      <w:pPr>
        <w:pStyle w:val="NoSpacing"/>
        <w:numPr>
          <w:ilvl w:val="0"/>
          <w:numId w:val="17"/>
        </w:numPr>
        <w:rPr>
          <w:rFonts w:ascii="Arial" w:hAnsi="Arial" w:cs="Arial"/>
          <w:color w:val="000000" w:themeColor="text1"/>
          <w:sz w:val="24"/>
          <w:szCs w:val="24"/>
        </w:rPr>
      </w:pPr>
      <w:r w:rsidRPr="00BF6671">
        <w:rPr>
          <w:rFonts w:ascii="Arial" w:hAnsi="Arial" w:cs="Arial"/>
          <w:color w:val="000000" w:themeColor="text1"/>
          <w:sz w:val="24"/>
          <w:szCs w:val="24"/>
        </w:rPr>
        <w:t>Digital</w:t>
      </w:r>
    </w:p>
    <w:p w14:paraId="358328B3" w14:textId="77777777" w:rsidR="00BF6671" w:rsidRPr="00BF6671" w:rsidRDefault="00BF6671" w:rsidP="00BF6671">
      <w:pPr>
        <w:pStyle w:val="NoSpacing"/>
        <w:numPr>
          <w:ilvl w:val="0"/>
          <w:numId w:val="17"/>
        </w:numPr>
        <w:rPr>
          <w:rFonts w:ascii="Arial" w:hAnsi="Arial" w:cs="Arial"/>
          <w:color w:val="000000" w:themeColor="text1"/>
          <w:sz w:val="24"/>
          <w:szCs w:val="24"/>
        </w:rPr>
      </w:pPr>
      <w:r w:rsidRPr="00BF6671">
        <w:rPr>
          <w:rFonts w:ascii="Arial" w:hAnsi="Arial" w:cs="Arial"/>
          <w:color w:val="000000" w:themeColor="text1"/>
          <w:sz w:val="24"/>
          <w:szCs w:val="24"/>
        </w:rPr>
        <w:t>Community Focussed</w:t>
      </w:r>
    </w:p>
    <w:p w14:paraId="62ED7FEF" w14:textId="77777777" w:rsidR="006C3C34" w:rsidRPr="006C3C34" w:rsidRDefault="006C3C34" w:rsidP="006C3C34">
      <w:pPr>
        <w:pStyle w:val="NoSpacing"/>
        <w:ind w:left="720"/>
        <w:rPr>
          <w:rFonts w:ascii="Arial" w:hAnsi="Arial" w:cs="Arial"/>
          <w:color w:val="000000" w:themeColor="text1"/>
          <w:sz w:val="24"/>
          <w:szCs w:val="24"/>
        </w:rPr>
      </w:pPr>
    </w:p>
    <w:p w14:paraId="3B0CE925" w14:textId="5749B0B6" w:rsidR="00AA7CFF" w:rsidRPr="006C3C34" w:rsidRDefault="006C3C34" w:rsidP="006C3C34">
      <w:pPr>
        <w:pStyle w:val="NoSpacing"/>
        <w:ind w:left="720"/>
        <w:rPr>
          <w:rFonts w:ascii="Arial" w:hAnsi="Arial" w:cs="Arial"/>
          <w:color w:val="000000" w:themeColor="text1"/>
          <w:sz w:val="24"/>
          <w:szCs w:val="24"/>
        </w:rPr>
      </w:pPr>
      <w:r w:rsidRPr="006C3C34">
        <w:rPr>
          <w:rFonts w:ascii="Arial" w:hAnsi="Arial" w:cs="Arial"/>
          <w:color w:val="000000" w:themeColor="text1"/>
          <w:sz w:val="24"/>
          <w:szCs w:val="24"/>
        </w:rPr>
        <w:t xml:space="preserve">One area graded as </w:t>
      </w:r>
      <w:r w:rsidRPr="006C3C34">
        <w:rPr>
          <w:rFonts w:ascii="Arial" w:hAnsi="Arial" w:cs="Arial"/>
          <w:color w:val="0070C0"/>
          <w:sz w:val="24"/>
          <w:szCs w:val="24"/>
        </w:rPr>
        <w:t>Outstanding</w:t>
      </w:r>
      <w:r w:rsidRPr="006C3C34">
        <w:rPr>
          <w:rFonts w:ascii="Arial" w:hAnsi="Arial" w:cs="Arial"/>
          <w:color w:val="000000" w:themeColor="text1"/>
          <w:sz w:val="24"/>
          <w:szCs w:val="24"/>
        </w:rPr>
        <w:t xml:space="preserve"> (</w:t>
      </w:r>
      <w:r w:rsidRPr="00953FB4">
        <w:rPr>
          <w:rFonts w:ascii="Arial" w:hAnsi="Arial" w:cs="Arial"/>
          <w:color w:val="000000" w:themeColor="text1"/>
          <w:sz w:val="24"/>
          <w:szCs w:val="24"/>
        </w:rPr>
        <w:t>Innovation</w:t>
      </w:r>
      <w:r w:rsidRPr="006C3C34">
        <w:rPr>
          <w:rFonts w:ascii="Arial" w:hAnsi="Arial" w:cs="Arial"/>
          <w:color w:val="000000" w:themeColor="text1"/>
          <w:sz w:val="24"/>
          <w:szCs w:val="24"/>
        </w:rPr>
        <w:t>).</w:t>
      </w:r>
      <w:r w:rsidR="00FE4F69">
        <w:rPr>
          <w:rFonts w:ascii="Arial" w:hAnsi="Arial" w:cs="Arial"/>
          <w:color w:val="000000" w:themeColor="text1"/>
          <w:sz w:val="24"/>
          <w:szCs w:val="24"/>
        </w:rPr>
        <w:t xml:space="preserve">  All other areas are graded as </w:t>
      </w:r>
      <w:r w:rsidR="00FE4F69" w:rsidRPr="00073F7E">
        <w:rPr>
          <w:rFonts w:ascii="Arial" w:hAnsi="Arial" w:cs="Arial"/>
          <w:color w:val="00B050"/>
          <w:sz w:val="24"/>
          <w:szCs w:val="24"/>
        </w:rPr>
        <w:t>Good</w:t>
      </w:r>
      <w:r w:rsidR="00FE4F69">
        <w:rPr>
          <w:rFonts w:ascii="Arial" w:hAnsi="Arial" w:cs="Arial"/>
          <w:color w:val="000000" w:themeColor="text1"/>
          <w:sz w:val="24"/>
          <w:szCs w:val="24"/>
        </w:rPr>
        <w:t>.</w:t>
      </w:r>
    </w:p>
    <w:p w14:paraId="7958F200" w14:textId="77777777" w:rsidR="00AA7CFF" w:rsidRPr="000409E6" w:rsidRDefault="00AA7CFF" w:rsidP="00AA7CFF">
      <w:pPr>
        <w:pStyle w:val="NoSpacing"/>
        <w:ind w:left="720"/>
        <w:rPr>
          <w:rFonts w:ascii="Arial" w:hAnsi="Arial" w:cs="Arial"/>
          <w:b/>
          <w:color w:val="FF0000"/>
          <w:sz w:val="24"/>
          <w:szCs w:val="24"/>
        </w:rPr>
      </w:pPr>
    </w:p>
    <w:p w14:paraId="6448E7BA" w14:textId="77777777" w:rsidR="00AA7CFF" w:rsidRPr="001B16AF" w:rsidRDefault="00AA7CFF" w:rsidP="00AA7CFF">
      <w:pPr>
        <w:pStyle w:val="NoSpacing"/>
        <w:ind w:left="720" w:hanging="720"/>
        <w:rPr>
          <w:rFonts w:ascii="Arial" w:hAnsi="Arial" w:cs="Arial"/>
          <w:b/>
          <w:color w:val="000000" w:themeColor="text1"/>
          <w:sz w:val="24"/>
          <w:szCs w:val="24"/>
          <w:u w:val="single"/>
        </w:rPr>
      </w:pPr>
      <w:r w:rsidRPr="001B16AF">
        <w:rPr>
          <w:rFonts w:ascii="Arial" w:hAnsi="Arial" w:cs="Arial"/>
          <w:b/>
          <w:color w:val="000000" w:themeColor="text1"/>
          <w:sz w:val="24"/>
          <w:szCs w:val="24"/>
        </w:rPr>
        <w:t>4.0</w:t>
      </w:r>
      <w:r w:rsidRPr="001B16AF">
        <w:rPr>
          <w:rFonts w:ascii="Arial" w:hAnsi="Arial" w:cs="Arial"/>
          <w:b/>
          <w:color w:val="000000" w:themeColor="text1"/>
          <w:sz w:val="24"/>
          <w:szCs w:val="24"/>
        </w:rPr>
        <w:tab/>
      </w:r>
      <w:r w:rsidRPr="001B16AF">
        <w:rPr>
          <w:rFonts w:ascii="Arial" w:hAnsi="Arial" w:cs="Arial"/>
          <w:b/>
          <w:color w:val="000000" w:themeColor="text1"/>
          <w:sz w:val="24"/>
          <w:szCs w:val="24"/>
          <w:u w:val="single"/>
        </w:rPr>
        <w:t xml:space="preserve">Introduction/Background </w:t>
      </w:r>
    </w:p>
    <w:p w14:paraId="5BEEC2FB" w14:textId="77777777" w:rsidR="00AA7CFF" w:rsidRPr="001B16AF" w:rsidRDefault="00AA7CFF" w:rsidP="00AA7CFF">
      <w:pPr>
        <w:pStyle w:val="NoSpacing"/>
        <w:ind w:left="720"/>
        <w:rPr>
          <w:rFonts w:ascii="Arial" w:hAnsi="Arial" w:cs="Arial"/>
          <w:b/>
          <w:color w:val="000000" w:themeColor="text1"/>
          <w:sz w:val="24"/>
          <w:szCs w:val="24"/>
        </w:rPr>
      </w:pPr>
    </w:p>
    <w:p w14:paraId="535F84E4" w14:textId="0EB996F5" w:rsidR="007E633F" w:rsidRDefault="007E633F" w:rsidP="00AA7CFF">
      <w:pPr>
        <w:pStyle w:val="NoSpacing"/>
        <w:ind w:left="720"/>
        <w:rPr>
          <w:rFonts w:ascii="Arial" w:hAnsi="Arial" w:cs="Arial"/>
          <w:color w:val="000000" w:themeColor="text1"/>
          <w:sz w:val="24"/>
          <w:szCs w:val="24"/>
        </w:rPr>
      </w:pPr>
      <w:r w:rsidRPr="007E633F">
        <w:rPr>
          <w:rFonts w:ascii="Arial" w:hAnsi="Arial" w:cs="Arial"/>
          <w:color w:val="000000" w:themeColor="text1"/>
          <w:sz w:val="24"/>
          <w:szCs w:val="24"/>
        </w:rPr>
        <w:t>Essex Police use the “Balanced Scorecard” strategic performance management framework to self-assess its performance.  It also uses the grading names employed by Her Majesty's Inspectorate of Constabulary and Fire &amp; Rescue Services (HMICFRS)</w:t>
      </w:r>
      <w:r w:rsidR="00FE6B8A">
        <w:rPr>
          <w:rFonts w:ascii="Arial" w:hAnsi="Arial" w:cs="Arial"/>
          <w:color w:val="000000" w:themeColor="text1"/>
          <w:sz w:val="24"/>
          <w:szCs w:val="24"/>
        </w:rPr>
        <w:t xml:space="preserve"> in its assessments</w:t>
      </w:r>
      <w:r w:rsidRPr="007E633F">
        <w:rPr>
          <w:rFonts w:ascii="Arial" w:hAnsi="Arial" w:cs="Arial"/>
          <w:color w:val="000000" w:themeColor="text1"/>
          <w:sz w:val="24"/>
          <w:szCs w:val="24"/>
        </w:rPr>
        <w:t>; the grades are ‘Outstanding’, ‘Good’, ‘Requires Improvement’, and ‘Inadequate’.  Where possible, Essex Police benchmark its performance against other forces in its Most Similar Group (MSG); this enables Essex Police to derive minimum standards (and consequently assess what is ‘Good’).</w:t>
      </w:r>
    </w:p>
    <w:p w14:paraId="0CEA0C5D" w14:textId="77777777" w:rsidR="007E633F" w:rsidRDefault="007E633F" w:rsidP="00AA7CFF">
      <w:pPr>
        <w:pStyle w:val="NoSpacing"/>
        <w:ind w:left="720"/>
        <w:rPr>
          <w:rFonts w:ascii="Arial" w:hAnsi="Arial" w:cs="Arial"/>
          <w:color w:val="000000" w:themeColor="text1"/>
          <w:sz w:val="24"/>
          <w:szCs w:val="24"/>
        </w:rPr>
      </w:pPr>
    </w:p>
    <w:p w14:paraId="71BAED0C" w14:textId="3C903117" w:rsidR="00AA7CFF" w:rsidRPr="001B16AF" w:rsidRDefault="007E633F" w:rsidP="00AA7CFF">
      <w:pPr>
        <w:pStyle w:val="NoSpacing"/>
        <w:ind w:left="720"/>
        <w:rPr>
          <w:rFonts w:ascii="Arial" w:hAnsi="Arial" w:cs="Arial"/>
          <w:color w:val="000000" w:themeColor="text1"/>
          <w:sz w:val="24"/>
          <w:szCs w:val="24"/>
        </w:rPr>
      </w:pPr>
      <w:r>
        <w:rPr>
          <w:rFonts w:ascii="Arial" w:hAnsi="Arial" w:cs="Arial"/>
          <w:color w:val="000000" w:themeColor="text1"/>
          <w:sz w:val="24"/>
          <w:szCs w:val="24"/>
        </w:rPr>
        <w:t>This process is conducted on a quarterly b</w:t>
      </w:r>
      <w:r w:rsidR="00AA7CFF" w:rsidRPr="001B16AF">
        <w:rPr>
          <w:rFonts w:ascii="Arial" w:hAnsi="Arial" w:cs="Arial"/>
          <w:color w:val="000000" w:themeColor="text1"/>
          <w:sz w:val="24"/>
          <w:szCs w:val="24"/>
        </w:rPr>
        <w:t>asis.  Individual commands first grade themselves</w:t>
      </w:r>
      <w:r>
        <w:rPr>
          <w:rFonts w:ascii="Arial" w:hAnsi="Arial" w:cs="Arial"/>
          <w:color w:val="000000" w:themeColor="text1"/>
          <w:sz w:val="24"/>
          <w:szCs w:val="24"/>
        </w:rPr>
        <w:t xml:space="preserve">, and provide </w:t>
      </w:r>
      <w:r w:rsidR="00AA7CFF" w:rsidRPr="001B16AF">
        <w:rPr>
          <w:rFonts w:ascii="Arial" w:hAnsi="Arial" w:cs="Arial"/>
          <w:color w:val="000000" w:themeColor="text1"/>
          <w:sz w:val="24"/>
          <w:szCs w:val="24"/>
        </w:rPr>
        <w:t xml:space="preserve">quantitative and qualitative </w:t>
      </w:r>
      <w:r>
        <w:rPr>
          <w:rFonts w:ascii="Arial" w:hAnsi="Arial" w:cs="Arial"/>
          <w:color w:val="000000" w:themeColor="text1"/>
          <w:sz w:val="24"/>
          <w:szCs w:val="24"/>
        </w:rPr>
        <w:t>evidence in support of th</w:t>
      </w:r>
      <w:r w:rsidR="00FE6B8A">
        <w:rPr>
          <w:rFonts w:ascii="Arial" w:hAnsi="Arial" w:cs="Arial"/>
          <w:color w:val="000000" w:themeColor="text1"/>
          <w:sz w:val="24"/>
          <w:szCs w:val="24"/>
        </w:rPr>
        <w:t>eir</w:t>
      </w:r>
      <w:r>
        <w:rPr>
          <w:rFonts w:ascii="Arial" w:hAnsi="Arial" w:cs="Arial"/>
          <w:color w:val="000000" w:themeColor="text1"/>
          <w:sz w:val="24"/>
          <w:szCs w:val="24"/>
        </w:rPr>
        <w:t xml:space="preserve"> self-assessment</w:t>
      </w:r>
      <w:r w:rsidR="00AA7CFF" w:rsidRPr="001B16AF">
        <w:rPr>
          <w:rFonts w:ascii="Arial" w:hAnsi="Arial" w:cs="Arial"/>
          <w:color w:val="000000" w:themeColor="text1"/>
          <w:sz w:val="24"/>
          <w:szCs w:val="24"/>
        </w:rPr>
        <w:t xml:space="preserve">.  These grades are </w:t>
      </w:r>
      <w:r>
        <w:rPr>
          <w:rFonts w:ascii="Arial" w:hAnsi="Arial" w:cs="Arial"/>
          <w:color w:val="000000" w:themeColor="text1"/>
          <w:sz w:val="24"/>
          <w:szCs w:val="24"/>
        </w:rPr>
        <w:t xml:space="preserve">then </w:t>
      </w:r>
      <w:r w:rsidR="00AA7CFF" w:rsidRPr="001B16AF">
        <w:rPr>
          <w:rFonts w:ascii="Arial" w:hAnsi="Arial" w:cs="Arial"/>
          <w:color w:val="000000" w:themeColor="text1"/>
          <w:sz w:val="24"/>
          <w:szCs w:val="24"/>
        </w:rPr>
        <w:t>reviewed by the relevant Assistant Chief Constable</w:t>
      </w:r>
      <w:r w:rsidR="00FE6B8A">
        <w:rPr>
          <w:rFonts w:ascii="Arial" w:hAnsi="Arial" w:cs="Arial"/>
          <w:color w:val="000000" w:themeColor="text1"/>
          <w:sz w:val="24"/>
          <w:szCs w:val="24"/>
        </w:rPr>
        <w:t>/Director</w:t>
      </w:r>
      <w:r w:rsidR="00AA7CFF" w:rsidRPr="001B16AF">
        <w:rPr>
          <w:rFonts w:ascii="Arial" w:hAnsi="Arial" w:cs="Arial"/>
          <w:color w:val="000000" w:themeColor="text1"/>
          <w:sz w:val="24"/>
          <w:szCs w:val="24"/>
        </w:rPr>
        <w:t xml:space="preserve"> at Oversight Boards, and then by the Deputy Chief Constable in the </w:t>
      </w:r>
      <w:r>
        <w:rPr>
          <w:rFonts w:ascii="Arial" w:hAnsi="Arial" w:cs="Arial"/>
          <w:color w:val="000000" w:themeColor="text1"/>
          <w:sz w:val="24"/>
          <w:szCs w:val="24"/>
        </w:rPr>
        <w:t>Performance Board</w:t>
      </w:r>
      <w:r w:rsidR="00AA7CFF" w:rsidRPr="001B16AF">
        <w:rPr>
          <w:rFonts w:ascii="Arial" w:hAnsi="Arial" w:cs="Arial"/>
          <w:color w:val="000000" w:themeColor="text1"/>
          <w:sz w:val="24"/>
          <w:szCs w:val="24"/>
        </w:rPr>
        <w:t>.</w:t>
      </w:r>
    </w:p>
    <w:p w14:paraId="2B24EBB5" w14:textId="77777777" w:rsidR="00AA7CFF" w:rsidRPr="001B16AF" w:rsidRDefault="00AA7CFF" w:rsidP="00AA7CFF">
      <w:pPr>
        <w:pStyle w:val="NoSpacing"/>
        <w:ind w:left="720"/>
        <w:rPr>
          <w:rFonts w:ascii="Arial" w:hAnsi="Arial" w:cs="Arial"/>
          <w:color w:val="000000" w:themeColor="text1"/>
          <w:sz w:val="24"/>
          <w:szCs w:val="24"/>
        </w:rPr>
      </w:pPr>
    </w:p>
    <w:p w14:paraId="73A651ED" w14:textId="77777777" w:rsidR="00AA7CFF" w:rsidRPr="00CD66B4" w:rsidRDefault="00AA7CFF" w:rsidP="00AA7CFF">
      <w:pPr>
        <w:pStyle w:val="NoSpacing"/>
        <w:rPr>
          <w:rFonts w:ascii="Arial" w:hAnsi="Arial" w:cs="Arial"/>
          <w:b/>
          <w:color w:val="000000" w:themeColor="text1"/>
          <w:sz w:val="24"/>
          <w:szCs w:val="24"/>
          <w:u w:val="single"/>
        </w:rPr>
      </w:pPr>
      <w:r w:rsidRPr="00CD66B4">
        <w:rPr>
          <w:rFonts w:ascii="Arial" w:hAnsi="Arial" w:cs="Arial"/>
          <w:b/>
          <w:color w:val="000000" w:themeColor="text1"/>
          <w:sz w:val="24"/>
          <w:szCs w:val="24"/>
        </w:rPr>
        <w:t>5.0</w:t>
      </w:r>
      <w:r w:rsidRPr="00CD66B4">
        <w:rPr>
          <w:rFonts w:ascii="Arial" w:hAnsi="Arial" w:cs="Arial"/>
          <w:b/>
          <w:color w:val="000000" w:themeColor="text1"/>
          <w:sz w:val="24"/>
          <w:szCs w:val="24"/>
        </w:rPr>
        <w:tab/>
      </w:r>
      <w:r w:rsidRPr="00CD66B4">
        <w:rPr>
          <w:rFonts w:ascii="Arial" w:hAnsi="Arial" w:cs="Arial"/>
          <w:b/>
          <w:color w:val="000000" w:themeColor="text1"/>
          <w:sz w:val="24"/>
          <w:szCs w:val="24"/>
          <w:u w:val="single"/>
        </w:rPr>
        <w:t>Current Work and Performance</w:t>
      </w:r>
    </w:p>
    <w:p w14:paraId="4EA1F5B8" w14:textId="77777777" w:rsidR="00AA7CFF" w:rsidRPr="00CD66B4" w:rsidRDefault="00AA7CFF" w:rsidP="00AA7CFF">
      <w:pPr>
        <w:pStyle w:val="NoSpacing"/>
        <w:ind w:left="709"/>
        <w:rPr>
          <w:rFonts w:ascii="Arial" w:hAnsi="Arial" w:cs="Arial"/>
          <w:b/>
          <w:color w:val="000000" w:themeColor="text1"/>
          <w:sz w:val="24"/>
          <w:szCs w:val="24"/>
          <w:u w:val="single"/>
        </w:rPr>
      </w:pPr>
    </w:p>
    <w:p w14:paraId="1CF234CE" w14:textId="7AE01399" w:rsidR="00AA7CFF" w:rsidRPr="00CD66B4" w:rsidRDefault="00AA7CFF" w:rsidP="00AA7CFF">
      <w:pPr>
        <w:pStyle w:val="NoSpacing"/>
        <w:ind w:firstLine="720"/>
        <w:rPr>
          <w:rFonts w:ascii="Arial" w:hAnsi="Arial" w:cs="Arial"/>
          <w:color w:val="000000" w:themeColor="text1"/>
          <w:sz w:val="24"/>
          <w:szCs w:val="24"/>
        </w:rPr>
      </w:pPr>
      <w:r w:rsidRPr="00CD66B4">
        <w:rPr>
          <w:rFonts w:ascii="Arial" w:hAnsi="Arial" w:cs="Arial"/>
          <w:color w:val="000000" w:themeColor="text1"/>
          <w:sz w:val="24"/>
          <w:szCs w:val="24"/>
        </w:rPr>
        <w:t xml:space="preserve">The below </w:t>
      </w:r>
      <w:r w:rsidR="00952439">
        <w:rPr>
          <w:rFonts w:ascii="Arial" w:hAnsi="Arial" w:cs="Arial"/>
          <w:color w:val="000000" w:themeColor="text1"/>
          <w:sz w:val="24"/>
          <w:szCs w:val="24"/>
        </w:rPr>
        <w:t xml:space="preserve">table details the final </w:t>
      </w:r>
      <w:proofErr w:type="spellStart"/>
      <w:r w:rsidR="00952439">
        <w:rPr>
          <w:rFonts w:ascii="Arial" w:hAnsi="Arial" w:cs="Arial"/>
          <w:color w:val="000000" w:themeColor="text1"/>
          <w:sz w:val="24"/>
          <w:szCs w:val="24"/>
        </w:rPr>
        <w:t>gradings</w:t>
      </w:r>
      <w:proofErr w:type="spellEnd"/>
      <w:r w:rsidR="00952439">
        <w:rPr>
          <w:rFonts w:ascii="Arial" w:hAnsi="Arial" w:cs="Arial"/>
          <w:color w:val="000000" w:themeColor="text1"/>
          <w:sz w:val="24"/>
          <w:szCs w:val="24"/>
        </w:rPr>
        <w:t xml:space="preserve"> at command and force-level</w:t>
      </w:r>
      <w:r w:rsidRPr="00CD66B4">
        <w:rPr>
          <w:rFonts w:ascii="Arial" w:hAnsi="Arial" w:cs="Arial"/>
          <w:color w:val="000000" w:themeColor="text1"/>
          <w:sz w:val="24"/>
          <w:szCs w:val="24"/>
        </w:rPr>
        <w:t>:</w:t>
      </w:r>
    </w:p>
    <w:p w14:paraId="12E095A3" w14:textId="77777777" w:rsidR="00AA7CFF" w:rsidRPr="000409E6" w:rsidRDefault="00AA7CFF" w:rsidP="00AA7CFF">
      <w:pPr>
        <w:pStyle w:val="NoSpacing"/>
        <w:ind w:firstLine="720"/>
        <w:rPr>
          <w:rFonts w:ascii="Arial" w:hAnsi="Arial" w:cs="Arial"/>
          <w:color w:val="FF0000"/>
          <w:sz w:val="24"/>
          <w:szCs w:val="24"/>
        </w:rPr>
      </w:pPr>
    </w:p>
    <w:p w14:paraId="4CD936AD" w14:textId="5C2CDA57" w:rsidR="00AA7CFF" w:rsidRPr="000409E6" w:rsidRDefault="00952439" w:rsidP="007E633F">
      <w:pPr>
        <w:pStyle w:val="NoSpacing"/>
        <w:jc w:val="center"/>
        <w:rPr>
          <w:rFonts w:ascii="Arial" w:hAnsi="Arial" w:cs="Arial"/>
          <w:b/>
          <w:color w:val="FF0000"/>
          <w:sz w:val="24"/>
          <w:szCs w:val="24"/>
        </w:rPr>
      </w:pPr>
      <w:r w:rsidRPr="00952439">
        <w:rPr>
          <w:noProof/>
          <w:lang w:eastAsia="en-GB"/>
        </w:rPr>
        <w:drawing>
          <wp:inline distT="0" distB="0" distL="0" distR="0" wp14:anchorId="0C76DCAB" wp14:editId="1264691E">
            <wp:extent cx="6188710" cy="200223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2002230"/>
                    </a:xfrm>
                    <a:prstGeom prst="rect">
                      <a:avLst/>
                    </a:prstGeom>
                    <a:noFill/>
                    <a:ln>
                      <a:noFill/>
                    </a:ln>
                  </pic:spPr>
                </pic:pic>
              </a:graphicData>
            </a:graphic>
          </wp:inline>
        </w:drawing>
      </w:r>
    </w:p>
    <w:p w14:paraId="441367FC" w14:textId="77777777" w:rsidR="00AA7CFF" w:rsidRPr="000409E6" w:rsidRDefault="00AA7CFF" w:rsidP="00AA7CFF">
      <w:pPr>
        <w:pStyle w:val="NoSpacing"/>
        <w:rPr>
          <w:rFonts w:ascii="Arial" w:hAnsi="Arial" w:cs="Arial"/>
          <w:b/>
          <w:color w:val="FF0000"/>
          <w:sz w:val="24"/>
          <w:szCs w:val="24"/>
        </w:rPr>
      </w:pPr>
    </w:p>
    <w:p w14:paraId="3788FFEB" w14:textId="39FF6414" w:rsidR="00AA7CFF" w:rsidRDefault="00AA7CFF" w:rsidP="00AA7CFF">
      <w:pPr>
        <w:pStyle w:val="NoSpacing"/>
        <w:ind w:left="720"/>
        <w:rPr>
          <w:rFonts w:ascii="Arial" w:hAnsi="Arial" w:cs="Arial"/>
          <w:color w:val="000000" w:themeColor="text1"/>
          <w:sz w:val="24"/>
          <w:szCs w:val="24"/>
        </w:rPr>
      </w:pPr>
      <w:r w:rsidRPr="001B16AF">
        <w:rPr>
          <w:rFonts w:ascii="Arial" w:hAnsi="Arial" w:cs="Arial"/>
          <w:color w:val="000000" w:themeColor="text1"/>
          <w:sz w:val="24"/>
          <w:szCs w:val="24"/>
        </w:rPr>
        <w:t xml:space="preserve">The “Tube Maps” showing the final force </w:t>
      </w:r>
      <w:proofErr w:type="spellStart"/>
      <w:r w:rsidRPr="001B16AF">
        <w:rPr>
          <w:rFonts w:ascii="Arial" w:hAnsi="Arial" w:cs="Arial"/>
          <w:color w:val="000000" w:themeColor="text1"/>
          <w:sz w:val="24"/>
          <w:szCs w:val="24"/>
        </w:rPr>
        <w:t>gradings</w:t>
      </w:r>
      <w:proofErr w:type="spellEnd"/>
      <w:r w:rsidRPr="001B16AF">
        <w:rPr>
          <w:rFonts w:ascii="Arial" w:hAnsi="Arial" w:cs="Arial"/>
          <w:color w:val="000000" w:themeColor="text1"/>
          <w:sz w:val="24"/>
          <w:szCs w:val="24"/>
        </w:rPr>
        <w:t xml:space="preserve"> can be found in the appendices of this report.</w:t>
      </w:r>
    </w:p>
    <w:p w14:paraId="15AF28FD" w14:textId="46EAE23C" w:rsidR="007E633F" w:rsidRDefault="007E633F" w:rsidP="00AA7CFF">
      <w:pPr>
        <w:pStyle w:val="NoSpacing"/>
        <w:ind w:left="720"/>
        <w:rPr>
          <w:rFonts w:ascii="Arial" w:hAnsi="Arial" w:cs="Arial"/>
          <w:color w:val="000000" w:themeColor="text1"/>
          <w:sz w:val="24"/>
          <w:szCs w:val="24"/>
        </w:rPr>
      </w:pPr>
    </w:p>
    <w:p w14:paraId="3BF5EE57" w14:textId="62B49051" w:rsidR="007E633F" w:rsidRDefault="007E633F" w:rsidP="00AA7CFF">
      <w:pPr>
        <w:pStyle w:val="NoSpacing"/>
        <w:ind w:left="720"/>
        <w:rPr>
          <w:rFonts w:ascii="Arial" w:hAnsi="Arial" w:cs="Arial"/>
          <w:color w:val="000000" w:themeColor="text1"/>
          <w:sz w:val="24"/>
          <w:szCs w:val="24"/>
        </w:rPr>
      </w:pPr>
      <w:r>
        <w:rPr>
          <w:rFonts w:ascii="Arial" w:hAnsi="Arial" w:cs="Arial"/>
          <w:color w:val="000000" w:themeColor="text1"/>
          <w:sz w:val="24"/>
          <w:szCs w:val="24"/>
        </w:rPr>
        <w:t>The rationale for these grades is provided in the following tables:</w:t>
      </w:r>
    </w:p>
    <w:p w14:paraId="441150C9" w14:textId="5D9A8402" w:rsidR="007E633F" w:rsidRDefault="007E633F" w:rsidP="00AA7CFF">
      <w:pPr>
        <w:pStyle w:val="NoSpacing"/>
        <w:ind w:left="720"/>
        <w:rPr>
          <w:rFonts w:ascii="Arial" w:hAnsi="Arial" w:cs="Arial"/>
          <w:color w:val="000000" w:themeColor="text1"/>
          <w:sz w:val="24"/>
          <w:szCs w:val="24"/>
        </w:rPr>
      </w:pPr>
    </w:p>
    <w:p w14:paraId="0BC72C7A" w14:textId="66624478" w:rsidR="007E633F" w:rsidRDefault="007E633F" w:rsidP="00AA7CFF">
      <w:pPr>
        <w:pStyle w:val="NoSpacing"/>
        <w:ind w:left="720"/>
        <w:rPr>
          <w:rFonts w:ascii="Arial" w:hAnsi="Arial" w:cs="Arial"/>
          <w:color w:val="000000" w:themeColor="text1"/>
          <w:sz w:val="24"/>
          <w:szCs w:val="24"/>
        </w:rPr>
      </w:pPr>
    </w:p>
    <w:p w14:paraId="62E9A7ED" w14:textId="273E87A5" w:rsidR="007E633F" w:rsidRDefault="007E633F" w:rsidP="00AA7CFF">
      <w:pPr>
        <w:pStyle w:val="NoSpacing"/>
        <w:ind w:left="720"/>
        <w:rPr>
          <w:rFonts w:ascii="Arial" w:hAnsi="Arial" w:cs="Arial"/>
          <w:color w:val="000000" w:themeColor="text1"/>
          <w:sz w:val="24"/>
          <w:szCs w:val="24"/>
        </w:rPr>
      </w:pPr>
    </w:p>
    <w:p w14:paraId="24E68AED" w14:textId="42B1EF7F" w:rsidR="007E633F" w:rsidRDefault="007E633F" w:rsidP="00AA7CFF">
      <w:pPr>
        <w:pStyle w:val="NoSpacing"/>
        <w:ind w:left="720"/>
        <w:rPr>
          <w:rFonts w:ascii="Arial" w:hAnsi="Arial" w:cs="Arial"/>
          <w:color w:val="000000" w:themeColor="text1"/>
          <w:sz w:val="24"/>
          <w:szCs w:val="24"/>
        </w:rPr>
      </w:pPr>
    </w:p>
    <w:p w14:paraId="3F3DB055" w14:textId="20818988" w:rsidR="007E633F" w:rsidRDefault="007E633F" w:rsidP="00AA7CFF">
      <w:pPr>
        <w:pStyle w:val="NoSpacing"/>
        <w:ind w:left="720"/>
        <w:rPr>
          <w:rFonts w:ascii="Arial" w:hAnsi="Arial" w:cs="Arial"/>
          <w:color w:val="000000" w:themeColor="text1"/>
          <w:sz w:val="24"/>
          <w:szCs w:val="24"/>
        </w:rPr>
      </w:pPr>
    </w:p>
    <w:p w14:paraId="1DCEBE41" w14:textId="4D8FEA1A" w:rsidR="00AA7CFF" w:rsidRDefault="00AA7CFF" w:rsidP="007E633F">
      <w:pPr>
        <w:pStyle w:val="NoSpacing"/>
        <w:rPr>
          <w:rFonts w:ascii="Arial" w:hAnsi="Arial" w:cs="Arial"/>
          <w:color w:val="000000" w:themeColor="text1"/>
          <w:sz w:val="24"/>
          <w:szCs w:val="24"/>
        </w:rPr>
      </w:pPr>
    </w:p>
    <w:p w14:paraId="4A7ADCE4" w14:textId="68C12D05" w:rsidR="007E633F" w:rsidRDefault="004C5119" w:rsidP="007E633F">
      <w:pPr>
        <w:pStyle w:val="NoSpacing"/>
        <w:rPr>
          <w:rFonts w:ascii="Arial" w:hAnsi="Arial" w:cs="Arial"/>
          <w:color w:val="000000" w:themeColor="text1"/>
          <w:sz w:val="24"/>
          <w:szCs w:val="24"/>
        </w:rPr>
      </w:pPr>
      <w:r w:rsidRPr="004C5119">
        <w:rPr>
          <w:noProof/>
          <w:lang w:eastAsia="en-GB"/>
        </w:rPr>
        <w:lastRenderedPageBreak/>
        <w:drawing>
          <wp:inline distT="0" distB="0" distL="0" distR="0" wp14:anchorId="1A14ACFE" wp14:editId="02952240">
            <wp:extent cx="6188710" cy="9291982"/>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9291982"/>
                    </a:xfrm>
                    <a:prstGeom prst="rect">
                      <a:avLst/>
                    </a:prstGeom>
                    <a:noFill/>
                    <a:ln>
                      <a:noFill/>
                    </a:ln>
                  </pic:spPr>
                </pic:pic>
              </a:graphicData>
            </a:graphic>
          </wp:inline>
        </w:drawing>
      </w:r>
    </w:p>
    <w:p w14:paraId="3AEB1394" w14:textId="4D58F100" w:rsidR="007E633F" w:rsidRDefault="004C5119" w:rsidP="004C5119">
      <w:pPr>
        <w:pStyle w:val="NoSpacing"/>
        <w:rPr>
          <w:rFonts w:ascii="Arial" w:hAnsi="Arial" w:cs="Arial"/>
          <w:color w:val="000000" w:themeColor="text1"/>
          <w:sz w:val="24"/>
          <w:szCs w:val="24"/>
        </w:rPr>
      </w:pPr>
      <w:r w:rsidRPr="004C5119">
        <w:rPr>
          <w:noProof/>
          <w:lang w:eastAsia="en-GB"/>
        </w:rPr>
        <w:lastRenderedPageBreak/>
        <w:drawing>
          <wp:inline distT="0" distB="0" distL="0" distR="0" wp14:anchorId="1A57FC89" wp14:editId="142F1CC1">
            <wp:extent cx="6188710" cy="2128298"/>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2128298"/>
                    </a:xfrm>
                    <a:prstGeom prst="rect">
                      <a:avLst/>
                    </a:prstGeom>
                    <a:noFill/>
                    <a:ln>
                      <a:noFill/>
                    </a:ln>
                  </pic:spPr>
                </pic:pic>
              </a:graphicData>
            </a:graphic>
          </wp:inline>
        </w:drawing>
      </w:r>
    </w:p>
    <w:p w14:paraId="53B62C70" w14:textId="4AC47B1C" w:rsidR="004C5119" w:rsidRPr="001B16AF" w:rsidRDefault="004C5119" w:rsidP="004C5119">
      <w:pPr>
        <w:pStyle w:val="NoSpacing"/>
        <w:rPr>
          <w:rFonts w:ascii="Arial" w:hAnsi="Arial" w:cs="Arial"/>
          <w:color w:val="000000" w:themeColor="text1"/>
          <w:sz w:val="24"/>
          <w:szCs w:val="24"/>
        </w:rPr>
      </w:pPr>
    </w:p>
    <w:p w14:paraId="1F657BF6" w14:textId="77777777" w:rsidR="00AA7CFF" w:rsidRPr="001B16AF" w:rsidRDefault="00AA7CFF" w:rsidP="00AA7CFF">
      <w:pPr>
        <w:pStyle w:val="NoSpacing"/>
        <w:rPr>
          <w:rFonts w:ascii="Arial" w:hAnsi="Arial" w:cs="Arial"/>
          <w:b/>
          <w:color w:val="000000" w:themeColor="text1"/>
          <w:sz w:val="24"/>
          <w:szCs w:val="24"/>
          <w:u w:val="single"/>
        </w:rPr>
      </w:pPr>
      <w:r w:rsidRPr="001B16AF">
        <w:rPr>
          <w:rFonts w:ascii="Arial" w:hAnsi="Arial" w:cs="Arial"/>
          <w:b/>
          <w:color w:val="000000" w:themeColor="text1"/>
          <w:sz w:val="24"/>
          <w:szCs w:val="24"/>
        </w:rPr>
        <w:t>6.0</w:t>
      </w:r>
      <w:r w:rsidRPr="001B16AF">
        <w:rPr>
          <w:rFonts w:ascii="Arial" w:hAnsi="Arial" w:cs="Arial"/>
          <w:b/>
          <w:color w:val="000000" w:themeColor="text1"/>
          <w:sz w:val="24"/>
          <w:szCs w:val="24"/>
        </w:rPr>
        <w:tab/>
      </w:r>
      <w:r w:rsidRPr="001B16AF">
        <w:rPr>
          <w:rFonts w:ascii="Arial" w:hAnsi="Arial" w:cs="Arial"/>
          <w:b/>
          <w:color w:val="000000" w:themeColor="text1"/>
          <w:sz w:val="24"/>
          <w:szCs w:val="24"/>
          <w:u w:val="single"/>
        </w:rPr>
        <w:t>Implications (Issues)</w:t>
      </w:r>
    </w:p>
    <w:p w14:paraId="135156A0" w14:textId="77777777" w:rsidR="00AA7CFF" w:rsidRPr="001B16AF" w:rsidRDefault="00AA7CFF" w:rsidP="00AA7CFF">
      <w:pPr>
        <w:pStyle w:val="NoSpacing"/>
        <w:ind w:left="720"/>
        <w:rPr>
          <w:rFonts w:ascii="Arial" w:hAnsi="Arial" w:cs="Arial"/>
          <w:color w:val="000000" w:themeColor="text1"/>
          <w:sz w:val="24"/>
          <w:szCs w:val="24"/>
        </w:rPr>
      </w:pPr>
    </w:p>
    <w:p w14:paraId="3274EBD4" w14:textId="475C1E24" w:rsidR="00AA7CFF" w:rsidRPr="001B16AF" w:rsidRDefault="00517657" w:rsidP="00AA7CFF">
      <w:pPr>
        <w:pStyle w:val="NoSpacing"/>
        <w:ind w:left="720"/>
        <w:rPr>
          <w:rFonts w:ascii="Arial" w:hAnsi="Arial" w:cs="Arial"/>
          <w:color w:val="000000" w:themeColor="text1"/>
          <w:sz w:val="24"/>
          <w:szCs w:val="24"/>
        </w:rPr>
      </w:pPr>
      <w:r w:rsidRPr="00517657">
        <w:rPr>
          <w:rFonts w:ascii="Arial" w:hAnsi="Arial" w:cs="Arial"/>
          <w:color w:val="000000" w:themeColor="text1"/>
          <w:sz w:val="24"/>
          <w:szCs w:val="24"/>
        </w:rPr>
        <w:t xml:space="preserve">Essex Police use the “Balanced Scorecard” strategic performance management framework to self-assess its performance.  </w:t>
      </w:r>
      <w:r w:rsidR="00FE6B8A">
        <w:rPr>
          <w:rFonts w:ascii="Arial" w:hAnsi="Arial" w:cs="Arial"/>
          <w:color w:val="000000" w:themeColor="text1"/>
          <w:sz w:val="24"/>
          <w:szCs w:val="24"/>
        </w:rPr>
        <w:t xml:space="preserve">All areas of this </w:t>
      </w:r>
      <w:r w:rsidR="0015639A">
        <w:rPr>
          <w:rFonts w:ascii="Arial" w:hAnsi="Arial" w:cs="Arial"/>
          <w:color w:val="000000" w:themeColor="text1"/>
          <w:sz w:val="24"/>
          <w:szCs w:val="24"/>
        </w:rPr>
        <w:t xml:space="preserve">framework – </w:t>
      </w:r>
      <w:r w:rsidR="00FE6B8A">
        <w:rPr>
          <w:rFonts w:ascii="Arial" w:hAnsi="Arial" w:cs="Arial"/>
          <w:color w:val="000000" w:themeColor="text1"/>
          <w:sz w:val="24"/>
          <w:szCs w:val="24"/>
        </w:rPr>
        <w:t xml:space="preserve">from </w:t>
      </w:r>
      <w:r w:rsidR="0015639A">
        <w:rPr>
          <w:rFonts w:ascii="Arial" w:hAnsi="Arial" w:cs="Arial"/>
          <w:color w:val="000000" w:themeColor="text1"/>
          <w:sz w:val="24"/>
          <w:szCs w:val="24"/>
        </w:rPr>
        <w:t>the</w:t>
      </w:r>
      <w:r w:rsidR="00FE6B8A">
        <w:rPr>
          <w:rFonts w:ascii="Arial" w:hAnsi="Arial" w:cs="Arial"/>
          <w:color w:val="000000" w:themeColor="text1"/>
          <w:sz w:val="24"/>
          <w:szCs w:val="24"/>
        </w:rPr>
        <w:t xml:space="preserve"> </w:t>
      </w:r>
      <w:r w:rsidR="00370B89">
        <w:rPr>
          <w:rFonts w:ascii="Arial" w:hAnsi="Arial" w:cs="Arial"/>
          <w:color w:val="000000" w:themeColor="text1"/>
          <w:sz w:val="24"/>
          <w:szCs w:val="24"/>
        </w:rPr>
        <w:t xml:space="preserve">Plan-on-a-Page </w:t>
      </w:r>
      <w:r w:rsidR="00FE6B8A">
        <w:rPr>
          <w:rFonts w:ascii="Arial" w:hAnsi="Arial" w:cs="Arial"/>
          <w:color w:val="000000" w:themeColor="text1"/>
          <w:sz w:val="24"/>
          <w:szCs w:val="24"/>
        </w:rPr>
        <w:t xml:space="preserve">(which details the priorities for the force) to the </w:t>
      </w:r>
      <w:r w:rsidR="00AA7CFF" w:rsidRPr="001B16AF">
        <w:rPr>
          <w:rFonts w:ascii="Arial" w:hAnsi="Arial" w:cs="Arial"/>
          <w:color w:val="000000" w:themeColor="text1"/>
          <w:sz w:val="24"/>
          <w:szCs w:val="24"/>
        </w:rPr>
        <w:t>“Redline Measures”</w:t>
      </w:r>
      <w:r w:rsidR="00FE6B8A">
        <w:rPr>
          <w:rFonts w:ascii="Arial" w:hAnsi="Arial" w:cs="Arial"/>
          <w:color w:val="000000" w:themeColor="text1"/>
          <w:sz w:val="24"/>
          <w:szCs w:val="24"/>
        </w:rPr>
        <w:t xml:space="preserve"> (</w:t>
      </w:r>
      <w:r w:rsidR="00AA7CFF" w:rsidRPr="001B16AF">
        <w:rPr>
          <w:rFonts w:ascii="Arial" w:hAnsi="Arial" w:cs="Arial"/>
          <w:color w:val="000000" w:themeColor="text1"/>
          <w:sz w:val="24"/>
          <w:szCs w:val="24"/>
        </w:rPr>
        <w:t>minimum standards that indicate when the Force cannot be graded at anything above Requires Improvement</w:t>
      </w:r>
      <w:r w:rsidR="00FE6B8A">
        <w:rPr>
          <w:rFonts w:ascii="Arial" w:hAnsi="Arial" w:cs="Arial"/>
          <w:color w:val="000000" w:themeColor="text1"/>
          <w:sz w:val="24"/>
          <w:szCs w:val="24"/>
        </w:rPr>
        <w:t>) and Key Performance Indicators</w:t>
      </w:r>
      <w:r w:rsidR="0015639A">
        <w:rPr>
          <w:rFonts w:ascii="Arial" w:hAnsi="Arial" w:cs="Arial"/>
          <w:color w:val="000000" w:themeColor="text1"/>
          <w:sz w:val="24"/>
          <w:szCs w:val="24"/>
        </w:rPr>
        <w:t xml:space="preserve"> – are currently under review</w:t>
      </w:r>
      <w:r w:rsidR="00FE171A">
        <w:rPr>
          <w:rFonts w:ascii="Arial" w:hAnsi="Arial" w:cs="Arial"/>
          <w:color w:val="000000" w:themeColor="text1"/>
          <w:sz w:val="24"/>
          <w:szCs w:val="24"/>
        </w:rPr>
        <w:t xml:space="preserve">. </w:t>
      </w:r>
      <w:r w:rsidR="00AA7CFF" w:rsidRPr="001B16AF">
        <w:rPr>
          <w:rFonts w:ascii="Arial" w:hAnsi="Arial" w:cs="Arial"/>
          <w:color w:val="000000" w:themeColor="text1"/>
          <w:sz w:val="24"/>
          <w:szCs w:val="24"/>
        </w:rPr>
        <w:t xml:space="preserve"> </w:t>
      </w:r>
      <w:r w:rsidR="0015639A">
        <w:rPr>
          <w:rFonts w:ascii="Arial" w:hAnsi="Arial" w:cs="Arial"/>
          <w:color w:val="000000" w:themeColor="text1"/>
          <w:sz w:val="24"/>
          <w:szCs w:val="24"/>
        </w:rPr>
        <w:t xml:space="preserve">The aspiration is to reduce the number of areas reviewed in the process, </w:t>
      </w:r>
      <w:r w:rsidR="00952439">
        <w:rPr>
          <w:rFonts w:ascii="Arial" w:hAnsi="Arial" w:cs="Arial"/>
          <w:color w:val="000000" w:themeColor="text1"/>
          <w:sz w:val="24"/>
          <w:szCs w:val="24"/>
        </w:rPr>
        <w:t>involve all commands</w:t>
      </w:r>
      <w:r w:rsidR="0015639A">
        <w:rPr>
          <w:rFonts w:ascii="Arial" w:hAnsi="Arial" w:cs="Arial"/>
          <w:color w:val="000000" w:themeColor="text1"/>
          <w:sz w:val="24"/>
          <w:szCs w:val="24"/>
        </w:rPr>
        <w:t>, and provide more</w:t>
      </w:r>
      <w:r w:rsidR="00952439">
        <w:rPr>
          <w:rFonts w:ascii="Arial" w:hAnsi="Arial" w:cs="Arial"/>
          <w:color w:val="000000" w:themeColor="text1"/>
          <w:sz w:val="24"/>
          <w:szCs w:val="24"/>
        </w:rPr>
        <w:t xml:space="preserve"> rounded view of the force.</w:t>
      </w:r>
    </w:p>
    <w:p w14:paraId="4A87E43B" w14:textId="77777777" w:rsidR="00AA7CFF" w:rsidRPr="001B16AF" w:rsidRDefault="00AA7CFF" w:rsidP="00AA7CFF">
      <w:pPr>
        <w:pStyle w:val="NoSpacing"/>
        <w:ind w:left="720"/>
        <w:rPr>
          <w:rFonts w:ascii="Arial" w:hAnsi="Arial" w:cs="Arial"/>
          <w:color w:val="000000" w:themeColor="text1"/>
          <w:sz w:val="24"/>
          <w:szCs w:val="24"/>
        </w:rPr>
      </w:pPr>
    </w:p>
    <w:p w14:paraId="5A4B7875" w14:textId="77777777" w:rsidR="00AA7CFF" w:rsidRPr="001B16AF" w:rsidRDefault="00AA7CFF" w:rsidP="00AA7CFF">
      <w:pPr>
        <w:pStyle w:val="NoSpacing"/>
        <w:ind w:left="709" w:hanging="709"/>
        <w:rPr>
          <w:rFonts w:ascii="Arial" w:hAnsi="Arial" w:cs="Arial"/>
          <w:b/>
          <w:color w:val="000000" w:themeColor="text1"/>
          <w:sz w:val="24"/>
          <w:szCs w:val="24"/>
        </w:rPr>
      </w:pPr>
      <w:r w:rsidRPr="001B16AF">
        <w:rPr>
          <w:rFonts w:ascii="Arial" w:hAnsi="Arial" w:cs="Arial"/>
          <w:b/>
          <w:color w:val="000000" w:themeColor="text1"/>
          <w:sz w:val="24"/>
          <w:szCs w:val="24"/>
        </w:rPr>
        <w:t>6.1</w:t>
      </w:r>
      <w:r w:rsidRPr="001B16AF">
        <w:rPr>
          <w:rFonts w:ascii="Arial" w:hAnsi="Arial" w:cs="Arial"/>
          <w:b/>
          <w:color w:val="000000" w:themeColor="text1"/>
          <w:sz w:val="24"/>
          <w:szCs w:val="24"/>
        </w:rPr>
        <w:tab/>
      </w:r>
      <w:r w:rsidRPr="001B16AF">
        <w:rPr>
          <w:rFonts w:ascii="Arial" w:hAnsi="Arial" w:cs="Arial"/>
          <w:b/>
          <w:color w:val="000000" w:themeColor="text1"/>
          <w:sz w:val="24"/>
          <w:szCs w:val="24"/>
          <w:u w:val="single"/>
        </w:rPr>
        <w:t>Links to Police and Crime Plan Priorities</w:t>
      </w:r>
    </w:p>
    <w:p w14:paraId="1C591638" w14:textId="77777777" w:rsidR="00AA7CFF" w:rsidRPr="001B16AF" w:rsidRDefault="00AA7CFF" w:rsidP="00AA7CFF">
      <w:pPr>
        <w:pStyle w:val="NoSpacing"/>
        <w:ind w:left="1418" w:hanging="709"/>
        <w:rPr>
          <w:rFonts w:ascii="Arial" w:hAnsi="Arial" w:cs="Arial"/>
          <w:b/>
          <w:color w:val="000000" w:themeColor="text1"/>
          <w:sz w:val="24"/>
          <w:szCs w:val="24"/>
        </w:rPr>
      </w:pPr>
    </w:p>
    <w:p w14:paraId="20B62389" w14:textId="283A0E7F" w:rsidR="00AA7CFF" w:rsidRPr="001B16AF" w:rsidRDefault="00AA7CFF" w:rsidP="00AA7CFF">
      <w:pPr>
        <w:pStyle w:val="NoSpacing"/>
        <w:ind w:left="709"/>
        <w:rPr>
          <w:rFonts w:ascii="Arial" w:hAnsi="Arial" w:cs="Arial"/>
          <w:color w:val="000000" w:themeColor="text1"/>
          <w:sz w:val="24"/>
          <w:szCs w:val="24"/>
        </w:rPr>
      </w:pPr>
      <w:r w:rsidRPr="001B16AF">
        <w:rPr>
          <w:rFonts w:ascii="Arial" w:hAnsi="Arial" w:cs="Arial"/>
          <w:color w:val="000000" w:themeColor="text1"/>
          <w:sz w:val="24"/>
          <w:szCs w:val="24"/>
        </w:rPr>
        <w:t>The Essex Police Plan on a Page</w:t>
      </w:r>
      <w:r w:rsidR="00952439">
        <w:rPr>
          <w:rFonts w:ascii="Arial" w:hAnsi="Arial" w:cs="Arial"/>
          <w:color w:val="000000" w:themeColor="text1"/>
          <w:sz w:val="24"/>
          <w:szCs w:val="24"/>
        </w:rPr>
        <w:t xml:space="preserve"> currently</w:t>
      </w:r>
      <w:r w:rsidRPr="001B16AF">
        <w:rPr>
          <w:rFonts w:ascii="Arial" w:hAnsi="Arial" w:cs="Arial"/>
          <w:color w:val="000000" w:themeColor="text1"/>
          <w:sz w:val="24"/>
          <w:szCs w:val="24"/>
        </w:rPr>
        <w:t xml:space="preserve"> includes the Police and Crime Plan priorities.  The Force therefore assesses itself against these priorities as part of the Balanced Scorecard process.</w:t>
      </w:r>
    </w:p>
    <w:p w14:paraId="067DF34C" w14:textId="77777777" w:rsidR="00AA7CFF" w:rsidRPr="001B16AF" w:rsidRDefault="00AA7CFF" w:rsidP="00AA7CFF">
      <w:pPr>
        <w:pStyle w:val="NoSpacing"/>
        <w:ind w:left="709"/>
        <w:rPr>
          <w:rFonts w:ascii="Arial" w:hAnsi="Arial" w:cs="Arial"/>
          <w:color w:val="000000" w:themeColor="text1"/>
          <w:sz w:val="24"/>
          <w:szCs w:val="24"/>
        </w:rPr>
      </w:pPr>
    </w:p>
    <w:p w14:paraId="28EB6AC0" w14:textId="77777777" w:rsidR="00AA7CFF" w:rsidRPr="001B16AF" w:rsidRDefault="00AA7CFF" w:rsidP="00AA7CFF">
      <w:pPr>
        <w:pStyle w:val="NoSpacing"/>
        <w:rPr>
          <w:rFonts w:ascii="Arial" w:hAnsi="Arial" w:cs="Arial"/>
          <w:b/>
          <w:color w:val="000000" w:themeColor="text1"/>
          <w:sz w:val="24"/>
          <w:szCs w:val="24"/>
          <w:u w:val="single"/>
        </w:rPr>
      </w:pPr>
      <w:r w:rsidRPr="001B16AF">
        <w:rPr>
          <w:rFonts w:ascii="Arial" w:hAnsi="Arial" w:cs="Arial"/>
          <w:b/>
          <w:color w:val="000000" w:themeColor="text1"/>
          <w:sz w:val="24"/>
          <w:szCs w:val="24"/>
        </w:rPr>
        <w:t>6.2</w:t>
      </w:r>
      <w:r w:rsidRPr="001B16AF">
        <w:rPr>
          <w:rFonts w:ascii="Arial" w:hAnsi="Arial" w:cs="Arial"/>
          <w:b/>
          <w:color w:val="000000" w:themeColor="text1"/>
          <w:sz w:val="24"/>
          <w:szCs w:val="24"/>
        </w:rPr>
        <w:tab/>
      </w:r>
      <w:r w:rsidRPr="001B16AF">
        <w:rPr>
          <w:rFonts w:ascii="Arial" w:hAnsi="Arial" w:cs="Arial"/>
          <w:b/>
          <w:color w:val="000000" w:themeColor="text1"/>
          <w:sz w:val="24"/>
          <w:szCs w:val="24"/>
          <w:u w:val="single"/>
        </w:rPr>
        <w:t>Demand</w:t>
      </w:r>
    </w:p>
    <w:p w14:paraId="6A6B0DCE" w14:textId="77777777" w:rsidR="00AA7CFF" w:rsidRPr="001B16AF" w:rsidRDefault="00AA7CFF" w:rsidP="00AA7CFF">
      <w:pPr>
        <w:pStyle w:val="NoSpacing"/>
        <w:ind w:left="709"/>
        <w:rPr>
          <w:rFonts w:ascii="Arial" w:hAnsi="Arial" w:cs="Arial"/>
          <w:b/>
          <w:color w:val="000000" w:themeColor="text1"/>
          <w:sz w:val="24"/>
          <w:szCs w:val="24"/>
          <w:u w:val="single"/>
        </w:rPr>
      </w:pPr>
    </w:p>
    <w:p w14:paraId="27FD91AC" w14:textId="792400BB" w:rsidR="00AA7CFF" w:rsidRPr="001B16AF" w:rsidRDefault="00AA7CFF" w:rsidP="00AA7CFF">
      <w:pPr>
        <w:pStyle w:val="NoSpacing"/>
        <w:ind w:left="709"/>
        <w:rPr>
          <w:rFonts w:ascii="Arial" w:hAnsi="Arial" w:cs="Arial"/>
          <w:color w:val="000000" w:themeColor="text1"/>
          <w:sz w:val="24"/>
          <w:szCs w:val="24"/>
        </w:rPr>
      </w:pPr>
      <w:r w:rsidRPr="001B16AF">
        <w:rPr>
          <w:rFonts w:ascii="Arial" w:hAnsi="Arial" w:cs="Arial"/>
          <w:color w:val="000000" w:themeColor="text1"/>
          <w:sz w:val="24"/>
          <w:szCs w:val="24"/>
        </w:rPr>
        <w:t>The Balanced Scorecard ensures that demand is managed appropriately by identifying both good practice and areas of concern at a strategic level.</w:t>
      </w:r>
    </w:p>
    <w:p w14:paraId="45CA344C" w14:textId="77777777" w:rsidR="00AA7CFF" w:rsidRPr="001B16AF" w:rsidRDefault="00AA7CFF" w:rsidP="00AA7CFF">
      <w:pPr>
        <w:pStyle w:val="NoSpacing"/>
        <w:ind w:left="1418" w:hanging="709"/>
        <w:rPr>
          <w:rFonts w:ascii="Arial" w:hAnsi="Arial" w:cs="Arial"/>
          <w:b/>
          <w:color w:val="000000" w:themeColor="text1"/>
          <w:sz w:val="24"/>
          <w:szCs w:val="24"/>
        </w:rPr>
      </w:pPr>
    </w:p>
    <w:p w14:paraId="79452604" w14:textId="77777777" w:rsidR="00AA7CFF" w:rsidRPr="001B16AF" w:rsidRDefault="00AA7CFF" w:rsidP="00AA7CFF">
      <w:pPr>
        <w:pStyle w:val="NoSpacing"/>
        <w:ind w:left="709" w:hanging="709"/>
        <w:rPr>
          <w:rFonts w:ascii="Arial" w:hAnsi="Arial" w:cs="Arial"/>
          <w:b/>
          <w:color w:val="000000" w:themeColor="text1"/>
          <w:sz w:val="24"/>
          <w:szCs w:val="24"/>
          <w:u w:val="single"/>
        </w:rPr>
      </w:pPr>
      <w:r w:rsidRPr="001B16AF">
        <w:rPr>
          <w:rFonts w:ascii="Arial" w:hAnsi="Arial" w:cs="Arial"/>
          <w:b/>
          <w:color w:val="000000" w:themeColor="text1"/>
          <w:sz w:val="24"/>
          <w:szCs w:val="24"/>
        </w:rPr>
        <w:t>6.3</w:t>
      </w:r>
      <w:r w:rsidRPr="001B16AF">
        <w:rPr>
          <w:rFonts w:ascii="Arial" w:hAnsi="Arial" w:cs="Arial"/>
          <w:b/>
          <w:color w:val="000000" w:themeColor="text1"/>
          <w:sz w:val="24"/>
          <w:szCs w:val="24"/>
        </w:rPr>
        <w:tab/>
      </w:r>
      <w:r w:rsidRPr="001B16AF">
        <w:rPr>
          <w:rFonts w:ascii="Arial" w:hAnsi="Arial" w:cs="Arial"/>
          <w:b/>
          <w:color w:val="000000" w:themeColor="text1"/>
          <w:sz w:val="24"/>
          <w:szCs w:val="24"/>
          <w:u w:val="single"/>
        </w:rPr>
        <w:t>Risks/Mitigation</w:t>
      </w:r>
    </w:p>
    <w:p w14:paraId="6CD0628F" w14:textId="77777777" w:rsidR="00AA7CFF" w:rsidRPr="001B16AF" w:rsidRDefault="00AA7CFF" w:rsidP="00AA7CFF">
      <w:pPr>
        <w:pStyle w:val="NoSpacing"/>
        <w:ind w:left="720"/>
        <w:rPr>
          <w:rFonts w:ascii="Arial" w:hAnsi="Arial" w:cs="Arial"/>
          <w:color w:val="000000" w:themeColor="text1"/>
          <w:sz w:val="24"/>
          <w:szCs w:val="24"/>
        </w:rPr>
      </w:pPr>
    </w:p>
    <w:p w14:paraId="1161F293" w14:textId="77777777" w:rsidR="00AA7CFF" w:rsidRPr="001B16AF" w:rsidRDefault="00AA7CFF" w:rsidP="00AA7CFF">
      <w:pPr>
        <w:spacing w:after="0" w:line="240" w:lineRule="auto"/>
        <w:ind w:left="709"/>
        <w:contextualSpacing/>
        <w:rPr>
          <w:rFonts w:ascii="Arial" w:hAnsi="Arial"/>
          <w:color w:val="000000" w:themeColor="text1"/>
          <w:sz w:val="24"/>
        </w:rPr>
      </w:pPr>
      <w:r w:rsidRPr="001B16AF">
        <w:rPr>
          <w:rFonts w:ascii="Arial" w:hAnsi="Arial"/>
          <w:color w:val="000000" w:themeColor="text1"/>
          <w:sz w:val="24"/>
        </w:rPr>
        <w:t>Risk is discussed as part of the Balanced Scorecard process.  Balanced Scorecard meetings are also attended by staff from Continuous Improvement, who ensure that the Force Risk Register is updated with any new risks identified.</w:t>
      </w:r>
    </w:p>
    <w:p w14:paraId="75A3B728" w14:textId="77777777" w:rsidR="00AA7CFF" w:rsidRPr="001B16AF" w:rsidRDefault="00AA7CFF" w:rsidP="00AA7CFF">
      <w:pPr>
        <w:pStyle w:val="NoSpacing"/>
        <w:ind w:left="720"/>
        <w:rPr>
          <w:rFonts w:ascii="Arial" w:hAnsi="Arial" w:cs="Arial"/>
          <w:color w:val="000000" w:themeColor="text1"/>
          <w:sz w:val="24"/>
          <w:szCs w:val="24"/>
        </w:rPr>
      </w:pPr>
    </w:p>
    <w:p w14:paraId="24B67DDB" w14:textId="77777777" w:rsidR="00AA7CFF" w:rsidRPr="001B16AF" w:rsidRDefault="00AA7CFF" w:rsidP="00AA7CFF">
      <w:pPr>
        <w:pStyle w:val="NoSpacing"/>
        <w:rPr>
          <w:rFonts w:ascii="Arial" w:hAnsi="Arial" w:cs="Arial"/>
          <w:b/>
          <w:color w:val="000000" w:themeColor="text1"/>
          <w:sz w:val="24"/>
          <w:szCs w:val="24"/>
          <w:u w:val="single"/>
        </w:rPr>
      </w:pPr>
      <w:r w:rsidRPr="001B16AF">
        <w:rPr>
          <w:rFonts w:ascii="Arial" w:hAnsi="Arial" w:cs="Arial"/>
          <w:b/>
          <w:color w:val="000000" w:themeColor="text1"/>
          <w:sz w:val="24"/>
          <w:szCs w:val="24"/>
        </w:rPr>
        <w:t>6.4</w:t>
      </w:r>
      <w:r w:rsidRPr="001B16AF">
        <w:rPr>
          <w:rFonts w:ascii="Arial" w:hAnsi="Arial" w:cs="Arial"/>
          <w:b/>
          <w:color w:val="000000" w:themeColor="text1"/>
          <w:sz w:val="24"/>
          <w:szCs w:val="24"/>
        </w:rPr>
        <w:tab/>
      </w:r>
      <w:r w:rsidRPr="001B16AF">
        <w:rPr>
          <w:rFonts w:ascii="Arial" w:hAnsi="Arial" w:cs="Arial"/>
          <w:b/>
          <w:color w:val="000000" w:themeColor="text1"/>
          <w:sz w:val="24"/>
          <w:szCs w:val="24"/>
          <w:u w:val="single"/>
        </w:rPr>
        <w:t xml:space="preserve">Equality and/or Human Rights Implications </w:t>
      </w:r>
    </w:p>
    <w:p w14:paraId="08070C02" w14:textId="77777777" w:rsidR="00AA7CFF" w:rsidRPr="001B16AF" w:rsidRDefault="00AA7CFF" w:rsidP="00AA7CFF">
      <w:pPr>
        <w:pStyle w:val="NoSpacing"/>
        <w:ind w:left="709"/>
        <w:rPr>
          <w:rFonts w:ascii="Arial" w:hAnsi="Arial" w:cs="Arial"/>
          <w:color w:val="000000" w:themeColor="text1"/>
          <w:sz w:val="24"/>
          <w:szCs w:val="24"/>
        </w:rPr>
      </w:pPr>
    </w:p>
    <w:p w14:paraId="11646D37" w14:textId="77777777" w:rsidR="00AA7CFF" w:rsidRPr="001B16AF" w:rsidRDefault="00AA7CFF" w:rsidP="00AA7CFF">
      <w:pPr>
        <w:pStyle w:val="NoSpacing"/>
        <w:ind w:left="720"/>
        <w:rPr>
          <w:rFonts w:ascii="Arial" w:hAnsi="Arial" w:cs="Arial"/>
          <w:color w:val="000000" w:themeColor="text1"/>
          <w:sz w:val="24"/>
          <w:szCs w:val="24"/>
        </w:rPr>
      </w:pPr>
      <w:r w:rsidRPr="001B16AF">
        <w:rPr>
          <w:rFonts w:ascii="Arial" w:hAnsi="Arial" w:cs="Arial"/>
          <w:color w:val="000000" w:themeColor="text1"/>
          <w:sz w:val="24"/>
          <w:szCs w:val="24"/>
        </w:rPr>
        <w:t>No equality or human rights implications were identified in the process of writing this report.</w:t>
      </w:r>
    </w:p>
    <w:p w14:paraId="54BE8B34" w14:textId="77777777" w:rsidR="00AA7CFF" w:rsidRPr="001B16AF" w:rsidRDefault="00AA7CFF" w:rsidP="00AA7CFF">
      <w:pPr>
        <w:pStyle w:val="NoSpacing"/>
        <w:ind w:left="720"/>
        <w:rPr>
          <w:rFonts w:ascii="Arial" w:hAnsi="Arial" w:cs="Arial"/>
          <w:b/>
          <w:color w:val="000000" w:themeColor="text1"/>
          <w:sz w:val="24"/>
          <w:szCs w:val="24"/>
        </w:rPr>
      </w:pPr>
    </w:p>
    <w:p w14:paraId="2CEF3AE2" w14:textId="4B48B4DA" w:rsidR="00AA7CFF" w:rsidRPr="001B16AF" w:rsidRDefault="00AA7CFF" w:rsidP="00AA7CFF">
      <w:pPr>
        <w:pStyle w:val="NoSpacing"/>
        <w:rPr>
          <w:rFonts w:ascii="Arial" w:hAnsi="Arial" w:cs="Arial"/>
          <w:b/>
          <w:color w:val="000000" w:themeColor="text1"/>
          <w:sz w:val="24"/>
          <w:szCs w:val="24"/>
        </w:rPr>
      </w:pPr>
      <w:r w:rsidRPr="001B16AF">
        <w:rPr>
          <w:rFonts w:ascii="Arial" w:hAnsi="Arial" w:cs="Arial"/>
          <w:b/>
          <w:color w:val="000000" w:themeColor="text1"/>
          <w:sz w:val="24"/>
          <w:szCs w:val="24"/>
        </w:rPr>
        <w:t>6.5</w:t>
      </w:r>
      <w:r w:rsidRPr="001B16AF">
        <w:rPr>
          <w:rFonts w:ascii="Arial" w:hAnsi="Arial" w:cs="Arial"/>
          <w:b/>
          <w:color w:val="000000" w:themeColor="text1"/>
          <w:sz w:val="24"/>
          <w:szCs w:val="24"/>
        </w:rPr>
        <w:tab/>
      </w:r>
      <w:r w:rsidRPr="001B16AF">
        <w:rPr>
          <w:rFonts w:ascii="Arial" w:hAnsi="Arial" w:cs="Arial"/>
          <w:b/>
          <w:color w:val="000000" w:themeColor="text1"/>
          <w:sz w:val="24"/>
          <w:szCs w:val="24"/>
          <w:u w:val="single"/>
        </w:rPr>
        <w:t>Health and Safety Implications</w:t>
      </w:r>
      <w:r w:rsidRPr="001B16AF">
        <w:rPr>
          <w:rFonts w:ascii="Arial" w:hAnsi="Arial" w:cs="Arial"/>
          <w:b/>
          <w:color w:val="000000" w:themeColor="text1"/>
          <w:sz w:val="24"/>
          <w:szCs w:val="24"/>
        </w:rPr>
        <w:t xml:space="preserve"> </w:t>
      </w:r>
    </w:p>
    <w:p w14:paraId="3F4EFEC4" w14:textId="77777777" w:rsidR="001B16AF" w:rsidRPr="001B16AF" w:rsidRDefault="001B16AF" w:rsidP="00AA7CFF">
      <w:pPr>
        <w:pStyle w:val="NoSpacing"/>
        <w:rPr>
          <w:rFonts w:ascii="Arial" w:hAnsi="Arial" w:cs="Arial"/>
          <w:b/>
          <w:color w:val="000000" w:themeColor="text1"/>
          <w:sz w:val="24"/>
          <w:szCs w:val="24"/>
        </w:rPr>
      </w:pPr>
    </w:p>
    <w:p w14:paraId="70B2C6A4" w14:textId="77777777" w:rsidR="00AA7CFF" w:rsidRPr="001B16AF" w:rsidRDefault="00AA7CFF" w:rsidP="00AA7CFF">
      <w:pPr>
        <w:pStyle w:val="NoSpacing"/>
        <w:ind w:left="709" w:firstLine="11"/>
        <w:rPr>
          <w:rFonts w:ascii="Arial" w:hAnsi="Arial" w:cs="Arial"/>
          <w:color w:val="000000" w:themeColor="text1"/>
          <w:sz w:val="24"/>
          <w:szCs w:val="24"/>
        </w:rPr>
      </w:pPr>
      <w:r w:rsidRPr="001B16AF">
        <w:rPr>
          <w:rFonts w:ascii="Arial" w:hAnsi="Arial" w:cs="Arial"/>
          <w:color w:val="000000" w:themeColor="text1"/>
          <w:sz w:val="24"/>
          <w:szCs w:val="24"/>
        </w:rPr>
        <w:t>No health and safety implications were identified in the process of writing this report.</w:t>
      </w:r>
    </w:p>
    <w:p w14:paraId="157B79EA" w14:textId="77777777" w:rsidR="00AA7CFF" w:rsidRPr="000409E6" w:rsidRDefault="00AA7CFF" w:rsidP="00AA7CFF">
      <w:pPr>
        <w:pStyle w:val="NoSpacing"/>
        <w:ind w:left="709"/>
        <w:rPr>
          <w:rFonts w:ascii="Arial" w:hAnsi="Arial" w:cs="Arial"/>
          <w:b/>
          <w:color w:val="FF0000"/>
          <w:sz w:val="24"/>
          <w:szCs w:val="24"/>
        </w:rPr>
      </w:pPr>
    </w:p>
    <w:p w14:paraId="3D00D50F" w14:textId="77777777" w:rsidR="00AA7CFF" w:rsidRPr="00C70CB8" w:rsidRDefault="00AA7CFF" w:rsidP="00AA7CFF">
      <w:pPr>
        <w:pStyle w:val="NoSpacing"/>
        <w:ind w:left="709" w:hanging="709"/>
        <w:rPr>
          <w:rFonts w:ascii="Arial" w:hAnsi="Arial" w:cs="Arial"/>
          <w:b/>
          <w:color w:val="000000" w:themeColor="text1"/>
          <w:sz w:val="24"/>
          <w:szCs w:val="24"/>
          <w:u w:val="single"/>
        </w:rPr>
      </w:pPr>
      <w:r w:rsidRPr="00C70CB8">
        <w:rPr>
          <w:rFonts w:ascii="Arial" w:hAnsi="Arial" w:cs="Arial"/>
          <w:b/>
          <w:color w:val="000000" w:themeColor="text1"/>
          <w:sz w:val="24"/>
          <w:szCs w:val="24"/>
        </w:rPr>
        <w:t>7.0</w:t>
      </w:r>
      <w:r w:rsidRPr="00C70CB8">
        <w:rPr>
          <w:rFonts w:ascii="Arial" w:hAnsi="Arial" w:cs="Arial"/>
          <w:b/>
          <w:color w:val="000000" w:themeColor="text1"/>
          <w:sz w:val="24"/>
          <w:szCs w:val="24"/>
        </w:rPr>
        <w:tab/>
      </w:r>
      <w:r w:rsidRPr="00C70CB8">
        <w:rPr>
          <w:rFonts w:ascii="Arial" w:hAnsi="Arial" w:cs="Arial"/>
          <w:b/>
          <w:color w:val="000000" w:themeColor="text1"/>
          <w:sz w:val="24"/>
          <w:szCs w:val="24"/>
          <w:u w:val="single"/>
        </w:rPr>
        <w:t>Consultation/Engagement</w:t>
      </w:r>
    </w:p>
    <w:p w14:paraId="63FA6C20" w14:textId="77777777" w:rsidR="00AA7CFF" w:rsidRPr="00C70CB8" w:rsidRDefault="00AA7CFF" w:rsidP="00AA7CFF">
      <w:pPr>
        <w:pStyle w:val="NoSpacing"/>
        <w:ind w:left="709"/>
        <w:rPr>
          <w:rFonts w:ascii="Arial" w:hAnsi="Arial" w:cs="Arial"/>
          <w:b/>
          <w:color w:val="000000" w:themeColor="text1"/>
          <w:sz w:val="24"/>
          <w:szCs w:val="24"/>
        </w:rPr>
      </w:pPr>
    </w:p>
    <w:p w14:paraId="1912F300" w14:textId="77777777" w:rsidR="00AA7CFF" w:rsidRPr="00C70CB8" w:rsidRDefault="00AA7CFF" w:rsidP="00AA7CFF">
      <w:pPr>
        <w:pStyle w:val="NoSpacing"/>
        <w:ind w:left="709"/>
        <w:rPr>
          <w:rFonts w:ascii="Arial" w:hAnsi="Arial" w:cs="Arial"/>
          <w:color w:val="000000" w:themeColor="text1"/>
          <w:sz w:val="24"/>
          <w:szCs w:val="24"/>
        </w:rPr>
      </w:pPr>
      <w:r w:rsidRPr="00C70CB8">
        <w:rPr>
          <w:rFonts w:ascii="Arial" w:hAnsi="Arial" w:cs="Arial"/>
          <w:color w:val="000000" w:themeColor="text1"/>
          <w:sz w:val="24"/>
          <w:szCs w:val="24"/>
        </w:rPr>
        <w:t>All commands involved in the Balanced Scorecard process were consulted in the last cycle, particularly with the identification of “Redline Measures” and the data required to support the effective completion of the Balanced Scorecard returns.</w:t>
      </w:r>
    </w:p>
    <w:p w14:paraId="070105A5" w14:textId="77777777" w:rsidR="00AA7CFF" w:rsidRPr="00C70CB8" w:rsidRDefault="00AA7CFF" w:rsidP="00AA7CFF">
      <w:pPr>
        <w:pStyle w:val="NoSpacing"/>
        <w:ind w:left="709"/>
        <w:rPr>
          <w:rFonts w:ascii="Arial" w:hAnsi="Arial" w:cs="Arial"/>
          <w:color w:val="000000" w:themeColor="text1"/>
          <w:sz w:val="24"/>
          <w:szCs w:val="24"/>
        </w:rPr>
      </w:pPr>
    </w:p>
    <w:p w14:paraId="4D4238B9" w14:textId="77777777" w:rsidR="00AA7CFF" w:rsidRPr="00C70CB8" w:rsidRDefault="00AA7CFF" w:rsidP="00AA7CFF">
      <w:pPr>
        <w:pStyle w:val="NoSpacing"/>
        <w:ind w:left="720" w:hanging="720"/>
        <w:rPr>
          <w:rFonts w:ascii="Arial" w:hAnsi="Arial" w:cs="Arial"/>
          <w:b/>
          <w:color w:val="000000" w:themeColor="text1"/>
          <w:sz w:val="24"/>
          <w:szCs w:val="24"/>
          <w:u w:val="single"/>
        </w:rPr>
      </w:pPr>
      <w:r w:rsidRPr="00C70CB8">
        <w:rPr>
          <w:rFonts w:ascii="Arial" w:hAnsi="Arial" w:cs="Arial"/>
          <w:b/>
          <w:color w:val="000000" w:themeColor="text1"/>
          <w:sz w:val="24"/>
          <w:szCs w:val="24"/>
        </w:rPr>
        <w:t>8.0</w:t>
      </w:r>
      <w:r w:rsidRPr="00C70CB8">
        <w:rPr>
          <w:rFonts w:ascii="Arial" w:hAnsi="Arial" w:cs="Arial"/>
          <w:b/>
          <w:color w:val="000000" w:themeColor="text1"/>
          <w:sz w:val="24"/>
          <w:szCs w:val="24"/>
        </w:rPr>
        <w:tab/>
      </w:r>
      <w:r w:rsidRPr="00C70CB8">
        <w:rPr>
          <w:rFonts w:ascii="Arial" w:hAnsi="Arial" w:cs="Arial"/>
          <w:b/>
          <w:color w:val="000000" w:themeColor="text1"/>
          <w:sz w:val="24"/>
          <w:szCs w:val="24"/>
          <w:u w:val="single"/>
        </w:rPr>
        <w:t>Actions for Improvement</w:t>
      </w:r>
    </w:p>
    <w:p w14:paraId="0086EA60" w14:textId="77777777" w:rsidR="00AA7CFF" w:rsidRPr="00C70CB8" w:rsidRDefault="00AA7CFF" w:rsidP="00AA7CFF">
      <w:pPr>
        <w:pStyle w:val="NoSpacing"/>
        <w:ind w:left="720"/>
        <w:rPr>
          <w:rFonts w:ascii="Arial" w:hAnsi="Arial" w:cs="Arial"/>
          <w:color w:val="000000" w:themeColor="text1"/>
          <w:sz w:val="24"/>
          <w:szCs w:val="24"/>
        </w:rPr>
      </w:pPr>
    </w:p>
    <w:p w14:paraId="52DA1E32" w14:textId="77777777" w:rsidR="00AA7CFF" w:rsidRPr="00C70CB8" w:rsidRDefault="00AA7CFF" w:rsidP="00AA7CFF">
      <w:pPr>
        <w:spacing w:after="0" w:line="240" w:lineRule="auto"/>
        <w:ind w:left="709"/>
        <w:rPr>
          <w:rFonts w:ascii="Arial" w:hAnsi="Arial" w:cs="Arial"/>
          <w:color w:val="000000" w:themeColor="text1"/>
          <w:sz w:val="24"/>
          <w:szCs w:val="24"/>
        </w:rPr>
      </w:pPr>
      <w:r w:rsidRPr="00C70CB8">
        <w:rPr>
          <w:rFonts w:ascii="Arial" w:hAnsi="Arial" w:cs="Arial"/>
          <w:color w:val="000000" w:themeColor="text1"/>
          <w:sz w:val="24"/>
          <w:szCs w:val="24"/>
        </w:rPr>
        <w:t>The Balanced Scorecard identifies good practice, but also areas for improvement.  Areas graded at “Requires Improvement” or below become the focus for the Chief Constable’s Essex Synergy and Performance meeting, and the next cycle of the Balanced Scorecard process.</w:t>
      </w:r>
    </w:p>
    <w:p w14:paraId="14C53C49" w14:textId="77777777" w:rsidR="00AA7CFF" w:rsidRPr="00C70CB8" w:rsidRDefault="00AA7CFF" w:rsidP="00AA7CFF">
      <w:pPr>
        <w:pStyle w:val="NoSpacing"/>
        <w:ind w:left="709"/>
        <w:rPr>
          <w:rFonts w:ascii="Arial" w:hAnsi="Arial" w:cs="Arial"/>
          <w:color w:val="000000" w:themeColor="text1"/>
          <w:sz w:val="24"/>
          <w:szCs w:val="24"/>
        </w:rPr>
      </w:pPr>
    </w:p>
    <w:p w14:paraId="6DA66C79" w14:textId="77777777" w:rsidR="00AA7CFF" w:rsidRPr="00C70CB8" w:rsidRDefault="00AA7CFF" w:rsidP="00AA7CFF">
      <w:pPr>
        <w:pStyle w:val="NoSpacing"/>
        <w:rPr>
          <w:rFonts w:ascii="Arial" w:hAnsi="Arial" w:cs="Arial"/>
          <w:b/>
          <w:color w:val="000000" w:themeColor="text1"/>
          <w:sz w:val="24"/>
          <w:szCs w:val="24"/>
          <w:u w:val="single"/>
        </w:rPr>
      </w:pPr>
      <w:r w:rsidRPr="00C70CB8">
        <w:rPr>
          <w:rFonts w:ascii="Arial" w:hAnsi="Arial" w:cs="Arial"/>
          <w:b/>
          <w:color w:val="000000" w:themeColor="text1"/>
          <w:sz w:val="24"/>
          <w:szCs w:val="24"/>
        </w:rPr>
        <w:t>9.0</w:t>
      </w:r>
      <w:r w:rsidRPr="00C70CB8">
        <w:rPr>
          <w:rFonts w:ascii="Arial" w:hAnsi="Arial" w:cs="Arial"/>
          <w:b/>
          <w:color w:val="000000" w:themeColor="text1"/>
          <w:sz w:val="24"/>
          <w:szCs w:val="24"/>
        </w:rPr>
        <w:tab/>
      </w:r>
      <w:r w:rsidRPr="00C70CB8">
        <w:rPr>
          <w:rFonts w:ascii="Arial" w:hAnsi="Arial" w:cs="Arial"/>
          <w:b/>
          <w:color w:val="000000" w:themeColor="text1"/>
          <w:sz w:val="24"/>
          <w:szCs w:val="24"/>
          <w:u w:val="single"/>
        </w:rPr>
        <w:t>Future Work/Development and Expected Outcome</w:t>
      </w:r>
    </w:p>
    <w:p w14:paraId="249C4164" w14:textId="77777777" w:rsidR="00AA7CFF" w:rsidRPr="00C70CB8" w:rsidRDefault="00AA7CFF" w:rsidP="00AA7CFF">
      <w:pPr>
        <w:pStyle w:val="NoSpacing"/>
        <w:ind w:left="720"/>
        <w:rPr>
          <w:rFonts w:ascii="Arial" w:hAnsi="Arial" w:cs="Arial"/>
          <w:color w:val="000000" w:themeColor="text1"/>
          <w:sz w:val="24"/>
          <w:szCs w:val="24"/>
        </w:rPr>
      </w:pPr>
    </w:p>
    <w:p w14:paraId="19854E4E" w14:textId="338A6F6C" w:rsidR="00AA7CFF" w:rsidRPr="00C70CB8" w:rsidRDefault="00370B89" w:rsidP="00AA7CFF">
      <w:pPr>
        <w:pStyle w:val="NoSpacing"/>
        <w:ind w:left="709"/>
        <w:rPr>
          <w:rFonts w:ascii="Arial" w:hAnsi="Arial" w:cs="Arial"/>
          <w:color w:val="000000" w:themeColor="text1"/>
          <w:sz w:val="24"/>
          <w:szCs w:val="24"/>
        </w:rPr>
      </w:pPr>
      <w:r>
        <w:rPr>
          <w:rFonts w:ascii="Arial" w:hAnsi="Arial" w:cs="Arial"/>
          <w:color w:val="000000" w:themeColor="text1"/>
          <w:sz w:val="24"/>
          <w:szCs w:val="24"/>
        </w:rPr>
        <w:t>The</w:t>
      </w:r>
      <w:r w:rsidR="00AA7CFF" w:rsidRPr="00C70CB8">
        <w:rPr>
          <w:rFonts w:ascii="Arial" w:hAnsi="Arial" w:cs="Arial"/>
          <w:color w:val="000000" w:themeColor="text1"/>
          <w:sz w:val="24"/>
          <w:szCs w:val="24"/>
        </w:rPr>
        <w:t xml:space="preserve"> Performance </w:t>
      </w:r>
      <w:r w:rsidR="00C70CB8" w:rsidRPr="00C70CB8">
        <w:rPr>
          <w:rFonts w:ascii="Arial" w:hAnsi="Arial" w:cs="Arial"/>
          <w:color w:val="000000" w:themeColor="text1"/>
          <w:sz w:val="24"/>
          <w:szCs w:val="24"/>
        </w:rPr>
        <w:t>Analysis</w:t>
      </w:r>
      <w:r w:rsidR="00AA7CFF" w:rsidRPr="00C70CB8">
        <w:rPr>
          <w:rFonts w:ascii="Arial" w:hAnsi="Arial" w:cs="Arial"/>
          <w:color w:val="000000" w:themeColor="text1"/>
          <w:sz w:val="24"/>
          <w:szCs w:val="24"/>
        </w:rPr>
        <w:t xml:space="preserve"> Unit at Essex Police are currently working </w:t>
      </w:r>
      <w:r>
        <w:rPr>
          <w:rFonts w:ascii="Arial" w:hAnsi="Arial" w:cs="Arial"/>
          <w:color w:val="000000" w:themeColor="text1"/>
          <w:sz w:val="24"/>
          <w:szCs w:val="24"/>
        </w:rPr>
        <w:t xml:space="preserve">on a reboot of the Balanced Scorecard.  This will involve the continued use of </w:t>
      </w:r>
      <w:r w:rsidR="00AA7CFF" w:rsidRPr="00C70CB8">
        <w:rPr>
          <w:rFonts w:ascii="Arial" w:hAnsi="Arial" w:cs="Arial"/>
          <w:color w:val="000000" w:themeColor="text1"/>
          <w:sz w:val="24"/>
          <w:szCs w:val="24"/>
        </w:rPr>
        <w:t>“Redline Measures” for all areas on the Balanced Scorecard</w:t>
      </w:r>
      <w:r>
        <w:rPr>
          <w:rFonts w:ascii="Arial" w:hAnsi="Arial" w:cs="Arial"/>
          <w:color w:val="000000" w:themeColor="text1"/>
          <w:sz w:val="24"/>
          <w:szCs w:val="24"/>
        </w:rPr>
        <w:t>, as well as evidence-based Key Performance Indicators (KPIs)</w:t>
      </w:r>
      <w:r w:rsidR="00AA7CFF" w:rsidRPr="00C70CB8">
        <w:rPr>
          <w:rFonts w:ascii="Arial" w:hAnsi="Arial" w:cs="Arial"/>
          <w:color w:val="000000" w:themeColor="text1"/>
          <w:sz w:val="24"/>
          <w:szCs w:val="24"/>
        </w:rPr>
        <w:t xml:space="preserve">.  Other commands within the Force – such as the </w:t>
      </w:r>
      <w:r w:rsidR="00C70CB8" w:rsidRPr="00C70CB8">
        <w:rPr>
          <w:rFonts w:ascii="Arial" w:hAnsi="Arial" w:cs="Arial"/>
          <w:color w:val="000000" w:themeColor="text1"/>
          <w:sz w:val="24"/>
          <w:szCs w:val="24"/>
        </w:rPr>
        <w:t xml:space="preserve">Contact Management </w:t>
      </w:r>
      <w:r w:rsidR="00AA7CFF" w:rsidRPr="00C70CB8">
        <w:rPr>
          <w:rFonts w:ascii="Arial" w:hAnsi="Arial" w:cs="Arial"/>
          <w:color w:val="000000" w:themeColor="text1"/>
          <w:sz w:val="24"/>
          <w:szCs w:val="24"/>
        </w:rPr>
        <w:t xml:space="preserve">– are also </w:t>
      </w:r>
      <w:r w:rsidR="00C70CB8" w:rsidRPr="00C70CB8">
        <w:rPr>
          <w:rFonts w:ascii="Arial" w:hAnsi="Arial" w:cs="Arial"/>
          <w:color w:val="000000" w:themeColor="text1"/>
          <w:sz w:val="24"/>
          <w:szCs w:val="24"/>
        </w:rPr>
        <w:t xml:space="preserve">in the process of being introduced to the </w:t>
      </w:r>
      <w:r w:rsidR="00AA7CFF" w:rsidRPr="00C70CB8">
        <w:rPr>
          <w:rFonts w:ascii="Arial" w:hAnsi="Arial" w:cs="Arial"/>
          <w:color w:val="000000" w:themeColor="text1"/>
          <w:sz w:val="24"/>
          <w:szCs w:val="24"/>
        </w:rPr>
        <w:t>Balanced Scorecard</w:t>
      </w:r>
      <w:r w:rsidR="00C70CB8" w:rsidRPr="00C70CB8">
        <w:rPr>
          <w:rFonts w:ascii="Arial" w:hAnsi="Arial" w:cs="Arial"/>
          <w:color w:val="000000" w:themeColor="text1"/>
          <w:sz w:val="24"/>
          <w:szCs w:val="24"/>
        </w:rPr>
        <w:t xml:space="preserve"> process</w:t>
      </w:r>
      <w:r w:rsidR="00AA7CFF" w:rsidRPr="00C70CB8">
        <w:rPr>
          <w:rFonts w:ascii="Arial" w:hAnsi="Arial" w:cs="Arial"/>
          <w:color w:val="000000" w:themeColor="text1"/>
          <w:sz w:val="24"/>
          <w:szCs w:val="24"/>
        </w:rPr>
        <w:t>.</w:t>
      </w:r>
    </w:p>
    <w:p w14:paraId="2A19C9EC" w14:textId="77777777" w:rsidR="00AA7CFF" w:rsidRPr="00C70CB8" w:rsidRDefault="00AA7CFF" w:rsidP="00AA7CFF">
      <w:pPr>
        <w:pStyle w:val="NoSpacing"/>
        <w:ind w:left="720"/>
        <w:rPr>
          <w:rFonts w:ascii="Arial" w:hAnsi="Arial" w:cs="Arial"/>
          <w:color w:val="000000" w:themeColor="text1"/>
          <w:sz w:val="24"/>
          <w:szCs w:val="24"/>
        </w:rPr>
      </w:pPr>
    </w:p>
    <w:p w14:paraId="429C9B50" w14:textId="77777777" w:rsidR="004513A0" w:rsidRPr="000409E6" w:rsidRDefault="004513A0" w:rsidP="002877D7">
      <w:pPr>
        <w:pStyle w:val="NoSpacing"/>
        <w:ind w:left="720"/>
        <w:rPr>
          <w:rFonts w:ascii="Arial" w:hAnsi="Arial" w:cs="Arial"/>
          <w:color w:val="FF0000"/>
          <w:sz w:val="24"/>
          <w:szCs w:val="24"/>
        </w:rPr>
        <w:sectPr w:rsidR="004513A0" w:rsidRPr="000409E6" w:rsidSect="00773654">
          <w:headerReference w:type="default" r:id="rId11"/>
          <w:footerReference w:type="default" r:id="rId12"/>
          <w:pgSz w:w="11906" w:h="16838"/>
          <w:pgMar w:top="1440" w:right="1080" w:bottom="1440" w:left="1080" w:header="708" w:footer="370" w:gutter="0"/>
          <w:cols w:space="708"/>
          <w:docGrid w:linePitch="360"/>
        </w:sectPr>
      </w:pPr>
    </w:p>
    <w:p w14:paraId="0CFF32B8" w14:textId="77777777" w:rsidR="004513A0" w:rsidRPr="000409E6" w:rsidRDefault="004513A0">
      <w:pPr>
        <w:rPr>
          <w:rFonts w:ascii="Arial" w:hAnsi="Arial" w:cs="Arial"/>
          <w:color w:val="FF0000"/>
          <w:sz w:val="24"/>
          <w:szCs w:val="24"/>
        </w:rPr>
      </w:pPr>
    </w:p>
    <w:p w14:paraId="35496A7A" w14:textId="77777777" w:rsidR="004513A0" w:rsidRPr="00515622" w:rsidRDefault="008C24C5" w:rsidP="008C24C5">
      <w:pPr>
        <w:ind w:firstLine="720"/>
        <w:rPr>
          <w:rFonts w:ascii="Arial" w:hAnsi="Arial" w:cs="Arial"/>
          <w:b/>
          <w:color w:val="000000" w:themeColor="text1"/>
          <w:sz w:val="24"/>
          <w:szCs w:val="24"/>
          <w:u w:val="single"/>
        </w:rPr>
      </w:pPr>
      <w:r w:rsidRPr="00515622">
        <w:rPr>
          <w:rFonts w:ascii="Arial" w:hAnsi="Arial" w:cs="Arial"/>
          <w:b/>
          <w:color w:val="000000" w:themeColor="text1"/>
          <w:sz w:val="24"/>
          <w:szCs w:val="24"/>
          <w:u w:val="single"/>
        </w:rPr>
        <w:t xml:space="preserve">Appendix 1: Force-Level Balanced Scorecard </w:t>
      </w:r>
      <w:proofErr w:type="spellStart"/>
      <w:r w:rsidRPr="00515622">
        <w:rPr>
          <w:rFonts w:ascii="Arial" w:hAnsi="Arial" w:cs="Arial"/>
          <w:b/>
          <w:color w:val="000000" w:themeColor="text1"/>
          <w:sz w:val="24"/>
          <w:szCs w:val="24"/>
          <w:u w:val="single"/>
        </w:rPr>
        <w:t>Gradings</w:t>
      </w:r>
      <w:proofErr w:type="spellEnd"/>
      <w:r w:rsidRPr="00515622">
        <w:rPr>
          <w:rFonts w:ascii="Arial" w:hAnsi="Arial" w:cs="Arial"/>
          <w:b/>
          <w:color w:val="000000" w:themeColor="text1"/>
          <w:sz w:val="24"/>
          <w:szCs w:val="24"/>
          <w:u w:val="single"/>
        </w:rPr>
        <w:t xml:space="preserve"> “Tube Map”</w:t>
      </w:r>
    </w:p>
    <w:p w14:paraId="5C86958C" w14:textId="77777777" w:rsidR="008C24C5" w:rsidRPr="00370B89" w:rsidRDefault="008C24C5">
      <w:pPr>
        <w:rPr>
          <w:rFonts w:ascii="Arial" w:hAnsi="Arial" w:cs="Arial"/>
          <w:b/>
          <w:color w:val="000000" w:themeColor="text1"/>
          <w:sz w:val="16"/>
          <w:szCs w:val="16"/>
          <w:u w:val="single"/>
        </w:rPr>
      </w:pPr>
    </w:p>
    <w:p w14:paraId="2AB20D63" w14:textId="4C0A0826" w:rsidR="00C42007" w:rsidRPr="00515622" w:rsidRDefault="00370B89" w:rsidP="00370B89">
      <w:pPr>
        <w:pStyle w:val="NoSpacing"/>
        <w:ind w:left="720"/>
        <w:jc w:val="center"/>
        <w:rPr>
          <w:rFonts w:ascii="Arial" w:hAnsi="Arial" w:cs="Arial"/>
          <w:color w:val="000000" w:themeColor="text1"/>
          <w:sz w:val="24"/>
          <w:szCs w:val="24"/>
        </w:rPr>
      </w:pPr>
      <w:r>
        <w:rPr>
          <w:rFonts w:ascii="Arial" w:hAnsi="Arial" w:cs="Arial"/>
          <w:noProof/>
          <w:color w:val="000000" w:themeColor="text1"/>
          <w:sz w:val="24"/>
          <w:szCs w:val="24"/>
          <w:lang w:eastAsia="en-GB"/>
        </w:rPr>
        <w:drawing>
          <wp:inline distT="0" distB="0" distL="0" distR="0" wp14:anchorId="61F4B4F0" wp14:editId="50FADD45">
            <wp:extent cx="8201025" cy="4920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08443" cy="4925384"/>
                    </a:xfrm>
                    <a:prstGeom prst="rect">
                      <a:avLst/>
                    </a:prstGeom>
                    <a:noFill/>
                  </pic:spPr>
                </pic:pic>
              </a:graphicData>
            </a:graphic>
          </wp:inline>
        </w:drawing>
      </w:r>
      <w:r w:rsidR="00C42007" w:rsidRPr="00515622">
        <w:rPr>
          <w:rFonts w:ascii="Arial" w:hAnsi="Arial" w:cs="Arial"/>
          <w:color w:val="000000" w:themeColor="text1"/>
          <w:sz w:val="24"/>
          <w:szCs w:val="24"/>
        </w:rPr>
        <w:br w:type="page"/>
      </w:r>
    </w:p>
    <w:p w14:paraId="0BB860DD" w14:textId="77777777" w:rsidR="008C24C5" w:rsidRPr="00515622" w:rsidRDefault="008C24C5" w:rsidP="008C24C5">
      <w:pPr>
        <w:ind w:firstLine="720"/>
        <w:rPr>
          <w:rFonts w:ascii="Arial" w:hAnsi="Arial" w:cs="Arial"/>
          <w:b/>
          <w:color w:val="000000" w:themeColor="text1"/>
          <w:sz w:val="24"/>
          <w:szCs w:val="24"/>
          <w:u w:val="single"/>
        </w:rPr>
      </w:pPr>
    </w:p>
    <w:p w14:paraId="3B68C638" w14:textId="77777777" w:rsidR="008C24C5" w:rsidRPr="00515622" w:rsidRDefault="008C24C5" w:rsidP="008C24C5">
      <w:pPr>
        <w:ind w:firstLine="720"/>
        <w:rPr>
          <w:rFonts w:ascii="Arial" w:hAnsi="Arial" w:cs="Arial"/>
          <w:b/>
          <w:color w:val="000000" w:themeColor="text1"/>
          <w:sz w:val="24"/>
          <w:szCs w:val="24"/>
          <w:u w:val="single"/>
        </w:rPr>
      </w:pPr>
      <w:r w:rsidRPr="00515622">
        <w:rPr>
          <w:rFonts w:ascii="Arial" w:hAnsi="Arial" w:cs="Arial"/>
          <w:b/>
          <w:color w:val="000000" w:themeColor="text1"/>
          <w:sz w:val="24"/>
          <w:szCs w:val="24"/>
          <w:u w:val="single"/>
        </w:rPr>
        <w:t xml:space="preserve">Appendix 2: Force Additional Priorities Balanced Scorecard </w:t>
      </w:r>
      <w:proofErr w:type="spellStart"/>
      <w:r w:rsidRPr="00515622">
        <w:rPr>
          <w:rFonts w:ascii="Arial" w:hAnsi="Arial" w:cs="Arial"/>
          <w:b/>
          <w:color w:val="000000" w:themeColor="text1"/>
          <w:sz w:val="24"/>
          <w:szCs w:val="24"/>
          <w:u w:val="single"/>
        </w:rPr>
        <w:t>Gradings</w:t>
      </w:r>
      <w:proofErr w:type="spellEnd"/>
      <w:r w:rsidRPr="00515622">
        <w:rPr>
          <w:rFonts w:ascii="Arial" w:hAnsi="Arial" w:cs="Arial"/>
          <w:b/>
          <w:color w:val="000000" w:themeColor="text1"/>
          <w:sz w:val="24"/>
          <w:szCs w:val="24"/>
          <w:u w:val="single"/>
        </w:rPr>
        <w:t xml:space="preserve"> “Tube Map”</w:t>
      </w:r>
    </w:p>
    <w:p w14:paraId="4ED90221" w14:textId="77777777" w:rsidR="008C24C5" w:rsidRPr="00515622" w:rsidRDefault="008C24C5" w:rsidP="002877D7">
      <w:pPr>
        <w:pStyle w:val="NoSpacing"/>
        <w:ind w:left="720"/>
        <w:rPr>
          <w:rFonts w:ascii="Arial" w:hAnsi="Arial" w:cs="Arial"/>
          <w:color w:val="000000" w:themeColor="text1"/>
          <w:sz w:val="24"/>
          <w:szCs w:val="24"/>
        </w:rPr>
      </w:pPr>
    </w:p>
    <w:p w14:paraId="763393C3" w14:textId="48C137BF" w:rsidR="00C42007" w:rsidRPr="00515622" w:rsidRDefault="00370B89" w:rsidP="00370B89">
      <w:pPr>
        <w:pStyle w:val="NoSpacing"/>
        <w:ind w:left="720"/>
        <w:jc w:val="center"/>
        <w:rPr>
          <w:rFonts w:ascii="Arial" w:hAnsi="Arial" w:cs="Arial"/>
          <w:color w:val="000000" w:themeColor="text1"/>
          <w:sz w:val="24"/>
          <w:szCs w:val="24"/>
        </w:rPr>
      </w:pPr>
      <w:r>
        <w:rPr>
          <w:rFonts w:ascii="Arial" w:hAnsi="Arial" w:cs="Arial"/>
          <w:noProof/>
          <w:color w:val="000000" w:themeColor="text1"/>
          <w:sz w:val="24"/>
          <w:szCs w:val="24"/>
          <w:lang w:eastAsia="en-GB"/>
        </w:rPr>
        <w:drawing>
          <wp:inline distT="0" distB="0" distL="0" distR="0" wp14:anchorId="09111D3E" wp14:editId="5C998428">
            <wp:extent cx="7315200" cy="508319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24173" cy="5089432"/>
                    </a:xfrm>
                    <a:prstGeom prst="rect">
                      <a:avLst/>
                    </a:prstGeom>
                    <a:noFill/>
                  </pic:spPr>
                </pic:pic>
              </a:graphicData>
            </a:graphic>
          </wp:inline>
        </w:drawing>
      </w:r>
    </w:p>
    <w:sectPr w:rsidR="00C42007" w:rsidRPr="00515622" w:rsidSect="00C42007">
      <w:pgSz w:w="16838" w:h="11906" w:orient="landscape"/>
      <w:pgMar w:top="720" w:right="720" w:bottom="720" w:left="72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45D70" w14:textId="77777777" w:rsidR="00DF2F02" w:rsidRDefault="00DF2F02" w:rsidP="00121A7F">
      <w:pPr>
        <w:spacing w:after="0" w:line="240" w:lineRule="auto"/>
      </w:pPr>
      <w:r>
        <w:separator/>
      </w:r>
    </w:p>
  </w:endnote>
  <w:endnote w:type="continuationSeparator" w:id="0">
    <w:p w14:paraId="4605F91C" w14:textId="77777777" w:rsidR="00DF2F02" w:rsidRDefault="00DF2F02"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14:paraId="25E16D5E" w14:textId="77777777" w:rsidR="006279AB" w:rsidRDefault="006279AB" w:rsidP="004F62BB">
            <w:pPr>
              <w:pStyle w:val="Footer"/>
              <w:jc w:val="center"/>
            </w:pPr>
          </w:p>
          <w:p w14:paraId="542D73C8" w14:textId="77777777"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6EBFA82E" w14:textId="77777777" w:rsidR="004F62BB" w:rsidRPr="006279AB" w:rsidRDefault="004F62BB" w:rsidP="004F62BB">
            <w:pPr>
              <w:pStyle w:val="Footer"/>
              <w:jc w:val="center"/>
              <w:rPr>
                <w:rFonts w:ascii="Arial" w:hAnsi="Arial" w:cs="Arial"/>
                <w:sz w:val="20"/>
                <w:szCs w:val="20"/>
              </w:rPr>
            </w:pPr>
          </w:p>
          <w:p w14:paraId="49A3D576" w14:textId="5D7BF27D"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FA2D63">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FA2D63">
              <w:rPr>
                <w:rFonts w:ascii="Arial" w:hAnsi="Arial" w:cs="Arial"/>
                <w:bCs/>
                <w:noProof/>
                <w:sz w:val="20"/>
                <w:szCs w:val="20"/>
              </w:rPr>
              <w:t>7</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F8BDA" w14:textId="77777777" w:rsidR="00DF2F02" w:rsidRDefault="00DF2F02" w:rsidP="00121A7F">
      <w:pPr>
        <w:spacing w:after="0" w:line="240" w:lineRule="auto"/>
      </w:pPr>
      <w:r>
        <w:separator/>
      </w:r>
    </w:p>
  </w:footnote>
  <w:footnote w:type="continuationSeparator" w:id="0">
    <w:p w14:paraId="3436058A" w14:textId="77777777" w:rsidR="00DF2F02" w:rsidRDefault="00DF2F02"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BB5F0" w14:textId="77777777" w:rsidR="004F62BB" w:rsidRDefault="00D6469E" w:rsidP="004F62BB">
    <w:pPr>
      <w:pStyle w:val="Header"/>
      <w:jc w:val="center"/>
      <w:rPr>
        <w:rFonts w:ascii="Arial" w:hAnsi="Arial" w:cs="Arial"/>
        <w:sz w:val="20"/>
      </w:rPr>
    </w:pPr>
    <w:r>
      <w:rPr>
        <w:rFonts w:ascii="Arial" w:hAnsi="Arial" w:cs="Arial"/>
        <w:sz w:val="20"/>
      </w:rPr>
      <w:t>OFFICIAL</w:t>
    </w:r>
  </w:p>
  <w:p w14:paraId="420F8870" w14:textId="77777777"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B7D3087"/>
    <w:multiLevelType w:val="hybridMultilevel"/>
    <w:tmpl w:val="E828F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03014B8"/>
    <w:multiLevelType w:val="hybridMultilevel"/>
    <w:tmpl w:val="27206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E943AF"/>
    <w:multiLevelType w:val="hybridMultilevel"/>
    <w:tmpl w:val="AC8E6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CB2578"/>
    <w:multiLevelType w:val="hybridMultilevel"/>
    <w:tmpl w:val="71069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100B41"/>
    <w:multiLevelType w:val="hybridMultilevel"/>
    <w:tmpl w:val="F2ECF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E40846"/>
    <w:multiLevelType w:val="hybridMultilevel"/>
    <w:tmpl w:val="1F1A77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63D4451"/>
    <w:multiLevelType w:val="hybridMultilevel"/>
    <w:tmpl w:val="80EA1C70"/>
    <w:lvl w:ilvl="0" w:tplc="09545DF8">
      <w:numFmt w:val="bullet"/>
      <w:lvlText w:val="•"/>
      <w:lvlJc w:val="left"/>
      <w:pPr>
        <w:ind w:left="1444" w:hanging="735"/>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2" w15:restartNumberingAfterBreak="0">
    <w:nsid w:val="491D233B"/>
    <w:multiLevelType w:val="hybridMultilevel"/>
    <w:tmpl w:val="891ED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33C3B"/>
    <w:multiLevelType w:val="hybridMultilevel"/>
    <w:tmpl w:val="BE0A24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15"/>
  </w:num>
  <w:num w:numId="5">
    <w:abstractNumId w:val="0"/>
  </w:num>
  <w:num w:numId="6">
    <w:abstractNumId w:val="16"/>
  </w:num>
  <w:num w:numId="7">
    <w:abstractNumId w:val="4"/>
  </w:num>
  <w:num w:numId="8">
    <w:abstractNumId w:val="11"/>
  </w:num>
  <w:num w:numId="9">
    <w:abstractNumId w:val="14"/>
  </w:num>
  <w:num w:numId="10">
    <w:abstractNumId w:val="10"/>
  </w:num>
  <w:num w:numId="11">
    <w:abstractNumId w:val="8"/>
  </w:num>
  <w:num w:numId="12">
    <w:abstractNumId w:val="7"/>
  </w:num>
  <w:num w:numId="13">
    <w:abstractNumId w:val="9"/>
  </w:num>
  <w:num w:numId="14">
    <w:abstractNumId w:val="6"/>
  </w:num>
  <w:num w:numId="15">
    <w:abstractNumId w:val="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1282"/>
    <w:rsid w:val="00017D7D"/>
    <w:rsid w:val="00027D5B"/>
    <w:rsid w:val="00040222"/>
    <w:rsid w:val="000409E6"/>
    <w:rsid w:val="00046E42"/>
    <w:rsid w:val="00060372"/>
    <w:rsid w:val="00073F7E"/>
    <w:rsid w:val="00085230"/>
    <w:rsid w:val="00095BD4"/>
    <w:rsid w:val="000B47B5"/>
    <w:rsid w:val="000C50CA"/>
    <w:rsid w:val="000D731C"/>
    <w:rsid w:val="000F2B18"/>
    <w:rsid w:val="000F45BE"/>
    <w:rsid w:val="00100897"/>
    <w:rsid w:val="00113B08"/>
    <w:rsid w:val="00121849"/>
    <w:rsid w:val="00121A7F"/>
    <w:rsid w:val="00154094"/>
    <w:rsid w:val="00155EDD"/>
    <w:rsid w:val="0015639A"/>
    <w:rsid w:val="00160B2C"/>
    <w:rsid w:val="001636C3"/>
    <w:rsid w:val="00176135"/>
    <w:rsid w:val="00182A62"/>
    <w:rsid w:val="001A5C06"/>
    <w:rsid w:val="001B16AF"/>
    <w:rsid w:val="001B2DB0"/>
    <w:rsid w:val="001B4C97"/>
    <w:rsid w:val="001D5222"/>
    <w:rsid w:val="001D75E3"/>
    <w:rsid w:val="001E2DAF"/>
    <w:rsid w:val="00211FB8"/>
    <w:rsid w:val="00234BCF"/>
    <w:rsid w:val="002464C5"/>
    <w:rsid w:val="00256B36"/>
    <w:rsid w:val="00275DCB"/>
    <w:rsid w:val="00280327"/>
    <w:rsid w:val="002877D7"/>
    <w:rsid w:val="00295BF9"/>
    <w:rsid w:val="002C17BD"/>
    <w:rsid w:val="002D50A5"/>
    <w:rsid w:val="002D64D7"/>
    <w:rsid w:val="002E0F92"/>
    <w:rsid w:val="002E46DF"/>
    <w:rsid w:val="002E7B7A"/>
    <w:rsid w:val="002F1835"/>
    <w:rsid w:val="002F67FA"/>
    <w:rsid w:val="0030288C"/>
    <w:rsid w:val="003341DF"/>
    <w:rsid w:val="0033431B"/>
    <w:rsid w:val="00346881"/>
    <w:rsid w:val="00346A3B"/>
    <w:rsid w:val="00352996"/>
    <w:rsid w:val="0036370F"/>
    <w:rsid w:val="00370B89"/>
    <w:rsid w:val="00376772"/>
    <w:rsid w:val="00376C30"/>
    <w:rsid w:val="003772F9"/>
    <w:rsid w:val="0038110E"/>
    <w:rsid w:val="003832F7"/>
    <w:rsid w:val="00390663"/>
    <w:rsid w:val="003A0F89"/>
    <w:rsid w:val="003C4BBE"/>
    <w:rsid w:val="003D419B"/>
    <w:rsid w:val="003E65CB"/>
    <w:rsid w:val="003F6A87"/>
    <w:rsid w:val="003F7C58"/>
    <w:rsid w:val="0041002E"/>
    <w:rsid w:val="00411145"/>
    <w:rsid w:val="00417F4F"/>
    <w:rsid w:val="004429C6"/>
    <w:rsid w:val="004513A0"/>
    <w:rsid w:val="0045506E"/>
    <w:rsid w:val="0046247F"/>
    <w:rsid w:val="00481761"/>
    <w:rsid w:val="00483CE2"/>
    <w:rsid w:val="004C5119"/>
    <w:rsid w:val="004C5F01"/>
    <w:rsid w:val="004D1DF5"/>
    <w:rsid w:val="004F62BB"/>
    <w:rsid w:val="00513C25"/>
    <w:rsid w:val="00515622"/>
    <w:rsid w:val="00517657"/>
    <w:rsid w:val="00517DD2"/>
    <w:rsid w:val="00523007"/>
    <w:rsid w:val="00535A81"/>
    <w:rsid w:val="00573FD9"/>
    <w:rsid w:val="00583860"/>
    <w:rsid w:val="00591BA5"/>
    <w:rsid w:val="00591EB9"/>
    <w:rsid w:val="005950E6"/>
    <w:rsid w:val="005A7360"/>
    <w:rsid w:val="005B517A"/>
    <w:rsid w:val="005E7F39"/>
    <w:rsid w:val="005F4FBB"/>
    <w:rsid w:val="00625864"/>
    <w:rsid w:val="006279AB"/>
    <w:rsid w:val="0063208F"/>
    <w:rsid w:val="00652B9C"/>
    <w:rsid w:val="00656F5B"/>
    <w:rsid w:val="00663C2D"/>
    <w:rsid w:val="00665862"/>
    <w:rsid w:val="006732B0"/>
    <w:rsid w:val="006737A1"/>
    <w:rsid w:val="006C3C34"/>
    <w:rsid w:val="006D2274"/>
    <w:rsid w:val="006F02F0"/>
    <w:rsid w:val="006F06CB"/>
    <w:rsid w:val="006F271A"/>
    <w:rsid w:val="00707652"/>
    <w:rsid w:val="00712E45"/>
    <w:rsid w:val="0071684D"/>
    <w:rsid w:val="007222D9"/>
    <w:rsid w:val="007427EA"/>
    <w:rsid w:val="00761487"/>
    <w:rsid w:val="00762EED"/>
    <w:rsid w:val="0077012C"/>
    <w:rsid w:val="0077069C"/>
    <w:rsid w:val="00773654"/>
    <w:rsid w:val="00793391"/>
    <w:rsid w:val="007A4CFA"/>
    <w:rsid w:val="007A5867"/>
    <w:rsid w:val="007A7C60"/>
    <w:rsid w:val="007D3E9B"/>
    <w:rsid w:val="007E357D"/>
    <w:rsid w:val="007E633F"/>
    <w:rsid w:val="007F244C"/>
    <w:rsid w:val="0080401A"/>
    <w:rsid w:val="0081526A"/>
    <w:rsid w:val="00825076"/>
    <w:rsid w:val="00836D72"/>
    <w:rsid w:val="00841A12"/>
    <w:rsid w:val="008B19D3"/>
    <w:rsid w:val="008C24C5"/>
    <w:rsid w:val="008C29C2"/>
    <w:rsid w:val="008C38B5"/>
    <w:rsid w:val="008D7EEF"/>
    <w:rsid w:val="008E522B"/>
    <w:rsid w:val="00940B1A"/>
    <w:rsid w:val="00952439"/>
    <w:rsid w:val="00953FB4"/>
    <w:rsid w:val="009569CB"/>
    <w:rsid w:val="00962C0D"/>
    <w:rsid w:val="00964F6E"/>
    <w:rsid w:val="00972004"/>
    <w:rsid w:val="00977757"/>
    <w:rsid w:val="0098249E"/>
    <w:rsid w:val="009B2E83"/>
    <w:rsid w:val="009B35A2"/>
    <w:rsid w:val="009C3C1A"/>
    <w:rsid w:val="009F3263"/>
    <w:rsid w:val="00A11310"/>
    <w:rsid w:val="00A57CAB"/>
    <w:rsid w:val="00A57CD0"/>
    <w:rsid w:val="00A70474"/>
    <w:rsid w:val="00A802F3"/>
    <w:rsid w:val="00A85689"/>
    <w:rsid w:val="00A908F9"/>
    <w:rsid w:val="00A917AE"/>
    <w:rsid w:val="00AA7CFF"/>
    <w:rsid w:val="00AB1FBF"/>
    <w:rsid w:val="00AB4F9A"/>
    <w:rsid w:val="00AB7B14"/>
    <w:rsid w:val="00AC1ABD"/>
    <w:rsid w:val="00AE343F"/>
    <w:rsid w:val="00BF6671"/>
    <w:rsid w:val="00C1201E"/>
    <w:rsid w:val="00C42007"/>
    <w:rsid w:val="00C44E4F"/>
    <w:rsid w:val="00C654B8"/>
    <w:rsid w:val="00C70CB8"/>
    <w:rsid w:val="00C84219"/>
    <w:rsid w:val="00C865F5"/>
    <w:rsid w:val="00CA1019"/>
    <w:rsid w:val="00CA776B"/>
    <w:rsid w:val="00CB0F29"/>
    <w:rsid w:val="00CB1BDA"/>
    <w:rsid w:val="00CB305F"/>
    <w:rsid w:val="00CC296A"/>
    <w:rsid w:val="00CD2CBE"/>
    <w:rsid w:val="00CD3D60"/>
    <w:rsid w:val="00CD4DA4"/>
    <w:rsid w:val="00CD5F1A"/>
    <w:rsid w:val="00CD66B4"/>
    <w:rsid w:val="00CE5ACD"/>
    <w:rsid w:val="00D0446F"/>
    <w:rsid w:val="00D2432E"/>
    <w:rsid w:val="00D35FD2"/>
    <w:rsid w:val="00D43FB0"/>
    <w:rsid w:val="00D459B2"/>
    <w:rsid w:val="00D6469E"/>
    <w:rsid w:val="00D8103E"/>
    <w:rsid w:val="00D861D7"/>
    <w:rsid w:val="00DB5F00"/>
    <w:rsid w:val="00DB7438"/>
    <w:rsid w:val="00DE144B"/>
    <w:rsid w:val="00DF2F02"/>
    <w:rsid w:val="00E021C4"/>
    <w:rsid w:val="00E5304F"/>
    <w:rsid w:val="00E54302"/>
    <w:rsid w:val="00E715BD"/>
    <w:rsid w:val="00E92E89"/>
    <w:rsid w:val="00E94BFC"/>
    <w:rsid w:val="00EB064A"/>
    <w:rsid w:val="00EB3307"/>
    <w:rsid w:val="00EC0724"/>
    <w:rsid w:val="00EE5BF1"/>
    <w:rsid w:val="00F44851"/>
    <w:rsid w:val="00F57EED"/>
    <w:rsid w:val="00FA2D63"/>
    <w:rsid w:val="00FA7FE3"/>
    <w:rsid w:val="00FB268D"/>
    <w:rsid w:val="00FE171A"/>
    <w:rsid w:val="00FE1DF7"/>
    <w:rsid w:val="00FE4F69"/>
    <w:rsid w:val="00FE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AC2DA6"/>
  <w15:docId w15:val="{3B0DD82F-5290-4973-B4E7-8612AF40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BalloonText">
    <w:name w:val="Balloon Text"/>
    <w:basedOn w:val="Normal"/>
    <w:link w:val="BalloonTextChar"/>
    <w:uiPriority w:val="99"/>
    <w:semiHidden/>
    <w:unhideWhenUsed/>
    <w:rsid w:val="00CB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29"/>
    <w:rPr>
      <w:rFonts w:ascii="Segoe UI" w:hAnsi="Segoe UI" w:cs="Segoe UI"/>
      <w:sz w:val="18"/>
      <w:szCs w:val="18"/>
    </w:rPr>
  </w:style>
  <w:style w:type="character" w:styleId="CommentReference">
    <w:name w:val="annotation reference"/>
    <w:basedOn w:val="DefaultParagraphFont"/>
    <w:uiPriority w:val="99"/>
    <w:semiHidden/>
    <w:unhideWhenUsed/>
    <w:rsid w:val="009B2E83"/>
    <w:rPr>
      <w:sz w:val="16"/>
      <w:szCs w:val="16"/>
    </w:rPr>
  </w:style>
  <w:style w:type="paragraph" w:styleId="CommentText">
    <w:name w:val="annotation text"/>
    <w:basedOn w:val="Normal"/>
    <w:link w:val="CommentTextChar"/>
    <w:uiPriority w:val="99"/>
    <w:semiHidden/>
    <w:unhideWhenUsed/>
    <w:rsid w:val="009B2E83"/>
    <w:pPr>
      <w:spacing w:line="240" w:lineRule="auto"/>
    </w:pPr>
    <w:rPr>
      <w:sz w:val="20"/>
      <w:szCs w:val="20"/>
    </w:rPr>
  </w:style>
  <w:style w:type="character" w:customStyle="1" w:styleId="CommentTextChar">
    <w:name w:val="Comment Text Char"/>
    <w:basedOn w:val="DefaultParagraphFont"/>
    <w:link w:val="CommentText"/>
    <w:uiPriority w:val="99"/>
    <w:semiHidden/>
    <w:rsid w:val="009B2E83"/>
    <w:rPr>
      <w:sz w:val="20"/>
      <w:szCs w:val="20"/>
    </w:rPr>
  </w:style>
  <w:style w:type="paragraph" w:styleId="CommentSubject">
    <w:name w:val="annotation subject"/>
    <w:basedOn w:val="CommentText"/>
    <w:next w:val="CommentText"/>
    <w:link w:val="CommentSubjectChar"/>
    <w:uiPriority w:val="99"/>
    <w:semiHidden/>
    <w:unhideWhenUsed/>
    <w:rsid w:val="009B2E83"/>
    <w:rPr>
      <w:b/>
      <w:bCs/>
    </w:rPr>
  </w:style>
  <w:style w:type="character" w:customStyle="1" w:styleId="CommentSubjectChar">
    <w:name w:val="Comment Subject Char"/>
    <w:basedOn w:val="CommentTextChar"/>
    <w:link w:val="CommentSubject"/>
    <w:uiPriority w:val="99"/>
    <w:semiHidden/>
    <w:rsid w:val="009B2E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776655">
      <w:bodyDiv w:val="1"/>
      <w:marLeft w:val="0"/>
      <w:marRight w:val="0"/>
      <w:marTop w:val="0"/>
      <w:marBottom w:val="0"/>
      <w:divBdr>
        <w:top w:val="none" w:sz="0" w:space="0" w:color="auto"/>
        <w:left w:val="none" w:sz="0" w:space="0" w:color="auto"/>
        <w:bottom w:val="none" w:sz="0" w:space="0" w:color="auto"/>
        <w:right w:val="none" w:sz="0" w:space="0" w:color="auto"/>
      </w:divBdr>
      <w:divsChild>
        <w:div w:id="431319806">
          <w:marLeft w:val="274"/>
          <w:marRight w:val="0"/>
          <w:marTop w:val="0"/>
          <w:marBottom w:val="0"/>
          <w:divBdr>
            <w:top w:val="none" w:sz="0" w:space="0" w:color="auto"/>
            <w:left w:val="none" w:sz="0" w:space="0" w:color="auto"/>
            <w:bottom w:val="none" w:sz="0" w:space="0" w:color="auto"/>
            <w:right w:val="none" w:sz="0" w:space="0" w:color="auto"/>
          </w:divBdr>
        </w:div>
        <w:div w:id="1271427406">
          <w:marLeft w:val="274"/>
          <w:marRight w:val="0"/>
          <w:marTop w:val="0"/>
          <w:marBottom w:val="0"/>
          <w:divBdr>
            <w:top w:val="none" w:sz="0" w:space="0" w:color="auto"/>
            <w:left w:val="none" w:sz="0" w:space="0" w:color="auto"/>
            <w:bottom w:val="none" w:sz="0" w:space="0" w:color="auto"/>
            <w:right w:val="none" w:sz="0" w:space="0" w:color="auto"/>
          </w:divBdr>
        </w:div>
        <w:div w:id="1198348741">
          <w:marLeft w:val="274"/>
          <w:marRight w:val="0"/>
          <w:marTop w:val="0"/>
          <w:marBottom w:val="0"/>
          <w:divBdr>
            <w:top w:val="none" w:sz="0" w:space="0" w:color="auto"/>
            <w:left w:val="none" w:sz="0" w:space="0" w:color="auto"/>
            <w:bottom w:val="none" w:sz="0" w:space="0" w:color="auto"/>
            <w:right w:val="none" w:sz="0" w:space="0" w:color="auto"/>
          </w:divBdr>
        </w:div>
        <w:div w:id="62684571">
          <w:marLeft w:val="274"/>
          <w:marRight w:val="0"/>
          <w:marTop w:val="0"/>
          <w:marBottom w:val="0"/>
          <w:divBdr>
            <w:top w:val="none" w:sz="0" w:space="0" w:color="auto"/>
            <w:left w:val="none" w:sz="0" w:space="0" w:color="auto"/>
            <w:bottom w:val="none" w:sz="0" w:space="0" w:color="auto"/>
            <w:right w:val="none" w:sz="0" w:space="0" w:color="auto"/>
          </w:divBdr>
        </w:div>
        <w:div w:id="409158610">
          <w:marLeft w:val="274"/>
          <w:marRight w:val="0"/>
          <w:marTop w:val="0"/>
          <w:marBottom w:val="0"/>
          <w:divBdr>
            <w:top w:val="none" w:sz="0" w:space="0" w:color="auto"/>
            <w:left w:val="none" w:sz="0" w:space="0" w:color="auto"/>
            <w:bottom w:val="none" w:sz="0" w:space="0" w:color="auto"/>
            <w:right w:val="none" w:sz="0" w:space="0" w:color="auto"/>
          </w:divBdr>
        </w:div>
      </w:divsChild>
    </w:div>
    <w:div w:id="1898857944">
      <w:bodyDiv w:val="1"/>
      <w:marLeft w:val="0"/>
      <w:marRight w:val="0"/>
      <w:marTop w:val="0"/>
      <w:marBottom w:val="0"/>
      <w:divBdr>
        <w:top w:val="none" w:sz="0" w:space="0" w:color="auto"/>
        <w:left w:val="none" w:sz="0" w:space="0" w:color="auto"/>
        <w:bottom w:val="none" w:sz="0" w:space="0" w:color="auto"/>
        <w:right w:val="none" w:sz="0" w:space="0" w:color="auto"/>
      </w:divBdr>
      <w:divsChild>
        <w:div w:id="1152022351">
          <w:marLeft w:val="274"/>
          <w:marRight w:val="0"/>
          <w:marTop w:val="0"/>
          <w:marBottom w:val="0"/>
          <w:divBdr>
            <w:top w:val="none" w:sz="0" w:space="0" w:color="auto"/>
            <w:left w:val="none" w:sz="0" w:space="0" w:color="auto"/>
            <w:bottom w:val="none" w:sz="0" w:space="0" w:color="auto"/>
            <w:right w:val="none" w:sz="0" w:space="0" w:color="auto"/>
          </w:divBdr>
        </w:div>
        <w:div w:id="1016150710">
          <w:marLeft w:val="274"/>
          <w:marRight w:val="0"/>
          <w:marTop w:val="0"/>
          <w:marBottom w:val="0"/>
          <w:divBdr>
            <w:top w:val="none" w:sz="0" w:space="0" w:color="auto"/>
            <w:left w:val="none" w:sz="0" w:space="0" w:color="auto"/>
            <w:bottom w:val="none" w:sz="0" w:space="0" w:color="auto"/>
            <w:right w:val="none" w:sz="0" w:space="0" w:color="auto"/>
          </w:divBdr>
        </w:div>
        <w:div w:id="333916777">
          <w:marLeft w:val="274"/>
          <w:marRight w:val="0"/>
          <w:marTop w:val="0"/>
          <w:marBottom w:val="0"/>
          <w:divBdr>
            <w:top w:val="none" w:sz="0" w:space="0" w:color="auto"/>
            <w:left w:val="none" w:sz="0" w:space="0" w:color="auto"/>
            <w:bottom w:val="none" w:sz="0" w:space="0" w:color="auto"/>
            <w:right w:val="none" w:sz="0" w:space="0" w:color="auto"/>
          </w:divBdr>
        </w:div>
        <w:div w:id="1172255802">
          <w:marLeft w:val="274"/>
          <w:marRight w:val="0"/>
          <w:marTop w:val="0"/>
          <w:marBottom w:val="0"/>
          <w:divBdr>
            <w:top w:val="none" w:sz="0" w:space="0" w:color="auto"/>
            <w:left w:val="none" w:sz="0" w:space="0" w:color="auto"/>
            <w:bottom w:val="none" w:sz="0" w:space="0" w:color="auto"/>
            <w:right w:val="none" w:sz="0" w:space="0" w:color="auto"/>
          </w:divBdr>
        </w:div>
        <w:div w:id="2273513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887C-336D-4F27-A542-23CB2E07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3</cp:revision>
  <cp:lastPrinted>2019-02-18T12:15:00Z</cp:lastPrinted>
  <dcterms:created xsi:type="dcterms:W3CDTF">2019-03-21T10:25:00Z</dcterms:created>
  <dcterms:modified xsi:type="dcterms:W3CDTF">2019-03-21T16:53:00Z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