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:rsidTr="00B15F8B">
        <w:trPr>
          <w:trHeight w:val="557"/>
        </w:trPr>
        <w:tc>
          <w:tcPr>
            <w:tcW w:w="2518" w:type="dxa"/>
          </w:tcPr>
          <w:p w:rsidR="00B15F8B" w:rsidRPr="009E572F" w:rsidRDefault="002F45F7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C107DC" wp14:editId="555B80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-1024255</wp:posOffset>
                      </wp:positionV>
                      <wp:extent cx="4352290" cy="781685"/>
                      <wp:effectExtent l="635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290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F8B" w:rsidRPr="002F45F7" w:rsidRDefault="002F45F7" w:rsidP="00B15F8B">
                                  <w:pPr>
                                    <w:pStyle w:val="Head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F45F7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>ESSEX POLICE, FIRE AND CRIME COMMISSIONER FIRE &amp; RESCUE AUTHORITY</w:t>
                                  </w:r>
                                </w:p>
                                <w:p w:rsidR="00B15F8B" w:rsidRPr="002F45F7" w:rsidRDefault="00B15F8B" w:rsidP="00B15F8B">
                                  <w:pPr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</w:pPr>
                                  <w:r w:rsidRPr="002F45F7"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  <w:t>Essex County Fire &amp; Rescue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10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      <v:textbox>
                        <w:txbxContent>
                          <w:p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4575904" wp14:editId="26783856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-1593215</wp:posOffset>
                  </wp:positionV>
                  <wp:extent cx="6946900" cy="1572895"/>
                  <wp:effectExtent l="0" t="0" r="0" b="0"/>
                  <wp:wrapNone/>
                  <wp:docPr id="10" name="Picture 17" descr="RH_A4+stripcrest_bor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H_A4+stripcrest_border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F8B"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:rsidR="00B15F8B" w:rsidRPr="00B15F8B" w:rsidRDefault="00762C8D" w:rsidP="001A507E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Performance and Resources Board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:rsidR="00B15F8B" w:rsidRPr="00B15F8B" w:rsidRDefault="00B15F8B" w:rsidP="009E572F">
            <w:pPr>
              <w:spacing w:before="120" w:after="120"/>
              <w:rPr>
                <w:rFonts w:cs="Times New Roman"/>
                <w:sz w:val="32"/>
                <w:szCs w:val="32"/>
              </w:rPr>
            </w:pPr>
          </w:p>
        </w:tc>
      </w:tr>
      <w:tr w:rsidR="00762C8D" w:rsidRPr="009E572F" w:rsidTr="009D17D3">
        <w:tc>
          <w:tcPr>
            <w:tcW w:w="2518" w:type="dxa"/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  <w:vAlign w:val="center"/>
          </w:tcPr>
          <w:p w:rsidR="00762C8D" w:rsidRPr="009D1E99" w:rsidRDefault="00762C8D" w:rsidP="00762C8D">
            <w:pPr>
              <w:spacing w:before="120" w:after="120" w:line="259" w:lineRule="auto"/>
            </w:pPr>
            <w:r>
              <w:t>29 April 2019</w:t>
            </w:r>
          </w:p>
        </w:tc>
        <w:tc>
          <w:tcPr>
            <w:tcW w:w="2056" w:type="dxa"/>
          </w:tcPr>
          <w:p w:rsidR="00762C8D" w:rsidRPr="009E572F" w:rsidRDefault="00762C8D" w:rsidP="00762C8D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:rsidR="00762C8D" w:rsidRPr="00B15F8B" w:rsidRDefault="00762C8D" w:rsidP="00762C8D">
            <w:pPr>
              <w:spacing w:before="120" w:after="120"/>
              <w:rPr>
                <w:rFonts w:cs="Times New Roman"/>
                <w:b/>
                <w:szCs w:val="20"/>
              </w:rPr>
            </w:pPr>
          </w:p>
        </w:tc>
      </w:tr>
      <w:tr w:rsidR="00762C8D" w:rsidRPr="009E572F" w:rsidTr="00E848C1">
        <w:tc>
          <w:tcPr>
            <w:tcW w:w="2518" w:type="dxa"/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  <w:vAlign w:val="center"/>
          </w:tcPr>
          <w:p w:rsidR="00762C8D" w:rsidRDefault="00762C8D" w:rsidP="00762C8D">
            <w:pPr>
              <w:spacing w:before="120" w:after="120" w:line="259" w:lineRule="auto"/>
            </w:pPr>
            <w:r>
              <w:t>Dena Morrison, HOBS Project Manager</w:t>
            </w:r>
          </w:p>
          <w:p w:rsidR="00762C8D" w:rsidRPr="009D1E99" w:rsidRDefault="00762C8D" w:rsidP="00762C8D">
            <w:pPr>
              <w:spacing w:before="120" w:after="120" w:line="259" w:lineRule="auto"/>
            </w:pPr>
            <w:r>
              <w:t>Peter Morath, People Systems Programme Manager</w:t>
            </w:r>
          </w:p>
        </w:tc>
      </w:tr>
      <w:tr w:rsidR="00762C8D" w:rsidRPr="009E572F" w:rsidTr="004C1D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8D" w:rsidRPr="009D1E99" w:rsidRDefault="00762C8D" w:rsidP="00762C8D">
            <w:pPr>
              <w:spacing w:before="120" w:after="120" w:line="259" w:lineRule="auto"/>
            </w:pPr>
            <w:r>
              <w:t xml:space="preserve">Matt Furber, Assistant Chief Fire Officer, </w:t>
            </w:r>
            <w:r w:rsidRPr="00EC6D7F">
              <w:t>IRMP and Service Improvement</w:t>
            </w:r>
          </w:p>
        </w:tc>
      </w:tr>
      <w:tr w:rsidR="00762C8D" w:rsidRPr="009E572F" w:rsidTr="00D3055F">
        <w:tc>
          <w:tcPr>
            <w:tcW w:w="2518" w:type="dxa"/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  <w:vAlign w:val="center"/>
          </w:tcPr>
          <w:p w:rsidR="00762C8D" w:rsidRPr="009D1E99" w:rsidRDefault="00762C8D" w:rsidP="00762C8D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HOBS Project – Closure Report</w:t>
            </w:r>
          </w:p>
        </w:tc>
      </w:tr>
      <w:tr w:rsidR="00762C8D" w:rsidRPr="009E572F" w:rsidTr="00E70215">
        <w:tc>
          <w:tcPr>
            <w:tcW w:w="2518" w:type="dxa"/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  <w:vAlign w:val="center"/>
          </w:tcPr>
          <w:p w:rsidR="00762C8D" w:rsidRPr="009D1E99" w:rsidRDefault="00762C8D" w:rsidP="00762C8D">
            <w:pPr>
              <w:spacing w:before="120" w:after="120" w:line="259" w:lineRule="auto"/>
            </w:pPr>
            <w:r>
              <w:t>Closure Report</w:t>
            </w:r>
          </w:p>
        </w:tc>
      </w:tr>
    </w:tbl>
    <w:p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:rsidR="00E92781" w:rsidRDefault="00E92781" w:rsidP="00811886">
      <w:pPr>
        <w:pStyle w:val="Heading1"/>
        <w:ind w:left="567" w:hanging="567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recommendations</w:t>
      </w:r>
    </w:p>
    <w:p w:rsidR="00E92781" w:rsidRDefault="00762C8D" w:rsidP="00762C8D">
      <w:pPr>
        <w:pStyle w:val="ListParagraph"/>
        <w:numPr>
          <w:ilvl w:val="0"/>
          <w:numId w:val="35"/>
        </w:numPr>
      </w:pPr>
      <w:r>
        <w:t>For members of the Performance and Resources Board to note the contents of the report</w:t>
      </w:r>
    </w:p>
    <w:p w:rsidR="00762C8D" w:rsidRPr="00E92781" w:rsidRDefault="00762C8D" w:rsidP="00811886">
      <w:pPr>
        <w:ind w:left="567" w:hanging="567"/>
      </w:pPr>
    </w:p>
    <w:p w:rsidR="00E92781" w:rsidRDefault="00E92781" w:rsidP="00811886">
      <w:pPr>
        <w:pStyle w:val="Heading1"/>
        <w:ind w:left="567" w:hanging="567"/>
        <w:rPr>
          <w:rFonts w:cs="Arial"/>
          <w:color w:val="auto"/>
          <w:sz w:val="22"/>
          <w:szCs w:val="22"/>
        </w:rPr>
      </w:pPr>
      <w:r w:rsidRPr="00E92781">
        <w:rPr>
          <w:rFonts w:cs="Arial"/>
          <w:color w:val="auto"/>
          <w:sz w:val="22"/>
          <w:szCs w:val="22"/>
        </w:rPr>
        <w:t>Summary</w:t>
      </w:r>
    </w:p>
    <w:p w:rsidR="009332D7" w:rsidRDefault="00027C33" w:rsidP="00944F9E">
      <w:pPr>
        <w:ind w:left="567"/>
      </w:pPr>
      <w:r>
        <w:t xml:space="preserve">Following a business case in June 2016, </w:t>
      </w:r>
      <w:r w:rsidR="00762C8D">
        <w:t xml:space="preserve">Essex County Fire and Rescue </w:t>
      </w:r>
      <w:r w:rsidR="00762C8D">
        <w:t>undertook a procurement process to select a replacement HR, Payroll and Learning Management Solution</w:t>
      </w:r>
      <w:r>
        <w:t xml:space="preserve">. The process through to implementation </w:t>
      </w:r>
      <w:r w:rsidR="00762C8D">
        <w:t>was overseen by the</w:t>
      </w:r>
      <w:r w:rsidR="00762C8D" w:rsidRPr="00762C8D">
        <w:t xml:space="preserve"> </w:t>
      </w:r>
      <w:r w:rsidR="00762C8D">
        <w:t>HR &amp; OD Business Solution (HOBS)</w:t>
      </w:r>
      <w:r w:rsidR="00762C8D">
        <w:t xml:space="preserve"> Project. </w:t>
      </w:r>
      <w:r w:rsidR="00944F9E">
        <w:t>Following the ‘go-live’ in January of this year, t</w:t>
      </w:r>
      <w:r w:rsidR="00762C8D">
        <w:t>his report is a closure report which will be used to inform a ‘lessons learnt’ review of the project process.</w:t>
      </w:r>
    </w:p>
    <w:p w:rsidR="00762C8D" w:rsidRPr="009332D7" w:rsidRDefault="00762C8D" w:rsidP="009332D7"/>
    <w:p w:rsidR="00E92781" w:rsidRDefault="00E92781" w:rsidP="009332D7">
      <w:pPr>
        <w:spacing w:after="160" w:line="259" w:lineRule="auto"/>
        <w:ind w:left="567" w:hanging="567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>BACKGROUND</w:t>
      </w:r>
    </w:p>
    <w:p w:rsidR="00B92821" w:rsidRPr="00944F9E" w:rsidRDefault="00944F9E" w:rsidP="00944F9E">
      <w:pPr>
        <w:keepNext/>
        <w:keepLines/>
        <w:spacing w:before="240" w:line="259" w:lineRule="auto"/>
        <w:ind w:left="567"/>
        <w:outlineLvl w:val="0"/>
        <w:rPr>
          <w:rFonts w:eastAsiaTheme="majorEastAsia"/>
        </w:rPr>
      </w:pPr>
      <w:r w:rsidRPr="00944F9E">
        <w:rPr>
          <w:rFonts w:eastAsiaTheme="majorEastAsia"/>
        </w:rPr>
        <w:t xml:space="preserve">The Service had identified a business need to replace its </w:t>
      </w:r>
      <w:r>
        <w:rPr>
          <w:rFonts w:eastAsiaTheme="majorEastAsia"/>
        </w:rPr>
        <w:t>HOBS system due to incurring significant costs in the running of the then current system, and a number issues which were directly impacting on the end user.</w:t>
      </w:r>
      <w:r w:rsidR="00B71F09">
        <w:rPr>
          <w:rFonts w:eastAsiaTheme="majorEastAsia"/>
        </w:rPr>
        <w:t xml:space="preserve"> </w:t>
      </w:r>
      <w:proofErr w:type="spellStart"/>
      <w:r w:rsidR="00B71F09">
        <w:rPr>
          <w:rFonts w:eastAsiaTheme="majorEastAsia"/>
        </w:rPr>
        <w:t>Carval</w:t>
      </w:r>
      <w:proofErr w:type="spellEnd"/>
      <w:r w:rsidR="00B71F09">
        <w:rPr>
          <w:rFonts w:eastAsiaTheme="majorEastAsia"/>
        </w:rPr>
        <w:t xml:space="preserve">, who were subsequently taken over by </w:t>
      </w:r>
      <w:proofErr w:type="spellStart"/>
      <w:r w:rsidR="00B71F09">
        <w:rPr>
          <w:rFonts w:eastAsiaTheme="majorEastAsia"/>
        </w:rPr>
        <w:t>Civica</w:t>
      </w:r>
      <w:proofErr w:type="spellEnd"/>
      <w:r w:rsidR="00B71F09">
        <w:rPr>
          <w:rFonts w:eastAsiaTheme="majorEastAsia"/>
        </w:rPr>
        <w:t xml:space="preserve">, </w:t>
      </w:r>
      <w:r w:rsidR="00027C33">
        <w:rPr>
          <w:rFonts w:eastAsiaTheme="majorEastAsia"/>
        </w:rPr>
        <w:t>were awarded the contract. Key challenges to the project have been timescales, with there being delays to the ‘go-live’ and a number of pay queries needing to be dealt with in the first two months.</w:t>
      </w:r>
    </w:p>
    <w:p w:rsidR="00E92781" w:rsidRPr="00E92781" w:rsidRDefault="00E92781" w:rsidP="009332D7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p w:rsidR="00E92781" w:rsidRDefault="00E92781" w:rsidP="00811886">
      <w:pPr>
        <w:keepNext/>
        <w:keepLines/>
        <w:spacing w:before="240" w:line="259" w:lineRule="auto"/>
        <w:ind w:left="567" w:hanging="567"/>
        <w:outlineLvl w:val="0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>GOVERNANCE</w:t>
      </w:r>
      <w:bookmarkStart w:id="0" w:name="_GoBack"/>
      <w:bookmarkEnd w:id="0"/>
    </w:p>
    <w:p w:rsidR="00E92781" w:rsidRDefault="00E92781" w:rsidP="009332D7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p w:rsidR="00130A6B" w:rsidRPr="00EF3A3D" w:rsidRDefault="00027C33" w:rsidP="00B14391">
      <w:pPr>
        <w:spacing w:after="160" w:line="259" w:lineRule="auto"/>
        <w:ind w:left="567"/>
        <w:rPr>
          <w:rFonts w:eastAsiaTheme="minorHAnsi"/>
        </w:rPr>
      </w:pPr>
      <w:r w:rsidRPr="00EF3A3D">
        <w:rPr>
          <w:rFonts w:eastAsiaTheme="minorHAnsi"/>
        </w:rPr>
        <w:t>The project was run in accordance with the Service’s project management procedures, and monitored by the Change Board.</w:t>
      </w:r>
    </w:p>
    <w:p w:rsidR="00321615" w:rsidRDefault="00C0492F" w:rsidP="0081188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Benefits and Risk Implications</w:t>
      </w:r>
    </w:p>
    <w:p w:rsidR="00B71988" w:rsidRDefault="00762C8D" w:rsidP="00027C33">
      <w:pPr>
        <w:ind w:left="567"/>
      </w:pPr>
      <w:r>
        <w:t>Are set out within the report</w:t>
      </w:r>
      <w:r w:rsidR="00944F9E">
        <w:t>.</w:t>
      </w:r>
    </w:p>
    <w:p w:rsidR="00944F9E" w:rsidRPr="00E92781" w:rsidRDefault="00944F9E" w:rsidP="00811886">
      <w:pPr>
        <w:ind w:left="567" w:hanging="567"/>
      </w:pPr>
    </w:p>
    <w:p w:rsidR="00C0492F" w:rsidRDefault="00BE6CEE" w:rsidP="0081188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FINANCIAL IMPLICATION</w:t>
      </w:r>
      <w:r w:rsidR="00425F5D" w:rsidRPr="0088345C">
        <w:rPr>
          <w:sz w:val="22"/>
          <w:szCs w:val="22"/>
        </w:rPr>
        <w:t>s</w:t>
      </w:r>
    </w:p>
    <w:p w:rsidR="00E92781" w:rsidRDefault="00944F9E" w:rsidP="00027C33">
      <w:pPr>
        <w:ind w:left="567"/>
      </w:pPr>
      <w:r>
        <w:t xml:space="preserve">Further detail is within the report, but in essence </w:t>
      </w:r>
      <w:r w:rsidR="00762C8D">
        <w:t xml:space="preserve">the Project </w:t>
      </w:r>
      <w:r>
        <w:t xml:space="preserve">was </w:t>
      </w:r>
      <w:r w:rsidR="00762C8D">
        <w:t>delivered within a 5% tolerance of the overall budget of £600,000</w:t>
      </w:r>
      <w:r w:rsidR="00027C33">
        <w:t>.</w:t>
      </w:r>
    </w:p>
    <w:p w:rsidR="00027C33" w:rsidRPr="00E92781" w:rsidRDefault="00027C33" w:rsidP="00027C33">
      <w:pPr>
        <w:ind w:left="567"/>
      </w:pPr>
    </w:p>
    <w:p w:rsidR="00C0492F" w:rsidRDefault="00C0492F" w:rsidP="0081188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Equality and Diversity Implications</w:t>
      </w:r>
    </w:p>
    <w:p w:rsidR="00E92781" w:rsidRDefault="00D114FF" w:rsidP="00811886">
      <w:pPr>
        <w:ind w:left="567" w:hanging="567"/>
      </w:pPr>
      <w:r>
        <w:tab/>
        <w:t>None specific to this report.</w:t>
      </w:r>
    </w:p>
    <w:p w:rsidR="00D114FF" w:rsidRPr="00E92781" w:rsidRDefault="00D114FF" w:rsidP="00811886">
      <w:pPr>
        <w:ind w:left="567" w:hanging="567"/>
      </w:pPr>
    </w:p>
    <w:p w:rsidR="00C0492F" w:rsidRDefault="00C0492F" w:rsidP="0081188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Workforce Engagement</w:t>
      </w:r>
    </w:p>
    <w:p w:rsidR="00E92781" w:rsidRDefault="00D114FF" w:rsidP="00811886">
      <w:pPr>
        <w:ind w:left="567" w:hanging="567"/>
      </w:pPr>
      <w:r>
        <w:tab/>
        <w:t>Training was carried out throughout the Service, the main negative impact on the workforce has been due to the pay challenges in the first two months following ‘go-live’.</w:t>
      </w:r>
    </w:p>
    <w:p w:rsidR="00D114FF" w:rsidRPr="00E92781" w:rsidRDefault="00D114FF" w:rsidP="00811886">
      <w:pPr>
        <w:ind w:left="567" w:hanging="567"/>
      </w:pPr>
    </w:p>
    <w:p w:rsidR="00C0492F" w:rsidRDefault="00C0492F" w:rsidP="0081188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Legal Implications</w:t>
      </w:r>
    </w:p>
    <w:p w:rsidR="00B71988" w:rsidRDefault="00027C33" w:rsidP="00027C33">
      <w:pPr>
        <w:ind w:left="567"/>
      </w:pPr>
      <w:r>
        <w:t>Any legal compliance (i.e. Data Protection) elements are dealt with within the attached report.</w:t>
      </w:r>
    </w:p>
    <w:p w:rsidR="00027C33" w:rsidRDefault="00027C33" w:rsidP="00811886">
      <w:pPr>
        <w:ind w:left="567" w:hanging="567"/>
      </w:pPr>
    </w:p>
    <w:p w:rsidR="00B71988" w:rsidRDefault="00B71988" w:rsidP="00811886">
      <w:pPr>
        <w:ind w:left="567" w:hanging="567"/>
        <w:rPr>
          <w:b/>
          <w:sz w:val="22"/>
          <w:szCs w:val="22"/>
        </w:rPr>
      </w:pPr>
      <w:r w:rsidRPr="00B71988">
        <w:rPr>
          <w:b/>
          <w:sz w:val="22"/>
          <w:szCs w:val="22"/>
        </w:rPr>
        <w:t>HEALTH AND SAFETY IMPLICATIONS</w:t>
      </w:r>
    </w:p>
    <w:p w:rsidR="00B71988" w:rsidRDefault="00B71988" w:rsidP="00811886">
      <w:pPr>
        <w:ind w:left="567" w:hanging="567"/>
        <w:rPr>
          <w:b/>
          <w:sz w:val="22"/>
          <w:szCs w:val="22"/>
        </w:rPr>
      </w:pPr>
    </w:p>
    <w:p w:rsidR="00027C33" w:rsidRPr="00027C33" w:rsidRDefault="00027C33" w:rsidP="00027C33">
      <w:pPr>
        <w:ind w:left="567"/>
      </w:pPr>
      <w:r w:rsidRPr="00027C33">
        <w:t>None specific to this report.</w:t>
      </w:r>
    </w:p>
    <w:sectPr w:rsidR="00027C33" w:rsidRPr="00027C33" w:rsidSect="00A8212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17" w:rsidRDefault="00ED2617">
      <w:r>
        <w:separator/>
      </w:r>
    </w:p>
  </w:endnote>
  <w:endnote w:type="continuationSeparator" w:id="0">
    <w:p w:rsidR="00ED2617" w:rsidRDefault="00E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2D" w:rsidRDefault="00A8212D" w:rsidP="00A8212D">
    <w:pPr>
      <w:pStyle w:val="Footer"/>
      <w:jc w:val="center"/>
      <w:rPr>
        <w:sz w:val="22"/>
        <w:szCs w:val="22"/>
      </w:rPr>
    </w:pPr>
  </w:p>
  <w:p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EF3A3D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EF3A3D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Default="00C0492F" w:rsidP="00AA60E6">
    <w:pPr>
      <w:pStyle w:val="Footer"/>
      <w:jc w:val="center"/>
      <w:rPr>
        <w:sz w:val="22"/>
        <w:szCs w:val="22"/>
      </w:rPr>
    </w:pPr>
  </w:p>
  <w:p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EF3A3D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EF3A3D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A173DA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  <w:p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17" w:rsidRDefault="00ED2617">
      <w:r>
        <w:separator/>
      </w:r>
    </w:p>
  </w:footnote>
  <w:footnote w:type="continuationSeparator" w:id="0">
    <w:p w:rsidR="00ED2617" w:rsidRDefault="00E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8212D" w:rsidRDefault="00C0492F" w:rsidP="00A821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9F1"/>
    <w:multiLevelType w:val="hybridMultilevel"/>
    <w:tmpl w:val="308E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4403D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5E70"/>
    <w:multiLevelType w:val="hybridMultilevel"/>
    <w:tmpl w:val="97B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32D"/>
    <w:multiLevelType w:val="hybridMultilevel"/>
    <w:tmpl w:val="9790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D72"/>
    <w:multiLevelType w:val="hybridMultilevel"/>
    <w:tmpl w:val="A552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B61"/>
    <w:multiLevelType w:val="hybridMultilevel"/>
    <w:tmpl w:val="24240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BB8"/>
    <w:multiLevelType w:val="hybridMultilevel"/>
    <w:tmpl w:val="9C2A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98D"/>
    <w:multiLevelType w:val="hybridMultilevel"/>
    <w:tmpl w:val="CB1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227C"/>
    <w:multiLevelType w:val="hybridMultilevel"/>
    <w:tmpl w:val="A244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40E04"/>
    <w:multiLevelType w:val="hybridMultilevel"/>
    <w:tmpl w:val="AAA63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F62"/>
    <w:multiLevelType w:val="hybridMultilevel"/>
    <w:tmpl w:val="2564D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8E7704"/>
    <w:multiLevelType w:val="hybridMultilevel"/>
    <w:tmpl w:val="58C04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F5982"/>
    <w:multiLevelType w:val="hybridMultilevel"/>
    <w:tmpl w:val="1BCE3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3E81"/>
    <w:multiLevelType w:val="hybridMultilevel"/>
    <w:tmpl w:val="3190E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194590"/>
    <w:multiLevelType w:val="hybridMultilevel"/>
    <w:tmpl w:val="D8F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31ABC"/>
    <w:multiLevelType w:val="hybridMultilevel"/>
    <w:tmpl w:val="CBA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6357E"/>
    <w:multiLevelType w:val="hybridMultilevel"/>
    <w:tmpl w:val="A872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1518"/>
    <w:multiLevelType w:val="hybridMultilevel"/>
    <w:tmpl w:val="E4CC2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146F"/>
    <w:multiLevelType w:val="hybridMultilevel"/>
    <w:tmpl w:val="16B8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1156C"/>
    <w:multiLevelType w:val="multilevel"/>
    <w:tmpl w:val="F2AC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91442"/>
    <w:multiLevelType w:val="hybridMultilevel"/>
    <w:tmpl w:val="B0C65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E5B0C"/>
    <w:multiLevelType w:val="hybridMultilevel"/>
    <w:tmpl w:val="6BD6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91665"/>
    <w:multiLevelType w:val="hybridMultilevel"/>
    <w:tmpl w:val="A398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333FC"/>
    <w:multiLevelType w:val="hybridMultilevel"/>
    <w:tmpl w:val="D81E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A581C"/>
    <w:multiLevelType w:val="hybridMultilevel"/>
    <w:tmpl w:val="E106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651F"/>
    <w:multiLevelType w:val="hybridMultilevel"/>
    <w:tmpl w:val="23049A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0"/>
  </w:num>
  <w:num w:numId="5">
    <w:abstractNumId w:val="24"/>
  </w:num>
  <w:num w:numId="6">
    <w:abstractNumId w:val="12"/>
  </w:num>
  <w:num w:numId="7">
    <w:abstractNumId w:val="8"/>
  </w:num>
  <w:num w:numId="8">
    <w:abstractNumId w:val="1"/>
  </w:num>
  <w:num w:numId="9">
    <w:abstractNumId w:val="17"/>
  </w:num>
  <w:num w:numId="10">
    <w:abstractNumId w:val="17"/>
  </w:num>
  <w:num w:numId="11">
    <w:abstractNumId w:val="31"/>
  </w:num>
  <w:num w:numId="12">
    <w:abstractNumId w:val="26"/>
  </w:num>
  <w:num w:numId="13">
    <w:abstractNumId w:val="32"/>
  </w:num>
  <w:num w:numId="14">
    <w:abstractNumId w:val="29"/>
  </w:num>
  <w:num w:numId="15">
    <w:abstractNumId w:val="10"/>
  </w:num>
  <w:num w:numId="16">
    <w:abstractNumId w:val="15"/>
  </w:num>
  <w:num w:numId="17">
    <w:abstractNumId w:val="23"/>
  </w:num>
  <w:num w:numId="18">
    <w:abstractNumId w:val="28"/>
  </w:num>
  <w:num w:numId="19">
    <w:abstractNumId w:val="22"/>
  </w:num>
  <w:num w:numId="20">
    <w:abstractNumId w:val="2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3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20"/>
  </w:num>
  <w:num w:numId="29">
    <w:abstractNumId w:val="9"/>
  </w:num>
  <w:num w:numId="30">
    <w:abstractNumId w:val="21"/>
  </w:num>
  <w:num w:numId="31">
    <w:abstractNumId w:val="14"/>
  </w:num>
  <w:num w:numId="32">
    <w:abstractNumId w:val="16"/>
  </w:num>
  <w:num w:numId="33">
    <w:abstractNumId w:val="18"/>
  </w:num>
  <w:num w:numId="34">
    <w:abstractNumId w:val="4"/>
  </w:num>
  <w:num w:numId="3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49A7"/>
    <w:rsid w:val="00006B4F"/>
    <w:rsid w:val="00006C81"/>
    <w:rsid w:val="00007F2F"/>
    <w:rsid w:val="000127F2"/>
    <w:rsid w:val="000129FE"/>
    <w:rsid w:val="00012E73"/>
    <w:rsid w:val="00014B58"/>
    <w:rsid w:val="0001605A"/>
    <w:rsid w:val="000169EF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27C33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2FC"/>
    <w:rsid w:val="00035A87"/>
    <w:rsid w:val="00035B01"/>
    <w:rsid w:val="00037C5B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1195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1091"/>
    <w:rsid w:val="000C21A3"/>
    <w:rsid w:val="000C4119"/>
    <w:rsid w:val="000C427F"/>
    <w:rsid w:val="000C5166"/>
    <w:rsid w:val="000C5169"/>
    <w:rsid w:val="000C6226"/>
    <w:rsid w:val="000C650F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48E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0A6B"/>
    <w:rsid w:val="00131182"/>
    <w:rsid w:val="00131632"/>
    <w:rsid w:val="001323A9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1E1C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507E"/>
    <w:rsid w:val="001A7C3E"/>
    <w:rsid w:val="001B2635"/>
    <w:rsid w:val="001B2A2C"/>
    <w:rsid w:val="001B2E8F"/>
    <w:rsid w:val="001B4A01"/>
    <w:rsid w:val="001B4C05"/>
    <w:rsid w:val="001B7629"/>
    <w:rsid w:val="001C2A15"/>
    <w:rsid w:val="001C38A3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E7D7A"/>
    <w:rsid w:val="001F133E"/>
    <w:rsid w:val="001F1937"/>
    <w:rsid w:val="001F2550"/>
    <w:rsid w:val="001F2762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0B4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378AE"/>
    <w:rsid w:val="00241168"/>
    <w:rsid w:val="002414C2"/>
    <w:rsid w:val="00241F9B"/>
    <w:rsid w:val="00242BDE"/>
    <w:rsid w:val="00243CF7"/>
    <w:rsid w:val="0024457C"/>
    <w:rsid w:val="00244F1C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1C5F"/>
    <w:rsid w:val="00272039"/>
    <w:rsid w:val="00273E6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D4E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05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31B"/>
    <w:rsid w:val="00304F86"/>
    <w:rsid w:val="00307E2F"/>
    <w:rsid w:val="00310FB4"/>
    <w:rsid w:val="00311DE8"/>
    <w:rsid w:val="0031264D"/>
    <w:rsid w:val="00313226"/>
    <w:rsid w:val="00313AC9"/>
    <w:rsid w:val="00320AFF"/>
    <w:rsid w:val="003213BF"/>
    <w:rsid w:val="00321615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30C21"/>
    <w:rsid w:val="00330F33"/>
    <w:rsid w:val="003321FF"/>
    <w:rsid w:val="00332414"/>
    <w:rsid w:val="003372DC"/>
    <w:rsid w:val="0033767C"/>
    <w:rsid w:val="00337BFE"/>
    <w:rsid w:val="00337E0A"/>
    <w:rsid w:val="00345B4F"/>
    <w:rsid w:val="00345DB7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015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185D"/>
    <w:rsid w:val="00382B0F"/>
    <w:rsid w:val="0038367C"/>
    <w:rsid w:val="0039069F"/>
    <w:rsid w:val="00391893"/>
    <w:rsid w:val="0039269C"/>
    <w:rsid w:val="00392E6F"/>
    <w:rsid w:val="003935F3"/>
    <w:rsid w:val="003947DD"/>
    <w:rsid w:val="00396119"/>
    <w:rsid w:val="00397073"/>
    <w:rsid w:val="0039747D"/>
    <w:rsid w:val="003974D8"/>
    <w:rsid w:val="003A00B9"/>
    <w:rsid w:val="003A0DC8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0C9"/>
    <w:rsid w:val="003C03B5"/>
    <w:rsid w:val="003C06ED"/>
    <w:rsid w:val="003C07C3"/>
    <w:rsid w:val="003C1A2C"/>
    <w:rsid w:val="003C2EFE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04C2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3F6EBB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4B"/>
    <w:rsid w:val="00414FE6"/>
    <w:rsid w:val="00416883"/>
    <w:rsid w:val="00420BDF"/>
    <w:rsid w:val="00420F52"/>
    <w:rsid w:val="00421629"/>
    <w:rsid w:val="00422E5F"/>
    <w:rsid w:val="004239D4"/>
    <w:rsid w:val="00425F5D"/>
    <w:rsid w:val="004261E7"/>
    <w:rsid w:val="00426266"/>
    <w:rsid w:val="00432D1D"/>
    <w:rsid w:val="00433283"/>
    <w:rsid w:val="00433768"/>
    <w:rsid w:val="00433AFA"/>
    <w:rsid w:val="00433D68"/>
    <w:rsid w:val="00433E4F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2753"/>
    <w:rsid w:val="00463C77"/>
    <w:rsid w:val="00464B78"/>
    <w:rsid w:val="00464C3C"/>
    <w:rsid w:val="00465BBB"/>
    <w:rsid w:val="00466B4D"/>
    <w:rsid w:val="00466D89"/>
    <w:rsid w:val="00467072"/>
    <w:rsid w:val="004671CB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3A58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B6E"/>
    <w:rsid w:val="004C3CA7"/>
    <w:rsid w:val="004C4D69"/>
    <w:rsid w:val="004C543A"/>
    <w:rsid w:val="004C60E0"/>
    <w:rsid w:val="004C6240"/>
    <w:rsid w:val="004C71A4"/>
    <w:rsid w:val="004C7546"/>
    <w:rsid w:val="004D03B6"/>
    <w:rsid w:val="004D186D"/>
    <w:rsid w:val="004D2486"/>
    <w:rsid w:val="004D26F4"/>
    <w:rsid w:val="004D2B1A"/>
    <w:rsid w:val="004D2FD7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587A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37C6A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6B4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4D73"/>
    <w:rsid w:val="005B55EA"/>
    <w:rsid w:val="005B6366"/>
    <w:rsid w:val="005B7713"/>
    <w:rsid w:val="005C1EC5"/>
    <w:rsid w:val="005C23A4"/>
    <w:rsid w:val="005C324B"/>
    <w:rsid w:val="005C3712"/>
    <w:rsid w:val="005C488E"/>
    <w:rsid w:val="005C4B3E"/>
    <w:rsid w:val="005C6BA6"/>
    <w:rsid w:val="005D0C3D"/>
    <w:rsid w:val="005D12C4"/>
    <w:rsid w:val="005D1589"/>
    <w:rsid w:val="005D1595"/>
    <w:rsid w:val="005D1D2F"/>
    <w:rsid w:val="005D41E9"/>
    <w:rsid w:val="005D74B8"/>
    <w:rsid w:val="005E038C"/>
    <w:rsid w:val="005E0DB3"/>
    <w:rsid w:val="005E1ABF"/>
    <w:rsid w:val="005E204A"/>
    <w:rsid w:val="005E317F"/>
    <w:rsid w:val="005E360D"/>
    <w:rsid w:val="005E41B0"/>
    <w:rsid w:val="005E4A52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0EA5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3F5"/>
    <w:rsid w:val="00654841"/>
    <w:rsid w:val="00655B3C"/>
    <w:rsid w:val="00655EF3"/>
    <w:rsid w:val="00663576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1623"/>
    <w:rsid w:val="0068351F"/>
    <w:rsid w:val="006839B0"/>
    <w:rsid w:val="00683BFD"/>
    <w:rsid w:val="006845B4"/>
    <w:rsid w:val="00684D13"/>
    <w:rsid w:val="00685071"/>
    <w:rsid w:val="00686715"/>
    <w:rsid w:val="00686DAE"/>
    <w:rsid w:val="0069064E"/>
    <w:rsid w:val="006914DC"/>
    <w:rsid w:val="00691A70"/>
    <w:rsid w:val="00692E79"/>
    <w:rsid w:val="00693ABE"/>
    <w:rsid w:val="00693C95"/>
    <w:rsid w:val="00693D23"/>
    <w:rsid w:val="006A0DC2"/>
    <w:rsid w:val="006A10FC"/>
    <w:rsid w:val="006A1830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1D2C"/>
    <w:rsid w:val="006E373F"/>
    <w:rsid w:val="006E3CFA"/>
    <w:rsid w:val="006E5213"/>
    <w:rsid w:val="006E67CB"/>
    <w:rsid w:val="006E6970"/>
    <w:rsid w:val="006E69AD"/>
    <w:rsid w:val="006E6C13"/>
    <w:rsid w:val="006F02AA"/>
    <w:rsid w:val="006F0BC2"/>
    <w:rsid w:val="006F1131"/>
    <w:rsid w:val="006F2CEC"/>
    <w:rsid w:val="006F338E"/>
    <w:rsid w:val="006F3DD2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4E18"/>
    <w:rsid w:val="00725D49"/>
    <w:rsid w:val="00725F20"/>
    <w:rsid w:val="00726EA7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037D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4247"/>
    <w:rsid w:val="0075540C"/>
    <w:rsid w:val="00755F67"/>
    <w:rsid w:val="007572AC"/>
    <w:rsid w:val="00757835"/>
    <w:rsid w:val="00757DB2"/>
    <w:rsid w:val="0076087E"/>
    <w:rsid w:val="00760CBC"/>
    <w:rsid w:val="00760E86"/>
    <w:rsid w:val="00761874"/>
    <w:rsid w:val="00761AB2"/>
    <w:rsid w:val="00762C8D"/>
    <w:rsid w:val="007632AE"/>
    <w:rsid w:val="007639F0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23A5"/>
    <w:rsid w:val="007849C6"/>
    <w:rsid w:val="00784AA4"/>
    <w:rsid w:val="007852E5"/>
    <w:rsid w:val="00785949"/>
    <w:rsid w:val="00785BF4"/>
    <w:rsid w:val="00785BF6"/>
    <w:rsid w:val="00787168"/>
    <w:rsid w:val="007905E9"/>
    <w:rsid w:val="007911BF"/>
    <w:rsid w:val="00791FB8"/>
    <w:rsid w:val="007923A6"/>
    <w:rsid w:val="00793F0C"/>
    <w:rsid w:val="007955FB"/>
    <w:rsid w:val="00795673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650"/>
    <w:rsid w:val="007C5DF4"/>
    <w:rsid w:val="007C6BCD"/>
    <w:rsid w:val="007D00AF"/>
    <w:rsid w:val="007D153A"/>
    <w:rsid w:val="007D1623"/>
    <w:rsid w:val="007D3636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EAE"/>
    <w:rsid w:val="00806198"/>
    <w:rsid w:val="00807BE2"/>
    <w:rsid w:val="00807CA6"/>
    <w:rsid w:val="00810876"/>
    <w:rsid w:val="00810E1C"/>
    <w:rsid w:val="00811886"/>
    <w:rsid w:val="008124C0"/>
    <w:rsid w:val="00815866"/>
    <w:rsid w:val="00815C39"/>
    <w:rsid w:val="00815FD5"/>
    <w:rsid w:val="00821E36"/>
    <w:rsid w:val="00822BE4"/>
    <w:rsid w:val="0082306B"/>
    <w:rsid w:val="0082467B"/>
    <w:rsid w:val="0082524E"/>
    <w:rsid w:val="00826291"/>
    <w:rsid w:val="008269EA"/>
    <w:rsid w:val="008300EE"/>
    <w:rsid w:val="00830CA9"/>
    <w:rsid w:val="00832903"/>
    <w:rsid w:val="0083319B"/>
    <w:rsid w:val="00833819"/>
    <w:rsid w:val="0083413A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6589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345C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304"/>
    <w:rsid w:val="00890F99"/>
    <w:rsid w:val="00891097"/>
    <w:rsid w:val="0089129D"/>
    <w:rsid w:val="008919BE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971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2012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BD8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698"/>
    <w:rsid w:val="00916E87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2D7"/>
    <w:rsid w:val="00933D7D"/>
    <w:rsid w:val="0094057A"/>
    <w:rsid w:val="009437A9"/>
    <w:rsid w:val="0094425A"/>
    <w:rsid w:val="00944573"/>
    <w:rsid w:val="00944F9E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6611F"/>
    <w:rsid w:val="00966793"/>
    <w:rsid w:val="009709D7"/>
    <w:rsid w:val="00971724"/>
    <w:rsid w:val="009719C0"/>
    <w:rsid w:val="00972A3E"/>
    <w:rsid w:val="009746B6"/>
    <w:rsid w:val="00975A8C"/>
    <w:rsid w:val="00977F2A"/>
    <w:rsid w:val="009801E7"/>
    <w:rsid w:val="009805C6"/>
    <w:rsid w:val="009815D0"/>
    <w:rsid w:val="00981A18"/>
    <w:rsid w:val="00981A1A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A46"/>
    <w:rsid w:val="00A15D23"/>
    <w:rsid w:val="00A1720F"/>
    <w:rsid w:val="00A173DA"/>
    <w:rsid w:val="00A216A1"/>
    <w:rsid w:val="00A21772"/>
    <w:rsid w:val="00A21897"/>
    <w:rsid w:val="00A22118"/>
    <w:rsid w:val="00A2626A"/>
    <w:rsid w:val="00A26B1D"/>
    <w:rsid w:val="00A278A2"/>
    <w:rsid w:val="00A27D6C"/>
    <w:rsid w:val="00A30B57"/>
    <w:rsid w:val="00A30EF6"/>
    <w:rsid w:val="00A31282"/>
    <w:rsid w:val="00A316AC"/>
    <w:rsid w:val="00A31B36"/>
    <w:rsid w:val="00A32CA2"/>
    <w:rsid w:val="00A32D73"/>
    <w:rsid w:val="00A333AB"/>
    <w:rsid w:val="00A33D81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2A6B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329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3DD1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15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245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391"/>
    <w:rsid w:val="00B14CC2"/>
    <w:rsid w:val="00B15A85"/>
    <w:rsid w:val="00B15F8B"/>
    <w:rsid w:val="00B16CF8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5C12"/>
    <w:rsid w:val="00B560CA"/>
    <w:rsid w:val="00B56A9E"/>
    <w:rsid w:val="00B60A73"/>
    <w:rsid w:val="00B61A4C"/>
    <w:rsid w:val="00B621C2"/>
    <w:rsid w:val="00B6330A"/>
    <w:rsid w:val="00B648ED"/>
    <w:rsid w:val="00B65D50"/>
    <w:rsid w:val="00B66470"/>
    <w:rsid w:val="00B71988"/>
    <w:rsid w:val="00B71F09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821"/>
    <w:rsid w:val="00B92921"/>
    <w:rsid w:val="00B929F4"/>
    <w:rsid w:val="00B93569"/>
    <w:rsid w:val="00B95499"/>
    <w:rsid w:val="00B96401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331E"/>
    <w:rsid w:val="00BC4FE7"/>
    <w:rsid w:val="00BC5B27"/>
    <w:rsid w:val="00BC69EA"/>
    <w:rsid w:val="00BC727F"/>
    <w:rsid w:val="00BD119A"/>
    <w:rsid w:val="00BD131B"/>
    <w:rsid w:val="00BD2672"/>
    <w:rsid w:val="00BD2F89"/>
    <w:rsid w:val="00BD4581"/>
    <w:rsid w:val="00BD521C"/>
    <w:rsid w:val="00BD5DF1"/>
    <w:rsid w:val="00BD6A52"/>
    <w:rsid w:val="00BD7CCD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6CEE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10661"/>
    <w:rsid w:val="00C13C66"/>
    <w:rsid w:val="00C13C80"/>
    <w:rsid w:val="00C15D9E"/>
    <w:rsid w:val="00C161E8"/>
    <w:rsid w:val="00C20A32"/>
    <w:rsid w:val="00C20BF4"/>
    <w:rsid w:val="00C2318C"/>
    <w:rsid w:val="00C24B29"/>
    <w:rsid w:val="00C24DF9"/>
    <w:rsid w:val="00C27053"/>
    <w:rsid w:val="00C270BB"/>
    <w:rsid w:val="00C27454"/>
    <w:rsid w:val="00C305B3"/>
    <w:rsid w:val="00C3089D"/>
    <w:rsid w:val="00C30F3F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1118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2C6E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1674"/>
    <w:rsid w:val="00C71838"/>
    <w:rsid w:val="00C7267F"/>
    <w:rsid w:val="00C74107"/>
    <w:rsid w:val="00C745DA"/>
    <w:rsid w:val="00C75910"/>
    <w:rsid w:val="00C76237"/>
    <w:rsid w:val="00C76540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5C7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2A3A"/>
    <w:rsid w:val="00CB4F90"/>
    <w:rsid w:val="00CB6D8B"/>
    <w:rsid w:val="00CC0109"/>
    <w:rsid w:val="00CC03B8"/>
    <w:rsid w:val="00CC12AE"/>
    <w:rsid w:val="00CC312A"/>
    <w:rsid w:val="00CC3B22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581A"/>
    <w:rsid w:val="00CF6380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14FF"/>
    <w:rsid w:val="00D13372"/>
    <w:rsid w:val="00D14B4E"/>
    <w:rsid w:val="00D152A1"/>
    <w:rsid w:val="00D1630E"/>
    <w:rsid w:val="00D208D4"/>
    <w:rsid w:val="00D20DAB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0238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58E1"/>
    <w:rsid w:val="00D8626D"/>
    <w:rsid w:val="00D8698F"/>
    <w:rsid w:val="00D91360"/>
    <w:rsid w:val="00D92B28"/>
    <w:rsid w:val="00D9341A"/>
    <w:rsid w:val="00D95595"/>
    <w:rsid w:val="00DA0B19"/>
    <w:rsid w:val="00DA167F"/>
    <w:rsid w:val="00DA1F50"/>
    <w:rsid w:val="00DA2A53"/>
    <w:rsid w:val="00DA36F6"/>
    <w:rsid w:val="00DA5472"/>
    <w:rsid w:val="00DA6BA8"/>
    <w:rsid w:val="00DA74C4"/>
    <w:rsid w:val="00DA78DA"/>
    <w:rsid w:val="00DB0124"/>
    <w:rsid w:val="00DB07D3"/>
    <w:rsid w:val="00DB18F8"/>
    <w:rsid w:val="00DB3518"/>
    <w:rsid w:val="00DB39AE"/>
    <w:rsid w:val="00DB5637"/>
    <w:rsid w:val="00DB6294"/>
    <w:rsid w:val="00DB71D1"/>
    <w:rsid w:val="00DB7D29"/>
    <w:rsid w:val="00DC0CC5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C7E2F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13F1"/>
    <w:rsid w:val="00DE252F"/>
    <w:rsid w:val="00DE329B"/>
    <w:rsid w:val="00DE347F"/>
    <w:rsid w:val="00DE3D2A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113"/>
    <w:rsid w:val="00E04668"/>
    <w:rsid w:val="00E07B4F"/>
    <w:rsid w:val="00E10049"/>
    <w:rsid w:val="00E105A9"/>
    <w:rsid w:val="00E10CCF"/>
    <w:rsid w:val="00E12382"/>
    <w:rsid w:val="00E12C10"/>
    <w:rsid w:val="00E13926"/>
    <w:rsid w:val="00E13A7A"/>
    <w:rsid w:val="00E14EEF"/>
    <w:rsid w:val="00E163BA"/>
    <w:rsid w:val="00E1711B"/>
    <w:rsid w:val="00E21494"/>
    <w:rsid w:val="00E21B05"/>
    <w:rsid w:val="00E21E60"/>
    <w:rsid w:val="00E2357A"/>
    <w:rsid w:val="00E24848"/>
    <w:rsid w:val="00E24EC7"/>
    <w:rsid w:val="00E2542A"/>
    <w:rsid w:val="00E2761E"/>
    <w:rsid w:val="00E306B7"/>
    <w:rsid w:val="00E30F51"/>
    <w:rsid w:val="00E31F5D"/>
    <w:rsid w:val="00E32B53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2DF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781"/>
    <w:rsid w:val="00E92C45"/>
    <w:rsid w:val="00E93DF9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1B09"/>
    <w:rsid w:val="00EB2961"/>
    <w:rsid w:val="00EB3922"/>
    <w:rsid w:val="00EB46D5"/>
    <w:rsid w:val="00EB4858"/>
    <w:rsid w:val="00EB4BC1"/>
    <w:rsid w:val="00EB5640"/>
    <w:rsid w:val="00EB5D04"/>
    <w:rsid w:val="00EB679A"/>
    <w:rsid w:val="00EB7F32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617"/>
    <w:rsid w:val="00ED2D6D"/>
    <w:rsid w:val="00ED313A"/>
    <w:rsid w:val="00ED5808"/>
    <w:rsid w:val="00ED66EC"/>
    <w:rsid w:val="00EE0677"/>
    <w:rsid w:val="00EE09C8"/>
    <w:rsid w:val="00EE3C72"/>
    <w:rsid w:val="00EE5E4B"/>
    <w:rsid w:val="00EF156D"/>
    <w:rsid w:val="00EF1941"/>
    <w:rsid w:val="00EF1FF1"/>
    <w:rsid w:val="00EF24DB"/>
    <w:rsid w:val="00EF3A3D"/>
    <w:rsid w:val="00EF3AB3"/>
    <w:rsid w:val="00EF3D08"/>
    <w:rsid w:val="00EF4C06"/>
    <w:rsid w:val="00EF4C36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989"/>
    <w:rsid w:val="00F16FAE"/>
    <w:rsid w:val="00F17473"/>
    <w:rsid w:val="00F22E60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64D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250"/>
    <w:rsid w:val="00F51F63"/>
    <w:rsid w:val="00F53333"/>
    <w:rsid w:val="00F53623"/>
    <w:rsid w:val="00F53E6A"/>
    <w:rsid w:val="00F5462B"/>
    <w:rsid w:val="00F54719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DFF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88D"/>
    <w:rsid w:val="00F86A20"/>
    <w:rsid w:val="00F86C5A"/>
    <w:rsid w:val="00F87485"/>
    <w:rsid w:val="00F90B3E"/>
    <w:rsid w:val="00F916A3"/>
    <w:rsid w:val="00F934A6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2870"/>
    <w:rsid w:val="00FB3385"/>
    <w:rsid w:val="00FB3D49"/>
    <w:rsid w:val="00FB5653"/>
    <w:rsid w:val="00FB63D8"/>
    <w:rsid w:val="00FB6DE4"/>
    <w:rsid w:val="00FB71A7"/>
    <w:rsid w:val="00FB75C1"/>
    <w:rsid w:val="00FC0AEE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D23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5"/>
    <o:shapelayout v:ext="edit">
      <o:idmap v:ext="edit" data="1"/>
    </o:shapelayout>
  </w:shapeDefaults>
  <w:decimalSymbol w:val="."/>
  <w:listSeparator w:val=","/>
  <w14:docId w14:val="4D0E93AC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1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E679-BCF4-4101-84ED-951D8BE4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Dave Bill</cp:lastModifiedBy>
  <cp:revision>4</cp:revision>
  <cp:lastPrinted>2019-03-20T15:13:00Z</cp:lastPrinted>
  <dcterms:created xsi:type="dcterms:W3CDTF">2019-04-18T13:40:00Z</dcterms:created>
  <dcterms:modified xsi:type="dcterms:W3CDTF">2019-04-18T13:41:00Z</dcterms:modified>
</cp:coreProperties>
</file>