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8609" w14:textId="77777777" w:rsidR="004F62BB" w:rsidRPr="004F62BB" w:rsidRDefault="004F62BB" w:rsidP="004104BE">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14:paraId="3B44F87D" w14:textId="77777777" w:rsidR="001D5222" w:rsidRDefault="001D5222" w:rsidP="004104BE">
      <w:pPr>
        <w:spacing w:after="0" w:line="240" w:lineRule="auto"/>
        <w:jc w:val="center"/>
        <w:rPr>
          <w:rFonts w:ascii="Arial" w:hAnsi="Arial" w:cs="Arial"/>
          <w:b/>
          <w:sz w:val="24"/>
          <w:szCs w:val="24"/>
        </w:rPr>
      </w:pPr>
    </w:p>
    <w:p w14:paraId="5FFD9891" w14:textId="77777777" w:rsidR="004F62BB" w:rsidRPr="004F62BB" w:rsidRDefault="004F62BB" w:rsidP="004104BE">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1ED2E59E" w14:textId="77777777" w:rsidR="001D5222" w:rsidRDefault="001D5222" w:rsidP="004104BE">
      <w:pPr>
        <w:spacing w:after="0" w:line="240" w:lineRule="auto"/>
        <w:jc w:val="center"/>
        <w:rPr>
          <w:rFonts w:ascii="Arial" w:hAnsi="Arial" w:cs="Arial"/>
          <w:b/>
          <w:sz w:val="24"/>
          <w:szCs w:val="24"/>
        </w:rPr>
      </w:pPr>
    </w:p>
    <w:p w14:paraId="1BBFAA4E" w14:textId="77777777" w:rsidR="004F62BB" w:rsidRDefault="004F62BB" w:rsidP="004104BE">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79B03713" w14:textId="77777777" w:rsidTr="00773654">
        <w:tc>
          <w:tcPr>
            <w:tcW w:w="3260" w:type="dxa"/>
          </w:tcPr>
          <w:p w14:paraId="22F525E4" w14:textId="77777777" w:rsidR="00773654" w:rsidRPr="00046E42" w:rsidRDefault="00652B9C" w:rsidP="004104BE">
            <w:pPr>
              <w:rPr>
                <w:rFonts w:ascii="Arial" w:hAnsi="Arial" w:cs="Arial"/>
                <w:b/>
                <w:sz w:val="24"/>
                <w:szCs w:val="24"/>
              </w:rPr>
            </w:pPr>
            <w:r w:rsidRPr="00046E42">
              <w:rPr>
                <w:rFonts w:ascii="Arial" w:hAnsi="Arial" w:cs="Arial"/>
                <w:b/>
                <w:sz w:val="24"/>
                <w:szCs w:val="24"/>
              </w:rPr>
              <w:t>Title of Report:</w:t>
            </w:r>
          </w:p>
        </w:tc>
        <w:tc>
          <w:tcPr>
            <w:tcW w:w="5103" w:type="dxa"/>
          </w:tcPr>
          <w:p w14:paraId="31BB4E1B" w14:textId="77777777" w:rsidR="00652B9C" w:rsidRPr="00046E42" w:rsidRDefault="0031777C" w:rsidP="004104BE">
            <w:pPr>
              <w:rPr>
                <w:rFonts w:ascii="Arial" w:hAnsi="Arial" w:cs="Arial"/>
                <w:b/>
                <w:sz w:val="24"/>
                <w:szCs w:val="24"/>
              </w:rPr>
            </w:pPr>
            <w:r>
              <w:rPr>
                <w:rFonts w:ascii="Arial" w:hAnsi="Arial" w:cs="Arial"/>
                <w:b/>
                <w:sz w:val="24"/>
                <w:szCs w:val="24"/>
              </w:rPr>
              <w:t>Crime Data Accuracy - Update</w:t>
            </w:r>
          </w:p>
        </w:tc>
      </w:tr>
      <w:tr w:rsidR="00852251" w:rsidRPr="00046E42" w14:paraId="0DDDD96C" w14:textId="77777777" w:rsidTr="00773654">
        <w:tc>
          <w:tcPr>
            <w:tcW w:w="3260" w:type="dxa"/>
          </w:tcPr>
          <w:p w14:paraId="783DC8DD" w14:textId="77777777" w:rsidR="00852251" w:rsidRPr="00046E42" w:rsidRDefault="00852251" w:rsidP="004104BE">
            <w:pPr>
              <w:rPr>
                <w:rFonts w:ascii="Arial" w:hAnsi="Arial" w:cs="Arial"/>
                <w:b/>
                <w:sz w:val="24"/>
                <w:szCs w:val="24"/>
              </w:rPr>
            </w:pPr>
            <w:r w:rsidRPr="00852251">
              <w:rPr>
                <w:rFonts w:ascii="Arial" w:hAnsi="Arial" w:cs="Arial"/>
                <w:b/>
                <w:color w:val="0070C0"/>
                <w:sz w:val="24"/>
                <w:szCs w:val="24"/>
              </w:rPr>
              <w:t>Agenda Number:</w:t>
            </w:r>
          </w:p>
        </w:tc>
        <w:tc>
          <w:tcPr>
            <w:tcW w:w="5103" w:type="dxa"/>
          </w:tcPr>
          <w:p w14:paraId="754FB4F4" w14:textId="143D2F5D" w:rsidR="00852251" w:rsidRPr="00046E42" w:rsidRDefault="00E40B16" w:rsidP="004104BE">
            <w:pPr>
              <w:rPr>
                <w:rFonts w:ascii="Arial" w:hAnsi="Arial" w:cs="Arial"/>
                <w:b/>
                <w:sz w:val="24"/>
                <w:szCs w:val="24"/>
              </w:rPr>
            </w:pPr>
            <w:r>
              <w:rPr>
                <w:rFonts w:ascii="Arial" w:hAnsi="Arial" w:cs="Arial"/>
                <w:b/>
                <w:color w:val="0070C0"/>
                <w:sz w:val="24"/>
                <w:szCs w:val="24"/>
              </w:rPr>
              <w:t>7</w:t>
            </w:r>
            <w:bookmarkStart w:id="0" w:name="_GoBack"/>
            <w:bookmarkEnd w:id="0"/>
          </w:p>
        </w:tc>
      </w:tr>
      <w:tr w:rsidR="00652B9C" w:rsidRPr="00046E42" w14:paraId="27FF8380" w14:textId="77777777" w:rsidTr="00773654">
        <w:tc>
          <w:tcPr>
            <w:tcW w:w="3260" w:type="dxa"/>
          </w:tcPr>
          <w:p w14:paraId="12EAC38D" w14:textId="77777777" w:rsidR="00773654" w:rsidRPr="00046E42" w:rsidRDefault="00517DD2" w:rsidP="004104BE">
            <w:pPr>
              <w:rPr>
                <w:rFonts w:ascii="Arial" w:hAnsi="Arial" w:cs="Arial"/>
                <w:b/>
                <w:sz w:val="24"/>
                <w:szCs w:val="24"/>
              </w:rPr>
            </w:pPr>
            <w:r>
              <w:rPr>
                <w:rFonts w:ascii="Arial" w:hAnsi="Arial" w:cs="Arial"/>
                <w:b/>
                <w:sz w:val="24"/>
                <w:szCs w:val="24"/>
              </w:rPr>
              <w:t>Chief Officer</w:t>
            </w:r>
          </w:p>
        </w:tc>
        <w:tc>
          <w:tcPr>
            <w:tcW w:w="5103" w:type="dxa"/>
          </w:tcPr>
          <w:p w14:paraId="535CBE5B" w14:textId="043D42D5" w:rsidR="00652B9C" w:rsidRPr="00046E42" w:rsidRDefault="0031777C" w:rsidP="004104BE">
            <w:pPr>
              <w:rPr>
                <w:rFonts w:ascii="Arial" w:hAnsi="Arial" w:cs="Arial"/>
                <w:b/>
                <w:sz w:val="24"/>
                <w:szCs w:val="24"/>
              </w:rPr>
            </w:pPr>
            <w:r>
              <w:rPr>
                <w:rFonts w:ascii="Arial" w:hAnsi="Arial" w:cs="Arial"/>
                <w:b/>
                <w:sz w:val="24"/>
                <w:szCs w:val="24"/>
              </w:rPr>
              <w:t>DCC</w:t>
            </w:r>
            <w:r w:rsidR="00CD0FF7">
              <w:rPr>
                <w:rFonts w:ascii="Arial" w:hAnsi="Arial" w:cs="Arial"/>
                <w:b/>
                <w:sz w:val="24"/>
                <w:szCs w:val="24"/>
              </w:rPr>
              <w:t xml:space="preserve"> Mills</w:t>
            </w:r>
          </w:p>
        </w:tc>
      </w:tr>
      <w:tr w:rsidR="00591EB9" w:rsidRPr="00046E42" w14:paraId="0262FBB8" w14:textId="77777777" w:rsidTr="00773654">
        <w:tc>
          <w:tcPr>
            <w:tcW w:w="3260" w:type="dxa"/>
          </w:tcPr>
          <w:p w14:paraId="10648232" w14:textId="77777777" w:rsidR="00591EB9" w:rsidRDefault="00591EB9" w:rsidP="004104BE">
            <w:pPr>
              <w:rPr>
                <w:rFonts w:ascii="Arial" w:hAnsi="Arial" w:cs="Arial"/>
                <w:b/>
                <w:sz w:val="24"/>
                <w:szCs w:val="24"/>
              </w:rPr>
            </w:pPr>
            <w:r>
              <w:rPr>
                <w:rFonts w:ascii="Arial" w:hAnsi="Arial" w:cs="Arial"/>
                <w:b/>
                <w:sz w:val="24"/>
                <w:szCs w:val="24"/>
              </w:rPr>
              <w:t>Date Paper was Written</w:t>
            </w:r>
          </w:p>
        </w:tc>
        <w:tc>
          <w:tcPr>
            <w:tcW w:w="5103" w:type="dxa"/>
          </w:tcPr>
          <w:p w14:paraId="7AE37095" w14:textId="77777777" w:rsidR="00591EB9" w:rsidRPr="00046E42" w:rsidRDefault="00CD1DFE" w:rsidP="004104BE">
            <w:pPr>
              <w:rPr>
                <w:rFonts w:ascii="Arial" w:hAnsi="Arial" w:cs="Arial"/>
                <w:b/>
                <w:sz w:val="24"/>
                <w:szCs w:val="24"/>
              </w:rPr>
            </w:pPr>
            <w:r>
              <w:rPr>
                <w:rFonts w:ascii="Arial" w:hAnsi="Arial" w:cs="Arial"/>
                <w:b/>
                <w:sz w:val="24"/>
                <w:szCs w:val="24"/>
              </w:rPr>
              <w:t>9</w:t>
            </w:r>
            <w:r w:rsidR="005A21A1">
              <w:rPr>
                <w:rFonts w:ascii="Arial" w:hAnsi="Arial" w:cs="Arial"/>
                <w:b/>
                <w:sz w:val="24"/>
                <w:szCs w:val="24"/>
              </w:rPr>
              <w:t>th April 2019</w:t>
            </w:r>
          </w:p>
        </w:tc>
      </w:tr>
      <w:tr w:rsidR="00591EB9" w:rsidRPr="00046E42" w14:paraId="5045C8F2" w14:textId="77777777" w:rsidTr="00773654">
        <w:tc>
          <w:tcPr>
            <w:tcW w:w="3260" w:type="dxa"/>
          </w:tcPr>
          <w:p w14:paraId="2A5F716D" w14:textId="77777777" w:rsidR="00591EB9" w:rsidRDefault="00591EB9" w:rsidP="004104BE">
            <w:pPr>
              <w:rPr>
                <w:rFonts w:ascii="Arial" w:hAnsi="Arial" w:cs="Arial"/>
                <w:b/>
                <w:sz w:val="24"/>
                <w:szCs w:val="24"/>
              </w:rPr>
            </w:pPr>
            <w:r>
              <w:rPr>
                <w:rFonts w:ascii="Arial" w:hAnsi="Arial" w:cs="Arial"/>
                <w:b/>
                <w:sz w:val="24"/>
                <w:szCs w:val="24"/>
              </w:rPr>
              <w:t>Version Number</w:t>
            </w:r>
          </w:p>
        </w:tc>
        <w:tc>
          <w:tcPr>
            <w:tcW w:w="5103" w:type="dxa"/>
          </w:tcPr>
          <w:p w14:paraId="2A8F2331" w14:textId="3DC04748" w:rsidR="00591EB9" w:rsidRPr="00046E42" w:rsidRDefault="00F601BD" w:rsidP="004104BE">
            <w:pPr>
              <w:rPr>
                <w:rFonts w:ascii="Arial" w:hAnsi="Arial" w:cs="Arial"/>
                <w:b/>
                <w:sz w:val="24"/>
                <w:szCs w:val="24"/>
              </w:rPr>
            </w:pPr>
            <w:r>
              <w:rPr>
                <w:rFonts w:ascii="Arial" w:hAnsi="Arial" w:cs="Arial"/>
                <w:b/>
                <w:sz w:val="24"/>
                <w:szCs w:val="24"/>
              </w:rPr>
              <w:t>V 1.0</w:t>
            </w:r>
          </w:p>
        </w:tc>
      </w:tr>
      <w:tr w:rsidR="00652B9C" w:rsidRPr="00046E42" w14:paraId="015E610A" w14:textId="77777777" w:rsidTr="00773654">
        <w:tc>
          <w:tcPr>
            <w:tcW w:w="3260" w:type="dxa"/>
          </w:tcPr>
          <w:p w14:paraId="203AC3F5" w14:textId="77777777" w:rsidR="00652B9C" w:rsidRPr="00046E42" w:rsidRDefault="00652B9C" w:rsidP="004104BE">
            <w:pPr>
              <w:rPr>
                <w:rFonts w:ascii="Arial" w:hAnsi="Arial" w:cs="Arial"/>
                <w:b/>
                <w:sz w:val="24"/>
                <w:szCs w:val="24"/>
              </w:rPr>
            </w:pPr>
            <w:r w:rsidRPr="00046E42">
              <w:rPr>
                <w:rFonts w:ascii="Arial" w:hAnsi="Arial" w:cs="Arial"/>
                <w:b/>
                <w:sz w:val="24"/>
                <w:szCs w:val="24"/>
              </w:rPr>
              <w:t xml:space="preserve">Report from: </w:t>
            </w:r>
          </w:p>
        </w:tc>
        <w:tc>
          <w:tcPr>
            <w:tcW w:w="5103" w:type="dxa"/>
          </w:tcPr>
          <w:p w14:paraId="097C51E5" w14:textId="77777777" w:rsidR="00652B9C" w:rsidRPr="00046E42" w:rsidRDefault="00773654" w:rsidP="004104BE">
            <w:pPr>
              <w:rPr>
                <w:rFonts w:ascii="Arial" w:hAnsi="Arial" w:cs="Arial"/>
                <w:b/>
                <w:sz w:val="24"/>
                <w:szCs w:val="24"/>
              </w:rPr>
            </w:pPr>
            <w:r w:rsidRPr="00046E42">
              <w:rPr>
                <w:rFonts w:ascii="Arial" w:hAnsi="Arial" w:cs="Arial"/>
                <w:b/>
                <w:sz w:val="24"/>
                <w:szCs w:val="24"/>
              </w:rPr>
              <w:t>Essex Police</w:t>
            </w:r>
          </w:p>
        </w:tc>
      </w:tr>
      <w:tr w:rsidR="00652B9C" w:rsidRPr="00046E42" w14:paraId="7D968A6D" w14:textId="77777777" w:rsidTr="00773654">
        <w:tc>
          <w:tcPr>
            <w:tcW w:w="3260" w:type="dxa"/>
          </w:tcPr>
          <w:p w14:paraId="1CBD5B81" w14:textId="77777777" w:rsidR="00652B9C" w:rsidRPr="00046E42" w:rsidRDefault="00652B9C" w:rsidP="004104BE">
            <w:pPr>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14:paraId="276C3769" w14:textId="77777777" w:rsidR="00652B9C" w:rsidRPr="00046E42" w:rsidRDefault="005A21A1" w:rsidP="004104BE">
            <w:pPr>
              <w:rPr>
                <w:rFonts w:ascii="Arial" w:hAnsi="Arial" w:cs="Arial"/>
                <w:b/>
                <w:sz w:val="24"/>
                <w:szCs w:val="24"/>
              </w:rPr>
            </w:pPr>
            <w:r>
              <w:rPr>
                <w:rFonts w:ascii="Arial" w:hAnsi="Arial" w:cs="Arial"/>
                <w:b/>
                <w:sz w:val="24"/>
                <w:szCs w:val="24"/>
              </w:rPr>
              <w:t>30</w:t>
            </w:r>
            <w:r w:rsidRPr="005A21A1">
              <w:rPr>
                <w:rFonts w:ascii="Arial" w:hAnsi="Arial" w:cs="Arial"/>
                <w:b/>
                <w:sz w:val="24"/>
                <w:szCs w:val="24"/>
                <w:vertAlign w:val="superscript"/>
              </w:rPr>
              <w:t>th</w:t>
            </w:r>
            <w:r>
              <w:rPr>
                <w:rFonts w:ascii="Arial" w:hAnsi="Arial" w:cs="Arial"/>
                <w:b/>
                <w:sz w:val="24"/>
                <w:szCs w:val="24"/>
              </w:rPr>
              <w:t xml:space="preserve"> April 2019</w:t>
            </w:r>
          </w:p>
        </w:tc>
      </w:tr>
      <w:tr w:rsidR="00652B9C" w:rsidRPr="00046E42" w14:paraId="5A85D696" w14:textId="77777777" w:rsidTr="00773654">
        <w:tc>
          <w:tcPr>
            <w:tcW w:w="3260" w:type="dxa"/>
          </w:tcPr>
          <w:p w14:paraId="1349608A" w14:textId="77777777" w:rsidR="00652B9C" w:rsidRPr="00046E42" w:rsidRDefault="00517DD2" w:rsidP="004104BE">
            <w:pPr>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14:paraId="01093D6B" w14:textId="77777777" w:rsidR="00652B9C" w:rsidRPr="00046E42" w:rsidRDefault="00A76A80" w:rsidP="004104BE">
            <w:pPr>
              <w:rPr>
                <w:rFonts w:ascii="Arial" w:hAnsi="Arial" w:cs="Arial"/>
                <w:b/>
                <w:sz w:val="24"/>
                <w:szCs w:val="24"/>
              </w:rPr>
            </w:pPr>
            <w:r>
              <w:rPr>
                <w:rFonts w:ascii="Arial" w:hAnsi="Arial" w:cs="Arial"/>
                <w:b/>
                <w:sz w:val="24"/>
                <w:szCs w:val="24"/>
              </w:rPr>
              <w:t>Ch Insp Chris Bradford, Force Crime and Incident Registrar</w:t>
            </w:r>
          </w:p>
        </w:tc>
      </w:tr>
      <w:tr w:rsidR="00652B9C" w:rsidRPr="00046E42" w14:paraId="6251529B" w14:textId="77777777" w:rsidTr="00773654">
        <w:tc>
          <w:tcPr>
            <w:tcW w:w="3260" w:type="dxa"/>
          </w:tcPr>
          <w:p w14:paraId="5B86127B" w14:textId="77777777" w:rsidR="00652B9C" w:rsidRPr="00046E42" w:rsidRDefault="00652B9C" w:rsidP="004104BE">
            <w:pPr>
              <w:rPr>
                <w:rFonts w:ascii="Arial" w:hAnsi="Arial" w:cs="Arial"/>
                <w:b/>
                <w:sz w:val="24"/>
                <w:szCs w:val="24"/>
              </w:rPr>
            </w:pPr>
            <w:r w:rsidRPr="00046E42">
              <w:rPr>
                <w:rFonts w:ascii="Arial" w:hAnsi="Arial" w:cs="Arial"/>
                <w:b/>
                <w:sz w:val="24"/>
                <w:szCs w:val="24"/>
              </w:rPr>
              <w:t>Date of Approval:</w:t>
            </w:r>
          </w:p>
        </w:tc>
        <w:tc>
          <w:tcPr>
            <w:tcW w:w="5103" w:type="dxa"/>
          </w:tcPr>
          <w:p w14:paraId="417FE3C2" w14:textId="098C9E33" w:rsidR="00652B9C" w:rsidRPr="00046E42" w:rsidRDefault="004E10C7" w:rsidP="004104BE">
            <w:pPr>
              <w:rPr>
                <w:rFonts w:ascii="Arial" w:hAnsi="Arial" w:cs="Arial"/>
                <w:b/>
                <w:sz w:val="24"/>
                <w:szCs w:val="24"/>
              </w:rPr>
            </w:pPr>
            <w:r>
              <w:rPr>
                <w:rFonts w:ascii="Arial" w:hAnsi="Arial" w:cs="Arial"/>
                <w:b/>
                <w:sz w:val="24"/>
                <w:szCs w:val="24"/>
              </w:rPr>
              <w:t>11</w:t>
            </w:r>
            <w:r w:rsidRPr="004F4420">
              <w:rPr>
                <w:rFonts w:ascii="Arial" w:hAnsi="Arial" w:cs="Arial"/>
                <w:b/>
                <w:sz w:val="24"/>
                <w:szCs w:val="24"/>
                <w:vertAlign w:val="superscript"/>
              </w:rPr>
              <w:t>th</w:t>
            </w:r>
            <w:r>
              <w:rPr>
                <w:rFonts w:ascii="Arial" w:hAnsi="Arial" w:cs="Arial"/>
                <w:b/>
                <w:sz w:val="24"/>
                <w:szCs w:val="24"/>
              </w:rPr>
              <w:t xml:space="preserve"> April 2019</w:t>
            </w:r>
          </w:p>
        </w:tc>
      </w:tr>
    </w:tbl>
    <w:p w14:paraId="64DAE8EF" w14:textId="77777777" w:rsidR="001D5222" w:rsidRPr="004F62BB" w:rsidRDefault="001D5222" w:rsidP="004104BE">
      <w:pPr>
        <w:spacing w:after="0" w:line="240" w:lineRule="auto"/>
        <w:ind w:left="709"/>
        <w:rPr>
          <w:rFonts w:ascii="Arial" w:hAnsi="Arial" w:cs="Arial"/>
          <w:b/>
          <w:sz w:val="24"/>
          <w:szCs w:val="24"/>
        </w:rPr>
      </w:pPr>
    </w:p>
    <w:p w14:paraId="3D2716DB" w14:textId="77777777" w:rsidR="004F62BB" w:rsidRDefault="004F62BB" w:rsidP="004104BE">
      <w:pPr>
        <w:pStyle w:val="NoSpacing"/>
        <w:ind w:left="709"/>
        <w:rPr>
          <w:rFonts w:ascii="Arial" w:hAnsi="Arial" w:cs="Arial"/>
          <w:sz w:val="24"/>
          <w:szCs w:val="24"/>
        </w:rPr>
      </w:pPr>
    </w:p>
    <w:p w14:paraId="1FA496F8" w14:textId="77777777" w:rsidR="00665862" w:rsidRDefault="00665862" w:rsidP="004104BE">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08405F8B" w14:textId="77777777" w:rsidR="00652B9C" w:rsidRDefault="00652B9C" w:rsidP="004104BE">
      <w:pPr>
        <w:pStyle w:val="NoSpacing"/>
        <w:ind w:left="720"/>
        <w:rPr>
          <w:rFonts w:ascii="Arial" w:hAnsi="Arial" w:cs="Arial"/>
          <w:b/>
          <w:sz w:val="24"/>
          <w:szCs w:val="24"/>
          <w:u w:val="single"/>
        </w:rPr>
      </w:pPr>
    </w:p>
    <w:p w14:paraId="289E1ADC" w14:textId="77777777" w:rsidR="00652B9C" w:rsidRPr="00652B9C" w:rsidRDefault="005A21A1" w:rsidP="004104BE">
      <w:pPr>
        <w:pStyle w:val="NoSpacing"/>
        <w:ind w:left="720"/>
        <w:rPr>
          <w:rFonts w:ascii="Arial" w:hAnsi="Arial" w:cs="Arial"/>
          <w:sz w:val="24"/>
          <w:szCs w:val="24"/>
        </w:rPr>
      </w:pPr>
      <w:r>
        <w:rPr>
          <w:rFonts w:ascii="Arial" w:hAnsi="Arial" w:cs="Arial"/>
          <w:sz w:val="24"/>
          <w:szCs w:val="24"/>
        </w:rPr>
        <w:t>To provide a quarterly update</w:t>
      </w:r>
      <w:r w:rsidR="00666A8A">
        <w:rPr>
          <w:rFonts w:ascii="Arial" w:hAnsi="Arial" w:cs="Arial"/>
          <w:sz w:val="24"/>
          <w:szCs w:val="24"/>
        </w:rPr>
        <w:t xml:space="preserve"> in relation to </w:t>
      </w:r>
      <w:r w:rsidR="00612C11">
        <w:rPr>
          <w:rFonts w:ascii="Arial" w:hAnsi="Arial" w:cs="Arial"/>
          <w:sz w:val="24"/>
          <w:szCs w:val="24"/>
        </w:rPr>
        <w:t xml:space="preserve">the crime data accuracy (CDA) of Essex Police. </w:t>
      </w:r>
    </w:p>
    <w:p w14:paraId="547928B6" w14:textId="77777777" w:rsidR="00665862" w:rsidRPr="00665862" w:rsidRDefault="00665862" w:rsidP="004104BE">
      <w:pPr>
        <w:pStyle w:val="NoSpacing"/>
        <w:ind w:left="720"/>
        <w:rPr>
          <w:rFonts w:ascii="Arial" w:hAnsi="Arial" w:cs="Arial"/>
          <w:sz w:val="24"/>
          <w:szCs w:val="24"/>
        </w:rPr>
      </w:pPr>
    </w:p>
    <w:p w14:paraId="471BB033" w14:textId="77777777" w:rsidR="00665862" w:rsidRDefault="00665862" w:rsidP="004104BE">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0C436574" w14:textId="77777777" w:rsidR="00652B9C" w:rsidRDefault="00652B9C" w:rsidP="004104BE">
      <w:pPr>
        <w:pStyle w:val="NoSpacing"/>
        <w:ind w:left="720"/>
        <w:rPr>
          <w:rFonts w:ascii="Arial" w:hAnsi="Arial" w:cs="Arial"/>
          <w:b/>
          <w:sz w:val="24"/>
          <w:szCs w:val="24"/>
          <w:u w:val="single"/>
        </w:rPr>
      </w:pPr>
    </w:p>
    <w:p w14:paraId="1097CD37" w14:textId="77777777" w:rsidR="00652B9C" w:rsidRDefault="00612C11" w:rsidP="004104BE">
      <w:pPr>
        <w:pStyle w:val="NoSpacing"/>
        <w:ind w:left="720"/>
        <w:rPr>
          <w:rFonts w:ascii="Arial" w:hAnsi="Arial" w:cs="Arial"/>
          <w:sz w:val="24"/>
          <w:szCs w:val="24"/>
        </w:rPr>
      </w:pPr>
      <w:r>
        <w:rPr>
          <w:rFonts w:ascii="Arial" w:hAnsi="Arial" w:cs="Arial"/>
          <w:sz w:val="24"/>
          <w:szCs w:val="24"/>
        </w:rPr>
        <w:t xml:space="preserve">For the </w:t>
      </w:r>
      <w:r w:rsidR="0007050E">
        <w:rPr>
          <w:rFonts w:ascii="Arial" w:hAnsi="Arial" w:cs="Arial"/>
          <w:sz w:val="24"/>
          <w:szCs w:val="24"/>
        </w:rPr>
        <w:t>B</w:t>
      </w:r>
      <w:r>
        <w:rPr>
          <w:rFonts w:ascii="Arial" w:hAnsi="Arial" w:cs="Arial"/>
          <w:sz w:val="24"/>
          <w:szCs w:val="24"/>
        </w:rPr>
        <w:t xml:space="preserve">oard to </w:t>
      </w:r>
      <w:r w:rsidR="0007050E">
        <w:rPr>
          <w:rFonts w:ascii="Arial" w:hAnsi="Arial" w:cs="Arial"/>
          <w:sz w:val="24"/>
          <w:szCs w:val="24"/>
        </w:rPr>
        <w:t xml:space="preserve">consider and </w:t>
      </w:r>
      <w:r>
        <w:rPr>
          <w:rFonts w:ascii="Arial" w:hAnsi="Arial" w:cs="Arial"/>
          <w:sz w:val="24"/>
          <w:szCs w:val="24"/>
        </w:rPr>
        <w:t>note the contents of this report.</w:t>
      </w:r>
    </w:p>
    <w:p w14:paraId="2AA861B1" w14:textId="77777777" w:rsidR="00665862" w:rsidRPr="00665862" w:rsidRDefault="00665862" w:rsidP="00F814E7">
      <w:pPr>
        <w:pStyle w:val="NoSpacing"/>
        <w:rPr>
          <w:rFonts w:ascii="Arial" w:hAnsi="Arial" w:cs="Arial"/>
          <w:sz w:val="24"/>
          <w:szCs w:val="24"/>
        </w:rPr>
      </w:pPr>
    </w:p>
    <w:p w14:paraId="18B88B4F" w14:textId="77777777" w:rsidR="00665862" w:rsidRDefault="00665862" w:rsidP="004104BE">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14:paraId="7AC51E87" w14:textId="77777777" w:rsidR="004104BE" w:rsidRDefault="005025C3" w:rsidP="004104BE">
      <w:pPr>
        <w:pStyle w:val="ListParagraph"/>
        <w:spacing w:after="160"/>
        <w:jc w:val="both"/>
      </w:pPr>
      <w:r>
        <w:t xml:space="preserve">The crime </w:t>
      </w:r>
      <w:r w:rsidR="000E3CDA">
        <w:t xml:space="preserve">recording compliance </w:t>
      </w:r>
      <w:r>
        <w:t>of Essex Police has continued to improve over the last quarter</w:t>
      </w:r>
      <w:r w:rsidR="007016D9">
        <w:t>, albeit this report outlines that this is heavily reliant on quality assurance provided by the NCRS Support and Review Team (NSRT)</w:t>
      </w:r>
      <w:r>
        <w:t>.</w:t>
      </w:r>
      <w:r w:rsidR="000E3CDA">
        <w:t xml:space="preserve"> The force’s new audit team are reporting pleasing results for the recording of ‘Other </w:t>
      </w:r>
      <w:r w:rsidR="00F814E7">
        <w:t>Crime’;</w:t>
      </w:r>
      <w:r w:rsidR="000E3CDA">
        <w:t xml:space="preserve"> however</w:t>
      </w:r>
      <w:r w:rsidR="00F814E7">
        <w:t>,</w:t>
      </w:r>
      <w:r w:rsidR="000E3CDA">
        <w:t xml:space="preserve"> the review of such records has identified </w:t>
      </w:r>
      <w:r w:rsidR="00F814E7">
        <w:t xml:space="preserve">that </w:t>
      </w:r>
      <w:r w:rsidR="000E3CDA">
        <w:t xml:space="preserve">some hidden violent crimes can be found in this category of incidents. The audit team have also identified </w:t>
      </w:r>
      <w:r w:rsidR="000E3CDA">
        <w:lastRenderedPageBreak/>
        <w:t>gaps in some crime recording processes of the Crime and Public Protection Command</w:t>
      </w:r>
      <w:r w:rsidR="00F814E7">
        <w:t>; they</w:t>
      </w:r>
      <w:r w:rsidR="000E3CDA">
        <w:t xml:space="preserve"> are assisting with monitoring improvements in this area.</w:t>
      </w:r>
    </w:p>
    <w:p w14:paraId="77311029" w14:textId="77777777" w:rsidR="000E3CDA" w:rsidRDefault="000E3CDA" w:rsidP="004104BE">
      <w:pPr>
        <w:pStyle w:val="ListParagraph"/>
        <w:spacing w:after="160"/>
        <w:jc w:val="both"/>
      </w:pPr>
    </w:p>
    <w:p w14:paraId="3045DD1F" w14:textId="77777777" w:rsidR="000E3CDA" w:rsidRDefault="000E3CDA" w:rsidP="004104BE">
      <w:pPr>
        <w:pStyle w:val="ListParagraph"/>
        <w:spacing w:after="160"/>
        <w:jc w:val="both"/>
      </w:pPr>
      <w:r>
        <w:t xml:space="preserve">Progress continues against the </w:t>
      </w:r>
      <w:r w:rsidR="007016D9">
        <w:t xml:space="preserve">CDA </w:t>
      </w:r>
      <w:r>
        <w:t xml:space="preserve">improvement plan. In the last </w:t>
      </w:r>
      <w:r w:rsidR="00F814E7">
        <w:t>quarter,</w:t>
      </w:r>
      <w:r>
        <w:t xml:space="preserve"> 461 staff have received specific </w:t>
      </w:r>
      <w:r w:rsidR="00F814E7">
        <w:t>face-to-face</w:t>
      </w:r>
      <w:r>
        <w:t xml:space="preserve"> CDA training and a new eLearning package focussing on the recording of rape crimes, has been </w:t>
      </w:r>
      <w:r w:rsidR="00F814E7">
        <w:t>launched</w:t>
      </w:r>
      <w:r>
        <w:t>. The NSRT have had a formal extension agreed to continue to support officers and staff in the improvements required. CDA has also been added as a key item in the revised force performance framework.</w:t>
      </w:r>
    </w:p>
    <w:p w14:paraId="0340BB38" w14:textId="77777777" w:rsidR="00F814E7" w:rsidRDefault="00F814E7" w:rsidP="004104BE">
      <w:pPr>
        <w:pStyle w:val="ListParagraph"/>
        <w:spacing w:after="160"/>
        <w:jc w:val="both"/>
      </w:pPr>
    </w:p>
    <w:p w14:paraId="655AF55C" w14:textId="77777777" w:rsidR="00F814E7" w:rsidRDefault="00F814E7" w:rsidP="004104BE">
      <w:pPr>
        <w:pStyle w:val="ListParagraph"/>
        <w:spacing w:after="160"/>
        <w:jc w:val="both"/>
      </w:pPr>
      <w:r>
        <w:t xml:space="preserve">As part of a regular review of the crime recording rules, a variety of changes were introduced in April 2019. Most notably, these include the introduction of a new crime outcome, that recognises crimes where no formal action is being taken but some form of diversionary, educational or intervention activity is undertaken. </w:t>
      </w:r>
    </w:p>
    <w:p w14:paraId="6D83B618" w14:textId="77777777" w:rsidR="00F814E7" w:rsidRDefault="00F814E7" w:rsidP="004104BE">
      <w:pPr>
        <w:pStyle w:val="ListParagraph"/>
        <w:spacing w:after="160"/>
        <w:jc w:val="both"/>
      </w:pPr>
    </w:p>
    <w:p w14:paraId="70EDA83C" w14:textId="77777777" w:rsidR="00F814E7" w:rsidRDefault="00F814E7" w:rsidP="004104BE">
      <w:pPr>
        <w:pStyle w:val="ListParagraph"/>
        <w:spacing w:after="160"/>
        <w:jc w:val="both"/>
      </w:pPr>
      <w:r>
        <w:t>Her Majesty’s Inspectorate of Constabulary and Fire &amp; rescue Services (HMICFRS) has now formally announced they will be carrying out a Crime Data Integrity (CDI) inspection of Essex Police commencing on 29</w:t>
      </w:r>
      <w:r w:rsidRPr="00F814E7">
        <w:rPr>
          <w:vertAlign w:val="superscript"/>
        </w:rPr>
        <w:t>th</w:t>
      </w:r>
      <w:r>
        <w:t xml:space="preserve"> April 2019. </w:t>
      </w:r>
    </w:p>
    <w:p w14:paraId="685BE6D4" w14:textId="77777777" w:rsidR="00665862" w:rsidRPr="00665862" w:rsidRDefault="00665862" w:rsidP="004104BE">
      <w:pPr>
        <w:pStyle w:val="NoSpacing"/>
        <w:ind w:left="720"/>
        <w:rPr>
          <w:rFonts w:ascii="Arial" w:hAnsi="Arial" w:cs="Arial"/>
          <w:b/>
          <w:sz w:val="24"/>
          <w:szCs w:val="24"/>
        </w:rPr>
      </w:pPr>
    </w:p>
    <w:p w14:paraId="28B3358C" w14:textId="77777777" w:rsidR="00121A7F" w:rsidRPr="007D3E9B" w:rsidRDefault="00665862" w:rsidP="004104BE">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14:paraId="7E1A103A" w14:textId="77777777" w:rsidR="00C654B8" w:rsidRPr="004104BE" w:rsidRDefault="00042AF6" w:rsidP="004104BE">
      <w:pPr>
        <w:pStyle w:val="ListParagraph"/>
        <w:spacing w:after="160"/>
        <w:jc w:val="both"/>
      </w:pPr>
      <w:r w:rsidRPr="004104BE">
        <w:t xml:space="preserve">This report will provide an overview of the </w:t>
      </w:r>
      <w:r w:rsidR="00E91654">
        <w:t>current crime data accuracy (CDA) performance of Essex Police and an update on the key developments against the CDA</w:t>
      </w:r>
      <w:r w:rsidR="00666A8A">
        <w:t xml:space="preserve"> improvement plan. The</w:t>
      </w:r>
      <w:r w:rsidR="00E91654">
        <w:t xml:space="preserve"> report will also provide an update on the </w:t>
      </w:r>
      <w:r w:rsidR="00666A8A">
        <w:t>recent</w:t>
      </w:r>
      <w:r w:rsidR="00E91654">
        <w:t xml:space="preserve"> changes to the </w:t>
      </w:r>
      <w:r w:rsidR="00666A8A">
        <w:t>crime recording rules</w:t>
      </w:r>
      <w:r w:rsidR="00E91654">
        <w:t xml:space="preserve">, and lastly an overview of the HMICFRS </w:t>
      </w:r>
      <w:r w:rsidR="00E91654">
        <w:lastRenderedPageBreak/>
        <w:t>CDI inspection, which will take place in Essex Police from 29</w:t>
      </w:r>
      <w:r w:rsidR="00E91654" w:rsidRPr="00E91654">
        <w:rPr>
          <w:vertAlign w:val="superscript"/>
        </w:rPr>
        <w:t>th</w:t>
      </w:r>
      <w:r w:rsidR="00E91654">
        <w:t xml:space="preserve"> April 2019.</w:t>
      </w:r>
    </w:p>
    <w:p w14:paraId="48ED6F24" w14:textId="77777777" w:rsidR="00591EB9" w:rsidRPr="007D3E9B" w:rsidRDefault="00591EB9" w:rsidP="004104BE">
      <w:pPr>
        <w:pStyle w:val="NoSpacing"/>
        <w:rPr>
          <w:rFonts w:ascii="Arial" w:hAnsi="Arial" w:cs="Arial"/>
          <w:sz w:val="24"/>
          <w:szCs w:val="24"/>
        </w:rPr>
      </w:pPr>
    </w:p>
    <w:p w14:paraId="57CD8B79" w14:textId="77777777" w:rsidR="00C654B8" w:rsidRDefault="00E92E89" w:rsidP="004104BE">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14:paraId="036C812B" w14:textId="77777777" w:rsidR="00A91612" w:rsidRDefault="00A91612" w:rsidP="004104BE">
      <w:pPr>
        <w:pStyle w:val="NoSpacing"/>
        <w:ind w:firstLine="720"/>
        <w:rPr>
          <w:rFonts w:ascii="Arial" w:hAnsi="Arial" w:cs="Arial"/>
          <w:b/>
          <w:sz w:val="24"/>
          <w:szCs w:val="24"/>
          <w:u w:val="single"/>
        </w:rPr>
      </w:pPr>
    </w:p>
    <w:p w14:paraId="74A40AC9" w14:textId="77777777" w:rsidR="00042AF6" w:rsidRDefault="00042AF6" w:rsidP="004104BE">
      <w:pPr>
        <w:pStyle w:val="NoSpacing"/>
        <w:ind w:firstLine="720"/>
        <w:rPr>
          <w:rFonts w:ascii="Arial" w:hAnsi="Arial" w:cs="Arial"/>
          <w:b/>
          <w:sz w:val="24"/>
          <w:szCs w:val="24"/>
          <w:u w:val="single"/>
        </w:rPr>
      </w:pPr>
      <w:r>
        <w:rPr>
          <w:rFonts w:ascii="Arial" w:hAnsi="Arial" w:cs="Arial"/>
          <w:b/>
          <w:sz w:val="24"/>
          <w:szCs w:val="24"/>
          <w:u w:val="single"/>
        </w:rPr>
        <w:t>5.1</w:t>
      </w:r>
      <w:r w:rsidR="00A91612">
        <w:rPr>
          <w:rFonts w:ascii="Arial" w:hAnsi="Arial" w:cs="Arial"/>
          <w:b/>
          <w:sz w:val="24"/>
          <w:szCs w:val="24"/>
          <w:u w:val="single"/>
        </w:rPr>
        <w:t xml:space="preserve"> </w:t>
      </w:r>
      <w:r w:rsidR="00E91654">
        <w:rPr>
          <w:rFonts w:ascii="Arial" w:hAnsi="Arial" w:cs="Arial"/>
          <w:b/>
          <w:sz w:val="24"/>
          <w:szCs w:val="24"/>
          <w:u w:val="single"/>
        </w:rPr>
        <w:t>Pe</w:t>
      </w:r>
      <w:r w:rsidR="00083086">
        <w:rPr>
          <w:rFonts w:ascii="Arial" w:hAnsi="Arial" w:cs="Arial"/>
          <w:b/>
          <w:sz w:val="24"/>
          <w:szCs w:val="24"/>
          <w:u w:val="single"/>
        </w:rPr>
        <w:t>rformance</w:t>
      </w:r>
    </w:p>
    <w:p w14:paraId="543EBBC0" w14:textId="77777777" w:rsidR="003411C8" w:rsidRDefault="00A91612" w:rsidP="003411C8">
      <w:pPr>
        <w:pStyle w:val="NoSpacing"/>
        <w:ind w:left="709"/>
      </w:pPr>
      <w:r>
        <w:t xml:space="preserve"> </w:t>
      </w:r>
    </w:p>
    <w:p w14:paraId="05B5A2F9" w14:textId="77777777" w:rsidR="00C01A5E" w:rsidRDefault="00671BED" w:rsidP="003411C8">
      <w:pPr>
        <w:pStyle w:val="NoSpacing"/>
        <w:ind w:left="709"/>
        <w:rPr>
          <w:rFonts w:ascii="Arial" w:hAnsi="Arial" w:cs="Arial"/>
          <w:sz w:val="24"/>
          <w:szCs w:val="24"/>
        </w:rPr>
      </w:pPr>
      <w:r w:rsidRPr="00671BED">
        <w:rPr>
          <w:rFonts w:ascii="Arial" w:hAnsi="Arial" w:cs="Arial"/>
          <w:b/>
          <w:sz w:val="24"/>
          <w:szCs w:val="24"/>
        </w:rPr>
        <w:t>Crime Incident to Recorded Crime Rate</w:t>
      </w:r>
      <w:r>
        <w:rPr>
          <w:rFonts w:ascii="Arial" w:hAnsi="Arial" w:cs="Arial"/>
          <w:sz w:val="24"/>
          <w:szCs w:val="24"/>
        </w:rPr>
        <w:t xml:space="preserve"> - </w:t>
      </w:r>
      <w:r w:rsidR="003411C8">
        <w:rPr>
          <w:rFonts w:ascii="Arial" w:hAnsi="Arial" w:cs="Arial"/>
          <w:sz w:val="24"/>
          <w:szCs w:val="24"/>
        </w:rPr>
        <w:t>As introduced in the last</w:t>
      </w:r>
      <w:r w:rsidR="00666A8A">
        <w:rPr>
          <w:rFonts w:ascii="Arial" w:hAnsi="Arial" w:cs="Arial"/>
          <w:sz w:val="24"/>
          <w:szCs w:val="24"/>
        </w:rPr>
        <w:t xml:space="preserve"> quarterly</w:t>
      </w:r>
      <w:r w:rsidR="003411C8">
        <w:rPr>
          <w:rFonts w:ascii="Arial" w:hAnsi="Arial" w:cs="Arial"/>
          <w:sz w:val="24"/>
          <w:szCs w:val="24"/>
        </w:rPr>
        <w:t xml:space="preserve"> report, the force is now tracking its </w:t>
      </w:r>
      <w:r w:rsidR="003411C8" w:rsidRPr="00D24D9A">
        <w:rPr>
          <w:rFonts w:ascii="Arial" w:hAnsi="Arial" w:cs="Arial"/>
          <w:sz w:val="24"/>
          <w:szCs w:val="24"/>
        </w:rPr>
        <w:t>crime recording performance</w:t>
      </w:r>
      <w:r w:rsidR="003411C8">
        <w:rPr>
          <w:rFonts w:ascii="Arial" w:hAnsi="Arial" w:cs="Arial"/>
          <w:sz w:val="24"/>
          <w:szCs w:val="24"/>
        </w:rPr>
        <w:t xml:space="preserve"> by analysing the percentage of crime incidents that result in the recording of a crime (chart 1). </w:t>
      </w:r>
      <w:r w:rsidR="00C01A5E">
        <w:rPr>
          <w:rFonts w:ascii="Arial" w:hAnsi="Arial" w:cs="Arial"/>
          <w:sz w:val="24"/>
          <w:szCs w:val="24"/>
        </w:rPr>
        <w:t>T</w:t>
      </w:r>
      <w:r w:rsidR="003411C8">
        <w:rPr>
          <w:rFonts w:ascii="Arial" w:hAnsi="Arial" w:cs="Arial"/>
          <w:sz w:val="24"/>
          <w:szCs w:val="24"/>
        </w:rPr>
        <w:t>his method tracks those reports received by the Force Control Room (FCR) and entered as a crime incident onto the Command and Control system (STORM)</w:t>
      </w:r>
      <w:r w:rsidR="00666A8A">
        <w:rPr>
          <w:rFonts w:ascii="Arial" w:hAnsi="Arial" w:cs="Arial"/>
          <w:sz w:val="24"/>
          <w:szCs w:val="24"/>
        </w:rPr>
        <w:t>, which f</w:t>
      </w:r>
      <w:r w:rsidR="00C01A5E">
        <w:rPr>
          <w:rFonts w:ascii="Arial" w:hAnsi="Arial" w:cs="Arial"/>
          <w:sz w:val="24"/>
          <w:szCs w:val="24"/>
        </w:rPr>
        <w:t>ollowing t</w:t>
      </w:r>
      <w:r w:rsidR="00666A8A">
        <w:rPr>
          <w:rFonts w:ascii="Arial" w:hAnsi="Arial" w:cs="Arial"/>
          <w:sz w:val="24"/>
          <w:szCs w:val="24"/>
        </w:rPr>
        <w:t>he resolution of the incident,</w:t>
      </w:r>
      <w:r w:rsidR="00C01A5E">
        <w:rPr>
          <w:rFonts w:ascii="Arial" w:hAnsi="Arial" w:cs="Arial"/>
          <w:sz w:val="24"/>
          <w:szCs w:val="24"/>
        </w:rPr>
        <w:t xml:space="preserve"> result in the formal recording of a crime. </w:t>
      </w:r>
    </w:p>
    <w:p w14:paraId="2439E55A" w14:textId="77777777" w:rsidR="00C01A5E" w:rsidRDefault="00C01A5E" w:rsidP="003411C8">
      <w:pPr>
        <w:pStyle w:val="NoSpacing"/>
        <w:ind w:left="709"/>
        <w:rPr>
          <w:rFonts w:ascii="Arial" w:hAnsi="Arial" w:cs="Arial"/>
          <w:sz w:val="24"/>
          <w:szCs w:val="24"/>
        </w:rPr>
      </w:pPr>
    </w:p>
    <w:p w14:paraId="5C207EB1" w14:textId="77777777" w:rsidR="003411C8" w:rsidRDefault="003411C8" w:rsidP="003411C8">
      <w:pPr>
        <w:pStyle w:val="NoSpacing"/>
        <w:ind w:left="709"/>
        <w:rPr>
          <w:rFonts w:ascii="Arial" w:hAnsi="Arial" w:cs="Arial"/>
          <w:sz w:val="24"/>
          <w:szCs w:val="24"/>
        </w:rPr>
      </w:pPr>
    </w:p>
    <w:p w14:paraId="65A933B3" w14:textId="77777777" w:rsidR="003411C8" w:rsidRDefault="003411C8" w:rsidP="003411C8">
      <w:pPr>
        <w:pStyle w:val="NoSpacing"/>
        <w:ind w:left="709"/>
        <w:rPr>
          <w:rFonts w:ascii="Arial" w:hAnsi="Arial" w:cs="Arial"/>
          <w:sz w:val="24"/>
          <w:szCs w:val="24"/>
        </w:rPr>
      </w:pPr>
      <w:r>
        <w:rPr>
          <w:rFonts w:ascii="Arial" w:hAnsi="Arial" w:cs="Arial"/>
          <w:sz w:val="24"/>
          <w:szCs w:val="24"/>
        </w:rPr>
        <w:t xml:space="preserve"> </w:t>
      </w:r>
      <w:r w:rsidR="00C01A5E">
        <w:rPr>
          <w:noProof/>
          <w:lang w:eastAsia="en-GB"/>
        </w:rPr>
        <w:drawing>
          <wp:inline distT="0" distB="0" distL="0" distR="0" wp14:anchorId="1F5EE4A1" wp14:editId="1675BB99">
            <wp:extent cx="5048250" cy="35337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314D58" w14:textId="77777777" w:rsidR="003411C8" w:rsidRPr="00517A15" w:rsidRDefault="00F814E7" w:rsidP="003411C8">
      <w:pPr>
        <w:pStyle w:val="NoSpacing"/>
        <w:ind w:left="709"/>
        <w:rPr>
          <w:rFonts w:ascii="Arial" w:hAnsi="Arial" w:cs="Arial"/>
          <w:sz w:val="20"/>
          <w:szCs w:val="24"/>
        </w:rPr>
      </w:pPr>
      <w:r w:rsidRPr="00517A15">
        <w:rPr>
          <w:rFonts w:ascii="Arial" w:hAnsi="Arial" w:cs="Arial"/>
          <w:sz w:val="20"/>
          <w:szCs w:val="24"/>
        </w:rPr>
        <w:t>Chart 1 – Crime Incident to Recorded Crime %</w:t>
      </w:r>
    </w:p>
    <w:p w14:paraId="2970F15A" w14:textId="77777777" w:rsidR="00C01A5E" w:rsidRDefault="00C01A5E" w:rsidP="003411C8">
      <w:pPr>
        <w:pStyle w:val="NoSpacing"/>
        <w:ind w:left="709"/>
        <w:rPr>
          <w:rFonts w:ascii="Arial" w:hAnsi="Arial" w:cs="Arial"/>
          <w:sz w:val="24"/>
          <w:szCs w:val="24"/>
        </w:rPr>
      </w:pPr>
    </w:p>
    <w:p w14:paraId="6CE7CF00" w14:textId="77777777" w:rsidR="00C01A5E" w:rsidRDefault="00C01A5E" w:rsidP="003411C8">
      <w:pPr>
        <w:pStyle w:val="NoSpacing"/>
        <w:ind w:left="709"/>
        <w:rPr>
          <w:rFonts w:ascii="Arial" w:hAnsi="Arial" w:cs="Arial"/>
          <w:sz w:val="24"/>
          <w:szCs w:val="24"/>
        </w:rPr>
      </w:pPr>
    </w:p>
    <w:p w14:paraId="13FD33E1" w14:textId="77777777" w:rsidR="003411C8" w:rsidRPr="00D24D9A" w:rsidRDefault="00666A8A" w:rsidP="00666A8A">
      <w:pPr>
        <w:pStyle w:val="NoSpacing"/>
        <w:ind w:left="709"/>
        <w:rPr>
          <w:rFonts w:ascii="Arial" w:hAnsi="Arial" w:cs="Arial"/>
          <w:sz w:val="24"/>
          <w:szCs w:val="24"/>
        </w:rPr>
      </w:pPr>
      <w:r>
        <w:rPr>
          <w:rFonts w:ascii="Arial" w:hAnsi="Arial" w:cs="Arial"/>
          <w:sz w:val="24"/>
          <w:szCs w:val="24"/>
        </w:rPr>
        <w:t>W</w:t>
      </w:r>
      <w:r w:rsidR="003411C8" w:rsidRPr="00D24D9A">
        <w:rPr>
          <w:rFonts w:ascii="Arial" w:hAnsi="Arial" w:cs="Arial"/>
          <w:sz w:val="24"/>
          <w:szCs w:val="24"/>
        </w:rPr>
        <w:t xml:space="preserve">e </w:t>
      </w:r>
      <w:r w:rsidR="003411C8">
        <w:rPr>
          <w:rFonts w:ascii="Arial" w:hAnsi="Arial" w:cs="Arial"/>
          <w:sz w:val="24"/>
          <w:szCs w:val="24"/>
        </w:rPr>
        <w:t>expect</w:t>
      </w:r>
      <w:r w:rsidR="003411C8" w:rsidRPr="00D24D9A">
        <w:rPr>
          <w:rFonts w:ascii="Arial" w:hAnsi="Arial" w:cs="Arial"/>
          <w:sz w:val="24"/>
          <w:szCs w:val="24"/>
        </w:rPr>
        <w:t xml:space="preserve"> </w:t>
      </w:r>
      <w:r w:rsidR="00C01A5E">
        <w:rPr>
          <w:rFonts w:ascii="Arial" w:hAnsi="Arial" w:cs="Arial"/>
          <w:sz w:val="24"/>
          <w:szCs w:val="24"/>
        </w:rPr>
        <w:t>to be able to provide a much clearer picture</w:t>
      </w:r>
      <w:r>
        <w:rPr>
          <w:rFonts w:ascii="Arial" w:hAnsi="Arial" w:cs="Arial"/>
          <w:sz w:val="24"/>
          <w:szCs w:val="24"/>
        </w:rPr>
        <w:t xml:space="preserve"> of the ideal rate</w:t>
      </w:r>
      <w:r w:rsidR="00C01A5E">
        <w:rPr>
          <w:rFonts w:ascii="Arial" w:hAnsi="Arial" w:cs="Arial"/>
          <w:sz w:val="24"/>
          <w:szCs w:val="24"/>
        </w:rPr>
        <w:t xml:space="preserve"> following receipt of the results of the </w:t>
      </w:r>
      <w:r>
        <w:rPr>
          <w:rFonts w:ascii="Arial" w:hAnsi="Arial" w:cs="Arial"/>
          <w:sz w:val="24"/>
          <w:szCs w:val="24"/>
        </w:rPr>
        <w:t>forthcoming</w:t>
      </w:r>
      <w:r w:rsidR="00C01A5E">
        <w:rPr>
          <w:rFonts w:ascii="Arial" w:hAnsi="Arial" w:cs="Arial"/>
          <w:sz w:val="24"/>
          <w:szCs w:val="24"/>
        </w:rPr>
        <w:t xml:space="preserve"> HMICFRS audit. The average rate for the last quarter</w:t>
      </w:r>
      <w:r w:rsidR="00671BED">
        <w:rPr>
          <w:rFonts w:ascii="Arial" w:hAnsi="Arial" w:cs="Arial"/>
          <w:sz w:val="24"/>
          <w:szCs w:val="24"/>
        </w:rPr>
        <w:t xml:space="preserve"> (Dec 18 – Feb 19)</w:t>
      </w:r>
      <w:r w:rsidR="00C01A5E">
        <w:rPr>
          <w:rFonts w:ascii="Arial" w:hAnsi="Arial" w:cs="Arial"/>
          <w:sz w:val="24"/>
          <w:szCs w:val="24"/>
        </w:rPr>
        <w:t xml:space="preserve"> is 62.18%, compared with the previous 12 months average of 57.92%</w:t>
      </w:r>
      <w:r w:rsidR="00671BED">
        <w:rPr>
          <w:rFonts w:ascii="Arial" w:hAnsi="Arial" w:cs="Arial"/>
          <w:sz w:val="24"/>
          <w:szCs w:val="24"/>
        </w:rPr>
        <w:t xml:space="preserve"> (Dec 17 – Nov 18). This shows the rate</w:t>
      </w:r>
      <w:r w:rsidR="002D61A0">
        <w:rPr>
          <w:rFonts w:ascii="Arial" w:hAnsi="Arial" w:cs="Arial"/>
          <w:sz w:val="24"/>
          <w:szCs w:val="24"/>
        </w:rPr>
        <w:t xml:space="preserve"> is improving and therefore strongly suggests </w:t>
      </w:r>
      <w:r w:rsidR="00671BED">
        <w:rPr>
          <w:rFonts w:ascii="Arial" w:hAnsi="Arial" w:cs="Arial"/>
          <w:sz w:val="24"/>
          <w:szCs w:val="24"/>
        </w:rPr>
        <w:t>crime recording compliance is</w:t>
      </w:r>
      <w:r w:rsidR="002D61A0">
        <w:rPr>
          <w:rFonts w:ascii="Arial" w:hAnsi="Arial" w:cs="Arial"/>
          <w:sz w:val="24"/>
          <w:szCs w:val="24"/>
        </w:rPr>
        <w:t xml:space="preserve"> also</w:t>
      </w:r>
      <w:r w:rsidR="00671BED">
        <w:rPr>
          <w:rFonts w:ascii="Arial" w:hAnsi="Arial" w:cs="Arial"/>
          <w:sz w:val="24"/>
          <w:szCs w:val="24"/>
        </w:rPr>
        <w:t xml:space="preserve"> improving. </w:t>
      </w:r>
    </w:p>
    <w:p w14:paraId="73BC0265" w14:textId="77777777" w:rsidR="003411C8" w:rsidRPr="00D24D9A" w:rsidRDefault="003411C8" w:rsidP="003411C8">
      <w:pPr>
        <w:pStyle w:val="NoSpacing"/>
        <w:ind w:left="709"/>
        <w:rPr>
          <w:rFonts w:ascii="Arial" w:hAnsi="Arial" w:cs="Arial"/>
          <w:sz w:val="24"/>
          <w:szCs w:val="24"/>
        </w:rPr>
      </w:pPr>
      <w:r w:rsidRPr="00D24D9A">
        <w:rPr>
          <w:rFonts w:ascii="Arial" w:hAnsi="Arial" w:cs="Arial"/>
          <w:sz w:val="24"/>
          <w:szCs w:val="24"/>
        </w:rPr>
        <w:t xml:space="preserve"> </w:t>
      </w:r>
    </w:p>
    <w:p w14:paraId="0EB4DDB9" w14:textId="77777777" w:rsidR="00083086" w:rsidRPr="00083086" w:rsidRDefault="00083086" w:rsidP="003411C8">
      <w:pPr>
        <w:pStyle w:val="NoSpacing"/>
        <w:ind w:left="709"/>
        <w:rPr>
          <w:rFonts w:ascii="Arial" w:hAnsi="Arial" w:cs="Arial"/>
          <w:b/>
          <w:sz w:val="24"/>
          <w:szCs w:val="24"/>
          <w:u w:val="single"/>
        </w:rPr>
      </w:pPr>
      <w:r w:rsidRPr="00083086">
        <w:rPr>
          <w:rFonts w:ascii="Arial" w:hAnsi="Arial" w:cs="Arial"/>
          <w:b/>
          <w:sz w:val="24"/>
          <w:szCs w:val="24"/>
          <w:u w:val="single"/>
        </w:rPr>
        <w:t>5.2 Audit</w:t>
      </w:r>
    </w:p>
    <w:p w14:paraId="4BAAAD97" w14:textId="77777777" w:rsidR="00083086" w:rsidRDefault="00083086" w:rsidP="003411C8">
      <w:pPr>
        <w:pStyle w:val="NoSpacing"/>
        <w:ind w:left="709"/>
        <w:rPr>
          <w:rFonts w:ascii="Arial" w:hAnsi="Arial" w:cs="Arial"/>
          <w:b/>
          <w:sz w:val="24"/>
          <w:szCs w:val="24"/>
        </w:rPr>
      </w:pPr>
    </w:p>
    <w:p w14:paraId="6DD25A36" w14:textId="77777777" w:rsidR="003411C8" w:rsidRDefault="00671BED" w:rsidP="003411C8">
      <w:pPr>
        <w:pStyle w:val="NoSpacing"/>
        <w:ind w:left="709"/>
        <w:rPr>
          <w:rFonts w:ascii="Arial" w:hAnsi="Arial" w:cs="Arial"/>
          <w:sz w:val="24"/>
          <w:szCs w:val="24"/>
        </w:rPr>
      </w:pPr>
      <w:r>
        <w:rPr>
          <w:rFonts w:ascii="Arial" w:hAnsi="Arial" w:cs="Arial"/>
          <w:sz w:val="24"/>
          <w:szCs w:val="24"/>
        </w:rPr>
        <w:t>In the last quarter the new CDA</w:t>
      </w:r>
      <w:r w:rsidR="00666A8A">
        <w:rPr>
          <w:rFonts w:ascii="Arial" w:hAnsi="Arial" w:cs="Arial"/>
          <w:sz w:val="24"/>
          <w:szCs w:val="24"/>
        </w:rPr>
        <w:t xml:space="preserve"> audit team have been recruited, </w:t>
      </w:r>
      <w:r>
        <w:rPr>
          <w:rFonts w:ascii="Arial" w:hAnsi="Arial" w:cs="Arial"/>
          <w:sz w:val="24"/>
          <w:szCs w:val="24"/>
        </w:rPr>
        <w:t xml:space="preserve">trained and inducted into the auditor roles. Already the team have completed their first formal audit and have taken on responsibility for providing daily scrutiny of the </w:t>
      </w:r>
      <w:r w:rsidR="008A459B">
        <w:rPr>
          <w:rFonts w:ascii="Arial" w:hAnsi="Arial" w:cs="Arial"/>
          <w:sz w:val="24"/>
          <w:szCs w:val="24"/>
        </w:rPr>
        <w:t>high-risk</w:t>
      </w:r>
      <w:r>
        <w:rPr>
          <w:rFonts w:ascii="Arial" w:hAnsi="Arial" w:cs="Arial"/>
          <w:sz w:val="24"/>
          <w:szCs w:val="24"/>
        </w:rPr>
        <w:t xml:space="preserve"> </w:t>
      </w:r>
      <w:r w:rsidR="00666A8A">
        <w:rPr>
          <w:rFonts w:ascii="Arial" w:hAnsi="Arial" w:cs="Arial"/>
          <w:sz w:val="24"/>
          <w:szCs w:val="24"/>
        </w:rPr>
        <w:t xml:space="preserve">crimes of rape and </w:t>
      </w:r>
      <w:r>
        <w:rPr>
          <w:rFonts w:ascii="Arial" w:hAnsi="Arial" w:cs="Arial"/>
          <w:sz w:val="24"/>
          <w:szCs w:val="24"/>
        </w:rPr>
        <w:t>modern slavery</w:t>
      </w:r>
      <w:r w:rsidR="008A459B">
        <w:rPr>
          <w:rFonts w:ascii="Arial" w:hAnsi="Arial" w:cs="Arial"/>
          <w:sz w:val="24"/>
          <w:szCs w:val="24"/>
        </w:rPr>
        <w:t>,</w:t>
      </w:r>
      <w:r>
        <w:rPr>
          <w:rFonts w:ascii="Arial" w:hAnsi="Arial" w:cs="Arial"/>
          <w:sz w:val="24"/>
          <w:szCs w:val="24"/>
        </w:rPr>
        <w:t xml:space="preserve"> </w:t>
      </w:r>
      <w:r w:rsidR="008A459B">
        <w:rPr>
          <w:rFonts w:ascii="Arial" w:hAnsi="Arial" w:cs="Arial"/>
          <w:sz w:val="24"/>
          <w:szCs w:val="24"/>
        </w:rPr>
        <w:t>and</w:t>
      </w:r>
      <w:r>
        <w:rPr>
          <w:rFonts w:ascii="Arial" w:hAnsi="Arial" w:cs="Arial"/>
          <w:sz w:val="24"/>
          <w:szCs w:val="24"/>
        </w:rPr>
        <w:t xml:space="preserve"> those reports received directly into Crime and Public Protection teams.</w:t>
      </w:r>
    </w:p>
    <w:p w14:paraId="39DBBA16" w14:textId="77777777" w:rsidR="00671BED" w:rsidRDefault="00671BED" w:rsidP="003411C8">
      <w:pPr>
        <w:pStyle w:val="NoSpacing"/>
        <w:ind w:left="709"/>
        <w:rPr>
          <w:rFonts w:ascii="Arial" w:hAnsi="Arial" w:cs="Arial"/>
          <w:sz w:val="24"/>
          <w:szCs w:val="24"/>
        </w:rPr>
      </w:pPr>
    </w:p>
    <w:p w14:paraId="3D7EAA32" w14:textId="459A05E9" w:rsidR="00671BED" w:rsidRDefault="00083086" w:rsidP="003411C8">
      <w:pPr>
        <w:pStyle w:val="NoSpacing"/>
        <w:ind w:left="709"/>
        <w:rPr>
          <w:rFonts w:ascii="Arial" w:hAnsi="Arial" w:cs="Arial"/>
          <w:sz w:val="24"/>
          <w:szCs w:val="24"/>
        </w:rPr>
      </w:pPr>
      <w:r w:rsidRPr="00083086">
        <w:rPr>
          <w:rFonts w:ascii="Arial" w:hAnsi="Arial" w:cs="Arial"/>
          <w:b/>
          <w:sz w:val="24"/>
          <w:szCs w:val="24"/>
        </w:rPr>
        <w:t xml:space="preserve">‘Other </w:t>
      </w:r>
      <w:r w:rsidR="001A0732">
        <w:rPr>
          <w:rFonts w:ascii="Arial" w:hAnsi="Arial" w:cs="Arial"/>
          <w:b/>
          <w:sz w:val="24"/>
          <w:szCs w:val="24"/>
        </w:rPr>
        <w:t>c</w:t>
      </w:r>
      <w:r w:rsidRPr="00083086">
        <w:rPr>
          <w:rFonts w:ascii="Arial" w:hAnsi="Arial" w:cs="Arial"/>
          <w:b/>
          <w:sz w:val="24"/>
          <w:szCs w:val="24"/>
        </w:rPr>
        <w:t>rime’ audit</w:t>
      </w:r>
      <w:r>
        <w:rPr>
          <w:rFonts w:ascii="Arial" w:hAnsi="Arial" w:cs="Arial"/>
          <w:sz w:val="24"/>
          <w:szCs w:val="24"/>
        </w:rPr>
        <w:t xml:space="preserve"> – </w:t>
      </w:r>
      <w:r w:rsidR="00671BED">
        <w:rPr>
          <w:rFonts w:ascii="Arial" w:hAnsi="Arial" w:cs="Arial"/>
          <w:sz w:val="24"/>
          <w:szCs w:val="24"/>
        </w:rPr>
        <w:t>The</w:t>
      </w:r>
      <w:r>
        <w:rPr>
          <w:rFonts w:ascii="Arial" w:hAnsi="Arial" w:cs="Arial"/>
          <w:sz w:val="24"/>
          <w:szCs w:val="24"/>
        </w:rPr>
        <w:t xml:space="preserve"> </w:t>
      </w:r>
      <w:r w:rsidR="00666A8A">
        <w:rPr>
          <w:rFonts w:ascii="Arial" w:hAnsi="Arial" w:cs="Arial"/>
          <w:sz w:val="24"/>
          <w:szCs w:val="24"/>
        </w:rPr>
        <w:t xml:space="preserve">new team’s first </w:t>
      </w:r>
      <w:r w:rsidR="008A459B">
        <w:rPr>
          <w:rFonts w:ascii="Arial" w:hAnsi="Arial" w:cs="Arial"/>
          <w:sz w:val="24"/>
          <w:szCs w:val="24"/>
        </w:rPr>
        <w:t>audit</w:t>
      </w:r>
      <w:r w:rsidR="00671BED">
        <w:rPr>
          <w:rFonts w:ascii="Arial" w:hAnsi="Arial" w:cs="Arial"/>
          <w:sz w:val="24"/>
          <w:szCs w:val="24"/>
        </w:rPr>
        <w:t xml:space="preserve"> </w:t>
      </w:r>
      <w:r w:rsidR="00666A8A">
        <w:rPr>
          <w:rFonts w:ascii="Arial" w:hAnsi="Arial" w:cs="Arial"/>
          <w:sz w:val="24"/>
          <w:szCs w:val="24"/>
        </w:rPr>
        <w:t>reviewed</w:t>
      </w:r>
      <w:r>
        <w:rPr>
          <w:rFonts w:ascii="Arial" w:hAnsi="Arial" w:cs="Arial"/>
          <w:sz w:val="24"/>
          <w:szCs w:val="24"/>
        </w:rPr>
        <w:t xml:space="preserve"> </w:t>
      </w:r>
      <w:r w:rsidR="00671BED">
        <w:rPr>
          <w:rFonts w:ascii="Arial" w:hAnsi="Arial" w:cs="Arial"/>
          <w:sz w:val="24"/>
          <w:szCs w:val="24"/>
        </w:rPr>
        <w:t>inci</w:t>
      </w:r>
      <w:r w:rsidR="008A459B">
        <w:rPr>
          <w:rFonts w:ascii="Arial" w:hAnsi="Arial" w:cs="Arial"/>
          <w:sz w:val="24"/>
          <w:szCs w:val="24"/>
        </w:rPr>
        <w:t>dents and</w:t>
      </w:r>
      <w:r w:rsidR="00671BED">
        <w:rPr>
          <w:rFonts w:ascii="Arial" w:hAnsi="Arial" w:cs="Arial"/>
          <w:sz w:val="24"/>
          <w:szCs w:val="24"/>
        </w:rPr>
        <w:t xml:space="preserve"> crime</w:t>
      </w:r>
      <w:r w:rsidR="008A459B">
        <w:rPr>
          <w:rFonts w:ascii="Arial" w:hAnsi="Arial" w:cs="Arial"/>
          <w:sz w:val="24"/>
          <w:szCs w:val="24"/>
        </w:rPr>
        <w:t xml:space="preserve">s categorised as </w:t>
      </w:r>
      <w:r w:rsidR="00666A8A">
        <w:rPr>
          <w:rFonts w:ascii="Arial" w:hAnsi="Arial" w:cs="Arial"/>
          <w:sz w:val="24"/>
          <w:szCs w:val="24"/>
        </w:rPr>
        <w:t>‘</w:t>
      </w:r>
      <w:r w:rsidR="001A0732">
        <w:rPr>
          <w:rFonts w:ascii="Arial" w:hAnsi="Arial" w:cs="Arial"/>
          <w:sz w:val="24"/>
          <w:szCs w:val="24"/>
        </w:rPr>
        <w:t>other c</w:t>
      </w:r>
      <w:r w:rsidR="00666A8A">
        <w:rPr>
          <w:rFonts w:ascii="Arial" w:hAnsi="Arial" w:cs="Arial"/>
          <w:sz w:val="24"/>
          <w:szCs w:val="24"/>
        </w:rPr>
        <w:t xml:space="preserve">rime’ i.e. </w:t>
      </w:r>
      <w:r w:rsidR="002D61A0">
        <w:rPr>
          <w:rFonts w:ascii="Arial" w:hAnsi="Arial" w:cs="Arial"/>
          <w:sz w:val="24"/>
          <w:szCs w:val="24"/>
        </w:rPr>
        <w:t>non-sexual and non-violence, such as</w:t>
      </w:r>
      <w:r w:rsidR="00666A8A">
        <w:rPr>
          <w:rFonts w:ascii="Arial" w:hAnsi="Arial" w:cs="Arial"/>
          <w:sz w:val="24"/>
          <w:szCs w:val="24"/>
        </w:rPr>
        <w:t xml:space="preserve"> </w:t>
      </w:r>
      <w:r w:rsidR="008A459B">
        <w:rPr>
          <w:rFonts w:ascii="Arial" w:hAnsi="Arial" w:cs="Arial"/>
          <w:sz w:val="24"/>
          <w:szCs w:val="24"/>
        </w:rPr>
        <w:t>theft, criminal damage, public order etc. The results showed a compliance rate of 92%</w:t>
      </w:r>
      <w:r w:rsidR="008A459B">
        <w:rPr>
          <w:rStyle w:val="FootnoteReference"/>
          <w:rFonts w:ascii="Arial" w:hAnsi="Arial" w:cs="Arial"/>
          <w:sz w:val="24"/>
          <w:szCs w:val="24"/>
        </w:rPr>
        <w:footnoteReference w:id="1"/>
      </w:r>
      <w:r w:rsidR="004E10C7">
        <w:rPr>
          <w:rFonts w:ascii="Arial" w:hAnsi="Arial" w:cs="Arial"/>
          <w:sz w:val="24"/>
          <w:szCs w:val="24"/>
        </w:rPr>
        <w:t xml:space="preserve"> for these types of crimes</w:t>
      </w:r>
      <w:r w:rsidR="00666A8A">
        <w:rPr>
          <w:rFonts w:ascii="Arial" w:hAnsi="Arial" w:cs="Arial"/>
          <w:sz w:val="24"/>
          <w:szCs w:val="24"/>
        </w:rPr>
        <w:t xml:space="preserve">. </w:t>
      </w:r>
      <w:r w:rsidR="004E10C7">
        <w:rPr>
          <w:rFonts w:ascii="Arial" w:hAnsi="Arial" w:cs="Arial"/>
          <w:sz w:val="24"/>
          <w:szCs w:val="24"/>
        </w:rPr>
        <w:t>T</w:t>
      </w:r>
      <w:r>
        <w:rPr>
          <w:rFonts w:ascii="Arial" w:hAnsi="Arial" w:cs="Arial"/>
          <w:sz w:val="24"/>
          <w:szCs w:val="24"/>
        </w:rPr>
        <w:t>he audit</w:t>
      </w:r>
      <w:r w:rsidR="008A459B">
        <w:rPr>
          <w:rFonts w:ascii="Arial" w:hAnsi="Arial" w:cs="Arial"/>
          <w:sz w:val="24"/>
          <w:szCs w:val="24"/>
        </w:rPr>
        <w:t xml:space="preserve"> identified a relatively high number of </w:t>
      </w:r>
      <w:r w:rsidR="00666A8A">
        <w:rPr>
          <w:rFonts w:ascii="Arial" w:hAnsi="Arial" w:cs="Arial"/>
          <w:sz w:val="24"/>
          <w:szCs w:val="24"/>
        </w:rPr>
        <w:t xml:space="preserve">unrecorded </w:t>
      </w:r>
      <w:r w:rsidR="008A459B">
        <w:rPr>
          <w:rFonts w:ascii="Arial" w:hAnsi="Arial" w:cs="Arial"/>
          <w:sz w:val="24"/>
          <w:szCs w:val="24"/>
        </w:rPr>
        <w:t xml:space="preserve">violent </w:t>
      </w:r>
      <w:r w:rsidR="00666A8A">
        <w:rPr>
          <w:rFonts w:ascii="Arial" w:hAnsi="Arial" w:cs="Arial"/>
          <w:sz w:val="24"/>
          <w:szCs w:val="24"/>
        </w:rPr>
        <w:t>crimes</w:t>
      </w:r>
      <w:r w:rsidR="001A0732">
        <w:rPr>
          <w:rFonts w:ascii="Arial" w:hAnsi="Arial" w:cs="Arial"/>
          <w:sz w:val="24"/>
          <w:szCs w:val="24"/>
        </w:rPr>
        <w:t xml:space="preserve"> hidden in the ‘other crime’ incidents</w:t>
      </w:r>
      <w:r w:rsidR="008A459B">
        <w:rPr>
          <w:rFonts w:ascii="Arial" w:hAnsi="Arial" w:cs="Arial"/>
          <w:sz w:val="24"/>
          <w:szCs w:val="24"/>
        </w:rPr>
        <w:t xml:space="preserve">. </w:t>
      </w:r>
      <w:r w:rsidR="000E4E72">
        <w:rPr>
          <w:rFonts w:ascii="Arial" w:hAnsi="Arial" w:cs="Arial"/>
          <w:sz w:val="24"/>
          <w:szCs w:val="24"/>
        </w:rPr>
        <w:t>For example,</w:t>
      </w:r>
      <w:r w:rsidR="008A459B">
        <w:rPr>
          <w:rFonts w:ascii="Arial" w:hAnsi="Arial" w:cs="Arial"/>
          <w:sz w:val="24"/>
          <w:szCs w:val="24"/>
        </w:rPr>
        <w:t xml:space="preserve"> an incident</w:t>
      </w:r>
      <w:r w:rsidR="001A0732">
        <w:rPr>
          <w:rFonts w:ascii="Arial" w:hAnsi="Arial" w:cs="Arial"/>
          <w:sz w:val="24"/>
          <w:szCs w:val="24"/>
        </w:rPr>
        <w:t xml:space="preserve"> was reported</w:t>
      </w:r>
      <w:r w:rsidR="008A459B">
        <w:rPr>
          <w:rFonts w:ascii="Arial" w:hAnsi="Arial" w:cs="Arial"/>
          <w:sz w:val="24"/>
          <w:szCs w:val="24"/>
        </w:rPr>
        <w:t xml:space="preserve"> relating to criminal damage in a shop</w:t>
      </w:r>
      <w:r w:rsidR="001A0732">
        <w:rPr>
          <w:rFonts w:ascii="Arial" w:hAnsi="Arial" w:cs="Arial"/>
          <w:sz w:val="24"/>
          <w:szCs w:val="24"/>
        </w:rPr>
        <w:t>; a crime of criminal damage was appropriately</w:t>
      </w:r>
      <w:r w:rsidR="008A459B">
        <w:rPr>
          <w:rFonts w:ascii="Arial" w:hAnsi="Arial" w:cs="Arial"/>
          <w:sz w:val="24"/>
          <w:szCs w:val="24"/>
        </w:rPr>
        <w:t xml:space="preserve"> recorded </w:t>
      </w:r>
      <w:r>
        <w:rPr>
          <w:rFonts w:ascii="Arial" w:hAnsi="Arial" w:cs="Arial"/>
          <w:sz w:val="24"/>
          <w:szCs w:val="24"/>
        </w:rPr>
        <w:t xml:space="preserve">with the shop owner as the victim. However, </w:t>
      </w:r>
      <w:r w:rsidR="00666A8A">
        <w:rPr>
          <w:rFonts w:ascii="Arial" w:hAnsi="Arial" w:cs="Arial"/>
          <w:sz w:val="24"/>
          <w:szCs w:val="24"/>
        </w:rPr>
        <w:t>during</w:t>
      </w:r>
      <w:r w:rsidR="008A459B">
        <w:rPr>
          <w:rFonts w:ascii="Arial" w:hAnsi="Arial" w:cs="Arial"/>
          <w:sz w:val="24"/>
          <w:szCs w:val="24"/>
        </w:rPr>
        <w:t xml:space="preserve"> the call from the shop member reporting the incident</w:t>
      </w:r>
      <w:r w:rsidR="001A0732">
        <w:rPr>
          <w:rFonts w:ascii="Arial" w:hAnsi="Arial" w:cs="Arial"/>
          <w:sz w:val="24"/>
          <w:szCs w:val="24"/>
        </w:rPr>
        <w:t xml:space="preserve"> (not the owner)</w:t>
      </w:r>
      <w:r>
        <w:rPr>
          <w:rFonts w:ascii="Arial" w:hAnsi="Arial" w:cs="Arial"/>
          <w:sz w:val="24"/>
          <w:szCs w:val="24"/>
        </w:rPr>
        <w:t>,</w:t>
      </w:r>
      <w:r w:rsidR="008A459B">
        <w:rPr>
          <w:rFonts w:ascii="Arial" w:hAnsi="Arial" w:cs="Arial"/>
          <w:sz w:val="24"/>
          <w:szCs w:val="24"/>
        </w:rPr>
        <w:t xml:space="preserve"> they mentioned that an item </w:t>
      </w:r>
      <w:r w:rsidR="001A0732">
        <w:rPr>
          <w:rFonts w:ascii="Arial" w:hAnsi="Arial" w:cs="Arial"/>
          <w:sz w:val="24"/>
          <w:szCs w:val="24"/>
        </w:rPr>
        <w:t>had been</w:t>
      </w:r>
      <w:r w:rsidR="008A459B">
        <w:rPr>
          <w:rFonts w:ascii="Arial" w:hAnsi="Arial" w:cs="Arial"/>
          <w:sz w:val="24"/>
          <w:szCs w:val="24"/>
        </w:rPr>
        <w:t xml:space="preserve"> </w:t>
      </w:r>
      <w:r>
        <w:rPr>
          <w:rFonts w:ascii="Arial" w:hAnsi="Arial" w:cs="Arial"/>
          <w:sz w:val="24"/>
          <w:szCs w:val="24"/>
        </w:rPr>
        <w:lastRenderedPageBreak/>
        <w:t xml:space="preserve">thrown at </w:t>
      </w:r>
      <w:r w:rsidR="001A0732">
        <w:rPr>
          <w:rFonts w:ascii="Arial" w:hAnsi="Arial" w:cs="Arial"/>
          <w:sz w:val="24"/>
          <w:szCs w:val="24"/>
        </w:rPr>
        <w:t>them;</w:t>
      </w:r>
      <w:r w:rsidR="008A459B">
        <w:rPr>
          <w:rFonts w:ascii="Arial" w:hAnsi="Arial" w:cs="Arial"/>
          <w:sz w:val="24"/>
          <w:szCs w:val="24"/>
        </w:rPr>
        <w:t xml:space="preserve"> this </w:t>
      </w:r>
      <w:r>
        <w:rPr>
          <w:rFonts w:ascii="Arial" w:hAnsi="Arial" w:cs="Arial"/>
          <w:sz w:val="24"/>
          <w:szCs w:val="24"/>
        </w:rPr>
        <w:t>should have resulted in an additional crime</w:t>
      </w:r>
      <w:r w:rsidR="001A0732">
        <w:rPr>
          <w:rFonts w:ascii="Arial" w:hAnsi="Arial" w:cs="Arial"/>
          <w:sz w:val="24"/>
          <w:szCs w:val="24"/>
        </w:rPr>
        <w:t xml:space="preserve"> of assault</w:t>
      </w:r>
      <w:r>
        <w:rPr>
          <w:rFonts w:ascii="Arial" w:hAnsi="Arial" w:cs="Arial"/>
          <w:sz w:val="24"/>
          <w:szCs w:val="24"/>
        </w:rPr>
        <w:t xml:space="preserve"> with the staff member shown as the victim.</w:t>
      </w:r>
      <w:r w:rsidR="004E10C7">
        <w:rPr>
          <w:rFonts w:ascii="Arial" w:hAnsi="Arial" w:cs="Arial"/>
          <w:sz w:val="24"/>
          <w:szCs w:val="24"/>
        </w:rPr>
        <w:t xml:space="preserve"> When a full audit is undertaken, this issue would have the effect of reducing the violence compliance rate.</w:t>
      </w:r>
    </w:p>
    <w:p w14:paraId="3F540F97" w14:textId="77777777" w:rsidR="001A0732" w:rsidRDefault="001A0732" w:rsidP="003411C8">
      <w:pPr>
        <w:pStyle w:val="NoSpacing"/>
        <w:ind w:left="709"/>
        <w:rPr>
          <w:rFonts w:ascii="Arial" w:hAnsi="Arial" w:cs="Arial"/>
          <w:sz w:val="24"/>
          <w:szCs w:val="24"/>
        </w:rPr>
      </w:pPr>
    </w:p>
    <w:p w14:paraId="16E6DC04" w14:textId="77777777" w:rsidR="001A0732" w:rsidRDefault="001A0732" w:rsidP="003411C8">
      <w:pPr>
        <w:pStyle w:val="NoSpacing"/>
        <w:ind w:left="709"/>
        <w:rPr>
          <w:rFonts w:ascii="Arial" w:hAnsi="Arial" w:cs="Arial"/>
          <w:sz w:val="24"/>
          <w:szCs w:val="24"/>
        </w:rPr>
      </w:pPr>
      <w:r>
        <w:rPr>
          <w:rFonts w:ascii="Arial" w:hAnsi="Arial" w:cs="Arial"/>
          <w:sz w:val="24"/>
          <w:szCs w:val="24"/>
        </w:rPr>
        <w:t>The key issues leading to errors are the same as those identified through previous audits, therefore the current learning and development plan to address these issue</w:t>
      </w:r>
      <w:r w:rsidR="002D61A0">
        <w:rPr>
          <w:rFonts w:ascii="Arial" w:hAnsi="Arial" w:cs="Arial"/>
          <w:sz w:val="24"/>
          <w:szCs w:val="24"/>
        </w:rPr>
        <w:t>s</w:t>
      </w:r>
      <w:r>
        <w:rPr>
          <w:rFonts w:ascii="Arial" w:hAnsi="Arial" w:cs="Arial"/>
          <w:sz w:val="24"/>
          <w:szCs w:val="24"/>
        </w:rPr>
        <w:t xml:space="preserve"> remains appropriate.</w:t>
      </w:r>
      <w:r w:rsidR="002D61A0">
        <w:rPr>
          <w:rFonts w:ascii="Arial" w:hAnsi="Arial" w:cs="Arial"/>
          <w:sz w:val="24"/>
          <w:szCs w:val="24"/>
        </w:rPr>
        <w:t xml:space="preserve"> Where appropriate</w:t>
      </w:r>
      <w:r w:rsidR="007770CA">
        <w:rPr>
          <w:rFonts w:ascii="Arial" w:hAnsi="Arial" w:cs="Arial"/>
          <w:sz w:val="24"/>
          <w:szCs w:val="24"/>
        </w:rPr>
        <w:t>,</w:t>
      </w:r>
      <w:r w:rsidR="002D61A0">
        <w:rPr>
          <w:rFonts w:ascii="Arial" w:hAnsi="Arial" w:cs="Arial"/>
          <w:sz w:val="24"/>
          <w:szCs w:val="24"/>
        </w:rPr>
        <w:t xml:space="preserve"> failed incidents are rectified and specific detail is shared with those involved to allow learning</w:t>
      </w:r>
      <w:r w:rsidR="000E4E72">
        <w:rPr>
          <w:rFonts w:ascii="Arial" w:hAnsi="Arial" w:cs="Arial"/>
          <w:sz w:val="24"/>
          <w:szCs w:val="24"/>
        </w:rPr>
        <w:t xml:space="preserve"> to take place</w:t>
      </w:r>
      <w:r w:rsidR="002D61A0">
        <w:rPr>
          <w:rFonts w:ascii="Arial" w:hAnsi="Arial" w:cs="Arial"/>
          <w:sz w:val="24"/>
          <w:szCs w:val="24"/>
        </w:rPr>
        <w:t>.</w:t>
      </w:r>
    </w:p>
    <w:p w14:paraId="319335DC" w14:textId="77777777" w:rsidR="00517A15" w:rsidRDefault="00517A15" w:rsidP="003411C8">
      <w:pPr>
        <w:pStyle w:val="NoSpacing"/>
        <w:ind w:left="709"/>
        <w:rPr>
          <w:rFonts w:ascii="Arial" w:hAnsi="Arial" w:cs="Arial"/>
          <w:sz w:val="24"/>
          <w:szCs w:val="24"/>
        </w:rPr>
      </w:pPr>
    </w:p>
    <w:p w14:paraId="7785F96F" w14:textId="02BF2DF0" w:rsidR="00517A15" w:rsidRPr="00083086" w:rsidRDefault="00517A15" w:rsidP="00517A15">
      <w:pPr>
        <w:pStyle w:val="NoSpacing"/>
        <w:ind w:left="709"/>
        <w:rPr>
          <w:rFonts w:ascii="Arial" w:hAnsi="Arial" w:cs="Arial"/>
          <w:b/>
          <w:sz w:val="24"/>
          <w:szCs w:val="24"/>
        </w:rPr>
      </w:pPr>
      <w:r w:rsidRPr="00083086">
        <w:rPr>
          <w:rFonts w:ascii="Arial" w:hAnsi="Arial" w:cs="Arial"/>
          <w:b/>
          <w:sz w:val="24"/>
          <w:szCs w:val="24"/>
        </w:rPr>
        <w:t>Rape and Modern Slavery</w:t>
      </w:r>
      <w:r>
        <w:rPr>
          <w:rFonts w:ascii="Arial" w:hAnsi="Arial" w:cs="Arial"/>
          <w:b/>
          <w:sz w:val="24"/>
          <w:szCs w:val="24"/>
        </w:rPr>
        <w:t xml:space="preserve"> </w:t>
      </w:r>
      <w:r w:rsidRPr="00083086">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The audit team monitor all reports of modern slavery/ human trafficking, as well as all reports of rape that do not result in the recording of a crime. Table 1 shows the number of unrecorded crimes found through this process in the last 6 months. </w:t>
      </w:r>
    </w:p>
    <w:tbl>
      <w:tblPr>
        <w:tblpPr w:leftFromText="180" w:rightFromText="180" w:vertAnchor="text" w:horzAnchor="page" w:tblpX="1801" w:tblpY="206"/>
        <w:tblOverlap w:val="never"/>
        <w:tblW w:w="6961" w:type="dxa"/>
        <w:tblLook w:val="04A0" w:firstRow="1" w:lastRow="0" w:firstColumn="1" w:lastColumn="0" w:noHBand="0" w:noVBand="1"/>
      </w:tblPr>
      <w:tblGrid>
        <w:gridCol w:w="1853"/>
        <w:gridCol w:w="1853"/>
        <w:gridCol w:w="3255"/>
      </w:tblGrid>
      <w:tr w:rsidR="00517A15" w:rsidRPr="00083086" w14:paraId="5F786FEF" w14:textId="77777777" w:rsidTr="004E10C7">
        <w:trPr>
          <w:trHeight w:val="290"/>
        </w:trPr>
        <w:tc>
          <w:tcPr>
            <w:tcW w:w="6961" w:type="dxa"/>
            <w:gridSpan w:val="3"/>
            <w:tcBorders>
              <w:top w:val="single" w:sz="4" w:space="0" w:color="auto"/>
              <w:left w:val="single" w:sz="4" w:space="0" w:color="auto"/>
              <w:bottom w:val="single" w:sz="4" w:space="0" w:color="auto"/>
              <w:right w:val="single" w:sz="4" w:space="0" w:color="auto"/>
            </w:tcBorders>
            <w:shd w:val="clear" w:color="000000" w:fill="4F81BD"/>
            <w:vAlign w:val="bottom"/>
            <w:hideMark/>
          </w:tcPr>
          <w:p w14:paraId="69BF0039" w14:textId="77777777" w:rsidR="00517A15" w:rsidRPr="004E10C7" w:rsidRDefault="00517A15" w:rsidP="00517A15">
            <w:pPr>
              <w:spacing w:after="0" w:line="240" w:lineRule="auto"/>
              <w:jc w:val="center"/>
              <w:rPr>
                <w:rFonts w:ascii="Calibri" w:eastAsia="Times New Roman" w:hAnsi="Calibri" w:cs="Calibri"/>
                <w:color w:val="FFFFFF"/>
                <w:sz w:val="24"/>
                <w:szCs w:val="28"/>
                <w:lang w:eastAsia="en-GB"/>
              </w:rPr>
            </w:pPr>
            <w:r w:rsidRPr="004E10C7">
              <w:rPr>
                <w:rFonts w:ascii="Calibri" w:eastAsia="Times New Roman" w:hAnsi="Calibri" w:cs="Calibri"/>
                <w:color w:val="FFFFFF"/>
                <w:sz w:val="24"/>
                <w:szCs w:val="28"/>
                <w:lang w:eastAsia="en-GB"/>
              </w:rPr>
              <w:t>Unrecorded Crime Found Through Audit Sep 18 – Feb 19</w:t>
            </w:r>
          </w:p>
        </w:tc>
      </w:tr>
      <w:tr w:rsidR="00517A15" w:rsidRPr="00083086" w14:paraId="69129914" w14:textId="77777777" w:rsidTr="004E10C7">
        <w:trPr>
          <w:trHeight w:val="221"/>
        </w:trPr>
        <w:tc>
          <w:tcPr>
            <w:tcW w:w="1853" w:type="dxa"/>
            <w:tcBorders>
              <w:top w:val="single" w:sz="4" w:space="0" w:color="auto"/>
              <w:left w:val="single" w:sz="4" w:space="0" w:color="auto"/>
              <w:bottom w:val="single" w:sz="4" w:space="0" w:color="auto"/>
              <w:right w:val="single" w:sz="4" w:space="0" w:color="auto"/>
            </w:tcBorders>
            <w:shd w:val="clear" w:color="000000" w:fill="4F81BD"/>
            <w:vAlign w:val="bottom"/>
            <w:hideMark/>
          </w:tcPr>
          <w:p w14:paraId="2A6B0CE0" w14:textId="77777777" w:rsidR="00517A15" w:rsidRPr="004E10C7" w:rsidRDefault="00517A15" w:rsidP="00517A15">
            <w:pPr>
              <w:spacing w:after="0" w:line="240" w:lineRule="auto"/>
              <w:jc w:val="center"/>
              <w:rPr>
                <w:rFonts w:ascii="Calibri" w:eastAsia="Times New Roman" w:hAnsi="Calibri" w:cs="Calibri"/>
                <w:color w:val="FFFFFF"/>
                <w:sz w:val="24"/>
                <w:szCs w:val="28"/>
                <w:lang w:eastAsia="en-GB"/>
              </w:rPr>
            </w:pPr>
            <w:r w:rsidRPr="004E10C7">
              <w:rPr>
                <w:rFonts w:ascii="Calibri" w:eastAsia="Times New Roman" w:hAnsi="Calibri" w:cs="Calibri"/>
                <w:color w:val="FFFFFF"/>
                <w:sz w:val="24"/>
                <w:szCs w:val="28"/>
                <w:lang w:eastAsia="en-GB"/>
              </w:rPr>
              <w:t>Month</w:t>
            </w:r>
          </w:p>
        </w:tc>
        <w:tc>
          <w:tcPr>
            <w:tcW w:w="1853" w:type="dxa"/>
            <w:tcBorders>
              <w:top w:val="single" w:sz="4" w:space="0" w:color="auto"/>
              <w:left w:val="single" w:sz="4" w:space="0" w:color="auto"/>
              <w:bottom w:val="single" w:sz="4" w:space="0" w:color="auto"/>
              <w:right w:val="single" w:sz="4" w:space="0" w:color="auto"/>
            </w:tcBorders>
            <w:shd w:val="clear" w:color="000000" w:fill="4F81BD"/>
            <w:vAlign w:val="bottom"/>
            <w:hideMark/>
          </w:tcPr>
          <w:p w14:paraId="67D9BA2D" w14:textId="77777777" w:rsidR="00517A15" w:rsidRPr="004E10C7" w:rsidRDefault="00517A15" w:rsidP="00517A15">
            <w:pPr>
              <w:spacing w:after="0" w:line="240" w:lineRule="auto"/>
              <w:jc w:val="center"/>
              <w:rPr>
                <w:rFonts w:ascii="Calibri" w:eastAsia="Times New Roman" w:hAnsi="Calibri" w:cs="Calibri"/>
                <w:color w:val="FFFFFF"/>
                <w:sz w:val="24"/>
                <w:szCs w:val="28"/>
                <w:lang w:eastAsia="en-GB"/>
              </w:rPr>
            </w:pPr>
            <w:r w:rsidRPr="004E10C7">
              <w:rPr>
                <w:rFonts w:ascii="Calibri" w:eastAsia="Times New Roman" w:hAnsi="Calibri" w:cs="Calibri"/>
                <w:color w:val="FFFFFF"/>
                <w:sz w:val="24"/>
                <w:szCs w:val="28"/>
                <w:lang w:eastAsia="en-GB"/>
              </w:rPr>
              <w:t>Rape</w:t>
            </w:r>
          </w:p>
        </w:tc>
        <w:tc>
          <w:tcPr>
            <w:tcW w:w="3255" w:type="dxa"/>
            <w:tcBorders>
              <w:top w:val="single" w:sz="4" w:space="0" w:color="auto"/>
              <w:left w:val="single" w:sz="4" w:space="0" w:color="auto"/>
              <w:bottom w:val="single" w:sz="4" w:space="0" w:color="auto"/>
              <w:right w:val="single" w:sz="4" w:space="0" w:color="auto"/>
            </w:tcBorders>
            <w:shd w:val="clear" w:color="000000" w:fill="4F81BD"/>
            <w:vAlign w:val="bottom"/>
            <w:hideMark/>
          </w:tcPr>
          <w:p w14:paraId="26C83128" w14:textId="77777777" w:rsidR="00517A15" w:rsidRPr="004E10C7" w:rsidRDefault="00517A15" w:rsidP="00517A15">
            <w:pPr>
              <w:spacing w:after="0" w:line="240" w:lineRule="auto"/>
              <w:jc w:val="center"/>
              <w:rPr>
                <w:rFonts w:ascii="Calibri" w:eastAsia="Times New Roman" w:hAnsi="Calibri" w:cs="Calibri"/>
                <w:color w:val="FFFFFF"/>
                <w:sz w:val="24"/>
                <w:szCs w:val="28"/>
                <w:lang w:eastAsia="en-GB"/>
              </w:rPr>
            </w:pPr>
            <w:r w:rsidRPr="004E10C7">
              <w:rPr>
                <w:rFonts w:ascii="Calibri" w:eastAsia="Times New Roman" w:hAnsi="Calibri" w:cs="Calibri"/>
                <w:color w:val="FFFFFF"/>
                <w:sz w:val="24"/>
                <w:szCs w:val="28"/>
                <w:lang w:eastAsia="en-GB"/>
              </w:rPr>
              <w:t>Modern Slavery</w:t>
            </w:r>
          </w:p>
        </w:tc>
      </w:tr>
      <w:tr w:rsidR="00517A15" w:rsidRPr="00083086" w14:paraId="6D6C91BD" w14:textId="77777777" w:rsidTr="004E10C7">
        <w:trPr>
          <w:trHeight w:val="290"/>
        </w:trPr>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09879466"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Sep-18</w:t>
            </w:r>
          </w:p>
        </w:tc>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3154B165"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4</w:t>
            </w:r>
          </w:p>
        </w:tc>
        <w:tc>
          <w:tcPr>
            <w:tcW w:w="3255"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19264D34"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8</w:t>
            </w:r>
          </w:p>
        </w:tc>
      </w:tr>
      <w:tr w:rsidR="00517A15" w:rsidRPr="00083086" w14:paraId="7E6069FA" w14:textId="77777777" w:rsidTr="004E10C7">
        <w:trPr>
          <w:trHeight w:val="290"/>
        </w:trPr>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791FF54B"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Oct-18</w:t>
            </w:r>
          </w:p>
        </w:tc>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5A124557"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11</w:t>
            </w:r>
          </w:p>
        </w:tc>
        <w:tc>
          <w:tcPr>
            <w:tcW w:w="3255"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09FB07A1"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8</w:t>
            </w:r>
          </w:p>
        </w:tc>
      </w:tr>
      <w:tr w:rsidR="00517A15" w:rsidRPr="00083086" w14:paraId="52394C7B" w14:textId="77777777" w:rsidTr="004E10C7">
        <w:trPr>
          <w:trHeight w:val="290"/>
        </w:trPr>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53CE8864"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Nov-18</w:t>
            </w:r>
          </w:p>
        </w:tc>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355345D0"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4</w:t>
            </w:r>
          </w:p>
        </w:tc>
        <w:tc>
          <w:tcPr>
            <w:tcW w:w="3255"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56A9FC1A"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7</w:t>
            </w:r>
          </w:p>
        </w:tc>
      </w:tr>
      <w:tr w:rsidR="00517A15" w:rsidRPr="00083086" w14:paraId="1E157A13" w14:textId="77777777" w:rsidTr="004E10C7">
        <w:trPr>
          <w:trHeight w:val="290"/>
        </w:trPr>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7B37FF1E"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Dec-18</w:t>
            </w:r>
          </w:p>
        </w:tc>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2E432C71"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8</w:t>
            </w:r>
          </w:p>
        </w:tc>
        <w:tc>
          <w:tcPr>
            <w:tcW w:w="3255"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620CBF58"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8</w:t>
            </w:r>
          </w:p>
        </w:tc>
      </w:tr>
      <w:tr w:rsidR="00517A15" w:rsidRPr="00083086" w14:paraId="4D2E5501" w14:textId="77777777" w:rsidTr="004E10C7">
        <w:trPr>
          <w:trHeight w:val="290"/>
        </w:trPr>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38F8DBFB"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Jan-19</w:t>
            </w:r>
          </w:p>
        </w:tc>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3E1C050D"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1</w:t>
            </w:r>
          </w:p>
        </w:tc>
        <w:tc>
          <w:tcPr>
            <w:tcW w:w="3255"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53FA8788"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13</w:t>
            </w:r>
          </w:p>
        </w:tc>
      </w:tr>
      <w:tr w:rsidR="00517A15" w:rsidRPr="00083086" w14:paraId="2A84BCD3" w14:textId="77777777" w:rsidTr="004E10C7">
        <w:trPr>
          <w:trHeight w:val="290"/>
        </w:trPr>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057FF716"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Feb-19</w:t>
            </w:r>
          </w:p>
        </w:tc>
        <w:tc>
          <w:tcPr>
            <w:tcW w:w="1853"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1936B3CD"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5</w:t>
            </w:r>
          </w:p>
        </w:tc>
        <w:tc>
          <w:tcPr>
            <w:tcW w:w="3255" w:type="dxa"/>
            <w:tcBorders>
              <w:top w:val="single" w:sz="4" w:space="0" w:color="auto"/>
              <w:left w:val="single" w:sz="4" w:space="0" w:color="auto"/>
              <w:bottom w:val="single" w:sz="4" w:space="0" w:color="auto"/>
              <w:right w:val="single" w:sz="4" w:space="0" w:color="auto"/>
            </w:tcBorders>
            <w:shd w:val="clear" w:color="000000" w:fill="E9EDF4"/>
            <w:vAlign w:val="bottom"/>
            <w:hideMark/>
          </w:tcPr>
          <w:p w14:paraId="629C8AC6" w14:textId="77777777" w:rsidR="00517A15" w:rsidRPr="004E10C7" w:rsidRDefault="00517A15" w:rsidP="00517A15">
            <w:pPr>
              <w:spacing w:after="0" w:line="240" w:lineRule="auto"/>
              <w:jc w:val="center"/>
              <w:rPr>
                <w:rFonts w:ascii="Calibri" w:eastAsia="Times New Roman" w:hAnsi="Calibri" w:cs="Calibri"/>
                <w:color w:val="000000"/>
                <w:sz w:val="24"/>
                <w:szCs w:val="28"/>
                <w:lang w:eastAsia="en-GB"/>
              </w:rPr>
            </w:pPr>
            <w:r w:rsidRPr="004E10C7">
              <w:rPr>
                <w:rFonts w:ascii="Calibri" w:eastAsia="Times New Roman" w:hAnsi="Calibri" w:cs="Calibri"/>
                <w:color w:val="000000"/>
                <w:sz w:val="24"/>
                <w:szCs w:val="28"/>
                <w:lang w:eastAsia="en-GB"/>
              </w:rPr>
              <w:t>5</w:t>
            </w:r>
          </w:p>
        </w:tc>
      </w:tr>
    </w:tbl>
    <w:p w14:paraId="414CBDE6" w14:textId="77777777" w:rsidR="00517A15" w:rsidRDefault="00517A15" w:rsidP="003411C8">
      <w:pPr>
        <w:pStyle w:val="NoSpacing"/>
        <w:ind w:left="709"/>
        <w:rPr>
          <w:rFonts w:ascii="Arial" w:hAnsi="Arial" w:cs="Arial"/>
          <w:sz w:val="24"/>
          <w:szCs w:val="24"/>
        </w:rPr>
      </w:pPr>
    </w:p>
    <w:p w14:paraId="381DF2D4" w14:textId="77777777" w:rsidR="00083086" w:rsidRDefault="00083086" w:rsidP="003411C8">
      <w:pPr>
        <w:pStyle w:val="NoSpacing"/>
        <w:ind w:left="709"/>
        <w:rPr>
          <w:rFonts w:ascii="Arial" w:hAnsi="Arial" w:cs="Arial"/>
          <w:sz w:val="24"/>
          <w:szCs w:val="24"/>
        </w:rPr>
      </w:pPr>
    </w:p>
    <w:p w14:paraId="6FF9736C" w14:textId="77777777" w:rsidR="00083086" w:rsidRDefault="00083086" w:rsidP="00083086"/>
    <w:p w14:paraId="4FCDF038" w14:textId="77777777" w:rsidR="00083086" w:rsidRPr="00BE3820" w:rsidRDefault="00083086" w:rsidP="00F450D1">
      <w:pPr>
        <w:pStyle w:val="ListParagraph"/>
      </w:pPr>
    </w:p>
    <w:p w14:paraId="2A856318" w14:textId="77777777" w:rsidR="00083086" w:rsidRDefault="00083086" w:rsidP="004104BE">
      <w:pPr>
        <w:pStyle w:val="NoSpacing"/>
        <w:ind w:firstLine="720"/>
        <w:rPr>
          <w:rFonts w:ascii="Arial" w:hAnsi="Arial" w:cs="Arial"/>
          <w:b/>
          <w:sz w:val="24"/>
          <w:szCs w:val="24"/>
          <w:u w:val="single"/>
        </w:rPr>
      </w:pPr>
    </w:p>
    <w:p w14:paraId="5A3765E3" w14:textId="77777777" w:rsidR="00083086" w:rsidRDefault="00083086" w:rsidP="004104BE">
      <w:pPr>
        <w:pStyle w:val="NoSpacing"/>
        <w:ind w:firstLine="720"/>
        <w:rPr>
          <w:rFonts w:ascii="Arial" w:hAnsi="Arial" w:cs="Arial"/>
          <w:b/>
          <w:sz w:val="24"/>
          <w:szCs w:val="24"/>
          <w:u w:val="single"/>
        </w:rPr>
      </w:pPr>
    </w:p>
    <w:p w14:paraId="1A4C8AF6" w14:textId="77777777" w:rsidR="00083086" w:rsidRDefault="00083086" w:rsidP="004104BE">
      <w:pPr>
        <w:pStyle w:val="NoSpacing"/>
        <w:ind w:firstLine="720"/>
        <w:rPr>
          <w:rFonts w:ascii="Arial" w:hAnsi="Arial" w:cs="Arial"/>
          <w:b/>
          <w:sz w:val="24"/>
          <w:szCs w:val="24"/>
          <w:u w:val="single"/>
        </w:rPr>
      </w:pPr>
    </w:p>
    <w:p w14:paraId="057BBC83" w14:textId="77777777" w:rsidR="00083086" w:rsidRDefault="00083086" w:rsidP="004104BE">
      <w:pPr>
        <w:pStyle w:val="NoSpacing"/>
        <w:ind w:firstLine="720"/>
        <w:rPr>
          <w:rFonts w:ascii="Arial" w:hAnsi="Arial" w:cs="Arial"/>
          <w:b/>
          <w:sz w:val="24"/>
          <w:szCs w:val="24"/>
          <w:u w:val="single"/>
        </w:rPr>
      </w:pPr>
    </w:p>
    <w:p w14:paraId="46CCE420" w14:textId="77777777" w:rsidR="001A0732" w:rsidRDefault="00517A15" w:rsidP="00517A15">
      <w:pPr>
        <w:pStyle w:val="NoSpacing"/>
        <w:ind w:firstLine="720"/>
        <w:rPr>
          <w:rFonts w:ascii="Arial" w:hAnsi="Arial" w:cs="Arial"/>
          <w:b/>
          <w:sz w:val="24"/>
          <w:szCs w:val="24"/>
          <w:u w:val="single"/>
        </w:rPr>
      </w:pPr>
      <w:r w:rsidRPr="00517A15">
        <w:rPr>
          <w:rFonts w:ascii="Arial" w:hAnsi="Arial" w:cs="Arial"/>
          <w:sz w:val="20"/>
          <w:szCs w:val="24"/>
        </w:rPr>
        <w:t>Table 1 – Unrecorded Rape/ Modern Slavery</w:t>
      </w:r>
    </w:p>
    <w:p w14:paraId="3D587F62" w14:textId="77777777" w:rsidR="001A0732" w:rsidRDefault="001A0732" w:rsidP="004104BE">
      <w:pPr>
        <w:pStyle w:val="NoSpacing"/>
        <w:ind w:firstLine="720"/>
        <w:rPr>
          <w:rFonts w:ascii="Arial" w:hAnsi="Arial" w:cs="Arial"/>
          <w:b/>
          <w:sz w:val="24"/>
          <w:szCs w:val="24"/>
          <w:u w:val="single"/>
        </w:rPr>
      </w:pPr>
    </w:p>
    <w:p w14:paraId="071BB1B0" w14:textId="77777777" w:rsidR="001A0732" w:rsidRPr="001A0732" w:rsidRDefault="002D61A0" w:rsidP="001A0732">
      <w:pPr>
        <w:pStyle w:val="NoSpacing"/>
        <w:ind w:left="720"/>
        <w:rPr>
          <w:rFonts w:ascii="Arial" w:hAnsi="Arial" w:cs="Arial"/>
          <w:sz w:val="24"/>
          <w:szCs w:val="24"/>
        </w:rPr>
      </w:pPr>
      <w:r>
        <w:rPr>
          <w:rFonts w:ascii="Arial" w:hAnsi="Arial" w:cs="Arial"/>
          <w:sz w:val="24"/>
          <w:szCs w:val="24"/>
        </w:rPr>
        <w:t xml:space="preserve">All failed records </w:t>
      </w:r>
      <w:r w:rsidR="000E4E72">
        <w:rPr>
          <w:rFonts w:ascii="Arial" w:hAnsi="Arial" w:cs="Arial"/>
          <w:sz w:val="24"/>
          <w:szCs w:val="24"/>
        </w:rPr>
        <w:t xml:space="preserve">found through this process </w:t>
      </w:r>
      <w:r>
        <w:rPr>
          <w:rFonts w:ascii="Arial" w:hAnsi="Arial" w:cs="Arial"/>
          <w:sz w:val="24"/>
          <w:szCs w:val="24"/>
        </w:rPr>
        <w:t xml:space="preserve">are corrected.  </w:t>
      </w:r>
      <w:r w:rsidR="001A0732" w:rsidRPr="001A0732">
        <w:rPr>
          <w:rFonts w:ascii="Arial" w:hAnsi="Arial" w:cs="Arial"/>
          <w:sz w:val="24"/>
          <w:szCs w:val="24"/>
        </w:rPr>
        <w:t>Work continues to improve the knowledge of officers and staff in these areas.</w:t>
      </w:r>
      <w:r w:rsidR="001A0732">
        <w:rPr>
          <w:rFonts w:ascii="Arial" w:hAnsi="Arial" w:cs="Arial"/>
          <w:sz w:val="24"/>
          <w:szCs w:val="24"/>
        </w:rPr>
        <w:t xml:space="preserve"> A monthly report detailing the issues </w:t>
      </w:r>
      <w:r w:rsidR="00F814E7">
        <w:rPr>
          <w:rFonts w:ascii="Arial" w:hAnsi="Arial" w:cs="Arial"/>
          <w:sz w:val="24"/>
          <w:szCs w:val="24"/>
        </w:rPr>
        <w:t>identified in</w:t>
      </w:r>
      <w:r w:rsidR="001A0732">
        <w:rPr>
          <w:rFonts w:ascii="Arial" w:hAnsi="Arial" w:cs="Arial"/>
          <w:sz w:val="24"/>
          <w:szCs w:val="24"/>
        </w:rPr>
        <w:t xml:space="preserve"> these areas is now shared with command teams, which allows the appropriate level of scrutiny in the cases where crimes are missed. </w:t>
      </w:r>
    </w:p>
    <w:p w14:paraId="4C7C73AB" w14:textId="77777777" w:rsidR="00083086" w:rsidRDefault="00083086" w:rsidP="004104BE">
      <w:pPr>
        <w:pStyle w:val="NoSpacing"/>
        <w:ind w:firstLine="720"/>
        <w:rPr>
          <w:rFonts w:ascii="Arial" w:hAnsi="Arial" w:cs="Arial"/>
          <w:b/>
          <w:sz w:val="24"/>
          <w:szCs w:val="24"/>
          <w:u w:val="single"/>
        </w:rPr>
      </w:pPr>
    </w:p>
    <w:p w14:paraId="5D6E52F1" w14:textId="77777777" w:rsidR="00630CB1" w:rsidRDefault="00E01FE6" w:rsidP="00E01FE6">
      <w:pPr>
        <w:pStyle w:val="NoSpacing"/>
        <w:ind w:left="720"/>
        <w:rPr>
          <w:rFonts w:ascii="Arial" w:hAnsi="Arial" w:cs="Arial"/>
          <w:sz w:val="24"/>
          <w:szCs w:val="24"/>
        </w:rPr>
      </w:pPr>
      <w:r w:rsidRPr="00E01FE6">
        <w:rPr>
          <w:rFonts w:ascii="Arial" w:hAnsi="Arial" w:cs="Arial"/>
          <w:b/>
          <w:sz w:val="24"/>
          <w:szCs w:val="24"/>
        </w:rPr>
        <w:t>Reports received direct</w:t>
      </w:r>
      <w:r>
        <w:rPr>
          <w:rFonts w:ascii="Arial" w:hAnsi="Arial" w:cs="Arial"/>
          <w:b/>
          <w:sz w:val="24"/>
          <w:szCs w:val="24"/>
        </w:rPr>
        <w:t xml:space="preserve">ly by </w:t>
      </w:r>
      <w:r w:rsidRPr="00E01FE6">
        <w:rPr>
          <w:rFonts w:ascii="Arial" w:hAnsi="Arial" w:cs="Arial"/>
          <w:b/>
          <w:sz w:val="24"/>
          <w:szCs w:val="24"/>
        </w:rPr>
        <w:t>Crime and Public Protection Command</w:t>
      </w:r>
      <w:r>
        <w:rPr>
          <w:rFonts w:ascii="Arial" w:hAnsi="Arial" w:cs="Arial"/>
          <w:b/>
          <w:sz w:val="24"/>
          <w:szCs w:val="24"/>
        </w:rPr>
        <w:t xml:space="preserve"> (C&amp;PP) </w:t>
      </w:r>
      <w:r w:rsidRPr="00E01FE6">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C&amp;PP </w:t>
      </w:r>
      <w:r w:rsidR="001A0732">
        <w:rPr>
          <w:rFonts w:ascii="Arial" w:hAnsi="Arial" w:cs="Arial"/>
          <w:sz w:val="24"/>
          <w:szCs w:val="24"/>
        </w:rPr>
        <w:t xml:space="preserve">receive a large volume of direct reports of potential crimes </w:t>
      </w:r>
      <w:r>
        <w:rPr>
          <w:rFonts w:ascii="Arial" w:hAnsi="Arial" w:cs="Arial"/>
          <w:sz w:val="24"/>
          <w:szCs w:val="24"/>
        </w:rPr>
        <w:t>from other agencies</w:t>
      </w:r>
      <w:r w:rsidR="00775A8E">
        <w:rPr>
          <w:rFonts w:ascii="Arial" w:hAnsi="Arial" w:cs="Arial"/>
          <w:sz w:val="24"/>
          <w:szCs w:val="24"/>
        </w:rPr>
        <w:t>.</w:t>
      </w:r>
      <w:r>
        <w:rPr>
          <w:rFonts w:ascii="Arial" w:hAnsi="Arial" w:cs="Arial"/>
          <w:sz w:val="24"/>
          <w:szCs w:val="24"/>
        </w:rPr>
        <w:t xml:space="preserve"> </w:t>
      </w:r>
      <w:r w:rsidR="002D61A0">
        <w:rPr>
          <w:rFonts w:ascii="Arial" w:hAnsi="Arial" w:cs="Arial"/>
          <w:sz w:val="24"/>
          <w:szCs w:val="24"/>
        </w:rPr>
        <w:t>For example,</w:t>
      </w:r>
      <w:r>
        <w:rPr>
          <w:rFonts w:ascii="Arial" w:hAnsi="Arial" w:cs="Arial"/>
          <w:sz w:val="24"/>
          <w:szCs w:val="24"/>
        </w:rPr>
        <w:t xml:space="preserve"> Children’s Social Care contact the Child Triage Team within the Public Protection Operations Centre</w:t>
      </w:r>
      <w:r w:rsidR="001A0732">
        <w:rPr>
          <w:rFonts w:ascii="Arial" w:hAnsi="Arial" w:cs="Arial"/>
          <w:sz w:val="24"/>
          <w:szCs w:val="24"/>
        </w:rPr>
        <w:t>,</w:t>
      </w:r>
      <w:r>
        <w:rPr>
          <w:rFonts w:ascii="Arial" w:hAnsi="Arial" w:cs="Arial"/>
          <w:sz w:val="24"/>
          <w:szCs w:val="24"/>
        </w:rPr>
        <w:t xml:space="preserve"> to discuss a report of crime they have received from a child’s school</w:t>
      </w:r>
      <w:r w:rsidR="00775A8E">
        <w:rPr>
          <w:rFonts w:ascii="Arial" w:hAnsi="Arial" w:cs="Arial"/>
          <w:sz w:val="24"/>
          <w:szCs w:val="24"/>
        </w:rPr>
        <w:t xml:space="preserve"> in order to agree a joint response to the incident</w:t>
      </w:r>
      <w:r>
        <w:rPr>
          <w:rFonts w:ascii="Arial" w:hAnsi="Arial" w:cs="Arial"/>
          <w:sz w:val="24"/>
          <w:szCs w:val="24"/>
        </w:rPr>
        <w:t xml:space="preserve">. The </w:t>
      </w:r>
      <w:r w:rsidR="00775A8E">
        <w:rPr>
          <w:rFonts w:ascii="Arial" w:hAnsi="Arial" w:cs="Arial"/>
          <w:sz w:val="24"/>
          <w:szCs w:val="24"/>
        </w:rPr>
        <w:t>C&amp;PP teams</w:t>
      </w:r>
      <w:r>
        <w:rPr>
          <w:rFonts w:ascii="Arial" w:hAnsi="Arial" w:cs="Arial"/>
          <w:sz w:val="24"/>
          <w:szCs w:val="24"/>
        </w:rPr>
        <w:t xml:space="preserve"> have the ability to record this contact directly onto the Athena system, as either a crime or a non-crime record. </w:t>
      </w:r>
    </w:p>
    <w:p w14:paraId="6C70D000" w14:textId="77777777" w:rsidR="00630CB1" w:rsidRDefault="00630CB1" w:rsidP="00E01FE6">
      <w:pPr>
        <w:pStyle w:val="NoSpacing"/>
        <w:ind w:left="720"/>
        <w:rPr>
          <w:rFonts w:ascii="Arial" w:hAnsi="Arial" w:cs="Arial"/>
          <w:sz w:val="24"/>
          <w:szCs w:val="24"/>
        </w:rPr>
      </w:pPr>
    </w:p>
    <w:p w14:paraId="3EE871C8" w14:textId="77777777" w:rsidR="00630CB1" w:rsidRDefault="001A0732" w:rsidP="00E01FE6">
      <w:pPr>
        <w:pStyle w:val="NoSpacing"/>
        <w:ind w:left="720"/>
        <w:rPr>
          <w:rFonts w:ascii="Arial" w:hAnsi="Arial" w:cs="Arial"/>
          <w:sz w:val="24"/>
          <w:szCs w:val="24"/>
        </w:rPr>
      </w:pPr>
      <w:r>
        <w:rPr>
          <w:rFonts w:ascii="Arial" w:hAnsi="Arial" w:cs="Arial"/>
          <w:sz w:val="24"/>
          <w:szCs w:val="24"/>
        </w:rPr>
        <w:t>Since</w:t>
      </w:r>
      <w:r w:rsidR="00E01FE6">
        <w:rPr>
          <w:rFonts w:ascii="Arial" w:hAnsi="Arial" w:cs="Arial"/>
          <w:sz w:val="24"/>
          <w:szCs w:val="24"/>
        </w:rPr>
        <w:t xml:space="preserve"> </w:t>
      </w:r>
      <w:r>
        <w:rPr>
          <w:rFonts w:ascii="Arial" w:hAnsi="Arial" w:cs="Arial"/>
          <w:sz w:val="24"/>
          <w:szCs w:val="24"/>
        </w:rPr>
        <w:t xml:space="preserve">January </w:t>
      </w:r>
      <w:r w:rsidR="00630CB1">
        <w:rPr>
          <w:rFonts w:ascii="Arial" w:hAnsi="Arial" w:cs="Arial"/>
          <w:sz w:val="24"/>
          <w:szCs w:val="24"/>
        </w:rPr>
        <w:t>2019</w:t>
      </w:r>
      <w:r w:rsidR="00E01FE6">
        <w:rPr>
          <w:rFonts w:ascii="Arial" w:hAnsi="Arial" w:cs="Arial"/>
          <w:sz w:val="24"/>
          <w:szCs w:val="24"/>
        </w:rPr>
        <w:t>, the new audit team have conducted reviews of reports received by the relevant C&amp;PP teams to check that the appropriate records (crime/ n</w:t>
      </w:r>
      <w:r w:rsidR="00E454B0">
        <w:rPr>
          <w:rFonts w:ascii="Arial" w:hAnsi="Arial" w:cs="Arial"/>
          <w:sz w:val="24"/>
          <w:szCs w:val="24"/>
        </w:rPr>
        <w:t>on-crime) were created. So far,</w:t>
      </w:r>
      <w:r w:rsidR="00630CB1">
        <w:rPr>
          <w:rFonts w:ascii="Arial" w:hAnsi="Arial" w:cs="Arial"/>
          <w:sz w:val="24"/>
          <w:szCs w:val="24"/>
        </w:rPr>
        <w:t xml:space="preserve"> </w:t>
      </w:r>
      <w:r w:rsidR="00E01FE6">
        <w:rPr>
          <w:rFonts w:ascii="Arial" w:hAnsi="Arial" w:cs="Arial"/>
          <w:sz w:val="24"/>
          <w:szCs w:val="24"/>
        </w:rPr>
        <w:t>issues have been found with the</w:t>
      </w:r>
      <w:r w:rsidR="00775A8E">
        <w:rPr>
          <w:rFonts w:ascii="Arial" w:hAnsi="Arial" w:cs="Arial"/>
          <w:sz w:val="24"/>
          <w:szCs w:val="24"/>
        </w:rPr>
        <w:t xml:space="preserve"> recording arrangements </w:t>
      </w:r>
      <w:r w:rsidR="00630CB1">
        <w:rPr>
          <w:rFonts w:ascii="Arial" w:hAnsi="Arial" w:cs="Arial"/>
          <w:sz w:val="24"/>
          <w:szCs w:val="24"/>
        </w:rPr>
        <w:t>withi</w:t>
      </w:r>
      <w:r w:rsidR="00775A8E">
        <w:rPr>
          <w:rFonts w:ascii="Arial" w:hAnsi="Arial" w:cs="Arial"/>
          <w:sz w:val="24"/>
          <w:szCs w:val="24"/>
        </w:rPr>
        <w:t>n the</w:t>
      </w:r>
      <w:r w:rsidR="00E01FE6">
        <w:rPr>
          <w:rFonts w:ascii="Arial" w:hAnsi="Arial" w:cs="Arial"/>
          <w:sz w:val="24"/>
          <w:szCs w:val="24"/>
        </w:rPr>
        <w:t xml:space="preserve"> Child Triage Team, the </w:t>
      </w:r>
      <w:r w:rsidR="00775A8E">
        <w:rPr>
          <w:rFonts w:ascii="Arial" w:hAnsi="Arial" w:cs="Arial"/>
          <w:sz w:val="24"/>
          <w:szCs w:val="24"/>
        </w:rPr>
        <w:t xml:space="preserve">Essex </w:t>
      </w:r>
      <w:r w:rsidR="00E01FE6">
        <w:rPr>
          <w:rFonts w:ascii="Arial" w:hAnsi="Arial" w:cs="Arial"/>
          <w:sz w:val="24"/>
          <w:szCs w:val="24"/>
        </w:rPr>
        <w:t xml:space="preserve">Multi Agency Risk Assessment </w:t>
      </w:r>
      <w:r w:rsidR="00775A8E">
        <w:rPr>
          <w:rFonts w:ascii="Arial" w:hAnsi="Arial" w:cs="Arial"/>
          <w:sz w:val="24"/>
          <w:szCs w:val="24"/>
        </w:rPr>
        <w:t>Conference (MARAC) team and the Adult Triage Team</w:t>
      </w:r>
      <w:r w:rsidR="00630CB1">
        <w:rPr>
          <w:rFonts w:ascii="Arial" w:hAnsi="Arial" w:cs="Arial"/>
          <w:sz w:val="24"/>
          <w:szCs w:val="24"/>
        </w:rPr>
        <w:t>. Further teams are still subject to review.</w:t>
      </w:r>
    </w:p>
    <w:p w14:paraId="7661E124" w14:textId="77777777" w:rsidR="00630CB1" w:rsidRDefault="00630CB1" w:rsidP="00E01FE6">
      <w:pPr>
        <w:pStyle w:val="NoSpacing"/>
        <w:ind w:left="720"/>
        <w:rPr>
          <w:rFonts w:ascii="Arial" w:hAnsi="Arial" w:cs="Arial"/>
          <w:sz w:val="24"/>
          <w:szCs w:val="24"/>
        </w:rPr>
      </w:pPr>
    </w:p>
    <w:p w14:paraId="240719F7" w14:textId="77777777" w:rsidR="00E01FE6" w:rsidRPr="00E01FE6" w:rsidRDefault="00775A8E" w:rsidP="00E01FE6">
      <w:pPr>
        <w:pStyle w:val="NoSpacing"/>
        <w:ind w:left="720"/>
        <w:rPr>
          <w:rFonts w:ascii="Arial" w:hAnsi="Arial" w:cs="Arial"/>
          <w:b/>
          <w:sz w:val="24"/>
          <w:szCs w:val="24"/>
        </w:rPr>
      </w:pPr>
      <w:r>
        <w:rPr>
          <w:rFonts w:ascii="Arial" w:hAnsi="Arial" w:cs="Arial"/>
          <w:sz w:val="24"/>
          <w:szCs w:val="24"/>
        </w:rPr>
        <w:t xml:space="preserve">The audit team are supporting C&amp;PP Command with monitoring </w:t>
      </w:r>
      <w:r w:rsidR="00630CB1">
        <w:rPr>
          <w:rFonts w:ascii="Arial" w:hAnsi="Arial" w:cs="Arial"/>
          <w:sz w:val="24"/>
          <w:szCs w:val="24"/>
        </w:rPr>
        <w:t>compliance whilst they put in place interventions to improve performance</w:t>
      </w:r>
      <w:r>
        <w:rPr>
          <w:rFonts w:ascii="Arial" w:hAnsi="Arial" w:cs="Arial"/>
          <w:sz w:val="24"/>
          <w:szCs w:val="24"/>
        </w:rPr>
        <w:t xml:space="preserve">; positive improvements have </w:t>
      </w:r>
      <w:r w:rsidR="00630CB1">
        <w:rPr>
          <w:rFonts w:ascii="Arial" w:hAnsi="Arial" w:cs="Arial"/>
          <w:sz w:val="24"/>
          <w:szCs w:val="24"/>
        </w:rPr>
        <w:t xml:space="preserve">already </w:t>
      </w:r>
      <w:r>
        <w:rPr>
          <w:rFonts w:ascii="Arial" w:hAnsi="Arial" w:cs="Arial"/>
          <w:sz w:val="24"/>
          <w:szCs w:val="24"/>
        </w:rPr>
        <w:t xml:space="preserve">been identified e.g. the compliance in the Child Triage Team has increased from </w:t>
      </w:r>
      <w:r>
        <w:rPr>
          <w:rFonts w:ascii="Arial" w:hAnsi="Arial" w:cs="Arial"/>
          <w:sz w:val="24"/>
          <w:szCs w:val="24"/>
        </w:rPr>
        <w:lastRenderedPageBreak/>
        <w:t xml:space="preserve">50% in January 2019 to 80% in March 2019. The audit team will continue to support C&amp;PP over the next quarter.    </w:t>
      </w:r>
      <w:r w:rsidR="00E01FE6">
        <w:rPr>
          <w:rFonts w:ascii="Arial" w:hAnsi="Arial" w:cs="Arial"/>
          <w:sz w:val="24"/>
          <w:szCs w:val="24"/>
        </w:rPr>
        <w:t xml:space="preserve"> </w:t>
      </w:r>
      <w:r w:rsidR="00E01FE6">
        <w:rPr>
          <w:rFonts w:ascii="Arial" w:hAnsi="Arial" w:cs="Arial"/>
          <w:b/>
          <w:sz w:val="24"/>
          <w:szCs w:val="24"/>
        </w:rPr>
        <w:t xml:space="preserve"> </w:t>
      </w:r>
    </w:p>
    <w:p w14:paraId="3F7BE42F" w14:textId="77777777" w:rsidR="00083086" w:rsidRDefault="00083086" w:rsidP="004104BE">
      <w:pPr>
        <w:pStyle w:val="NoSpacing"/>
        <w:ind w:firstLine="720"/>
        <w:rPr>
          <w:rFonts w:ascii="Arial" w:hAnsi="Arial" w:cs="Arial"/>
          <w:b/>
          <w:sz w:val="24"/>
          <w:szCs w:val="24"/>
          <w:u w:val="single"/>
        </w:rPr>
      </w:pPr>
    </w:p>
    <w:p w14:paraId="0EEDB58B" w14:textId="77777777" w:rsidR="00630CB1" w:rsidRDefault="000E4E72" w:rsidP="00B21EB4">
      <w:pPr>
        <w:pStyle w:val="NoSpacing"/>
        <w:ind w:left="720"/>
        <w:rPr>
          <w:rFonts w:ascii="Arial" w:hAnsi="Arial" w:cs="Arial"/>
          <w:sz w:val="24"/>
          <w:szCs w:val="24"/>
        </w:rPr>
      </w:pPr>
      <w:r w:rsidRPr="000E4E72">
        <w:rPr>
          <w:rFonts w:ascii="Arial" w:hAnsi="Arial" w:cs="Arial"/>
          <w:b/>
          <w:sz w:val="24"/>
          <w:szCs w:val="24"/>
        </w:rPr>
        <w:t>Summary</w:t>
      </w:r>
      <w:r>
        <w:rPr>
          <w:rFonts w:ascii="Arial" w:hAnsi="Arial" w:cs="Arial"/>
          <w:sz w:val="24"/>
          <w:szCs w:val="24"/>
        </w:rPr>
        <w:t xml:space="preserve"> - </w:t>
      </w:r>
      <w:r w:rsidR="00B21EB4">
        <w:rPr>
          <w:rFonts w:ascii="Arial" w:hAnsi="Arial" w:cs="Arial"/>
          <w:sz w:val="24"/>
          <w:szCs w:val="24"/>
        </w:rPr>
        <w:t>The purpose of the audit team is to assist the force in understanding gaps in crime recording in order to focus efforts to address them. This will ultimately improve the service to the public and ensure the force can be confident in the use of its crime data. The early results represent an encouraging development in this endeavour.</w:t>
      </w:r>
    </w:p>
    <w:p w14:paraId="505A6080" w14:textId="77777777" w:rsidR="00B21EB4" w:rsidRDefault="00B21EB4" w:rsidP="004104BE">
      <w:pPr>
        <w:pStyle w:val="NoSpacing"/>
        <w:ind w:firstLine="720"/>
        <w:rPr>
          <w:rFonts w:ascii="Arial" w:hAnsi="Arial" w:cs="Arial"/>
          <w:b/>
          <w:sz w:val="24"/>
          <w:szCs w:val="24"/>
          <w:u w:val="single"/>
        </w:rPr>
      </w:pPr>
    </w:p>
    <w:p w14:paraId="3634E185" w14:textId="77777777" w:rsidR="002D61A0" w:rsidRDefault="002D61A0" w:rsidP="002D61A0">
      <w:pPr>
        <w:pStyle w:val="NoSpacing"/>
        <w:ind w:firstLine="720"/>
        <w:rPr>
          <w:rFonts w:ascii="Arial" w:hAnsi="Arial" w:cs="Arial"/>
          <w:b/>
          <w:bCs/>
          <w:sz w:val="24"/>
          <w:szCs w:val="24"/>
          <w:u w:val="single"/>
        </w:rPr>
      </w:pPr>
      <w:r>
        <w:rPr>
          <w:rFonts w:ascii="Arial" w:hAnsi="Arial" w:cs="Arial"/>
          <w:b/>
          <w:bCs/>
          <w:sz w:val="24"/>
          <w:szCs w:val="24"/>
          <w:u w:val="single"/>
        </w:rPr>
        <w:t>5.3 Unreported Crime</w:t>
      </w:r>
    </w:p>
    <w:p w14:paraId="25BC8F0C" w14:textId="77777777" w:rsidR="002D61A0" w:rsidRDefault="002D61A0" w:rsidP="002D61A0">
      <w:pPr>
        <w:pStyle w:val="NoSpacing"/>
        <w:ind w:firstLine="720"/>
        <w:rPr>
          <w:rFonts w:ascii="Arial" w:hAnsi="Arial" w:cs="Arial"/>
          <w:b/>
          <w:bCs/>
          <w:sz w:val="24"/>
          <w:szCs w:val="24"/>
          <w:u w:val="single"/>
        </w:rPr>
      </w:pPr>
    </w:p>
    <w:p w14:paraId="4DC89022" w14:textId="77777777" w:rsidR="002D61A0" w:rsidRDefault="002D61A0" w:rsidP="002D61A0">
      <w:pPr>
        <w:pStyle w:val="NoSpacing"/>
        <w:ind w:left="720"/>
        <w:rPr>
          <w:rFonts w:ascii="Arial" w:hAnsi="Arial" w:cs="Arial"/>
          <w:sz w:val="24"/>
          <w:szCs w:val="24"/>
        </w:rPr>
      </w:pPr>
      <w:r>
        <w:rPr>
          <w:rFonts w:ascii="Arial" w:hAnsi="Arial" w:cs="Arial"/>
          <w:sz w:val="24"/>
          <w:szCs w:val="24"/>
        </w:rPr>
        <w:t xml:space="preserve">When considering Essex Police’s crime data accuracy, the force’s focus is on whether the data recorded following a victims report is accurate. Following presentation of the last quarterly report, the Police Fire and Crime Commissioner </w:t>
      </w:r>
      <w:r w:rsidRPr="002D61A0">
        <w:rPr>
          <w:rFonts w:ascii="Arial" w:hAnsi="Arial" w:cs="Arial"/>
          <w:sz w:val="24"/>
          <w:szCs w:val="24"/>
        </w:rPr>
        <w:t>asked</w:t>
      </w:r>
      <w:r>
        <w:rPr>
          <w:rFonts w:ascii="Arial" w:hAnsi="Arial" w:cs="Arial"/>
          <w:sz w:val="24"/>
          <w:szCs w:val="24"/>
        </w:rPr>
        <w:t xml:space="preserve"> if Essex Police</w:t>
      </w:r>
      <w:r w:rsidRPr="002D61A0">
        <w:rPr>
          <w:rFonts w:ascii="Arial" w:hAnsi="Arial" w:cs="Arial"/>
          <w:sz w:val="24"/>
          <w:szCs w:val="24"/>
        </w:rPr>
        <w:t xml:space="preserve"> could establish whether victims</w:t>
      </w:r>
      <w:r>
        <w:rPr>
          <w:rFonts w:ascii="Arial" w:hAnsi="Arial" w:cs="Arial"/>
          <w:sz w:val="24"/>
          <w:szCs w:val="24"/>
        </w:rPr>
        <w:t xml:space="preserve"> of crime were reporting </w:t>
      </w:r>
      <w:r w:rsidRPr="002D61A0">
        <w:rPr>
          <w:rFonts w:ascii="Arial" w:hAnsi="Arial" w:cs="Arial"/>
          <w:sz w:val="24"/>
          <w:szCs w:val="24"/>
        </w:rPr>
        <w:t>to the police.</w:t>
      </w:r>
    </w:p>
    <w:p w14:paraId="224E3ADA" w14:textId="77777777" w:rsidR="002D61A0" w:rsidRDefault="002D61A0" w:rsidP="002D61A0">
      <w:pPr>
        <w:pStyle w:val="NoSpacing"/>
        <w:ind w:left="720"/>
        <w:rPr>
          <w:rFonts w:ascii="Arial" w:hAnsi="Arial" w:cs="Arial"/>
          <w:sz w:val="24"/>
          <w:szCs w:val="24"/>
        </w:rPr>
      </w:pPr>
    </w:p>
    <w:p w14:paraId="2E347026" w14:textId="77777777" w:rsidR="002D61A0" w:rsidRPr="002D61A0" w:rsidRDefault="002D61A0" w:rsidP="000E4E72">
      <w:pPr>
        <w:pStyle w:val="NoSpacing"/>
        <w:ind w:left="720"/>
        <w:rPr>
          <w:rFonts w:ascii="Arial" w:hAnsi="Arial" w:cs="Arial"/>
          <w:sz w:val="24"/>
          <w:szCs w:val="24"/>
        </w:rPr>
      </w:pPr>
      <w:r w:rsidRPr="002D61A0">
        <w:rPr>
          <w:rFonts w:ascii="Arial" w:hAnsi="Arial" w:cs="Arial"/>
          <w:sz w:val="24"/>
          <w:szCs w:val="24"/>
        </w:rPr>
        <w:t xml:space="preserve">Questions in the </w:t>
      </w:r>
      <w:r>
        <w:rPr>
          <w:rFonts w:ascii="Arial" w:hAnsi="Arial" w:cs="Arial"/>
          <w:sz w:val="24"/>
          <w:szCs w:val="24"/>
        </w:rPr>
        <w:t>Public Perception Survey</w:t>
      </w:r>
      <w:r w:rsidRPr="002D61A0">
        <w:rPr>
          <w:rFonts w:ascii="Arial" w:hAnsi="Arial" w:cs="Arial"/>
          <w:sz w:val="24"/>
          <w:szCs w:val="24"/>
        </w:rPr>
        <w:t xml:space="preserve"> and User Experience Survey</w:t>
      </w:r>
      <w:r>
        <w:rPr>
          <w:rFonts w:ascii="Arial" w:hAnsi="Arial" w:cs="Arial"/>
          <w:sz w:val="24"/>
          <w:szCs w:val="24"/>
        </w:rPr>
        <w:t xml:space="preserve"> </w:t>
      </w:r>
      <w:r w:rsidRPr="002D61A0">
        <w:rPr>
          <w:rFonts w:ascii="Arial" w:hAnsi="Arial" w:cs="Arial"/>
          <w:sz w:val="24"/>
          <w:szCs w:val="24"/>
        </w:rPr>
        <w:t xml:space="preserve">ask respondents whether </w:t>
      </w:r>
      <w:r>
        <w:rPr>
          <w:rFonts w:ascii="Arial" w:hAnsi="Arial" w:cs="Arial"/>
          <w:sz w:val="24"/>
          <w:szCs w:val="24"/>
        </w:rPr>
        <w:t>they had been a victim of crime or anti-social behaviour (ASB)</w:t>
      </w:r>
      <w:r w:rsidRPr="002D61A0">
        <w:rPr>
          <w:rFonts w:ascii="Arial" w:hAnsi="Arial" w:cs="Arial"/>
          <w:sz w:val="24"/>
          <w:szCs w:val="24"/>
        </w:rPr>
        <w:t xml:space="preserve"> in the last two years and whether they reported the matter to the police</w:t>
      </w:r>
      <w:r>
        <w:rPr>
          <w:rFonts w:ascii="Arial" w:hAnsi="Arial" w:cs="Arial"/>
          <w:sz w:val="24"/>
          <w:szCs w:val="24"/>
        </w:rPr>
        <w:t xml:space="preserve">. </w:t>
      </w:r>
      <w:r w:rsidRPr="002D61A0">
        <w:rPr>
          <w:rFonts w:ascii="Arial" w:hAnsi="Arial" w:cs="Arial"/>
          <w:sz w:val="24"/>
          <w:szCs w:val="24"/>
        </w:rPr>
        <w:t>For the 12 months ending December 2018, there were 7725 respondents to the survey and 12% (983) self-reported as a victim of crime in the last two years. This is comparable with the victim response rate for the C</w:t>
      </w:r>
      <w:r>
        <w:rPr>
          <w:rFonts w:ascii="Arial" w:hAnsi="Arial" w:cs="Arial"/>
          <w:sz w:val="24"/>
          <w:szCs w:val="24"/>
        </w:rPr>
        <w:t xml:space="preserve">rime </w:t>
      </w:r>
      <w:r w:rsidRPr="002D61A0">
        <w:rPr>
          <w:rFonts w:ascii="Arial" w:hAnsi="Arial" w:cs="Arial"/>
          <w:sz w:val="24"/>
          <w:szCs w:val="24"/>
        </w:rPr>
        <w:t>S</w:t>
      </w:r>
      <w:r>
        <w:rPr>
          <w:rFonts w:ascii="Arial" w:hAnsi="Arial" w:cs="Arial"/>
          <w:sz w:val="24"/>
          <w:szCs w:val="24"/>
        </w:rPr>
        <w:t xml:space="preserve">urvey of </w:t>
      </w:r>
      <w:r w:rsidRPr="002D61A0">
        <w:rPr>
          <w:rFonts w:ascii="Arial" w:hAnsi="Arial" w:cs="Arial"/>
          <w:sz w:val="24"/>
          <w:szCs w:val="24"/>
        </w:rPr>
        <w:t>E</w:t>
      </w:r>
      <w:r>
        <w:rPr>
          <w:rFonts w:ascii="Arial" w:hAnsi="Arial" w:cs="Arial"/>
          <w:sz w:val="24"/>
          <w:szCs w:val="24"/>
        </w:rPr>
        <w:t xml:space="preserve">ngland and </w:t>
      </w:r>
      <w:r w:rsidRPr="002D61A0">
        <w:rPr>
          <w:rFonts w:ascii="Arial" w:hAnsi="Arial" w:cs="Arial"/>
          <w:sz w:val="24"/>
          <w:szCs w:val="24"/>
        </w:rPr>
        <w:t>W</w:t>
      </w:r>
      <w:r>
        <w:rPr>
          <w:rFonts w:ascii="Arial" w:hAnsi="Arial" w:cs="Arial"/>
          <w:sz w:val="24"/>
          <w:szCs w:val="24"/>
        </w:rPr>
        <w:t>ales</w:t>
      </w:r>
      <w:r w:rsidRPr="002D61A0">
        <w:rPr>
          <w:rFonts w:ascii="Arial" w:hAnsi="Arial" w:cs="Arial"/>
          <w:sz w:val="24"/>
          <w:szCs w:val="24"/>
        </w:rPr>
        <w:t xml:space="preserve"> Survey. Of the 983 who self-reported as a victim of crime, 83% (817) </w:t>
      </w:r>
      <w:r>
        <w:rPr>
          <w:rFonts w:ascii="Arial" w:hAnsi="Arial" w:cs="Arial"/>
          <w:sz w:val="24"/>
          <w:szCs w:val="24"/>
        </w:rPr>
        <w:t xml:space="preserve">state that they </w:t>
      </w:r>
      <w:r w:rsidRPr="002D61A0">
        <w:rPr>
          <w:rFonts w:ascii="Arial" w:hAnsi="Arial" w:cs="Arial"/>
          <w:sz w:val="24"/>
          <w:szCs w:val="24"/>
        </w:rPr>
        <w:t>reported their crime/ASB to the police.</w:t>
      </w:r>
    </w:p>
    <w:p w14:paraId="2CBF2910" w14:textId="77777777" w:rsidR="002D61A0" w:rsidRDefault="002D61A0" w:rsidP="002D61A0">
      <w:pPr>
        <w:pStyle w:val="NoSpacing"/>
        <w:rPr>
          <w:rFonts w:ascii="Calibri" w:hAnsi="Calibri" w:cs="Calibri"/>
          <w:color w:val="1F497D"/>
        </w:rPr>
      </w:pPr>
    </w:p>
    <w:p w14:paraId="3C971AB0" w14:textId="77777777" w:rsidR="002D61A0" w:rsidRDefault="002D61A0" w:rsidP="002D61A0">
      <w:pPr>
        <w:pStyle w:val="NoSpacing"/>
        <w:ind w:left="720"/>
        <w:rPr>
          <w:rFonts w:ascii="Arial" w:hAnsi="Arial" w:cs="Arial"/>
          <w:sz w:val="24"/>
          <w:szCs w:val="24"/>
        </w:rPr>
      </w:pPr>
      <w:r>
        <w:rPr>
          <w:rFonts w:ascii="Arial" w:hAnsi="Arial" w:cs="Arial"/>
          <w:sz w:val="24"/>
          <w:szCs w:val="24"/>
        </w:rPr>
        <w:t xml:space="preserve">Chart 2 shows these levels have </w:t>
      </w:r>
      <w:r w:rsidRPr="002D61A0">
        <w:rPr>
          <w:rFonts w:ascii="Arial" w:hAnsi="Arial" w:cs="Arial"/>
          <w:sz w:val="24"/>
          <w:szCs w:val="24"/>
        </w:rPr>
        <w:t>been consistent since the survey began.</w:t>
      </w:r>
      <w:r>
        <w:rPr>
          <w:rFonts w:ascii="Arial" w:hAnsi="Arial" w:cs="Arial"/>
          <w:sz w:val="24"/>
          <w:szCs w:val="24"/>
        </w:rPr>
        <w:t xml:space="preserve"> </w:t>
      </w:r>
    </w:p>
    <w:p w14:paraId="0BE79D8B" w14:textId="77777777" w:rsidR="002D61A0" w:rsidRDefault="002D61A0" w:rsidP="002D61A0">
      <w:pPr>
        <w:pStyle w:val="NoSpacing"/>
        <w:ind w:left="720"/>
        <w:rPr>
          <w:rFonts w:ascii="Arial" w:hAnsi="Arial" w:cs="Arial"/>
          <w:sz w:val="24"/>
          <w:szCs w:val="24"/>
        </w:rPr>
      </w:pPr>
    </w:p>
    <w:p w14:paraId="4F939B89" w14:textId="77777777" w:rsidR="002D61A0" w:rsidRDefault="002D61A0" w:rsidP="002D61A0">
      <w:pPr>
        <w:pStyle w:val="NoSpacing"/>
        <w:ind w:left="720"/>
        <w:rPr>
          <w:rFonts w:ascii="Arial" w:hAnsi="Arial" w:cs="Arial"/>
          <w:sz w:val="24"/>
          <w:szCs w:val="24"/>
        </w:rPr>
      </w:pPr>
      <w:r>
        <w:rPr>
          <w:noProof/>
          <w:lang w:eastAsia="en-GB"/>
        </w:rPr>
        <w:drawing>
          <wp:inline distT="0" distB="0" distL="0" distR="0" wp14:anchorId="3DAA9E85" wp14:editId="55902829">
            <wp:extent cx="5052060" cy="3169920"/>
            <wp:effectExtent l="0" t="0" r="0" b="0"/>
            <wp:docPr id="3" name="Picture 3" descr="cid:image001.png@01D4F03C.BDAA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F03C.BDAAAC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52060" cy="3169920"/>
                    </a:xfrm>
                    <a:prstGeom prst="rect">
                      <a:avLst/>
                    </a:prstGeom>
                    <a:noFill/>
                    <a:ln>
                      <a:noFill/>
                    </a:ln>
                  </pic:spPr>
                </pic:pic>
              </a:graphicData>
            </a:graphic>
          </wp:inline>
        </w:drawing>
      </w:r>
    </w:p>
    <w:p w14:paraId="6CC2BFE4" w14:textId="77777777" w:rsidR="002D61A0" w:rsidRDefault="002D61A0" w:rsidP="002D61A0">
      <w:pPr>
        <w:pStyle w:val="NoSpacing"/>
        <w:ind w:left="720"/>
        <w:rPr>
          <w:rFonts w:ascii="Arial" w:hAnsi="Arial" w:cs="Arial"/>
          <w:sz w:val="20"/>
          <w:szCs w:val="20"/>
        </w:rPr>
      </w:pPr>
      <w:r>
        <w:rPr>
          <w:rFonts w:ascii="Arial" w:hAnsi="Arial" w:cs="Arial"/>
          <w:sz w:val="20"/>
          <w:szCs w:val="20"/>
        </w:rPr>
        <w:t>Chart 2 – Public perception survey – crime reporting</w:t>
      </w:r>
    </w:p>
    <w:p w14:paraId="064887F7" w14:textId="77777777" w:rsidR="002D61A0" w:rsidRDefault="002D61A0" w:rsidP="002D61A0">
      <w:pPr>
        <w:pStyle w:val="NoSpacing"/>
        <w:ind w:left="720"/>
        <w:rPr>
          <w:rFonts w:ascii="Arial" w:hAnsi="Arial" w:cs="Arial"/>
          <w:sz w:val="20"/>
          <w:szCs w:val="20"/>
        </w:rPr>
      </w:pPr>
    </w:p>
    <w:p w14:paraId="392339FF" w14:textId="77777777" w:rsidR="00F601BD" w:rsidRDefault="00F601BD" w:rsidP="00F601BD">
      <w:pPr>
        <w:pStyle w:val="NoSpacing"/>
        <w:ind w:left="720"/>
        <w:rPr>
          <w:rFonts w:ascii="Arial" w:hAnsi="Arial" w:cs="Arial"/>
          <w:sz w:val="24"/>
          <w:szCs w:val="24"/>
        </w:rPr>
      </w:pPr>
      <w:r w:rsidRPr="00F601BD">
        <w:rPr>
          <w:rFonts w:ascii="Arial" w:hAnsi="Arial" w:cs="Arial"/>
          <w:sz w:val="24"/>
          <w:szCs w:val="24"/>
        </w:rPr>
        <w:t xml:space="preserve">Further work is taking place by the Head of Public Engagement &amp; Customer Service working with the independent research company SMSR </w:t>
      </w:r>
      <w:r>
        <w:rPr>
          <w:rFonts w:ascii="Arial" w:hAnsi="Arial" w:cs="Arial"/>
          <w:sz w:val="24"/>
          <w:szCs w:val="24"/>
        </w:rPr>
        <w:t xml:space="preserve">to analyse the insight from the results, in particular whether any conclusions can be drawn about the reporting rates for different crime types and for victims with different characteristics. </w:t>
      </w:r>
    </w:p>
    <w:p w14:paraId="115E37C2" w14:textId="77777777" w:rsidR="00F12626" w:rsidRDefault="00F12626" w:rsidP="00F12626">
      <w:pPr>
        <w:pStyle w:val="NoSpacing"/>
        <w:rPr>
          <w:rFonts w:ascii="Arial" w:hAnsi="Arial" w:cs="Arial"/>
          <w:b/>
          <w:sz w:val="24"/>
          <w:szCs w:val="24"/>
          <w:u w:val="single"/>
        </w:rPr>
      </w:pPr>
    </w:p>
    <w:p w14:paraId="668DB51D" w14:textId="77777777" w:rsidR="00042AF6" w:rsidRDefault="00630CB1" w:rsidP="004104BE">
      <w:pPr>
        <w:pStyle w:val="NoSpacing"/>
        <w:ind w:firstLine="720"/>
        <w:rPr>
          <w:rFonts w:ascii="Arial" w:hAnsi="Arial" w:cs="Arial"/>
          <w:b/>
          <w:sz w:val="24"/>
          <w:szCs w:val="24"/>
          <w:u w:val="single"/>
        </w:rPr>
      </w:pPr>
      <w:r>
        <w:rPr>
          <w:rFonts w:ascii="Arial" w:hAnsi="Arial" w:cs="Arial"/>
          <w:b/>
          <w:sz w:val="24"/>
          <w:szCs w:val="24"/>
          <w:u w:val="single"/>
        </w:rPr>
        <w:t>5.3</w:t>
      </w:r>
      <w:r w:rsidR="00A91612">
        <w:rPr>
          <w:rFonts w:ascii="Arial" w:hAnsi="Arial" w:cs="Arial"/>
          <w:b/>
          <w:sz w:val="24"/>
          <w:szCs w:val="24"/>
          <w:u w:val="single"/>
        </w:rPr>
        <w:t xml:space="preserve"> Crime Data Accuracy Improvement Plan</w:t>
      </w:r>
    </w:p>
    <w:p w14:paraId="6569F6BE" w14:textId="77777777" w:rsidR="00042AF6" w:rsidRPr="007D3E9B" w:rsidRDefault="00042AF6" w:rsidP="004104BE">
      <w:pPr>
        <w:pStyle w:val="NoSpacing"/>
        <w:rPr>
          <w:rFonts w:ascii="Arial" w:hAnsi="Arial" w:cs="Arial"/>
          <w:b/>
          <w:sz w:val="24"/>
          <w:szCs w:val="24"/>
          <w:u w:val="single"/>
        </w:rPr>
      </w:pPr>
    </w:p>
    <w:p w14:paraId="2D2BD5BB" w14:textId="77777777" w:rsidR="00A91612" w:rsidRDefault="000E4E72" w:rsidP="004104BE">
      <w:pPr>
        <w:pStyle w:val="NoSpacing"/>
        <w:ind w:left="709"/>
        <w:rPr>
          <w:rFonts w:ascii="Arial" w:hAnsi="Arial" w:cs="Arial"/>
          <w:sz w:val="24"/>
          <w:szCs w:val="24"/>
        </w:rPr>
      </w:pPr>
      <w:r>
        <w:rPr>
          <w:rFonts w:ascii="Arial" w:hAnsi="Arial" w:cs="Arial"/>
          <w:sz w:val="24"/>
          <w:szCs w:val="24"/>
        </w:rPr>
        <w:t>The CDA Improvement Plan was introduced</w:t>
      </w:r>
      <w:r w:rsidR="00630CB1">
        <w:rPr>
          <w:rFonts w:ascii="Arial" w:hAnsi="Arial" w:cs="Arial"/>
          <w:sz w:val="24"/>
          <w:szCs w:val="24"/>
        </w:rPr>
        <w:t xml:space="preserve"> in the</w:t>
      </w:r>
      <w:r>
        <w:rPr>
          <w:rFonts w:ascii="Arial" w:hAnsi="Arial" w:cs="Arial"/>
          <w:sz w:val="24"/>
          <w:szCs w:val="24"/>
        </w:rPr>
        <w:t xml:space="preserve"> </w:t>
      </w:r>
      <w:r w:rsidR="00630CB1">
        <w:rPr>
          <w:rFonts w:ascii="Arial" w:hAnsi="Arial" w:cs="Arial"/>
          <w:sz w:val="24"/>
          <w:szCs w:val="24"/>
        </w:rPr>
        <w:t xml:space="preserve">last </w:t>
      </w:r>
      <w:r>
        <w:rPr>
          <w:rFonts w:ascii="Arial" w:hAnsi="Arial" w:cs="Arial"/>
          <w:sz w:val="24"/>
          <w:szCs w:val="24"/>
        </w:rPr>
        <w:t xml:space="preserve">quarterly </w:t>
      </w:r>
      <w:r w:rsidR="00630CB1">
        <w:rPr>
          <w:rFonts w:ascii="Arial" w:hAnsi="Arial" w:cs="Arial"/>
          <w:sz w:val="24"/>
          <w:szCs w:val="24"/>
        </w:rPr>
        <w:t>report. The following are the key updates from the last quarter.</w:t>
      </w:r>
    </w:p>
    <w:p w14:paraId="05B32055" w14:textId="77777777" w:rsidR="00630CB1" w:rsidRDefault="00630CB1" w:rsidP="004104BE">
      <w:pPr>
        <w:pStyle w:val="NoSpacing"/>
        <w:ind w:left="709"/>
        <w:rPr>
          <w:rFonts w:ascii="Arial" w:hAnsi="Arial" w:cs="Arial"/>
          <w:sz w:val="24"/>
          <w:szCs w:val="24"/>
        </w:rPr>
      </w:pPr>
    </w:p>
    <w:p w14:paraId="43EC159A" w14:textId="63E0FF62" w:rsidR="00630CB1" w:rsidRPr="008953CA" w:rsidRDefault="00630CB1" w:rsidP="008953CA">
      <w:pPr>
        <w:pStyle w:val="NoSpacing"/>
        <w:ind w:left="709"/>
        <w:rPr>
          <w:rFonts w:ascii="Arial" w:hAnsi="Arial" w:cs="Arial"/>
          <w:b/>
          <w:sz w:val="24"/>
          <w:szCs w:val="24"/>
        </w:rPr>
      </w:pPr>
      <w:r w:rsidRPr="00630CB1">
        <w:rPr>
          <w:rFonts w:ascii="Arial" w:hAnsi="Arial" w:cs="Arial"/>
          <w:b/>
          <w:sz w:val="24"/>
          <w:szCs w:val="24"/>
        </w:rPr>
        <w:t>Learning &amp; Development</w:t>
      </w:r>
      <w:r>
        <w:rPr>
          <w:rFonts w:ascii="Arial" w:hAnsi="Arial" w:cs="Arial"/>
          <w:b/>
          <w:sz w:val="24"/>
          <w:szCs w:val="24"/>
        </w:rPr>
        <w:t xml:space="preserve"> </w:t>
      </w:r>
      <w:r w:rsidR="008953CA">
        <w:rPr>
          <w:rFonts w:ascii="Arial" w:hAnsi="Arial" w:cs="Arial"/>
          <w:b/>
          <w:sz w:val="24"/>
          <w:szCs w:val="24"/>
        </w:rPr>
        <w:t xml:space="preserve">– </w:t>
      </w:r>
      <w:r w:rsidR="008953CA" w:rsidRPr="008953CA">
        <w:rPr>
          <w:rFonts w:ascii="Arial" w:hAnsi="Arial" w:cs="Arial"/>
          <w:sz w:val="24"/>
          <w:szCs w:val="24"/>
        </w:rPr>
        <w:t>The</w:t>
      </w:r>
      <w:r w:rsidR="00CD1DFE" w:rsidRPr="008953CA">
        <w:rPr>
          <w:rFonts w:ascii="Arial" w:hAnsi="Arial" w:cs="Arial"/>
          <w:sz w:val="24"/>
          <w:szCs w:val="24"/>
        </w:rPr>
        <w:t xml:space="preserve"> </w:t>
      </w:r>
      <w:r w:rsidR="00CD1DFE">
        <w:rPr>
          <w:rFonts w:ascii="Arial" w:hAnsi="Arial" w:cs="Arial"/>
          <w:sz w:val="24"/>
          <w:szCs w:val="24"/>
        </w:rPr>
        <w:t xml:space="preserve">following table shows </w:t>
      </w:r>
      <w:r w:rsidR="004F4420">
        <w:rPr>
          <w:rFonts w:ascii="Arial" w:hAnsi="Arial" w:cs="Arial"/>
          <w:sz w:val="24"/>
          <w:szCs w:val="24"/>
        </w:rPr>
        <w:t xml:space="preserve">the total </w:t>
      </w:r>
      <w:r w:rsidR="008953CA">
        <w:rPr>
          <w:rFonts w:ascii="Arial" w:hAnsi="Arial" w:cs="Arial"/>
          <w:sz w:val="24"/>
          <w:szCs w:val="24"/>
        </w:rPr>
        <w:t xml:space="preserve">completion rates of the main CDA courses </w:t>
      </w:r>
      <w:r w:rsidR="004F4420">
        <w:rPr>
          <w:rFonts w:ascii="Arial" w:hAnsi="Arial" w:cs="Arial"/>
          <w:sz w:val="24"/>
          <w:szCs w:val="24"/>
        </w:rPr>
        <w:t>so far. The last column shows the numbers of these staff who have been trained in the last quarter.</w:t>
      </w:r>
    </w:p>
    <w:p w14:paraId="53057BAD" w14:textId="77777777" w:rsidR="008953CA" w:rsidRDefault="008953CA" w:rsidP="004104BE">
      <w:pPr>
        <w:pStyle w:val="NoSpacing"/>
        <w:ind w:left="709"/>
        <w:rPr>
          <w:rFonts w:ascii="Arial" w:hAnsi="Arial" w:cs="Arial"/>
          <w:sz w:val="24"/>
          <w:szCs w:val="24"/>
        </w:rPr>
      </w:pPr>
    </w:p>
    <w:p w14:paraId="146687AC" w14:textId="43D168FB" w:rsidR="008953CA" w:rsidRDefault="004F4420" w:rsidP="004104BE">
      <w:pPr>
        <w:pStyle w:val="NoSpacing"/>
        <w:ind w:left="709"/>
        <w:rPr>
          <w:rFonts w:ascii="Arial" w:hAnsi="Arial" w:cs="Arial"/>
          <w:sz w:val="24"/>
          <w:szCs w:val="24"/>
        </w:rPr>
      </w:pPr>
      <w:r w:rsidRPr="004F4420">
        <w:rPr>
          <w:noProof/>
          <w:lang w:eastAsia="en-GB"/>
        </w:rPr>
        <w:lastRenderedPageBreak/>
        <w:drawing>
          <wp:inline distT="0" distB="0" distL="0" distR="0" wp14:anchorId="12CBFE7A" wp14:editId="35E6A7D7">
            <wp:extent cx="5214938" cy="2085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546" cy="2088218"/>
                    </a:xfrm>
                    <a:prstGeom prst="rect">
                      <a:avLst/>
                    </a:prstGeom>
                    <a:noFill/>
                    <a:ln>
                      <a:noFill/>
                    </a:ln>
                  </pic:spPr>
                </pic:pic>
              </a:graphicData>
            </a:graphic>
          </wp:inline>
        </w:drawing>
      </w:r>
    </w:p>
    <w:p w14:paraId="3C6F9392" w14:textId="77777777" w:rsidR="00CD1DFE" w:rsidRPr="00517A15" w:rsidRDefault="00517A15" w:rsidP="004104BE">
      <w:pPr>
        <w:pStyle w:val="NoSpacing"/>
        <w:ind w:left="709"/>
        <w:rPr>
          <w:rFonts w:ascii="Arial" w:hAnsi="Arial" w:cs="Arial"/>
          <w:sz w:val="20"/>
          <w:szCs w:val="24"/>
        </w:rPr>
      </w:pPr>
      <w:r w:rsidRPr="00517A15">
        <w:rPr>
          <w:rFonts w:ascii="Arial" w:hAnsi="Arial" w:cs="Arial"/>
          <w:sz w:val="20"/>
          <w:szCs w:val="24"/>
        </w:rPr>
        <w:t>Table 2 – Overview of CDA Training Courses</w:t>
      </w:r>
    </w:p>
    <w:p w14:paraId="1F7D29D3" w14:textId="77777777" w:rsidR="009C1376" w:rsidRDefault="009C1376" w:rsidP="004104BE">
      <w:pPr>
        <w:pStyle w:val="NoSpacing"/>
        <w:ind w:left="709"/>
        <w:rPr>
          <w:rFonts w:ascii="Arial" w:hAnsi="Arial" w:cs="Arial"/>
          <w:sz w:val="24"/>
          <w:szCs w:val="24"/>
        </w:rPr>
      </w:pPr>
    </w:p>
    <w:p w14:paraId="1FBA38B4" w14:textId="77777777" w:rsidR="00F11EC1" w:rsidRDefault="00F11EC1" w:rsidP="00F11EC1">
      <w:pPr>
        <w:pStyle w:val="NoSpacing"/>
        <w:ind w:left="709"/>
        <w:rPr>
          <w:rFonts w:ascii="Arial" w:hAnsi="Arial" w:cs="Arial"/>
          <w:sz w:val="24"/>
          <w:szCs w:val="24"/>
        </w:rPr>
      </w:pPr>
      <w:r>
        <w:rPr>
          <w:rFonts w:ascii="Arial" w:hAnsi="Arial" w:cs="Arial"/>
          <w:sz w:val="24"/>
          <w:szCs w:val="24"/>
        </w:rPr>
        <w:t>In addition to the provision of the above courses, the training team are delivering short inputs as part of other existing courses and assisting with other ad-hoc CDA training when the need arises.</w:t>
      </w:r>
    </w:p>
    <w:p w14:paraId="461E1BF2" w14:textId="77777777" w:rsidR="00F11EC1" w:rsidRDefault="00F11EC1" w:rsidP="00F11EC1">
      <w:pPr>
        <w:pStyle w:val="NoSpacing"/>
        <w:ind w:left="709"/>
        <w:rPr>
          <w:rFonts w:ascii="Arial" w:hAnsi="Arial" w:cs="Arial"/>
          <w:sz w:val="24"/>
          <w:szCs w:val="24"/>
        </w:rPr>
      </w:pPr>
    </w:p>
    <w:p w14:paraId="0C22E27E" w14:textId="77777777" w:rsidR="00F11EC1" w:rsidRDefault="00F11EC1" w:rsidP="00F11EC1">
      <w:pPr>
        <w:pStyle w:val="NoSpacing"/>
        <w:ind w:left="709"/>
        <w:rPr>
          <w:rFonts w:ascii="Arial" w:hAnsi="Arial" w:cs="Arial"/>
          <w:sz w:val="24"/>
          <w:szCs w:val="24"/>
        </w:rPr>
      </w:pPr>
      <w:r>
        <w:rPr>
          <w:rFonts w:ascii="Arial" w:hAnsi="Arial" w:cs="Arial"/>
          <w:sz w:val="24"/>
          <w:szCs w:val="24"/>
        </w:rPr>
        <w:t>In the last quarter, the training team have finalised an eLearning package focussed on the recording of rape crimes that will be mandated for public protection staff. In addition the team have commenced work on another eLearning package that deals with the most common errors for crime recording</w:t>
      </w:r>
      <w:r w:rsidR="00E454B0">
        <w:rPr>
          <w:rFonts w:ascii="Arial" w:hAnsi="Arial" w:cs="Arial"/>
          <w:sz w:val="24"/>
          <w:szCs w:val="24"/>
        </w:rPr>
        <w:t xml:space="preserve"> which will be completed by all frontline staff</w:t>
      </w:r>
      <w:r>
        <w:rPr>
          <w:rFonts w:ascii="Arial" w:hAnsi="Arial" w:cs="Arial"/>
          <w:sz w:val="24"/>
          <w:szCs w:val="24"/>
        </w:rPr>
        <w:t xml:space="preserve">.  </w:t>
      </w:r>
    </w:p>
    <w:p w14:paraId="3157AB81" w14:textId="77777777" w:rsidR="00F11EC1" w:rsidRDefault="00F11EC1" w:rsidP="00F11EC1">
      <w:pPr>
        <w:pStyle w:val="NoSpacing"/>
        <w:ind w:left="709"/>
        <w:rPr>
          <w:rFonts w:ascii="Arial" w:hAnsi="Arial" w:cs="Arial"/>
          <w:sz w:val="24"/>
          <w:szCs w:val="24"/>
        </w:rPr>
      </w:pPr>
    </w:p>
    <w:p w14:paraId="0B5B4264" w14:textId="77777777" w:rsidR="00F11EC1" w:rsidRDefault="00F11EC1" w:rsidP="00F11EC1">
      <w:pPr>
        <w:pStyle w:val="NoSpacing"/>
        <w:ind w:left="709"/>
        <w:rPr>
          <w:rFonts w:ascii="Arial" w:hAnsi="Arial" w:cs="Arial"/>
          <w:sz w:val="24"/>
          <w:szCs w:val="24"/>
        </w:rPr>
      </w:pPr>
      <w:r>
        <w:rPr>
          <w:rFonts w:ascii="Arial" w:hAnsi="Arial" w:cs="Arial"/>
          <w:sz w:val="24"/>
          <w:szCs w:val="24"/>
        </w:rPr>
        <w:t xml:space="preserve">At the April 2019 Crime Data Accuracy Board, it was agreed that the amount of CDA training received by probationers should be increased, this change will be introduced from </w:t>
      </w:r>
      <w:r w:rsidR="00E454B0">
        <w:rPr>
          <w:rFonts w:ascii="Arial" w:hAnsi="Arial" w:cs="Arial"/>
          <w:sz w:val="24"/>
          <w:szCs w:val="24"/>
        </w:rPr>
        <w:t xml:space="preserve">the intake starting in </w:t>
      </w:r>
      <w:r>
        <w:rPr>
          <w:rFonts w:ascii="Arial" w:hAnsi="Arial" w:cs="Arial"/>
          <w:sz w:val="24"/>
          <w:szCs w:val="24"/>
        </w:rPr>
        <w:t>May 2019. It was also agreed at the board that CDA training should form one of the first modules for LPT officers as part of the</w:t>
      </w:r>
      <w:r w:rsidR="00E454B0">
        <w:rPr>
          <w:rFonts w:ascii="Arial" w:hAnsi="Arial" w:cs="Arial"/>
          <w:sz w:val="24"/>
          <w:szCs w:val="24"/>
        </w:rPr>
        <w:t xml:space="preserve"> new training days resulting from the shift pattern change</w:t>
      </w:r>
      <w:r>
        <w:rPr>
          <w:rFonts w:ascii="Arial" w:hAnsi="Arial" w:cs="Arial"/>
          <w:sz w:val="24"/>
          <w:szCs w:val="24"/>
        </w:rPr>
        <w:t>.</w:t>
      </w:r>
    </w:p>
    <w:p w14:paraId="470EB797" w14:textId="77777777" w:rsidR="00A91612" w:rsidRPr="00A91612" w:rsidRDefault="00A91612" w:rsidP="004104BE">
      <w:pPr>
        <w:pStyle w:val="NoSpacing"/>
        <w:ind w:left="709"/>
        <w:rPr>
          <w:rFonts w:ascii="Arial" w:hAnsi="Arial" w:cs="Arial"/>
          <w:sz w:val="24"/>
          <w:szCs w:val="24"/>
        </w:rPr>
      </w:pPr>
    </w:p>
    <w:p w14:paraId="1AA5FDB7" w14:textId="77777777" w:rsidR="00A91612" w:rsidRPr="00A91612" w:rsidRDefault="00A91612" w:rsidP="00630CB1">
      <w:pPr>
        <w:pStyle w:val="NoSpacing"/>
        <w:rPr>
          <w:rFonts w:ascii="Arial" w:hAnsi="Arial" w:cs="Arial"/>
          <w:sz w:val="24"/>
          <w:szCs w:val="24"/>
        </w:rPr>
      </w:pPr>
    </w:p>
    <w:p w14:paraId="6D03117F" w14:textId="77777777" w:rsidR="00A91612" w:rsidRDefault="00A91612" w:rsidP="00CB01CF">
      <w:pPr>
        <w:pStyle w:val="NoSpacing"/>
        <w:ind w:left="709"/>
        <w:rPr>
          <w:rFonts w:ascii="Arial" w:hAnsi="Arial" w:cs="Arial"/>
          <w:sz w:val="24"/>
          <w:szCs w:val="24"/>
        </w:rPr>
      </w:pPr>
      <w:r w:rsidRPr="00583AC4">
        <w:rPr>
          <w:rFonts w:ascii="Arial" w:hAnsi="Arial" w:cs="Arial"/>
          <w:b/>
          <w:sz w:val="24"/>
          <w:szCs w:val="24"/>
        </w:rPr>
        <w:t>NCRS Support and Review Team (NSRT</w:t>
      </w:r>
      <w:r w:rsidRPr="00A91612">
        <w:rPr>
          <w:rFonts w:ascii="Arial" w:hAnsi="Arial" w:cs="Arial"/>
          <w:sz w:val="24"/>
          <w:szCs w:val="24"/>
        </w:rPr>
        <w:t xml:space="preserve">) – </w:t>
      </w:r>
      <w:r w:rsidR="00CB01CF">
        <w:rPr>
          <w:rFonts w:ascii="Arial" w:hAnsi="Arial" w:cs="Arial"/>
          <w:sz w:val="24"/>
          <w:szCs w:val="24"/>
        </w:rPr>
        <w:t xml:space="preserve">The last report explained the role of the NSRT in detail. In summary, the team exist to provide a frontline support and </w:t>
      </w:r>
      <w:r w:rsidR="000E4E72">
        <w:rPr>
          <w:rFonts w:ascii="Arial" w:hAnsi="Arial" w:cs="Arial"/>
          <w:sz w:val="24"/>
          <w:szCs w:val="24"/>
        </w:rPr>
        <w:t xml:space="preserve">quality assurance (QA) </w:t>
      </w:r>
      <w:r w:rsidR="00CB01CF">
        <w:rPr>
          <w:rFonts w:ascii="Arial" w:hAnsi="Arial" w:cs="Arial"/>
          <w:sz w:val="24"/>
          <w:szCs w:val="24"/>
        </w:rPr>
        <w:t xml:space="preserve">function whilst the </w:t>
      </w:r>
      <w:r w:rsidR="00CB01CF">
        <w:rPr>
          <w:rFonts w:ascii="Arial" w:hAnsi="Arial" w:cs="Arial"/>
          <w:sz w:val="24"/>
          <w:szCs w:val="24"/>
        </w:rPr>
        <w:lastRenderedPageBreak/>
        <w:t>force improves CDA. The</w:t>
      </w:r>
      <w:r w:rsidR="000E4E72">
        <w:rPr>
          <w:rFonts w:ascii="Arial" w:hAnsi="Arial" w:cs="Arial"/>
          <w:sz w:val="24"/>
          <w:szCs w:val="24"/>
        </w:rPr>
        <w:t xml:space="preserve"> QA function focusses on </w:t>
      </w:r>
      <w:r w:rsidR="00CB01CF">
        <w:rPr>
          <w:rFonts w:ascii="Arial" w:hAnsi="Arial" w:cs="Arial"/>
          <w:sz w:val="24"/>
          <w:szCs w:val="24"/>
        </w:rPr>
        <w:t>crime incidents that have not resulted in the recording of a crime</w:t>
      </w:r>
      <w:r w:rsidR="00494722">
        <w:rPr>
          <w:rFonts w:ascii="Arial" w:hAnsi="Arial" w:cs="Arial"/>
          <w:sz w:val="24"/>
          <w:szCs w:val="24"/>
        </w:rPr>
        <w:t xml:space="preserve"> for the previous 24 hours</w:t>
      </w:r>
      <w:r w:rsidR="00CB01CF">
        <w:rPr>
          <w:rFonts w:ascii="Arial" w:hAnsi="Arial" w:cs="Arial"/>
          <w:sz w:val="24"/>
          <w:szCs w:val="24"/>
        </w:rPr>
        <w:t xml:space="preserve">. </w:t>
      </w:r>
      <w:r w:rsidR="00517A15">
        <w:rPr>
          <w:rFonts w:ascii="Arial" w:hAnsi="Arial" w:cs="Arial"/>
          <w:sz w:val="24"/>
          <w:szCs w:val="24"/>
        </w:rPr>
        <w:t>Table 3</w:t>
      </w:r>
      <w:r w:rsidR="00CB01CF">
        <w:rPr>
          <w:rFonts w:ascii="Arial" w:hAnsi="Arial" w:cs="Arial"/>
          <w:sz w:val="24"/>
          <w:szCs w:val="24"/>
        </w:rPr>
        <w:t xml:space="preserve"> shows the incidents reviewed and the compliance found for the last quarter.</w:t>
      </w:r>
    </w:p>
    <w:p w14:paraId="29C321EF" w14:textId="77777777" w:rsidR="00CB01CF" w:rsidRDefault="00CB01CF" w:rsidP="00CB01CF">
      <w:pPr>
        <w:pStyle w:val="NoSpacing"/>
        <w:ind w:left="709"/>
        <w:rPr>
          <w:rFonts w:ascii="Arial" w:hAnsi="Arial" w:cs="Arial"/>
          <w:sz w:val="24"/>
          <w:szCs w:val="24"/>
        </w:rPr>
      </w:pPr>
    </w:p>
    <w:tbl>
      <w:tblPr>
        <w:tblW w:w="5279" w:type="dxa"/>
        <w:tblInd w:w="758" w:type="dxa"/>
        <w:tblLook w:val="04A0" w:firstRow="1" w:lastRow="0" w:firstColumn="1" w:lastColumn="0" w:noHBand="0" w:noVBand="1"/>
      </w:tblPr>
      <w:tblGrid>
        <w:gridCol w:w="1058"/>
        <w:gridCol w:w="946"/>
        <w:gridCol w:w="946"/>
        <w:gridCol w:w="946"/>
        <w:gridCol w:w="1383"/>
      </w:tblGrid>
      <w:tr w:rsidR="00B21EB4" w:rsidRPr="00B21EB4" w14:paraId="0CCEF729" w14:textId="77777777" w:rsidTr="00F601BD">
        <w:trPr>
          <w:trHeight w:val="229"/>
        </w:trPr>
        <w:tc>
          <w:tcPr>
            <w:tcW w:w="1095"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3DF99DC6" w14:textId="77777777" w:rsidR="00B21EB4" w:rsidRPr="00B21EB4" w:rsidRDefault="00B21EB4" w:rsidP="00B21EB4">
            <w:pPr>
              <w:spacing w:after="0" w:line="240" w:lineRule="auto"/>
              <w:jc w:val="center"/>
              <w:rPr>
                <w:rFonts w:ascii="Calibri" w:eastAsia="Times New Roman" w:hAnsi="Calibri" w:cs="Calibri"/>
                <w:b/>
                <w:bCs/>
                <w:color w:val="FFFFFF"/>
                <w:sz w:val="24"/>
                <w:szCs w:val="24"/>
                <w:lang w:eastAsia="en-GB"/>
              </w:rPr>
            </w:pPr>
            <w:r w:rsidRPr="00B21EB4">
              <w:rPr>
                <w:rFonts w:ascii="Calibri" w:eastAsia="Times New Roman" w:hAnsi="Calibri" w:cs="Calibri"/>
                <w:b/>
                <w:bCs/>
                <w:color w:val="FFFFFF"/>
                <w:sz w:val="24"/>
                <w:szCs w:val="24"/>
                <w:lang w:eastAsia="en-GB"/>
              </w:rPr>
              <w:t>Month</w:t>
            </w:r>
          </w:p>
        </w:tc>
        <w:tc>
          <w:tcPr>
            <w:tcW w:w="2967" w:type="dxa"/>
            <w:gridSpan w:val="3"/>
            <w:tcBorders>
              <w:top w:val="single" w:sz="8" w:space="0" w:color="auto"/>
              <w:left w:val="nil"/>
              <w:bottom w:val="single" w:sz="8" w:space="0" w:color="auto"/>
              <w:right w:val="single" w:sz="8" w:space="0" w:color="000000"/>
            </w:tcBorders>
            <w:shd w:val="clear" w:color="000000" w:fill="4F81BD"/>
            <w:vAlign w:val="center"/>
            <w:hideMark/>
          </w:tcPr>
          <w:p w14:paraId="2C268781" w14:textId="77777777" w:rsidR="00B21EB4" w:rsidRPr="00B21EB4" w:rsidRDefault="00B21EB4" w:rsidP="00B21EB4">
            <w:pPr>
              <w:spacing w:after="0" w:line="240" w:lineRule="auto"/>
              <w:jc w:val="center"/>
              <w:rPr>
                <w:rFonts w:ascii="Calibri" w:eastAsia="Times New Roman" w:hAnsi="Calibri" w:cs="Calibri"/>
                <w:b/>
                <w:bCs/>
                <w:color w:val="FFFFFF"/>
                <w:sz w:val="24"/>
                <w:szCs w:val="24"/>
                <w:lang w:eastAsia="en-GB"/>
              </w:rPr>
            </w:pPr>
            <w:r w:rsidRPr="00B21EB4">
              <w:rPr>
                <w:rFonts w:ascii="Calibri" w:eastAsia="Times New Roman" w:hAnsi="Calibri" w:cs="Calibri"/>
                <w:b/>
                <w:bCs/>
                <w:color w:val="FFFFFF"/>
                <w:sz w:val="24"/>
                <w:szCs w:val="24"/>
                <w:lang w:eastAsia="en-GB"/>
              </w:rPr>
              <w:t>Incidents Reviewed</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5D2919C8" w14:textId="77777777" w:rsidR="00B21EB4" w:rsidRPr="00B21EB4" w:rsidRDefault="00B21EB4" w:rsidP="00B21EB4">
            <w:pPr>
              <w:spacing w:after="0" w:line="240" w:lineRule="auto"/>
              <w:jc w:val="center"/>
              <w:rPr>
                <w:rFonts w:ascii="Calibri" w:eastAsia="Times New Roman" w:hAnsi="Calibri" w:cs="Calibri"/>
                <w:b/>
                <w:bCs/>
                <w:color w:val="FFFFFF"/>
                <w:sz w:val="24"/>
                <w:szCs w:val="24"/>
                <w:lang w:eastAsia="en-GB"/>
              </w:rPr>
            </w:pPr>
            <w:r w:rsidRPr="00B21EB4">
              <w:rPr>
                <w:rFonts w:ascii="Calibri" w:eastAsia="Times New Roman" w:hAnsi="Calibri" w:cs="Calibri"/>
                <w:b/>
                <w:bCs/>
                <w:color w:val="FFFFFF"/>
                <w:sz w:val="24"/>
                <w:szCs w:val="24"/>
                <w:lang w:eastAsia="en-GB"/>
              </w:rPr>
              <w:t xml:space="preserve">Compliance </w:t>
            </w:r>
            <w:r w:rsidRPr="00B21EB4">
              <w:rPr>
                <w:rFonts w:ascii="Calibri" w:eastAsia="Times New Roman" w:hAnsi="Calibri" w:cs="Calibri"/>
                <w:b/>
                <w:bCs/>
                <w:color w:val="FFFFFF"/>
                <w:sz w:val="24"/>
                <w:szCs w:val="24"/>
                <w:lang w:eastAsia="en-GB"/>
              </w:rPr>
              <w:br/>
              <w:t>Rate</w:t>
            </w:r>
          </w:p>
        </w:tc>
      </w:tr>
      <w:tr w:rsidR="00B21EB4" w:rsidRPr="00B21EB4" w14:paraId="03A35457" w14:textId="77777777" w:rsidTr="00F601BD">
        <w:trPr>
          <w:trHeight w:val="257"/>
        </w:trPr>
        <w:tc>
          <w:tcPr>
            <w:tcW w:w="1095" w:type="dxa"/>
            <w:vMerge/>
            <w:tcBorders>
              <w:top w:val="single" w:sz="8" w:space="0" w:color="auto"/>
              <w:left w:val="single" w:sz="8" w:space="0" w:color="auto"/>
              <w:bottom w:val="single" w:sz="8" w:space="0" w:color="000000"/>
              <w:right w:val="single" w:sz="8" w:space="0" w:color="auto"/>
            </w:tcBorders>
            <w:vAlign w:val="center"/>
            <w:hideMark/>
          </w:tcPr>
          <w:p w14:paraId="7AEC89C7" w14:textId="77777777" w:rsidR="00B21EB4" w:rsidRPr="00B21EB4" w:rsidRDefault="00B21EB4" w:rsidP="00B21EB4">
            <w:pPr>
              <w:spacing w:after="0" w:line="240" w:lineRule="auto"/>
              <w:rPr>
                <w:rFonts w:ascii="Calibri" w:eastAsia="Times New Roman" w:hAnsi="Calibri" w:cs="Calibri"/>
                <w:b/>
                <w:bCs/>
                <w:color w:val="FFFFFF"/>
                <w:sz w:val="24"/>
                <w:szCs w:val="24"/>
                <w:lang w:eastAsia="en-GB"/>
              </w:rPr>
            </w:pPr>
          </w:p>
        </w:tc>
        <w:tc>
          <w:tcPr>
            <w:tcW w:w="989" w:type="dxa"/>
            <w:tcBorders>
              <w:top w:val="nil"/>
              <w:left w:val="nil"/>
              <w:bottom w:val="single" w:sz="8" w:space="0" w:color="auto"/>
              <w:right w:val="single" w:sz="8" w:space="0" w:color="auto"/>
            </w:tcBorders>
            <w:shd w:val="clear" w:color="000000" w:fill="4F81BD"/>
            <w:vAlign w:val="center"/>
            <w:hideMark/>
          </w:tcPr>
          <w:p w14:paraId="5F6E85BC" w14:textId="77777777" w:rsidR="00B21EB4" w:rsidRPr="00B21EB4" w:rsidRDefault="00B21EB4" w:rsidP="00B21EB4">
            <w:pPr>
              <w:spacing w:after="0" w:line="240" w:lineRule="auto"/>
              <w:jc w:val="center"/>
              <w:rPr>
                <w:rFonts w:ascii="Calibri" w:eastAsia="Times New Roman" w:hAnsi="Calibri" w:cs="Calibri"/>
                <w:b/>
                <w:bCs/>
                <w:color w:val="FFFFFF"/>
                <w:sz w:val="24"/>
                <w:szCs w:val="24"/>
                <w:lang w:eastAsia="en-GB"/>
              </w:rPr>
            </w:pPr>
            <w:r w:rsidRPr="00B21EB4">
              <w:rPr>
                <w:rFonts w:ascii="Calibri" w:eastAsia="Times New Roman" w:hAnsi="Calibri" w:cs="Calibri"/>
                <w:b/>
                <w:bCs/>
                <w:color w:val="FFFFFF"/>
                <w:sz w:val="24"/>
                <w:szCs w:val="24"/>
                <w:lang w:eastAsia="en-GB"/>
              </w:rPr>
              <w:t>Pass</w:t>
            </w:r>
          </w:p>
        </w:tc>
        <w:tc>
          <w:tcPr>
            <w:tcW w:w="989" w:type="dxa"/>
            <w:tcBorders>
              <w:top w:val="nil"/>
              <w:left w:val="nil"/>
              <w:bottom w:val="single" w:sz="8" w:space="0" w:color="auto"/>
              <w:right w:val="single" w:sz="8" w:space="0" w:color="auto"/>
            </w:tcBorders>
            <w:shd w:val="clear" w:color="000000" w:fill="4F81BD"/>
            <w:vAlign w:val="center"/>
            <w:hideMark/>
          </w:tcPr>
          <w:p w14:paraId="2E0D739C" w14:textId="77777777" w:rsidR="00B21EB4" w:rsidRPr="00B21EB4" w:rsidRDefault="00B21EB4" w:rsidP="00B21EB4">
            <w:pPr>
              <w:spacing w:after="0" w:line="240" w:lineRule="auto"/>
              <w:jc w:val="center"/>
              <w:rPr>
                <w:rFonts w:ascii="Calibri" w:eastAsia="Times New Roman" w:hAnsi="Calibri" w:cs="Calibri"/>
                <w:b/>
                <w:bCs/>
                <w:color w:val="FFFFFF"/>
                <w:sz w:val="24"/>
                <w:szCs w:val="24"/>
                <w:lang w:eastAsia="en-GB"/>
              </w:rPr>
            </w:pPr>
            <w:r w:rsidRPr="00B21EB4">
              <w:rPr>
                <w:rFonts w:ascii="Calibri" w:eastAsia="Times New Roman" w:hAnsi="Calibri" w:cs="Calibri"/>
                <w:b/>
                <w:bCs/>
                <w:color w:val="FFFFFF"/>
                <w:sz w:val="24"/>
                <w:szCs w:val="24"/>
                <w:lang w:eastAsia="en-GB"/>
              </w:rPr>
              <w:t>Fail</w:t>
            </w:r>
          </w:p>
        </w:tc>
        <w:tc>
          <w:tcPr>
            <w:tcW w:w="989" w:type="dxa"/>
            <w:tcBorders>
              <w:top w:val="nil"/>
              <w:left w:val="nil"/>
              <w:bottom w:val="single" w:sz="8" w:space="0" w:color="auto"/>
              <w:right w:val="single" w:sz="8" w:space="0" w:color="auto"/>
            </w:tcBorders>
            <w:shd w:val="clear" w:color="000000" w:fill="4F81BD"/>
            <w:vAlign w:val="center"/>
            <w:hideMark/>
          </w:tcPr>
          <w:p w14:paraId="5518FA3E" w14:textId="77777777" w:rsidR="00B21EB4" w:rsidRPr="00B21EB4" w:rsidRDefault="00B21EB4" w:rsidP="00B21EB4">
            <w:pPr>
              <w:spacing w:after="0" w:line="240" w:lineRule="auto"/>
              <w:jc w:val="center"/>
              <w:rPr>
                <w:rFonts w:ascii="Calibri" w:eastAsia="Times New Roman" w:hAnsi="Calibri" w:cs="Calibri"/>
                <w:b/>
                <w:bCs/>
                <w:color w:val="FFFFFF"/>
                <w:sz w:val="24"/>
                <w:szCs w:val="24"/>
                <w:lang w:eastAsia="en-GB"/>
              </w:rPr>
            </w:pPr>
            <w:r w:rsidRPr="00B21EB4">
              <w:rPr>
                <w:rFonts w:ascii="Calibri" w:eastAsia="Times New Roman" w:hAnsi="Calibri" w:cs="Calibri"/>
                <w:b/>
                <w:bCs/>
                <w:color w:val="FFFFFF"/>
                <w:sz w:val="24"/>
                <w:szCs w:val="24"/>
                <w:lang w:eastAsia="en-GB"/>
              </w:rPr>
              <w:t>Total</w:t>
            </w:r>
          </w:p>
        </w:tc>
        <w:tc>
          <w:tcPr>
            <w:tcW w:w="1217" w:type="dxa"/>
            <w:vMerge/>
            <w:tcBorders>
              <w:top w:val="single" w:sz="8" w:space="0" w:color="auto"/>
              <w:left w:val="single" w:sz="8" w:space="0" w:color="auto"/>
              <w:bottom w:val="single" w:sz="8" w:space="0" w:color="000000"/>
              <w:right w:val="single" w:sz="8" w:space="0" w:color="auto"/>
            </w:tcBorders>
            <w:vAlign w:val="center"/>
            <w:hideMark/>
          </w:tcPr>
          <w:p w14:paraId="3A44FCCF" w14:textId="77777777" w:rsidR="00B21EB4" w:rsidRPr="00B21EB4" w:rsidRDefault="00B21EB4" w:rsidP="00B21EB4">
            <w:pPr>
              <w:spacing w:after="0" w:line="240" w:lineRule="auto"/>
              <w:rPr>
                <w:rFonts w:ascii="Calibri" w:eastAsia="Times New Roman" w:hAnsi="Calibri" w:cs="Calibri"/>
                <w:b/>
                <w:bCs/>
                <w:color w:val="FFFFFF"/>
                <w:sz w:val="24"/>
                <w:szCs w:val="24"/>
                <w:lang w:eastAsia="en-GB"/>
              </w:rPr>
            </w:pPr>
          </w:p>
        </w:tc>
      </w:tr>
      <w:tr w:rsidR="00B21EB4" w:rsidRPr="00B21EB4" w14:paraId="34632D6C" w14:textId="77777777" w:rsidTr="00F601BD">
        <w:trPr>
          <w:trHeight w:val="257"/>
        </w:trPr>
        <w:tc>
          <w:tcPr>
            <w:tcW w:w="1095" w:type="dxa"/>
            <w:tcBorders>
              <w:top w:val="nil"/>
              <w:left w:val="single" w:sz="8" w:space="0" w:color="auto"/>
              <w:bottom w:val="single" w:sz="8" w:space="0" w:color="auto"/>
              <w:right w:val="single" w:sz="8" w:space="0" w:color="auto"/>
            </w:tcBorders>
            <w:shd w:val="clear" w:color="000000" w:fill="E9EDF4"/>
            <w:vAlign w:val="center"/>
            <w:hideMark/>
          </w:tcPr>
          <w:p w14:paraId="2BE7377E"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Dec-18</w:t>
            </w:r>
          </w:p>
        </w:tc>
        <w:tc>
          <w:tcPr>
            <w:tcW w:w="989" w:type="dxa"/>
            <w:tcBorders>
              <w:top w:val="nil"/>
              <w:left w:val="nil"/>
              <w:bottom w:val="single" w:sz="8" w:space="0" w:color="auto"/>
              <w:right w:val="single" w:sz="8" w:space="0" w:color="auto"/>
            </w:tcBorders>
            <w:shd w:val="clear" w:color="000000" w:fill="E9EDF4"/>
            <w:vAlign w:val="center"/>
            <w:hideMark/>
          </w:tcPr>
          <w:p w14:paraId="6048A4DA"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3,191</w:t>
            </w:r>
          </w:p>
        </w:tc>
        <w:tc>
          <w:tcPr>
            <w:tcW w:w="989" w:type="dxa"/>
            <w:tcBorders>
              <w:top w:val="nil"/>
              <w:left w:val="nil"/>
              <w:bottom w:val="single" w:sz="8" w:space="0" w:color="auto"/>
              <w:right w:val="single" w:sz="8" w:space="0" w:color="auto"/>
            </w:tcBorders>
            <w:shd w:val="clear" w:color="000000" w:fill="E9EDF4"/>
            <w:vAlign w:val="center"/>
            <w:hideMark/>
          </w:tcPr>
          <w:p w14:paraId="5DE9355B"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855</w:t>
            </w:r>
          </w:p>
        </w:tc>
        <w:tc>
          <w:tcPr>
            <w:tcW w:w="989" w:type="dxa"/>
            <w:tcBorders>
              <w:top w:val="nil"/>
              <w:left w:val="nil"/>
              <w:bottom w:val="single" w:sz="8" w:space="0" w:color="auto"/>
              <w:right w:val="single" w:sz="8" w:space="0" w:color="auto"/>
            </w:tcBorders>
            <w:shd w:val="clear" w:color="000000" w:fill="E9EDF4"/>
            <w:vAlign w:val="center"/>
            <w:hideMark/>
          </w:tcPr>
          <w:p w14:paraId="56B0CF0E"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4,046</w:t>
            </w:r>
          </w:p>
        </w:tc>
        <w:tc>
          <w:tcPr>
            <w:tcW w:w="1217" w:type="dxa"/>
            <w:tcBorders>
              <w:top w:val="nil"/>
              <w:left w:val="nil"/>
              <w:bottom w:val="single" w:sz="8" w:space="0" w:color="auto"/>
              <w:right w:val="single" w:sz="8" w:space="0" w:color="auto"/>
            </w:tcBorders>
            <w:shd w:val="clear" w:color="000000" w:fill="E9EDF4"/>
            <w:vAlign w:val="center"/>
            <w:hideMark/>
          </w:tcPr>
          <w:p w14:paraId="5804349C"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78.87</w:t>
            </w:r>
            <w:r w:rsidRPr="00B21EB4">
              <w:rPr>
                <w:rFonts w:ascii="Calibri" w:eastAsia="Times New Roman" w:hAnsi="Calibri" w:cs="Calibri"/>
                <w:color w:val="000000"/>
                <w:sz w:val="24"/>
                <w:szCs w:val="24"/>
                <w:lang w:eastAsia="en-GB"/>
              </w:rPr>
              <w:t>%</w:t>
            </w:r>
          </w:p>
        </w:tc>
      </w:tr>
      <w:tr w:rsidR="00B21EB4" w:rsidRPr="00B21EB4" w14:paraId="3D7BD1C7" w14:textId="77777777" w:rsidTr="00F601BD">
        <w:trPr>
          <w:trHeight w:val="257"/>
        </w:trPr>
        <w:tc>
          <w:tcPr>
            <w:tcW w:w="1095" w:type="dxa"/>
            <w:tcBorders>
              <w:top w:val="nil"/>
              <w:left w:val="single" w:sz="8" w:space="0" w:color="auto"/>
              <w:bottom w:val="single" w:sz="8" w:space="0" w:color="auto"/>
              <w:right w:val="single" w:sz="8" w:space="0" w:color="auto"/>
            </w:tcBorders>
            <w:shd w:val="clear" w:color="000000" w:fill="E9EDF4"/>
            <w:vAlign w:val="center"/>
            <w:hideMark/>
          </w:tcPr>
          <w:p w14:paraId="5BD25F86"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Jan-19</w:t>
            </w:r>
          </w:p>
        </w:tc>
        <w:tc>
          <w:tcPr>
            <w:tcW w:w="989" w:type="dxa"/>
            <w:tcBorders>
              <w:top w:val="nil"/>
              <w:left w:val="nil"/>
              <w:bottom w:val="single" w:sz="8" w:space="0" w:color="auto"/>
              <w:right w:val="single" w:sz="8" w:space="0" w:color="auto"/>
            </w:tcBorders>
            <w:shd w:val="clear" w:color="000000" w:fill="E9EDF4"/>
            <w:vAlign w:val="center"/>
            <w:hideMark/>
          </w:tcPr>
          <w:p w14:paraId="30A788F9"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4,527</w:t>
            </w:r>
          </w:p>
        </w:tc>
        <w:tc>
          <w:tcPr>
            <w:tcW w:w="989" w:type="dxa"/>
            <w:tcBorders>
              <w:top w:val="nil"/>
              <w:left w:val="nil"/>
              <w:bottom w:val="single" w:sz="8" w:space="0" w:color="auto"/>
              <w:right w:val="single" w:sz="8" w:space="0" w:color="auto"/>
            </w:tcBorders>
            <w:shd w:val="clear" w:color="000000" w:fill="E9EDF4"/>
            <w:vAlign w:val="center"/>
            <w:hideMark/>
          </w:tcPr>
          <w:p w14:paraId="263E8483"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1,298</w:t>
            </w:r>
          </w:p>
        </w:tc>
        <w:tc>
          <w:tcPr>
            <w:tcW w:w="989" w:type="dxa"/>
            <w:tcBorders>
              <w:top w:val="nil"/>
              <w:left w:val="nil"/>
              <w:bottom w:val="single" w:sz="8" w:space="0" w:color="auto"/>
              <w:right w:val="single" w:sz="8" w:space="0" w:color="auto"/>
            </w:tcBorders>
            <w:shd w:val="clear" w:color="000000" w:fill="E9EDF4"/>
            <w:vAlign w:val="center"/>
            <w:hideMark/>
          </w:tcPr>
          <w:p w14:paraId="476E5714"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5,825</w:t>
            </w:r>
          </w:p>
        </w:tc>
        <w:tc>
          <w:tcPr>
            <w:tcW w:w="1217" w:type="dxa"/>
            <w:tcBorders>
              <w:top w:val="nil"/>
              <w:left w:val="nil"/>
              <w:bottom w:val="single" w:sz="8" w:space="0" w:color="auto"/>
              <w:right w:val="single" w:sz="8" w:space="0" w:color="auto"/>
            </w:tcBorders>
            <w:shd w:val="clear" w:color="000000" w:fill="E9EDF4"/>
            <w:vAlign w:val="center"/>
            <w:hideMark/>
          </w:tcPr>
          <w:p w14:paraId="6F0F6AA9"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77.72</w:t>
            </w:r>
            <w:r w:rsidRPr="00B21EB4">
              <w:rPr>
                <w:rFonts w:ascii="Calibri" w:eastAsia="Times New Roman" w:hAnsi="Calibri" w:cs="Calibri"/>
                <w:color w:val="000000"/>
                <w:sz w:val="24"/>
                <w:szCs w:val="24"/>
                <w:lang w:eastAsia="en-GB"/>
              </w:rPr>
              <w:t>%</w:t>
            </w:r>
          </w:p>
        </w:tc>
      </w:tr>
      <w:tr w:rsidR="00B21EB4" w:rsidRPr="00B21EB4" w14:paraId="18185634" w14:textId="77777777" w:rsidTr="00F601BD">
        <w:trPr>
          <w:trHeight w:val="179"/>
        </w:trPr>
        <w:tc>
          <w:tcPr>
            <w:tcW w:w="1095" w:type="dxa"/>
            <w:tcBorders>
              <w:top w:val="nil"/>
              <w:left w:val="single" w:sz="8" w:space="0" w:color="auto"/>
              <w:bottom w:val="single" w:sz="8" w:space="0" w:color="auto"/>
              <w:right w:val="single" w:sz="8" w:space="0" w:color="auto"/>
            </w:tcBorders>
            <w:shd w:val="clear" w:color="000000" w:fill="E9EDF4"/>
            <w:vAlign w:val="center"/>
            <w:hideMark/>
          </w:tcPr>
          <w:p w14:paraId="522B86D9"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Feb-19</w:t>
            </w:r>
          </w:p>
        </w:tc>
        <w:tc>
          <w:tcPr>
            <w:tcW w:w="989" w:type="dxa"/>
            <w:tcBorders>
              <w:top w:val="nil"/>
              <w:left w:val="nil"/>
              <w:bottom w:val="single" w:sz="8" w:space="0" w:color="auto"/>
              <w:right w:val="single" w:sz="8" w:space="0" w:color="auto"/>
            </w:tcBorders>
            <w:shd w:val="clear" w:color="000000" w:fill="E9EDF4"/>
            <w:vAlign w:val="center"/>
            <w:hideMark/>
          </w:tcPr>
          <w:p w14:paraId="6AE11E94"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4,155</w:t>
            </w:r>
          </w:p>
        </w:tc>
        <w:tc>
          <w:tcPr>
            <w:tcW w:w="989" w:type="dxa"/>
            <w:tcBorders>
              <w:top w:val="nil"/>
              <w:left w:val="nil"/>
              <w:bottom w:val="single" w:sz="8" w:space="0" w:color="auto"/>
              <w:right w:val="single" w:sz="8" w:space="0" w:color="auto"/>
            </w:tcBorders>
            <w:shd w:val="clear" w:color="000000" w:fill="E9EDF4"/>
            <w:vAlign w:val="center"/>
            <w:hideMark/>
          </w:tcPr>
          <w:p w14:paraId="595EF53F"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1,151</w:t>
            </w:r>
          </w:p>
        </w:tc>
        <w:tc>
          <w:tcPr>
            <w:tcW w:w="989" w:type="dxa"/>
            <w:tcBorders>
              <w:top w:val="nil"/>
              <w:left w:val="nil"/>
              <w:bottom w:val="single" w:sz="8" w:space="0" w:color="auto"/>
              <w:right w:val="single" w:sz="8" w:space="0" w:color="auto"/>
            </w:tcBorders>
            <w:shd w:val="clear" w:color="000000" w:fill="E9EDF4"/>
            <w:vAlign w:val="center"/>
            <w:hideMark/>
          </w:tcPr>
          <w:p w14:paraId="2AF357DE"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5,306</w:t>
            </w:r>
          </w:p>
        </w:tc>
        <w:tc>
          <w:tcPr>
            <w:tcW w:w="1217" w:type="dxa"/>
            <w:tcBorders>
              <w:top w:val="nil"/>
              <w:left w:val="nil"/>
              <w:bottom w:val="single" w:sz="8" w:space="0" w:color="auto"/>
              <w:right w:val="single" w:sz="8" w:space="0" w:color="auto"/>
            </w:tcBorders>
            <w:shd w:val="clear" w:color="000000" w:fill="E9EDF4"/>
            <w:vAlign w:val="center"/>
            <w:hideMark/>
          </w:tcPr>
          <w:p w14:paraId="547E9B4A" w14:textId="77777777" w:rsidR="00B21EB4" w:rsidRPr="00B21EB4" w:rsidRDefault="00B21EB4" w:rsidP="00B21EB4">
            <w:pPr>
              <w:spacing w:after="0" w:line="240" w:lineRule="auto"/>
              <w:jc w:val="center"/>
              <w:rPr>
                <w:rFonts w:ascii="Calibri" w:eastAsia="Times New Roman" w:hAnsi="Calibri" w:cs="Calibri"/>
                <w:color w:val="000000"/>
                <w:sz w:val="24"/>
                <w:szCs w:val="24"/>
                <w:lang w:eastAsia="en-GB"/>
              </w:rPr>
            </w:pPr>
            <w:r w:rsidRPr="00B21EB4">
              <w:rPr>
                <w:rFonts w:ascii="Calibri" w:eastAsia="Times New Roman" w:hAnsi="Calibri" w:cs="Calibri"/>
                <w:color w:val="000000"/>
                <w:sz w:val="24"/>
                <w:szCs w:val="24"/>
                <w:lang w:eastAsia="en-GB"/>
              </w:rPr>
              <w:t>78</w:t>
            </w:r>
            <w:r>
              <w:rPr>
                <w:rFonts w:ascii="Calibri" w:eastAsia="Times New Roman" w:hAnsi="Calibri" w:cs="Calibri"/>
                <w:color w:val="000000"/>
                <w:sz w:val="24"/>
                <w:szCs w:val="24"/>
                <w:lang w:eastAsia="en-GB"/>
              </w:rPr>
              <w:t>.31</w:t>
            </w:r>
            <w:r w:rsidRPr="00B21EB4">
              <w:rPr>
                <w:rFonts w:ascii="Calibri" w:eastAsia="Times New Roman" w:hAnsi="Calibri" w:cs="Calibri"/>
                <w:color w:val="000000"/>
                <w:sz w:val="24"/>
                <w:szCs w:val="24"/>
                <w:lang w:eastAsia="en-GB"/>
              </w:rPr>
              <w:t>%</w:t>
            </w:r>
          </w:p>
        </w:tc>
      </w:tr>
    </w:tbl>
    <w:p w14:paraId="78AFC714" w14:textId="77777777" w:rsidR="00B21EB4" w:rsidRPr="00517A15" w:rsidRDefault="00B21EB4" w:rsidP="00CB01CF">
      <w:pPr>
        <w:pStyle w:val="NoSpacing"/>
        <w:ind w:left="709"/>
        <w:rPr>
          <w:rFonts w:ascii="Arial" w:hAnsi="Arial" w:cs="Arial"/>
          <w:sz w:val="20"/>
          <w:szCs w:val="24"/>
        </w:rPr>
      </w:pPr>
      <w:r w:rsidRPr="00517A15">
        <w:rPr>
          <w:rFonts w:ascii="Arial" w:hAnsi="Arial" w:cs="Arial"/>
          <w:sz w:val="20"/>
          <w:szCs w:val="24"/>
        </w:rPr>
        <w:t>Table</w:t>
      </w:r>
      <w:r w:rsidR="00517A15" w:rsidRPr="00517A15">
        <w:rPr>
          <w:rFonts w:ascii="Arial" w:hAnsi="Arial" w:cs="Arial"/>
          <w:sz w:val="20"/>
          <w:szCs w:val="24"/>
        </w:rPr>
        <w:t xml:space="preserve"> 3 – Overview of incident reviews undertaken by NSRT</w:t>
      </w:r>
    </w:p>
    <w:p w14:paraId="0A754155" w14:textId="77777777" w:rsidR="00494722" w:rsidRDefault="00494722" w:rsidP="00B21EB4">
      <w:pPr>
        <w:pStyle w:val="NoSpacing"/>
        <w:rPr>
          <w:rFonts w:ascii="Arial" w:hAnsi="Arial" w:cs="Arial"/>
          <w:sz w:val="24"/>
          <w:szCs w:val="24"/>
        </w:rPr>
      </w:pPr>
    </w:p>
    <w:p w14:paraId="4F57FF1E" w14:textId="77777777" w:rsidR="002D61A0" w:rsidRDefault="00494722" w:rsidP="004104BE">
      <w:pPr>
        <w:pStyle w:val="NoSpacing"/>
        <w:ind w:left="709"/>
        <w:rPr>
          <w:rFonts w:ascii="Arial" w:hAnsi="Arial" w:cs="Arial"/>
          <w:sz w:val="24"/>
          <w:szCs w:val="24"/>
        </w:rPr>
      </w:pPr>
      <w:r>
        <w:rPr>
          <w:rFonts w:ascii="Arial" w:hAnsi="Arial" w:cs="Arial"/>
          <w:sz w:val="24"/>
          <w:szCs w:val="24"/>
        </w:rPr>
        <w:t>This shows that compliance in this category still requ</w:t>
      </w:r>
      <w:r w:rsidR="007016D9">
        <w:rPr>
          <w:rFonts w:ascii="Arial" w:hAnsi="Arial" w:cs="Arial"/>
          <w:sz w:val="24"/>
          <w:szCs w:val="24"/>
        </w:rPr>
        <w:t>ires improvement. Where compliance does not meet the standards required</w:t>
      </w:r>
      <w:r w:rsidR="000E4E72">
        <w:rPr>
          <w:rFonts w:ascii="Arial" w:hAnsi="Arial" w:cs="Arial"/>
          <w:sz w:val="24"/>
          <w:szCs w:val="24"/>
        </w:rPr>
        <w:t>,</w:t>
      </w:r>
      <w:r w:rsidR="007016D9">
        <w:rPr>
          <w:rFonts w:ascii="Arial" w:hAnsi="Arial" w:cs="Arial"/>
          <w:sz w:val="24"/>
          <w:szCs w:val="24"/>
        </w:rPr>
        <w:t xml:space="preserve"> the NSRT re-open the incident to ensure this is rectified</w:t>
      </w:r>
      <w:r w:rsidR="000E4E72">
        <w:rPr>
          <w:rFonts w:ascii="Arial" w:hAnsi="Arial" w:cs="Arial"/>
          <w:sz w:val="24"/>
          <w:szCs w:val="24"/>
        </w:rPr>
        <w:t xml:space="preserve"> and where necessary a crime is recorded</w:t>
      </w:r>
      <w:r w:rsidR="007016D9">
        <w:rPr>
          <w:rFonts w:ascii="Arial" w:hAnsi="Arial" w:cs="Arial"/>
          <w:sz w:val="24"/>
          <w:szCs w:val="24"/>
        </w:rPr>
        <w:t>.</w:t>
      </w:r>
      <w:r w:rsidR="002D61A0">
        <w:rPr>
          <w:rFonts w:ascii="Arial" w:hAnsi="Arial" w:cs="Arial"/>
          <w:sz w:val="24"/>
          <w:szCs w:val="24"/>
        </w:rPr>
        <w:t xml:space="preserve"> </w:t>
      </w:r>
      <w:r w:rsidR="007016D9">
        <w:rPr>
          <w:rFonts w:ascii="Arial" w:hAnsi="Arial" w:cs="Arial"/>
          <w:sz w:val="24"/>
          <w:szCs w:val="24"/>
        </w:rPr>
        <w:t>This suggests ou</w:t>
      </w:r>
      <w:r w:rsidR="002D61A0">
        <w:rPr>
          <w:rFonts w:ascii="Arial" w:hAnsi="Arial" w:cs="Arial"/>
          <w:sz w:val="24"/>
          <w:szCs w:val="24"/>
        </w:rPr>
        <w:t xml:space="preserve">r overall improvement in crime recording </w:t>
      </w:r>
      <w:r w:rsidR="007016D9">
        <w:rPr>
          <w:rFonts w:ascii="Arial" w:hAnsi="Arial" w:cs="Arial"/>
          <w:sz w:val="24"/>
          <w:szCs w:val="24"/>
        </w:rPr>
        <w:t>compliance</w:t>
      </w:r>
      <w:r w:rsidR="000E4E72">
        <w:rPr>
          <w:rFonts w:ascii="Arial" w:hAnsi="Arial" w:cs="Arial"/>
          <w:sz w:val="24"/>
          <w:szCs w:val="24"/>
        </w:rPr>
        <w:t xml:space="preserve"> reported earlier in the report,</w:t>
      </w:r>
      <w:r w:rsidR="002D61A0">
        <w:rPr>
          <w:rFonts w:ascii="Arial" w:hAnsi="Arial" w:cs="Arial"/>
          <w:sz w:val="24"/>
          <w:szCs w:val="24"/>
        </w:rPr>
        <w:t xml:space="preserve"> is </w:t>
      </w:r>
      <w:r w:rsidR="007016D9">
        <w:rPr>
          <w:rFonts w:ascii="Arial" w:hAnsi="Arial" w:cs="Arial"/>
          <w:sz w:val="24"/>
          <w:szCs w:val="24"/>
        </w:rPr>
        <w:t xml:space="preserve">not being achieved through getting crime recording decisions right first time, but is heavily reliant on the quality assurance function provided by the NSRT. </w:t>
      </w:r>
    </w:p>
    <w:p w14:paraId="7DE3064D" w14:textId="77777777" w:rsidR="002D61A0" w:rsidRDefault="002D61A0" w:rsidP="004104BE">
      <w:pPr>
        <w:pStyle w:val="NoSpacing"/>
        <w:ind w:left="709"/>
        <w:rPr>
          <w:rFonts w:ascii="Arial" w:hAnsi="Arial" w:cs="Arial"/>
          <w:sz w:val="24"/>
          <w:szCs w:val="24"/>
        </w:rPr>
      </w:pPr>
    </w:p>
    <w:p w14:paraId="0975A11A" w14:textId="77777777" w:rsidR="00EC454F" w:rsidRDefault="000E4E72" w:rsidP="004104BE">
      <w:pPr>
        <w:pStyle w:val="NoSpacing"/>
        <w:ind w:left="709"/>
        <w:rPr>
          <w:rFonts w:ascii="Arial" w:hAnsi="Arial" w:cs="Arial"/>
          <w:sz w:val="24"/>
          <w:szCs w:val="24"/>
        </w:rPr>
      </w:pPr>
      <w:r>
        <w:rPr>
          <w:rFonts w:ascii="Arial" w:hAnsi="Arial" w:cs="Arial"/>
          <w:sz w:val="24"/>
          <w:szCs w:val="24"/>
        </w:rPr>
        <w:t>In March 2019, chief o</w:t>
      </w:r>
      <w:r w:rsidR="00494722">
        <w:rPr>
          <w:rFonts w:ascii="Arial" w:hAnsi="Arial" w:cs="Arial"/>
          <w:sz w:val="24"/>
          <w:szCs w:val="24"/>
        </w:rPr>
        <w:t>fficers agreed this temporary team should remain in place until compliance reaches acceptable levels.</w:t>
      </w:r>
    </w:p>
    <w:p w14:paraId="00B20FEE" w14:textId="77777777" w:rsidR="00494722" w:rsidRDefault="00494722" w:rsidP="004104BE">
      <w:pPr>
        <w:pStyle w:val="NoSpacing"/>
        <w:ind w:left="709"/>
        <w:rPr>
          <w:rFonts w:ascii="Arial" w:hAnsi="Arial" w:cs="Arial"/>
          <w:sz w:val="24"/>
          <w:szCs w:val="24"/>
        </w:rPr>
      </w:pPr>
    </w:p>
    <w:p w14:paraId="4A19DAC1" w14:textId="77777777" w:rsidR="00F450D1" w:rsidRDefault="00494722" w:rsidP="004104BE">
      <w:pPr>
        <w:pStyle w:val="NoSpacing"/>
        <w:ind w:left="709"/>
        <w:rPr>
          <w:rFonts w:ascii="Arial" w:hAnsi="Arial" w:cs="Arial"/>
          <w:sz w:val="24"/>
          <w:szCs w:val="24"/>
        </w:rPr>
      </w:pPr>
      <w:r>
        <w:rPr>
          <w:rFonts w:ascii="Arial" w:hAnsi="Arial" w:cs="Arial"/>
          <w:b/>
          <w:sz w:val="24"/>
          <w:szCs w:val="24"/>
        </w:rPr>
        <w:t>Performance Management</w:t>
      </w:r>
      <w:r w:rsidR="00630CB1">
        <w:rPr>
          <w:rFonts w:ascii="Arial" w:hAnsi="Arial" w:cs="Arial"/>
          <w:sz w:val="24"/>
          <w:szCs w:val="24"/>
        </w:rPr>
        <w:t xml:space="preserve"> – </w:t>
      </w:r>
      <w:r>
        <w:rPr>
          <w:rFonts w:ascii="Arial" w:hAnsi="Arial" w:cs="Arial"/>
          <w:sz w:val="24"/>
          <w:szCs w:val="24"/>
        </w:rPr>
        <w:t xml:space="preserve">CDA now features in the revised force performance framework. This will ensure that </w:t>
      </w:r>
      <w:r w:rsidR="00794DD0">
        <w:rPr>
          <w:rFonts w:ascii="Arial" w:hAnsi="Arial" w:cs="Arial"/>
          <w:sz w:val="24"/>
          <w:szCs w:val="24"/>
        </w:rPr>
        <w:t>CDA performance is considered alongside other key performance areas. Through the CDA Board, work is underway to identify those staff who are contributin</w:t>
      </w:r>
      <w:r w:rsidR="00AC00ED">
        <w:rPr>
          <w:rFonts w:ascii="Arial" w:hAnsi="Arial" w:cs="Arial"/>
          <w:sz w:val="24"/>
          <w:szCs w:val="24"/>
        </w:rPr>
        <w:t>g the greatest volume of errors and</w:t>
      </w:r>
      <w:r w:rsidR="00794DD0">
        <w:rPr>
          <w:rFonts w:ascii="Arial" w:hAnsi="Arial" w:cs="Arial"/>
          <w:sz w:val="24"/>
          <w:szCs w:val="24"/>
        </w:rPr>
        <w:t xml:space="preserve"> to ensure the appropriate support and intervention is in place to improve their performance. </w:t>
      </w:r>
    </w:p>
    <w:p w14:paraId="5CE9E7EB" w14:textId="77777777" w:rsidR="00794DD0" w:rsidRDefault="00794DD0" w:rsidP="004104BE">
      <w:pPr>
        <w:pStyle w:val="NoSpacing"/>
        <w:ind w:left="709"/>
        <w:rPr>
          <w:rFonts w:ascii="Arial" w:hAnsi="Arial" w:cs="Arial"/>
          <w:sz w:val="24"/>
          <w:szCs w:val="24"/>
        </w:rPr>
      </w:pPr>
    </w:p>
    <w:p w14:paraId="14730475" w14:textId="2A40A6DD" w:rsidR="00517A15" w:rsidRDefault="00794DD0" w:rsidP="007016D9">
      <w:pPr>
        <w:pStyle w:val="NoSpacing"/>
        <w:ind w:left="709"/>
        <w:rPr>
          <w:rFonts w:ascii="Arial" w:hAnsi="Arial" w:cs="Arial"/>
          <w:sz w:val="24"/>
          <w:szCs w:val="24"/>
        </w:rPr>
      </w:pPr>
      <w:r>
        <w:rPr>
          <w:rFonts w:ascii="Arial" w:hAnsi="Arial" w:cs="Arial"/>
          <w:sz w:val="24"/>
          <w:szCs w:val="24"/>
        </w:rPr>
        <w:t xml:space="preserve">The Performance Improvement Unit (PIU) are now represented at the CDA Board. </w:t>
      </w:r>
      <w:r w:rsidR="00E454B0">
        <w:rPr>
          <w:rFonts w:ascii="Arial" w:hAnsi="Arial" w:cs="Arial"/>
          <w:sz w:val="24"/>
          <w:szCs w:val="24"/>
        </w:rPr>
        <w:t xml:space="preserve">At the May 2019 CDA </w:t>
      </w:r>
      <w:r w:rsidR="00E454B0">
        <w:rPr>
          <w:rFonts w:ascii="Arial" w:hAnsi="Arial" w:cs="Arial"/>
          <w:sz w:val="24"/>
          <w:szCs w:val="24"/>
        </w:rPr>
        <w:lastRenderedPageBreak/>
        <w:t>Board, t</w:t>
      </w:r>
      <w:r>
        <w:rPr>
          <w:rFonts w:ascii="Arial" w:hAnsi="Arial" w:cs="Arial"/>
          <w:sz w:val="24"/>
          <w:szCs w:val="24"/>
        </w:rPr>
        <w:t xml:space="preserve">he DCC will consider </w:t>
      </w:r>
      <w:r w:rsidR="004E10C7">
        <w:rPr>
          <w:rFonts w:ascii="Arial" w:hAnsi="Arial" w:cs="Arial"/>
          <w:sz w:val="24"/>
          <w:szCs w:val="24"/>
        </w:rPr>
        <w:t xml:space="preserve">if </w:t>
      </w:r>
      <w:r>
        <w:rPr>
          <w:rFonts w:ascii="Arial" w:hAnsi="Arial" w:cs="Arial"/>
          <w:sz w:val="24"/>
          <w:szCs w:val="24"/>
        </w:rPr>
        <w:t xml:space="preserve">PIU </w:t>
      </w:r>
      <w:r w:rsidR="004E10C7">
        <w:rPr>
          <w:rFonts w:ascii="Arial" w:hAnsi="Arial" w:cs="Arial"/>
          <w:sz w:val="24"/>
          <w:szCs w:val="24"/>
        </w:rPr>
        <w:t xml:space="preserve">will be required to </w:t>
      </w:r>
      <w:r>
        <w:rPr>
          <w:rFonts w:ascii="Arial" w:hAnsi="Arial" w:cs="Arial"/>
          <w:sz w:val="24"/>
          <w:szCs w:val="24"/>
        </w:rPr>
        <w:t xml:space="preserve">support managers to improve performance in this area. </w:t>
      </w:r>
    </w:p>
    <w:p w14:paraId="0D4E3B57" w14:textId="77777777" w:rsidR="004E10C7" w:rsidRDefault="004E10C7" w:rsidP="007016D9">
      <w:pPr>
        <w:pStyle w:val="NoSpacing"/>
        <w:ind w:left="709"/>
        <w:rPr>
          <w:rFonts w:ascii="Arial" w:hAnsi="Arial" w:cs="Arial"/>
          <w:sz w:val="24"/>
          <w:szCs w:val="24"/>
        </w:rPr>
      </w:pPr>
    </w:p>
    <w:p w14:paraId="1B7EA711" w14:textId="3BC1BBD5" w:rsidR="000E4E72" w:rsidRDefault="000E4E72" w:rsidP="007016D9">
      <w:pPr>
        <w:pStyle w:val="NoSpacing"/>
        <w:ind w:left="709"/>
        <w:rPr>
          <w:rFonts w:ascii="Arial" w:hAnsi="Arial" w:cs="Arial"/>
          <w:sz w:val="24"/>
          <w:szCs w:val="24"/>
        </w:rPr>
      </w:pPr>
    </w:p>
    <w:p w14:paraId="124FAB74" w14:textId="77777777" w:rsidR="00F601BD" w:rsidRDefault="00F601BD" w:rsidP="007016D9">
      <w:pPr>
        <w:pStyle w:val="NoSpacing"/>
        <w:ind w:left="709"/>
        <w:rPr>
          <w:rFonts w:ascii="Arial" w:hAnsi="Arial" w:cs="Arial"/>
          <w:sz w:val="24"/>
          <w:szCs w:val="24"/>
        </w:rPr>
      </w:pPr>
    </w:p>
    <w:p w14:paraId="64DBF13E" w14:textId="77777777" w:rsidR="00630CB1" w:rsidRDefault="00630CB1" w:rsidP="004104BE">
      <w:pPr>
        <w:pStyle w:val="NoSpacing"/>
        <w:ind w:left="709"/>
        <w:rPr>
          <w:rFonts w:ascii="Arial" w:hAnsi="Arial" w:cs="Arial"/>
          <w:b/>
          <w:sz w:val="24"/>
          <w:szCs w:val="24"/>
          <w:u w:val="single"/>
        </w:rPr>
      </w:pPr>
      <w:r>
        <w:rPr>
          <w:rFonts w:ascii="Arial" w:hAnsi="Arial" w:cs="Arial"/>
          <w:b/>
          <w:sz w:val="24"/>
          <w:szCs w:val="24"/>
          <w:u w:val="single"/>
        </w:rPr>
        <w:t>5.4</w:t>
      </w:r>
      <w:r w:rsidR="001E2313">
        <w:rPr>
          <w:rFonts w:ascii="Arial" w:hAnsi="Arial" w:cs="Arial"/>
          <w:b/>
          <w:sz w:val="24"/>
          <w:szCs w:val="24"/>
          <w:u w:val="single"/>
        </w:rPr>
        <w:t xml:space="preserve"> </w:t>
      </w:r>
      <w:r>
        <w:rPr>
          <w:rFonts w:ascii="Arial" w:hAnsi="Arial" w:cs="Arial"/>
          <w:b/>
          <w:sz w:val="24"/>
          <w:szCs w:val="24"/>
          <w:u w:val="single"/>
        </w:rPr>
        <w:t>Changes to the Crime Recording Rules</w:t>
      </w:r>
    </w:p>
    <w:p w14:paraId="64C2CEF5" w14:textId="77777777" w:rsidR="00630CB1" w:rsidRDefault="00630CB1" w:rsidP="004104BE">
      <w:pPr>
        <w:pStyle w:val="NoSpacing"/>
        <w:ind w:left="709"/>
        <w:rPr>
          <w:rFonts w:ascii="Arial" w:hAnsi="Arial" w:cs="Arial"/>
          <w:b/>
          <w:sz w:val="24"/>
          <w:szCs w:val="24"/>
          <w:u w:val="single"/>
        </w:rPr>
      </w:pPr>
    </w:p>
    <w:p w14:paraId="208A7B60" w14:textId="77777777" w:rsidR="00794DD0" w:rsidRDefault="00794DD0" w:rsidP="00794DD0">
      <w:pPr>
        <w:pStyle w:val="NoSpacing"/>
        <w:ind w:left="709"/>
        <w:rPr>
          <w:rFonts w:ascii="Arial" w:hAnsi="Arial" w:cs="Arial"/>
          <w:sz w:val="24"/>
          <w:szCs w:val="24"/>
        </w:rPr>
      </w:pPr>
      <w:r>
        <w:rPr>
          <w:rFonts w:ascii="Arial" w:hAnsi="Arial" w:cs="Arial"/>
          <w:sz w:val="24"/>
          <w:szCs w:val="24"/>
        </w:rPr>
        <w:t xml:space="preserve">The Home Office Counting Rules (HOCR) are subject to regular review and amendments are made at least twice yearly. The following </w:t>
      </w:r>
      <w:r w:rsidR="00C52475">
        <w:rPr>
          <w:rFonts w:ascii="Arial" w:hAnsi="Arial" w:cs="Arial"/>
          <w:sz w:val="24"/>
          <w:szCs w:val="24"/>
        </w:rPr>
        <w:t>section</w:t>
      </w:r>
      <w:r>
        <w:rPr>
          <w:rFonts w:ascii="Arial" w:hAnsi="Arial" w:cs="Arial"/>
          <w:sz w:val="24"/>
          <w:szCs w:val="24"/>
        </w:rPr>
        <w:t xml:space="preserve"> outlines </w:t>
      </w:r>
      <w:r w:rsidR="00C52475">
        <w:rPr>
          <w:rFonts w:ascii="Arial" w:hAnsi="Arial" w:cs="Arial"/>
          <w:sz w:val="24"/>
          <w:szCs w:val="24"/>
        </w:rPr>
        <w:t>the</w:t>
      </w:r>
      <w:r>
        <w:rPr>
          <w:rFonts w:ascii="Arial" w:hAnsi="Arial" w:cs="Arial"/>
          <w:sz w:val="24"/>
          <w:szCs w:val="24"/>
        </w:rPr>
        <w:t xml:space="preserve"> </w:t>
      </w:r>
      <w:r w:rsidR="00C52475">
        <w:rPr>
          <w:rFonts w:ascii="Arial" w:hAnsi="Arial" w:cs="Arial"/>
          <w:sz w:val="24"/>
          <w:szCs w:val="24"/>
        </w:rPr>
        <w:t>noteworthy</w:t>
      </w:r>
      <w:r>
        <w:rPr>
          <w:rFonts w:ascii="Arial" w:hAnsi="Arial" w:cs="Arial"/>
          <w:sz w:val="24"/>
          <w:szCs w:val="24"/>
        </w:rPr>
        <w:t xml:space="preserve"> </w:t>
      </w:r>
      <w:r w:rsidR="00C52475">
        <w:rPr>
          <w:rFonts w:ascii="Arial" w:hAnsi="Arial" w:cs="Arial"/>
          <w:sz w:val="24"/>
          <w:szCs w:val="24"/>
        </w:rPr>
        <w:t>changes that</w:t>
      </w:r>
      <w:r>
        <w:rPr>
          <w:rFonts w:ascii="Arial" w:hAnsi="Arial" w:cs="Arial"/>
          <w:sz w:val="24"/>
          <w:szCs w:val="24"/>
        </w:rPr>
        <w:t xml:space="preserve"> came into effect on 1</w:t>
      </w:r>
      <w:r w:rsidRPr="00794DD0">
        <w:rPr>
          <w:rFonts w:ascii="Arial" w:hAnsi="Arial" w:cs="Arial"/>
          <w:sz w:val="24"/>
          <w:szCs w:val="24"/>
          <w:vertAlign w:val="superscript"/>
        </w:rPr>
        <w:t>st</w:t>
      </w:r>
      <w:r>
        <w:rPr>
          <w:rFonts w:ascii="Arial" w:hAnsi="Arial" w:cs="Arial"/>
          <w:sz w:val="24"/>
          <w:szCs w:val="24"/>
        </w:rPr>
        <w:t xml:space="preserve"> April 2019.</w:t>
      </w:r>
    </w:p>
    <w:p w14:paraId="7BABDAB4" w14:textId="77777777" w:rsidR="00794DD0" w:rsidRDefault="00794DD0" w:rsidP="00794DD0">
      <w:pPr>
        <w:pStyle w:val="NoSpacing"/>
        <w:ind w:left="709"/>
        <w:rPr>
          <w:rFonts w:ascii="Arial" w:hAnsi="Arial" w:cs="Arial"/>
          <w:sz w:val="24"/>
          <w:szCs w:val="24"/>
        </w:rPr>
      </w:pPr>
    </w:p>
    <w:p w14:paraId="0AF21A83" w14:textId="77777777" w:rsidR="00C52475" w:rsidRDefault="00C52475" w:rsidP="00AC00ED">
      <w:pPr>
        <w:pStyle w:val="NoSpacing"/>
        <w:ind w:left="709"/>
        <w:rPr>
          <w:rFonts w:ascii="Arial" w:hAnsi="Arial" w:cs="Arial"/>
          <w:sz w:val="24"/>
          <w:szCs w:val="24"/>
        </w:rPr>
      </w:pPr>
      <w:r w:rsidRPr="00C52475">
        <w:rPr>
          <w:rFonts w:ascii="Arial" w:hAnsi="Arial" w:cs="Arial"/>
          <w:b/>
          <w:sz w:val="24"/>
          <w:szCs w:val="24"/>
        </w:rPr>
        <w:t>Introduction of Outcome 22</w:t>
      </w:r>
      <w:r>
        <w:rPr>
          <w:rFonts w:ascii="Arial" w:hAnsi="Arial" w:cs="Arial"/>
          <w:sz w:val="24"/>
          <w:szCs w:val="24"/>
        </w:rPr>
        <w:t xml:space="preserve"> –Outcome</w:t>
      </w:r>
      <w:r w:rsidRPr="00794DD0">
        <w:rPr>
          <w:rFonts w:ascii="Arial" w:hAnsi="Arial" w:cs="Arial"/>
          <w:sz w:val="24"/>
          <w:szCs w:val="24"/>
        </w:rPr>
        <w:t xml:space="preserve"> 22</w:t>
      </w:r>
      <w:r>
        <w:rPr>
          <w:rFonts w:ascii="Arial" w:hAnsi="Arial" w:cs="Arial"/>
          <w:sz w:val="24"/>
          <w:szCs w:val="24"/>
        </w:rPr>
        <w:t>,</w:t>
      </w:r>
      <w:r w:rsidRPr="00794DD0">
        <w:rPr>
          <w:rFonts w:ascii="Arial" w:hAnsi="Arial" w:cs="Arial"/>
          <w:sz w:val="24"/>
          <w:szCs w:val="24"/>
        </w:rPr>
        <w:t xml:space="preserve"> is introduced to cov</w:t>
      </w:r>
      <w:r w:rsidR="00AC00ED">
        <w:rPr>
          <w:rFonts w:ascii="Arial" w:hAnsi="Arial" w:cs="Arial"/>
          <w:sz w:val="24"/>
          <w:szCs w:val="24"/>
        </w:rPr>
        <w:t xml:space="preserve">er the following circumstances: </w:t>
      </w:r>
      <w:r w:rsidRPr="00AC00ED">
        <w:rPr>
          <w:rFonts w:ascii="Arial" w:hAnsi="Arial" w:cs="Arial"/>
          <w:i/>
          <w:sz w:val="24"/>
          <w:szCs w:val="24"/>
        </w:rPr>
        <w:t>“Diversionary, educational or intervention activity, resulting from the crime report, has been undertaken and it is not in the public interest to take any further action.”</w:t>
      </w:r>
    </w:p>
    <w:p w14:paraId="04EFD575" w14:textId="77777777" w:rsidR="00C52475" w:rsidRPr="00794DD0" w:rsidRDefault="00C52475" w:rsidP="00C52475">
      <w:pPr>
        <w:pStyle w:val="NoSpacing"/>
        <w:ind w:left="709" w:firstLine="11"/>
        <w:rPr>
          <w:rFonts w:ascii="Arial" w:hAnsi="Arial" w:cs="Arial"/>
          <w:sz w:val="24"/>
          <w:szCs w:val="24"/>
        </w:rPr>
      </w:pPr>
    </w:p>
    <w:p w14:paraId="7FDC9003" w14:textId="77777777" w:rsidR="00C52475" w:rsidRDefault="00C52475" w:rsidP="00C52475">
      <w:pPr>
        <w:pStyle w:val="NoSpacing"/>
        <w:ind w:left="709"/>
        <w:rPr>
          <w:rFonts w:ascii="Arial" w:hAnsi="Arial" w:cs="Arial"/>
          <w:sz w:val="24"/>
          <w:szCs w:val="24"/>
        </w:rPr>
      </w:pPr>
      <w:r w:rsidRPr="00794DD0">
        <w:rPr>
          <w:rFonts w:ascii="Arial" w:hAnsi="Arial" w:cs="Arial"/>
          <w:sz w:val="24"/>
          <w:szCs w:val="24"/>
        </w:rPr>
        <w:t xml:space="preserve">This outcome will therefore recognise crimes where no further formal action is taken against the offender, but where there is still some activity to prevent further offending. Examples of where this </w:t>
      </w:r>
      <w:r>
        <w:rPr>
          <w:rFonts w:ascii="Arial" w:hAnsi="Arial" w:cs="Arial"/>
          <w:sz w:val="24"/>
          <w:szCs w:val="24"/>
        </w:rPr>
        <w:t xml:space="preserve">outcome is likely to be </w:t>
      </w:r>
      <w:r w:rsidRPr="00794DD0">
        <w:rPr>
          <w:rFonts w:ascii="Arial" w:hAnsi="Arial" w:cs="Arial"/>
          <w:sz w:val="24"/>
          <w:szCs w:val="24"/>
        </w:rPr>
        <w:t>used:</w:t>
      </w:r>
    </w:p>
    <w:p w14:paraId="4B8DD13A" w14:textId="77777777" w:rsidR="00C52475" w:rsidRPr="00794DD0" w:rsidRDefault="00C52475" w:rsidP="00C52475">
      <w:pPr>
        <w:pStyle w:val="NoSpacing"/>
        <w:ind w:left="709"/>
        <w:rPr>
          <w:rFonts w:ascii="Arial" w:hAnsi="Arial" w:cs="Arial"/>
          <w:sz w:val="24"/>
          <w:szCs w:val="24"/>
        </w:rPr>
      </w:pPr>
    </w:p>
    <w:p w14:paraId="1AA08DF1" w14:textId="1592FB63" w:rsidR="00C52475" w:rsidRPr="00794DD0" w:rsidRDefault="00C52475" w:rsidP="00E454B0">
      <w:pPr>
        <w:pStyle w:val="NoSpacing"/>
        <w:numPr>
          <w:ilvl w:val="0"/>
          <w:numId w:val="18"/>
        </w:numPr>
        <w:rPr>
          <w:rFonts w:ascii="Arial" w:hAnsi="Arial" w:cs="Arial"/>
          <w:sz w:val="24"/>
          <w:szCs w:val="24"/>
        </w:rPr>
      </w:pPr>
      <w:r w:rsidRPr="00794DD0">
        <w:rPr>
          <w:rFonts w:ascii="Arial" w:hAnsi="Arial" w:cs="Arial"/>
          <w:sz w:val="24"/>
          <w:szCs w:val="24"/>
        </w:rPr>
        <w:t>C</w:t>
      </w:r>
      <w:r w:rsidR="004E10C7">
        <w:rPr>
          <w:rFonts w:ascii="Arial" w:hAnsi="Arial" w:cs="Arial"/>
          <w:sz w:val="24"/>
          <w:szCs w:val="24"/>
        </w:rPr>
        <w:t xml:space="preserve">ommunity </w:t>
      </w:r>
      <w:r w:rsidRPr="00794DD0">
        <w:rPr>
          <w:rFonts w:ascii="Arial" w:hAnsi="Arial" w:cs="Arial"/>
          <w:sz w:val="24"/>
          <w:szCs w:val="24"/>
        </w:rPr>
        <w:t>R</w:t>
      </w:r>
      <w:r w:rsidR="004E10C7">
        <w:rPr>
          <w:rFonts w:ascii="Arial" w:hAnsi="Arial" w:cs="Arial"/>
          <w:sz w:val="24"/>
          <w:szCs w:val="24"/>
        </w:rPr>
        <w:t>esolution</w:t>
      </w:r>
      <w:r w:rsidRPr="00794DD0">
        <w:rPr>
          <w:rFonts w:ascii="Arial" w:hAnsi="Arial" w:cs="Arial"/>
          <w:sz w:val="24"/>
          <w:szCs w:val="24"/>
        </w:rPr>
        <w:t>+ where a child is not given a formal sanction but referred to the Youth Offending Team to divert them away from crime (previously known as youth triage)</w:t>
      </w:r>
    </w:p>
    <w:p w14:paraId="1C72114C" w14:textId="77777777" w:rsidR="00C52475" w:rsidRPr="00794DD0" w:rsidRDefault="00C52475" w:rsidP="00E454B0">
      <w:pPr>
        <w:pStyle w:val="NoSpacing"/>
        <w:numPr>
          <w:ilvl w:val="0"/>
          <w:numId w:val="18"/>
        </w:numPr>
        <w:rPr>
          <w:rFonts w:ascii="Arial" w:hAnsi="Arial" w:cs="Arial"/>
          <w:sz w:val="24"/>
          <w:szCs w:val="24"/>
        </w:rPr>
      </w:pPr>
      <w:r>
        <w:rPr>
          <w:rFonts w:ascii="Arial" w:hAnsi="Arial" w:cs="Arial"/>
          <w:sz w:val="24"/>
          <w:szCs w:val="24"/>
        </w:rPr>
        <w:t xml:space="preserve">No further formal action is taken against the offence however a </w:t>
      </w:r>
      <w:r w:rsidRPr="00794DD0">
        <w:rPr>
          <w:rFonts w:ascii="Arial" w:hAnsi="Arial" w:cs="Arial"/>
          <w:sz w:val="24"/>
          <w:szCs w:val="24"/>
        </w:rPr>
        <w:t xml:space="preserve">Domestic Violence Protection Notice </w:t>
      </w:r>
      <w:r>
        <w:rPr>
          <w:rFonts w:ascii="Arial" w:hAnsi="Arial" w:cs="Arial"/>
          <w:sz w:val="24"/>
          <w:szCs w:val="24"/>
        </w:rPr>
        <w:t xml:space="preserve">is </w:t>
      </w:r>
      <w:r w:rsidRPr="00794DD0">
        <w:rPr>
          <w:rFonts w:ascii="Arial" w:hAnsi="Arial" w:cs="Arial"/>
          <w:sz w:val="24"/>
          <w:szCs w:val="24"/>
        </w:rPr>
        <w:t>issued</w:t>
      </w:r>
    </w:p>
    <w:p w14:paraId="5F0E53AB" w14:textId="77777777" w:rsidR="00C52475" w:rsidRPr="00794DD0" w:rsidRDefault="00C52475" w:rsidP="00E454B0">
      <w:pPr>
        <w:pStyle w:val="NoSpacing"/>
        <w:numPr>
          <w:ilvl w:val="0"/>
          <w:numId w:val="18"/>
        </w:numPr>
        <w:rPr>
          <w:rFonts w:ascii="Arial" w:hAnsi="Arial" w:cs="Arial"/>
          <w:sz w:val="24"/>
          <w:szCs w:val="24"/>
        </w:rPr>
      </w:pPr>
      <w:r>
        <w:rPr>
          <w:rFonts w:ascii="Arial" w:hAnsi="Arial" w:cs="Arial"/>
          <w:sz w:val="24"/>
          <w:szCs w:val="24"/>
        </w:rPr>
        <w:t xml:space="preserve">No further formal action is taken against the offence however a </w:t>
      </w:r>
      <w:r w:rsidRPr="00794DD0">
        <w:rPr>
          <w:rFonts w:ascii="Arial" w:hAnsi="Arial" w:cs="Arial"/>
          <w:sz w:val="24"/>
          <w:szCs w:val="24"/>
        </w:rPr>
        <w:t>Community Protection Warning/Notice issued</w:t>
      </w:r>
    </w:p>
    <w:p w14:paraId="43ACB6C4" w14:textId="77777777" w:rsidR="00C52475" w:rsidRDefault="00C52475" w:rsidP="00794DD0">
      <w:pPr>
        <w:pStyle w:val="NoSpacing"/>
        <w:ind w:left="709"/>
        <w:rPr>
          <w:rFonts w:ascii="Arial" w:hAnsi="Arial" w:cs="Arial"/>
          <w:sz w:val="24"/>
          <w:szCs w:val="24"/>
        </w:rPr>
      </w:pPr>
    </w:p>
    <w:p w14:paraId="53EC4968" w14:textId="77777777" w:rsidR="00C52475" w:rsidRDefault="00C52475" w:rsidP="00794DD0">
      <w:pPr>
        <w:pStyle w:val="NoSpacing"/>
        <w:ind w:left="709"/>
        <w:rPr>
          <w:rFonts w:ascii="Arial" w:hAnsi="Arial" w:cs="Arial"/>
          <w:sz w:val="24"/>
          <w:szCs w:val="24"/>
        </w:rPr>
      </w:pPr>
    </w:p>
    <w:p w14:paraId="2AC8EA35" w14:textId="77777777" w:rsidR="00C52475" w:rsidRPr="00794DD0" w:rsidRDefault="00C52475" w:rsidP="00C52475">
      <w:pPr>
        <w:pStyle w:val="NoSpacing"/>
        <w:ind w:left="709"/>
        <w:rPr>
          <w:rFonts w:ascii="Arial" w:hAnsi="Arial" w:cs="Arial"/>
          <w:sz w:val="24"/>
          <w:szCs w:val="24"/>
        </w:rPr>
      </w:pPr>
      <w:r w:rsidRPr="00C52475">
        <w:rPr>
          <w:rFonts w:ascii="Arial" w:hAnsi="Arial" w:cs="Arial"/>
          <w:b/>
          <w:sz w:val="24"/>
          <w:szCs w:val="24"/>
        </w:rPr>
        <w:t>Changes to the way Non-Crime Modern Slavery</w:t>
      </w:r>
      <w:r w:rsidR="00E454B0">
        <w:rPr>
          <w:rFonts w:ascii="Arial" w:hAnsi="Arial" w:cs="Arial"/>
          <w:b/>
          <w:sz w:val="24"/>
          <w:szCs w:val="24"/>
        </w:rPr>
        <w:t>/ Human Trafficking</w:t>
      </w:r>
      <w:r w:rsidRPr="00C52475">
        <w:rPr>
          <w:rFonts w:ascii="Arial" w:hAnsi="Arial" w:cs="Arial"/>
          <w:b/>
          <w:sz w:val="24"/>
          <w:szCs w:val="24"/>
        </w:rPr>
        <w:t xml:space="preserve"> is recorded</w:t>
      </w:r>
      <w:r>
        <w:rPr>
          <w:rFonts w:ascii="Arial" w:hAnsi="Arial" w:cs="Arial"/>
          <w:sz w:val="24"/>
          <w:szCs w:val="24"/>
        </w:rPr>
        <w:t>. –</w:t>
      </w:r>
      <w:r w:rsidRPr="00794DD0">
        <w:rPr>
          <w:rFonts w:ascii="Arial" w:hAnsi="Arial" w:cs="Arial"/>
          <w:sz w:val="24"/>
          <w:szCs w:val="24"/>
        </w:rPr>
        <w:t>. The changes relate to cases</w:t>
      </w:r>
      <w:r w:rsidR="00E454B0">
        <w:rPr>
          <w:rFonts w:ascii="Arial" w:hAnsi="Arial" w:cs="Arial"/>
          <w:sz w:val="24"/>
          <w:szCs w:val="24"/>
        </w:rPr>
        <w:t xml:space="preserve"> of Modern Slavery/ Human Trafficking</w:t>
      </w:r>
      <w:r w:rsidRPr="00794DD0">
        <w:rPr>
          <w:rFonts w:ascii="Arial" w:hAnsi="Arial" w:cs="Arial"/>
          <w:sz w:val="24"/>
          <w:szCs w:val="24"/>
        </w:rPr>
        <w:t xml:space="preserve"> where a </w:t>
      </w:r>
      <w:r>
        <w:rPr>
          <w:rFonts w:ascii="Arial" w:hAnsi="Arial" w:cs="Arial"/>
          <w:sz w:val="24"/>
          <w:szCs w:val="24"/>
        </w:rPr>
        <w:t xml:space="preserve">formal </w:t>
      </w:r>
      <w:r w:rsidRPr="00794DD0">
        <w:rPr>
          <w:rFonts w:ascii="Arial" w:hAnsi="Arial" w:cs="Arial"/>
          <w:sz w:val="24"/>
          <w:szCs w:val="24"/>
        </w:rPr>
        <w:t>crime</w:t>
      </w:r>
      <w:r>
        <w:rPr>
          <w:rFonts w:ascii="Arial" w:hAnsi="Arial" w:cs="Arial"/>
          <w:sz w:val="24"/>
          <w:szCs w:val="24"/>
        </w:rPr>
        <w:t xml:space="preserve"> record</w:t>
      </w:r>
      <w:r w:rsidRPr="00794DD0">
        <w:rPr>
          <w:rFonts w:ascii="Arial" w:hAnsi="Arial" w:cs="Arial"/>
          <w:sz w:val="24"/>
          <w:szCs w:val="24"/>
        </w:rPr>
        <w:t xml:space="preserve"> is not required. Examples include where the offending in question has occurred in another force or outside of England and Wales. There will now be six different types of Modern Slavery non-crime records (N200/01 to N200/06).</w:t>
      </w:r>
      <w:r>
        <w:rPr>
          <w:rFonts w:ascii="Arial" w:hAnsi="Arial" w:cs="Arial"/>
          <w:sz w:val="24"/>
          <w:szCs w:val="24"/>
        </w:rPr>
        <w:t xml:space="preserve"> This will provide better oversight of modern slavery cases where crimes are not recorded and allow better analysis of the breakdown for non-crime records. </w:t>
      </w:r>
    </w:p>
    <w:p w14:paraId="78CDBB68" w14:textId="77777777" w:rsidR="00C52475" w:rsidRDefault="00C52475" w:rsidP="00794DD0">
      <w:pPr>
        <w:pStyle w:val="NoSpacing"/>
        <w:ind w:left="709"/>
        <w:rPr>
          <w:rFonts w:ascii="Arial" w:hAnsi="Arial" w:cs="Arial"/>
          <w:sz w:val="24"/>
          <w:szCs w:val="24"/>
        </w:rPr>
      </w:pPr>
    </w:p>
    <w:p w14:paraId="079B81EA" w14:textId="77777777" w:rsidR="00C52475" w:rsidRPr="00C52475" w:rsidRDefault="00C52475" w:rsidP="00C52475">
      <w:pPr>
        <w:pStyle w:val="NoSpacing"/>
        <w:ind w:left="709"/>
        <w:rPr>
          <w:rFonts w:ascii="Arial" w:hAnsi="Arial" w:cs="Arial"/>
          <w:b/>
          <w:sz w:val="24"/>
          <w:szCs w:val="24"/>
        </w:rPr>
      </w:pPr>
      <w:r w:rsidRPr="00C52475">
        <w:rPr>
          <w:rFonts w:ascii="Arial" w:hAnsi="Arial" w:cs="Arial"/>
          <w:b/>
          <w:sz w:val="24"/>
          <w:szCs w:val="24"/>
        </w:rPr>
        <w:t>A new classification of rape –</w:t>
      </w:r>
      <w:r>
        <w:rPr>
          <w:rFonts w:ascii="Arial" w:hAnsi="Arial" w:cs="Arial"/>
          <w:b/>
          <w:sz w:val="24"/>
          <w:szCs w:val="24"/>
        </w:rPr>
        <w:t xml:space="preserve"> ‘multiple undefined offenders’ </w:t>
      </w:r>
      <w:r w:rsidRPr="00C52475">
        <w:rPr>
          <w:rFonts w:ascii="Arial" w:hAnsi="Arial" w:cs="Arial"/>
          <w:sz w:val="24"/>
          <w:szCs w:val="24"/>
        </w:rPr>
        <w:t xml:space="preserve">– </w:t>
      </w:r>
      <w:r w:rsidRPr="00794DD0">
        <w:rPr>
          <w:rFonts w:ascii="Arial" w:hAnsi="Arial" w:cs="Arial"/>
          <w:sz w:val="24"/>
          <w:szCs w:val="24"/>
        </w:rPr>
        <w:t>When</w:t>
      </w:r>
      <w:r>
        <w:rPr>
          <w:rFonts w:ascii="Arial" w:hAnsi="Arial" w:cs="Arial"/>
          <w:sz w:val="24"/>
          <w:szCs w:val="24"/>
        </w:rPr>
        <w:t xml:space="preserve"> </w:t>
      </w:r>
      <w:r w:rsidRPr="00794DD0">
        <w:rPr>
          <w:rFonts w:ascii="Arial" w:hAnsi="Arial" w:cs="Arial"/>
          <w:sz w:val="24"/>
          <w:szCs w:val="24"/>
        </w:rPr>
        <w:t xml:space="preserve"> recording crimes of rape, there is a specific rule which means one crime is required for each person who has penetrated the victim. If the victim makes an allegation that multiple offenders penetrated them, but they are unable to provide any details about the offenders, then the new classification of ‘multiple undefined offenders’ should be used. If the victim can provide any descriptive detail about any of the offenders then a separate rape crime should be recorded for each offender who can be differentiated. This new category should only be used for those cases where the victim is unable to define separate offenders. </w:t>
      </w:r>
    </w:p>
    <w:p w14:paraId="73D3AEAB" w14:textId="77777777" w:rsidR="00C52475" w:rsidRDefault="00C52475" w:rsidP="00794DD0">
      <w:pPr>
        <w:pStyle w:val="NoSpacing"/>
        <w:ind w:left="709"/>
        <w:rPr>
          <w:rFonts w:ascii="Arial" w:hAnsi="Arial" w:cs="Arial"/>
          <w:sz w:val="24"/>
          <w:szCs w:val="24"/>
        </w:rPr>
      </w:pPr>
    </w:p>
    <w:p w14:paraId="1AE0CCF6" w14:textId="5F4C04B7" w:rsidR="00517A15" w:rsidRDefault="00794DD0" w:rsidP="00AC00ED">
      <w:pPr>
        <w:pStyle w:val="NoSpacing"/>
        <w:ind w:left="709"/>
        <w:rPr>
          <w:rFonts w:ascii="Arial" w:hAnsi="Arial" w:cs="Arial"/>
          <w:sz w:val="24"/>
          <w:szCs w:val="24"/>
        </w:rPr>
      </w:pPr>
      <w:r w:rsidRPr="00C52475">
        <w:rPr>
          <w:rFonts w:ascii="Arial" w:hAnsi="Arial" w:cs="Arial"/>
          <w:b/>
          <w:sz w:val="24"/>
          <w:szCs w:val="24"/>
        </w:rPr>
        <w:t>A new classification of ‘additional voyeurism offences’ (Upskirting)</w:t>
      </w:r>
      <w:r w:rsidR="00C52475">
        <w:rPr>
          <w:rFonts w:ascii="Arial" w:hAnsi="Arial" w:cs="Arial"/>
          <w:b/>
          <w:sz w:val="24"/>
          <w:szCs w:val="24"/>
        </w:rPr>
        <w:t xml:space="preserve"> </w:t>
      </w:r>
      <w:r w:rsidR="00C52475" w:rsidRPr="00C52475">
        <w:rPr>
          <w:rFonts w:ascii="Arial" w:hAnsi="Arial" w:cs="Arial"/>
          <w:sz w:val="24"/>
          <w:szCs w:val="24"/>
        </w:rPr>
        <w:t xml:space="preserve">– </w:t>
      </w:r>
      <w:r w:rsidRPr="00794DD0">
        <w:rPr>
          <w:rFonts w:ascii="Arial" w:hAnsi="Arial" w:cs="Arial"/>
          <w:sz w:val="24"/>
          <w:szCs w:val="24"/>
        </w:rPr>
        <w:t>A</w:t>
      </w:r>
      <w:r w:rsidR="00C52475">
        <w:rPr>
          <w:rFonts w:ascii="Arial" w:hAnsi="Arial" w:cs="Arial"/>
          <w:sz w:val="24"/>
          <w:szCs w:val="24"/>
        </w:rPr>
        <w:t xml:space="preserve"> </w:t>
      </w:r>
      <w:r w:rsidRPr="00794DD0">
        <w:rPr>
          <w:rFonts w:ascii="Arial" w:hAnsi="Arial" w:cs="Arial"/>
          <w:sz w:val="24"/>
          <w:szCs w:val="24"/>
        </w:rPr>
        <w:t xml:space="preserve">new classification is introduced to capture the forthcoming introduction of the new offences relating to ‘upskirting’. These offences are due to come into force on 12th April 2019. </w:t>
      </w:r>
    </w:p>
    <w:p w14:paraId="025DD6F2" w14:textId="370D026A" w:rsidR="00F601BD" w:rsidRDefault="00F601BD" w:rsidP="00AC00ED">
      <w:pPr>
        <w:pStyle w:val="NoSpacing"/>
        <w:ind w:left="709"/>
        <w:rPr>
          <w:rFonts w:ascii="Arial" w:hAnsi="Arial" w:cs="Arial"/>
          <w:sz w:val="24"/>
          <w:szCs w:val="24"/>
        </w:rPr>
      </w:pPr>
    </w:p>
    <w:p w14:paraId="092276A6" w14:textId="4D3F5F67" w:rsidR="00F601BD" w:rsidRDefault="00F601BD" w:rsidP="00AC00ED">
      <w:pPr>
        <w:pStyle w:val="NoSpacing"/>
        <w:ind w:left="709"/>
        <w:rPr>
          <w:rFonts w:ascii="Arial" w:hAnsi="Arial" w:cs="Arial"/>
          <w:sz w:val="24"/>
          <w:szCs w:val="24"/>
        </w:rPr>
      </w:pPr>
    </w:p>
    <w:p w14:paraId="133BC49E" w14:textId="5DB1B418" w:rsidR="00F601BD" w:rsidRDefault="00F601BD" w:rsidP="00AC00ED">
      <w:pPr>
        <w:pStyle w:val="NoSpacing"/>
        <w:ind w:left="709"/>
        <w:rPr>
          <w:rFonts w:ascii="Arial" w:hAnsi="Arial" w:cs="Arial"/>
          <w:sz w:val="24"/>
          <w:szCs w:val="24"/>
        </w:rPr>
      </w:pPr>
    </w:p>
    <w:p w14:paraId="0556F79B" w14:textId="77777777" w:rsidR="00F601BD" w:rsidRPr="00AC00ED" w:rsidRDefault="00F601BD" w:rsidP="00AC00ED">
      <w:pPr>
        <w:pStyle w:val="NoSpacing"/>
        <w:ind w:left="709"/>
        <w:rPr>
          <w:rFonts w:ascii="Arial" w:hAnsi="Arial" w:cs="Arial"/>
          <w:sz w:val="24"/>
          <w:szCs w:val="24"/>
        </w:rPr>
      </w:pPr>
    </w:p>
    <w:p w14:paraId="3D23B024" w14:textId="77777777" w:rsidR="001E2313" w:rsidRDefault="00630CB1" w:rsidP="004104BE">
      <w:pPr>
        <w:pStyle w:val="NoSpacing"/>
        <w:ind w:left="709"/>
        <w:rPr>
          <w:rFonts w:ascii="Arial" w:hAnsi="Arial" w:cs="Arial"/>
          <w:b/>
          <w:sz w:val="24"/>
          <w:szCs w:val="24"/>
          <w:u w:val="single"/>
        </w:rPr>
      </w:pPr>
      <w:r>
        <w:rPr>
          <w:rFonts w:ascii="Arial" w:hAnsi="Arial" w:cs="Arial"/>
          <w:b/>
          <w:sz w:val="24"/>
          <w:szCs w:val="24"/>
          <w:u w:val="single"/>
        </w:rPr>
        <w:t xml:space="preserve">5.5 </w:t>
      </w:r>
      <w:r w:rsidR="001E2313">
        <w:rPr>
          <w:rFonts w:ascii="Arial" w:hAnsi="Arial" w:cs="Arial"/>
          <w:b/>
          <w:sz w:val="24"/>
          <w:szCs w:val="24"/>
          <w:u w:val="single"/>
        </w:rPr>
        <w:t>HMICFRS Crime Data Integrity Inspection</w:t>
      </w:r>
    </w:p>
    <w:p w14:paraId="1D292674" w14:textId="77777777" w:rsidR="001E2313" w:rsidRDefault="001E2313" w:rsidP="004104BE">
      <w:pPr>
        <w:pStyle w:val="NoSpacing"/>
        <w:ind w:left="709"/>
        <w:rPr>
          <w:rFonts w:ascii="Arial" w:hAnsi="Arial" w:cs="Arial"/>
          <w:b/>
          <w:sz w:val="24"/>
          <w:szCs w:val="24"/>
          <w:u w:val="single"/>
        </w:rPr>
      </w:pPr>
    </w:p>
    <w:p w14:paraId="4EB4EDA8" w14:textId="77777777" w:rsidR="00DA4C01" w:rsidRDefault="00C52475" w:rsidP="00C52475">
      <w:pPr>
        <w:pStyle w:val="NoSpacing"/>
        <w:ind w:left="709"/>
        <w:rPr>
          <w:rFonts w:ascii="Arial" w:hAnsi="Arial" w:cs="Arial"/>
          <w:sz w:val="24"/>
          <w:szCs w:val="24"/>
        </w:rPr>
      </w:pPr>
      <w:r>
        <w:rPr>
          <w:rFonts w:ascii="Arial" w:hAnsi="Arial" w:cs="Arial"/>
          <w:sz w:val="24"/>
          <w:szCs w:val="24"/>
        </w:rPr>
        <w:t xml:space="preserve">The last report gave an overview of the </w:t>
      </w:r>
      <w:r w:rsidR="00DA4C01">
        <w:rPr>
          <w:rFonts w:ascii="Arial" w:hAnsi="Arial" w:cs="Arial"/>
          <w:sz w:val="24"/>
          <w:szCs w:val="24"/>
        </w:rPr>
        <w:t xml:space="preserve">rolling CDI inspection programme in progress by </w:t>
      </w:r>
      <w:r>
        <w:rPr>
          <w:rFonts w:ascii="Arial" w:hAnsi="Arial" w:cs="Arial"/>
          <w:sz w:val="24"/>
          <w:szCs w:val="24"/>
        </w:rPr>
        <w:t xml:space="preserve">HMICFRS. </w:t>
      </w:r>
    </w:p>
    <w:p w14:paraId="0E0E24BE" w14:textId="77777777" w:rsidR="00DA4C01" w:rsidRDefault="00DA4C01" w:rsidP="00C52475">
      <w:pPr>
        <w:pStyle w:val="NoSpacing"/>
        <w:ind w:left="709"/>
        <w:rPr>
          <w:rFonts w:ascii="Arial" w:hAnsi="Arial" w:cs="Arial"/>
          <w:sz w:val="24"/>
          <w:szCs w:val="24"/>
        </w:rPr>
      </w:pPr>
    </w:p>
    <w:p w14:paraId="4FA45747" w14:textId="77777777" w:rsidR="001E2313" w:rsidRDefault="00C52475" w:rsidP="00C52475">
      <w:pPr>
        <w:pStyle w:val="NoSpacing"/>
        <w:ind w:left="709"/>
        <w:rPr>
          <w:rFonts w:ascii="Arial" w:hAnsi="Arial" w:cs="Arial"/>
          <w:sz w:val="24"/>
          <w:szCs w:val="24"/>
        </w:rPr>
      </w:pPr>
      <w:r>
        <w:rPr>
          <w:rFonts w:ascii="Arial" w:hAnsi="Arial" w:cs="Arial"/>
          <w:sz w:val="24"/>
          <w:szCs w:val="24"/>
        </w:rPr>
        <w:t>On 25</w:t>
      </w:r>
      <w:r w:rsidRPr="00C52475">
        <w:rPr>
          <w:rFonts w:ascii="Arial" w:hAnsi="Arial" w:cs="Arial"/>
          <w:sz w:val="24"/>
          <w:szCs w:val="24"/>
          <w:vertAlign w:val="superscript"/>
        </w:rPr>
        <w:t>th</w:t>
      </w:r>
      <w:r>
        <w:rPr>
          <w:rFonts w:ascii="Arial" w:hAnsi="Arial" w:cs="Arial"/>
          <w:sz w:val="24"/>
          <w:szCs w:val="24"/>
        </w:rPr>
        <w:t xml:space="preserve"> March 2019</w:t>
      </w:r>
      <w:r w:rsidR="00DA4C01">
        <w:rPr>
          <w:rFonts w:ascii="Arial" w:hAnsi="Arial" w:cs="Arial"/>
          <w:sz w:val="24"/>
          <w:szCs w:val="24"/>
        </w:rPr>
        <w:t>,</w:t>
      </w:r>
      <w:r w:rsidR="00E454B0">
        <w:rPr>
          <w:rFonts w:ascii="Arial" w:hAnsi="Arial" w:cs="Arial"/>
          <w:sz w:val="24"/>
          <w:szCs w:val="24"/>
        </w:rPr>
        <w:t xml:space="preserve"> Essex Police was</w:t>
      </w:r>
      <w:r>
        <w:rPr>
          <w:rFonts w:ascii="Arial" w:hAnsi="Arial" w:cs="Arial"/>
          <w:sz w:val="24"/>
          <w:szCs w:val="24"/>
        </w:rPr>
        <w:t xml:space="preserve"> formally informed HMICFRS will be </w:t>
      </w:r>
      <w:r w:rsidR="00DA4C01">
        <w:rPr>
          <w:rFonts w:ascii="Arial" w:hAnsi="Arial" w:cs="Arial"/>
          <w:sz w:val="24"/>
          <w:szCs w:val="24"/>
        </w:rPr>
        <w:t>commencing the CDI inspection of the force on 29</w:t>
      </w:r>
      <w:r w:rsidR="00DA4C01" w:rsidRPr="00DA4C01">
        <w:rPr>
          <w:rFonts w:ascii="Arial" w:hAnsi="Arial" w:cs="Arial"/>
          <w:sz w:val="24"/>
          <w:szCs w:val="24"/>
          <w:vertAlign w:val="superscript"/>
        </w:rPr>
        <w:t>th</w:t>
      </w:r>
      <w:r w:rsidR="00DA4C01">
        <w:rPr>
          <w:rFonts w:ascii="Arial" w:hAnsi="Arial" w:cs="Arial"/>
          <w:sz w:val="24"/>
          <w:szCs w:val="24"/>
        </w:rPr>
        <w:t xml:space="preserve"> April 2019. </w:t>
      </w:r>
      <w:r w:rsidR="00517A15">
        <w:rPr>
          <w:rFonts w:ascii="Arial" w:hAnsi="Arial" w:cs="Arial"/>
          <w:sz w:val="24"/>
          <w:szCs w:val="24"/>
        </w:rPr>
        <w:t>Table 4</w:t>
      </w:r>
      <w:r w:rsidR="00DA4C01">
        <w:rPr>
          <w:rFonts w:ascii="Arial" w:hAnsi="Arial" w:cs="Arial"/>
          <w:sz w:val="24"/>
          <w:szCs w:val="24"/>
        </w:rPr>
        <w:t xml:space="preserve"> gives an indication of the timeline of activity</w:t>
      </w:r>
      <w:r w:rsidR="00E454B0">
        <w:rPr>
          <w:rFonts w:ascii="Arial" w:hAnsi="Arial" w:cs="Arial"/>
          <w:sz w:val="24"/>
          <w:szCs w:val="24"/>
        </w:rPr>
        <w:t xml:space="preserve"> arising from the inspection</w:t>
      </w:r>
      <w:r w:rsidR="00DA4C01">
        <w:rPr>
          <w:rFonts w:ascii="Arial" w:hAnsi="Arial" w:cs="Arial"/>
          <w:sz w:val="24"/>
          <w:szCs w:val="24"/>
        </w:rPr>
        <w:t>.</w:t>
      </w:r>
    </w:p>
    <w:p w14:paraId="6EB518DB" w14:textId="77777777" w:rsidR="00DA4C01" w:rsidRDefault="00DA4C01" w:rsidP="00C52475">
      <w:pPr>
        <w:pStyle w:val="NoSpacing"/>
        <w:ind w:left="709"/>
        <w:rPr>
          <w:rFonts w:ascii="Arial" w:hAnsi="Arial" w:cs="Arial"/>
          <w:sz w:val="24"/>
          <w:szCs w:val="24"/>
        </w:rPr>
      </w:pPr>
    </w:p>
    <w:tbl>
      <w:tblPr>
        <w:tblW w:w="9072" w:type="dxa"/>
        <w:tblInd w:w="699" w:type="dxa"/>
        <w:tblLook w:val="04A0" w:firstRow="1" w:lastRow="0" w:firstColumn="1" w:lastColumn="0" w:noHBand="0" w:noVBand="1"/>
      </w:tblPr>
      <w:tblGrid>
        <w:gridCol w:w="6521"/>
        <w:gridCol w:w="1264"/>
        <w:gridCol w:w="1287"/>
      </w:tblGrid>
      <w:tr w:rsidR="00DA7A51" w:rsidRPr="00DA7A51" w14:paraId="767F88F3" w14:textId="77777777" w:rsidTr="00517A15">
        <w:trPr>
          <w:trHeight w:val="330"/>
        </w:trPr>
        <w:tc>
          <w:tcPr>
            <w:tcW w:w="6521" w:type="dxa"/>
            <w:tcBorders>
              <w:top w:val="single" w:sz="8" w:space="0" w:color="auto"/>
              <w:left w:val="single" w:sz="8" w:space="0" w:color="auto"/>
              <w:bottom w:val="single" w:sz="8" w:space="0" w:color="auto"/>
              <w:right w:val="single" w:sz="8" w:space="0" w:color="auto"/>
            </w:tcBorders>
            <w:shd w:val="clear" w:color="000000" w:fill="4F81BD"/>
            <w:vAlign w:val="center"/>
            <w:hideMark/>
          </w:tcPr>
          <w:p w14:paraId="34877023" w14:textId="77777777" w:rsidR="00DA7A51" w:rsidRPr="00DA7A51" w:rsidRDefault="00DA7A51" w:rsidP="00DA7A51">
            <w:pPr>
              <w:spacing w:after="0" w:line="240" w:lineRule="auto"/>
              <w:jc w:val="center"/>
              <w:rPr>
                <w:rFonts w:ascii="Calibri" w:eastAsia="Times New Roman" w:hAnsi="Calibri" w:cs="Calibri"/>
                <w:b/>
                <w:bCs/>
                <w:color w:val="FFFFFF"/>
                <w:sz w:val="24"/>
                <w:szCs w:val="24"/>
                <w:lang w:eastAsia="en-GB"/>
              </w:rPr>
            </w:pPr>
            <w:r w:rsidRPr="00DA7A51">
              <w:rPr>
                <w:rFonts w:ascii="Calibri" w:eastAsia="Times New Roman" w:hAnsi="Calibri" w:cs="Calibri"/>
                <w:b/>
                <w:bCs/>
                <w:color w:val="FFFFFF"/>
                <w:sz w:val="24"/>
                <w:szCs w:val="24"/>
                <w:lang w:eastAsia="en-GB"/>
              </w:rPr>
              <w:t>Activity</w:t>
            </w:r>
          </w:p>
        </w:tc>
        <w:tc>
          <w:tcPr>
            <w:tcW w:w="1264" w:type="dxa"/>
            <w:tcBorders>
              <w:top w:val="single" w:sz="8" w:space="0" w:color="auto"/>
              <w:left w:val="nil"/>
              <w:bottom w:val="single" w:sz="8" w:space="0" w:color="auto"/>
              <w:right w:val="single" w:sz="8" w:space="0" w:color="auto"/>
            </w:tcBorders>
            <w:shd w:val="clear" w:color="000000" w:fill="4F81BD"/>
            <w:vAlign w:val="center"/>
            <w:hideMark/>
          </w:tcPr>
          <w:p w14:paraId="4AE5BBD1" w14:textId="77777777" w:rsidR="00DA7A51" w:rsidRPr="00DA7A51" w:rsidRDefault="00DA7A51" w:rsidP="00DA7A51">
            <w:pPr>
              <w:spacing w:after="0" w:line="240" w:lineRule="auto"/>
              <w:jc w:val="center"/>
              <w:rPr>
                <w:rFonts w:ascii="Calibri" w:eastAsia="Times New Roman" w:hAnsi="Calibri" w:cs="Calibri"/>
                <w:b/>
                <w:bCs/>
                <w:color w:val="FFFFFF"/>
                <w:sz w:val="24"/>
                <w:szCs w:val="24"/>
                <w:lang w:eastAsia="en-GB"/>
              </w:rPr>
            </w:pPr>
            <w:r w:rsidRPr="00DA7A51">
              <w:rPr>
                <w:rFonts w:ascii="Calibri" w:eastAsia="Times New Roman" w:hAnsi="Calibri" w:cs="Calibri"/>
                <w:b/>
                <w:bCs/>
                <w:color w:val="FFFFFF"/>
                <w:sz w:val="24"/>
                <w:szCs w:val="24"/>
                <w:lang w:eastAsia="en-GB"/>
              </w:rPr>
              <w:t>Key Dates</w:t>
            </w:r>
          </w:p>
        </w:tc>
        <w:tc>
          <w:tcPr>
            <w:tcW w:w="1287" w:type="dxa"/>
            <w:tcBorders>
              <w:top w:val="single" w:sz="8" w:space="0" w:color="auto"/>
              <w:left w:val="nil"/>
              <w:bottom w:val="single" w:sz="8" w:space="0" w:color="auto"/>
              <w:right w:val="single" w:sz="8" w:space="0" w:color="auto"/>
            </w:tcBorders>
            <w:shd w:val="clear" w:color="000000" w:fill="4F81BD"/>
            <w:vAlign w:val="center"/>
            <w:hideMark/>
          </w:tcPr>
          <w:p w14:paraId="6A63173E" w14:textId="77777777" w:rsidR="00DA7A51" w:rsidRPr="00DA7A51" w:rsidRDefault="00DA7A51" w:rsidP="00DA7A51">
            <w:pPr>
              <w:spacing w:after="0" w:line="240" w:lineRule="auto"/>
              <w:jc w:val="center"/>
              <w:rPr>
                <w:rFonts w:ascii="Calibri" w:eastAsia="Times New Roman" w:hAnsi="Calibri" w:cs="Calibri"/>
                <w:b/>
                <w:bCs/>
                <w:color w:val="FFFFFF"/>
                <w:sz w:val="24"/>
                <w:szCs w:val="24"/>
                <w:lang w:eastAsia="en-GB"/>
              </w:rPr>
            </w:pPr>
            <w:r w:rsidRPr="00DA7A51">
              <w:rPr>
                <w:rFonts w:ascii="Calibri" w:eastAsia="Times New Roman" w:hAnsi="Calibri" w:cs="Calibri"/>
                <w:b/>
                <w:bCs/>
                <w:color w:val="FFFFFF"/>
                <w:sz w:val="24"/>
                <w:szCs w:val="24"/>
                <w:lang w:eastAsia="en-GB"/>
              </w:rPr>
              <w:t>Status</w:t>
            </w:r>
          </w:p>
        </w:tc>
      </w:tr>
      <w:tr w:rsidR="00DA7A51" w:rsidRPr="00DA7A51" w14:paraId="29C237CA" w14:textId="77777777" w:rsidTr="00517A15">
        <w:trPr>
          <w:trHeight w:val="885"/>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15B5D3E8"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Notification of the inspection</w:t>
            </w:r>
            <w:r w:rsidRPr="00DA7A51">
              <w:rPr>
                <w:rFonts w:ascii="Arial" w:eastAsia="Times New Roman" w:hAnsi="Arial" w:cs="Arial"/>
                <w:color w:val="000000"/>
                <w:lang w:eastAsia="en-GB"/>
              </w:rPr>
              <w:t xml:space="preserve"> - the lead auditor attends the force and explains the inspection process and data requirements.</w:t>
            </w:r>
          </w:p>
        </w:tc>
        <w:tc>
          <w:tcPr>
            <w:tcW w:w="1264" w:type="dxa"/>
            <w:tcBorders>
              <w:top w:val="nil"/>
              <w:left w:val="nil"/>
              <w:bottom w:val="single" w:sz="8" w:space="0" w:color="auto"/>
              <w:right w:val="single" w:sz="8" w:space="0" w:color="auto"/>
            </w:tcBorders>
            <w:shd w:val="clear" w:color="auto" w:fill="auto"/>
            <w:vAlign w:val="center"/>
            <w:hideMark/>
          </w:tcPr>
          <w:p w14:paraId="7B8F280B"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 xml:space="preserve">Monday 25 March 2019 </w:t>
            </w:r>
          </w:p>
        </w:tc>
        <w:tc>
          <w:tcPr>
            <w:tcW w:w="1287" w:type="dxa"/>
            <w:tcBorders>
              <w:top w:val="nil"/>
              <w:left w:val="nil"/>
              <w:bottom w:val="single" w:sz="8" w:space="0" w:color="auto"/>
              <w:right w:val="single" w:sz="8" w:space="0" w:color="auto"/>
            </w:tcBorders>
            <w:shd w:val="clear" w:color="auto" w:fill="auto"/>
            <w:vAlign w:val="center"/>
            <w:hideMark/>
          </w:tcPr>
          <w:p w14:paraId="3E003A1D"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Completed</w:t>
            </w:r>
          </w:p>
        </w:tc>
      </w:tr>
      <w:tr w:rsidR="00DA7A51" w:rsidRPr="00DA7A51" w14:paraId="43E36B15" w14:textId="77777777" w:rsidTr="00517A15">
        <w:trPr>
          <w:trHeight w:val="2025"/>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1AE2FE47" w14:textId="77777777" w:rsidR="00DA7A51" w:rsidRPr="00DA7A51" w:rsidRDefault="00DA7A51" w:rsidP="00E454B0">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Deadline for submission of incident data</w:t>
            </w:r>
            <w:r w:rsidRPr="00DA7A51">
              <w:rPr>
                <w:rFonts w:ascii="Arial" w:eastAsia="Times New Roman" w:hAnsi="Arial" w:cs="Arial"/>
                <w:color w:val="000000"/>
                <w:lang w:eastAsia="en-GB"/>
              </w:rPr>
              <w:t xml:space="preserve"> - the force are asked to provide six months of</w:t>
            </w:r>
            <w:r w:rsidR="00E454B0">
              <w:rPr>
                <w:rFonts w:ascii="Arial" w:eastAsia="Times New Roman" w:hAnsi="Arial" w:cs="Arial"/>
                <w:color w:val="000000"/>
                <w:lang w:eastAsia="en-GB"/>
              </w:rPr>
              <w:t xml:space="preserve"> data covering all</w:t>
            </w:r>
            <w:r w:rsidRPr="00DA7A51">
              <w:rPr>
                <w:rFonts w:ascii="Arial" w:eastAsia="Times New Roman" w:hAnsi="Arial" w:cs="Arial"/>
                <w:color w:val="000000"/>
                <w:lang w:eastAsia="en-GB"/>
              </w:rPr>
              <w:t xml:space="preserve"> crime incidents and directly recorded crimes, from which HMICFRS will select a random representative sample. The force is also required to provide 50 public protection records, 80 crime cancellation decisions, 40 modern slavery records and 20 N100 records.</w:t>
            </w:r>
          </w:p>
        </w:tc>
        <w:tc>
          <w:tcPr>
            <w:tcW w:w="1264" w:type="dxa"/>
            <w:tcBorders>
              <w:top w:val="nil"/>
              <w:left w:val="nil"/>
              <w:bottom w:val="single" w:sz="8" w:space="0" w:color="auto"/>
              <w:right w:val="single" w:sz="8" w:space="0" w:color="auto"/>
            </w:tcBorders>
            <w:shd w:val="clear" w:color="auto" w:fill="auto"/>
            <w:vAlign w:val="center"/>
            <w:hideMark/>
          </w:tcPr>
          <w:p w14:paraId="11419E9F"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 xml:space="preserve">Monday 1 April 2019 </w:t>
            </w:r>
          </w:p>
        </w:tc>
        <w:tc>
          <w:tcPr>
            <w:tcW w:w="1287" w:type="dxa"/>
            <w:tcBorders>
              <w:top w:val="nil"/>
              <w:left w:val="nil"/>
              <w:bottom w:val="single" w:sz="8" w:space="0" w:color="auto"/>
              <w:right w:val="single" w:sz="8" w:space="0" w:color="auto"/>
            </w:tcBorders>
            <w:shd w:val="clear" w:color="auto" w:fill="auto"/>
            <w:vAlign w:val="center"/>
            <w:hideMark/>
          </w:tcPr>
          <w:p w14:paraId="1D6EEF6A"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Completed</w:t>
            </w:r>
          </w:p>
        </w:tc>
      </w:tr>
      <w:tr w:rsidR="00DA7A51" w:rsidRPr="00DA7A51" w14:paraId="0351F6C5" w14:textId="77777777" w:rsidTr="00517A15">
        <w:trPr>
          <w:trHeight w:val="1740"/>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068FD99A"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Deadline for submission of requested documents</w:t>
            </w:r>
            <w:r w:rsidRPr="00DA7A51">
              <w:rPr>
                <w:rFonts w:ascii="Arial" w:eastAsia="Times New Roman" w:hAnsi="Arial" w:cs="Arial"/>
                <w:color w:val="000000"/>
                <w:lang w:eastAsia="en-GB"/>
              </w:rPr>
              <w:t xml:space="preserve"> - as part of a desktop assessment of the force's crime recording arrangements, HMICFRS</w:t>
            </w:r>
            <w:r w:rsidR="00E454B0">
              <w:rPr>
                <w:rFonts w:ascii="Arial" w:eastAsia="Times New Roman" w:hAnsi="Arial" w:cs="Arial"/>
                <w:color w:val="000000"/>
                <w:lang w:eastAsia="en-GB"/>
              </w:rPr>
              <w:t xml:space="preserve"> request</w:t>
            </w:r>
            <w:r w:rsidRPr="00DA7A51">
              <w:rPr>
                <w:rFonts w:ascii="Arial" w:eastAsia="Times New Roman" w:hAnsi="Arial" w:cs="Arial"/>
                <w:color w:val="000000"/>
                <w:lang w:eastAsia="en-GB"/>
              </w:rPr>
              <w:t xml:space="preserve"> the following documents: crime recording policy, audit schedule, minutes of the last three CDA Boards, copies of recent audits and CDI training plan.</w:t>
            </w:r>
          </w:p>
        </w:tc>
        <w:tc>
          <w:tcPr>
            <w:tcW w:w="1264" w:type="dxa"/>
            <w:tcBorders>
              <w:top w:val="nil"/>
              <w:left w:val="nil"/>
              <w:bottom w:val="single" w:sz="8" w:space="0" w:color="auto"/>
              <w:right w:val="single" w:sz="8" w:space="0" w:color="auto"/>
            </w:tcBorders>
            <w:shd w:val="clear" w:color="auto" w:fill="auto"/>
            <w:vAlign w:val="center"/>
            <w:hideMark/>
          </w:tcPr>
          <w:p w14:paraId="579B9BAC"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 xml:space="preserve">Friday 12 April 2019 </w:t>
            </w:r>
          </w:p>
        </w:tc>
        <w:tc>
          <w:tcPr>
            <w:tcW w:w="1287" w:type="dxa"/>
            <w:tcBorders>
              <w:top w:val="nil"/>
              <w:left w:val="nil"/>
              <w:bottom w:val="single" w:sz="8" w:space="0" w:color="auto"/>
              <w:right w:val="single" w:sz="8" w:space="0" w:color="auto"/>
            </w:tcBorders>
            <w:shd w:val="clear" w:color="auto" w:fill="auto"/>
            <w:vAlign w:val="center"/>
            <w:hideMark/>
          </w:tcPr>
          <w:p w14:paraId="07AFEE34"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Completed</w:t>
            </w:r>
          </w:p>
        </w:tc>
      </w:tr>
      <w:tr w:rsidR="00DA7A51" w:rsidRPr="00DA7A51" w14:paraId="31DC058C" w14:textId="77777777" w:rsidTr="00517A15">
        <w:trPr>
          <w:trHeight w:val="1170"/>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7A7487AE"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Deadline for submission of self-assessment</w:t>
            </w:r>
            <w:r w:rsidRPr="00DA7A51">
              <w:rPr>
                <w:rFonts w:ascii="Arial" w:eastAsia="Times New Roman" w:hAnsi="Arial" w:cs="Arial"/>
                <w:color w:val="000000"/>
                <w:lang w:eastAsia="en-GB"/>
              </w:rPr>
              <w:t xml:space="preserve"> - the force is asked to complete a self assessment against the progress made against the </w:t>
            </w:r>
            <w:r w:rsidR="008325D9" w:rsidRPr="00DA7A51">
              <w:rPr>
                <w:rFonts w:ascii="Arial" w:eastAsia="Times New Roman" w:hAnsi="Arial" w:cs="Arial"/>
                <w:color w:val="000000"/>
                <w:lang w:eastAsia="en-GB"/>
              </w:rPr>
              <w:t>recommendations</w:t>
            </w:r>
            <w:r w:rsidRPr="00DA7A51">
              <w:rPr>
                <w:rFonts w:ascii="Arial" w:eastAsia="Times New Roman" w:hAnsi="Arial" w:cs="Arial"/>
                <w:color w:val="000000"/>
                <w:lang w:eastAsia="en-GB"/>
              </w:rPr>
              <w:t xml:space="preserve"> from the HMIC 2014 CDI inspection.</w:t>
            </w:r>
          </w:p>
        </w:tc>
        <w:tc>
          <w:tcPr>
            <w:tcW w:w="1264" w:type="dxa"/>
            <w:tcBorders>
              <w:top w:val="nil"/>
              <w:left w:val="nil"/>
              <w:bottom w:val="single" w:sz="8" w:space="0" w:color="auto"/>
              <w:right w:val="single" w:sz="8" w:space="0" w:color="auto"/>
            </w:tcBorders>
            <w:shd w:val="clear" w:color="auto" w:fill="auto"/>
            <w:vAlign w:val="center"/>
            <w:hideMark/>
          </w:tcPr>
          <w:p w14:paraId="63860D2E"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Friday 12 April 2019</w:t>
            </w:r>
          </w:p>
        </w:tc>
        <w:tc>
          <w:tcPr>
            <w:tcW w:w="1287" w:type="dxa"/>
            <w:tcBorders>
              <w:top w:val="nil"/>
              <w:left w:val="nil"/>
              <w:bottom w:val="single" w:sz="8" w:space="0" w:color="auto"/>
              <w:right w:val="single" w:sz="8" w:space="0" w:color="auto"/>
            </w:tcBorders>
            <w:shd w:val="clear" w:color="auto" w:fill="auto"/>
            <w:vAlign w:val="center"/>
            <w:hideMark/>
          </w:tcPr>
          <w:p w14:paraId="28B48EEE"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Completed</w:t>
            </w:r>
          </w:p>
        </w:tc>
      </w:tr>
      <w:tr w:rsidR="00DA7A51" w:rsidRPr="00DA7A51" w14:paraId="5FB1B959" w14:textId="77777777" w:rsidTr="00517A15">
        <w:trPr>
          <w:trHeight w:val="885"/>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60CD9177" w14:textId="77777777" w:rsidR="00DA7A51" w:rsidRPr="00DA7A51" w:rsidRDefault="00DA7A51" w:rsidP="00E454B0">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Survey closing date</w:t>
            </w:r>
            <w:r w:rsidRPr="00DA7A51">
              <w:rPr>
                <w:rFonts w:ascii="Arial" w:eastAsia="Times New Roman" w:hAnsi="Arial" w:cs="Arial"/>
                <w:color w:val="000000"/>
                <w:lang w:eastAsia="en-GB"/>
              </w:rPr>
              <w:t xml:space="preserve"> - the </w:t>
            </w:r>
            <w:r w:rsidR="00E454B0">
              <w:rPr>
                <w:rFonts w:ascii="Arial" w:eastAsia="Times New Roman" w:hAnsi="Arial" w:cs="Arial"/>
                <w:color w:val="000000"/>
                <w:lang w:eastAsia="en-GB"/>
              </w:rPr>
              <w:t>force is</w:t>
            </w:r>
            <w:r w:rsidRPr="00DA7A51">
              <w:rPr>
                <w:rFonts w:ascii="Arial" w:eastAsia="Times New Roman" w:hAnsi="Arial" w:cs="Arial"/>
                <w:color w:val="000000"/>
                <w:lang w:eastAsia="en-GB"/>
              </w:rPr>
              <w:t xml:space="preserve"> requested to send an </w:t>
            </w:r>
            <w:r w:rsidR="008325D9" w:rsidRPr="00DA7A51">
              <w:rPr>
                <w:rFonts w:ascii="Arial" w:eastAsia="Times New Roman" w:hAnsi="Arial" w:cs="Arial"/>
                <w:color w:val="000000"/>
                <w:lang w:eastAsia="en-GB"/>
              </w:rPr>
              <w:t>anonymous</w:t>
            </w:r>
            <w:r w:rsidRPr="00DA7A51">
              <w:rPr>
                <w:rFonts w:ascii="Arial" w:eastAsia="Times New Roman" w:hAnsi="Arial" w:cs="Arial"/>
                <w:color w:val="000000"/>
                <w:lang w:eastAsia="en-GB"/>
              </w:rPr>
              <w:t xml:space="preserve"> online survey to staff involved in the crime recording process.</w:t>
            </w:r>
          </w:p>
        </w:tc>
        <w:tc>
          <w:tcPr>
            <w:tcW w:w="1264" w:type="dxa"/>
            <w:tcBorders>
              <w:top w:val="nil"/>
              <w:left w:val="nil"/>
              <w:bottom w:val="single" w:sz="8" w:space="0" w:color="auto"/>
              <w:right w:val="single" w:sz="8" w:space="0" w:color="auto"/>
            </w:tcBorders>
            <w:shd w:val="clear" w:color="auto" w:fill="auto"/>
            <w:vAlign w:val="center"/>
            <w:hideMark/>
          </w:tcPr>
          <w:p w14:paraId="4952789E"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 xml:space="preserve">Monday 15 April 2019 </w:t>
            </w:r>
          </w:p>
        </w:tc>
        <w:tc>
          <w:tcPr>
            <w:tcW w:w="1287" w:type="dxa"/>
            <w:tcBorders>
              <w:top w:val="nil"/>
              <w:left w:val="nil"/>
              <w:bottom w:val="single" w:sz="8" w:space="0" w:color="auto"/>
              <w:right w:val="single" w:sz="8" w:space="0" w:color="auto"/>
            </w:tcBorders>
            <w:shd w:val="clear" w:color="auto" w:fill="auto"/>
            <w:vAlign w:val="center"/>
            <w:hideMark/>
          </w:tcPr>
          <w:p w14:paraId="7BEA1EEF"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In Progress</w:t>
            </w:r>
          </w:p>
        </w:tc>
      </w:tr>
      <w:tr w:rsidR="00DA7A51" w:rsidRPr="00DA7A51" w14:paraId="21814142" w14:textId="77777777" w:rsidTr="00517A15">
        <w:trPr>
          <w:trHeight w:val="2090"/>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4020755B"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In-force audit commences</w:t>
            </w:r>
            <w:r w:rsidRPr="00DA7A51">
              <w:rPr>
                <w:rFonts w:ascii="Arial" w:eastAsia="Times New Roman" w:hAnsi="Arial" w:cs="Arial"/>
                <w:color w:val="000000"/>
                <w:lang w:eastAsia="en-GB"/>
              </w:rPr>
              <w:t xml:space="preserve"> - In advance of the audit start date, the force is requested to provide access to Essex Police systems for the auditors and to ensure provision of a suitable workspace for </w:t>
            </w:r>
            <w:r w:rsidR="008325D9" w:rsidRPr="00DA7A51">
              <w:rPr>
                <w:rFonts w:ascii="Arial" w:eastAsia="Times New Roman" w:hAnsi="Arial" w:cs="Arial"/>
                <w:color w:val="000000"/>
                <w:lang w:eastAsia="en-GB"/>
              </w:rPr>
              <w:t>the</w:t>
            </w:r>
            <w:r w:rsidRPr="00DA7A51">
              <w:rPr>
                <w:rFonts w:ascii="Arial" w:eastAsia="Times New Roman" w:hAnsi="Arial" w:cs="Arial"/>
                <w:color w:val="000000"/>
                <w:lang w:eastAsia="en-GB"/>
              </w:rPr>
              <w:t xml:space="preserve"> auditors. The force is also requested to download recordings of the telephone calls of the incidents that will be subject to audit. The audit is expected to last approximately two weeks.</w:t>
            </w:r>
          </w:p>
        </w:tc>
        <w:tc>
          <w:tcPr>
            <w:tcW w:w="1264" w:type="dxa"/>
            <w:tcBorders>
              <w:top w:val="nil"/>
              <w:left w:val="nil"/>
              <w:bottom w:val="single" w:sz="8" w:space="0" w:color="auto"/>
              <w:right w:val="single" w:sz="8" w:space="0" w:color="auto"/>
            </w:tcBorders>
            <w:shd w:val="clear" w:color="auto" w:fill="auto"/>
            <w:vAlign w:val="center"/>
            <w:hideMark/>
          </w:tcPr>
          <w:p w14:paraId="3842FEB9"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Monday 29 April 2019</w:t>
            </w:r>
          </w:p>
        </w:tc>
        <w:tc>
          <w:tcPr>
            <w:tcW w:w="1287" w:type="dxa"/>
            <w:tcBorders>
              <w:top w:val="nil"/>
              <w:left w:val="nil"/>
              <w:bottom w:val="single" w:sz="8" w:space="0" w:color="auto"/>
              <w:right w:val="single" w:sz="8" w:space="0" w:color="auto"/>
            </w:tcBorders>
            <w:shd w:val="clear" w:color="auto" w:fill="auto"/>
            <w:vAlign w:val="center"/>
            <w:hideMark/>
          </w:tcPr>
          <w:p w14:paraId="7D32D0CD"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In Progress</w:t>
            </w:r>
          </w:p>
        </w:tc>
      </w:tr>
      <w:tr w:rsidR="00DA7A51" w:rsidRPr="00DA7A51" w14:paraId="1310B526" w14:textId="77777777" w:rsidTr="00517A15">
        <w:trPr>
          <w:trHeight w:val="885"/>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76B15352"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In-force fieldwork</w:t>
            </w:r>
            <w:r w:rsidRPr="00DA7A51">
              <w:rPr>
                <w:rFonts w:ascii="Arial" w:eastAsia="Times New Roman" w:hAnsi="Arial" w:cs="Arial"/>
                <w:color w:val="000000"/>
                <w:lang w:eastAsia="en-GB"/>
              </w:rPr>
              <w:t xml:space="preserve"> - HMICFRS will attend the force to conduct interviews with key members of staff, focus groups and </w:t>
            </w:r>
            <w:r w:rsidR="00E454B0" w:rsidRPr="00DA7A51">
              <w:rPr>
                <w:rFonts w:ascii="Arial" w:eastAsia="Times New Roman" w:hAnsi="Arial" w:cs="Arial"/>
                <w:color w:val="000000"/>
                <w:lang w:eastAsia="en-GB"/>
              </w:rPr>
              <w:t>reality testing</w:t>
            </w:r>
            <w:r w:rsidRPr="00DA7A51">
              <w:rPr>
                <w:rFonts w:ascii="Arial" w:eastAsia="Times New Roman" w:hAnsi="Arial" w:cs="Arial"/>
                <w:color w:val="000000"/>
                <w:lang w:eastAsia="en-GB"/>
              </w:rPr>
              <w:t xml:space="preserve"> in the operational environment. </w:t>
            </w:r>
          </w:p>
        </w:tc>
        <w:tc>
          <w:tcPr>
            <w:tcW w:w="1264" w:type="dxa"/>
            <w:tcBorders>
              <w:top w:val="nil"/>
              <w:left w:val="nil"/>
              <w:bottom w:val="single" w:sz="8" w:space="0" w:color="auto"/>
              <w:right w:val="single" w:sz="8" w:space="0" w:color="auto"/>
            </w:tcBorders>
            <w:shd w:val="clear" w:color="auto" w:fill="auto"/>
            <w:vAlign w:val="center"/>
            <w:hideMark/>
          </w:tcPr>
          <w:p w14:paraId="0BD66289"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W/c 27 May 2019</w:t>
            </w:r>
          </w:p>
        </w:tc>
        <w:tc>
          <w:tcPr>
            <w:tcW w:w="1287" w:type="dxa"/>
            <w:tcBorders>
              <w:top w:val="nil"/>
              <w:left w:val="nil"/>
              <w:bottom w:val="single" w:sz="8" w:space="0" w:color="auto"/>
              <w:right w:val="single" w:sz="8" w:space="0" w:color="auto"/>
            </w:tcBorders>
            <w:shd w:val="clear" w:color="auto" w:fill="auto"/>
            <w:vAlign w:val="center"/>
            <w:hideMark/>
          </w:tcPr>
          <w:p w14:paraId="3A8ECB0E"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Not Started</w:t>
            </w:r>
          </w:p>
        </w:tc>
      </w:tr>
      <w:tr w:rsidR="00DA7A51" w:rsidRPr="00DA7A51" w14:paraId="71B0300B" w14:textId="77777777" w:rsidTr="00517A15">
        <w:trPr>
          <w:trHeight w:val="885"/>
        </w:trPr>
        <w:tc>
          <w:tcPr>
            <w:tcW w:w="6521" w:type="dxa"/>
            <w:tcBorders>
              <w:top w:val="nil"/>
              <w:left w:val="single" w:sz="8" w:space="0" w:color="auto"/>
              <w:bottom w:val="single" w:sz="8" w:space="0" w:color="auto"/>
              <w:right w:val="single" w:sz="8" w:space="0" w:color="auto"/>
            </w:tcBorders>
            <w:shd w:val="clear" w:color="auto" w:fill="auto"/>
            <w:vAlign w:val="center"/>
            <w:hideMark/>
          </w:tcPr>
          <w:p w14:paraId="03023D36" w14:textId="77777777" w:rsidR="00DA7A51" w:rsidRPr="00DA7A51" w:rsidRDefault="00DA7A51" w:rsidP="00E454B0">
            <w:pPr>
              <w:spacing w:after="0" w:line="240" w:lineRule="auto"/>
              <w:rPr>
                <w:rFonts w:ascii="Arial" w:eastAsia="Times New Roman" w:hAnsi="Arial" w:cs="Arial"/>
                <w:color w:val="000000"/>
                <w:lang w:eastAsia="en-GB"/>
              </w:rPr>
            </w:pPr>
            <w:r w:rsidRPr="00DA7A51">
              <w:rPr>
                <w:rFonts w:ascii="Arial" w:eastAsia="Times New Roman" w:hAnsi="Arial" w:cs="Arial"/>
                <w:b/>
                <w:bCs/>
                <w:color w:val="000000"/>
                <w:lang w:eastAsia="en-GB"/>
              </w:rPr>
              <w:t>De-brief</w:t>
            </w:r>
            <w:r w:rsidRPr="00DA7A51">
              <w:rPr>
                <w:rFonts w:ascii="Arial" w:eastAsia="Times New Roman" w:hAnsi="Arial" w:cs="Arial"/>
                <w:color w:val="000000"/>
                <w:lang w:eastAsia="en-GB"/>
              </w:rPr>
              <w:t xml:space="preserve"> - a full debrief will be offered to the force following the conclusion of the inspection. A report will be prepared and released at a later date.</w:t>
            </w:r>
          </w:p>
        </w:tc>
        <w:tc>
          <w:tcPr>
            <w:tcW w:w="1264" w:type="dxa"/>
            <w:tcBorders>
              <w:top w:val="nil"/>
              <w:left w:val="nil"/>
              <w:bottom w:val="single" w:sz="8" w:space="0" w:color="auto"/>
              <w:right w:val="single" w:sz="8" w:space="0" w:color="auto"/>
            </w:tcBorders>
            <w:shd w:val="clear" w:color="auto" w:fill="auto"/>
            <w:vAlign w:val="center"/>
            <w:hideMark/>
          </w:tcPr>
          <w:p w14:paraId="07F30242"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 xml:space="preserve">Date to be agreed </w:t>
            </w:r>
          </w:p>
        </w:tc>
        <w:tc>
          <w:tcPr>
            <w:tcW w:w="1287" w:type="dxa"/>
            <w:tcBorders>
              <w:top w:val="nil"/>
              <w:left w:val="nil"/>
              <w:bottom w:val="single" w:sz="8" w:space="0" w:color="auto"/>
              <w:right w:val="single" w:sz="8" w:space="0" w:color="auto"/>
            </w:tcBorders>
            <w:shd w:val="clear" w:color="auto" w:fill="auto"/>
            <w:vAlign w:val="center"/>
            <w:hideMark/>
          </w:tcPr>
          <w:p w14:paraId="10AA55F4" w14:textId="77777777" w:rsidR="00DA7A51" w:rsidRPr="00DA7A51" w:rsidRDefault="00DA7A51" w:rsidP="00DA7A51">
            <w:pPr>
              <w:spacing w:after="0" w:line="240" w:lineRule="auto"/>
              <w:rPr>
                <w:rFonts w:ascii="Arial" w:eastAsia="Times New Roman" w:hAnsi="Arial" w:cs="Arial"/>
                <w:color w:val="000000"/>
                <w:lang w:eastAsia="en-GB"/>
              </w:rPr>
            </w:pPr>
            <w:r w:rsidRPr="00DA7A51">
              <w:rPr>
                <w:rFonts w:ascii="Arial" w:eastAsia="Times New Roman" w:hAnsi="Arial" w:cs="Arial"/>
                <w:color w:val="000000"/>
                <w:lang w:eastAsia="en-GB"/>
              </w:rPr>
              <w:t>Not Started</w:t>
            </w:r>
          </w:p>
        </w:tc>
      </w:tr>
    </w:tbl>
    <w:p w14:paraId="0F3012B8" w14:textId="77777777" w:rsidR="008325D9" w:rsidRPr="00517A15" w:rsidRDefault="00517A15" w:rsidP="00C52475">
      <w:pPr>
        <w:pStyle w:val="NoSpacing"/>
        <w:ind w:left="709"/>
        <w:rPr>
          <w:rFonts w:ascii="Arial" w:hAnsi="Arial" w:cs="Arial"/>
          <w:sz w:val="20"/>
          <w:szCs w:val="24"/>
        </w:rPr>
      </w:pPr>
      <w:r w:rsidRPr="00517A15">
        <w:rPr>
          <w:rFonts w:ascii="Arial" w:hAnsi="Arial" w:cs="Arial"/>
          <w:sz w:val="20"/>
          <w:szCs w:val="24"/>
        </w:rPr>
        <w:t>Table 4 – Key Activity HMICFRS CDI Inspection</w:t>
      </w:r>
    </w:p>
    <w:p w14:paraId="424ACA53" w14:textId="77777777" w:rsidR="00AC00ED" w:rsidRDefault="00AC00ED" w:rsidP="00C52475">
      <w:pPr>
        <w:pStyle w:val="NoSpacing"/>
        <w:ind w:left="709"/>
        <w:rPr>
          <w:rFonts w:ascii="Arial" w:hAnsi="Arial" w:cs="Arial"/>
          <w:sz w:val="24"/>
          <w:szCs w:val="24"/>
        </w:rPr>
      </w:pPr>
    </w:p>
    <w:p w14:paraId="4A40B5CF" w14:textId="77777777" w:rsidR="008325D9" w:rsidRDefault="008325D9" w:rsidP="00C52475">
      <w:pPr>
        <w:pStyle w:val="NoSpacing"/>
        <w:ind w:left="709"/>
        <w:rPr>
          <w:rFonts w:ascii="Arial" w:hAnsi="Arial" w:cs="Arial"/>
          <w:sz w:val="24"/>
          <w:szCs w:val="24"/>
        </w:rPr>
      </w:pPr>
      <w:r>
        <w:rPr>
          <w:rFonts w:ascii="Arial" w:hAnsi="Arial" w:cs="Arial"/>
          <w:sz w:val="24"/>
          <w:szCs w:val="24"/>
        </w:rPr>
        <w:t xml:space="preserve">HMICFRS have published the results of 32 force CDI inspections. 13 forces (41%) have been graded as </w:t>
      </w:r>
      <w:r>
        <w:rPr>
          <w:rFonts w:ascii="Arial" w:hAnsi="Arial" w:cs="Arial"/>
          <w:sz w:val="24"/>
          <w:szCs w:val="24"/>
        </w:rPr>
        <w:lastRenderedPageBreak/>
        <w:t>‘Inadequate’, 12 (38%) as ‘Requires Improvement’ and 7 (22%) as ‘Good’.</w:t>
      </w:r>
    </w:p>
    <w:p w14:paraId="2F8B9001" w14:textId="77777777" w:rsidR="008325D9" w:rsidRDefault="008325D9" w:rsidP="00C52475">
      <w:pPr>
        <w:pStyle w:val="NoSpacing"/>
        <w:ind w:left="709"/>
        <w:rPr>
          <w:rFonts w:ascii="Arial" w:hAnsi="Arial" w:cs="Arial"/>
          <w:sz w:val="24"/>
          <w:szCs w:val="24"/>
        </w:rPr>
      </w:pPr>
    </w:p>
    <w:p w14:paraId="18204CFC" w14:textId="77777777" w:rsidR="008325D9" w:rsidRDefault="008325D9" w:rsidP="00C52475">
      <w:pPr>
        <w:pStyle w:val="NoSpacing"/>
        <w:ind w:left="709"/>
        <w:rPr>
          <w:rFonts w:ascii="Arial" w:hAnsi="Arial" w:cs="Arial"/>
          <w:sz w:val="24"/>
          <w:szCs w:val="24"/>
        </w:rPr>
      </w:pPr>
      <w:r>
        <w:rPr>
          <w:rFonts w:ascii="Arial" w:hAnsi="Arial" w:cs="Arial"/>
          <w:sz w:val="24"/>
          <w:szCs w:val="24"/>
        </w:rPr>
        <w:t xml:space="preserve">If a force is graded as ‘Inadequate’, then a re-inspection takes place to measure improvements. 7 re-inspections have taken place with 2 forces remaining as ‘Inadequate’, 1 re-graded as ‘Requires Improvement’, 2 as ‘Good’ and 2 as ‘Outstanding’. </w:t>
      </w:r>
    </w:p>
    <w:p w14:paraId="2A361220" w14:textId="77777777" w:rsidR="00121A7F" w:rsidRPr="007D3E9B" w:rsidRDefault="00121A7F" w:rsidP="004104BE">
      <w:pPr>
        <w:pStyle w:val="NoSpacing"/>
        <w:rPr>
          <w:rFonts w:ascii="Arial" w:hAnsi="Arial" w:cs="Arial"/>
          <w:sz w:val="24"/>
          <w:szCs w:val="24"/>
        </w:rPr>
      </w:pPr>
    </w:p>
    <w:p w14:paraId="77622066" w14:textId="77777777" w:rsidR="00121A7F" w:rsidRPr="007D3E9B" w:rsidRDefault="00E92E89" w:rsidP="004104BE">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14:paraId="0A81F3E7" w14:textId="77777777" w:rsidR="00121A7F" w:rsidRPr="007D3E9B" w:rsidRDefault="00121A7F" w:rsidP="004104BE">
      <w:pPr>
        <w:pStyle w:val="NoSpacing"/>
        <w:ind w:left="720"/>
        <w:rPr>
          <w:rFonts w:ascii="Arial" w:hAnsi="Arial" w:cs="Arial"/>
          <w:sz w:val="24"/>
          <w:szCs w:val="24"/>
        </w:rPr>
      </w:pPr>
    </w:p>
    <w:p w14:paraId="3676885C" w14:textId="77777777" w:rsidR="00207A2F" w:rsidRPr="007D3E9B" w:rsidRDefault="00207A2F" w:rsidP="004104BE">
      <w:pPr>
        <w:pStyle w:val="NoSpacing"/>
        <w:ind w:left="720"/>
        <w:rPr>
          <w:rFonts w:ascii="Arial" w:hAnsi="Arial" w:cs="Arial"/>
          <w:sz w:val="24"/>
          <w:szCs w:val="24"/>
        </w:rPr>
      </w:pPr>
      <w:r>
        <w:rPr>
          <w:rFonts w:ascii="Arial" w:hAnsi="Arial" w:cs="Arial"/>
          <w:sz w:val="24"/>
          <w:szCs w:val="24"/>
        </w:rPr>
        <w:t>Covered in Section 5.</w:t>
      </w:r>
    </w:p>
    <w:p w14:paraId="7C5A0809" w14:textId="77777777" w:rsidR="00573FD9" w:rsidRPr="007D3E9B" w:rsidRDefault="00573FD9" w:rsidP="004104BE">
      <w:pPr>
        <w:pStyle w:val="NoSpacing"/>
        <w:ind w:left="720"/>
        <w:rPr>
          <w:rFonts w:ascii="Arial" w:hAnsi="Arial" w:cs="Arial"/>
          <w:sz w:val="24"/>
          <w:szCs w:val="24"/>
        </w:rPr>
      </w:pPr>
    </w:p>
    <w:p w14:paraId="24F34093" w14:textId="77777777" w:rsidR="00411145" w:rsidRDefault="00E92E89" w:rsidP="004104BE">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14:paraId="23011242" w14:textId="77777777" w:rsidR="006117AC" w:rsidRDefault="006117AC" w:rsidP="004104BE">
      <w:pPr>
        <w:pStyle w:val="NoSpacing"/>
        <w:ind w:left="1418" w:hanging="709"/>
        <w:rPr>
          <w:rFonts w:ascii="Arial" w:hAnsi="Arial" w:cs="Arial"/>
          <w:sz w:val="24"/>
          <w:szCs w:val="24"/>
        </w:rPr>
      </w:pPr>
    </w:p>
    <w:p w14:paraId="7B26330F" w14:textId="77777777" w:rsidR="006117AC" w:rsidRPr="006117AC" w:rsidRDefault="00207A2F" w:rsidP="004104BE">
      <w:pPr>
        <w:pStyle w:val="NoSpacing"/>
        <w:ind w:left="1418" w:hanging="709"/>
        <w:rPr>
          <w:rFonts w:ascii="Arial" w:hAnsi="Arial" w:cs="Arial"/>
          <w:sz w:val="24"/>
          <w:szCs w:val="24"/>
        </w:rPr>
      </w:pPr>
      <w:r>
        <w:rPr>
          <w:rFonts w:ascii="Arial" w:hAnsi="Arial" w:cs="Arial"/>
          <w:sz w:val="24"/>
          <w:szCs w:val="24"/>
        </w:rPr>
        <w:t>Accurate c</w:t>
      </w:r>
      <w:r w:rsidR="006117AC" w:rsidRPr="006117AC">
        <w:rPr>
          <w:rFonts w:ascii="Arial" w:hAnsi="Arial" w:cs="Arial"/>
          <w:sz w:val="24"/>
          <w:szCs w:val="24"/>
        </w:rPr>
        <w:t>rime</w:t>
      </w:r>
      <w:r>
        <w:rPr>
          <w:rFonts w:ascii="Arial" w:hAnsi="Arial" w:cs="Arial"/>
          <w:sz w:val="24"/>
          <w:szCs w:val="24"/>
        </w:rPr>
        <w:t xml:space="preserve"> recording is necessary </w:t>
      </w:r>
      <w:r w:rsidR="006117AC" w:rsidRPr="006117AC">
        <w:rPr>
          <w:rFonts w:ascii="Arial" w:hAnsi="Arial" w:cs="Arial"/>
          <w:sz w:val="24"/>
          <w:szCs w:val="24"/>
        </w:rPr>
        <w:t>to:</w:t>
      </w:r>
    </w:p>
    <w:p w14:paraId="0381B26D" w14:textId="77777777" w:rsidR="006117AC" w:rsidRPr="006117AC" w:rsidRDefault="006117AC" w:rsidP="004104BE">
      <w:pPr>
        <w:pStyle w:val="NoSpacing"/>
        <w:ind w:left="1418" w:hanging="709"/>
        <w:rPr>
          <w:rFonts w:ascii="Arial" w:hAnsi="Arial" w:cs="Arial"/>
          <w:sz w:val="24"/>
          <w:szCs w:val="24"/>
        </w:rPr>
      </w:pPr>
    </w:p>
    <w:p w14:paraId="21A6A956"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E</w:t>
      </w:r>
      <w:r w:rsidR="006117AC" w:rsidRPr="006117AC">
        <w:rPr>
          <w:rFonts w:ascii="Arial" w:hAnsi="Arial" w:cs="Arial"/>
          <w:sz w:val="24"/>
          <w:szCs w:val="24"/>
        </w:rPr>
        <w:t>nsure that victims of crime receive the service they expect and deserve;</w:t>
      </w:r>
    </w:p>
    <w:p w14:paraId="11BB0264"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P</w:t>
      </w:r>
      <w:r w:rsidR="006117AC" w:rsidRPr="006117AC">
        <w:rPr>
          <w:rFonts w:ascii="Arial" w:hAnsi="Arial" w:cs="Arial"/>
          <w:sz w:val="24"/>
          <w:szCs w:val="24"/>
        </w:rPr>
        <w:t xml:space="preserve">rioritise effective investigation of crime in keeping with national standards </w:t>
      </w:r>
      <w:r w:rsidR="00207A2F">
        <w:rPr>
          <w:rFonts w:ascii="Arial" w:hAnsi="Arial" w:cs="Arial"/>
          <w:sz w:val="24"/>
          <w:szCs w:val="24"/>
        </w:rPr>
        <w:t xml:space="preserve">   </w:t>
      </w:r>
      <w:r w:rsidR="006117AC" w:rsidRPr="006117AC">
        <w:rPr>
          <w:rFonts w:ascii="Arial" w:hAnsi="Arial" w:cs="Arial"/>
          <w:sz w:val="24"/>
          <w:szCs w:val="24"/>
        </w:rPr>
        <w:t xml:space="preserve">and the College of Policing’s Code of Ethics; </w:t>
      </w:r>
    </w:p>
    <w:p w14:paraId="4E576801"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I</w:t>
      </w:r>
      <w:r w:rsidR="006117AC" w:rsidRPr="006117AC">
        <w:rPr>
          <w:rFonts w:ascii="Arial" w:hAnsi="Arial" w:cs="Arial"/>
          <w:sz w:val="24"/>
          <w:szCs w:val="24"/>
        </w:rPr>
        <w:t>nform the public of the scale, scope and risk of crime in their local communities;</w:t>
      </w:r>
    </w:p>
    <w:p w14:paraId="0A3DD89D"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A</w:t>
      </w:r>
      <w:r w:rsidR="006117AC" w:rsidRPr="006117AC">
        <w:rPr>
          <w:rFonts w:ascii="Arial" w:hAnsi="Arial" w:cs="Arial"/>
          <w:sz w:val="24"/>
          <w:szCs w:val="24"/>
        </w:rPr>
        <w:t>llow PCCs, Forces and local partners to build intelligence on crime and criminal behaviour necessary for an efficient and effective response;</w:t>
      </w:r>
    </w:p>
    <w:p w14:paraId="01ABC83F"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E</w:t>
      </w:r>
      <w:r w:rsidR="006117AC" w:rsidRPr="006117AC">
        <w:rPr>
          <w:rFonts w:ascii="Arial" w:hAnsi="Arial" w:cs="Arial"/>
          <w:sz w:val="24"/>
          <w:szCs w:val="24"/>
        </w:rPr>
        <w:t>nable Government, PCCs, Forces and their partners to understand the extent of demands made on them and the associated costs of service delivery; and</w:t>
      </w:r>
    </w:p>
    <w:p w14:paraId="362DB7C2" w14:textId="77777777" w:rsidR="00411145"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I</w:t>
      </w:r>
      <w:r w:rsidR="006117AC" w:rsidRPr="006117AC">
        <w:rPr>
          <w:rFonts w:ascii="Arial" w:hAnsi="Arial" w:cs="Arial"/>
          <w:sz w:val="24"/>
          <w:szCs w:val="24"/>
        </w:rPr>
        <w:t>nform the development of Government policy to reduce crime and to establish whether those policies are effective.</w:t>
      </w:r>
    </w:p>
    <w:p w14:paraId="12EF6107" w14:textId="77777777" w:rsidR="00411145" w:rsidRDefault="00411145" w:rsidP="004104BE">
      <w:pPr>
        <w:pStyle w:val="NoSpacing"/>
        <w:rPr>
          <w:rFonts w:ascii="Arial" w:hAnsi="Arial" w:cs="Arial"/>
          <w:sz w:val="24"/>
          <w:szCs w:val="24"/>
        </w:rPr>
      </w:pPr>
    </w:p>
    <w:p w14:paraId="046A01F8" w14:textId="77777777" w:rsidR="00411145" w:rsidRDefault="00411145" w:rsidP="004104BE">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14:paraId="71DA31F3" w14:textId="77777777" w:rsidR="00411145" w:rsidRDefault="00411145" w:rsidP="004104BE">
      <w:pPr>
        <w:pStyle w:val="NoSpacing"/>
        <w:ind w:left="709"/>
        <w:rPr>
          <w:rFonts w:ascii="Arial" w:hAnsi="Arial" w:cs="Arial"/>
          <w:b/>
          <w:sz w:val="24"/>
          <w:szCs w:val="24"/>
          <w:u w:val="single"/>
        </w:rPr>
      </w:pPr>
    </w:p>
    <w:p w14:paraId="5ABB3395" w14:textId="77777777" w:rsidR="00411145" w:rsidRPr="00411145" w:rsidRDefault="00FA4F51" w:rsidP="004104BE">
      <w:pPr>
        <w:pStyle w:val="NoSpacing"/>
        <w:ind w:left="709"/>
        <w:rPr>
          <w:rFonts w:ascii="Arial" w:hAnsi="Arial" w:cs="Arial"/>
          <w:sz w:val="24"/>
          <w:szCs w:val="24"/>
        </w:rPr>
      </w:pPr>
      <w:r>
        <w:rPr>
          <w:rFonts w:ascii="Arial" w:hAnsi="Arial" w:cs="Arial"/>
          <w:sz w:val="24"/>
          <w:szCs w:val="24"/>
        </w:rPr>
        <w:t>The accurate recording of crime</w:t>
      </w:r>
      <w:r w:rsidR="006117AC">
        <w:rPr>
          <w:rFonts w:ascii="Arial" w:hAnsi="Arial" w:cs="Arial"/>
          <w:sz w:val="24"/>
          <w:szCs w:val="24"/>
        </w:rPr>
        <w:t xml:space="preserve"> (and incidents)</w:t>
      </w:r>
      <w:r>
        <w:rPr>
          <w:rFonts w:ascii="Arial" w:hAnsi="Arial" w:cs="Arial"/>
          <w:sz w:val="24"/>
          <w:szCs w:val="24"/>
        </w:rPr>
        <w:t xml:space="preserve"> is vital to allow the force to fully understand </w:t>
      </w:r>
      <w:r w:rsidR="006117AC">
        <w:rPr>
          <w:rFonts w:ascii="Arial" w:hAnsi="Arial" w:cs="Arial"/>
          <w:sz w:val="24"/>
          <w:szCs w:val="24"/>
        </w:rPr>
        <w:t xml:space="preserve">its </w:t>
      </w:r>
      <w:r>
        <w:rPr>
          <w:rFonts w:ascii="Arial" w:hAnsi="Arial" w:cs="Arial"/>
          <w:sz w:val="24"/>
          <w:szCs w:val="24"/>
        </w:rPr>
        <w:t>demand.</w:t>
      </w:r>
      <w:r w:rsidR="006117AC">
        <w:rPr>
          <w:rFonts w:ascii="Arial" w:hAnsi="Arial" w:cs="Arial"/>
          <w:sz w:val="24"/>
          <w:szCs w:val="24"/>
        </w:rPr>
        <w:t xml:space="preserve"> </w:t>
      </w:r>
    </w:p>
    <w:p w14:paraId="5AB6C227" w14:textId="77777777" w:rsidR="00411145" w:rsidRDefault="00411145" w:rsidP="004104BE">
      <w:pPr>
        <w:pStyle w:val="NoSpacing"/>
        <w:ind w:left="1418" w:hanging="709"/>
        <w:rPr>
          <w:rFonts w:ascii="Arial" w:hAnsi="Arial" w:cs="Arial"/>
          <w:b/>
          <w:sz w:val="24"/>
          <w:szCs w:val="24"/>
        </w:rPr>
      </w:pPr>
    </w:p>
    <w:p w14:paraId="30434901" w14:textId="77777777" w:rsidR="00121A7F" w:rsidRPr="00DE144B" w:rsidRDefault="00411145" w:rsidP="004104BE">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14:paraId="2054885A" w14:textId="77777777" w:rsidR="00121A7F" w:rsidRPr="007D3E9B" w:rsidRDefault="00121A7F" w:rsidP="004104BE">
      <w:pPr>
        <w:pStyle w:val="NoSpacing"/>
        <w:ind w:left="720"/>
        <w:rPr>
          <w:rFonts w:ascii="Arial" w:hAnsi="Arial" w:cs="Arial"/>
          <w:sz w:val="24"/>
          <w:szCs w:val="24"/>
        </w:rPr>
      </w:pPr>
    </w:p>
    <w:tbl>
      <w:tblPr>
        <w:tblStyle w:val="TableGrid1"/>
        <w:tblW w:w="9193" w:type="dxa"/>
        <w:tblInd w:w="725" w:type="dxa"/>
        <w:tblLook w:val="04A0" w:firstRow="1" w:lastRow="0" w:firstColumn="1" w:lastColumn="0" w:noHBand="0" w:noVBand="1"/>
      </w:tblPr>
      <w:tblGrid>
        <w:gridCol w:w="3141"/>
        <w:gridCol w:w="1253"/>
        <w:gridCol w:w="4799"/>
      </w:tblGrid>
      <w:tr w:rsidR="00F450D1" w14:paraId="3DD04FA6" w14:textId="77777777" w:rsidTr="00F450D1">
        <w:tc>
          <w:tcPr>
            <w:tcW w:w="3141" w:type="dxa"/>
            <w:tcBorders>
              <w:top w:val="single" w:sz="4" w:space="0" w:color="auto"/>
              <w:left w:val="single" w:sz="4" w:space="0" w:color="auto"/>
              <w:bottom w:val="single" w:sz="4" w:space="0" w:color="auto"/>
              <w:right w:val="single" w:sz="4" w:space="0" w:color="auto"/>
            </w:tcBorders>
            <w:hideMark/>
          </w:tcPr>
          <w:p w14:paraId="65FFA821" w14:textId="77777777" w:rsidR="00F450D1" w:rsidRDefault="00F450D1" w:rsidP="004104BE">
            <w:pPr>
              <w:rPr>
                <w:rFonts w:ascii="Arial" w:hAnsi="Arial" w:cs="Arial"/>
                <w:sz w:val="24"/>
                <w:szCs w:val="24"/>
              </w:rPr>
            </w:pPr>
            <w:r>
              <w:rPr>
                <w:rFonts w:ascii="Arial" w:hAnsi="Arial" w:cs="Arial"/>
                <w:sz w:val="24"/>
                <w:szCs w:val="24"/>
              </w:rPr>
              <w:t>URN</w:t>
            </w:r>
          </w:p>
        </w:tc>
        <w:tc>
          <w:tcPr>
            <w:tcW w:w="1253" w:type="dxa"/>
            <w:tcBorders>
              <w:top w:val="single" w:sz="4" w:space="0" w:color="auto"/>
              <w:left w:val="single" w:sz="4" w:space="0" w:color="auto"/>
              <w:bottom w:val="single" w:sz="4" w:space="0" w:color="auto"/>
              <w:right w:val="single" w:sz="4" w:space="0" w:color="auto"/>
            </w:tcBorders>
            <w:hideMark/>
          </w:tcPr>
          <w:p w14:paraId="1BE1E61D" w14:textId="77777777" w:rsidR="00F450D1" w:rsidRDefault="00F450D1" w:rsidP="004104BE">
            <w:pPr>
              <w:rPr>
                <w:rFonts w:ascii="Arial" w:hAnsi="Arial" w:cs="Arial"/>
                <w:sz w:val="24"/>
                <w:szCs w:val="24"/>
              </w:rPr>
            </w:pPr>
            <w:r>
              <w:rPr>
                <w:rFonts w:ascii="Arial" w:hAnsi="Arial" w:cs="Arial"/>
                <w:sz w:val="24"/>
                <w:szCs w:val="24"/>
              </w:rPr>
              <w:t>Score</w:t>
            </w:r>
          </w:p>
        </w:tc>
        <w:tc>
          <w:tcPr>
            <w:tcW w:w="4799" w:type="dxa"/>
            <w:tcBorders>
              <w:top w:val="single" w:sz="4" w:space="0" w:color="auto"/>
              <w:left w:val="single" w:sz="4" w:space="0" w:color="auto"/>
              <w:bottom w:val="single" w:sz="4" w:space="0" w:color="auto"/>
              <w:right w:val="single" w:sz="4" w:space="0" w:color="auto"/>
            </w:tcBorders>
            <w:hideMark/>
          </w:tcPr>
          <w:p w14:paraId="44459E22" w14:textId="77777777" w:rsidR="00F450D1" w:rsidRDefault="00F450D1" w:rsidP="004104BE">
            <w:pPr>
              <w:rPr>
                <w:rFonts w:ascii="Arial" w:hAnsi="Arial" w:cs="Arial"/>
                <w:sz w:val="24"/>
                <w:szCs w:val="24"/>
              </w:rPr>
            </w:pPr>
            <w:r>
              <w:rPr>
                <w:rFonts w:ascii="Arial" w:hAnsi="Arial" w:cs="Arial"/>
                <w:sz w:val="24"/>
                <w:szCs w:val="24"/>
              </w:rPr>
              <w:t>Risk</w:t>
            </w:r>
          </w:p>
        </w:tc>
      </w:tr>
      <w:tr w:rsidR="00F450D1" w14:paraId="42645E90" w14:textId="77777777" w:rsidTr="00F450D1">
        <w:tc>
          <w:tcPr>
            <w:tcW w:w="3141" w:type="dxa"/>
            <w:tcBorders>
              <w:top w:val="single" w:sz="4" w:space="0" w:color="auto"/>
              <w:left w:val="single" w:sz="4" w:space="0" w:color="auto"/>
              <w:bottom w:val="single" w:sz="4" w:space="0" w:color="auto"/>
              <w:right w:val="single" w:sz="4" w:space="0" w:color="auto"/>
            </w:tcBorders>
            <w:hideMark/>
          </w:tcPr>
          <w:p w14:paraId="7B8C7036" w14:textId="77777777" w:rsidR="00F450D1" w:rsidRDefault="00F450D1" w:rsidP="004104BE">
            <w:pPr>
              <w:rPr>
                <w:rFonts w:ascii="Arial" w:hAnsi="Arial" w:cs="Arial"/>
                <w:sz w:val="24"/>
                <w:szCs w:val="24"/>
              </w:rPr>
            </w:pPr>
            <w:r>
              <w:rPr>
                <w:rFonts w:ascii="Arial" w:hAnsi="Arial" w:cs="Arial"/>
                <w:sz w:val="24"/>
                <w:szCs w:val="24"/>
              </w:rPr>
              <w:t>1621</w:t>
            </w:r>
          </w:p>
        </w:tc>
        <w:tc>
          <w:tcPr>
            <w:tcW w:w="1253" w:type="dxa"/>
            <w:tcBorders>
              <w:top w:val="single" w:sz="4" w:space="0" w:color="auto"/>
              <w:left w:val="single" w:sz="4" w:space="0" w:color="auto"/>
              <w:bottom w:val="single" w:sz="4" w:space="0" w:color="auto"/>
              <w:right w:val="single" w:sz="4" w:space="0" w:color="auto"/>
            </w:tcBorders>
            <w:hideMark/>
          </w:tcPr>
          <w:p w14:paraId="55B9D0CF" w14:textId="77777777" w:rsidR="00F450D1" w:rsidRDefault="00F450D1" w:rsidP="004104BE">
            <w:pPr>
              <w:rPr>
                <w:rFonts w:ascii="Arial" w:hAnsi="Arial" w:cs="Arial"/>
                <w:sz w:val="24"/>
                <w:szCs w:val="24"/>
              </w:rPr>
            </w:pPr>
            <w:r>
              <w:rPr>
                <w:rFonts w:ascii="Arial" w:hAnsi="Arial" w:cs="Arial"/>
                <w:sz w:val="24"/>
                <w:szCs w:val="24"/>
              </w:rPr>
              <w:t>30 - Red</w:t>
            </w:r>
          </w:p>
        </w:tc>
        <w:tc>
          <w:tcPr>
            <w:tcW w:w="4799" w:type="dxa"/>
            <w:tcBorders>
              <w:top w:val="single" w:sz="4" w:space="0" w:color="auto"/>
              <w:left w:val="single" w:sz="4" w:space="0" w:color="auto"/>
              <w:bottom w:val="single" w:sz="4" w:space="0" w:color="auto"/>
              <w:right w:val="single" w:sz="4" w:space="0" w:color="auto"/>
            </w:tcBorders>
            <w:hideMark/>
          </w:tcPr>
          <w:p w14:paraId="548C8584" w14:textId="77777777" w:rsidR="00F450D1" w:rsidRDefault="00F450D1" w:rsidP="004104BE">
            <w:pPr>
              <w:rPr>
                <w:rFonts w:ascii="Arial" w:hAnsi="Arial"/>
                <w:sz w:val="24"/>
              </w:rPr>
            </w:pPr>
            <w:r w:rsidRPr="00445CAB">
              <w:rPr>
                <w:rFonts w:ascii="Arial" w:hAnsi="Arial"/>
                <w:sz w:val="24"/>
              </w:rPr>
              <w:t xml:space="preserve">A failure to identify and accurately record all reported crime without delay would lead to an inability to provide an effective service to victims and a loss in public confidence:- </w:t>
            </w:r>
          </w:p>
          <w:p w14:paraId="2DEAFD82" w14:textId="77777777" w:rsidR="00F450D1" w:rsidRDefault="00F450D1" w:rsidP="004104BE">
            <w:pPr>
              <w:rPr>
                <w:rFonts w:ascii="Arial" w:hAnsi="Arial"/>
                <w:sz w:val="24"/>
              </w:rPr>
            </w:pPr>
            <w:r w:rsidRPr="00445CAB">
              <w:rPr>
                <w:rFonts w:ascii="Arial" w:hAnsi="Arial"/>
                <w:sz w:val="24"/>
              </w:rPr>
              <w:t xml:space="preserve">• It will impact on our victims as it delays their access to external support services. </w:t>
            </w:r>
          </w:p>
          <w:p w14:paraId="2B0C34ED" w14:textId="77777777" w:rsidR="00F450D1" w:rsidRDefault="00F450D1" w:rsidP="004104BE">
            <w:pPr>
              <w:rPr>
                <w:rFonts w:ascii="Arial" w:hAnsi="Arial"/>
                <w:sz w:val="24"/>
              </w:rPr>
            </w:pPr>
            <w:r w:rsidRPr="00445CAB">
              <w:rPr>
                <w:rFonts w:ascii="Arial" w:hAnsi="Arial"/>
                <w:sz w:val="24"/>
              </w:rPr>
              <w:t xml:space="preserve">• It will impact on public confidence as it will lead to a loss of trust in our ability to listen. </w:t>
            </w:r>
          </w:p>
          <w:p w14:paraId="0E5733A1" w14:textId="77777777" w:rsidR="00F450D1" w:rsidRDefault="00F450D1" w:rsidP="004104BE">
            <w:pPr>
              <w:rPr>
                <w:rFonts w:ascii="Arial" w:hAnsi="Arial" w:cs="Arial"/>
                <w:sz w:val="24"/>
                <w:szCs w:val="24"/>
              </w:rPr>
            </w:pPr>
            <w:r w:rsidRPr="00445CAB">
              <w:rPr>
                <w:rFonts w:ascii="Arial" w:hAnsi="Arial"/>
                <w:sz w:val="24"/>
              </w:rPr>
              <w:t>• We will be unable to understand the full demand for the service and resources required.</w:t>
            </w:r>
          </w:p>
        </w:tc>
      </w:tr>
    </w:tbl>
    <w:p w14:paraId="1F8C8132" w14:textId="77777777" w:rsidR="0030288C" w:rsidRDefault="0030288C" w:rsidP="004104BE">
      <w:pPr>
        <w:pStyle w:val="NoSpacing"/>
        <w:ind w:left="720"/>
        <w:rPr>
          <w:rFonts w:ascii="Arial" w:hAnsi="Arial" w:cs="Arial"/>
          <w:sz w:val="24"/>
          <w:szCs w:val="24"/>
        </w:rPr>
      </w:pPr>
    </w:p>
    <w:p w14:paraId="6C452E8F" w14:textId="77777777" w:rsidR="00F450D1" w:rsidRDefault="00F450D1" w:rsidP="004104BE">
      <w:pPr>
        <w:pStyle w:val="NoSpacing"/>
        <w:ind w:left="720"/>
        <w:rPr>
          <w:rFonts w:ascii="Arial" w:hAnsi="Arial" w:cs="Arial"/>
          <w:sz w:val="24"/>
          <w:szCs w:val="24"/>
        </w:rPr>
      </w:pPr>
      <w:r>
        <w:rPr>
          <w:rFonts w:ascii="Arial" w:hAnsi="Arial" w:cs="Arial"/>
          <w:sz w:val="24"/>
          <w:szCs w:val="24"/>
        </w:rPr>
        <w:t>The ‘CDA Improvement Plan’ is intended to mitigate against this risk.</w:t>
      </w:r>
    </w:p>
    <w:p w14:paraId="35180428" w14:textId="77777777" w:rsidR="00F450D1" w:rsidRDefault="00F450D1" w:rsidP="004104BE">
      <w:pPr>
        <w:pStyle w:val="NoSpacing"/>
        <w:ind w:left="720"/>
        <w:rPr>
          <w:rFonts w:ascii="Arial" w:hAnsi="Arial" w:cs="Arial"/>
          <w:sz w:val="24"/>
          <w:szCs w:val="24"/>
        </w:rPr>
      </w:pPr>
    </w:p>
    <w:p w14:paraId="7564550F" w14:textId="77777777" w:rsidR="003832F7" w:rsidRPr="00DE144B" w:rsidRDefault="00411145" w:rsidP="004104BE">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14:paraId="25201B2F" w14:textId="77777777" w:rsidR="003832F7" w:rsidRPr="007D3E9B" w:rsidRDefault="003832F7" w:rsidP="004104BE">
      <w:pPr>
        <w:pStyle w:val="NoSpacing"/>
        <w:ind w:left="709"/>
        <w:rPr>
          <w:rFonts w:ascii="Arial" w:hAnsi="Arial" w:cs="Arial"/>
          <w:sz w:val="24"/>
          <w:szCs w:val="24"/>
        </w:rPr>
      </w:pPr>
    </w:p>
    <w:p w14:paraId="5BBFA1EE" w14:textId="77777777" w:rsidR="003832F7" w:rsidRDefault="00445CAB" w:rsidP="004104BE">
      <w:pPr>
        <w:pStyle w:val="NoSpacing"/>
        <w:ind w:left="360" w:firstLine="360"/>
        <w:rPr>
          <w:rFonts w:ascii="Arial" w:hAnsi="Arial" w:cs="Arial"/>
          <w:sz w:val="24"/>
          <w:szCs w:val="24"/>
        </w:rPr>
      </w:pPr>
      <w:r>
        <w:rPr>
          <w:rFonts w:ascii="Arial" w:hAnsi="Arial" w:cs="Arial"/>
          <w:sz w:val="24"/>
          <w:szCs w:val="24"/>
        </w:rPr>
        <w:t>None</w:t>
      </w:r>
    </w:p>
    <w:p w14:paraId="61B408B7" w14:textId="77777777" w:rsidR="001D5222" w:rsidRPr="00DE144B" w:rsidRDefault="001D5222" w:rsidP="004104BE">
      <w:pPr>
        <w:pStyle w:val="NoSpacing"/>
        <w:ind w:left="720"/>
        <w:rPr>
          <w:rFonts w:ascii="Arial" w:hAnsi="Arial" w:cs="Arial"/>
          <w:b/>
          <w:sz w:val="24"/>
          <w:szCs w:val="24"/>
        </w:rPr>
      </w:pPr>
    </w:p>
    <w:p w14:paraId="52BF4BD7" w14:textId="77777777" w:rsidR="001D5222" w:rsidRDefault="00411145" w:rsidP="004104BE">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14:paraId="0FCD5E83" w14:textId="77777777" w:rsidR="00F543A1" w:rsidRDefault="00F543A1" w:rsidP="004104BE">
      <w:pPr>
        <w:pStyle w:val="NoSpacing"/>
        <w:rPr>
          <w:rFonts w:ascii="Arial" w:hAnsi="Arial" w:cs="Arial"/>
          <w:b/>
          <w:sz w:val="24"/>
          <w:szCs w:val="24"/>
        </w:rPr>
      </w:pPr>
    </w:p>
    <w:p w14:paraId="54AF6E2D" w14:textId="77777777" w:rsidR="00F543A1" w:rsidRPr="00445CAB" w:rsidRDefault="00F543A1" w:rsidP="004104BE">
      <w:pPr>
        <w:pStyle w:val="NoSpacing"/>
        <w:rPr>
          <w:rFonts w:ascii="Arial" w:hAnsi="Arial" w:cs="Arial"/>
          <w:sz w:val="24"/>
          <w:szCs w:val="24"/>
        </w:rPr>
      </w:pPr>
      <w:r w:rsidRPr="00445CAB">
        <w:rPr>
          <w:rFonts w:ascii="Arial" w:hAnsi="Arial" w:cs="Arial"/>
          <w:sz w:val="24"/>
          <w:szCs w:val="24"/>
        </w:rPr>
        <w:tab/>
      </w:r>
      <w:r w:rsidR="00445CAB" w:rsidRPr="00445CAB">
        <w:rPr>
          <w:rFonts w:ascii="Arial" w:hAnsi="Arial" w:cs="Arial"/>
          <w:sz w:val="24"/>
          <w:szCs w:val="24"/>
        </w:rPr>
        <w:t>None</w:t>
      </w:r>
    </w:p>
    <w:p w14:paraId="6922A317" w14:textId="77777777" w:rsidR="003832F7" w:rsidRPr="007D3E9B" w:rsidRDefault="003832F7" w:rsidP="004104BE">
      <w:pPr>
        <w:pStyle w:val="NoSpacing"/>
        <w:ind w:left="709"/>
        <w:rPr>
          <w:rFonts w:ascii="Arial" w:hAnsi="Arial" w:cs="Arial"/>
          <w:b/>
          <w:sz w:val="24"/>
          <w:szCs w:val="24"/>
        </w:rPr>
      </w:pPr>
    </w:p>
    <w:p w14:paraId="70D79506" w14:textId="77777777" w:rsidR="003832F7" w:rsidRDefault="00E92E89" w:rsidP="004104BE">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197D080F" w14:textId="77777777" w:rsidR="009F3263" w:rsidRDefault="009F3263" w:rsidP="004104BE">
      <w:pPr>
        <w:pStyle w:val="NoSpacing"/>
        <w:ind w:left="709"/>
        <w:rPr>
          <w:rFonts w:ascii="Arial" w:hAnsi="Arial" w:cs="Arial"/>
          <w:b/>
          <w:sz w:val="24"/>
          <w:szCs w:val="24"/>
        </w:rPr>
      </w:pPr>
    </w:p>
    <w:p w14:paraId="6CAAEB1B" w14:textId="77777777" w:rsidR="00517DD2" w:rsidRPr="009F3263" w:rsidRDefault="00445CAB" w:rsidP="004104BE">
      <w:pPr>
        <w:pStyle w:val="NoSpacing"/>
        <w:ind w:left="709"/>
        <w:rPr>
          <w:rFonts w:ascii="Arial" w:hAnsi="Arial" w:cs="Arial"/>
          <w:sz w:val="24"/>
          <w:szCs w:val="24"/>
        </w:rPr>
      </w:pPr>
      <w:r>
        <w:rPr>
          <w:rFonts w:ascii="Arial" w:hAnsi="Arial" w:cs="Arial"/>
          <w:sz w:val="24"/>
          <w:szCs w:val="24"/>
        </w:rPr>
        <w:t>Crime Data Accuracy Board Members</w:t>
      </w:r>
    </w:p>
    <w:p w14:paraId="740A6BD5" w14:textId="77777777" w:rsidR="00663C2D" w:rsidRPr="007D3E9B" w:rsidRDefault="00663C2D" w:rsidP="004104BE">
      <w:pPr>
        <w:pStyle w:val="NoSpacing"/>
        <w:ind w:left="709"/>
        <w:rPr>
          <w:rFonts w:ascii="Arial" w:hAnsi="Arial" w:cs="Arial"/>
          <w:sz w:val="24"/>
          <w:szCs w:val="24"/>
        </w:rPr>
      </w:pPr>
    </w:p>
    <w:p w14:paraId="4ED7C27D" w14:textId="77777777" w:rsidR="007D3E9B" w:rsidRPr="007D3E9B" w:rsidRDefault="00E92E89" w:rsidP="004104BE">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464D15D8" w14:textId="77777777" w:rsidR="007D3E9B" w:rsidRPr="007D3E9B" w:rsidRDefault="007D3E9B" w:rsidP="004104BE">
      <w:pPr>
        <w:pStyle w:val="NoSpacing"/>
        <w:ind w:left="720"/>
        <w:rPr>
          <w:rFonts w:ascii="Arial" w:hAnsi="Arial" w:cs="Arial"/>
          <w:sz w:val="24"/>
          <w:szCs w:val="24"/>
        </w:rPr>
      </w:pPr>
    </w:p>
    <w:p w14:paraId="164BD08B" w14:textId="77777777" w:rsidR="007D3E9B" w:rsidRPr="007D3E9B" w:rsidRDefault="00445CAB" w:rsidP="004104BE">
      <w:pPr>
        <w:pStyle w:val="NoSpacing"/>
        <w:ind w:left="720"/>
        <w:rPr>
          <w:rFonts w:ascii="Arial" w:hAnsi="Arial" w:cs="Arial"/>
          <w:sz w:val="24"/>
          <w:szCs w:val="24"/>
        </w:rPr>
      </w:pPr>
      <w:r>
        <w:rPr>
          <w:rFonts w:ascii="Arial" w:hAnsi="Arial" w:cs="Arial"/>
          <w:sz w:val="24"/>
          <w:szCs w:val="24"/>
        </w:rPr>
        <w:t>Covered in Section 5</w:t>
      </w:r>
      <w:r w:rsidR="00207A2F">
        <w:rPr>
          <w:rFonts w:ascii="Arial" w:hAnsi="Arial" w:cs="Arial"/>
          <w:sz w:val="24"/>
          <w:szCs w:val="24"/>
        </w:rPr>
        <w:t>.</w:t>
      </w:r>
    </w:p>
    <w:p w14:paraId="758C2C80" w14:textId="77777777" w:rsidR="007D3E9B" w:rsidRPr="007D3E9B" w:rsidRDefault="007D3E9B" w:rsidP="004104BE">
      <w:pPr>
        <w:pStyle w:val="NoSpacing"/>
        <w:ind w:left="709"/>
        <w:rPr>
          <w:rFonts w:ascii="Arial" w:hAnsi="Arial" w:cs="Arial"/>
          <w:sz w:val="24"/>
          <w:szCs w:val="24"/>
        </w:rPr>
      </w:pPr>
    </w:p>
    <w:p w14:paraId="1D9419B2" w14:textId="77777777" w:rsidR="00017D7D" w:rsidRPr="007D3E9B" w:rsidRDefault="00E92E89" w:rsidP="004104BE">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14:paraId="55AA8A6B" w14:textId="77777777" w:rsidR="007D3E9B" w:rsidRPr="007D3E9B" w:rsidRDefault="007D3E9B" w:rsidP="004104BE">
      <w:pPr>
        <w:pStyle w:val="NoSpacing"/>
        <w:ind w:left="720"/>
        <w:rPr>
          <w:rFonts w:ascii="Arial" w:hAnsi="Arial" w:cs="Arial"/>
          <w:sz w:val="24"/>
          <w:szCs w:val="24"/>
        </w:rPr>
      </w:pPr>
    </w:p>
    <w:p w14:paraId="0A8D1306" w14:textId="77777777" w:rsidR="00665862" w:rsidRDefault="00445CAB" w:rsidP="004104BE">
      <w:pPr>
        <w:pStyle w:val="NoSpacing"/>
        <w:ind w:left="720"/>
        <w:rPr>
          <w:rFonts w:ascii="Arial" w:hAnsi="Arial" w:cs="Arial"/>
          <w:sz w:val="24"/>
          <w:szCs w:val="24"/>
        </w:rPr>
      </w:pPr>
      <w:r>
        <w:rPr>
          <w:rFonts w:ascii="Arial" w:hAnsi="Arial" w:cs="Arial"/>
          <w:sz w:val="24"/>
          <w:szCs w:val="24"/>
        </w:rPr>
        <w:t>Covered in Section 5.</w:t>
      </w:r>
    </w:p>
    <w:p w14:paraId="611F9316" w14:textId="77777777" w:rsidR="00445CAB" w:rsidRDefault="00445CAB" w:rsidP="004104BE">
      <w:pPr>
        <w:pStyle w:val="NoSpacing"/>
        <w:ind w:left="720"/>
        <w:rPr>
          <w:rFonts w:ascii="Arial" w:hAnsi="Arial" w:cs="Arial"/>
          <w:sz w:val="24"/>
          <w:szCs w:val="24"/>
        </w:rPr>
      </w:pPr>
    </w:p>
    <w:sectPr w:rsidR="00445CAB" w:rsidSect="00773654">
      <w:headerReference w:type="default" r:id="rId12"/>
      <w:footerReference w:type="default" r:id="rId13"/>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930E6" w14:textId="77777777" w:rsidR="00D929BA" w:rsidRDefault="00D929BA" w:rsidP="00121A7F">
      <w:pPr>
        <w:spacing w:after="0" w:line="240" w:lineRule="auto"/>
      </w:pPr>
      <w:r>
        <w:separator/>
      </w:r>
    </w:p>
  </w:endnote>
  <w:endnote w:type="continuationSeparator" w:id="0">
    <w:p w14:paraId="3EB496FF" w14:textId="77777777" w:rsidR="00D929BA" w:rsidRDefault="00D929BA"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06078E2A" w14:textId="77777777" w:rsidR="00030D64" w:rsidRDefault="00030D64" w:rsidP="004F62BB">
            <w:pPr>
              <w:pStyle w:val="Footer"/>
              <w:jc w:val="center"/>
            </w:pPr>
          </w:p>
          <w:p w14:paraId="6AE5A511" w14:textId="77777777" w:rsidR="00030D64" w:rsidRPr="004F62BB" w:rsidRDefault="00030D64"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06FA65C8" w14:textId="77777777" w:rsidR="00030D64" w:rsidRPr="006279AB" w:rsidRDefault="00030D64" w:rsidP="004F62BB">
            <w:pPr>
              <w:pStyle w:val="Footer"/>
              <w:jc w:val="center"/>
              <w:rPr>
                <w:rFonts w:ascii="Arial" w:hAnsi="Arial" w:cs="Arial"/>
                <w:sz w:val="20"/>
                <w:szCs w:val="20"/>
              </w:rPr>
            </w:pPr>
          </w:p>
          <w:p w14:paraId="4F1F4CA6" w14:textId="162C139B" w:rsidR="00030D64" w:rsidRDefault="00030D64">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40B16">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40B16">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DD15" w14:textId="77777777" w:rsidR="00D929BA" w:rsidRDefault="00D929BA" w:rsidP="00121A7F">
      <w:pPr>
        <w:spacing w:after="0" w:line="240" w:lineRule="auto"/>
      </w:pPr>
      <w:r>
        <w:separator/>
      </w:r>
    </w:p>
  </w:footnote>
  <w:footnote w:type="continuationSeparator" w:id="0">
    <w:p w14:paraId="28CFE806" w14:textId="77777777" w:rsidR="00D929BA" w:rsidRDefault="00D929BA" w:rsidP="00121A7F">
      <w:pPr>
        <w:spacing w:after="0" w:line="240" w:lineRule="auto"/>
      </w:pPr>
      <w:r>
        <w:continuationSeparator/>
      </w:r>
    </w:p>
  </w:footnote>
  <w:footnote w:id="1">
    <w:p w14:paraId="67FDB0BA" w14:textId="77777777" w:rsidR="00030D64" w:rsidRDefault="00030D64">
      <w:pPr>
        <w:pStyle w:val="FootnoteText"/>
      </w:pPr>
      <w:r>
        <w:rPr>
          <w:rStyle w:val="FootnoteReference"/>
        </w:rPr>
        <w:footnoteRef/>
      </w:r>
      <w:r>
        <w:t xml:space="preserve"> </w:t>
      </w:r>
      <w:r w:rsidRPr="005025C3">
        <w:t>Confidence level</w:t>
      </w:r>
      <w:r>
        <w:t xml:space="preserve"> 90% - Confidence interval +/- 4. Auditors are relatively inexperienced; accuracy of audits is expected to improve over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BF92" w14:textId="77777777" w:rsidR="00030D64" w:rsidRDefault="00030D64" w:rsidP="004F62BB">
    <w:pPr>
      <w:pStyle w:val="Header"/>
      <w:jc w:val="center"/>
      <w:rPr>
        <w:rFonts w:ascii="Arial" w:hAnsi="Arial" w:cs="Arial"/>
        <w:sz w:val="20"/>
      </w:rPr>
    </w:pPr>
    <w:r>
      <w:rPr>
        <w:rFonts w:ascii="Arial" w:hAnsi="Arial" w:cs="Arial"/>
        <w:sz w:val="20"/>
      </w:rPr>
      <w:t>OFFICIAL</w:t>
    </w:r>
  </w:p>
  <w:p w14:paraId="36C204C7" w14:textId="77777777" w:rsidR="00030D64" w:rsidRPr="006279AB" w:rsidRDefault="00030D64"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B6D"/>
    <w:multiLevelType w:val="hybridMultilevel"/>
    <w:tmpl w:val="409AB942"/>
    <w:lvl w:ilvl="0" w:tplc="6910E088">
      <w:numFmt w:val="bullet"/>
      <w:lvlText w:val="•"/>
      <w:lvlJc w:val="left"/>
      <w:pPr>
        <w:ind w:left="1429" w:hanging="72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DB20F57"/>
    <w:multiLevelType w:val="hybridMultilevel"/>
    <w:tmpl w:val="CC348290"/>
    <w:lvl w:ilvl="0" w:tplc="59662C5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CD1312"/>
    <w:multiLevelType w:val="hybridMultilevel"/>
    <w:tmpl w:val="B290BB34"/>
    <w:lvl w:ilvl="0" w:tplc="C18252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E892542"/>
    <w:multiLevelType w:val="hybridMultilevel"/>
    <w:tmpl w:val="6F78E05C"/>
    <w:lvl w:ilvl="0" w:tplc="BF2CB60A">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4E1EBB"/>
    <w:multiLevelType w:val="hybridMultilevel"/>
    <w:tmpl w:val="36C695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23F4CE8"/>
    <w:multiLevelType w:val="hybridMultilevel"/>
    <w:tmpl w:val="4A14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66C78D8"/>
    <w:multiLevelType w:val="hybridMultilevel"/>
    <w:tmpl w:val="AEAA30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42E6E11"/>
    <w:multiLevelType w:val="hybridMultilevel"/>
    <w:tmpl w:val="98FC93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85190"/>
    <w:multiLevelType w:val="hybridMultilevel"/>
    <w:tmpl w:val="020AB540"/>
    <w:lvl w:ilvl="0" w:tplc="54FA59E4">
      <w:numFmt w:val="bullet"/>
      <w:lvlText w:val="•"/>
      <w:lvlJc w:val="left"/>
      <w:pPr>
        <w:ind w:left="1134" w:hanging="65"/>
      </w:pPr>
      <w:rPr>
        <w:rFonts w:ascii="Arial" w:eastAsiaTheme="minorHAnsi" w:hAnsi="Aria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3C01AE3"/>
    <w:multiLevelType w:val="hybridMultilevel"/>
    <w:tmpl w:val="22F09268"/>
    <w:lvl w:ilvl="0" w:tplc="ED8A5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6"/>
  </w:num>
  <w:num w:numId="5">
    <w:abstractNumId w:val="3"/>
  </w:num>
  <w:num w:numId="6">
    <w:abstractNumId w:val="17"/>
  </w:num>
  <w:num w:numId="7">
    <w:abstractNumId w:val="6"/>
  </w:num>
  <w:num w:numId="8">
    <w:abstractNumId w:val="12"/>
  </w:num>
  <w:num w:numId="9">
    <w:abstractNumId w:val="5"/>
  </w:num>
  <w:num w:numId="10">
    <w:abstractNumId w:val="2"/>
  </w:num>
  <w:num w:numId="11">
    <w:abstractNumId w:val="15"/>
  </w:num>
  <w:num w:numId="12">
    <w:abstractNumId w:val="9"/>
  </w:num>
  <w:num w:numId="13">
    <w:abstractNumId w:val="10"/>
  </w:num>
  <w:num w:numId="14">
    <w:abstractNumId w:val="0"/>
  </w:num>
  <w:num w:numId="15">
    <w:abstractNumId w:val="14"/>
  </w:num>
  <w:num w:numId="16">
    <w:abstractNumId w:val="8"/>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30D64"/>
    <w:rsid w:val="00042AF6"/>
    <w:rsid w:val="00046E42"/>
    <w:rsid w:val="00065893"/>
    <w:rsid w:val="0007050E"/>
    <w:rsid w:val="00083086"/>
    <w:rsid w:val="00085B93"/>
    <w:rsid w:val="000920E3"/>
    <w:rsid w:val="000E3CDA"/>
    <w:rsid w:val="000E4E72"/>
    <w:rsid w:val="00121849"/>
    <w:rsid w:val="00121A7F"/>
    <w:rsid w:val="00176135"/>
    <w:rsid w:val="0018244A"/>
    <w:rsid w:val="00182A62"/>
    <w:rsid w:val="001A0732"/>
    <w:rsid w:val="001B39C3"/>
    <w:rsid w:val="001C475D"/>
    <w:rsid w:val="001C5112"/>
    <w:rsid w:val="001D2942"/>
    <w:rsid w:val="001D5222"/>
    <w:rsid w:val="001E2313"/>
    <w:rsid w:val="001E2DAF"/>
    <w:rsid w:val="00207A2F"/>
    <w:rsid w:val="00217027"/>
    <w:rsid w:val="00234BCF"/>
    <w:rsid w:val="00285850"/>
    <w:rsid w:val="002B6D16"/>
    <w:rsid w:val="002C7DBB"/>
    <w:rsid w:val="002D61A0"/>
    <w:rsid w:val="002E46DF"/>
    <w:rsid w:val="0030288C"/>
    <w:rsid w:val="0031777C"/>
    <w:rsid w:val="003411C8"/>
    <w:rsid w:val="00376772"/>
    <w:rsid w:val="003832F7"/>
    <w:rsid w:val="0038670D"/>
    <w:rsid w:val="00396DFB"/>
    <w:rsid w:val="003A0F89"/>
    <w:rsid w:val="003F7C58"/>
    <w:rsid w:val="0041002E"/>
    <w:rsid w:val="004104BE"/>
    <w:rsid w:val="00411145"/>
    <w:rsid w:val="00445CAB"/>
    <w:rsid w:val="00481761"/>
    <w:rsid w:val="00494722"/>
    <w:rsid w:val="004A55EC"/>
    <w:rsid w:val="004B584C"/>
    <w:rsid w:val="004C7C26"/>
    <w:rsid w:val="004D1DF5"/>
    <w:rsid w:val="004E10C7"/>
    <w:rsid w:val="004F4420"/>
    <w:rsid w:val="004F62BB"/>
    <w:rsid w:val="005025C3"/>
    <w:rsid w:val="00504FE6"/>
    <w:rsid w:val="00517A15"/>
    <w:rsid w:val="00517DD2"/>
    <w:rsid w:val="00523007"/>
    <w:rsid w:val="00573FD9"/>
    <w:rsid w:val="00583860"/>
    <w:rsid w:val="00583AC4"/>
    <w:rsid w:val="00591EB9"/>
    <w:rsid w:val="005A21A1"/>
    <w:rsid w:val="005A7360"/>
    <w:rsid w:val="005C31D7"/>
    <w:rsid w:val="005F6903"/>
    <w:rsid w:val="006117AC"/>
    <w:rsid w:val="00612C11"/>
    <w:rsid w:val="006279AB"/>
    <w:rsid w:val="00630A86"/>
    <w:rsid w:val="00630CB1"/>
    <w:rsid w:val="0063208F"/>
    <w:rsid w:val="00652B9C"/>
    <w:rsid w:val="00656F5B"/>
    <w:rsid w:val="00663C2D"/>
    <w:rsid w:val="00665862"/>
    <w:rsid w:val="00666A8A"/>
    <w:rsid w:val="00671BED"/>
    <w:rsid w:val="006C33E7"/>
    <w:rsid w:val="006F271A"/>
    <w:rsid w:val="007016D9"/>
    <w:rsid w:val="007171DC"/>
    <w:rsid w:val="007222D9"/>
    <w:rsid w:val="007302D6"/>
    <w:rsid w:val="007427EA"/>
    <w:rsid w:val="00761487"/>
    <w:rsid w:val="00773654"/>
    <w:rsid w:val="00775A8E"/>
    <w:rsid w:val="007770CA"/>
    <w:rsid w:val="00786ED7"/>
    <w:rsid w:val="00794DD0"/>
    <w:rsid w:val="007A4CFA"/>
    <w:rsid w:val="007A7C60"/>
    <w:rsid w:val="007D3E9B"/>
    <w:rsid w:val="007E5580"/>
    <w:rsid w:val="007F244C"/>
    <w:rsid w:val="008325D9"/>
    <w:rsid w:val="00841A12"/>
    <w:rsid w:val="00852251"/>
    <w:rsid w:val="00870489"/>
    <w:rsid w:val="008953CA"/>
    <w:rsid w:val="008A459B"/>
    <w:rsid w:val="008A5CC9"/>
    <w:rsid w:val="008B19D3"/>
    <w:rsid w:val="008C29C2"/>
    <w:rsid w:val="008E393E"/>
    <w:rsid w:val="008E522B"/>
    <w:rsid w:val="00901380"/>
    <w:rsid w:val="00966AA0"/>
    <w:rsid w:val="00977757"/>
    <w:rsid w:val="00986952"/>
    <w:rsid w:val="009C1376"/>
    <w:rsid w:val="009F283C"/>
    <w:rsid w:val="009F3263"/>
    <w:rsid w:val="00A11310"/>
    <w:rsid w:val="00A709CA"/>
    <w:rsid w:val="00A7583B"/>
    <w:rsid w:val="00A76A80"/>
    <w:rsid w:val="00A85689"/>
    <w:rsid w:val="00A91612"/>
    <w:rsid w:val="00AB1FBF"/>
    <w:rsid w:val="00AC00ED"/>
    <w:rsid w:val="00AC1ABD"/>
    <w:rsid w:val="00AC4A40"/>
    <w:rsid w:val="00AD27A6"/>
    <w:rsid w:val="00AD536D"/>
    <w:rsid w:val="00AF06BC"/>
    <w:rsid w:val="00B0109C"/>
    <w:rsid w:val="00B05292"/>
    <w:rsid w:val="00B20EB0"/>
    <w:rsid w:val="00B21EB4"/>
    <w:rsid w:val="00B40489"/>
    <w:rsid w:val="00BD28B4"/>
    <w:rsid w:val="00C01A5E"/>
    <w:rsid w:val="00C1201E"/>
    <w:rsid w:val="00C41FA1"/>
    <w:rsid w:val="00C44E4F"/>
    <w:rsid w:val="00C52475"/>
    <w:rsid w:val="00C57399"/>
    <w:rsid w:val="00C654B8"/>
    <w:rsid w:val="00C96B9D"/>
    <w:rsid w:val="00CB01CF"/>
    <w:rsid w:val="00CB55DB"/>
    <w:rsid w:val="00CD0FF7"/>
    <w:rsid w:val="00CD1DFE"/>
    <w:rsid w:val="00D00E3B"/>
    <w:rsid w:val="00D01F84"/>
    <w:rsid w:val="00D24D9A"/>
    <w:rsid w:val="00D459B2"/>
    <w:rsid w:val="00D6469E"/>
    <w:rsid w:val="00D779FC"/>
    <w:rsid w:val="00D8103E"/>
    <w:rsid w:val="00D929BA"/>
    <w:rsid w:val="00DA4C01"/>
    <w:rsid w:val="00DA7A51"/>
    <w:rsid w:val="00DE08E8"/>
    <w:rsid w:val="00DE144B"/>
    <w:rsid w:val="00E01FE6"/>
    <w:rsid w:val="00E236B0"/>
    <w:rsid w:val="00E23CC5"/>
    <w:rsid w:val="00E330B7"/>
    <w:rsid w:val="00E40B16"/>
    <w:rsid w:val="00E454B0"/>
    <w:rsid w:val="00E5304F"/>
    <w:rsid w:val="00E86D38"/>
    <w:rsid w:val="00E91654"/>
    <w:rsid w:val="00E92E89"/>
    <w:rsid w:val="00EA6DA3"/>
    <w:rsid w:val="00EC454F"/>
    <w:rsid w:val="00F11EC1"/>
    <w:rsid w:val="00F12626"/>
    <w:rsid w:val="00F44851"/>
    <w:rsid w:val="00F450D1"/>
    <w:rsid w:val="00F543A1"/>
    <w:rsid w:val="00F601BD"/>
    <w:rsid w:val="00F814E7"/>
    <w:rsid w:val="00FA4F51"/>
    <w:rsid w:val="00FB268D"/>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CA590"/>
  <w15:docId w15:val="{821CB7C0-6BB3-4F10-861A-21943FEA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table" w:customStyle="1" w:styleId="TableGrid1">
    <w:name w:val="Table Grid1"/>
    <w:basedOn w:val="TableNormal"/>
    <w:uiPriority w:val="59"/>
    <w:rsid w:val="00445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CC9"/>
    <w:rPr>
      <w:sz w:val="16"/>
      <w:szCs w:val="16"/>
    </w:rPr>
  </w:style>
  <w:style w:type="paragraph" w:styleId="CommentText">
    <w:name w:val="annotation text"/>
    <w:basedOn w:val="Normal"/>
    <w:link w:val="CommentTextChar"/>
    <w:uiPriority w:val="99"/>
    <w:semiHidden/>
    <w:unhideWhenUsed/>
    <w:rsid w:val="008A5CC9"/>
    <w:pPr>
      <w:spacing w:line="240" w:lineRule="auto"/>
    </w:pPr>
    <w:rPr>
      <w:sz w:val="20"/>
      <w:szCs w:val="20"/>
    </w:rPr>
  </w:style>
  <w:style w:type="character" w:customStyle="1" w:styleId="CommentTextChar">
    <w:name w:val="Comment Text Char"/>
    <w:basedOn w:val="DefaultParagraphFont"/>
    <w:link w:val="CommentText"/>
    <w:uiPriority w:val="99"/>
    <w:semiHidden/>
    <w:rsid w:val="008A5CC9"/>
    <w:rPr>
      <w:sz w:val="20"/>
      <w:szCs w:val="20"/>
    </w:rPr>
  </w:style>
  <w:style w:type="paragraph" w:styleId="CommentSubject">
    <w:name w:val="annotation subject"/>
    <w:basedOn w:val="CommentText"/>
    <w:next w:val="CommentText"/>
    <w:link w:val="CommentSubjectChar"/>
    <w:uiPriority w:val="99"/>
    <w:semiHidden/>
    <w:unhideWhenUsed/>
    <w:rsid w:val="008A5CC9"/>
    <w:rPr>
      <w:b/>
      <w:bCs/>
    </w:rPr>
  </w:style>
  <w:style w:type="character" w:customStyle="1" w:styleId="CommentSubjectChar">
    <w:name w:val="Comment Subject Char"/>
    <w:basedOn w:val="CommentTextChar"/>
    <w:link w:val="CommentSubject"/>
    <w:uiPriority w:val="99"/>
    <w:semiHidden/>
    <w:rsid w:val="008A5CC9"/>
    <w:rPr>
      <w:b/>
      <w:bCs/>
      <w:sz w:val="20"/>
      <w:szCs w:val="20"/>
    </w:rPr>
  </w:style>
  <w:style w:type="paragraph" w:styleId="BalloonText">
    <w:name w:val="Balloon Text"/>
    <w:basedOn w:val="Normal"/>
    <w:link w:val="BalloonTextChar"/>
    <w:uiPriority w:val="99"/>
    <w:semiHidden/>
    <w:unhideWhenUsed/>
    <w:rsid w:val="008A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C9"/>
    <w:rPr>
      <w:rFonts w:ascii="Segoe UI" w:hAnsi="Segoe UI" w:cs="Segoe UI"/>
      <w:sz w:val="18"/>
      <w:szCs w:val="18"/>
    </w:rPr>
  </w:style>
  <w:style w:type="paragraph" w:styleId="FootnoteText">
    <w:name w:val="footnote text"/>
    <w:basedOn w:val="Normal"/>
    <w:link w:val="FootnoteTextChar"/>
    <w:uiPriority w:val="99"/>
    <w:semiHidden/>
    <w:unhideWhenUsed/>
    <w:rsid w:val="00730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2D6"/>
    <w:rPr>
      <w:sz w:val="20"/>
      <w:szCs w:val="20"/>
    </w:rPr>
  </w:style>
  <w:style w:type="character" w:styleId="FootnoteReference">
    <w:name w:val="footnote reference"/>
    <w:basedOn w:val="DefaultParagraphFont"/>
    <w:uiPriority w:val="99"/>
    <w:semiHidden/>
    <w:unhideWhenUsed/>
    <w:rsid w:val="00730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4932">
      <w:bodyDiv w:val="1"/>
      <w:marLeft w:val="0"/>
      <w:marRight w:val="0"/>
      <w:marTop w:val="0"/>
      <w:marBottom w:val="0"/>
      <w:divBdr>
        <w:top w:val="none" w:sz="0" w:space="0" w:color="auto"/>
        <w:left w:val="none" w:sz="0" w:space="0" w:color="auto"/>
        <w:bottom w:val="none" w:sz="0" w:space="0" w:color="auto"/>
        <w:right w:val="none" w:sz="0" w:space="0" w:color="auto"/>
      </w:divBdr>
    </w:div>
    <w:div w:id="624581967">
      <w:bodyDiv w:val="1"/>
      <w:marLeft w:val="0"/>
      <w:marRight w:val="0"/>
      <w:marTop w:val="0"/>
      <w:marBottom w:val="0"/>
      <w:divBdr>
        <w:top w:val="none" w:sz="0" w:space="0" w:color="auto"/>
        <w:left w:val="none" w:sz="0" w:space="0" w:color="auto"/>
        <w:bottom w:val="none" w:sz="0" w:space="0" w:color="auto"/>
        <w:right w:val="none" w:sz="0" w:space="0" w:color="auto"/>
      </w:divBdr>
    </w:div>
    <w:div w:id="651374656">
      <w:bodyDiv w:val="1"/>
      <w:marLeft w:val="0"/>
      <w:marRight w:val="0"/>
      <w:marTop w:val="0"/>
      <w:marBottom w:val="0"/>
      <w:divBdr>
        <w:top w:val="none" w:sz="0" w:space="0" w:color="auto"/>
        <w:left w:val="none" w:sz="0" w:space="0" w:color="auto"/>
        <w:bottom w:val="none" w:sz="0" w:space="0" w:color="auto"/>
        <w:right w:val="none" w:sz="0" w:space="0" w:color="auto"/>
      </w:divBdr>
    </w:div>
    <w:div w:id="903491068">
      <w:bodyDiv w:val="1"/>
      <w:marLeft w:val="0"/>
      <w:marRight w:val="0"/>
      <w:marTop w:val="0"/>
      <w:marBottom w:val="0"/>
      <w:divBdr>
        <w:top w:val="none" w:sz="0" w:space="0" w:color="auto"/>
        <w:left w:val="none" w:sz="0" w:space="0" w:color="auto"/>
        <w:bottom w:val="none" w:sz="0" w:space="0" w:color="auto"/>
        <w:right w:val="none" w:sz="0" w:space="0" w:color="auto"/>
      </w:divBdr>
    </w:div>
    <w:div w:id="964384838">
      <w:bodyDiv w:val="1"/>
      <w:marLeft w:val="0"/>
      <w:marRight w:val="0"/>
      <w:marTop w:val="0"/>
      <w:marBottom w:val="0"/>
      <w:divBdr>
        <w:top w:val="none" w:sz="0" w:space="0" w:color="auto"/>
        <w:left w:val="none" w:sz="0" w:space="0" w:color="auto"/>
        <w:bottom w:val="none" w:sz="0" w:space="0" w:color="auto"/>
        <w:right w:val="none" w:sz="0" w:space="0" w:color="auto"/>
      </w:divBdr>
    </w:div>
    <w:div w:id="1032342557">
      <w:bodyDiv w:val="1"/>
      <w:marLeft w:val="0"/>
      <w:marRight w:val="0"/>
      <w:marTop w:val="0"/>
      <w:marBottom w:val="0"/>
      <w:divBdr>
        <w:top w:val="none" w:sz="0" w:space="0" w:color="auto"/>
        <w:left w:val="none" w:sz="0" w:space="0" w:color="auto"/>
        <w:bottom w:val="none" w:sz="0" w:space="0" w:color="auto"/>
        <w:right w:val="none" w:sz="0" w:space="0" w:color="auto"/>
      </w:divBdr>
    </w:div>
    <w:div w:id="1304577289">
      <w:bodyDiv w:val="1"/>
      <w:marLeft w:val="0"/>
      <w:marRight w:val="0"/>
      <w:marTop w:val="0"/>
      <w:marBottom w:val="0"/>
      <w:divBdr>
        <w:top w:val="none" w:sz="0" w:space="0" w:color="auto"/>
        <w:left w:val="none" w:sz="0" w:space="0" w:color="auto"/>
        <w:bottom w:val="none" w:sz="0" w:space="0" w:color="auto"/>
        <w:right w:val="none" w:sz="0" w:space="0" w:color="auto"/>
      </w:divBdr>
    </w:div>
    <w:div w:id="1531646070">
      <w:bodyDiv w:val="1"/>
      <w:marLeft w:val="0"/>
      <w:marRight w:val="0"/>
      <w:marTop w:val="0"/>
      <w:marBottom w:val="0"/>
      <w:divBdr>
        <w:top w:val="none" w:sz="0" w:space="0" w:color="auto"/>
        <w:left w:val="none" w:sz="0" w:space="0" w:color="auto"/>
        <w:bottom w:val="none" w:sz="0" w:space="0" w:color="auto"/>
        <w:right w:val="none" w:sz="0" w:space="0" w:color="auto"/>
      </w:divBdr>
    </w:div>
    <w:div w:id="1594047698">
      <w:bodyDiv w:val="1"/>
      <w:marLeft w:val="0"/>
      <w:marRight w:val="0"/>
      <w:marTop w:val="0"/>
      <w:marBottom w:val="0"/>
      <w:divBdr>
        <w:top w:val="none" w:sz="0" w:space="0" w:color="auto"/>
        <w:left w:val="none" w:sz="0" w:space="0" w:color="auto"/>
        <w:bottom w:val="none" w:sz="0" w:space="0" w:color="auto"/>
        <w:right w:val="none" w:sz="0" w:space="0" w:color="auto"/>
      </w:divBdr>
    </w:div>
    <w:div w:id="1604609307">
      <w:bodyDiv w:val="1"/>
      <w:marLeft w:val="0"/>
      <w:marRight w:val="0"/>
      <w:marTop w:val="0"/>
      <w:marBottom w:val="0"/>
      <w:divBdr>
        <w:top w:val="none" w:sz="0" w:space="0" w:color="auto"/>
        <w:left w:val="none" w:sz="0" w:space="0" w:color="auto"/>
        <w:bottom w:val="none" w:sz="0" w:space="0" w:color="auto"/>
        <w:right w:val="none" w:sz="0" w:space="0" w:color="auto"/>
      </w:divBdr>
    </w:div>
    <w:div w:id="1616525974">
      <w:bodyDiv w:val="1"/>
      <w:marLeft w:val="0"/>
      <w:marRight w:val="0"/>
      <w:marTop w:val="0"/>
      <w:marBottom w:val="0"/>
      <w:divBdr>
        <w:top w:val="none" w:sz="0" w:space="0" w:color="auto"/>
        <w:left w:val="none" w:sz="0" w:space="0" w:color="auto"/>
        <w:bottom w:val="none" w:sz="0" w:space="0" w:color="auto"/>
        <w:right w:val="none" w:sz="0" w:space="0" w:color="auto"/>
      </w:divBdr>
    </w:div>
    <w:div w:id="1776633752">
      <w:bodyDiv w:val="1"/>
      <w:marLeft w:val="0"/>
      <w:marRight w:val="0"/>
      <w:marTop w:val="0"/>
      <w:marBottom w:val="0"/>
      <w:divBdr>
        <w:top w:val="none" w:sz="0" w:space="0" w:color="auto"/>
        <w:left w:val="none" w:sz="0" w:space="0" w:color="auto"/>
        <w:bottom w:val="none" w:sz="0" w:space="0" w:color="auto"/>
        <w:right w:val="none" w:sz="0" w:space="0" w:color="auto"/>
      </w:divBdr>
    </w:div>
    <w:div w:id="20461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4F03C.BDAAAC1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dessexdd.netr.ecis.police.uk\CorpServs\FCIR\FCIR\DATA\Chris'%20STORM%20work\Incident%20to%20Crime%20Analysis%20Feb%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Crime</a:t>
            </a:r>
            <a:r>
              <a:rPr lang="en-US" baseline="0"/>
              <a:t> </a:t>
            </a:r>
            <a:r>
              <a:rPr lang="en-US"/>
              <a:t>Incident</a:t>
            </a:r>
            <a:r>
              <a:rPr lang="en-US" baseline="0"/>
              <a:t> to Recorded Crime %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Analysis!$B$2</c:f>
              <c:strCache>
                <c:ptCount val="1"/>
                <c:pt idx="0">
                  <c:v>All Crime Incidents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Analysis!$A$28:$A$40</c:f>
              <c:numCache>
                <c:formatCode>mmm\-yy</c:formatCode>
                <c:ptCount val="12"/>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numCache>
            </c:numRef>
          </c:cat>
          <c:val>
            <c:numRef>
              <c:f>Analysis!$B$28:$B$40</c:f>
              <c:numCache>
                <c:formatCode>0.00%</c:formatCode>
                <c:ptCount val="12"/>
                <c:pt idx="0">
                  <c:v>0.5949619653323357</c:v>
                </c:pt>
                <c:pt idx="1">
                  <c:v>0.571257197696737</c:v>
                </c:pt>
                <c:pt idx="2">
                  <c:v>0.58236159855088876</c:v>
                </c:pt>
                <c:pt idx="3">
                  <c:v>0.56611801589967525</c:v>
                </c:pt>
                <c:pt idx="4">
                  <c:v>0.56600491199345071</c:v>
                </c:pt>
                <c:pt idx="5">
                  <c:v>0.56447716553548832</c:v>
                </c:pt>
                <c:pt idx="6">
                  <c:v>0.59215638659543468</c:v>
                </c:pt>
                <c:pt idx="7">
                  <c:v>0.60114341321007181</c:v>
                </c:pt>
                <c:pt idx="8">
                  <c:v>0.62288080755791386</c:v>
                </c:pt>
                <c:pt idx="9">
                  <c:v>0.6167736757624398</c:v>
                </c:pt>
                <c:pt idx="10">
                  <c:v>0.63316799654949296</c:v>
                </c:pt>
                <c:pt idx="11">
                  <c:v>0.61550674781688275</c:v>
                </c:pt>
              </c:numCache>
            </c:numRef>
          </c:val>
          <c:smooth val="0"/>
          <c:extLst>
            <c:ext xmlns:c16="http://schemas.microsoft.com/office/drawing/2014/chart" uri="{C3380CC4-5D6E-409C-BE32-E72D297353CC}">
              <c16:uniqueId val="{00000000-FD80-4CAF-B285-C9541F648B2F}"/>
            </c:ext>
          </c:extLst>
        </c:ser>
        <c:dLbls>
          <c:showLegendKey val="0"/>
          <c:showVal val="0"/>
          <c:showCatName val="0"/>
          <c:showSerName val="0"/>
          <c:showPercent val="0"/>
          <c:showBubbleSize val="0"/>
        </c:dLbls>
        <c:smooth val="0"/>
        <c:axId val="153699840"/>
        <c:axId val="153701376"/>
      </c:lineChart>
      <c:dateAx>
        <c:axId val="1536998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01376"/>
        <c:crosses val="autoZero"/>
        <c:auto val="1"/>
        <c:lblOffset val="100"/>
        <c:baseTimeUnit val="months"/>
      </c:dateAx>
      <c:valAx>
        <c:axId val="153701376"/>
        <c:scaling>
          <c:orientation val="minMax"/>
          <c:max val="0.70000000000000007"/>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99840"/>
        <c:crosses val="autoZero"/>
        <c:crossBetween val="between"/>
        <c:majorUnit val="2.5000000000000005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7B85-5703-4177-9325-8D4D1635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2947</Words>
  <Characters>16800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2019-04-10T07:35:00Z</cp:lastPrinted>
  <dcterms:created xsi:type="dcterms:W3CDTF">2019-04-18T11:57:00Z</dcterms:created>
  <dcterms:modified xsi:type="dcterms:W3CDTF">2019-04-18T11:57:00Z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