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BB" w:rsidRPr="004F62BB" w:rsidRDefault="004F62BB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2BB">
        <w:rPr>
          <w:rFonts w:ascii="Arial" w:hAnsi="Arial" w:cs="Arial"/>
          <w:b/>
          <w:sz w:val="24"/>
          <w:szCs w:val="24"/>
        </w:rPr>
        <w:t>Performance and Resource</w:t>
      </w:r>
      <w:r w:rsidR="007D3E9B">
        <w:rPr>
          <w:rFonts w:ascii="Arial" w:hAnsi="Arial" w:cs="Arial"/>
          <w:b/>
          <w:sz w:val="24"/>
          <w:szCs w:val="24"/>
        </w:rPr>
        <w:t>s</w:t>
      </w:r>
      <w:r w:rsidR="00B05292">
        <w:rPr>
          <w:rFonts w:ascii="Arial" w:hAnsi="Arial" w:cs="Arial"/>
          <w:b/>
          <w:sz w:val="24"/>
          <w:szCs w:val="24"/>
        </w:rPr>
        <w:t xml:space="preserve"> Scrutiny Programme 2018/2019</w:t>
      </w:r>
    </w:p>
    <w:p w:rsidR="001D5222" w:rsidRDefault="001D5222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62BB" w:rsidRPr="004F62BB" w:rsidRDefault="004F62BB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2BB">
        <w:rPr>
          <w:rFonts w:ascii="Arial" w:hAnsi="Arial" w:cs="Arial"/>
          <w:b/>
          <w:sz w:val="24"/>
          <w:szCs w:val="24"/>
        </w:rPr>
        <w:t>Report to: the Office of the Police</w:t>
      </w:r>
      <w:r w:rsidR="00AC1ABD">
        <w:rPr>
          <w:rFonts w:ascii="Arial" w:hAnsi="Arial" w:cs="Arial"/>
          <w:b/>
          <w:sz w:val="24"/>
          <w:szCs w:val="24"/>
        </w:rPr>
        <w:t>, Fire</w:t>
      </w:r>
      <w:r w:rsidRPr="004F62BB">
        <w:rPr>
          <w:rFonts w:ascii="Arial" w:hAnsi="Arial" w:cs="Arial"/>
          <w:b/>
          <w:sz w:val="24"/>
          <w:szCs w:val="24"/>
        </w:rPr>
        <w:t xml:space="preserve"> and Crime Commissioner for Essex</w:t>
      </w:r>
    </w:p>
    <w:p w:rsidR="001D5222" w:rsidRDefault="001D5222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62BB" w:rsidRDefault="004F62BB" w:rsidP="004F62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652B9C" w:rsidRPr="00046E42" w:rsidTr="00773654">
        <w:tc>
          <w:tcPr>
            <w:tcW w:w="3260" w:type="dxa"/>
          </w:tcPr>
          <w:p w:rsidR="00773654" w:rsidRPr="00046E42" w:rsidRDefault="00652B9C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Title of Report:</w:t>
            </w:r>
          </w:p>
        </w:tc>
        <w:tc>
          <w:tcPr>
            <w:tcW w:w="5103" w:type="dxa"/>
          </w:tcPr>
          <w:p w:rsidR="00652B9C" w:rsidRPr="00046E42" w:rsidRDefault="00BF18EA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Timeline for Capturing BWV Benefits</w:t>
            </w:r>
          </w:p>
        </w:tc>
      </w:tr>
      <w:tr w:rsidR="00852251" w:rsidRPr="00046E42" w:rsidTr="00773654">
        <w:tc>
          <w:tcPr>
            <w:tcW w:w="3260" w:type="dxa"/>
          </w:tcPr>
          <w:p w:rsidR="00852251" w:rsidRPr="00046E42" w:rsidRDefault="00852251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2251">
              <w:rPr>
                <w:rFonts w:ascii="Arial" w:hAnsi="Arial" w:cs="Arial"/>
                <w:b/>
                <w:color w:val="0070C0"/>
                <w:sz w:val="24"/>
                <w:szCs w:val="24"/>
              </w:rPr>
              <w:t>Agenda Number:</w:t>
            </w:r>
          </w:p>
        </w:tc>
        <w:tc>
          <w:tcPr>
            <w:tcW w:w="5103" w:type="dxa"/>
          </w:tcPr>
          <w:p w:rsidR="00852251" w:rsidRPr="00046E42" w:rsidRDefault="00541A78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2D6614">
              <w:rPr>
                <w:rFonts w:ascii="Arial" w:hAnsi="Arial" w:cs="Arial"/>
                <w:b/>
                <w:sz w:val="24"/>
                <w:szCs w:val="24"/>
              </w:rPr>
              <w:t>.0</w:t>
            </w:r>
          </w:p>
        </w:tc>
      </w:tr>
      <w:tr w:rsidR="00652B9C" w:rsidRPr="00046E42" w:rsidTr="00773654">
        <w:tc>
          <w:tcPr>
            <w:tcW w:w="3260" w:type="dxa"/>
          </w:tcPr>
          <w:p w:rsidR="00773654" w:rsidRPr="00046E42" w:rsidRDefault="00517DD2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Chief Officer</w:t>
            </w:r>
          </w:p>
        </w:tc>
        <w:tc>
          <w:tcPr>
            <w:tcW w:w="5103" w:type="dxa"/>
          </w:tcPr>
          <w:p w:rsidR="00652B9C" w:rsidRPr="00046E42" w:rsidRDefault="00BF18EA" w:rsidP="0049289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 V Harrington</w:t>
            </w:r>
            <w:r w:rsidR="00492894">
              <w:rPr>
                <w:rFonts w:ascii="Arial" w:hAnsi="Arial" w:cs="Arial"/>
                <w:b/>
                <w:sz w:val="24"/>
                <w:szCs w:val="24"/>
              </w:rPr>
              <w:t xml:space="preserve"> &amp; ACC Prophet</w:t>
            </w:r>
          </w:p>
        </w:tc>
      </w:tr>
      <w:tr w:rsidR="00591EB9" w:rsidRPr="00046E42" w:rsidTr="00773654">
        <w:tc>
          <w:tcPr>
            <w:tcW w:w="3260" w:type="dxa"/>
          </w:tcPr>
          <w:p w:rsidR="00591EB9" w:rsidRDefault="00591EB9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Paper was Written</w:t>
            </w:r>
          </w:p>
        </w:tc>
        <w:tc>
          <w:tcPr>
            <w:tcW w:w="5103" w:type="dxa"/>
          </w:tcPr>
          <w:p w:rsidR="00591EB9" w:rsidRPr="00046E42" w:rsidRDefault="006478FB" w:rsidP="006478F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6478F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 </w:t>
            </w:r>
            <w:r w:rsidR="00BF18EA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</w:tr>
      <w:tr w:rsidR="00591EB9" w:rsidRPr="00046E42" w:rsidTr="00773654">
        <w:tc>
          <w:tcPr>
            <w:tcW w:w="3260" w:type="dxa"/>
          </w:tcPr>
          <w:p w:rsidR="00591EB9" w:rsidRDefault="00591EB9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Version Number</w:t>
            </w:r>
          </w:p>
        </w:tc>
        <w:tc>
          <w:tcPr>
            <w:tcW w:w="5103" w:type="dxa"/>
          </w:tcPr>
          <w:p w:rsidR="00591EB9" w:rsidRPr="00046E42" w:rsidRDefault="008E4DEB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V2</w:t>
            </w:r>
            <w:r w:rsidR="00BF18EA">
              <w:rPr>
                <w:rFonts w:ascii="Arial" w:hAnsi="Arial" w:cs="Arial"/>
                <w:b/>
                <w:sz w:val="24"/>
                <w:szCs w:val="24"/>
              </w:rPr>
              <w:t>.0</w:t>
            </w:r>
          </w:p>
        </w:tc>
      </w:tr>
      <w:tr w:rsidR="00652B9C" w:rsidRPr="00046E42" w:rsidTr="00773654">
        <w:tc>
          <w:tcPr>
            <w:tcW w:w="3260" w:type="dxa"/>
          </w:tcPr>
          <w:p w:rsidR="00652B9C" w:rsidRPr="00046E42" w:rsidRDefault="00652B9C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 xml:space="preserve">Report from: </w:t>
            </w:r>
          </w:p>
        </w:tc>
        <w:tc>
          <w:tcPr>
            <w:tcW w:w="5103" w:type="dxa"/>
          </w:tcPr>
          <w:p w:rsidR="00652B9C" w:rsidRPr="00046E42" w:rsidRDefault="00773654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Essex Police</w:t>
            </w:r>
          </w:p>
        </w:tc>
      </w:tr>
      <w:tr w:rsidR="00652B9C" w:rsidRPr="00046E42" w:rsidTr="00773654">
        <w:tc>
          <w:tcPr>
            <w:tcW w:w="3260" w:type="dxa"/>
          </w:tcPr>
          <w:p w:rsidR="00652B9C" w:rsidRPr="00046E42" w:rsidRDefault="00652B9C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Date of Meeting</w:t>
            </w:r>
            <w:r w:rsidR="00773654" w:rsidRPr="00046E4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652B9C" w:rsidRPr="00046E42" w:rsidRDefault="008E4DEB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8E4DE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 2019</w:t>
            </w:r>
          </w:p>
        </w:tc>
      </w:tr>
      <w:tr w:rsidR="00652B9C" w:rsidRPr="00046E42" w:rsidTr="00773654">
        <w:tc>
          <w:tcPr>
            <w:tcW w:w="3260" w:type="dxa"/>
          </w:tcPr>
          <w:p w:rsidR="00652B9C" w:rsidRPr="00046E42" w:rsidRDefault="00517DD2" w:rsidP="009F32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 on behalf of</w:t>
            </w:r>
            <w:r w:rsidRPr="00046E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2B9C" w:rsidRPr="00046E42">
              <w:rPr>
                <w:rFonts w:ascii="Arial" w:hAnsi="Arial" w:cs="Arial"/>
                <w:b/>
                <w:sz w:val="24"/>
                <w:szCs w:val="24"/>
              </w:rPr>
              <w:t>Chief Officer:</w:t>
            </w:r>
          </w:p>
        </w:tc>
        <w:tc>
          <w:tcPr>
            <w:tcW w:w="5103" w:type="dxa"/>
          </w:tcPr>
          <w:p w:rsidR="00652B9C" w:rsidRPr="00046E42" w:rsidRDefault="006478FB" w:rsidP="009F32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T/Supt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Jonathan Baldwin 42072055</w:t>
            </w:r>
          </w:p>
        </w:tc>
      </w:tr>
      <w:tr w:rsidR="00652B9C" w:rsidRPr="00046E42" w:rsidTr="00773654">
        <w:tc>
          <w:tcPr>
            <w:tcW w:w="3260" w:type="dxa"/>
          </w:tcPr>
          <w:p w:rsidR="00652B9C" w:rsidRPr="00046E42" w:rsidRDefault="00652B9C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Date of Approval:</w:t>
            </w:r>
          </w:p>
        </w:tc>
        <w:tc>
          <w:tcPr>
            <w:tcW w:w="5103" w:type="dxa"/>
          </w:tcPr>
          <w:p w:rsidR="00652B9C" w:rsidRPr="00046E42" w:rsidRDefault="008E4DEB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8E4DE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 2019</w:t>
            </w:r>
          </w:p>
        </w:tc>
      </w:tr>
    </w:tbl>
    <w:p w:rsidR="001D5222" w:rsidRPr="004F62BB" w:rsidRDefault="001D5222" w:rsidP="00E92E89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4F62BB" w:rsidRDefault="004F62BB" w:rsidP="00330E5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665862" w:rsidRDefault="00665862" w:rsidP="00330E57">
      <w:pPr>
        <w:pStyle w:val="NoSpacing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  <w:u w:val="single"/>
        </w:rPr>
        <w:t>Purpose of Report</w:t>
      </w:r>
    </w:p>
    <w:p w:rsidR="00652B9C" w:rsidRDefault="00652B9C" w:rsidP="00330E57">
      <w:pPr>
        <w:pStyle w:val="NoSpacing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52B9C" w:rsidRPr="00652B9C" w:rsidRDefault="00BF18EA" w:rsidP="00330E5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report </w:t>
      </w:r>
      <w:r w:rsidR="006C4375">
        <w:rPr>
          <w:rFonts w:ascii="Arial" w:hAnsi="Arial" w:cs="Arial"/>
          <w:sz w:val="24"/>
          <w:szCs w:val="24"/>
        </w:rPr>
        <w:t xml:space="preserve">develops the previous submissions re: BWV </w:t>
      </w:r>
      <w:r>
        <w:rPr>
          <w:rFonts w:ascii="Arial" w:hAnsi="Arial" w:cs="Arial"/>
          <w:sz w:val="24"/>
          <w:szCs w:val="24"/>
        </w:rPr>
        <w:t>benefit realisation</w:t>
      </w:r>
      <w:r w:rsidR="006478FB">
        <w:rPr>
          <w:rFonts w:ascii="Arial" w:hAnsi="Arial" w:cs="Arial"/>
          <w:sz w:val="24"/>
          <w:szCs w:val="24"/>
        </w:rPr>
        <w:t xml:space="preserve"> </w:t>
      </w:r>
      <w:r w:rsidR="006C4375">
        <w:rPr>
          <w:rFonts w:ascii="Arial" w:hAnsi="Arial" w:cs="Arial"/>
          <w:sz w:val="24"/>
          <w:szCs w:val="24"/>
        </w:rPr>
        <w:t xml:space="preserve">by presenting a </w:t>
      </w:r>
      <w:r w:rsidR="006478FB">
        <w:rPr>
          <w:rFonts w:ascii="Arial" w:hAnsi="Arial" w:cs="Arial"/>
          <w:sz w:val="24"/>
          <w:szCs w:val="24"/>
        </w:rPr>
        <w:t>matrix that will used to gauge the</w:t>
      </w:r>
      <w:r w:rsidR="006C4375">
        <w:rPr>
          <w:rFonts w:ascii="Arial" w:hAnsi="Arial" w:cs="Arial"/>
          <w:sz w:val="24"/>
          <w:szCs w:val="24"/>
        </w:rPr>
        <w:t xml:space="preserve"> use and consequent benefits of BWV following the completion of the final device allocation and roll out.</w:t>
      </w:r>
    </w:p>
    <w:p w:rsidR="00665862" w:rsidRPr="00665862" w:rsidRDefault="00665862" w:rsidP="00330E5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121A7F" w:rsidRPr="007D3E9B" w:rsidRDefault="00837748" w:rsidP="00330E57">
      <w:pPr>
        <w:pStyle w:val="NoSpacing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665862" w:rsidRPr="00665862">
        <w:rPr>
          <w:rFonts w:ascii="Arial" w:hAnsi="Arial" w:cs="Arial"/>
          <w:b/>
          <w:sz w:val="24"/>
          <w:szCs w:val="24"/>
        </w:rPr>
        <w:t>.0</w:t>
      </w:r>
      <w:r w:rsidR="00665862" w:rsidRPr="00665862">
        <w:rPr>
          <w:rFonts w:ascii="Arial" w:hAnsi="Arial" w:cs="Arial"/>
          <w:b/>
          <w:sz w:val="24"/>
          <w:szCs w:val="24"/>
        </w:rPr>
        <w:tab/>
      </w:r>
      <w:r w:rsidR="004F62BB" w:rsidRPr="007D3E9B">
        <w:rPr>
          <w:rFonts w:ascii="Arial" w:hAnsi="Arial" w:cs="Arial"/>
          <w:b/>
          <w:sz w:val="24"/>
          <w:szCs w:val="24"/>
          <w:u w:val="single"/>
        </w:rPr>
        <w:t>Introduction</w:t>
      </w:r>
      <w:r w:rsidR="00E92E89">
        <w:rPr>
          <w:rFonts w:ascii="Arial" w:hAnsi="Arial" w:cs="Arial"/>
          <w:b/>
          <w:sz w:val="24"/>
          <w:szCs w:val="24"/>
          <w:u w:val="single"/>
        </w:rPr>
        <w:t>/</w:t>
      </w:r>
      <w:r w:rsidR="001D5222">
        <w:rPr>
          <w:rFonts w:ascii="Arial" w:hAnsi="Arial" w:cs="Arial"/>
          <w:b/>
          <w:sz w:val="24"/>
          <w:szCs w:val="24"/>
          <w:u w:val="single"/>
        </w:rPr>
        <w:t xml:space="preserve">Background </w:t>
      </w:r>
    </w:p>
    <w:p w:rsidR="00121A7F" w:rsidRPr="007D3E9B" w:rsidRDefault="00121A7F" w:rsidP="00330E57">
      <w:pPr>
        <w:pStyle w:val="NoSpacing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F18EA" w:rsidRDefault="00BF18EA" w:rsidP="00330E5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  <w:r w:rsidRPr="00BF18EA">
        <w:rPr>
          <w:rFonts w:ascii="Arial" w:hAnsi="Arial" w:cs="Arial"/>
          <w:sz w:val="24"/>
          <w:szCs w:val="24"/>
        </w:rPr>
        <w:t xml:space="preserve">The rollout of AXON Body Worn Video (BWV) devices was completed in </w:t>
      </w:r>
      <w:r w:rsidR="00837748" w:rsidRPr="00BF18EA">
        <w:rPr>
          <w:rFonts w:ascii="Arial" w:hAnsi="Arial" w:cs="Arial"/>
          <w:sz w:val="24"/>
          <w:szCs w:val="24"/>
        </w:rPr>
        <w:t xml:space="preserve">November </w:t>
      </w:r>
      <w:r w:rsidR="00837748">
        <w:rPr>
          <w:rFonts w:ascii="Arial" w:hAnsi="Arial" w:cs="Arial"/>
          <w:sz w:val="24"/>
          <w:szCs w:val="24"/>
        </w:rPr>
        <w:t>2018</w:t>
      </w:r>
      <w:r w:rsidR="00AB55C3">
        <w:rPr>
          <w:rFonts w:ascii="Arial" w:hAnsi="Arial" w:cs="Arial"/>
          <w:sz w:val="24"/>
          <w:szCs w:val="24"/>
        </w:rPr>
        <w:t xml:space="preserve">. In the intervening </w:t>
      </w:r>
      <w:r w:rsidR="006C4375">
        <w:rPr>
          <w:rFonts w:ascii="Arial" w:hAnsi="Arial" w:cs="Arial"/>
          <w:sz w:val="24"/>
          <w:szCs w:val="24"/>
        </w:rPr>
        <w:t xml:space="preserve">months, the usage data has been reviewed and allocation profile refined. At </w:t>
      </w:r>
      <w:r w:rsidRPr="00BF18EA">
        <w:rPr>
          <w:rFonts w:ascii="Arial" w:hAnsi="Arial" w:cs="Arial"/>
          <w:sz w:val="24"/>
          <w:szCs w:val="24"/>
        </w:rPr>
        <w:t>the time of writing 2,</w:t>
      </w:r>
      <w:r w:rsidR="006C4375">
        <w:rPr>
          <w:rFonts w:ascii="Arial" w:hAnsi="Arial" w:cs="Arial"/>
          <w:sz w:val="24"/>
          <w:szCs w:val="24"/>
        </w:rPr>
        <w:t>20</w:t>
      </w:r>
      <w:r w:rsidRPr="00BF18EA">
        <w:rPr>
          <w:rFonts w:ascii="Arial" w:hAnsi="Arial" w:cs="Arial"/>
          <w:sz w:val="24"/>
          <w:szCs w:val="24"/>
        </w:rPr>
        <w:t xml:space="preserve">0 </w:t>
      </w:r>
      <w:r w:rsidR="006C4375">
        <w:rPr>
          <w:rFonts w:ascii="Arial" w:hAnsi="Arial" w:cs="Arial"/>
          <w:sz w:val="24"/>
          <w:szCs w:val="24"/>
        </w:rPr>
        <w:t xml:space="preserve">standard </w:t>
      </w:r>
      <w:r w:rsidRPr="00BF18EA">
        <w:rPr>
          <w:rFonts w:ascii="Arial" w:hAnsi="Arial" w:cs="Arial"/>
          <w:sz w:val="24"/>
          <w:szCs w:val="24"/>
        </w:rPr>
        <w:t xml:space="preserve">cameras are in circulation. </w:t>
      </w:r>
    </w:p>
    <w:p w:rsidR="006C4375" w:rsidRPr="00BF18EA" w:rsidRDefault="006C4375" w:rsidP="00330E5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BF18EA" w:rsidRDefault="00BF18EA" w:rsidP="00330E57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BF18EA">
        <w:rPr>
          <w:rFonts w:ascii="Arial" w:hAnsi="Arial" w:cs="Arial"/>
          <w:sz w:val="24"/>
          <w:szCs w:val="24"/>
        </w:rPr>
        <w:t xml:space="preserve">The BWV </w:t>
      </w:r>
      <w:r w:rsidR="006C4375">
        <w:rPr>
          <w:rFonts w:ascii="Arial" w:hAnsi="Arial" w:cs="Arial"/>
          <w:sz w:val="24"/>
          <w:szCs w:val="24"/>
        </w:rPr>
        <w:t xml:space="preserve">benefits matrix is </w:t>
      </w:r>
      <w:r w:rsidRPr="00BF18EA">
        <w:rPr>
          <w:rFonts w:ascii="Arial" w:hAnsi="Arial" w:cs="Arial"/>
          <w:sz w:val="24"/>
          <w:szCs w:val="24"/>
        </w:rPr>
        <w:t xml:space="preserve">categorised into </w:t>
      </w:r>
      <w:r w:rsidR="006C4375">
        <w:rPr>
          <w:rFonts w:ascii="Arial" w:hAnsi="Arial" w:cs="Arial"/>
          <w:sz w:val="24"/>
          <w:szCs w:val="24"/>
        </w:rPr>
        <w:t xml:space="preserve">four </w:t>
      </w:r>
      <w:r w:rsidRPr="00BF18EA">
        <w:rPr>
          <w:rFonts w:ascii="Arial" w:hAnsi="Arial" w:cs="Arial"/>
          <w:sz w:val="24"/>
          <w:szCs w:val="24"/>
        </w:rPr>
        <w:t>key areas:</w:t>
      </w:r>
    </w:p>
    <w:p w:rsidR="00837748" w:rsidRPr="00BF18EA" w:rsidRDefault="00837748" w:rsidP="00330E57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BF18EA" w:rsidRPr="00BF18EA" w:rsidRDefault="006C4375" w:rsidP="00330E57">
      <w:pPr>
        <w:numPr>
          <w:ilvl w:val="0"/>
          <w:numId w:val="9"/>
        </w:numPr>
        <w:spacing w:line="240" w:lineRule="auto"/>
        <w:ind w:left="1276" w:hanging="425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Public and Partnership</w:t>
      </w:r>
    </w:p>
    <w:p w:rsidR="00BF18EA" w:rsidRDefault="006C4375" w:rsidP="00330E57">
      <w:pPr>
        <w:numPr>
          <w:ilvl w:val="0"/>
          <w:numId w:val="9"/>
        </w:numPr>
        <w:spacing w:line="240" w:lineRule="auto"/>
        <w:ind w:left="1276" w:hanging="425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Operational </w:t>
      </w:r>
    </w:p>
    <w:p w:rsidR="006C4375" w:rsidRPr="00BF18EA" w:rsidRDefault="006C4375" w:rsidP="00330E57">
      <w:pPr>
        <w:numPr>
          <w:ilvl w:val="0"/>
          <w:numId w:val="9"/>
        </w:numPr>
        <w:spacing w:line="240" w:lineRule="auto"/>
        <w:ind w:left="1276" w:hanging="425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Criminal Justice </w:t>
      </w:r>
    </w:p>
    <w:p w:rsidR="00C654B8" w:rsidRPr="00BF18EA" w:rsidRDefault="006C4375" w:rsidP="00330E57">
      <w:pPr>
        <w:numPr>
          <w:ilvl w:val="0"/>
          <w:numId w:val="9"/>
        </w:numPr>
        <w:spacing w:line="240" w:lineRule="auto"/>
        <w:ind w:left="1276" w:hanging="425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Organisational  </w:t>
      </w:r>
    </w:p>
    <w:p w:rsidR="00AB55C3" w:rsidRDefault="00FB498A" w:rsidP="00330E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B55C3" w:rsidRDefault="00AB5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654B8" w:rsidRPr="007D3E9B" w:rsidRDefault="00837748" w:rsidP="00330E5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="00665862">
        <w:rPr>
          <w:rFonts w:ascii="Arial" w:hAnsi="Arial" w:cs="Arial"/>
          <w:b/>
          <w:sz w:val="24"/>
          <w:szCs w:val="24"/>
        </w:rPr>
        <w:t>.0</w:t>
      </w:r>
      <w:r w:rsidR="00665862">
        <w:rPr>
          <w:rFonts w:ascii="Arial" w:hAnsi="Arial" w:cs="Arial"/>
          <w:b/>
          <w:sz w:val="24"/>
          <w:szCs w:val="24"/>
        </w:rPr>
        <w:tab/>
      </w:r>
      <w:r w:rsidR="00017D7D" w:rsidRPr="007D3E9B">
        <w:rPr>
          <w:rFonts w:ascii="Arial" w:hAnsi="Arial" w:cs="Arial"/>
          <w:b/>
          <w:sz w:val="24"/>
          <w:szCs w:val="24"/>
          <w:u w:val="single"/>
        </w:rPr>
        <w:t xml:space="preserve">Current Work and </w:t>
      </w:r>
      <w:r w:rsidR="00C654B8" w:rsidRPr="007D3E9B">
        <w:rPr>
          <w:rFonts w:ascii="Arial" w:hAnsi="Arial" w:cs="Arial"/>
          <w:b/>
          <w:sz w:val="24"/>
          <w:szCs w:val="24"/>
          <w:u w:val="single"/>
        </w:rPr>
        <w:t>Performance</w:t>
      </w:r>
    </w:p>
    <w:p w:rsidR="00A85689" w:rsidRPr="00AB55C3" w:rsidRDefault="00A85689" w:rsidP="00330E57">
      <w:pPr>
        <w:pStyle w:val="NoSpacing"/>
        <w:ind w:left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AB55C3" w:rsidRPr="00AB55C3" w:rsidRDefault="00AB55C3" w:rsidP="00330E57">
      <w:pPr>
        <w:pStyle w:val="NoSpacing"/>
        <w:ind w:left="709"/>
        <w:jc w:val="both"/>
        <w:rPr>
          <w:rFonts w:ascii="Arial" w:hAnsi="Arial" w:cs="Arial"/>
          <w:b/>
          <w:i/>
          <w:sz w:val="24"/>
          <w:szCs w:val="24"/>
        </w:rPr>
      </w:pPr>
      <w:r w:rsidRPr="00AB55C3">
        <w:rPr>
          <w:rFonts w:ascii="Arial" w:hAnsi="Arial" w:cs="Arial"/>
          <w:b/>
          <w:i/>
          <w:sz w:val="24"/>
          <w:szCs w:val="24"/>
        </w:rPr>
        <w:t>Update on benefits matrix creation</w:t>
      </w:r>
    </w:p>
    <w:p w:rsidR="00AB55C3" w:rsidRDefault="00AB55C3" w:rsidP="00330E5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AB55C3" w:rsidRDefault="00AB55C3" w:rsidP="00330E5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ownership of the benefits matrix sits under ACC Operational Policing. Benefit capture is subject to</w:t>
      </w:r>
      <w:r w:rsidR="007E0AAC">
        <w:rPr>
          <w:rFonts w:ascii="Arial" w:hAnsi="Arial" w:cs="Arial"/>
          <w:sz w:val="24"/>
          <w:szCs w:val="24"/>
        </w:rPr>
        <w:t xml:space="preserve"> design and</w:t>
      </w:r>
      <w:r>
        <w:rPr>
          <w:rFonts w:ascii="Arial" w:hAnsi="Arial" w:cs="Arial"/>
          <w:sz w:val="24"/>
          <w:szCs w:val="24"/>
        </w:rPr>
        <w:t xml:space="preserve"> scrutiny at the </w:t>
      </w:r>
      <w:r w:rsidRPr="00AB55C3">
        <w:rPr>
          <w:rFonts w:ascii="Arial" w:hAnsi="Arial" w:cs="Arial"/>
          <w:b/>
          <w:sz w:val="24"/>
          <w:szCs w:val="24"/>
        </w:rPr>
        <w:t>Essex BWV Board</w:t>
      </w:r>
      <w:r>
        <w:rPr>
          <w:rFonts w:ascii="Arial" w:hAnsi="Arial" w:cs="Arial"/>
          <w:sz w:val="24"/>
          <w:szCs w:val="24"/>
        </w:rPr>
        <w:t xml:space="preserve">.    </w:t>
      </w:r>
    </w:p>
    <w:p w:rsidR="00AB55C3" w:rsidRDefault="00AB55C3" w:rsidP="00330E5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FB498A" w:rsidRDefault="00BF18EA" w:rsidP="00330E5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  <w:r w:rsidRPr="00BF18EA">
        <w:rPr>
          <w:rFonts w:ascii="Arial" w:hAnsi="Arial" w:cs="Arial"/>
          <w:sz w:val="24"/>
          <w:szCs w:val="24"/>
        </w:rPr>
        <w:t xml:space="preserve">In order to provide a baseline to capture the benefits a </w:t>
      </w:r>
      <w:r w:rsidR="00FB498A">
        <w:rPr>
          <w:rFonts w:ascii="Arial" w:hAnsi="Arial" w:cs="Arial"/>
          <w:sz w:val="24"/>
          <w:szCs w:val="24"/>
        </w:rPr>
        <w:t xml:space="preserve">number of departments have been engaged to provide both quantitative and qualitative data in support of a benefits matrix. These include CJ, Media, Finance, PSD, Strategic Change, LPAs, Legal and RMU. </w:t>
      </w:r>
    </w:p>
    <w:p w:rsidR="00FB498A" w:rsidRDefault="00FB498A" w:rsidP="00330E5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FB498A" w:rsidRDefault="00FB498A" w:rsidP="00330E5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an initial survey of operational </w:t>
      </w:r>
      <w:r w:rsidR="00BF18EA" w:rsidRPr="00BF18EA">
        <w:rPr>
          <w:rFonts w:ascii="Arial" w:hAnsi="Arial" w:cs="Arial"/>
          <w:sz w:val="24"/>
          <w:szCs w:val="24"/>
        </w:rPr>
        <w:t xml:space="preserve">officers </w:t>
      </w:r>
      <w:r>
        <w:rPr>
          <w:rFonts w:ascii="Arial" w:hAnsi="Arial" w:cs="Arial"/>
          <w:sz w:val="24"/>
          <w:szCs w:val="24"/>
        </w:rPr>
        <w:t>carried out in December 2018, a survey results from a follow-up will be collated in June 2019 from those in possession of the AXON devices to map any changes in response.</w:t>
      </w:r>
    </w:p>
    <w:p w:rsidR="00BF18EA" w:rsidRPr="00BF18EA" w:rsidRDefault="00BF18EA" w:rsidP="00330E5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  <w:r w:rsidRPr="00BF18EA">
        <w:rPr>
          <w:rFonts w:ascii="Arial" w:hAnsi="Arial" w:cs="Arial"/>
          <w:sz w:val="24"/>
          <w:szCs w:val="24"/>
        </w:rPr>
        <w:t xml:space="preserve"> </w:t>
      </w:r>
    </w:p>
    <w:p w:rsidR="00AB55C3" w:rsidRDefault="00FB498A" w:rsidP="00AB55C3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previously stated, t</w:t>
      </w:r>
      <w:r w:rsidR="00BF18EA" w:rsidRPr="00BF18EA">
        <w:rPr>
          <w:rFonts w:ascii="Arial" w:hAnsi="Arial" w:cs="Arial"/>
          <w:sz w:val="24"/>
          <w:szCs w:val="24"/>
        </w:rPr>
        <w:t xml:space="preserve">he </w:t>
      </w:r>
      <w:r w:rsidR="00223565">
        <w:rPr>
          <w:rFonts w:ascii="Arial" w:hAnsi="Arial" w:cs="Arial"/>
          <w:sz w:val="24"/>
          <w:szCs w:val="24"/>
        </w:rPr>
        <w:t xml:space="preserve">data required to contextualise the </w:t>
      </w:r>
      <w:r w:rsidR="00BF18EA" w:rsidRPr="00BF18EA">
        <w:rPr>
          <w:rFonts w:ascii="Arial" w:hAnsi="Arial" w:cs="Arial"/>
          <w:sz w:val="24"/>
          <w:szCs w:val="24"/>
        </w:rPr>
        <w:t xml:space="preserve">anticipated benefits </w:t>
      </w:r>
      <w:r w:rsidR="00223565">
        <w:rPr>
          <w:rFonts w:ascii="Arial" w:hAnsi="Arial" w:cs="Arial"/>
          <w:sz w:val="24"/>
          <w:szCs w:val="24"/>
        </w:rPr>
        <w:t>needs to be generated</w:t>
      </w:r>
      <w:r w:rsidR="00AB55C3">
        <w:rPr>
          <w:rFonts w:ascii="Arial" w:hAnsi="Arial" w:cs="Arial"/>
          <w:sz w:val="24"/>
          <w:szCs w:val="24"/>
        </w:rPr>
        <w:t xml:space="preserve"> over 6 months to allow any trends in baseline data to be observed.</w:t>
      </w:r>
      <w:r w:rsidR="00223565">
        <w:rPr>
          <w:rFonts w:ascii="Arial" w:hAnsi="Arial" w:cs="Arial"/>
          <w:sz w:val="24"/>
          <w:szCs w:val="24"/>
        </w:rPr>
        <w:t xml:space="preserve"> The formal PIR will therefore be undertaken in May 2019 focussing on </w:t>
      </w:r>
      <w:r w:rsidR="00AB55C3">
        <w:rPr>
          <w:rFonts w:ascii="Arial" w:hAnsi="Arial" w:cs="Arial"/>
          <w:sz w:val="24"/>
          <w:szCs w:val="24"/>
        </w:rPr>
        <w:t xml:space="preserve">the </w:t>
      </w:r>
      <w:r w:rsidR="00BF18EA" w:rsidRPr="00BF18EA">
        <w:rPr>
          <w:rFonts w:ascii="Arial" w:hAnsi="Arial" w:cs="Arial"/>
          <w:sz w:val="24"/>
          <w:szCs w:val="24"/>
        </w:rPr>
        <w:t xml:space="preserve">indicators </w:t>
      </w:r>
      <w:r w:rsidR="00AB55C3">
        <w:rPr>
          <w:rFonts w:ascii="Arial" w:hAnsi="Arial" w:cs="Arial"/>
          <w:sz w:val="24"/>
          <w:szCs w:val="24"/>
        </w:rPr>
        <w:t xml:space="preserve">previously presented to P&amp;RS. </w:t>
      </w:r>
    </w:p>
    <w:p w:rsidR="00AB55C3" w:rsidRDefault="00AB55C3" w:rsidP="00AB55C3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AB55C3" w:rsidRDefault="00AB55C3" w:rsidP="00AB55C3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indicators have been arranged in a Benefits Matrix, as illustrated at Appendix </w:t>
      </w:r>
      <w:r w:rsidR="00253764">
        <w:rPr>
          <w:rFonts w:ascii="Arial" w:hAnsi="Arial" w:cs="Arial"/>
          <w:sz w:val="24"/>
          <w:szCs w:val="24"/>
        </w:rPr>
        <w:t>6.0</w:t>
      </w:r>
      <w:r>
        <w:rPr>
          <w:rFonts w:ascii="Arial" w:hAnsi="Arial" w:cs="Arial"/>
          <w:sz w:val="24"/>
          <w:szCs w:val="24"/>
        </w:rPr>
        <w:t>.</w:t>
      </w:r>
    </w:p>
    <w:p w:rsidR="00FB498A" w:rsidRDefault="00FB498A" w:rsidP="00FB498A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295056" w:rsidRPr="00BF18EA" w:rsidRDefault="00295056" w:rsidP="00330E5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50068A" w:rsidRDefault="0050068A" w:rsidP="00330E57">
      <w:pPr>
        <w:pStyle w:val="NoSpacing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78E6" w:rsidRPr="000878E6" w:rsidRDefault="000878E6" w:rsidP="00330E57">
      <w:pPr>
        <w:pStyle w:val="NoSpacing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4.0 </w:t>
      </w:r>
      <w:r w:rsidRPr="007D3E9B">
        <w:rPr>
          <w:rFonts w:ascii="Arial" w:hAnsi="Arial" w:cs="Arial"/>
          <w:b/>
          <w:sz w:val="24"/>
          <w:szCs w:val="24"/>
          <w:u w:val="single"/>
        </w:rPr>
        <w:t>Future Work/Development</w:t>
      </w:r>
      <w:r>
        <w:rPr>
          <w:rFonts w:ascii="Arial" w:hAnsi="Arial" w:cs="Arial"/>
          <w:b/>
          <w:sz w:val="24"/>
          <w:szCs w:val="24"/>
          <w:u w:val="single"/>
        </w:rPr>
        <w:t xml:space="preserve"> and Expected Outcome</w:t>
      </w:r>
      <w:r w:rsidRPr="000878E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878E6" w:rsidRPr="000878E6" w:rsidRDefault="000878E6" w:rsidP="00330E57">
      <w:pPr>
        <w:pStyle w:val="NoSpacing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37748" w:rsidRPr="00AB55C3" w:rsidRDefault="00AB55C3" w:rsidP="00330E57">
      <w:pPr>
        <w:pStyle w:val="NoSpacing"/>
        <w:ind w:left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Process of b</w:t>
      </w:r>
      <w:r w:rsidR="00837748" w:rsidRPr="00AB55C3">
        <w:rPr>
          <w:rFonts w:ascii="Arial" w:hAnsi="Arial" w:cs="Arial"/>
          <w:b/>
          <w:i/>
          <w:sz w:val="24"/>
          <w:szCs w:val="24"/>
        </w:rPr>
        <w:t xml:space="preserve">enefits </w:t>
      </w:r>
      <w:r>
        <w:rPr>
          <w:rFonts w:ascii="Arial" w:hAnsi="Arial" w:cs="Arial"/>
          <w:b/>
          <w:i/>
          <w:sz w:val="24"/>
          <w:szCs w:val="24"/>
        </w:rPr>
        <w:t>c</w:t>
      </w:r>
      <w:r w:rsidR="00837748" w:rsidRPr="00AB55C3">
        <w:rPr>
          <w:rFonts w:ascii="Arial" w:hAnsi="Arial" w:cs="Arial"/>
          <w:b/>
          <w:i/>
          <w:sz w:val="24"/>
          <w:szCs w:val="24"/>
        </w:rPr>
        <w:t>apture</w:t>
      </w:r>
    </w:p>
    <w:p w:rsidR="000878E6" w:rsidRPr="00BF18EA" w:rsidRDefault="000878E6" w:rsidP="00330E57">
      <w:pPr>
        <w:pStyle w:val="NoSpacing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B62E4" w:rsidRDefault="00837748" w:rsidP="00330E5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  <w:r w:rsidRPr="007B62E4">
        <w:rPr>
          <w:rFonts w:ascii="Arial" w:hAnsi="Arial" w:cs="Arial"/>
          <w:sz w:val="24"/>
          <w:szCs w:val="24"/>
        </w:rPr>
        <w:t xml:space="preserve">The work in relation to BWV </w:t>
      </w:r>
      <w:r w:rsidR="00AB55C3">
        <w:rPr>
          <w:rFonts w:ascii="Arial" w:hAnsi="Arial" w:cs="Arial"/>
          <w:sz w:val="24"/>
          <w:szCs w:val="24"/>
        </w:rPr>
        <w:t xml:space="preserve">continues to be </w:t>
      </w:r>
      <w:r w:rsidRPr="007B62E4">
        <w:rPr>
          <w:rFonts w:ascii="Arial" w:hAnsi="Arial" w:cs="Arial"/>
          <w:sz w:val="24"/>
          <w:szCs w:val="24"/>
        </w:rPr>
        <w:t xml:space="preserve">monitored by the Force Specific Point of Contact (SPOC), </w:t>
      </w:r>
      <w:proofErr w:type="spellStart"/>
      <w:r w:rsidRPr="007B62E4">
        <w:rPr>
          <w:rFonts w:ascii="Arial" w:hAnsi="Arial" w:cs="Arial"/>
          <w:sz w:val="24"/>
          <w:szCs w:val="24"/>
        </w:rPr>
        <w:t>T/Supt</w:t>
      </w:r>
      <w:proofErr w:type="spellEnd"/>
      <w:r w:rsidRPr="007B62E4">
        <w:rPr>
          <w:rFonts w:ascii="Arial" w:hAnsi="Arial" w:cs="Arial"/>
          <w:sz w:val="24"/>
          <w:szCs w:val="24"/>
        </w:rPr>
        <w:t xml:space="preserve"> Baldwin</w:t>
      </w:r>
      <w:r w:rsidR="00AB55C3">
        <w:rPr>
          <w:rFonts w:ascii="Arial" w:hAnsi="Arial" w:cs="Arial"/>
          <w:sz w:val="24"/>
          <w:szCs w:val="24"/>
        </w:rPr>
        <w:t>. He is supported by an officer on a 3-6 month secondment and x3 LPA SPOCs of Inspecting rank. On-going work is being carried out to identify the 10 most effective users of BWV technology on each LPA to act as BWV champions</w:t>
      </w:r>
      <w:r w:rsidR="00253764">
        <w:rPr>
          <w:rFonts w:ascii="Arial" w:hAnsi="Arial" w:cs="Arial"/>
          <w:sz w:val="24"/>
          <w:szCs w:val="24"/>
        </w:rPr>
        <w:t xml:space="preserve">. Meetings across the operational BWV management structure are held every 2 weeks. </w:t>
      </w:r>
    </w:p>
    <w:p w:rsidR="00AB55C3" w:rsidRPr="007B62E4" w:rsidRDefault="00AB55C3" w:rsidP="00330E5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902C90" w:rsidRDefault="00837748" w:rsidP="00330E5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  <w:r w:rsidRPr="00BF18EA">
        <w:rPr>
          <w:rFonts w:ascii="Arial" w:hAnsi="Arial" w:cs="Arial"/>
          <w:sz w:val="24"/>
          <w:szCs w:val="24"/>
        </w:rPr>
        <w:t xml:space="preserve">Strategic Oversight will be through the Strategic Change Coordination Board (SCCB) </w:t>
      </w:r>
      <w:r w:rsidR="00253764">
        <w:rPr>
          <w:rFonts w:ascii="Arial" w:hAnsi="Arial" w:cs="Arial"/>
          <w:sz w:val="24"/>
          <w:szCs w:val="24"/>
        </w:rPr>
        <w:t xml:space="preserve">Due to the importance of </w:t>
      </w:r>
      <w:r w:rsidRPr="00BF18EA">
        <w:rPr>
          <w:rFonts w:ascii="Arial" w:hAnsi="Arial" w:cs="Arial"/>
          <w:sz w:val="24"/>
          <w:szCs w:val="24"/>
        </w:rPr>
        <w:t xml:space="preserve">Body Worn Video </w:t>
      </w:r>
      <w:r w:rsidR="00253764">
        <w:rPr>
          <w:rFonts w:ascii="Arial" w:hAnsi="Arial" w:cs="Arial"/>
          <w:sz w:val="24"/>
          <w:szCs w:val="24"/>
        </w:rPr>
        <w:t xml:space="preserve">and issues arising with compliance and allocation, the Essex BWV Board continues to sit every month </w:t>
      </w:r>
      <w:r w:rsidR="00902C90">
        <w:rPr>
          <w:rFonts w:ascii="Arial" w:hAnsi="Arial" w:cs="Arial"/>
          <w:sz w:val="24"/>
          <w:szCs w:val="24"/>
        </w:rPr>
        <w:t xml:space="preserve">to </w:t>
      </w:r>
      <w:r w:rsidR="00253764">
        <w:rPr>
          <w:rFonts w:ascii="Arial" w:hAnsi="Arial" w:cs="Arial"/>
          <w:sz w:val="24"/>
          <w:szCs w:val="24"/>
        </w:rPr>
        <w:t xml:space="preserve">manage processes, benefits and </w:t>
      </w:r>
      <w:r w:rsidR="00902C90">
        <w:rPr>
          <w:rFonts w:ascii="Arial" w:hAnsi="Arial" w:cs="Arial"/>
          <w:sz w:val="24"/>
          <w:szCs w:val="24"/>
        </w:rPr>
        <w:t>review lessons learned</w:t>
      </w:r>
      <w:r w:rsidR="00253764">
        <w:rPr>
          <w:rFonts w:ascii="Arial" w:hAnsi="Arial" w:cs="Arial"/>
          <w:sz w:val="24"/>
          <w:szCs w:val="24"/>
        </w:rPr>
        <w:t>. In addition</w:t>
      </w:r>
      <w:r w:rsidR="00CF7D14">
        <w:rPr>
          <w:rFonts w:ascii="Arial" w:hAnsi="Arial" w:cs="Arial"/>
          <w:sz w:val="24"/>
          <w:szCs w:val="24"/>
        </w:rPr>
        <w:t>,</w:t>
      </w:r>
      <w:r w:rsidR="00253764">
        <w:rPr>
          <w:rFonts w:ascii="Arial" w:hAnsi="Arial" w:cs="Arial"/>
          <w:sz w:val="24"/>
          <w:szCs w:val="24"/>
        </w:rPr>
        <w:t xml:space="preserve"> this Board will </w:t>
      </w:r>
      <w:r w:rsidR="00902C90">
        <w:rPr>
          <w:rFonts w:ascii="Arial" w:hAnsi="Arial" w:cs="Arial"/>
          <w:sz w:val="24"/>
          <w:szCs w:val="24"/>
        </w:rPr>
        <w:t>prepare for the technical refresh to be implemented</w:t>
      </w:r>
      <w:r w:rsidR="00253764">
        <w:rPr>
          <w:rFonts w:ascii="Arial" w:hAnsi="Arial" w:cs="Arial"/>
          <w:sz w:val="24"/>
          <w:szCs w:val="24"/>
        </w:rPr>
        <w:t xml:space="preserve"> in &lt;18 months</w:t>
      </w:r>
      <w:r w:rsidR="00902C90">
        <w:rPr>
          <w:rFonts w:ascii="Arial" w:hAnsi="Arial" w:cs="Arial"/>
          <w:sz w:val="24"/>
          <w:szCs w:val="24"/>
        </w:rPr>
        <w:t>.</w:t>
      </w:r>
    </w:p>
    <w:p w:rsidR="003F6621" w:rsidRDefault="003F6621" w:rsidP="00330E5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3F6621" w:rsidRDefault="003F6621" w:rsidP="00330E5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Workstreams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C46E2">
        <w:rPr>
          <w:rFonts w:ascii="Arial" w:hAnsi="Arial" w:cs="Arial"/>
          <w:sz w:val="24"/>
          <w:szCs w:val="24"/>
        </w:rPr>
        <w:t xml:space="preserve">under the Essex BWV Board currently </w:t>
      </w:r>
      <w:r>
        <w:rPr>
          <w:rFonts w:ascii="Arial" w:hAnsi="Arial" w:cs="Arial"/>
          <w:sz w:val="24"/>
          <w:szCs w:val="24"/>
        </w:rPr>
        <w:t>being developed include:</w:t>
      </w:r>
    </w:p>
    <w:p w:rsidR="003F6621" w:rsidRDefault="003F6621" w:rsidP="00330E5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3F6621" w:rsidRDefault="003F6621" w:rsidP="003F6621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Engagement with other forces to agree realistic and comparable benefits frameworks, reducing duplication and ensuring best practice is maximised across the AXON BWV forces</w:t>
      </w:r>
    </w:p>
    <w:p w:rsidR="003F6621" w:rsidRDefault="003F6621" w:rsidP="003F6621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Engagement with AXON via quarterly meetings with all AXON forces to develop and refine automated reporting from evidence.com</w:t>
      </w:r>
    </w:p>
    <w:p w:rsidR="003F6621" w:rsidRDefault="003F6621" w:rsidP="003F6621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Promoting the controlled screening of BWV footage in CSP arena and with other key stakeholders across both LPAs and Investigative Commands</w:t>
      </w:r>
    </w:p>
    <w:p w:rsidR="003F6621" w:rsidRDefault="003F6621" w:rsidP="003F6621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Engagement with CPS and CJ to agree challenging but achievable objectives in the increase of BWV use and related benefits </w:t>
      </w:r>
    </w:p>
    <w:p w:rsidR="003F6621" w:rsidRDefault="003F6621" w:rsidP="003F6621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Collation of BWV data and formalising processes for reporting and submission to this board</w:t>
      </w:r>
      <w:r w:rsidR="00CF7D14">
        <w:rPr>
          <w:rFonts w:ascii="Arial" w:hAnsi="Arial" w:cs="Arial"/>
          <w:sz w:val="24"/>
          <w:szCs w:val="24"/>
        </w:rPr>
        <w:t>.</w:t>
      </w:r>
    </w:p>
    <w:p w:rsidR="00837748" w:rsidRPr="00BF18EA" w:rsidRDefault="00902C90" w:rsidP="00330E5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  <w:r w:rsidRPr="00BF18EA">
        <w:rPr>
          <w:rFonts w:ascii="Arial" w:hAnsi="Arial" w:cs="Arial"/>
          <w:sz w:val="24"/>
          <w:szCs w:val="24"/>
        </w:rPr>
        <w:t xml:space="preserve"> </w:t>
      </w:r>
    </w:p>
    <w:p w:rsidR="00121A7F" w:rsidRDefault="00253764" w:rsidP="00330E5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PIR is planned for May 2019, six </w:t>
      </w:r>
      <w:r w:rsidR="00837748" w:rsidRPr="00BF18EA">
        <w:rPr>
          <w:rFonts w:ascii="Arial" w:hAnsi="Arial" w:cs="Arial"/>
          <w:sz w:val="24"/>
          <w:szCs w:val="24"/>
        </w:rPr>
        <w:t xml:space="preserve">months after the rollout of BWV devices. This is likely to be completed by early July 2019. It is suggested that the PIR is carried out by a </w:t>
      </w:r>
      <w:r w:rsidR="00E625CF">
        <w:rPr>
          <w:rFonts w:ascii="Arial" w:hAnsi="Arial" w:cs="Arial"/>
          <w:sz w:val="24"/>
          <w:szCs w:val="24"/>
        </w:rPr>
        <w:t xml:space="preserve">member of the Strategic Change </w:t>
      </w:r>
      <w:r w:rsidR="00837748" w:rsidRPr="00BF18EA">
        <w:rPr>
          <w:rFonts w:ascii="Arial" w:hAnsi="Arial" w:cs="Arial"/>
          <w:sz w:val="24"/>
          <w:szCs w:val="24"/>
        </w:rPr>
        <w:t xml:space="preserve">team </w:t>
      </w:r>
      <w:r w:rsidR="00E625CF">
        <w:rPr>
          <w:rFonts w:ascii="Arial" w:hAnsi="Arial" w:cs="Arial"/>
          <w:sz w:val="24"/>
          <w:szCs w:val="24"/>
        </w:rPr>
        <w:t xml:space="preserve">who is </w:t>
      </w:r>
      <w:r w:rsidR="00837748" w:rsidRPr="00BF18EA">
        <w:rPr>
          <w:rFonts w:ascii="Arial" w:hAnsi="Arial" w:cs="Arial"/>
          <w:sz w:val="24"/>
          <w:szCs w:val="24"/>
        </w:rPr>
        <w:t xml:space="preserve">independent of the </w:t>
      </w:r>
      <w:r w:rsidR="00E625CF">
        <w:rPr>
          <w:rFonts w:ascii="Arial" w:hAnsi="Arial" w:cs="Arial"/>
          <w:sz w:val="24"/>
          <w:szCs w:val="24"/>
        </w:rPr>
        <w:t xml:space="preserve">project </w:t>
      </w:r>
      <w:r w:rsidR="00837748" w:rsidRPr="00BF18EA">
        <w:rPr>
          <w:rFonts w:ascii="Arial" w:hAnsi="Arial" w:cs="Arial"/>
          <w:sz w:val="24"/>
          <w:szCs w:val="24"/>
        </w:rPr>
        <w:t xml:space="preserve">implementation team. </w:t>
      </w:r>
    </w:p>
    <w:p w:rsidR="00837748" w:rsidRPr="00837748" w:rsidRDefault="00837748" w:rsidP="00330E5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7B62E4" w:rsidRPr="007B62E4" w:rsidRDefault="00492894" w:rsidP="00330E5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  <w:r w:rsidRPr="00593C60">
        <w:rPr>
          <w:rFonts w:ascii="Arial" w:hAnsi="Arial" w:cs="Arial"/>
          <w:sz w:val="24"/>
          <w:szCs w:val="24"/>
        </w:rPr>
        <w:t>The O</w:t>
      </w:r>
      <w:r w:rsidR="007B62E4" w:rsidRPr="00593C60">
        <w:rPr>
          <w:rFonts w:ascii="Arial" w:hAnsi="Arial" w:cs="Arial"/>
          <w:sz w:val="24"/>
          <w:szCs w:val="24"/>
        </w:rPr>
        <w:t>P</w:t>
      </w:r>
      <w:r w:rsidRPr="00593C60">
        <w:rPr>
          <w:rFonts w:ascii="Arial" w:hAnsi="Arial" w:cs="Arial"/>
          <w:sz w:val="24"/>
          <w:szCs w:val="24"/>
        </w:rPr>
        <w:t>F</w:t>
      </w:r>
      <w:r w:rsidR="007B62E4" w:rsidRPr="00593C60">
        <w:rPr>
          <w:rFonts w:ascii="Arial" w:hAnsi="Arial" w:cs="Arial"/>
          <w:sz w:val="24"/>
          <w:szCs w:val="24"/>
        </w:rPr>
        <w:t xml:space="preserve">CC Performance and Resources Scrutiny Programme Board will be kept updated on </w:t>
      </w:r>
      <w:r w:rsidR="0050068A" w:rsidRPr="00593C60">
        <w:rPr>
          <w:rFonts w:ascii="Arial" w:hAnsi="Arial" w:cs="Arial"/>
          <w:sz w:val="24"/>
          <w:szCs w:val="24"/>
        </w:rPr>
        <w:t>development</w:t>
      </w:r>
      <w:r w:rsidR="007B62E4" w:rsidRPr="00593C60">
        <w:rPr>
          <w:rFonts w:ascii="Arial" w:hAnsi="Arial" w:cs="Arial"/>
          <w:sz w:val="24"/>
          <w:szCs w:val="24"/>
        </w:rPr>
        <w:t xml:space="preserve">. </w:t>
      </w:r>
      <w:r w:rsidR="00253764">
        <w:rPr>
          <w:rFonts w:ascii="Arial" w:hAnsi="Arial" w:cs="Arial"/>
          <w:sz w:val="24"/>
          <w:szCs w:val="24"/>
        </w:rPr>
        <w:t xml:space="preserve">The next </w:t>
      </w:r>
      <w:r w:rsidR="007B62E4" w:rsidRPr="00593C60">
        <w:rPr>
          <w:rFonts w:ascii="Arial" w:hAnsi="Arial" w:cs="Arial"/>
          <w:sz w:val="24"/>
          <w:szCs w:val="24"/>
        </w:rPr>
        <w:t xml:space="preserve">report </w:t>
      </w:r>
      <w:r w:rsidR="00253764">
        <w:rPr>
          <w:rFonts w:ascii="Arial" w:hAnsi="Arial" w:cs="Arial"/>
          <w:sz w:val="24"/>
          <w:szCs w:val="24"/>
        </w:rPr>
        <w:t xml:space="preserve">to this Board will </w:t>
      </w:r>
      <w:r w:rsidR="004C46E2">
        <w:rPr>
          <w:rFonts w:ascii="Arial" w:hAnsi="Arial" w:cs="Arial"/>
          <w:sz w:val="24"/>
          <w:szCs w:val="24"/>
        </w:rPr>
        <w:t xml:space="preserve">be post PIR and </w:t>
      </w:r>
      <w:r w:rsidR="00253764">
        <w:rPr>
          <w:rFonts w:ascii="Arial" w:hAnsi="Arial" w:cs="Arial"/>
          <w:sz w:val="24"/>
          <w:szCs w:val="24"/>
        </w:rPr>
        <w:t xml:space="preserve">include the initial </w:t>
      </w:r>
      <w:r w:rsidR="004C46E2">
        <w:rPr>
          <w:rFonts w:ascii="Arial" w:hAnsi="Arial" w:cs="Arial"/>
          <w:sz w:val="24"/>
          <w:szCs w:val="24"/>
        </w:rPr>
        <w:t xml:space="preserve">tranche of </w:t>
      </w:r>
      <w:r w:rsidR="00253764">
        <w:rPr>
          <w:rFonts w:ascii="Arial" w:hAnsi="Arial" w:cs="Arial"/>
          <w:sz w:val="24"/>
          <w:szCs w:val="24"/>
        </w:rPr>
        <w:t xml:space="preserve">benefits data as set out at Appendix 6.0. </w:t>
      </w:r>
    </w:p>
    <w:p w:rsidR="007B62E4" w:rsidRDefault="007B62E4" w:rsidP="007B62E4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837748" w:rsidRDefault="00837748" w:rsidP="00F84D40">
      <w:pPr>
        <w:spacing w:after="0" w:line="240" w:lineRule="auto"/>
        <w:contextualSpacing/>
        <w:rPr>
          <w:rFonts w:ascii="Calibri" w:eastAsia="+mn-ea" w:hAnsi="Calibri" w:cs="+mn-cs"/>
          <w:color w:val="000000"/>
          <w:sz w:val="24"/>
          <w:szCs w:val="24"/>
          <w:lang w:val="en-US" w:eastAsia="en-GB"/>
        </w:rPr>
      </w:pPr>
    </w:p>
    <w:p w:rsidR="000878E6" w:rsidRDefault="000878E6" w:rsidP="000878E6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5.0 </w:t>
      </w:r>
      <w:r w:rsidRPr="00665862">
        <w:rPr>
          <w:rFonts w:ascii="Arial" w:hAnsi="Arial" w:cs="Arial"/>
          <w:b/>
          <w:sz w:val="24"/>
          <w:szCs w:val="24"/>
          <w:u w:val="single"/>
        </w:rPr>
        <w:t>Decisions Required by the P</w:t>
      </w:r>
      <w:r>
        <w:rPr>
          <w:rFonts w:ascii="Arial" w:hAnsi="Arial" w:cs="Arial"/>
          <w:b/>
          <w:sz w:val="24"/>
          <w:szCs w:val="24"/>
          <w:u w:val="single"/>
        </w:rPr>
        <w:t xml:space="preserve">olice, </w:t>
      </w:r>
      <w:r w:rsidRPr="00665862">
        <w:rPr>
          <w:rFonts w:ascii="Arial" w:hAnsi="Arial" w:cs="Arial"/>
          <w:b/>
          <w:sz w:val="24"/>
          <w:szCs w:val="24"/>
          <w:u w:val="single"/>
        </w:rPr>
        <w:t>F</w:t>
      </w:r>
      <w:r>
        <w:rPr>
          <w:rFonts w:ascii="Arial" w:hAnsi="Arial" w:cs="Arial"/>
          <w:b/>
          <w:sz w:val="24"/>
          <w:szCs w:val="24"/>
          <w:u w:val="single"/>
        </w:rPr>
        <w:t xml:space="preserve">ire and </w:t>
      </w:r>
      <w:r w:rsidRPr="00665862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 xml:space="preserve">rime </w:t>
      </w:r>
      <w:r w:rsidRPr="00665862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>ommissioner</w:t>
      </w:r>
    </w:p>
    <w:p w:rsidR="000878E6" w:rsidRDefault="000878E6" w:rsidP="000878E6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</w:p>
    <w:p w:rsidR="000878E6" w:rsidRPr="000878E6" w:rsidRDefault="00253764" w:rsidP="000878E6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ratify the benefits matrix as detailed in Appendix A, and agree a 6-monthly reporting interval for the outlined benefits</w:t>
      </w:r>
      <w:r w:rsidR="000878E6" w:rsidRPr="000878E6">
        <w:rPr>
          <w:rFonts w:ascii="Arial" w:hAnsi="Arial" w:cs="Arial"/>
          <w:sz w:val="24"/>
          <w:szCs w:val="24"/>
        </w:rPr>
        <w:t>.</w:t>
      </w:r>
    </w:p>
    <w:p w:rsidR="000878E6" w:rsidRDefault="000878E6" w:rsidP="000878E6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</w:p>
    <w:p w:rsidR="00253764" w:rsidRDefault="000878E6" w:rsidP="00253764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6.0 A</w:t>
      </w:r>
      <w:r w:rsidR="00F84D40" w:rsidRPr="00BF18EA">
        <w:rPr>
          <w:rFonts w:ascii="Arial" w:hAnsi="Arial" w:cs="Arial"/>
          <w:b/>
          <w:sz w:val="24"/>
          <w:szCs w:val="24"/>
          <w:u w:val="single"/>
        </w:rPr>
        <w:t>ppendix</w:t>
      </w:r>
    </w:p>
    <w:p w:rsidR="00253764" w:rsidRDefault="00253764" w:rsidP="00253764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</w:p>
    <w:p w:rsidR="00F84D40" w:rsidRDefault="00F84D40" w:rsidP="00253764">
      <w:pPr>
        <w:pStyle w:val="NoSpacing"/>
        <w:ind w:left="70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F18EA">
        <w:rPr>
          <w:rFonts w:ascii="Arial" w:hAnsi="Arial" w:cs="Arial"/>
          <w:bCs/>
          <w:color w:val="000000" w:themeColor="text1"/>
          <w:sz w:val="24"/>
          <w:szCs w:val="24"/>
        </w:rPr>
        <w:t xml:space="preserve">BWV </w:t>
      </w:r>
      <w:r w:rsidR="00253764">
        <w:rPr>
          <w:rFonts w:ascii="Arial" w:hAnsi="Arial" w:cs="Arial"/>
          <w:bCs/>
          <w:color w:val="000000" w:themeColor="text1"/>
          <w:sz w:val="24"/>
          <w:szCs w:val="24"/>
        </w:rPr>
        <w:t>Benefits Matrix (proposed)</w:t>
      </w:r>
      <w:r w:rsidRPr="00BF18E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7E0AAC" w:rsidRDefault="007E0AAC" w:rsidP="00253764">
      <w:pPr>
        <w:pStyle w:val="NoSpacing"/>
        <w:ind w:left="709"/>
        <w:rPr>
          <w:rFonts w:ascii="Arial" w:hAnsi="Arial" w:cs="Arial"/>
          <w:bCs/>
          <w:color w:val="000000" w:themeColor="text1"/>
          <w:sz w:val="24"/>
          <w:szCs w:val="24"/>
        </w:rPr>
      </w:pPr>
    </w:p>
    <w:bookmarkStart w:id="1" w:name="_MON_1614504685"/>
    <w:bookmarkEnd w:id="1"/>
    <w:p w:rsidR="007E0AAC" w:rsidRDefault="00282AFC" w:rsidP="00253764">
      <w:pPr>
        <w:pStyle w:val="NoSpacing"/>
        <w:ind w:left="709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object w:dxaOrig="1526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7" o:title=""/>
          </v:shape>
          <o:OLEObject Type="Embed" ProgID="Word.Document.12" ShapeID="_x0000_i1025" DrawAspect="Icon" ObjectID="_1614692316" r:id="rId8">
            <o:FieldCodes>\s</o:FieldCodes>
          </o:OLEObject>
        </w:object>
      </w:r>
    </w:p>
    <w:p w:rsidR="003F6621" w:rsidRPr="00253764" w:rsidRDefault="003F6621" w:rsidP="00253764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</w:p>
    <w:bookmarkStart w:id="2" w:name="_MON_1614504459"/>
    <w:bookmarkEnd w:id="2"/>
    <w:p w:rsidR="00F92643" w:rsidRDefault="00150A2E" w:rsidP="00E625CF">
      <w:pPr>
        <w:spacing w:line="240" w:lineRule="auto"/>
        <w:ind w:left="709"/>
        <w:rPr>
          <w:rFonts w:cstheme="minorHAnsi"/>
          <w:b/>
          <w:bCs/>
          <w:color w:val="002D56"/>
          <w:sz w:val="24"/>
          <w:szCs w:val="24"/>
        </w:rPr>
      </w:pPr>
      <w:r>
        <w:rPr>
          <w:rFonts w:cstheme="minorHAnsi"/>
          <w:b/>
          <w:bCs/>
          <w:color w:val="002D56"/>
          <w:sz w:val="24"/>
          <w:szCs w:val="24"/>
        </w:rPr>
        <w:object w:dxaOrig="9026" w:dyaOrig="450">
          <v:shape id="_x0000_i1026" type="#_x0000_t75" style="width:451.2pt;height:22.2pt" o:ole="">
            <v:imagedata r:id="rId9" o:title=""/>
          </v:shape>
          <o:OLEObject Type="Embed" ProgID="Word.Document.12" ShapeID="_x0000_i1026" DrawAspect="Content" ObjectID="_1614692317" r:id="rId10">
            <o:FieldCodes>\s</o:FieldCodes>
          </o:OLEObject>
        </w:object>
      </w:r>
    </w:p>
    <w:bookmarkStart w:id="3" w:name="_MON_1614330883"/>
    <w:bookmarkEnd w:id="3"/>
    <w:p w:rsidR="008D6B51" w:rsidRPr="00E625CF" w:rsidRDefault="00253764" w:rsidP="00E625CF">
      <w:pPr>
        <w:spacing w:line="240" w:lineRule="auto"/>
        <w:ind w:left="709"/>
        <w:rPr>
          <w:rFonts w:cstheme="minorHAnsi"/>
          <w:b/>
          <w:bCs/>
          <w:color w:val="002D56"/>
          <w:sz w:val="24"/>
          <w:szCs w:val="24"/>
        </w:rPr>
      </w:pPr>
      <w:r>
        <w:rPr>
          <w:rFonts w:cstheme="minorHAnsi"/>
          <w:b/>
          <w:bCs/>
          <w:color w:val="002D56"/>
          <w:sz w:val="24"/>
          <w:szCs w:val="24"/>
        </w:rPr>
        <w:object w:dxaOrig="9026" w:dyaOrig="450">
          <v:shape id="_x0000_i1027" type="#_x0000_t75" style="width:451.2pt;height:22.2pt" o:ole="">
            <v:imagedata r:id="rId9" o:title=""/>
          </v:shape>
          <o:OLEObject Type="Embed" ProgID="Word.Document.12" ShapeID="_x0000_i1027" DrawAspect="Content" ObjectID="_1614692318" r:id="rId11">
            <o:FieldCodes>\s</o:FieldCodes>
          </o:OLEObject>
        </w:object>
      </w:r>
    </w:p>
    <w:sectPr w:rsidR="008D6B51" w:rsidRPr="00E625CF" w:rsidSect="00773654">
      <w:headerReference w:type="default" r:id="rId12"/>
      <w:footerReference w:type="default" r:id="rId13"/>
      <w:pgSz w:w="11906" w:h="16838"/>
      <w:pgMar w:top="1440" w:right="1080" w:bottom="1440" w:left="108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A2" w:rsidRDefault="00545BA2" w:rsidP="00121A7F">
      <w:pPr>
        <w:spacing w:after="0" w:line="240" w:lineRule="auto"/>
      </w:pPr>
      <w:r>
        <w:separator/>
      </w:r>
    </w:p>
  </w:endnote>
  <w:endnote w:type="continuationSeparator" w:id="0">
    <w:p w:rsidR="00545BA2" w:rsidRDefault="00545BA2" w:rsidP="001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0128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79AB" w:rsidRDefault="006279AB" w:rsidP="004F62BB">
            <w:pPr>
              <w:pStyle w:val="Footer"/>
              <w:jc w:val="center"/>
            </w:pPr>
          </w:p>
          <w:p w:rsidR="004F62BB" w:rsidRPr="004F62BB" w:rsidRDefault="00D6469E" w:rsidP="004F62BB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OFFICIAL</w:t>
            </w:r>
          </w:p>
          <w:p w:rsidR="004F62BB" w:rsidRPr="006279AB" w:rsidRDefault="004F62BB" w:rsidP="004F62BB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79AB" w:rsidRDefault="006279AB">
            <w:pPr>
              <w:pStyle w:val="Footer"/>
              <w:jc w:val="center"/>
            </w:pPr>
            <w:r w:rsidRPr="006279A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279A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279AB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279A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41A78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6279A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279A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279A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279AB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279A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41A78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6279A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A2" w:rsidRDefault="00545BA2" w:rsidP="00121A7F">
      <w:pPr>
        <w:spacing w:after="0" w:line="240" w:lineRule="auto"/>
      </w:pPr>
      <w:r>
        <w:separator/>
      </w:r>
    </w:p>
  </w:footnote>
  <w:footnote w:type="continuationSeparator" w:id="0">
    <w:p w:rsidR="00545BA2" w:rsidRDefault="00545BA2" w:rsidP="0012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BB" w:rsidRDefault="00D6469E" w:rsidP="004F62BB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OFFICIAL</w:t>
    </w:r>
  </w:p>
  <w:p w:rsidR="00234BCF" w:rsidRPr="006279AB" w:rsidRDefault="00234BCF" w:rsidP="004F62BB">
    <w:pPr>
      <w:pStyle w:val="Header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32E4"/>
    <w:multiLevelType w:val="multilevel"/>
    <w:tmpl w:val="184431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1A560BCA"/>
    <w:multiLevelType w:val="hybridMultilevel"/>
    <w:tmpl w:val="CD502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6C21"/>
    <w:multiLevelType w:val="hybridMultilevel"/>
    <w:tmpl w:val="A36E3152"/>
    <w:lvl w:ilvl="0" w:tplc="E37811FE">
      <w:start w:val="1"/>
      <w:numFmt w:val="lowerRoman"/>
      <w:lvlText w:val="%1)"/>
      <w:lvlJc w:val="left"/>
      <w:pPr>
        <w:ind w:left="21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1" w:hanging="360"/>
      </w:pPr>
    </w:lvl>
    <w:lvl w:ilvl="2" w:tplc="0809001B" w:tentative="1">
      <w:start w:val="1"/>
      <w:numFmt w:val="lowerRoman"/>
      <w:lvlText w:val="%3."/>
      <w:lvlJc w:val="right"/>
      <w:pPr>
        <w:ind w:left="3241" w:hanging="180"/>
      </w:pPr>
    </w:lvl>
    <w:lvl w:ilvl="3" w:tplc="0809000F" w:tentative="1">
      <w:start w:val="1"/>
      <w:numFmt w:val="decimal"/>
      <w:lvlText w:val="%4."/>
      <w:lvlJc w:val="left"/>
      <w:pPr>
        <w:ind w:left="3961" w:hanging="360"/>
      </w:pPr>
    </w:lvl>
    <w:lvl w:ilvl="4" w:tplc="08090019" w:tentative="1">
      <w:start w:val="1"/>
      <w:numFmt w:val="lowerLetter"/>
      <w:lvlText w:val="%5."/>
      <w:lvlJc w:val="left"/>
      <w:pPr>
        <w:ind w:left="4681" w:hanging="360"/>
      </w:pPr>
    </w:lvl>
    <w:lvl w:ilvl="5" w:tplc="0809001B" w:tentative="1">
      <w:start w:val="1"/>
      <w:numFmt w:val="lowerRoman"/>
      <w:lvlText w:val="%6."/>
      <w:lvlJc w:val="right"/>
      <w:pPr>
        <w:ind w:left="5401" w:hanging="180"/>
      </w:pPr>
    </w:lvl>
    <w:lvl w:ilvl="6" w:tplc="0809000F" w:tentative="1">
      <w:start w:val="1"/>
      <w:numFmt w:val="decimal"/>
      <w:lvlText w:val="%7."/>
      <w:lvlJc w:val="left"/>
      <w:pPr>
        <w:ind w:left="6121" w:hanging="360"/>
      </w:pPr>
    </w:lvl>
    <w:lvl w:ilvl="7" w:tplc="08090019" w:tentative="1">
      <w:start w:val="1"/>
      <w:numFmt w:val="lowerLetter"/>
      <w:lvlText w:val="%8."/>
      <w:lvlJc w:val="left"/>
      <w:pPr>
        <w:ind w:left="6841" w:hanging="360"/>
      </w:pPr>
    </w:lvl>
    <w:lvl w:ilvl="8" w:tplc="08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3" w15:restartNumberingAfterBreak="0">
    <w:nsid w:val="1CFC1FF5"/>
    <w:multiLevelType w:val="multilevel"/>
    <w:tmpl w:val="3D5AF3C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" w15:restartNumberingAfterBreak="0">
    <w:nsid w:val="24C301BA"/>
    <w:multiLevelType w:val="hybridMultilevel"/>
    <w:tmpl w:val="B2C82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22129"/>
    <w:multiLevelType w:val="hybridMultilevel"/>
    <w:tmpl w:val="9B882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279B3"/>
    <w:multiLevelType w:val="multilevel"/>
    <w:tmpl w:val="316E960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7" w15:restartNumberingAfterBreak="0">
    <w:nsid w:val="47D8756F"/>
    <w:multiLevelType w:val="hybridMultilevel"/>
    <w:tmpl w:val="5BA43B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F443F"/>
    <w:multiLevelType w:val="hybridMultilevel"/>
    <w:tmpl w:val="E1087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60CE5"/>
    <w:multiLevelType w:val="hybridMultilevel"/>
    <w:tmpl w:val="DD967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A064C"/>
    <w:multiLevelType w:val="hybridMultilevel"/>
    <w:tmpl w:val="6B74A2B8"/>
    <w:lvl w:ilvl="0" w:tplc="DA883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00C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E9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64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C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46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E4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A2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05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A79708D"/>
    <w:multiLevelType w:val="multilevel"/>
    <w:tmpl w:val="3D5AF3C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6CC1031A"/>
    <w:multiLevelType w:val="hybridMultilevel"/>
    <w:tmpl w:val="5E38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958F3"/>
    <w:multiLevelType w:val="hybridMultilevel"/>
    <w:tmpl w:val="D00ACD3A"/>
    <w:lvl w:ilvl="0" w:tplc="C5386720">
      <w:start w:val="1"/>
      <w:numFmt w:val="decimal"/>
      <w:lvlText w:val="%1)"/>
      <w:lvlJc w:val="left"/>
      <w:pPr>
        <w:ind w:left="720" w:hanging="720"/>
      </w:pPr>
      <w:rPr>
        <w:rFonts w:asciiTheme="majorHAnsi" w:hAnsiTheme="majorHAnsi" w:hint="default"/>
        <w:b/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7F"/>
    <w:rsid w:val="00017D7D"/>
    <w:rsid w:val="00027D5B"/>
    <w:rsid w:val="00046E42"/>
    <w:rsid w:val="000878E6"/>
    <w:rsid w:val="00121849"/>
    <w:rsid w:val="00121A7F"/>
    <w:rsid w:val="00150A2E"/>
    <w:rsid w:val="00174FCC"/>
    <w:rsid w:val="00176135"/>
    <w:rsid w:val="00182A62"/>
    <w:rsid w:val="001D5222"/>
    <w:rsid w:val="001E2DAF"/>
    <w:rsid w:val="00223565"/>
    <w:rsid w:val="00234BCF"/>
    <w:rsid w:val="00253764"/>
    <w:rsid w:val="00282AFC"/>
    <w:rsid w:val="00295056"/>
    <w:rsid w:val="002D6614"/>
    <w:rsid w:val="002E46DF"/>
    <w:rsid w:val="0030288C"/>
    <w:rsid w:val="00330E57"/>
    <w:rsid w:val="00376772"/>
    <w:rsid w:val="003832F7"/>
    <w:rsid w:val="003A0F89"/>
    <w:rsid w:val="003F6621"/>
    <w:rsid w:val="003F7C58"/>
    <w:rsid w:val="0041002E"/>
    <w:rsid w:val="00411145"/>
    <w:rsid w:val="00481761"/>
    <w:rsid w:val="00492894"/>
    <w:rsid w:val="004A55EC"/>
    <w:rsid w:val="004C46E2"/>
    <w:rsid w:val="004D1DF5"/>
    <w:rsid w:val="004E519A"/>
    <w:rsid w:val="004F62BB"/>
    <w:rsid w:val="0050068A"/>
    <w:rsid w:val="00517DD2"/>
    <w:rsid w:val="00523007"/>
    <w:rsid w:val="00541A78"/>
    <w:rsid w:val="00545BA2"/>
    <w:rsid w:val="00573FD9"/>
    <w:rsid w:val="00583860"/>
    <w:rsid w:val="00591EB9"/>
    <w:rsid w:val="00593C60"/>
    <w:rsid w:val="005A7360"/>
    <w:rsid w:val="005B1FB1"/>
    <w:rsid w:val="005F6903"/>
    <w:rsid w:val="006279AB"/>
    <w:rsid w:val="0063208F"/>
    <w:rsid w:val="006478FB"/>
    <w:rsid w:val="00652B9C"/>
    <w:rsid w:val="00656F5B"/>
    <w:rsid w:val="00663C2D"/>
    <w:rsid w:val="00664D83"/>
    <w:rsid w:val="00665862"/>
    <w:rsid w:val="00675F9B"/>
    <w:rsid w:val="006A1211"/>
    <w:rsid w:val="006C4375"/>
    <w:rsid w:val="006F271A"/>
    <w:rsid w:val="007222D9"/>
    <w:rsid w:val="007427EA"/>
    <w:rsid w:val="007532C6"/>
    <w:rsid w:val="00761487"/>
    <w:rsid w:val="00773654"/>
    <w:rsid w:val="007A4CFA"/>
    <w:rsid w:val="007A7C60"/>
    <w:rsid w:val="007B62E4"/>
    <w:rsid w:val="007D3E9B"/>
    <w:rsid w:val="007E0AAC"/>
    <w:rsid w:val="007F244C"/>
    <w:rsid w:val="00837748"/>
    <w:rsid w:val="00841A12"/>
    <w:rsid w:val="00852251"/>
    <w:rsid w:val="008B19D3"/>
    <w:rsid w:val="008C29C2"/>
    <w:rsid w:val="008D6B51"/>
    <w:rsid w:val="008E4DEB"/>
    <w:rsid w:val="008E522B"/>
    <w:rsid w:val="00902C90"/>
    <w:rsid w:val="00966AA0"/>
    <w:rsid w:val="00977757"/>
    <w:rsid w:val="009A7758"/>
    <w:rsid w:val="009F283C"/>
    <w:rsid w:val="009F3263"/>
    <w:rsid w:val="00A11310"/>
    <w:rsid w:val="00A308AF"/>
    <w:rsid w:val="00A85689"/>
    <w:rsid w:val="00AB1FBF"/>
    <w:rsid w:val="00AB55C3"/>
    <w:rsid w:val="00AC1ABD"/>
    <w:rsid w:val="00B05292"/>
    <w:rsid w:val="00BC2387"/>
    <w:rsid w:val="00BF18EA"/>
    <w:rsid w:val="00C1201E"/>
    <w:rsid w:val="00C44E4F"/>
    <w:rsid w:val="00C51DE8"/>
    <w:rsid w:val="00C654B8"/>
    <w:rsid w:val="00CF7D14"/>
    <w:rsid w:val="00D459B2"/>
    <w:rsid w:val="00D6469E"/>
    <w:rsid w:val="00D8103E"/>
    <w:rsid w:val="00DE144B"/>
    <w:rsid w:val="00DE1C62"/>
    <w:rsid w:val="00E5304F"/>
    <w:rsid w:val="00E625CF"/>
    <w:rsid w:val="00E92E89"/>
    <w:rsid w:val="00EA6BF7"/>
    <w:rsid w:val="00F16705"/>
    <w:rsid w:val="00F44851"/>
    <w:rsid w:val="00F84D40"/>
    <w:rsid w:val="00F92643"/>
    <w:rsid w:val="00FB268D"/>
    <w:rsid w:val="00FB498A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8630A6"/>
  <w15:docId w15:val="{37F03388-1CC7-4267-997E-3445D30C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A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7F"/>
  </w:style>
  <w:style w:type="paragraph" w:styleId="Footer">
    <w:name w:val="footer"/>
    <w:basedOn w:val="Normal"/>
    <w:link w:val="FooterChar"/>
    <w:uiPriority w:val="99"/>
    <w:unhideWhenUsed/>
    <w:rsid w:val="0012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7F"/>
  </w:style>
  <w:style w:type="paragraph" w:styleId="ListParagraph">
    <w:name w:val="List Paragraph"/>
    <w:basedOn w:val="Normal"/>
    <w:uiPriority w:val="34"/>
    <w:qFormat/>
    <w:rsid w:val="004F62BB"/>
    <w:pPr>
      <w:spacing w:before="100" w:beforeAutospacing="1" w:after="100" w:afterAutospacing="1" w:line="240" w:lineRule="auto"/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8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2B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5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1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2.doc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Fry</dc:creator>
  <cp:lastModifiedBy>Anna Hook 42078328</cp:lastModifiedBy>
  <cp:revision>3</cp:revision>
  <cp:lastPrinted>2017-10-18T10:29:00Z</cp:lastPrinted>
  <dcterms:created xsi:type="dcterms:W3CDTF">2019-03-21T10:37:00Z</dcterms:created>
  <dcterms:modified xsi:type="dcterms:W3CDTF">2019-03-21T16:52:00Z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76064</vt:lpwstr>
  </property>
  <property fmtid="{D5CDD505-2E9C-101B-9397-08002B2CF9AE}" pid="3" name="Protective Marking">
    <vt:lpwstr>NOT PROTECTIVELY MARKED</vt:lpwstr>
  </property>
  <property fmtid="{D5CDD505-2E9C-101B-9397-08002B2CF9AE}" pid="4" name="Descriptor">
    <vt:lpwstr/>
  </property>
</Properties>
</file>