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1D19D3" w:rsidP="00773654">
            <w:pPr>
              <w:spacing w:line="480" w:lineRule="auto"/>
              <w:rPr>
                <w:rFonts w:ascii="Arial" w:hAnsi="Arial" w:cs="Arial"/>
                <w:b/>
                <w:sz w:val="24"/>
                <w:szCs w:val="24"/>
              </w:rPr>
            </w:pPr>
            <w:r w:rsidRPr="001D19D3">
              <w:rPr>
                <w:rFonts w:ascii="Arial" w:hAnsi="Arial" w:cs="Arial"/>
                <w:b/>
                <w:sz w:val="24"/>
                <w:szCs w:val="24"/>
              </w:rPr>
              <w:t>Specials</w:t>
            </w:r>
            <w:r w:rsidR="005D1048">
              <w:rPr>
                <w:rFonts w:ascii="Arial" w:hAnsi="Arial" w:cs="Arial"/>
                <w:b/>
                <w:sz w:val="24"/>
                <w:szCs w:val="24"/>
              </w:rPr>
              <w:t xml:space="preserve"> Recruitment – Quarterly Report</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E212AD" w:rsidP="00773654">
            <w:pPr>
              <w:spacing w:line="480" w:lineRule="auto"/>
              <w:rPr>
                <w:rFonts w:ascii="Arial" w:hAnsi="Arial" w:cs="Arial"/>
                <w:b/>
                <w:sz w:val="24"/>
                <w:szCs w:val="24"/>
              </w:rPr>
            </w:pPr>
            <w:r>
              <w:rPr>
                <w:rFonts w:ascii="Arial" w:hAnsi="Arial" w:cs="Arial"/>
                <w:b/>
                <w:sz w:val="24"/>
                <w:szCs w:val="24"/>
              </w:rPr>
              <w:t>4</w:t>
            </w:r>
            <w:bookmarkStart w:id="0" w:name="_GoBack"/>
            <w:bookmarkEnd w:id="0"/>
            <w:r w:rsidR="00535AE1">
              <w:rPr>
                <w:rFonts w:ascii="Arial" w:hAnsi="Arial" w:cs="Arial"/>
                <w:b/>
                <w:sz w:val="24"/>
                <w:szCs w:val="24"/>
              </w:rPr>
              <w:t>.0</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1D19D3"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95101C" w:rsidP="00773654">
            <w:pPr>
              <w:spacing w:line="480" w:lineRule="auto"/>
              <w:rPr>
                <w:rFonts w:ascii="Arial" w:hAnsi="Arial" w:cs="Arial"/>
                <w:b/>
                <w:sz w:val="24"/>
                <w:szCs w:val="24"/>
              </w:rPr>
            </w:pPr>
            <w:r>
              <w:rPr>
                <w:rFonts w:ascii="Arial" w:hAnsi="Arial" w:cs="Arial"/>
                <w:b/>
                <w:sz w:val="24"/>
                <w:szCs w:val="24"/>
              </w:rPr>
              <w:t>11</w:t>
            </w:r>
            <w:r w:rsidRPr="0095101C">
              <w:rPr>
                <w:rFonts w:ascii="Arial" w:hAnsi="Arial" w:cs="Arial"/>
                <w:b/>
                <w:sz w:val="24"/>
                <w:szCs w:val="24"/>
                <w:vertAlign w:val="superscript"/>
              </w:rPr>
              <w:t>th</w:t>
            </w:r>
            <w:r>
              <w:rPr>
                <w:rFonts w:ascii="Arial" w:hAnsi="Arial" w:cs="Arial"/>
                <w:b/>
                <w:sz w:val="24"/>
                <w:szCs w:val="24"/>
              </w:rPr>
              <w:t xml:space="preserve"> M</w:t>
            </w:r>
            <w:r w:rsidR="005D1048">
              <w:rPr>
                <w:rFonts w:ascii="Arial" w:hAnsi="Arial" w:cs="Arial"/>
                <w:b/>
                <w:sz w:val="24"/>
                <w:szCs w:val="24"/>
              </w:rPr>
              <w:t>arch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0C3206" w:rsidP="00773654">
            <w:pPr>
              <w:spacing w:line="480" w:lineRule="auto"/>
              <w:rPr>
                <w:rFonts w:ascii="Arial" w:hAnsi="Arial" w:cs="Arial"/>
                <w:b/>
                <w:sz w:val="24"/>
                <w:szCs w:val="24"/>
              </w:rPr>
            </w:pPr>
            <w:r>
              <w:rPr>
                <w:rFonts w:ascii="Arial" w:hAnsi="Arial" w:cs="Arial"/>
                <w:b/>
                <w:sz w:val="24"/>
                <w:szCs w:val="24"/>
              </w:rPr>
              <w:t>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1D19D3" w:rsidP="00773654">
            <w:pPr>
              <w:spacing w:line="480" w:lineRule="auto"/>
              <w:rPr>
                <w:rFonts w:ascii="Arial" w:hAnsi="Arial" w:cs="Arial"/>
                <w:b/>
                <w:sz w:val="24"/>
                <w:szCs w:val="24"/>
              </w:rPr>
            </w:pPr>
            <w:r>
              <w:rPr>
                <w:rFonts w:ascii="Arial" w:hAnsi="Arial" w:cs="Arial"/>
                <w:b/>
                <w:sz w:val="24"/>
                <w:szCs w:val="24"/>
              </w:rPr>
              <w:t>3</w:t>
            </w:r>
            <w:r w:rsidRPr="001D19D3">
              <w:rPr>
                <w:rFonts w:ascii="Arial" w:hAnsi="Arial" w:cs="Arial"/>
                <w:b/>
                <w:sz w:val="24"/>
                <w:szCs w:val="24"/>
                <w:vertAlign w:val="superscript"/>
              </w:rPr>
              <w:t>rd</w:t>
            </w:r>
            <w:r>
              <w:rPr>
                <w:rFonts w:ascii="Arial" w:hAnsi="Arial" w:cs="Arial"/>
                <w:b/>
                <w:sz w:val="24"/>
                <w:szCs w:val="24"/>
              </w:rPr>
              <w:t xml:space="preserve"> January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1D19D3" w:rsidP="009F3263">
            <w:pPr>
              <w:spacing w:line="360" w:lineRule="auto"/>
              <w:rPr>
                <w:rFonts w:ascii="Arial" w:hAnsi="Arial" w:cs="Arial"/>
                <w:b/>
                <w:sz w:val="24"/>
                <w:szCs w:val="24"/>
              </w:rPr>
            </w:pPr>
            <w:r>
              <w:rPr>
                <w:rFonts w:ascii="Arial" w:hAnsi="Arial" w:cs="Arial"/>
                <w:b/>
                <w:sz w:val="24"/>
                <w:szCs w:val="24"/>
              </w:rPr>
              <w:t xml:space="preserve">Supt Simon </w:t>
            </w:r>
            <w:proofErr w:type="spellStart"/>
            <w:r>
              <w:rPr>
                <w:rFonts w:ascii="Arial" w:hAnsi="Arial" w:cs="Arial"/>
                <w:b/>
                <w:sz w:val="24"/>
                <w:szCs w:val="24"/>
              </w:rPr>
              <w:t>Anslow</w:t>
            </w:r>
            <w:proofErr w:type="spellEnd"/>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E41AA4" w:rsidP="00773654">
            <w:pPr>
              <w:spacing w:line="480" w:lineRule="auto"/>
              <w:rPr>
                <w:rFonts w:ascii="Arial" w:hAnsi="Arial" w:cs="Arial"/>
                <w:b/>
                <w:sz w:val="24"/>
                <w:szCs w:val="24"/>
              </w:rPr>
            </w:pPr>
            <w:r>
              <w:rPr>
                <w:rFonts w:ascii="Arial" w:hAnsi="Arial" w:cs="Arial"/>
                <w:b/>
                <w:sz w:val="24"/>
                <w:szCs w:val="24"/>
              </w:rPr>
              <w:t>15</w:t>
            </w:r>
            <w:r w:rsidR="000C3206" w:rsidRPr="000C3206">
              <w:rPr>
                <w:rFonts w:ascii="Arial" w:hAnsi="Arial" w:cs="Arial"/>
                <w:b/>
                <w:sz w:val="24"/>
                <w:szCs w:val="24"/>
                <w:vertAlign w:val="superscript"/>
              </w:rPr>
              <w:t>th</w:t>
            </w:r>
            <w:r w:rsidR="000C3206">
              <w:rPr>
                <w:rFonts w:ascii="Arial" w:hAnsi="Arial" w:cs="Arial"/>
                <w:b/>
                <w:sz w:val="24"/>
                <w:szCs w:val="24"/>
              </w:rPr>
              <w:t xml:space="preserve"> March 2019</w:t>
            </w:r>
          </w:p>
        </w:tc>
      </w:tr>
    </w:tbl>
    <w:p w:rsidR="001D5222" w:rsidRPr="004F62BB" w:rsidRDefault="001D5222" w:rsidP="00E92E89">
      <w:pPr>
        <w:spacing w:after="0" w:line="240" w:lineRule="auto"/>
        <w:ind w:left="709"/>
        <w:rPr>
          <w:rFonts w:ascii="Arial" w:hAnsi="Arial" w:cs="Arial"/>
          <w:b/>
          <w:sz w:val="24"/>
          <w:szCs w:val="24"/>
        </w:rPr>
      </w:pPr>
    </w:p>
    <w:p w:rsidR="00ED1AA3" w:rsidRDefault="00ED1AA3"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FA3F24" w:rsidRDefault="00FA3F24" w:rsidP="00FA3F24">
      <w:pPr>
        <w:pStyle w:val="NoSpacing"/>
        <w:ind w:left="720"/>
        <w:rPr>
          <w:rFonts w:ascii="Arial" w:hAnsi="Arial" w:cs="Arial"/>
          <w:sz w:val="24"/>
          <w:szCs w:val="24"/>
        </w:rPr>
      </w:pPr>
      <w:r>
        <w:rPr>
          <w:rFonts w:ascii="Arial" w:hAnsi="Arial" w:cs="Arial"/>
          <w:sz w:val="24"/>
          <w:szCs w:val="24"/>
        </w:rPr>
        <w:t>Quarterly update on recruitment under the Special Constabulary Development Programme.</w:t>
      </w:r>
    </w:p>
    <w:p w:rsidR="00ED1AA3" w:rsidRDefault="00ED1AA3" w:rsidP="00FA3F24">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AF26ED" w:rsidRDefault="006D2A79" w:rsidP="00665862">
      <w:pPr>
        <w:pStyle w:val="NoSpacing"/>
        <w:ind w:left="720"/>
        <w:rPr>
          <w:rFonts w:ascii="Arial" w:hAnsi="Arial" w:cs="Arial"/>
          <w:sz w:val="24"/>
          <w:szCs w:val="24"/>
        </w:rPr>
      </w:pPr>
      <w:r>
        <w:rPr>
          <w:rFonts w:ascii="Arial" w:hAnsi="Arial" w:cs="Arial"/>
          <w:sz w:val="24"/>
          <w:szCs w:val="24"/>
        </w:rPr>
        <w:t>No specific recommendations arising</w:t>
      </w:r>
    </w:p>
    <w:p w:rsidR="00AF26ED" w:rsidRDefault="00AF26ED" w:rsidP="00665862">
      <w:pPr>
        <w:pStyle w:val="NoSpacing"/>
        <w:ind w:left="720"/>
        <w:rPr>
          <w:rFonts w:ascii="Arial" w:hAnsi="Arial" w:cs="Arial"/>
          <w:sz w:val="24"/>
          <w:szCs w:val="24"/>
        </w:rPr>
      </w:pPr>
    </w:p>
    <w:p w:rsidR="00AF26ED" w:rsidRPr="00665862" w:rsidRDefault="00AF26E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3E6059" w:rsidRPr="00001744" w:rsidRDefault="00C064AB" w:rsidP="00C064AB">
      <w:pPr>
        <w:pStyle w:val="NoSpacing"/>
        <w:ind w:left="720"/>
        <w:rPr>
          <w:rFonts w:ascii="Arial" w:hAnsi="Arial" w:cs="Arial"/>
          <w:sz w:val="24"/>
          <w:szCs w:val="24"/>
        </w:rPr>
      </w:pPr>
      <w:r w:rsidRPr="00001744">
        <w:rPr>
          <w:rFonts w:ascii="Arial" w:hAnsi="Arial" w:cs="Arial"/>
          <w:sz w:val="24"/>
          <w:szCs w:val="24"/>
        </w:rPr>
        <w:t xml:space="preserve">As of </w:t>
      </w:r>
      <w:r w:rsidR="00B77DD0">
        <w:rPr>
          <w:rFonts w:ascii="Arial" w:hAnsi="Arial" w:cs="Arial"/>
          <w:sz w:val="24"/>
          <w:szCs w:val="24"/>
        </w:rPr>
        <w:t>11</w:t>
      </w:r>
      <w:r w:rsidR="00976D1E" w:rsidRPr="00976D1E">
        <w:rPr>
          <w:rFonts w:ascii="Arial" w:hAnsi="Arial" w:cs="Arial"/>
          <w:sz w:val="24"/>
          <w:szCs w:val="24"/>
          <w:vertAlign w:val="superscript"/>
        </w:rPr>
        <w:t>th</w:t>
      </w:r>
      <w:r w:rsidR="00976D1E">
        <w:rPr>
          <w:rFonts w:ascii="Arial" w:hAnsi="Arial" w:cs="Arial"/>
          <w:sz w:val="24"/>
          <w:szCs w:val="24"/>
        </w:rPr>
        <w:t xml:space="preserve"> </w:t>
      </w:r>
      <w:r w:rsidR="00B77DD0">
        <w:rPr>
          <w:rFonts w:ascii="Arial" w:hAnsi="Arial" w:cs="Arial"/>
          <w:sz w:val="24"/>
          <w:szCs w:val="24"/>
        </w:rPr>
        <w:t>March</w:t>
      </w:r>
      <w:r w:rsidRPr="00001744">
        <w:rPr>
          <w:rFonts w:ascii="Arial" w:hAnsi="Arial" w:cs="Arial"/>
          <w:sz w:val="24"/>
          <w:szCs w:val="24"/>
        </w:rPr>
        <w:t xml:space="preserve"> 201</w:t>
      </w:r>
      <w:r w:rsidR="00976D1E">
        <w:rPr>
          <w:rFonts w:ascii="Arial" w:hAnsi="Arial" w:cs="Arial"/>
          <w:sz w:val="24"/>
          <w:szCs w:val="24"/>
        </w:rPr>
        <w:t>9</w:t>
      </w:r>
      <w:r w:rsidRPr="00001744">
        <w:rPr>
          <w:rFonts w:ascii="Arial" w:hAnsi="Arial" w:cs="Arial"/>
          <w:sz w:val="24"/>
          <w:szCs w:val="24"/>
        </w:rPr>
        <w:t xml:space="preserve"> Essex Police Special Constabulary has</w:t>
      </w:r>
      <w:r w:rsidR="00976D1E">
        <w:rPr>
          <w:rFonts w:ascii="Arial" w:hAnsi="Arial" w:cs="Arial"/>
          <w:sz w:val="24"/>
          <w:szCs w:val="24"/>
        </w:rPr>
        <w:t xml:space="preserve"> a headcount of </w:t>
      </w:r>
      <w:r w:rsidR="00B77DD0">
        <w:rPr>
          <w:rFonts w:ascii="Arial" w:hAnsi="Arial" w:cs="Arial"/>
          <w:sz w:val="24"/>
          <w:szCs w:val="24"/>
        </w:rPr>
        <w:t>502</w:t>
      </w:r>
      <w:r w:rsidR="003E6059" w:rsidRPr="00001744">
        <w:rPr>
          <w:rFonts w:ascii="Arial" w:hAnsi="Arial" w:cs="Arial"/>
          <w:sz w:val="24"/>
          <w:szCs w:val="24"/>
        </w:rPr>
        <w:t xml:space="preserve"> officers. </w:t>
      </w:r>
      <w:r w:rsidR="00976D1E">
        <w:rPr>
          <w:rFonts w:ascii="Arial" w:hAnsi="Arial" w:cs="Arial"/>
          <w:sz w:val="24"/>
          <w:szCs w:val="24"/>
        </w:rPr>
        <w:t xml:space="preserve">National Workforce Statistics, published in January 2019, show that Essex Police is now the second largest </w:t>
      </w:r>
      <w:r w:rsidR="003E6059" w:rsidRPr="00001744">
        <w:rPr>
          <w:rFonts w:ascii="Arial" w:hAnsi="Arial" w:cs="Arial"/>
          <w:sz w:val="24"/>
          <w:szCs w:val="24"/>
        </w:rPr>
        <w:t>Special C</w:t>
      </w:r>
      <w:r w:rsidR="00976D1E">
        <w:rPr>
          <w:rFonts w:ascii="Arial" w:hAnsi="Arial" w:cs="Arial"/>
          <w:sz w:val="24"/>
          <w:szCs w:val="24"/>
        </w:rPr>
        <w:t>o</w:t>
      </w:r>
      <w:r w:rsidR="0095101C">
        <w:rPr>
          <w:rFonts w:ascii="Arial" w:hAnsi="Arial" w:cs="Arial"/>
          <w:sz w:val="24"/>
          <w:szCs w:val="24"/>
        </w:rPr>
        <w:t>nstabulary in England and Wales.</w:t>
      </w:r>
      <w:r w:rsidR="00976D1E">
        <w:rPr>
          <w:rFonts w:ascii="Arial" w:hAnsi="Arial" w:cs="Arial"/>
          <w:sz w:val="24"/>
          <w:szCs w:val="24"/>
        </w:rPr>
        <w:t xml:space="preserve"> The statistics show that whilst there was a national reduction in headcount of 12.3% in the previous year, Essex Police had achieved growth of 22.1% and had the largest increase in numbers of any force in the country.</w:t>
      </w:r>
    </w:p>
    <w:p w:rsidR="003E6059" w:rsidRPr="00001744" w:rsidRDefault="003E6059" w:rsidP="00C064AB">
      <w:pPr>
        <w:pStyle w:val="NoSpacing"/>
        <w:ind w:left="720"/>
        <w:rPr>
          <w:rFonts w:ascii="Arial" w:hAnsi="Arial" w:cs="Arial"/>
          <w:sz w:val="24"/>
          <w:szCs w:val="24"/>
        </w:rPr>
      </w:pPr>
    </w:p>
    <w:p w:rsidR="00C064AB" w:rsidRPr="00001744" w:rsidRDefault="00C064AB" w:rsidP="00C064AB">
      <w:pPr>
        <w:pStyle w:val="NoSpacing"/>
        <w:ind w:left="720"/>
        <w:rPr>
          <w:rFonts w:ascii="Arial" w:hAnsi="Arial" w:cs="Arial"/>
          <w:sz w:val="24"/>
          <w:szCs w:val="24"/>
        </w:rPr>
      </w:pPr>
      <w:r w:rsidRPr="00001744">
        <w:rPr>
          <w:rFonts w:ascii="Arial" w:hAnsi="Arial" w:cs="Arial"/>
          <w:sz w:val="24"/>
          <w:szCs w:val="24"/>
        </w:rPr>
        <w:t xml:space="preserve">Over the </w:t>
      </w:r>
      <w:r w:rsidR="00AF26ED">
        <w:rPr>
          <w:rFonts w:ascii="Arial" w:hAnsi="Arial" w:cs="Arial"/>
          <w:sz w:val="24"/>
          <w:szCs w:val="24"/>
        </w:rPr>
        <w:t xml:space="preserve">period </w:t>
      </w:r>
      <w:r w:rsidRPr="00001744">
        <w:rPr>
          <w:rFonts w:ascii="Arial" w:hAnsi="Arial" w:cs="Arial"/>
          <w:sz w:val="24"/>
          <w:szCs w:val="24"/>
        </w:rPr>
        <w:t>1</w:t>
      </w:r>
      <w:r w:rsidRPr="00001744">
        <w:rPr>
          <w:rFonts w:ascii="Arial" w:hAnsi="Arial" w:cs="Arial"/>
          <w:sz w:val="24"/>
          <w:szCs w:val="24"/>
          <w:vertAlign w:val="superscript"/>
        </w:rPr>
        <w:t>st</w:t>
      </w:r>
      <w:r w:rsidR="0090351D" w:rsidRPr="00001744">
        <w:rPr>
          <w:rFonts w:ascii="Arial" w:hAnsi="Arial" w:cs="Arial"/>
          <w:sz w:val="24"/>
          <w:szCs w:val="24"/>
        </w:rPr>
        <w:t xml:space="preserve"> </w:t>
      </w:r>
      <w:r w:rsidR="00976D1E">
        <w:rPr>
          <w:rFonts w:ascii="Arial" w:hAnsi="Arial" w:cs="Arial"/>
          <w:sz w:val="24"/>
          <w:szCs w:val="24"/>
        </w:rPr>
        <w:t xml:space="preserve">December </w:t>
      </w:r>
      <w:r w:rsidR="00AF26ED">
        <w:rPr>
          <w:rFonts w:ascii="Arial" w:hAnsi="Arial" w:cs="Arial"/>
          <w:sz w:val="24"/>
          <w:szCs w:val="24"/>
        </w:rPr>
        <w:t>2018</w:t>
      </w:r>
      <w:r w:rsidRPr="00001744">
        <w:rPr>
          <w:rFonts w:ascii="Arial" w:hAnsi="Arial" w:cs="Arial"/>
          <w:sz w:val="24"/>
          <w:szCs w:val="24"/>
        </w:rPr>
        <w:t xml:space="preserve"> </w:t>
      </w:r>
      <w:r w:rsidR="00976D1E">
        <w:rPr>
          <w:rFonts w:ascii="Arial" w:hAnsi="Arial" w:cs="Arial"/>
          <w:sz w:val="24"/>
          <w:szCs w:val="24"/>
        </w:rPr>
        <w:t>to 28</w:t>
      </w:r>
      <w:r w:rsidR="00976D1E" w:rsidRPr="00976D1E">
        <w:rPr>
          <w:rFonts w:ascii="Arial" w:hAnsi="Arial" w:cs="Arial"/>
          <w:sz w:val="24"/>
          <w:szCs w:val="24"/>
          <w:vertAlign w:val="superscript"/>
        </w:rPr>
        <w:t>th</w:t>
      </w:r>
      <w:r w:rsidR="00976D1E">
        <w:rPr>
          <w:rFonts w:ascii="Arial" w:hAnsi="Arial" w:cs="Arial"/>
          <w:sz w:val="24"/>
          <w:szCs w:val="24"/>
        </w:rPr>
        <w:t xml:space="preserve"> February 2019 </w:t>
      </w:r>
      <w:r w:rsidRPr="00001744">
        <w:rPr>
          <w:rFonts w:ascii="Arial" w:hAnsi="Arial" w:cs="Arial"/>
          <w:sz w:val="24"/>
          <w:szCs w:val="24"/>
        </w:rPr>
        <w:t xml:space="preserve">Specials have contributed a total of </w:t>
      </w:r>
      <w:r w:rsidR="00F74537" w:rsidRPr="00F74537">
        <w:rPr>
          <w:rFonts w:ascii="Arial" w:hAnsi="Arial" w:cs="Arial"/>
          <w:sz w:val="24"/>
          <w:szCs w:val="24"/>
        </w:rPr>
        <w:t>43,730 hours, a 39</w:t>
      </w:r>
      <w:r w:rsidRPr="00F74537">
        <w:rPr>
          <w:rFonts w:ascii="Arial" w:hAnsi="Arial" w:cs="Arial"/>
          <w:sz w:val="24"/>
          <w:szCs w:val="24"/>
        </w:rPr>
        <w:t>% increase</w:t>
      </w:r>
      <w:r w:rsidRPr="00001744">
        <w:rPr>
          <w:rFonts w:ascii="Arial" w:hAnsi="Arial" w:cs="Arial"/>
          <w:sz w:val="24"/>
          <w:szCs w:val="24"/>
        </w:rPr>
        <w:t xml:space="preserve"> on the same period in 2017</w:t>
      </w:r>
      <w:r w:rsidR="00976D1E">
        <w:rPr>
          <w:rFonts w:ascii="Arial" w:hAnsi="Arial" w:cs="Arial"/>
          <w:sz w:val="24"/>
          <w:szCs w:val="24"/>
        </w:rPr>
        <w:t>/18</w:t>
      </w:r>
      <w:r w:rsidR="00F74537">
        <w:rPr>
          <w:rFonts w:ascii="Arial" w:hAnsi="Arial" w:cs="Arial"/>
          <w:sz w:val="24"/>
          <w:szCs w:val="24"/>
        </w:rPr>
        <w:t>. The last 3 months have seen a 53% increase in operational hours compared with the same period a year ago (33,198 operational hours)</w:t>
      </w:r>
      <w:r w:rsidRPr="00001744">
        <w:rPr>
          <w:rFonts w:ascii="Arial" w:hAnsi="Arial" w:cs="Arial"/>
          <w:sz w:val="24"/>
          <w:szCs w:val="24"/>
        </w:rPr>
        <w:t xml:space="preserve">. The hours worked by the Special </w:t>
      </w:r>
      <w:r w:rsidRPr="00001744">
        <w:rPr>
          <w:rFonts w:ascii="Arial" w:hAnsi="Arial" w:cs="Arial"/>
          <w:sz w:val="24"/>
          <w:szCs w:val="24"/>
        </w:rPr>
        <w:lastRenderedPageBreak/>
        <w:t xml:space="preserve">Constabulary across this </w:t>
      </w:r>
      <w:r w:rsidR="0090351D" w:rsidRPr="00001744">
        <w:rPr>
          <w:rFonts w:ascii="Arial" w:hAnsi="Arial" w:cs="Arial"/>
          <w:sz w:val="24"/>
          <w:szCs w:val="24"/>
        </w:rPr>
        <w:t>period wa</w:t>
      </w:r>
      <w:r w:rsidRPr="00001744">
        <w:rPr>
          <w:rFonts w:ascii="Arial" w:hAnsi="Arial" w:cs="Arial"/>
          <w:sz w:val="24"/>
          <w:szCs w:val="24"/>
        </w:rPr>
        <w:t>s equivalent to having an additional 9</w:t>
      </w:r>
      <w:r w:rsidR="00F74537">
        <w:rPr>
          <w:rFonts w:ascii="Arial" w:hAnsi="Arial" w:cs="Arial"/>
          <w:sz w:val="24"/>
          <w:szCs w:val="24"/>
        </w:rPr>
        <w:t>8</w:t>
      </w:r>
      <w:r w:rsidRPr="00001744">
        <w:rPr>
          <w:rFonts w:ascii="Arial" w:hAnsi="Arial" w:cs="Arial"/>
          <w:sz w:val="24"/>
          <w:szCs w:val="24"/>
        </w:rPr>
        <w:t xml:space="preserve"> full time officers, who would attrac</w:t>
      </w:r>
      <w:r w:rsidR="00F74537">
        <w:rPr>
          <w:rFonts w:ascii="Arial" w:hAnsi="Arial" w:cs="Arial"/>
          <w:sz w:val="24"/>
          <w:szCs w:val="24"/>
        </w:rPr>
        <w:t>t an annual salary cost of £5.1</w:t>
      </w:r>
      <w:r w:rsidRPr="00001744">
        <w:rPr>
          <w:rFonts w:ascii="Arial" w:hAnsi="Arial" w:cs="Arial"/>
          <w:sz w:val="24"/>
          <w:szCs w:val="24"/>
        </w:rPr>
        <w:t>m.</w:t>
      </w:r>
    </w:p>
    <w:p w:rsidR="0090351D" w:rsidRPr="00001744" w:rsidRDefault="0090351D" w:rsidP="00C064AB">
      <w:pPr>
        <w:pStyle w:val="NoSpacing"/>
        <w:ind w:left="720"/>
        <w:rPr>
          <w:rFonts w:ascii="Arial" w:hAnsi="Arial" w:cs="Arial"/>
          <w:sz w:val="24"/>
          <w:szCs w:val="24"/>
        </w:rPr>
      </w:pPr>
    </w:p>
    <w:p w:rsidR="0090351D" w:rsidRPr="00001744" w:rsidRDefault="0090351D" w:rsidP="003E6059">
      <w:pPr>
        <w:spacing w:after="0" w:line="240" w:lineRule="auto"/>
        <w:ind w:left="720"/>
        <w:contextualSpacing/>
        <w:rPr>
          <w:rFonts w:ascii="Arial" w:hAnsi="Arial" w:cs="Arial"/>
          <w:sz w:val="24"/>
          <w:szCs w:val="24"/>
        </w:rPr>
      </w:pPr>
      <w:r w:rsidRPr="00001744">
        <w:rPr>
          <w:rFonts w:ascii="Arial" w:hAnsi="Arial" w:cs="Arial"/>
          <w:sz w:val="24"/>
          <w:szCs w:val="24"/>
        </w:rPr>
        <w:t xml:space="preserve">Essex Police received </w:t>
      </w:r>
      <w:r w:rsidR="00A430DE">
        <w:rPr>
          <w:rFonts w:ascii="Arial" w:hAnsi="Arial" w:cs="Arial"/>
          <w:sz w:val="24"/>
          <w:szCs w:val="24"/>
        </w:rPr>
        <w:t>300</w:t>
      </w:r>
      <w:r w:rsidRPr="00001744">
        <w:rPr>
          <w:rFonts w:ascii="Arial" w:hAnsi="Arial" w:cs="Arial"/>
          <w:sz w:val="24"/>
          <w:szCs w:val="24"/>
        </w:rPr>
        <w:t xml:space="preserve"> new applications between </w:t>
      </w:r>
      <w:r w:rsidR="00A430DE" w:rsidRPr="00001744">
        <w:rPr>
          <w:rFonts w:ascii="Arial" w:hAnsi="Arial" w:cs="Arial"/>
          <w:sz w:val="24"/>
          <w:szCs w:val="24"/>
        </w:rPr>
        <w:t>1</w:t>
      </w:r>
      <w:r w:rsidR="00A430DE" w:rsidRPr="00001744">
        <w:rPr>
          <w:rFonts w:ascii="Arial" w:hAnsi="Arial" w:cs="Arial"/>
          <w:sz w:val="24"/>
          <w:szCs w:val="24"/>
          <w:vertAlign w:val="superscript"/>
        </w:rPr>
        <w:t>st</w:t>
      </w:r>
      <w:r w:rsidR="00A430DE" w:rsidRPr="00001744">
        <w:rPr>
          <w:rFonts w:ascii="Arial" w:hAnsi="Arial" w:cs="Arial"/>
          <w:sz w:val="24"/>
          <w:szCs w:val="24"/>
        </w:rPr>
        <w:t xml:space="preserve"> </w:t>
      </w:r>
      <w:r w:rsidR="00A430DE">
        <w:rPr>
          <w:rFonts w:ascii="Arial" w:hAnsi="Arial" w:cs="Arial"/>
          <w:sz w:val="24"/>
          <w:szCs w:val="24"/>
        </w:rPr>
        <w:t>December 2018</w:t>
      </w:r>
      <w:r w:rsidR="00A430DE" w:rsidRPr="00001744">
        <w:rPr>
          <w:rFonts w:ascii="Arial" w:hAnsi="Arial" w:cs="Arial"/>
          <w:sz w:val="24"/>
          <w:szCs w:val="24"/>
        </w:rPr>
        <w:t xml:space="preserve"> </w:t>
      </w:r>
      <w:r w:rsidR="00A430DE">
        <w:rPr>
          <w:rFonts w:ascii="Arial" w:hAnsi="Arial" w:cs="Arial"/>
          <w:sz w:val="24"/>
          <w:szCs w:val="24"/>
        </w:rPr>
        <w:t>and 28</w:t>
      </w:r>
      <w:r w:rsidR="00A430DE" w:rsidRPr="00976D1E">
        <w:rPr>
          <w:rFonts w:ascii="Arial" w:hAnsi="Arial" w:cs="Arial"/>
          <w:sz w:val="24"/>
          <w:szCs w:val="24"/>
          <w:vertAlign w:val="superscript"/>
        </w:rPr>
        <w:t>th</w:t>
      </w:r>
      <w:r w:rsidR="00A430DE">
        <w:rPr>
          <w:rFonts w:ascii="Arial" w:hAnsi="Arial" w:cs="Arial"/>
          <w:sz w:val="24"/>
          <w:szCs w:val="24"/>
        </w:rPr>
        <w:t xml:space="preserve"> February 2019</w:t>
      </w:r>
      <w:r w:rsidRPr="00001744">
        <w:rPr>
          <w:rFonts w:ascii="Arial" w:hAnsi="Arial" w:cs="Arial"/>
          <w:sz w:val="24"/>
          <w:szCs w:val="24"/>
        </w:rPr>
        <w:t xml:space="preserve">. </w:t>
      </w:r>
      <w:r w:rsidR="00A430DE">
        <w:rPr>
          <w:rFonts w:ascii="Arial" w:hAnsi="Arial" w:cs="Arial"/>
          <w:sz w:val="24"/>
          <w:szCs w:val="24"/>
        </w:rPr>
        <w:t xml:space="preserve">This is a slight increase on the previous quarter (+12.4%). </w:t>
      </w:r>
      <w:r w:rsidRPr="00001744">
        <w:rPr>
          <w:rFonts w:ascii="Arial" w:hAnsi="Arial" w:cs="Arial"/>
          <w:sz w:val="24"/>
          <w:szCs w:val="24"/>
        </w:rPr>
        <w:t xml:space="preserve">Recruitment of new Specials </w:t>
      </w:r>
      <w:r w:rsidR="003E6059" w:rsidRPr="00001744">
        <w:rPr>
          <w:rFonts w:ascii="Arial" w:hAnsi="Arial" w:cs="Arial"/>
          <w:sz w:val="24"/>
          <w:szCs w:val="24"/>
        </w:rPr>
        <w:t xml:space="preserve">in the last 3 months </w:t>
      </w:r>
      <w:r w:rsidRPr="00001744">
        <w:rPr>
          <w:rFonts w:ascii="Arial" w:hAnsi="Arial" w:cs="Arial"/>
          <w:sz w:val="24"/>
          <w:szCs w:val="24"/>
        </w:rPr>
        <w:t xml:space="preserve">has matched the forecasts given in the previous quarterly report. </w:t>
      </w:r>
    </w:p>
    <w:p w:rsidR="003E6059" w:rsidRPr="00001744" w:rsidRDefault="003E6059" w:rsidP="003E6059">
      <w:pPr>
        <w:spacing w:after="0" w:line="240" w:lineRule="auto"/>
        <w:ind w:left="720"/>
        <w:contextualSpacing/>
        <w:rPr>
          <w:rFonts w:ascii="Arial" w:hAnsi="Arial" w:cs="Arial"/>
          <w:sz w:val="24"/>
          <w:szCs w:val="24"/>
        </w:rPr>
      </w:pPr>
    </w:p>
    <w:p w:rsidR="00B77DD0" w:rsidRDefault="00B77DD0" w:rsidP="00B77DD0">
      <w:pPr>
        <w:pStyle w:val="NoSpacing"/>
        <w:ind w:left="720"/>
        <w:rPr>
          <w:rFonts w:ascii="Arial" w:hAnsi="Arial" w:cs="Arial"/>
          <w:sz w:val="24"/>
          <w:szCs w:val="24"/>
        </w:rPr>
      </w:pPr>
      <w:r>
        <w:rPr>
          <w:rFonts w:ascii="Arial" w:hAnsi="Arial" w:cs="Arial"/>
          <w:sz w:val="24"/>
          <w:szCs w:val="24"/>
        </w:rPr>
        <w:t xml:space="preserve">The greatest threats to continued growth remain regular recruitment and any diminishing impact of our recruitment campaign. In the last 12 months we have recruited 207 new officers. Our surveying suggests that circa 80% of those new starters intend to join the regulars. This suggests that there is a cohort of approximately 165 officers who have joined in the last year </w:t>
      </w:r>
      <w:r w:rsidR="0095101C">
        <w:rPr>
          <w:rFonts w:ascii="Arial" w:hAnsi="Arial" w:cs="Arial"/>
          <w:sz w:val="24"/>
          <w:szCs w:val="24"/>
        </w:rPr>
        <w:t xml:space="preserve">and </w:t>
      </w:r>
      <w:r>
        <w:rPr>
          <w:rFonts w:ascii="Arial" w:hAnsi="Arial" w:cs="Arial"/>
          <w:sz w:val="24"/>
          <w:szCs w:val="24"/>
        </w:rPr>
        <w:t>are likely have</w:t>
      </w:r>
      <w:r w:rsidR="0095101C">
        <w:rPr>
          <w:rFonts w:ascii="Arial" w:hAnsi="Arial" w:cs="Arial"/>
          <w:sz w:val="24"/>
          <w:szCs w:val="24"/>
        </w:rPr>
        <w:t xml:space="preserve"> both</w:t>
      </w:r>
      <w:r>
        <w:rPr>
          <w:rFonts w:ascii="Arial" w:hAnsi="Arial" w:cs="Arial"/>
          <w:sz w:val="24"/>
          <w:szCs w:val="24"/>
        </w:rPr>
        <w:t xml:space="preserve"> an intention to join the regulars and the opportunity to do so</w:t>
      </w:r>
      <w:r w:rsidR="0095101C">
        <w:rPr>
          <w:rFonts w:ascii="Arial" w:hAnsi="Arial" w:cs="Arial"/>
          <w:sz w:val="24"/>
          <w:szCs w:val="24"/>
        </w:rPr>
        <w:t>,</w:t>
      </w:r>
      <w:r>
        <w:rPr>
          <w:rFonts w:ascii="Arial" w:hAnsi="Arial" w:cs="Arial"/>
          <w:sz w:val="24"/>
          <w:szCs w:val="24"/>
        </w:rPr>
        <w:t xml:space="preserve"> given the ambition of the force to grow by an additional 215 regular officers over the next 12 months.</w:t>
      </w:r>
    </w:p>
    <w:p w:rsidR="00B77DD0" w:rsidRDefault="00B77DD0" w:rsidP="00B77DD0">
      <w:pPr>
        <w:pStyle w:val="NoSpacing"/>
        <w:ind w:left="720"/>
        <w:rPr>
          <w:rFonts w:ascii="Arial" w:hAnsi="Arial" w:cs="Arial"/>
          <w:sz w:val="24"/>
          <w:szCs w:val="24"/>
        </w:rPr>
      </w:pPr>
    </w:p>
    <w:p w:rsidR="00B77DD0" w:rsidRDefault="00B77DD0" w:rsidP="00B77DD0">
      <w:pPr>
        <w:pStyle w:val="NoSpacing"/>
        <w:ind w:left="720"/>
        <w:rPr>
          <w:rFonts w:ascii="Arial" w:hAnsi="Arial" w:cs="Arial"/>
          <w:sz w:val="24"/>
          <w:szCs w:val="24"/>
        </w:rPr>
      </w:pPr>
      <w:r>
        <w:rPr>
          <w:rFonts w:ascii="Arial" w:hAnsi="Arial" w:cs="Arial"/>
          <w:sz w:val="24"/>
          <w:szCs w:val="24"/>
        </w:rPr>
        <w:t xml:space="preserve">The </w:t>
      </w:r>
      <w:r w:rsidR="0096268B">
        <w:rPr>
          <w:rFonts w:ascii="Arial" w:hAnsi="Arial" w:cs="Arial"/>
          <w:sz w:val="24"/>
          <w:szCs w:val="24"/>
        </w:rPr>
        <w:t>impact of regular recruitment on</w:t>
      </w:r>
      <w:r>
        <w:rPr>
          <w:rFonts w:ascii="Arial" w:hAnsi="Arial" w:cs="Arial"/>
          <w:sz w:val="24"/>
          <w:szCs w:val="24"/>
        </w:rPr>
        <w:t xml:space="preserve"> continued growth of the Special Constabulary will be mitigated through:</w:t>
      </w:r>
    </w:p>
    <w:p w:rsidR="00B77DD0" w:rsidRDefault="00B77DD0" w:rsidP="00B77DD0">
      <w:pPr>
        <w:pStyle w:val="NoSpacing"/>
        <w:numPr>
          <w:ilvl w:val="0"/>
          <w:numId w:val="16"/>
        </w:numPr>
        <w:rPr>
          <w:rFonts w:ascii="Arial" w:hAnsi="Arial" w:cs="Arial"/>
          <w:sz w:val="24"/>
          <w:szCs w:val="24"/>
        </w:rPr>
      </w:pPr>
      <w:r>
        <w:rPr>
          <w:rFonts w:ascii="Arial" w:hAnsi="Arial" w:cs="Arial"/>
          <w:sz w:val="24"/>
          <w:szCs w:val="24"/>
        </w:rPr>
        <w:t xml:space="preserve">Extensive media campaign over the next financial year to ensure we attract sufficient applications to overcome any additional losses to the regulars. </w:t>
      </w:r>
    </w:p>
    <w:p w:rsidR="00B77DD0" w:rsidRDefault="00B77DD0" w:rsidP="00B77DD0">
      <w:pPr>
        <w:pStyle w:val="NoSpacing"/>
        <w:numPr>
          <w:ilvl w:val="0"/>
          <w:numId w:val="16"/>
        </w:numPr>
        <w:rPr>
          <w:rFonts w:ascii="Arial" w:hAnsi="Arial" w:cs="Arial"/>
          <w:sz w:val="24"/>
          <w:szCs w:val="24"/>
        </w:rPr>
      </w:pPr>
      <w:r>
        <w:rPr>
          <w:rFonts w:ascii="Arial" w:hAnsi="Arial" w:cs="Arial"/>
          <w:sz w:val="24"/>
          <w:szCs w:val="24"/>
        </w:rPr>
        <w:t xml:space="preserve">A media campaign that will specifically </w:t>
      </w:r>
      <w:r w:rsidR="00171B53">
        <w:rPr>
          <w:rFonts w:ascii="Arial" w:hAnsi="Arial" w:cs="Arial"/>
          <w:sz w:val="24"/>
          <w:szCs w:val="24"/>
        </w:rPr>
        <w:t>include</w:t>
      </w:r>
      <w:r>
        <w:rPr>
          <w:rFonts w:ascii="Arial" w:hAnsi="Arial" w:cs="Arial"/>
          <w:sz w:val="24"/>
          <w:szCs w:val="24"/>
        </w:rPr>
        <w:t xml:space="preserve"> those less likely to join as regulars e.g. those in their 30s and 40s who are earning in excess of £35k per annum. </w:t>
      </w:r>
    </w:p>
    <w:p w:rsidR="00B77DD0" w:rsidRDefault="00B77DD0" w:rsidP="00B77DD0">
      <w:pPr>
        <w:pStyle w:val="NoSpacing"/>
        <w:numPr>
          <w:ilvl w:val="0"/>
          <w:numId w:val="16"/>
        </w:numPr>
        <w:rPr>
          <w:rFonts w:ascii="Arial" w:hAnsi="Arial" w:cs="Arial"/>
          <w:sz w:val="24"/>
          <w:szCs w:val="24"/>
        </w:rPr>
      </w:pPr>
      <w:r>
        <w:rPr>
          <w:rFonts w:ascii="Arial" w:hAnsi="Arial" w:cs="Arial"/>
          <w:sz w:val="24"/>
          <w:szCs w:val="24"/>
        </w:rPr>
        <w:t xml:space="preserve">Maintaining focus on improving the volunteer experience and retention of those that do not intend to join the regulars </w:t>
      </w:r>
    </w:p>
    <w:p w:rsidR="00B77DD0" w:rsidRDefault="00B77DD0" w:rsidP="00B77DD0">
      <w:pPr>
        <w:pStyle w:val="NoSpacing"/>
        <w:ind w:left="720"/>
        <w:rPr>
          <w:rFonts w:ascii="Arial" w:hAnsi="Arial" w:cs="Arial"/>
          <w:sz w:val="24"/>
          <w:szCs w:val="24"/>
        </w:rPr>
      </w:pPr>
    </w:p>
    <w:p w:rsidR="0096268B" w:rsidRDefault="0096268B" w:rsidP="0096268B">
      <w:pPr>
        <w:spacing w:after="0" w:line="240" w:lineRule="auto"/>
        <w:ind w:left="720"/>
        <w:contextualSpacing/>
        <w:rPr>
          <w:rFonts w:ascii="Arial" w:hAnsi="Arial" w:cs="Arial"/>
          <w:sz w:val="24"/>
          <w:szCs w:val="24"/>
        </w:rPr>
      </w:pPr>
      <w:r>
        <w:rPr>
          <w:rFonts w:ascii="Arial" w:hAnsi="Arial" w:cs="Arial"/>
          <w:sz w:val="24"/>
          <w:szCs w:val="24"/>
        </w:rPr>
        <w:t xml:space="preserve">We </w:t>
      </w:r>
      <w:r w:rsidR="000C3206">
        <w:rPr>
          <w:rFonts w:ascii="Arial" w:hAnsi="Arial" w:cs="Arial"/>
          <w:sz w:val="24"/>
          <w:szCs w:val="24"/>
        </w:rPr>
        <w:t xml:space="preserve">are considering a proposal from </w:t>
      </w:r>
      <w:r>
        <w:rPr>
          <w:rFonts w:ascii="Arial" w:hAnsi="Arial" w:cs="Arial"/>
          <w:sz w:val="24"/>
          <w:szCs w:val="24"/>
        </w:rPr>
        <w:t xml:space="preserve">Havas People to deliver our recruitment campaign for 2019/20. Their campaign </w:t>
      </w:r>
      <w:r w:rsidR="000C3206">
        <w:rPr>
          <w:rFonts w:ascii="Arial" w:hAnsi="Arial" w:cs="Arial"/>
          <w:sz w:val="24"/>
          <w:szCs w:val="24"/>
        </w:rPr>
        <w:t>would</w:t>
      </w:r>
      <w:r>
        <w:rPr>
          <w:rFonts w:ascii="Arial" w:hAnsi="Arial" w:cs="Arial"/>
          <w:sz w:val="24"/>
          <w:szCs w:val="24"/>
        </w:rPr>
        <w:t xml:space="preserve"> primarily focus on targeted social media advertising across Facebook, Messenger, Instagram, Twitter and LinkedIn</w:t>
      </w:r>
      <w:r w:rsidR="000C3206">
        <w:rPr>
          <w:rFonts w:ascii="Arial" w:hAnsi="Arial" w:cs="Arial"/>
          <w:sz w:val="24"/>
          <w:szCs w:val="24"/>
        </w:rPr>
        <w:t>, using a new creative concept and moving away from #</w:t>
      </w:r>
      <w:proofErr w:type="spellStart"/>
      <w:r w:rsidR="000C3206">
        <w:rPr>
          <w:rFonts w:ascii="Arial" w:hAnsi="Arial" w:cs="Arial"/>
          <w:sz w:val="24"/>
          <w:szCs w:val="24"/>
        </w:rPr>
        <w:t>MyOtherLife</w:t>
      </w:r>
      <w:proofErr w:type="spellEnd"/>
      <w:r w:rsidR="000C3206">
        <w:rPr>
          <w:rFonts w:ascii="Arial" w:hAnsi="Arial" w:cs="Arial"/>
          <w:sz w:val="24"/>
          <w:szCs w:val="24"/>
        </w:rPr>
        <w:t>. The proposal is currently under review, set against the capacity and capability of our internal campaigns team to continue to drive recruitment through the third year.</w:t>
      </w:r>
    </w:p>
    <w:p w:rsidR="000C3206" w:rsidRDefault="000C3206" w:rsidP="0096268B">
      <w:pPr>
        <w:spacing w:after="0" w:line="240" w:lineRule="auto"/>
        <w:ind w:left="720"/>
        <w:contextualSpacing/>
        <w:rPr>
          <w:rFonts w:ascii="Arial" w:hAnsi="Arial" w:cs="Arial"/>
          <w:sz w:val="24"/>
          <w:szCs w:val="24"/>
        </w:rPr>
      </w:pPr>
    </w:p>
    <w:p w:rsidR="0096268B" w:rsidRDefault="0096268B" w:rsidP="0096268B">
      <w:pPr>
        <w:spacing w:after="0" w:line="240" w:lineRule="auto"/>
        <w:ind w:left="720"/>
        <w:contextualSpacing/>
        <w:rPr>
          <w:rFonts w:ascii="Arial" w:hAnsi="Arial" w:cs="Arial"/>
          <w:sz w:val="24"/>
          <w:szCs w:val="24"/>
        </w:rPr>
      </w:pPr>
      <w:r>
        <w:rPr>
          <w:rFonts w:ascii="Arial" w:hAnsi="Arial" w:cs="Arial"/>
          <w:sz w:val="24"/>
          <w:szCs w:val="24"/>
        </w:rPr>
        <w:t xml:space="preserve">Looking beyond March 2020, sustaining a headcount of 600 or more Special Constables beyond 2020 is likely to require recruitment of </w:t>
      </w:r>
      <w:r w:rsidRPr="0096268B">
        <w:rPr>
          <w:rFonts w:ascii="Arial" w:hAnsi="Arial" w:cs="Arial"/>
          <w:sz w:val="24"/>
          <w:szCs w:val="24"/>
        </w:rPr>
        <w:t>180 new Special Constables per year</w:t>
      </w:r>
      <w:r>
        <w:rPr>
          <w:rFonts w:ascii="Arial" w:hAnsi="Arial" w:cs="Arial"/>
          <w:sz w:val="24"/>
          <w:szCs w:val="24"/>
        </w:rPr>
        <w:t xml:space="preserve"> (achieved through 800 applications per year). The Specials Development Programme is resourced to deliver headcount growth, so savings will be available in relation to recruitment and training posts once we reach a ‘headcount maintenance’ position (albeit some savings will be delayed as the training legacy of new starters will run into 2020/21).</w:t>
      </w:r>
    </w:p>
    <w:p w:rsidR="0096268B" w:rsidRDefault="0096268B" w:rsidP="0096268B">
      <w:pPr>
        <w:spacing w:after="0" w:line="240" w:lineRule="auto"/>
        <w:ind w:left="720"/>
        <w:contextualSpacing/>
        <w:rPr>
          <w:rFonts w:ascii="Arial" w:hAnsi="Arial" w:cs="Arial"/>
          <w:sz w:val="24"/>
          <w:szCs w:val="24"/>
        </w:rPr>
      </w:pPr>
    </w:p>
    <w:p w:rsidR="0096268B" w:rsidRDefault="00502B20" w:rsidP="0096268B">
      <w:pPr>
        <w:spacing w:after="0" w:line="240" w:lineRule="auto"/>
        <w:ind w:left="720"/>
        <w:contextualSpacing/>
        <w:rPr>
          <w:rFonts w:ascii="Arial" w:hAnsi="Arial" w:cs="Arial"/>
          <w:sz w:val="24"/>
          <w:szCs w:val="24"/>
        </w:rPr>
      </w:pPr>
      <w:r>
        <w:rPr>
          <w:rFonts w:ascii="Arial" w:hAnsi="Arial" w:cs="Arial"/>
          <w:sz w:val="24"/>
          <w:szCs w:val="24"/>
        </w:rPr>
        <w:t xml:space="preserve">The table </w:t>
      </w:r>
      <w:r w:rsidR="0095101C">
        <w:rPr>
          <w:rFonts w:ascii="Arial" w:hAnsi="Arial" w:cs="Arial"/>
          <w:sz w:val="24"/>
          <w:szCs w:val="24"/>
        </w:rPr>
        <w:t>below</w:t>
      </w:r>
      <w:r>
        <w:rPr>
          <w:rFonts w:ascii="Arial" w:hAnsi="Arial" w:cs="Arial"/>
          <w:sz w:val="24"/>
          <w:szCs w:val="24"/>
        </w:rPr>
        <w:t xml:space="preserve"> provides indicative costings for maintaining a headcount of 600 officers and an estimate of the return on that investment (measured in terms of equivalent regular salary). This is explored in more detail in section 9.0.2.</w:t>
      </w:r>
    </w:p>
    <w:p w:rsidR="0096268B" w:rsidRDefault="0096268B" w:rsidP="0096268B">
      <w:pPr>
        <w:spacing w:after="0" w:line="240" w:lineRule="auto"/>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4095"/>
        <w:gridCol w:w="1701"/>
        <w:gridCol w:w="1559"/>
        <w:gridCol w:w="1559"/>
      </w:tblGrid>
      <w:tr w:rsidR="0096268B" w:rsidTr="0096268B">
        <w:tc>
          <w:tcPr>
            <w:tcW w:w="4095"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p>
        </w:tc>
        <w:tc>
          <w:tcPr>
            <w:tcW w:w="1701"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Pr>
                <w:rFonts w:ascii="Arial" w:hAnsi="Arial" w:cs="Arial"/>
                <w:b/>
                <w:sz w:val="24"/>
                <w:szCs w:val="24"/>
              </w:rPr>
              <w:t>2019/20</w:t>
            </w:r>
          </w:p>
        </w:tc>
        <w:tc>
          <w:tcPr>
            <w:tcW w:w="1559"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sidRPr="00C729B1">
              <w:rPr>
                <w:rFonts w:ascii="Arial" w:hAnsi="Arial" w:cs="Arial"/>
                <w:b/>
                <w:sz w:val="24"/>
                <w:szCs w:val="24"/>
              </w:rPr>
              <w:t xml:space="preserve">2020 </w:t>
            </w:r>
          </w:p>
        </w:tc>
        <w:tc>
          <w:tcPr>
            <w:tcW w:w="1559"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sidRPr="00C729B1">
              <w:rPr>
                <w:rFonts w:ascii="Arial" w:hAnsi="Arial" w:cs="Arial"/>
                <w:b/>
                <w:sz w:val="24"/>
                <w:szCs w:val="24"/>
              </w:rPr>
              <w:t xml:space="preserve">2021+ </w:t>
            </w:r>
          </w:p>
        </w:tc>
      </w:tr>
      <w:tr w:rsidR="0096268B" w:rsidTr="0096268B">
        <w:tc>
          <w:tcPr>
            <w:tcW w:w="4095" w:type="dxa"/>
          </w:tcPr>
          <w:p w:rsidR="0096268B" w:rsidRPr="00F335A9" w:rsidRDefault="0096268B" w:rsidP="0096268B">
            <w:pPr>
              <w:contextualSpacing/>
              <w:rPr>
                <w:rFonts w:ascii="Arial" w:hAnsi="Arial" w:cs="Arial"/>
                <w:sz w:val="16"/>
                <w:szCs w:val="16"/>
              </w:rPr>
            </w:pPr>
            <w:r>
              <w:rPr>
                <w:rFonts w:ascii="Arial" w:hAnsi="Arial" w:cs="Arial"/>
                <w:sz w:val="24"/>
                <w:szCs w:val="24"/>
              </w:rPr>
              <w:t>Special Constabulary Costs</w:t>
            </w:r>
            <w:r>
              <w:rPr>
                <w:rStyle w:val="FootnoteReference"/>
                <w:rFonts w:ascii="Arial" w:hAnsi="Arial" w:cs="Arial"/>
                <w:sz w:val="24"/>
                <w:szCs w:val="24"/>
              </w:rPr>
              <w:footnoteReference w:id="1"/>
            </w:r>
          </w:p>
        </w:tc>
        <w:tc>
          <w:tcPr>
            <w:tcW w:w="1701" w:type="dxa"/>
          </w:tcPr>
          <w:p w:rsidR="0096268B" w:rsidRDefault="0096268B" w:rsidP="0096268B">
            <w:pPr>
              <w:contextualSpacing/>
              <w:jc w:val="center"/>
              <w:rPr>
                <w:rFonts w:ascii="Arial" w:hAnsi="Arial" w:cs="Arial"/>
                <w:sz w:val="24"/>
                <w:szCs w:val="24"/>
              </w:rPr>
            </w:pPr>
            <w:r>
              <w:rPr>
                <w:rFonts w:ascii="Arial" w:hAnsi="Arial" w:cs="Arial"/>
                <w:sz w:val="24"/>
                <w:szCs w:val="24"/>
              </w:rPr>
              <w:t>£1,772,000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£1,620,000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£1,527,000</w:t>
            </w:r>
          </w:p>
        </w:tc>
      </w:tr>
      <w:tr w:rsidR="0096268B" w:rsidTr="0096268B">
        <w:tc>
          <w:tcPr>
            <w:tcW w:w="4095" w:type="dxa"/>
          </w:tcPr>
          <w:p w:rsidR="0096268B" w:rsidRDefault="0096268B" w:rsidP="0096268B">
            <w:pPr>
              <w:contextualSpacing/>
              <w:rPr>
                <w:rFonts w:ascii="Arial" w:hAnsi="Arial" w:cs="Arial"/>
                <w:sz w:val="24"/>
                <w:szCs w:val="24"/>
              </w:rPr>
            </w:pPr>
            <w:r>
              <w:rPr>
                <w:rFonts w:ascii="Arial" w:hAnsi="Arial" w:cs="Arial"/>
                <w:sz w:val="24"/>
                <w:szCs w:val="24"/>
              </w:rPr>
              <w:t>Special Constabulary Value Added</w:t>
            </w:r>
            <w:r w:rsidR="00502B20">
              <w:rPr>
                <w:rStyle w:val="FootnoteReference"/>
                <w:rFonts w:ascii="Arial" w:hAnsi="Arial" w:cs="Arial"/>
                <w:sz w:val="24"/>
                <w:szCs w:val="24"/>
              </w:rPr>
              <w:footnoteReference w:id="2"/>
            </w:r>
          </w:p>
        </w:tc>
        <w:tc>
          <w:tcPr>
            <w:tcW w:w="1701" w:type="dxa"/>
          </w:tcPr>
          <w:p w:rsidR="0096268B" w:rsidRDefault="0096268B" w:rsidP="0096268B">
            <w:pPr>
              <w:contextualSpacing/>
              <w:jc w:val="center"/>
              <w:rPr>
                <w:rFonts w:ascii="Arial" w:hAnsi="Arial" w:cs="Arial"/>
                <w:sz w:val="24"/>
                <w:szCs w:val="24"/>
              </w:rPr>
            </w:pPr>
            <w:r>
              <w:rPr>
                <w:rFonts w:ascii="Arial" w:hAnsi="Arial" w:cs="Arial"/>
                <w:sz w:val="24"/>
                <w:szCs w:val="24"/>
              </w:rPr>
              <w:t>£5,870,000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£6,340,000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£6,340,000</w:t>
            </w:r>
          </w:p>
        </w:tc>
      </w:tr>
    </w:tbl>
    <w:p w:rsidR="0096268B" w:rsidRDefault="0096268B" w:rsidP="0096268B">
      <w:pPr>
        <w:pStyle w:val="NoSpacing"/>
        <w:ind w:left="720"/>
        <w:rPr>
          <w:rFonts w:ascii="Arial" w:hAnsi="Arial" w:cs="Arial"/>
          <w:sz w:val="24"/>
          <w:szCs w:val="24"/>
        </w:rPr>
      </w:pPr>
    </w:p>
    <w:p w:rsidR="0096268B" w:rsidRDefault="0096268B" w:rsidP="0096268B">
      <w:pPr>
        <w:pStyle w:val="NoSpacing"/>
        <w:ind w:left="720"/>
        <w:rPr>
          <w:rFonts w:ascii="Arial" w:hAnsi="Arial" w:cs="Arial"/>
          <w:sz w:val="24"/>
          <w:szCs w:val="24"/>
        </w:rPr>
      </w:pPr>
      <w:r>
        <w:rPr>
          <w:rFonts w:ascii="Arial" w:hAnsi="Arial" w:cs="Arial"/>
          <w:sz w:val="24"/>
          <w:szCs w:val="24"/>
        </w:rPr>
        <w:lastRenderedPageBreak/>
        <w:t>The ability of the force to maintain a headcount of 600 will be predicated on the following:</w:t>
      </w:r>
    </w:p>
    <w:p w:rsidR="0096268B" w:rsidRDefault="0096268B" w:rsidP="0096268B">
      <w:pPr>
        <w:pStyle w:val="NoSpacing"/>
        <w:ind w:left="720"/>
        <w:rPr>
          <w:rFonts w:ascii="Arial" w:hAnsi="Arial" w:cs="Arial"/>
          <w:sz w:val="24"/>
          <w:szCs w:val="24"/>
        </w:rPr>
      </w:pPr>
    </w:p>
    <w:p w:rsidR="0096268B" w:rsidRDefault="0096268B" w:rsidP="0096268B">
      <w:pPr>
        <w:pStyle w:val="NoSpacing"/>
        <w:numPr>
          <w:ilvl w:val="0"/>
          <w:numId w:val="17"/>
        </w:numPr>
        <w:rPr>
          <w:rFonts w:ascii="Arial" w:hAnsi="Arial" w:cs="Arial"/>
          <w:sz w:val="24"/>
          <w:szCs w:val="24"/>
        </w:rPr>
      </w:pPr>
      <w:r>
        <w:rPr>
          <w:rFonts w:ascii="Arial" w:hAnsi="Arial" w:cs="Arial"/>
          <w:sz w:val="24"/>
          <w:szCs w:val="24"/>
        </w:rPr>
        <w:t xml:space="preserve">The regular recruitment strategy – the presumption is that where regular recruitment stops or slows, Specials recruitment will increase, and vice-versa. </w:t>
      </w:r>
    </w:p>
    <w:p w:rsidR="0096268B" w:rsidRDefault="0096268B" w:rsidP="0096268B">
      <w:pPr>
        <w:pStyle w:val="NoSpacing"/>
        <w:ind w:left="1440"/>
        <w:rPr>
          <w:rFonts w:ascii="Arial" w:hAnsi="Arial" w:cs="Arial"/>
          <w:sz w:val="24"/>
          <w:szCs w:val="24"/>
        </w:rPr>
      </w:pPr>
    </w:p>
    <w:p w:rsidR="0096268B" w:rsidRDefault="00502B20" w:rsidP="0096268B">
      <w:pPr>
        <w:pStyle w:val="NoSpacing"/>
        <w:numPr>
          <w:ilvl w:val="0"/>
          <w:numId w:val="17"/>
        </w:numPr>
        <w:rPr>
          <w:rFonts w:ascii="Arial" w:hAnsi="Arial" w:cs="Arial"/>
          <w:sz w:val="24"/>
          <w:szCs w:val="24"/>
        </w:rPr>
      </w:pPr>
      <w:r>
        <w:rPr>
          <w:rFonts w:ascii="Arial" w:hAnsi="Arial" w:cs="Arial"/>
          <w:sz w:val="24"/>
          <w:szCs w:val="24"/>
        </w:rPr>
        <w:t>I</w:t>
      </w:r>
      <w:r w:rsidR="0096268B">
        <w:rPr>
          <w:rFonts w:ascii="Arial" w:hAnsi="Arial" w:cs="Arial"/>
          <w:sz w:val="24"/>
          <w:szCs w:val="24"/>
        </w:rPr>
        <w:t xml:space="preserve">nvestment in retention – where other forces have seen a period of substantial growth it has been followed by a period of reduction as they have also removed investment in retention (achieved through paid staff to support the Specials and through commitment to training and integration) </w:t>
      </w:r>
    </w:p>
    <w:p w:rsidR="0096268B" w:rsidRDefault="0096268B" w:rsidP="0096268B">
      <w:pPr>
        <w:pStyle w:val="NoSpacing"/>
        <w:rPr>
          <w:rFonts w:ascii="Arial" w:hAnsi="Arial" w:cs="Arial"/>
          <w:sz w:val="24"/>
          <w:szCs w:val="24"/>
        </w:rPr>
      </w:pPr>
    </w:p>
    <w:p w:rsidR="0096268B" w:rsidRDefault="0096268B" w:rsidP="0096268B">
      <w:pPr>
        <w:pStyle w:val="NoSpacing"/>
        <w:numPr>
          <w:ilvl w:val="0"/>
          <w:numId w:val="17"/>
        </w:numPr>
        <w:rPr>
          <w:rFonts w:ascii="Arial" w:hAnsi="Arial" w:cs="Arial"/>
          <w:sz w:val="24"/>
          <w:szCs w:val="24"/>
        </w:rPr>
      </w:pPr>
      <w:r>
        <w:rPr>
          <w:rFonts w:ascii="Arial" w:hAnsi="Arial" w:cs="Arial"/>
          <w:sz w:val="24"/>
          <w:szCs w:val="24"/>
        </w:rPr>
        <w:t xml:space="preserve">The volunteer recruitment environment - our recruitment campaign will have been running since May 2017, but will still need to attract 800 new applications every year. </w:t>
      </w:r>
      <w:r w:rsidR="0095101C">
        <w:rPr>
          <w:rFonts w:ascii="Arial" w:hAnsi="Arial" w:cs="Arial"/>
          <w:sz w:val="24"/>
          <w:szCs w:val="24"/>
        </w:rPr>
        <w:t>This is a substantial requirement and t</w:t>
      </w:r>
      <w:r>
        <w:rPr>
          <w:rFonts w:ascii="Arial" w:hAnsi="Arial" w:cs="Arial"/>
          <w:sz w:val="24"/>
          <w:szCs w:val="24"/>
        </w:rPr>
        <w:t>here is a risk of reducing return on investment as the campaign continues.</w:t>
      </w:r>
    </w:p>
    <w:p w:rsidR="0096268B" w:rsidRDefault="0096268B" w:rsidP="0096268B">
      <w:pPr>
        <w:pStyle w:val="NoSpacing"/>
        <w:rPr>
          <w:rFonts w:ascii="Arial" w:hAnsi="Arial" w:cs="Arial"/>
          <w:sz w:val="24"/>
          <w:szCs w:val="24"/>
        </w:rPr>
      </w:pPr>
    </w:p>
    <w:p w:rsidR="0096268B" w:rsidRDefault="0096268B" w:rsidP="0096268B">
      <w:pPr>
        <w:pStyle w:val="NoSpacing"/>
        <w:ind w:left="720"/>
        <w:rPr>
          <w:rFonts w:ascii="Arial" w:hAnsi="Arial" w:cs="Arial"/>
          <w:sz w:val="24"/>
          <w:szCs w:val="24"/>
        </w:rPr>
      </w:pPr>
      <w:r>
        <w:rPr>
          <w:rFonts w:ascii="Arial" w:hAnsi="Arial" w:cs="Arial"/>
          <w:sz w:val="24"/>
          <w:szCs w:val="24"/>
        </w:rPr>
        <w:t xml:space="preserve">Changes to any of the above will have a significant impact on headcount maintenance, however, the return on investment in terms of salary equivalent suggests that </w:t>
      </w:r>
      <w:r w:rsidR="004B289D">
        <w:rPr>
          <w:rFonts w:ascii="Arial" w:hAnsi="Arial" w:cs="Arial"/>
          <w:sz w:val="24"/>
          <w:szCs w:val="24"/>
        </w:rPr>
        <w:t xml:space="preserve">continued </w:t>
      </w:r>
      <w:r>
        <w:rPr>
          <w:rFonts w:ascii="Arial" w:hAnsi="Arial" w:cs="Arial"/>
          <w:sz w:val="24"/>
          <w:szCs w:val="24"/>
        </w:rPr>
        <w:t>investment in the Special Constabulary is worthwhile and achieves value for money.</w:t>
      </w:r>
    </w:p>
    <w:p w:rsidR="00C064AB" w:rsidRPr="00665862" w:rsidRDefault="00C064AB" w:rsidP="0090351D">
      <w:pPr>
        <w:pStyle w:val="NoSpacing"/>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FA3F24" w:rsidRDefault="00FA3F24" w:rsidP="00FA3F24">
      <w:pPr>
        <w:pStyle w:val="NoSpacing"/>
        <w:ind w:left="720"/>
        <w:rPr>
          <w:rFonts w:ascii="Arial" w:hAnsi="Arial" w:cs="Arial"/>
          <w:sz w:val="24"/>
          <w:szCs w:val="24"/>
        </w:rPr>
      </w:pPr>
      <w:r w:rsidRPr="00FA3F24">
        <w:rPr>
          <w:rFonts w:ascii="Arial" w:hAnsi="Arial" w:cs="Arial"/>
          <w:sz w:val="24"/>
          <w:szCs w:val="24"/>
        </w:rPr>
        <w:t xml:space="preserve">In September 2016 the headcount of the Special Constabulary was 350 officers. The intention of the Special Constabulary Development Programme has been to double that headcount to 700 officers by March 2019. This was an ambitious target and </w:t>
      </w:r>
      <w:r>
        <w:rPr>
          <w:rFonts w:ascii="Arial" w:hAnsi="Arial" w:cs="Arial"/>
          <w:sz w:val="24"/>
          <w:szCs w:val="24"/>
        </w:rPr>
        <w:t xml:space="preserve">the change to the recruitment landscape in relation to opportunities to join the regular constabulary has limited our growth. In September 2018 the Performance &amp; Resources Scrutiny Programme accepted a recommendation that the </w:t>
      </w:r>
      <w:r w:rsidRPr="00FA3F24">
        <w:rPr>
          <w:rFonts w:ascii="Arial" w:hAnsi="Arial" w:cs="Arial"/>
          <w:sz w:val="24"/>
          <w:szCs w:val="24"/>
        </w:rPr>
        <w:t>PFCC and Essex Police adjust the ambition to a target of 600 active specials by March 2020 with a stretch target of 700.</w:t>
      </w:r>
    </w:p>
    <w:p w:rsidR="000568EA" w:rsidRDefault="000568EA" w:rsidP="00FA3F24">
      <w:pPr>
        <w:pStyle w:val="NoSpacing"/>
        <w:ind w:left="720"/>
        <w:rPr>
          <w:rFonts w:ascii="Arial" w:hAnsi="Arial" w:cs="Arial"/>
          <w:sz w:val="24"/>
          <w:szCs w:val="24"/>
        </w:rPr>
      </w:pPr>
    </w:p>
    <w:p w:rsidR="00FA3F24" w:rsidRDefault="00963A59" w:rsidP="00963A59">
      <w:pPr>
        <w:pStyle w:val="NoSpacing"/>
        <w:ind w:left="720"/>
        <w:rPr>
          <w:rFonts w:ascii="Arial" w:hAnsi="Arial" w:cs="Arial"/>
          <w:sz w:val="24"/>
          <w:szCs w:val="24"/>
        </w:rPr>
      </w:pPr>
      <w:r w:rsidRPr="00963A59">
        <w:rPr>
          <w:rFonts w:ascii="Arial" w:hAnsi="Arial" w:cs="Arial"/>
          <w:sz w:val="24"/>
          <w:szCs w:val="24"/>
        </w:rPr>
        <w:t>National Workforce Statistics, published in January 2019, show that Essex Police is now the second largest Special Constabulary in England and Wales, behi</w:t>
      </w:r>
      <w:r>
        <w:rPr>
          <w:rFonts w:ascii="Arial" w:hAnsi="Arial" w:cs="Arial"/>
          <w:sz w:val="24"/>
          <w:szCs w:val="24"/>
        </w:rPr>
        <w:t xml:space="preserve">nd only the Metropolitan Police and 56 officers larger than the next biggest force (TVP). </w:t>
      </w:r>
      <w:r w:rsidRPr="00963A59">
        <w:rPr>
          <w:rFonts w:ascii="Arial" w:hAnsi="Arial" w:cs="Arial"/>
          <w:sz w:val="24"/>
          <w:szCs w:val="24"/>
        </w:rPr>
        <w:t xml:space="preserve">The statistics show that whilst there was a national reduction in headcount of 12.3% </w:t>
      </w:r>
      <w:r>
        <w:rPr>
          <w:rFonts w:ascii="Arial" w:hAnsi="Arial" w:cs="Arial"/>
          <w:sz w:val="24"/>
          <w:szCs w:val="24"/>
        </w:rPr>
        <w:t>between October 2017 and September 2018</w:t>
      </w:r>
      <w:r w:rsidRPr="00963A59">
        <w:rPr>
          <w:rFonts w:ascii="Arial" w:hAnsi="Arial" w:cs="Arial"/>
          <w:sz w:val="24"/>
          <w:szCs w:val="24"/>
        </w:rPr>
        <w:t>, Essex Police had achieved growth of 22.1% and had the largest increase in numbers of any force in the country.</w:t>
      </w:r>
      <w:r>
        <w:rPr>
          <w:rFonts w:ascii="Arial" w:hAnsi="Arial" w:cs="Arial"/>
          <w:sz w:val="24"/>
          <w:szCs w:val="24"/>
        </w:rPr>
        <w:t xml:space="preserve"> Essex Police was one of only 10 forces nationally to achieve any growth and our increase in numbers was double that of the next closest force. </w:t>
      </w:r>
      <w:r w:rsidRPr="00963A59">
        <w:rPr>
          <w:rFonts w:ascii="Arial" w:hAnsi="Arial" w:cs="Arial"/>
          <w:sz w:val="24"/>
          <w:szCs w:val="24"/>
        </w:rPr>
        <w:t>We have more Specials in Essex than they have in the whole of Wales and in the whole North East region</w:t>
      </w:r>
    </w:p>
    <w:p w:rsidR="00963A59" w:rsidRDefault="00963A59" w:rsidP="00963A59">
      <w:pPr>
        <w:pStyle w:val="NoSpacing"/>
        <w:ind w:left="720"/>
        <w:rPr>
          <w:rFonts w:ascii="Arial" w:hAnsi="Arial" w:cs="Arial"/>
          <w:sz w:val="24"/>
          <w:szCs w:val="24"/>
        </w:rPr>
      </w:pPr>
    </w:p>
    <w:p w:rsidR="00FA3F24" w:rsidRPr="00FA3F24" w:rsidRDefault="00FA3F24" w:rsidP="000568EA">
      <w:pPr>
        <w:pStyle w:val="NoSpacing"/>
        <w:ind w:left="720"/>
        <w:rPr>
          <w:rFonts w:ascii="Arial" w:hAnsi="Arial" w:cs="Arial"/>
          <w:sz w:val="24"/>
          <w:szCs w:val="24"/>
        </w:rPr>
      </w:pPr>
      <w:r w:rsidRPr="00FA3F24">
        <w:rPr>
          <w:rFonts w:ascii="Arial" w:hAnsi="Arial" w:cs="Arial"/>
          <w:sz w:val="24"/>
          <w:szCs w:val="24"/>
        </w:rPr>
        <w:t>This report will focus on current recruitment activity</w:t>
      </w:r>
      <w:r w:rsidR="000568EA">
        <w:rPr>
          <w:rFonts w:ascii="Arial" w:hAnsi="Arial" w:cs="Arial"/>
          <w:sz w:val="24"/>
          <w:szCs w:val="24"/>
        </w:rPr>
        <w:t xml:space="preserve"> and plans over the next period</w:t>
      </w:r>
      <w:r w:rsidR="00635778">
        <w:rPr>
          <w:rFonts w:ascii="Arial" w:hAnsi="Arial" w:cs="Arial"/>
          <w:sz w:val="24"/>
          <w:szCs w:val="24"/>
        </w:rPr>
        <w:t xml:space="preserve"> and address the action arising from the last board: “</w:t>
      </w:r>
      <w:r w:rsidR="00635778" w:rsidRPr="00635778">
        <w:rPr>
          <w:rFonts w:ascii="Arial" w:hAnsi="Arial" w:cs="Arial"/>
          <w:sz w:val="24"/>
          <w:szCs w:val="24"/>
        </w:rPr>
        <w:t>start modelling for diminishing returns and what should be the input in order to achieve a certain level of sustainability</w:t>
      </w:r>
      <w:r w:rsidR="00635778">
        <w:rPr>
          <w:rFonts w:ascii="Arial" w:hAnsi="Arial" w:cs="Arial"/>
          <w:sz w:val="24"/>
          <w:szCs w:val="24"/>
        </w:rPr>
        <w:t>”</w:t>
      </w:r>
      <w:r w:rsidRPr="00FA3F24">
        <w:rPr>
          <w:rFonts w:ascii="Arial" w:hAnsi="Arial" w:cs="Arial"/>
          <w:sz w:val="24"/>
          <w:szCs w:val="24"/>
        </w:rPr>
        <w:t>.</w:t>
      </w:r>
    </w:p>
    <w:p w:rsidR="00C654B8" w:rsidRDefault="00C654B8" w:rsidP="006279AB">
      <w:pPr>
        <w:pStyle w:val="NoSpacing"/>
        <w:ind w:left="720"/>
        <w:rPr>
          <w:rFonts w:ascii="Arial" w:hAnsi="Arial" w:cs="Arial"/>
          <w:sz w:val="24"/>
          <w:szCs w:val="24"/>
        </w:rPr>
      </w:pPr>
    </w:p>
    <w:p w:rsidR="00591EB9" w:rsidRDefault="00591EB9" w:rsidP="009F283C">
      <w:pPr>
        <w:pStyle w:val="NoSpacing"/>
        <w:rPr>
          <w:rFonts w:ascii="Arial" w:hAnsi="Arial" w:cs="Arial"/>
          <w:sz w:val="24"/>
          <w:szCs w:val="24"/>
        </w:rPr>
      </w:pPr>
    </w:p>
    <w:p w:rsidR="000C3206" w:rsidRDefault="000C3206" w:rsidP="009F283C">
      <w:pPr>
        <w:pStyle w:val="NoSpacing"/>
        <w:rPr>
          <w:rFonts w:ascii="Arial" w:hAnsi="Arial" w:cs="Arial"/>
          <w:sz w:val="24"/>
          <w:szCs w:val="24"/>
        </w:rPr>
      </w:pPr>
    </w:p>
    <w:p w:rsidR="0095101C" w:rsidRPr="007D3E9B" w:rsidRDefault="0095101C"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lastRenderedPageBreak/>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9D0799" w:rsidRPr="00DE0935" w:rsidRDefault="009D0799" w:rsidP="000568EA">
      <w:pPr>
        <w:spacing w:after="0" w:line="240" w:lineRule="auto"/>
        <w:ind w:left="720"/>
        <w:contextualSpacing/>
        <w:rPr>
          <w:rFonts w:ascii="Arial" w:hAnsi="Arial" w:cs="Arial"/>
          <w:b/>
          <w:sz w:val="24"/>
          <w:szCs w:val="24"/>
          <w:u w:val="single"/>
        </w:rPr>
      </w:pPr>
      <w:r w:rsidRPr="00DE0935">
        <w:rPr>
          <w:rFonts w:ascii="Arial" w:hAnsi="Arial" w:cs="Arial"/>
          <w:b/>
          <w:sz w:val="24"/>
          <w:szCs w:val="24"/>
          <w:u w:val="single"/>
        </w:rPr>
        <w:t>5.1 Recruitment</w:t>
      </w:r>
    </w:p>
    <w:p w:rsidR="009D0799" w:rsidRDefault="009D0799" w:rsidP="000568EA">
      <w:pPr>
        <w:spacing w:after="0" w:line="240" w:lineRule="auto"/>
        <w:ind w:left="720"/>
        <w:contextualSpacing/>
        <w:rPr>
          <w:rFonts w:ascii="Arial" w:hAnsi="Arial" w:cs="Arial"/>
          <w:sz w:val="24"/>
          <w:szCs w:val="24"/>
        </w:rPr>
      </w:pPr>
    </w:p>
    <w:p w:rsidR="00963A59" w:rsidRDefault="000568EA" w:rsidP="00963A59">
      <w:pPr>
        <w:spacing w:after="0" w:line="240" w:lineRule="auto"/>
        <w:ind w:left="720"/>
        <w:contextualSpacing/>
        <w:rPr>
          <w:rFonts w:ascii="Arial" w:hAnsi="Arial" w:cs="Arial"/>
          <w:sz w:val="24"/>
          <w:szCs w:val="24"/>
        </w:rPr>
      </w:pPr>
      <w:r>
        <w:rPr>
          <w:rFonts w:ascii="Arial" w:hAnsi="Arial" w:cs="Arial"/>
          <w:sz w:val="24"/>
          <w:szCs w:val="24"/>
        </w:rPr>
        <w:t xml:space="preserve">Essex Police received </w:t>
      </w:r>
      <w:r w:rsidR="00963A59">
        <w:rPr>
          <w:rFonts w:ascii="Arial" w:hAnsi="Arial" w:cs="Arial"/>
          <w:sz w:val="24"/>
          <w:szCs w:val="24"/>
        </w:rPr>
        <w:t>300</w:t>
      </w:r>
      <w:r>
        <w:rPr>
          <w:rFonts w:ascii="Arial" w:hAnsi="Arial" w:cs="Arial"/>
          <w:sz w:val="24"/>
          <w:szCs w:val="24"/>
        </w:rPr>
        <w:t xml:space="preserve"> completed applications between </w:t>
      </w:r>
      <w:r w:rsidR="00963A59" w:rsidRPr="00001744">
        <w:rPr>
          <w:rFonts w:ascii="Arial" w:hAnsi="Arial" w:cs="Arial"/>
          <w:sz w:val="24"/>
          <w:szCs w:val="24"/>
        </w:rPr>
        <w:t>1</w:t>
      </w:r>
      <w:r w:rsidR="00963A59" w:rsidRPr="00001744">
        <w:rPr>
          <w:rFonts w:ascii="Arial" w:hAnsi="Arial" w:cs="Arial"/>
          <w:sz w:val="24"/>
          <w:szCs w:val="24"/>
          <w:vertAlign w:val="superscript"/>
        </w:rPr>
        <w:t>st</w:t>
      </w:r>
      <w:r w:rsidR="00963A59" w:rsidRPr="00001744">
        <w:rPr>
          <w:rFonts w:ascii="Arial" w:hAnsi="Arial" w:cs="Arial"/>
          <w:sz w:val="24"/>
          <w:szCs w:val="24"/>
        </w:rPr>
        <w:t xml:space="preserve"> </w:t>
      </w:r>
      <w:r w:rsidR="00963A59">
        <w:rPr>
          <w:rFonts w:ascii="Arial" w:hAnsi="Arial" w:cs="Arial"/>
          <w:sz w:val="24"/>
          <w:szCs w:val="24"/>
        </w:rPr>
        <w:t>December 2018</w:t>
      </w:r>
      <w:r w:rsidR="00963A59" w:rsidRPr="00001744">
        <w:rPr>
          <w:rFonts w:ascii="Arial" w:hAnsi="Arial" w:cs="Arial"/>
          <w:sz w:val="24"/>
          <w:szCs w:val="24"/>
        </w:rPr>
        <w:t xml:space="preserve"> </w:t>
      </w:r>
      <w:r w:rsidR="00963A59">
        <w:rPr>
          <w:rFonts w:ascii="Arial" w:hAnsi="Arial" w:cs="Arial"/>
          <w:sz w:val="24"/>
          <w:szCs w:val="24"/>
        </w:rPr>
        <w:t>and 28</w:t>
      </w:r>
      <w:r w:rsidR="00963A59" w:rsidRPr="00976D1E">
        <w:rPr>
          <w:rFonts w:ascii="Arial" w:hAnsi="Arial" w:cs="Arial"/>
          <w:sz w:val="24"/>
          <w:szCs w:val="24"/>
          <w:vertAlign w:val="superscript"/>
        </w:rPr>
        <w:t>th</w:t>
      </w:r>
      <w:r w:rsidR="00963A59">
        <w:rPr>
          <w:rFonts w:ascii="Arial" w:hAnsi="Arial" w:cs="Arial"/>
          <w:sz w:val="24"/>
          <w:szCs w:val="24"/>
        </w:rPr>
        <w:t xml:space="preserve"> February 2019</w:t>
      </w:r>
      <w:r>
        <w:rPr>
          <w:rFonts w:ascii="Arial" w:hAnsi="Arial" w:cs="Arial"/>
          <w:sz w:val="24"/>
          <w:szCs w:val="24"/>
        </w:rPr>
        <w:t xml:space="preserve">. </w:t>
      </w:r>
      <w:r w:rsidR="004D5550">
        <w:rPr>
          <w:rFonts w:ascii="Arial" w:hAnsi="Arial" w:cs="Arial"/>
          <w:sz w:val="24"/>
          <w:szCs w:val="24"/>
        </w:rPr>
        <w:t xml:space="preserve">This is a </w:t>
      </w:r>
      <w:r w:rsidR="00963A59">
        <w:rPr>
          <w:rFonts w:ascii="Arial" w:hAnsi="Arial" w:cs="Arial"/>
          <w:sz w:val="24"/>
          <w:szCs w:val="24"/>
        </w:rPr>
        <w:t>12.4</w:t>
      </w:r>
      <w:r w:rsidR="008C3A5B">
        <w:rPr>
          <w:rFonts w:ascii="Arial" w:hAnsi="Arial" w:cs="Arial"/>
          <w:sz w:val="24"/>
          <w:szCs w:val="24"/>
        </w:rPr>
        <w:t xml:space="preserve">% </w:t>
      </w:r>
      <w:r w:rsidR="00480E86">
        <w:rPr>
          <w:rFonts w:ascii="Arial" w:hAnsi="Arial" w:cs="Arial"/>
          <w:sz w:val="24"/>
          <w:szCs w:val="24"/>
        </w:rPr>
        <w:t xml:space="preserve">increase from </w:t>
      </w:r>
      <w:r w:rsidR="00963A59">
        <w:rPr>
          <w:rFonts w:ascii="Arial" w:hAnsi="Arial" w:cs="Arial"/>
          <w:sz w:val="24"/>
          <w:szCs w:val="24"/>
        </w:rPr>
        <w:t>267</w:t>
      </w:r>
      <w:r w:rsidR="00480E86">
        <w:rPr>
          <w:rFonts w:ascii="Arial" w:hAnsi="Arial" w:cs="Arial"/>
          <w:sz w:val="24"/>
          <w:szCs w:val="24"/>
        </w:rPr>
        <w:t xml:space="preserve"> applications in the previous quarter (I</w:t>
      </w:r>
      <w:r w:rsidRPr="00841AE9">
        <w:rPr>
          <w:rFonts w:ascii="Arial" w:hAnsi="Arial" w:cs="Arial"/>
          <w:sz w:val="24"/>
          <w:szCs w:val="24"/>
        </w:rPr>
        <w:t xml:space="preserve">n 2017 we operated a </w:t>
      </w:r>
      <w:r w:rsidR="00480E86">
        <w:rPr>
          <w:rFonts w:ascii="Arial" w:hAnsi="Arial" w:cs="Arial"/>
          <w:sz w:val="24"/>
          <w:szCs w:val="24"/>
        </w:rPr>
        <w:t xml:space="preserve">very </w:t>
      </w:r>
      <w:r w:rsidRPr="00841AE9">
        <w:rPr>
          <w:rFonts w:ascii="Arial" w:hAnsi="Arial" w:cs="Arial"/>
          <w:sz w:val="24"/>
          <w:szCs w:val="24"/>
        </w:rPr>
        <w:t xml:space="preserve">different application process </w:t>
      </w:r>
      <w:r w:rsidR="00480E86">
        <w:rPr>
          <w:rFonts w:ascii="Arial" w:hAnsi="Arial" w:cs="Arial"/>
          <w:sz w:val="24"/>
          <w:szCs w:val="24"/>
        </w:rPr>
        <w:t xml:space="preserve">so comparable data is not available). </w:t>
      </w:r>
      <w:r w:rsidR="00963A59">
        <w:rPr>
          <w:rFonts w:ascii="Arial" w:hAnsi="Arial" w:cs="Arial"/>
          <w:sz w:val="24"/>
          <w:szCs w:val="24"/>
        </w:rPr>
        <w:t>The last report to the P&amp;RS set out the recruitment timetable for the remainder of the 2018/19 financial year:</w:t>
      </w:r>
    </w:p>
    <w:p w:rsidR="00963A59" w:rsidRPr="00ED1AA3" w:rsidRDefault="00963A59" w:rsidP="00963A59">
      <w:pPr>
        <w:spacing w:after="0" w:line="240" w:lineRule="auto"/>
        <w:ind w:left="720"/>
        <w:contextualSpacing/>
        <w:jc w:val="center"/>
      </w:pPr>
      <w:r w:rsidRPr="00ED1AA3">
        <w:rPr>
          <w:rFonts w:ascii="Arial" w:hAnsi="Arial" w:cs="Arial"/>
          <w:sz w:val="24"/>
          <w:szCs w:val="24"/>
        </w:rPr>
        <w:fldChar w:fldCharType="begin"/>
      </w:r>
      <w:r w:rsidRPr="00ED1AA3">
        <w:rPr>
          <w:rFonts w:ascii="Arial" w:hAnsi="Arial" w:cs="Arial"/>
          <w:sz w:val="24"/>
          <w:szCs w:val="24"/>
        </w:rPr>
        <w:instrText xml:space="preserve"> LINK Excel.Sheet.12 "Book3" "Sheet4!R2C1:R7C5" \a \f 4 \h  \* MERGEFORMAT </w:instrText>
      </w:r>
      <w:r w:rsidRPr="00ED1AA3">
        <w:rPr>
          <w:rFonts w:ascii="Arial" w:hAnsi="Arial" w:cs="Arial"/>
          <w:sz w:val="24"/>
          <w:szCs w:val="24"/>
        </w:rPr>
        <w:fldChar w:fldCharType="separate"/>
      </w:r>
    </w:p>
    <w:tbl>
      <w:tblPr>
        <w:tblW w:w="7088" w:type="dxa"/>
        <w:tblLook w:val="04A0" w:firstRow="1" w:lastRow="0" w:firstColumn="1" w:lastColumn="0" w:noHBand="0" w:noVBand="1"/>
      </w:tblPr>
      <w:tblGrid>
        <w:gridCol w:w="2977"/>
        <w:gridCol w:w="1276"/>
        <w:gridCol w:w="850"/>
        <w:gridCol w:w="1134"/>
        <w:gridCol w:w="851"/>
      </w:tblGrid>
      <w:tr w:rsidR="00963A59" w:rsidRPr="00ED1AA3" w:rsidTr="00AA4196">
        <w:trPr>
          <w:trHeight w:val="300"/>
        </w:trPr>
        <w:tc>
          <w:tcPr>
            <w:tcW w:w="2977" w:type="dxa"/>
            <w:tcBorders>
              <w:top w:val="nil"/>
              <w:left w:val="nil"/>
              <w:bottom w:val="nil"/>
              <w:right w:val="nil"/>
            </w:tcBorders>
            <w:shd w:val="clear" w:color="auto" w:fill="auto"/>
            <w:noWrap/>
            <w:vAlign w:val="bottom"/>
            <w:hideMark/>
          </w:tcPr>
          <w:p w:rsidR="00963A59" w:rsidRPr="00ED1AA3" w:rsidRDefault="00963A59" w:rsidP="00AA4196">
            <w:pPr>
              <w:rPr>
                <w:rFonts w:ascii="Times New Roman" w:eastAsia="Times New Roman" w:hAnsi="Times New Roman" w:cs="Times New Roman"/>
                <w:sz w:val="24"/>
                <w:szCs w:val="24"/>
                <w:lang w:eastAsia="en-GB"/>
              </w:rPr>
            </w:pP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No.</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In</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Out</w:t>
            </w:r>
          </w:p>
        </w:tc>
      </w:tr>
      <w:tr w:rsidR="00963A59" w:rsidRPr="00ED1AA3" w:rsidTr="00AA4196">
        <w:trPr>
          <w:trHeight w:val="300"/>
        </w:trPr>
        <w:tc>
          <w:tcPr>
            <w:tcW w:w="2977" w:type="dxa"/>
            <w:tcBorders>
              <w:top w:val="nil"/>
              <w:left w:val="nil"/>
              <w:bottom w:val="nil"/>
              <w:right w:val="nil"/>
            </w:tcBorders>
            <w:shd w:val="clear" w:color="auto" w:fill="auto"/>
            <w:noWrap/>
            <w:vAlign w:val="bottom"/>
            <w:hideMark/>
          </w:tcPr>
          <w:p w:rsidR="00963A59" w:rsidRPr="00ED1AA3" w:rsidRDefault="00963A59" w:rsidP="00AA4196">
            <w:pPr>
              <w:spacing w:after="0" w:line="240" w:lineRule="auto"/>
              <w:jc w:val="center"/>
              <w:rPr>
                <w:rFonts w:ascii="Calibri" w:eastAsia="Times New Roman" w:hAnsi="Calibri" w:cs="Calibri"/>
                <w:b/>
                <w:bCs/>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Dec-18</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474</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12</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963A59" w:rsidRPr="00ED1AA3" w:rsidTr="00AA4196">
        <w:trPr>
          <w:trHeight w:val="300"/>
        </w:trPr>
        <w:tc>
          <w:tcPr>
            <w:tcW w:w="2977" w:type="dxa"/>
            <w:tcBorders>
              <w:top w:val="nil"/>
              <w:left w:val="nil"/>
              <w:bottom w:val="nil"/>
              <w:right w:val="nil"/>
            </w:tcBorders>
            <w:shd w:val="clear" w:color="auto" w:fill="auto"/>
            <w:noWrap/>
            <w:vAlign w:val="bottom"/>
            <w:hideMark/>
          </w:tcPr>
          <w:p w:rsidR="00963A59" w:rsidRPr="00ED1AA3"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Jan-19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478</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15</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9</w:t>
            </w:r>
          </w:p>
        </w:tc>
      </w:tr>
      <w:tr w:rsidR="00963A59" w:rsidRPr="00ED1AA3" w:rsidTr="00AA4196">
        <w:trPr>
          <w:trHeight w:val="300"/>
        </w:trPr>
        <w:tc>
          <w:tcPr>
            <w:tcW w:w="2977" w:type="dxa"/>
            <w:tcBorders>
              <w:top w:val="nil"/>
              <w:left w:val="nil"/>
              <w:bottom w:val="nil"/>
              <w:right w:val="nil"/>
            </w:tcBorders>
            <w:shd w:val="clear" w:color="auto" w:fill="auto"/>
            <w:noWrap/>
            <w:vAlign w:val="bottom"/>
            <w:hideMark/>
          </w:tcPr>
          <w:p w:rsidR="00963A59" w:rsidRPr="00ED1AA3"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Feb-19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484</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963A59" w:rsidRPr="00ED1AA3" w:rsidTr="00AA4196">
        <w:trPr>
          <w:trHeight w:val="300"/>
        </w:trPr>
        <w:tc>
          <w:tcPr>
            <w:tcW w:w="2977" w:type="dxa"/>
            <w:tcBorders>
              <w:top w:val="nil"/>
              <w:left w:val="nil"/>
              <w:bottom w:val="nil"/>
              <w:right w:val="nil"/>
            </w:tcBorders>
            <w:shd w:val="clear" w:color="auto" w:fill="auto"/>
            <w:noWrap/>
            <w:vAlign w:val="bottom"/>
            <w:hideMark/>
          </w:tcPr>
          <w:p w:rsidR="00963A59" w:rsidRPr="00ED1AA3"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Mar-19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500</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ED1AA3" w:rsidRDefault="00963A59" w:rsidP="00AA4196">
            <w:pPr>
              <w:spacing w:after="0" w:line="240" w:lineRule="auto"/>
              <w:jc w:val="center"/>
              <w:rPr>
                <w:rFonts w:ascii="Calibri" w:eastAsia="Times New Roman" w:hAnsi="Calibri" w:cs="Calibri"/>
                <w:lang w:eastAsia="en-GB"/>
              </w:rPr>
            </w:pPr>
            <w:r w:rsidRPr="00ED1AA3">
              <w:rPr>
                <w:rFonts w:ascii="Calibri" w:eastAsia="Times New Roman" w:hAnsi="Calibri" w:cs="Calibri"/>
                <w:lang w:eastAsia="en-GB"/>
              </w:rPr>
              <w:t>8</w:t>
            </w:r>
          </w:p>
        </w:tc>
      </w:tr>
      <w:tr w:rsidR="0001733D" w:rsidRPr="00ED1AA3" w:rsidTr="00AA4196">
        <w:trPr>
          <w:trHeight w:val="300"/>
        </w:trPr>
        <w:tc>
          <w:tcPr>
            <w:tcW w:w="2977" w:type="dxa"/>
            <w:tcBorders>
              <w:top w:val="nil"/>
              <w:left w:val="nil"/>
              <w:bottom w:val="nil"/>
              <w:right w:val="nil"/>
            </w:tcBorders>
            <w:shd w:val="clear" w:color="auto" w:fill="auto"/>
            <w:noWrap/>
            <w:vAlign w:val="bottom"/>
          </w:tcPr>
          <w:p w:rsidR="0001733D" w:rsidRPr="00ED1AA3" w:rsidRDefault="0001733D"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tcPr>
          <w:p w:rsidR="0001733D" w:rsidRPr="00ED1AA3" w:rsidRDefault="0001733D"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Apr-19</w:t>
            </w:r>
          </w:p>
        </w:tc>
        <w:tc>
          <w:tcPr>
            <w:tcW w:w="850" w:type="dxa"/>
            <w:tcBorders>
              <w:top w:val="nil"/>
              <w:left w:val="nil"/>
              <w:bottom w:val="single" w:sz="4" w:space="0" w:color="auto"/>
              <w:right w:val="single" w:sz="4" w:space="0" w:color="auto"/>
            </w:tcBorders>
            <w:shd w:val="clear" w:color="000000" w:fill="F2F2F2"/>
            <w:noWrap/>
            <w:vAlign w:val="center"/>
          </w:tcPr>
          <w:p w:rsidR="0001733D" w:rsidRPr="00ED1AA3" w:rsidRDefault="0001733D"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516</w:t>
            </w:r>
          </w:p>
        </w:tc>
        <w:tc>
          <w:tcPr>
            <w:tcW w:w="1134" w:type="dxa"/>
            <w:tcBorders>
              <w:top w:val="nil"/>
              <w:left w:val="nil"/>
              <w:bottom w:val="single" w:sz="4" w:space="0" w:color="auto"/>
              <w:right w:val="single" w:sz="4" w:space="0" w:color="auto"/>
            </w:tcBorders>
            <w:shd w:val="clear" w:color="000000" w:fill="F2F2F2"/>
            <w:noWrap/>
            <w:vAlign w:val="center"/>
          </w:tcPr>
          <w:p w:rsidR="0001733D" w:rsidRPr="00ED1AA3" w:rsidRDefault="0001733D" w:rsidP="00AA4196">
            <w:pPr>
              <w:spacing w:after="0" w:line="240" w:lineRule="auto"/>
              <w:jc w:val="center"/>
              <w:rPr>
                <w:rFonts w:ascii="Calibri" w:eastAsia="Times New Roman" w:hAnsi="Calibri" w:cs="Calibri"/>
                <w:lang w:eastAsia="en-GB"/>
              </w:rPr>
            </w:pPr>
          </w:p>
        </w:tc>
        <w:tc>
          <w:tcPr>
            <w:tcW w:w="851" w:type="dxa"/>
            <w:tcBorders>
              <w:top w:val="nil"/>
              <w:left w:val="nil"/>
              <w:bottom w:val="single" w:sz="4" w:space="0" w:color="auto"/>
              <w:right w:val="single" w:sz="8" w:space="0" w:color="auto"/>
            </w:tcBorders>
            <w:shd w:val="clear" w:color="000000" w:fill="F2F2F2"/>
            <w:noWrap/>
            <w:vAlign w:val="center"/>
          </w:tcPr>
          <w:p w:rsidR="0001733D" w:rsidRPr="00ED1AA3" w:rsidRDefault="0001733D" w:rsidP="00AA4196">
            <w:pPr>
              <w:spacing w:after="0" w:line="240" w:lineRule="auto"/>
              <w:jc w:val="center"/>
              <w:rPr>
                <w:rFonts w:ascii="Calibri" w:eastAsia="Times New Roman" w:hAnsi="Calibri" w:cs="Calibri"/>
                <w:lang w:eastAsia="en-GB"/>
              </w:rPr>
            </w:pPr>
          </w:p>
        </w:tc>
      </w:tr>
      <w:tr w:rsidR="00963A59" w:rsidRPr="00ED1AA3" w:rsidTr="00AA4196">
        <w:trPr>
          <w:trHeight w:val="315"/>
        </w:trPr>
        <w:tc>
          <w:tcPr>
            <w:tcW w:w="2977" w:type="dxa"/>
            <w:tcBorders>
              <w:top w:val="nil"/>
              <w:left w:val="nil"/>
              <w:bottom w:val="nil"/>
              <w:right w:val="nil"/>
            </w:tcBorders>
            <w:shd w:val="clear" w:color="auto" w:fill="auto"/>
            <w:noWrap/>
            <w:vAlign w:val="bottom"/>
            <w:hideMark/>
          </w:tcPr>
          <w:p w:rsidR="00963A59" w:rsidRPr="00ED1AA3"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8" w:space="0" w:color="auto"/>
              <w:right w:val="single" w:sz="4" w:space="0" w:color="auto"/>
            </w:tcBorders>
            <w:shd w:val="clear" w:color="000000" w:fill="FFFF00"/>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Totals</w:t>
            </w:r>
          </w:p>
        </w:tc>
        <w:tc>
          <w:tcPr>
            <w:tcW w:w="850" w:type="dxa"/>
            <w:tcBorders>
              <w:top w:val="nil"/>
              <w:left w:val="nil"/>
              <w:bottom w:val="single" w:sz="8" w:space="0" w:color="auto"/>
              <w:right w:val="single" w:sz="4" w:space="0" w:color="auto"/>
            </w:tcBorders>
            <w:shd w:val="clear" w:color="000000" w:fill="FFFF00"/>
            <w:noWrap/>
            <w:vAlign w:val="center"/>
            <w:hideMark/>
          </w:tcPr>
          <w:p w:rsidR="00963A59" w:rsidRPr="00ED1AA3" w:rsidRDefault="00963A59" w:rsidP="0001733D">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 </w:t>
            </w:r>
          </w:p>
        </w:tc>
        <w:tc>
          <w:tcPr>
            <w:tcW w:w="1134" w:type="dxa"/>
            <w:tcBorders>
              <w:top w:val="nil"/>
              <w:left w:val="nil"/>
              <w:bottom w:val="single" w:sz="8" w:space="0" w:color="auto"/>
              <w:right w:val="single" w:sz="4" w:space="0" w:color="auto"/>
            </w:tcBorders>
            <w:shd w:val="clear" w:color="000000" w:fill="FFFF00"/>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75</w:t>
            </w:r>
          </w:p>
        </w:tc>
        <w:tc>
          <w:tcPr>
            <w:tcW w:w="851" w:type="dxa"/>
            <w:tcBorders>
              <w:top w:val="nil"/>
              <w:left w:val="nil"/>
              <w:bottom w:val="single" w:sz="8" w:space="0" w:color="auto"/>
              <w:right w:val="single" w:sz="8" w:space="0" w:color="auto"/>
            </w:tcBorders>
            <w:shd w:val="clear" w:color="000000" w:fill="FFFF00"/>
            <w:noWrap/>
            <w:vAlign w:val="center"/>
            <w:hideMark/>
          </w:tcPr>
          <w:p w:rsidR="00963A59" w:rsidRPr="00ED1AA3" w:rsidRDefault="00963A59" w:rsidP="00AA4196">
            <w:pPr>
              <w:spacing w:after="0" w:line="240" w:lineRule="auto"/>
              <w:jc w:val="center"/>
              <w:rPr>
                <w:rFonts w:ascii="Calibri" w:eastAsia="Times New Roman" w:hAnsi="Calibri" w:cs="Calibri"/>
                <w:b/>
                <w:bCs/>
                <w:lang w:eastAsia="en-GB"/>
              </w:rPr>
            </w:pPr>
            <w:r w:rsidRPr="00ED1AA3">
              <w:rPr>
                <w:rFonts w:ascii="Calibri" w:eastAsia="Times New Roman" w:hAnsi="Calibri" w:cs="Calibri"/>
                <w:b/>
                <w:bCs/>
                <w:lang w:eastAsia="en-GB"/>
              </w:rPr>
              <w:t>33</w:t>
            </w:r>
          </w:p>
        </w:tc>
      </w:tr>
    </w:tbl>
    <w:p w:rsidR="00963A59" w:rsidRPr="000D4FE5" w:rsidRDefault="00963A59" w:rsidP="00963A59">
      <w:pPr>
        <w:spacing w:after="0" w:line="240" w:lineRule="auto"/>
        <w:ind w:left="2160" w:firstLine="720"/>
        <w:contextualSpacing/>
        <w:rPr>
          <w:rFonts w:ascii="Arial" w:hAnsi="Arial" w:cs="Arial"/>
          <w:sz w:val="16"/>
          <w:szCs w:val="16"/>
        </w:rPr>
      </w:pPr>
      <w:r w:rsidRPr="00ED1AA3">
        <w:rPr>
          <w:rFonts w:ascii="Arial" w:hAnsi="Arial" w:cs="Arial"/>
          <w:sz w:val="24"/>
          <w:szCs w:val="24"/>
        </w:rPr>
        <w:fldChar w:fldCharType="end"/>
      </w:r>
      <w:r w:rsidRPr="000D4FE5">
        <w:rPr>
          <w:rFonts w:ascii="Arial" w:hAnsi="Arial" w:cs="Arial"/>
          <w:sz w:val="16"/>
          <w:szCs w:val="16"/>
        </w:rPr>
        <w:t>(No. shows predicted headcount at the start of each month)</w:t>
      </w:r>
    </w:p>
    <w:p w:rsidR="00963A59" w:rsidRDefault="00963A59" w:rsidP="00963A59">
      <w:pPr>
        <w:spacing w:after="0" w:line="240" w:lineRule="auto"/>
        <w:ind w:left="720"/>
        <w:contextualSpacing/>
        <w:rPr>
          <w:rFonts w:ascii="Arial" w:hAnsi="Arial" w:cs="Arial"/>
          <w:sz w:val="24"/>
          <w:szCs w:val="24"/>
        </w:rPr>
      </w:pPr>
    </w:p>
    <w:p w:rsidR="000568EA" w:rsidRDefault="00963A59" w:rsidP="000568EA">
      <w:pPr>
        <w:spacing w:after="0" w:line="240" w:lineRule="auto"/>
        <w:ind w:left="720"/>
        <w:contextualSpacing/>
        <w:rPr>
          <w:rFonts w:ascii="Arial" w:hAnsi="Arial" w:cs="Arial"/>
          <w:sz w:val="24"/>
          <w:szCs w:val="24"/>
        </w:rPr>
      </w:pPr>
      <w:r>
        <w:rPr>
          <w:rFonts w:ascii="Arial" w:hAnsi="Arial" w:cs="Arial"/>
          <w:sz w:val="24"/>
          <w:szCs w:val="24"/>
        </w:rPr>
        <w:t xml:space="preserve">The current headcount of </w:t>
      </w:r>
      <w:r w:rsidR="00B77DD0">
        <w:rPr>
          <w:rFonts w:ascii="Arial" w:hAnsi="Arial" w:cs="Arial"/>
          <w:sz w:val="24"/>
          <w:szCs w:val="24"/>
        </w:rPr>
        <w:t>502</w:t>
      </w:r>
      <w:r>
        <w:rPr>
          <w:rFonts w:ascii="Arial" w:hAnsi="Arial" w:cs="Arial"/>
          <w:sz w:val="24"/>
          <w:szCs w:val="24"/>
        </w:rPr>
        <w:t xml:space="preserve"> shows that we remain on target to deliver a headcount of 516 officers by the end of March 2019.</w:t>
      </w:r>
    </w:p>
    <w:p w:rsidR="00963A59" w:rsidRDefault="00963A59" w:rsidP="000568EA">
      <w:pPr>
        <w:spacing w:after="0" w:line="240" w:lineRule="auto"/>
        <w:ind w:left="720"/>
        <w:contextualSpacing/>
        <w:rPr>
          <w:rFonts w:ascii="Arial" w:hAnsi="Arial" w:cs="Arial"/>
          <w:sz w:val="24"/>
          <w:szCs w:val="24"/>
        </w:rPr>
      </w:pPr>
    </w:p>
    <w:p w:rsidR="00963A59" w:rsidRDefault="004D5550" w:rsidP="000568EA">
      <w:pPr>
        <w:spacing w:after="0" w:line="240" w:lineRule="auto"/>
        <w:ind w:left="720"/>
        <w:contextualSpacing/>
        <w:rPr>
          <w:rFonts w:ascii="Arial" w:hAnsi="Arial" w:cs="Arial"/>
          <w:sz w:val="24"/>
          <w:szCs w:val="24"/>
        </w:rPr>
      </w:pPr>
      <w:r>
        <w:rPr>
          <w:rFonts w:ascii="Arial" w:hAnsi="Arial" w:cs="Arial"/>
          <w:sz w:val="24"/>
          <w:szCs w:val="24"/>
        </w:rPr>
        <w:t>In the last 3 months we have continued the marketing and outreach work from the previous quarter:</w:t>
      </w:r>
    </w:p>
    <w:p w:rsidR="00963A59" w:rsidRDefault="00963A59" w:rsidP="000568EA">
      <w:pPr>
        <w:spacing w:after="0" w:line="240" w:lineRule="auto"/>
        <w:ind w:left="720"/>
        <w:contextualSpacing/>
        <w:rPr>
          <w:rFonts w:ascii="Arial" w:hAnsi="Arial" w:cs="Arial"/>
          <w:sz w:val="24"/>
          <w:szCs w:val="24"/>
        </w:rPr>
      </w:pPr>
    </w:p>
    <w:p w:rsidR="000568EA" w:rsidRPr="00C67C9C" w:rsidRDefault="008C3A5B" w:rsidP="000568EA">
      <w:pPr>
        <w:spacing w:after="0" w:line="240" w:lineRule="auto"/>
        <w:ind w:left="720"/>
        <w:contextualSpacing/>
        <w:rPr>
          <w:rFonts w:ascii="Arial" w:hAnsi="Arial" w:cs="Arial"/>
          <w:b/>
          <w:sz w:val="24"/>
          <w:szCs w:val="24"/>
        </w:rPr>
      </w:pPr>
      <w:r w:rsidRPr="00C67C9C">
        <w:rPr>
          <w:rFonts w:ascii="Arial" w:hAnsi="Arial" w:cs="Arial"/>
          <w:b/>
          <w:sz w:val="24"/>
          <w:szCs w:val="24"/>
        </w:rPr>
        <w:t xml:space="preserve">Media Attraction </w:t>
      </w:r>
    </w:p>
    <w:p w:rsidR="008C3A5B" w:rsidRPr="00037B66" w:rsidRDefault="008C3A5B" w:rsidP="000568EA">
      <w:pPr>
        <w:pStyle w:val="ListParagraph"/>
        <w:numPr>
          <w:ilvl w:val="0"/>
          <w:numId w:val="9"/>
        </w:numPr>
        <w:spacing w:after="0"/>
        <w:rPr>
          <w:rFonts w:cs="Arial"/>
          <w:szCs w:val="24"/>
        </w:rPr>
      </w:pPr>
      <w:r w:rsidRPr="00C67C9C">
        <w:rPr>
          <w:rFonts w:cs="Arial"/>
          <w:szCs w:val="24"/>
        </w:rPr>
        <w:t xml:space="preserve">We </w:t>
      </w:r>
      <w:r w:rsidR="004D5550" w:rsidRPr="00C67C9C">
        <w:rPr>
          <w:rFonts w:cs="Arial"/>
          <w:szCs w:val="24"/>
        </w:rPr>
        <w:t xml:space="preserve">have introduced an approach linking our recruitment adverts to seasonal or national events. This has seen us put together social media posts around </w:t>
      </w:r>
      <w:r w:rsidR="00037B66">
        <w:rPr>
          <w:rFonts w:cs="Arial"/>
          <w:szCs w:val="24"/>
        </w:rPr>
        <w:t xml:space="preserve">Christmas, </w:t>
      </w:r>
      <w:r w:rsidR="004D5550" w:rsidRPr="00C67C9C">
        <w:rPr>
          <w:rFonts w:cs="Arial"/>
          <w:szCs w:val="24"/>
        </w:rPr>
        <w:t xml:space="preserve">New Year’s resolutions, </w:t>
      </w:r>
      <w:r w:rsidR="00605A10" w:rsidRPr="00C67C9C">
        <w:rPr>
          <w:rFonts w:cs="Arial"/>
          <w:szCs w:val="24"/>
        </w:rPr>
        <w:t>Valentine’s</w:t>
      </w:r>
      <w:r w:rsidR="004D5550" w:rsidRPr="00C67C9C">
        <w:rPr>
          <w:rFonts w:cs="Arial"/>
          <w:szCs w:val="24"/>
        </w:rPr>
        <w:t xml:space="preserve"> Day and linking to the Six Nations rugby </w:t>
      </w:r>
      <w:r w:rsidR="004D5550" w:rsidRPr="00037B66">
        <w:rPr>
          <w:rFonts w:cs="Arial"/>
          <w:szCs w:val="24"/>
        </w:rPr>
        <w:t xml:space="preserve">tournament. </w:t>
      </w:r>
      <w:r w:rsidR="00037B66">
        <w:rPr>
          <w:rFonts w:cs="Arial"/>
          <w:szCs w:val="24"/>
        </w:rPr>
        <w:t xml:space="preserve">We continue to support these adverts with additional boosting to target communities. </w:t>
      </w:r>
    </w:p>
    <w:p w:rsidR="008C3A5B" w:rsidRPr="00037B66" w:rsidRDefault="00605A10" w:rsidP="000568EA">
      <w:pPr>
        <w:pStyle w:val="ListParagraph"/>
        <w:numPr>
          <w:ilvl w:val="0"/>
          <w:numId w:val="9"/>
        </w:numPr>
        <w:spacing w:after="0"/>
        <w:rPr>
          <w:rFonts w:cs="Arial"/>
          <w:szCs w:val="24"/>
        </w:rPr>
      </w:pPr>
      <w:r w:rsidRPr="00037B66">
        <w:rPr>
          <w:rFonts w:cs="Arial"/>
          <w:szCs w:val="24"/>
        </w:rPr>
        <w:t>We have launched new opportunities for Speci</w:t>
      </w:r>
      <w:r w:rsidR="00171B53">
        <w:rPr>
          <w:rFonts w:cs="Arial"/>
          <w:szCs w:val="24"/>
        </w:rPr>
        <w:t>als to join</w:t>
      </w:r>
      <w:r w:rsidR="00037B66" w:rsidRPr="00037B66">
        <w:rPr>
          <w:rFonts w:cs="Arial"/>
          <w:szCs w:val="24"/>
        </w:rPr>
        <w:t xml:space="preserve"> SCD directly following attestation. They undertake the same initial training as all other Specials and will qualify for independent patrol on the same operational criteria, but they are able to support SCD far earlier than normal. This attracted quite a lot of negative press, featuring on the website versions of the Mail, Mirror and Express. Despite this we attracted a lot of interest and have received </w:t>
      </w:r>
      <w:r w:rsidR="00FE7FD3">
        <w:rPr>
          <w:rFonts w:cs="Arial"/>
          <w:szCs w:val="24"/>
        </w:rPr>
        <w:t>61</w:t>
      </w:r>
      <w:r w:rsidR="00037B66" w:rsidRPr="00037B66">
        <w:rPr>
          <w:rFonts w:cs="Arial"/>
          <w:szCs w:val="24"/>
        </w:rPr>
        <w:t xml:space="preserve"> applications for the </w:t>
      </w:r>
      <w:r w:rsidR="00FE7FD3">
        <w:rPr>
          <w:rFonts w:cs="Arial"/>
          <w:szCs w:val="24"/>
        </w:rPr>
        <w:t xml:space="preserve">5 </w:t>
      </w:r>
      <w:r w:rsidR="00037B66" w:rsidRPr="00037B66">
        <w:rPr>
          <w:rFonts w:cs="Arial"/>
          <w:szCs w:val="24"/>
        </w:rPr>
        <w:t>roles</w:t>
      </w:r>
      <w:r w:rsidR="00FE7FD3">
        <w:rPr>
          <w:rFonts w:cs="Arial"/>
          <w:szCs w:val="24"/>
        </w:rPr>
        <w:t xml:space="preserve"> available</w:t>
      </w:r>
      <w:r w:rsidR="00037B66" w:rsidRPr="00037B66">
        <w:rPr>
          <w:rFonts w:cs="Arial"/>
          <w:szCs w:val="24"/>
        </w:rPr>
        <w:t xml:space="preserve">. </w:t>
      </w:r>
      <w:r w:rsidR="00FE7FD3">
        <w:rPr>
          <w:rFonts w:cs="Arial"/>
          <w:szCs w:val="24"/>
        </w:rPr>
        <w:t xml:space="preserve">We are creating opportunities in CID and PPU to ensure we take advantage of the interest of those who are not successful in joining SCD. </w:t>
      </w:r>
    </w:p>
    <w:p w:rsidR="00480E86" w:rsidRPr="00037B66" w:rsidRDefault="008C3A5B" w:rsidP="00037B66">
      <w:pPr>
        <w:pStyle w:val="ListParagraph"/>
        <w:numPr>
          <w:ilvl w:val="0"/>
          <w:numId w:val="9"/>
        </w:numPr>
        <w:spacing w:after="0"/>
        <w:rPr>
          <w:rFonts w:cs="Arial"/>
          <w:szCs w:val="24"/>
        </w:rPr>
      </w:pPr>
      <w:r w:rsidRPr="00037B66">
        <w:rPr>
          <w:rFonts w:cs="Arial"/>
          <w:szCs w:val="24"/>
        </w:rPr>
        <w:t xml:space="preserve">We </w:t>
      </w:r>
      <w:r w:rsidR="00037B66" w:rsidRPr="00037B66">
        <w:rPr>
          <w:rFonts w:cs="Arial"/>
          <w:szCs w:val="24"/>
        </w:rPr>
        <w:t xml:space="preserve">have made use of Facebook “instant experience” adverts, a full page advert on that platform to better capture the attention of users. </w:t>
      </w:r>
      <w:r w:rsidR="00480E86" w:rsidRPr="00037B66">
        <w:rPr>
          <w:rFonts w:cs="Arial"/>
          <w:szCs w:val="24"/>
        </w:rPr>
        <w:t xml:space="preserve"> </w:t>
      </w:r>
    </w:p>
    <w:p w:rsidR="00D64911" w:rsidRPr="00037B66" w:rsidRDefault="00D64911" w:rsidP="000568EA">
      <w:pPr>
        <w:pStyle w:val="ListParagraph"/>
        <w:numPr>
          <w:ilvl w:val="0"/>
          <w:numId w:val="9"/>
        </w:numPr>
        <w:spacing w:after="0"/>
        <w:rPr>
          <w:rFonts w:cs="Arial"/>
          <w:szCs w:val="24"/>
        </w:rPr>
      </w:pPr>
      <w:r w:rsidRPr="00037B66">
        <w:rPr>
          <w:rFonts w:cs="Arial"/>
          <w:szCs w:val="24"/>
        </w:rPr>
        <w:t>We continue to promote good news stories involving Specials and to promote the specific roles and a</w:t>
      </w:r>
      <w:r w:rsidR="00037B66" w:rsidRPr="00037B66">
        <w:rPr>
          <w:rFonts w:cs="Arial"/>
          <w:szCs w:val="24"/>
        </w:rPr>
        <w:t>ctivities of different Specials</w:t>
      </w:r>
    </w:p>
    <w:p w:rsidR="005C3E88" w:rsidRPr="00037B66" w:rsidRDefault="00037B66" w:rsidP="000568EA">
      <w:pPr>
        <w:pStyle w:val="ListParagraph"/>
        <w:numPr>
          <w:ilvl w:val="0"/>
          <w:numId w:val="9"/>
        </w:numPr>
        <w:spacing w:after="0"/>
        <w:rPr>
          <w:rFonts w:cs="Arial"/>
          <w:szCs w:val="24"/>
        </w:rPr>
      </w:pPr>
      <w:r w:rsidRPr="00037B66">
        <w:rPr>
          <w:rFonts w:cs="Arial"/>
          <w:szCs w:val="24"/>
        </w:rPr>
        <w:t>Through February and March we have commissioned a series of newspaper advertisements and linked online adverts through Essex Gazette and Essex Live. We have a further 6 adverts to run.</w:t>
      </w:r>
    </w:p>
    <w:p w:rsidR="0095101C" w:rsidRDefault="0095101C" w:rsidP="008E7400">
      <w:pPr>
        <w:spacing w:after="0"/>
        <w:ind w:left="720"/>
        <w:rPr>
          <w:rFonts w:ascii="Arial" w:hAnsi="Arial" w:cs="Arial"/>
          <w:b/>
          <w:sz w:val="24"/>
          <w:szCs w:val="24"/>
        </w:rPr>
      </w:pPr>
    </w:p>
    <w:p w:rsidR="008E7400" w:rsidRPr="008C5D11" w:rsidRDefault="008E7400" w:rsidP="008E7400">
      <w:pPr>
        <w:spacing w:after="0"/>
        <w:ind w:left="720"/>
        <w:rPr>
          <w:rFonts w:ascii="Arial" w:hAnsi="Arial" w:cs="Arial"/>
          <w:b/>
          <w:sz w:val="24"/>
          <w:szCs w:val="24"/>
        </w:rPr>
      </w:pPr>
      <w:r w:rsidRPr="008C5D11">
        <w:rPr>
          <w:rFonts w:ascii="Arial" w:hAnsi="Arial" w:cs="Arial"/>
          <w:b/>
          <w:sz w:val="24"/>
          <w:szCs w:val="24"/>
        </w:rPr>
        <w:t>Recruitment Outreach</w:t>
      </w:r>
    </w:p>
    <w:p w:rsidR="006C3E07" w:rsidRPr="008C5D11" w:rsidRDefault="00037B66" w:rsidP="009C017A">
      <w:pPr>
        <w:pStyle w:val="ListParagraph"/>
        <w:numPr>
          <w:ilvl w:val="0"/>
          <w:numId w:val="10"/>
        </w:numPr>
        <w:rPr>
          <w:rFonts w:cs="Arial"/>
          <w:szCs w:val="24"/>
        </w:rPr>
      </w:pPr>
      <w:r w:rsidRPr="008C5D11">
        <w:rPr>
          <w:rFonts w:cs="Arial"/>
          <w:szCs w:val="24"/>
        </w:rPr>
        <w:t>The majority of physical outreach activity has been linked to schools, colleges and other career-based events. The recruitment team have attended such events in Epping, Harlow, Colchester</w:t>
      </w:r>
      <w:r w:rsidR="008C5D11" w:rsidRPr="008C5D11">
        <w:rPr>
          <w:rFonts w:cs="Arial"/>
          <w:szCs w:val="24"/>
        </w:rPr>
        <w:t xml:space="preserve">, Thurrock, </w:t>
      </w:r>
      <w:proofErr w:type="spellStart"/>
      <w:r w:rsidR="008C5D11" w:rsidRPr="008C5D11">
        <w:rPr>
          <w:rFonts w:cs="Arial"/>
          <w:szCs w:val="24"/>
        </w:rPr>
        <w:t>Tendring</w:t>
      </w:r>
      <w:proofErr w:type="spellEnd"/>
      <w:r w:rsidR="008C5D11" w:rsidRPr="008C5D11">
        <w:rPr>
          <w:rFonts w:cs="Arial"/>
          <w:szCs w:val="24"/>
        </w:rPr>
        <w:t xml:space="preserve"> and </w:t>
      </w:r>
      <w:r w:rsidRPr="008C5D11">
        <w:rPr>
          <w:rFonts w:cs="Arial"/>
          <w:szCs w:val="24"/>
        </w:rPr>
        <w:t>Chelmsford</w:t>
      </w:r>
      <w:r w:rsidR="008C5D11" w:rsidRPr="008C5D11">
        <w:rPr>
          <w:rFonts w:cs="Arial"/>
          <w:szCs w:val="24"/>
        </w:rPr>
        <w:t>.</w:t>
      </w:r>
      <w:r w:rsidR="008C5D11">
        <w:rPr>
          <w:rFonts w:cs="Arial"/>
          <w:szCs w:val="24"/>
        </w:rPr>
        <w:t xml:space="preserve"> Experience over the last two years show that these types of event are the most beneficial in attracting applications. </w:t>
      </w:r>
    </w:p>
    <w:p w:rsidR="006C3E07" w:rsidRPr="008C5D11" w:rsidRDefault="008C5D11" w:rsidP="009C017A">
      <w:pPr>
        <w:pStyle w:val="ListParagraph"/>
        <w:numPr>
          <w:ilvl w:val="0"/>
          <w:numId w:val="10"/>
        </w:numPr>
        <w:rPr>
          <w:rFonts w:cs="Arial"/>
          <w:szCs w:val="24"/>
        </w:rPr>
      </w:pPr>
      <w:r w:rsidRPr="008C5D11">
        <w:rPr>
          <w:rFonts w:cs="Arial"/>
          <w:szCs w:val="24"/>
        </w:rPr>
        <w:t xml:space="preserve">The team run regular Recruitment Information Events, with two in the last quarter attracting over 100 interested members of public. </w:t>
      </w:r>
    </w:p>
    <w:p w:rsidR="006C3E07" w:rsidRPr="008C5D11" w:rsidRDefault="008C5D11" w:rsidP="009C017A">
      <w:pPr>
        <w:pStyle w:val="ListParagraph"/>
        <w:numPr>
          <w:ilvl w:val="0"/>
          <w:numId w:val="10"/>
        </w:numPr>
        <w:rPr>
          <w:rFonts w:cs="Arial"/>
          <w:szCs w:val="24"/>
        </w:rPr>
      </w:pPr>
      <w:r w:rsidRPr="008C5D11">
        <w:rPr>
          <w:rFonts w:cs="Arial"/>
          <w:szCs w:val="24"/>
        </w:rPr>
        <w:t>The team have also s</w:t>
      </w:r>
      <w:r w:rsidR="006C3E07" w:rsidRPr="008C5D11">
        <w:rPr>
          <w:rFonts w:cs="Arial"/>
          <w:szCs w:val="24"/>
        </w:rPr>
        <w:t>upported recruitment events linked to the launch of</w:t>
      </w:r>
      <w:r w:rsidRPr="008C5D11">
        <w:rPr>
          <w:rFonts w:cs="Arial"/>
          <w:szCs w:val="24"/>
        </w:rPr>
        <w:t xml:space="preserve"> Employer Supported Policing, most recently in London at the headquarters of EE. </w:t>
      </w:r>
    </w:p>
    <w:p w:rsidR="00D64911" w:rsidRPr="008C5D11" w:rsidRDefault="00D64911" w:rsidP="00D64911">
      <w:pPr>
        <w:spacing w:after="0"/>
        <w:ind w:left="720"/>
        <w:rPr>
          <w:rFonts w:ascii="Arial" w:hAnsi="Arial" w:cs="Arial"/>
          <w:b/>
          <w:sz w:val="24"/>
          <w:szCs w:val="24"/>
        </w:rPr>
      </w:pPr>
      <w:r w:rsidRPr="008C5D11">
        <w:rPr>
          <w:rFonts w:ascii="Arial" w:hAnsi="Arial" w:cs="Arial"/>
          <w:b/>
          <w:sz w:val="24"/>
          <w:szCs w:val="24"/>
        </w:rPr>
        <w:t>Employer Supported Policing</w:t>
      </w:r>
    </w:p>
    <w:p w:rsidR="00001C7C" w:rsidRPr="00FE7FD3" w:rsidRDefault="005C6AE9" w:rsidP="000568EA">
      <w:pPr>
        <w:pStyle w:val="ListParagraph"/>
        <w:numPr>
          <w:ilvl w:val="0"/>
          <w:numId w:val="9"/>
        </w:numPr>
        <w:spacing w:after="0"/>
        <w:rPr>
          <w:rFonts w:cs="Arial"/>
          <w:szCs w:val="24"/>
        </w:rPr>
      </w:pPr>
      <w:r w:rsidRPr="008C5D11">
        <w:rPr>
          <w:rFonts w:cs="Arial"/>
          <w:szCs w:val="24"/>
        </w:rPr>
        <w:t>1</w:t>
      </w:r>
      <w:r w:rsidR="008C5D11" w:rsidRPr="008C5D11">
        <w:rPr>
          <w:rFonts w:cs="Arial"/>
          <w:szCs w:val="24"/>
        </w:rPr>
        <w:t>9</w:t>
      </w:r>
      <w:r w:rsidR="00001C7C" w:rsidRPr="008C5D11">
        <w:rPr>
          <w:rFonts w:cs="Arial"/>
          <w:szCs w:val="24"/>
        </w:rPr>
        <w:t xml:space="preserve"> companies are now committed to providing their staff with paid time off to volunteer as Specials in Essex (</w:t>
      </w:r>
      <w:r w:rsidR="008C5D11" w:rsidRPr="008C5D11">
        <w:rPr>
          <w:rFonts w:cs="Arial"/>
          <w:szCs w:val="24"/>
        </w:rPr>
        <w:t>17</w:t>
      </w:r>
      <w:r w:rsidR="00001C7C" w:rsidRPr="008C5D11">
        <w:rPr>
          <w:rFonts w:cs="Arial"/>
          <w:szCs w:val="24"/>
        </w:rPr>
        <w:t xml:space="preserve"> more than 12 months ago). This has realised a total of </w:t>
      </w:r>
      <w:r w:rsidR="008C5D11" w:rsidRPr="008C5D11">
        <w:rPr>
          <w:rFonts w:cs="Arial"/>
          <w:szCs w:val="24"/>
        </w:rPr>
        <w:t xml:space="preserve">324 hours from </w:t>
      </w:r>
      <w:r w:rsidR="008C5D11">
        <w:rPr>
          <w:rFonts w:cs="Arial"/>
          <w:szCs w:val="24"/>
        </w:rPr>
        <w:t xml:space="preserve">employees of </w:t>
      </w:r>
      <w:r w:rsidR="008C5D11" w:rsidRPr="008C5D11">
        <w:rPr>
          <w:rFonts w:cs="Arial"/>
          <w:szCs w:val="24"/>
        </w:rPr>
        <w:t>external companies over the last 3 months</w:t>
      </w:r>
      <w:r w:rsidR="00001C7C" w:rsidRPr="008C5D11">
        <w:rPr>
          <w:rFonts w:cs="Arial"/>
          <w:szCs w:val="24"/>
        </w:rPr>
        <w:t>.</w:t>
      </w:r>
      <w:r w:rsidR="008C5D11" w:rsidRPr="008C5D11">
        <w:rPr>
          <w:rFonts w:cs="Arial"/>
          <w:szCs w:val="24"/>
        </w:rPr>
        <w:t xml:space="preserve"> Late November and December saw a significant drop in the </w:t>
      </w:r>
      <w:r w:rsidR="008C5D11" w:rsidRPr="00FE7FD3">
        <w:rPr>
          <w:rFonts w:cs="Arial"/>
          <w:szCs w:val="24"/>
        </w:rPr>
        <w:t xml:space="preserve">amount of ESP </w:t>
      </w:r>
      <w:r w:rsidR="00171B53">
        <w:rPr>
          <w:rFonts w:cs="Arial"/>
          <w:szCs w:val="24"/>
        </w:rPr>
        <w:t xml:space="preserve">leave </w:t>
      </w:r>
      <w:r w:rsidR="008C5D11" w:rsidRPr="00FE7FD3">
        <w:rPr>
          <w:rFonts w:cs="Arial"/>
          <w:szCs w:val="24"/>
        </w:rPr>
        <w:t>volunteered, this appears to be linked with the seasonal demand in retail and the amount of existin</w:t>
      </w:r>
      <w:r w:rsidR="006D2A79">
        <w:rPr>
          <w:rFonts w:cs="Arial"/>
          <w:szCs w:val="24"/>
        </w:rPr>
        <w:t xml:space="preserve">g holiday available in December, </w:t>
      </w:r>
      <w:r w:rsidR="008C5D11" w:rsidRPr="00FE7FD3">
        <w:rPr>
          <w:rFonts w:cs="Arial"/>
          <w:szCs w:val="24"/>
        </w:rPr>
        <w:t xml:space="preserve">which reduced the need for ESP for many people. January 2019 saw the numbers return to September and October levels. </w:t>
      </w:r>
      <w:r w:rsidR="00001C7C" w:rsidRPr="00FE7FD3">
        <w:rPr>
          <w:rFonts w:cs="Arial"/>
          <w:szCs w:val="24"/>
        </w:rPr>
        <w:t xml:space="preserve"> </w:t>
      </w:r>
    </w:p>
    <w:p w:rsidR="00001C7C" w:rsidRPr="00FE7FD3" w:rsidRDefault="00001C7C" w:rsidP="000568EA">
      <w:pPr>
        <w:pStyle w:val="ListParagraph"/>
        <w:numPr>
          <w:ilvl w:val="0"/>
          <w:numId w:val="9"/>
        </w:numPr>
        <w:spacing w:after="0"/>
        <w:rPr>
          <w:rFonts w:cs="Arial"/>
          <w:szCs w:val="24"/>
        </w:rPr>
      </w:pPr>
      <w:r w:rsidRPr="00FE7FD3">
        <w:rPr>
          <w:rFonts w:cs="Arial"/>
          <w:szCs w:val="24"/>
        </w:rPr>
        <w:t>Recen</w:t>
      </w:r>
      <w:r w:rsidR="005C6AE9" w:rsidRPr="00FE7FD3">
        <w:rPr>
          <w:rFonts w:cs="Arial"/>
          <w:szCs w:val="24"/>
        </w:rPr>
        <w:t xml:space="preserve">tly signed-up employers include </w:t>
      </w:r>
      <w:proofErr w:type="spellStart"/>
      <w:r w:rsidR="008C5D11" w:rsidRPr="00FE7FD3">
        <w:rPr>
          <w:rFonts w:cs="Arial"/>
          <w:szCs w:val="24"/>
        </w:rPr>
        <w:t>Ringway</w:t>
      </w:r>
      <w:proofErr w:type="spellEnd"/>
      <w:r w:rsidR="008C5D11" w:rsidRPr="00FE7FD3">
        <w:rPr>
          <w:rFonts w:cs="Arial"/>
          <w:szCs w:val="24"/>
        </w:rPr>
        <w:t xml:space="preserve"> Jacobs, Hand to Mouth Ltd (formally Eat Natural) and Anglian Water</w:t>
      </w:r>
      <w:r w:rsidR="005C6AE9" w:rsidRPr="00FE7FD3">
        <w:rPr>
          <w:rFonts w:cs="Arial"/>
          <w:szCs w:val="24"/>
        </w:rPr>
        <w:t>.</w:t>
      </w:r>
    </w:p>
    <w:p w:rsidR="005C6AE9" w:rsidRPr="00FE7FD3" w:rsidRDefault="008C5D11" w:rsidP="005C6AE9">
      <w:pPr>
        <w:pStyle w:val="ListParagraph"/>
        <w:numPr>
          <w:ilvl w:val="0"/>
          <w:numId w:val="9"/>
        </w:numPr>
        <w:spacing w:after="0"/>
        <w:rPr>
          <w:rFonts w:cs="Arial"/>
          <w:szCs w:val="24"/>
        </w:rPr>
      </w:pPr>
      <w:r w:rsidRPr="00FE7FD3">
        <w:rPr>
          <w:rFonts w:cs="Arial"/>
          <w:szCs w:val="24"/>
        </w:rPr>
        <w:t>Our EE recruitment event took place on 23</w:t>
      </w:r>
      <w:r w:rsidRPr="00FE7FD3">
        <w:rPr>
          <w:rFonts w:cs="Arial"/>
          <w:szCs w:val="24"/>
          <w:vertAlign w:val="superscript"/>
        </w:rPr>
        <w:t>rd</w:t>
      </w:r>
      <w:r w:rsidRPr="00FE7FD3">
        <w:rPr>
          <w:rFonts w:cs="Arial"/>
          <w:szCs w:val="24"/>
        </w:rPr>
        <w:t xml:space="preserve"> </w:t>
      </w:r>
      <w:r w:rsidR="005C6AE9" w:rsidRPr="00FE7FD3">
        <w:rPr>
          <w:rFonts w:cs="Arial"/>
          <w:szCs w:val="24"/>
        </w:rPr>
        <w:t>January</w:t>
      </w:r>
      <w:r w:rsidR="00241276" w:rsidRPr="00FE7FD3">
        <w:rPr>
          <w:rFonts w:cs="Arial"/>
          <w:szCs w:val="24"/>
        </w:rPr>
        <w:t xml:space="preserve"> in City of London</w:t>
      </w:r>
      <w:r w:rsidR="005C6AE9" w:rsidRPr="00FE7FD3">
        <w:rPr>
          <w:rFonts w:cs="Arial"/>
          <w:szCs w:val="24"/>
        </w:rPr>
        <w:t xml:space="preserve">. </w:t>
      </w:r>
      <w:r w:rsidR="00241276" w:rsidRPr="00FE7FD3">
        <w:rPr>
          <w:rFonts w:cs="Arial"/>
          <w:szCs w:val="24"/>
        </w:rPr>
        <w:t xml:space="preserve">We </w:t>
      </w:r>
      <w:r w:rsidRPr="00FE7FD3">
        <w:rPr>
          <w:rFonts w:cs="Arial"/>
          <w:szCs w:val="24"/>
        </w:rPr>
        <w:t xml:space="preserve">were fantastically supported by senior management at the event and have commitments that we will be positively introduced to companies in their supply chain. </w:t>
      </w:r>
    </w:p>
    <w:p w:rsidR="00241276" w:rsidRPr="00FE7FD3" w:rsidRDefault="000C0C36" w:rsidP="00241276">
      <w:pPr>
        <w:pStyle w:val="ListParagraph"/>
        <w:numPr>
          <w:ilvl w:val="0"/>
          <w:numId w:val="9"/>
        </w:numPr>
        <w:spacing w:after="0"/>
        <w:rPr>
          <w:rFonts w:cs="Arial"/>
          <w:szCs w:val="24"/>
        </w:rPr>
      </w:pPr>
      <w:r w:rsidRPr="00FE7FD3">
        <w:rPr>
          <w:rFonts w:cs="Arial"/>
          <w:szCs w:val="24"/>
        </w:rPr>
        <w:t>We continue to work well with Essex Chambers of Commerce and receive interes</w:t>
      </w:r>
      <w:r w:rsidR="008C5D11" w:rsidRPr="00FE7FD3">
        <w:rPr>
          <w:rFonts w:cs="Arial"/>
          <w:szCs w:val="24"/>
        </w:rPr>
        <w:t>t from employers following the 3</w:t>
      </w:r>
      <w:r w:rsidRPr="00FE7FD3">
        <w:rPr>
          <w:rFonts w:cs="Arial"/>
          <w:szCs w:val="24"/>
        </w:rPr>
        <w:t xml:space="preserve"> events attended in the last quarter. </w:t>
      </w:r>
    </w:p>
    <w:p w:rsidR="000C0C36" w:rsidRPr="00FE7FD3" w:rsidRDefault="000C0C36" w:rsidP="000C0C36">
      <w:pPr>
        <w:pStyle w:val="ListParagraph"/>
        <w:numPr>
          <w:ilvl w:val="0"/>
          <w:numId w:val="9"/>
        </w:numPr>
        <w:spacing w:after="0"/>
        <w:rPr>
          <w:rFonts w:cs="Arial"/>
          <w:szCs w:val="24"/>
        </w:rPr>
      </w:pPr>
      <w:r w:rsidRPr="00FE7FD3">
        <w:rPr>
          <w:rFonts w:cs="Arial"/>
          <w:szCs w:val="24"/>
        </w:rPr>
        <w:t>Negotiatio</w:t>
      </w:r>
      <w:r w:rsidR="008C5D11" w:rsidRPr="00FE7FD3">
        <w:rPr>
          <w:rFonts w:cs="Arial"/>
          <w:szCs w:val="24"/>
        </w:rPr>
        <w:t>ns are ongoing with a further 36</w:t>
      </w:r>
      <w:r w:rsidRPr="00FE7FD3">
        <w:rPr>
          <w:rFonts w:cs="Arial"/>
          <w:szCs w:val="24"/>
        </w:rPr>
        <w:t xml:space="preserve"> companies who are interested in the scheme</w:t>
      </w:r>
      <w:r w:rsidR="00206D96" w:rsidRPr="00FE7FD3">
        <w:rPr>
          <w:rFonts w:cs="Arial"/>
          <w:szCs w:val="24"/>
        </w:rPr>
        <w:t>, either through Chambers of Commerce events or as a result of having Specials already employed</w:t>
      </w:r>
      <w:r w:rsidR="00241276" w:rsidRPr="00FE7FD3">
        <w:rPr>
          <w:rFonts w:cs="Arial"/>
          <w:szCs w:val="24"/>
        </w:rPr>
        <w:t xml:space="preserve"> with them. The latter has proven to be by far the most productive way forward as we find it harder to engage senior management teams where they do not have SCs on staff. </w:t>
      </w:r>
    </w:p>
    <w:p w:rsidR="008E7400" w:rsidRPr="00FE7FD3" w:rsidRDefault="008E7400" w:rsidP="000568EA">
      <w:pPr>
        <w:spacing w:after="0" w:line="240" w:lineRule="auto"/>
        <w:ind w:left="720"/>
        <w:contextualSpacing/>
        <w:rPr>
          <w:rFonts w:ascii="Arial" w:hAnsi="Arial" w:cs="Arial"/>
          <w:sz w:val="24"/>
          <w:szCs w:val="24"/>
        </w:rPr>
      </w:pPr>
      <w:r w:rsidRPr="00FE7FD3">
        <w:rPr>
          <w:rFonts w:ascii="Arial" w:hAnsi="Arial" w:cs="Arial"/>
          <w:b/>
          <w:sz w:val="24"/>
          <w:szCs w:val="24"/>
        </w:rPr>
        <w:t>Community Special Constables</w:t>
      </w:r>
    </w:p>
    <w:p w:rsidR="00241276" w:rsidRPr="00FE7FD3" w:rsidRDefault="00241276" w:rsidP="00206D96">
      <w:pPr>
        <w:pStyle w:val="ListParagraph"/>
        <w:numPr>
          <w:ilvl w:val="0"/>
          <w:numId w:val="9"/>
        </w:numPr>
        <w:spacing w:after="0"/>
        <w:rPr>
          <w:rFonts w:cs="Arial"/>
          <w:szCs w:val="24"/>
        </w:rPr>
      </w:pPr>
      <w:r w:rsidRPr="00FE7FD3">
        <w:rPr>
          <w:rFonts w:cs="Arial"/>
          <w:szCs w:val="24"/>
        </w:rPr>
        <w:t xml:space="preserve">We now have </w:t>
      </w:r>
      <w:r w:rsidR="008C5D11" w:rsidRPr="00FE7FD3">
        <w:rPr>
          <w:rFonts w:cs="Arial"/>
          <w:szCs w:val="24"/>
        </w:rPr>
        <w:t>34</w:t>
      </w:r>
      <w:r w:rsidR="00206D96" w:rsidRPr="00FE7FD3">
        <w:rPr>
          <w:rFonts w:cs="Arial"/>
          <w:szCs w:val="24"/>
        </w:rPr>
        <w:t xml:space="preserve"> </w:t>
      </w:r>
      <w:r w:rsidRPr="00FE7FD3">
        <w:rPr>
          <w:rFonts w:cs="Arial"/>
          <w:szCs w:val="24"/>
        </w:rPr>
        <w:t xml:space="preserve">Parish or Town </w:t>
      </w:r>
      <w:r w:rsidR="00206D96" w:rsidRPr="00FE7FD3">
        <w:rPr>
          <w:rFonts w:cs="Arial"/>
          <w:szCs w:val="24"/>
        </w:rPr>
        <w:t>Councils signed up</w:t>
      </w:r>
      <w:r w:rsidRPr="00FE7FD3">
        <w:rPr>
          <w:rFonts w:cs="Arial"/>
          <w:szCs w:val="24"/>
        </w:rPr>
        <w:t xml:space="preserve"> to Community Special Constables (CSCs) from across the county.</w:t>
      </w:r>
    </w:p>
    <w:p w:rsidR="00206D96" w:rsidRPr="00FE7FD3" w:rsidRDefault="00241276" w:rsidP="008C5D11">
      <w:pPr>
        <w:pStyle w:val="ListParagraph"/>
        <w:numPr>
          <w:ilvl w:val="0"/>
          <w:numId w:val="9"/>
        </w:numPr>
        <w:spacing w:after="0"/>
        <w:rPr>
          <w:rFonts w:cs="Arial"/>
          <w:szCs w:val="24"/>
        </w:rPr>
      </w:pPr>
      <w:r w:rsidRPr="00FE7FD3">
        <w:rPr>
          <w:rFonts w:cs="Arial"/>
          <w:szCs w:val="24"/>
        </w:rPr>
        <w:t xml:space="preserve">A further </w:t>
      </w:r>
      <w:r w:rsidR="00206D96" w:rsidRPr="00FE7FD3">
        <w:rPr>
          <w:rFonts w:cs="Arial"/>
          <w:szCs w:val="24"/>
        </w:rPr>
        <w:t xml:space="preserve">5 councils </w:t>
      </w:r>
      <w:r w:rsidRPr="00FE7FD3">
        <w:rPr>
          <w:rFonts w:cs="Arial"/>
          <w:szCs w:val="24"/>
        </w:rPr>
        <w:t xml:space="preserve">are </w:t>
      </w:r>
      <w:r w:rsidR="00206D96" w:rsidRPr="00FE7FD3">
        <w:rPr>
          <w:rFonts w:cs="Arial"/>
          <w:szCs w:val="24"/>
        </w:rPr>
        <w:t xml:space="preserve">seriously engaged but </w:t>
      </w:r>
      <w:r w:rsidRPr="00FE7FD3">
        <w:rPr>
          <w:rFonts w:cs="Arial"/>
          <w:szCs w:val="24"/>
        </w:rPr>
        <w:t xml:space="preserve">have </w:t>
      </w:r>
      <w:r w:rsidR="00206D96" w:rsidRPr="00FE7FD3">
        <w:rPr>
          <w:rFonts w:cs="Arial"/>
          <w:szCs w:val="24"/>
        </w:rPr>
        <w:t>not yet signed</w:t>
      </w:r>
      <w:r w:rsidRPr="00FE7FD3">
        <w:rPr>
          <w:rFonts w:cs="Arial"/>
          <w:szCs w:val="24"/>
        </w:rPr>
        <w:t xml:space="preserve"> up</w:t>
      </w:r>
      <w:r w:rsidR="00206D96" w:rsidRPr="00FE7FD3">
        <w:rPr>
          <w:rFonts w:cs="Arial"/>
          <w:szCs w:val="24"/>
        </w:rPr>
        <w:t xml:space="preserve"> </w:t>
      </w:r>
    </w:p>
    <w:p w:rsidR="008C5D11" w:rsidRPr="00FE7FD3" w:rsidRDefault="0037640B" w:rsidP="00AA4196">
      <w:pPr>
        <w:pStyle w:val="ListParagraph"/>
        <w:numPr>
          <w:ilvl w:val="0"/>
          <w:numId w:val="9"/>
        </w:numPr>
        <w:spacing w:after="0"/>
        <w:rPr>
          <w:rFonts w:cs="Arial"/>
          <w:szCs w:val="24"/>
        </w:rPr>
      </w:pPr>
      <w:r w:rsidRPr="00FE7FD3">
        <w:rPr>
          <w:rFonts w:cs="Arial"/>
          <w:szCs w:val="24"/>
        </w:rPr>
        <w:t xml:space="preserve">Over the last 3 months we have received </w:t>
      </w:r>
      <w:r w:rsidR="00495DAB">
        <w:rPr>
          <w:rFonts w:cs="Arial"/>
          <w:szCs w:val="24"/>
        </w:rPr>
        <w:t>17</w:t>
      </w:r>
      <w:r w:rsidRPr="00FE7FD3">
        <w:rPr>
          <w:rFonts w:cs="Arial"/>
          <w:szCs w:val="24"/>
        </w:rPr>
        <w:t xml:space="preserve"> a</w:t>
      </w:r>
      <w:r w:rsidR="00206D96" w:rsidRPr="00FE7FD3">
        <w:rPr>
          <w:rFonts w:cs="Arial"/>
          <w:szCs w:val="24"/>
        </w:rPr>
        <w:t xml:space="preserve">pplications </w:t>
      </w:r>
      <w:r w:rsidRPr="00FE7FD3">
        <w:rPr>
          <w:rFonts w:cs="Arial"/>
          <w:szCs w:val="24"/>
        </w:rPr>
        <w:t xml:space="preserve">for CSC roles. </w:t>
      </w:r>
      <w:r w:rsidR="008C5D11" w:rsidRPr="00FE7FD3">
        <w:rPr>
          <w:rFonts w:cs="Arial"/>
          <w:szCs w:val="24"/>
        </w:rPr>
        <w:t xml:space="preserve">We currently have 3 candidates in shortlisting, 5 awaiting their assessment centre and 6 candidates who have passed their assessment centre and are booked on foundation courses. These 6 will provide CSCs for Leigh-on-Sea, Great </w:t>
      </w:r>
      <w:proofErr w:type="spellStart"/>
      <w:r w:rsidR="008C5D11" w:rsidRPr="00FE7FD3">
        <w:rPr>
          <w:rFonts w:cs="Arial"/>
          <w:szCs w:val="24"/>
        </w:rPr>
        <w:t>Burstead</w:t>
      </w:r>
      <w:proofErr w:type="spellEnd"/>
      <w:r w:rsidR="008C5D11" w:rsidRPr="00FE7FD3">
        <w:rPr>
          <w:rFonts w:cs="Arial"/>
          <w:szCs w:val="24"/>
        </w:rPr>
        <w:t xml:space="preserve">, </w:t>
      </w:r>
      <w:r w:rsidR="00FE7FD3">
        <w:rPr>
          <w:rFonts w:cs="Arial"/>
          <w:szCs w:val="24"/>
        </w:rPr>
        <w:t xml:space="preserve">West </w:t>
      </w:r>
      <w:proofErr w:type="spellStart"/>
      <w:r w:rsidR="008C5D11" w:rsidRPr="00FE7FD3">
        <w:rPr>
          <w:rFonts w:cs="Arial"/>
          <w:szCs w:val="24"/>
        </w:rPr>
        <w:t>Mersea</w:t>
      </w:r>
      <w:proofErr w:type="spellEnd"/>
      <w:r w:rsidR="008C5D11" w:rsidRPr="00FE7FD3">
        <w:rPr>
          <w:rFonts w:cs="Arial"/>
          <w:szCs w:val="24"/>
        </w:rPr>
        <w:t>, Halste</w:t>
      </w:r>
      <w:r w:rsidR="00FE7FD3" w:rsidRPr="00FE7FD3">
        <w:rPr>
          <w:rFonts w:cs="Arial"/>
          <w:szCs w:val="24"/>
        </w:rPr>
        <w:t>a</w:t>
      </w:r>
      <w:r w:rsidR="008C5D11" w:rsidRPr="00FE7FD3">
        <w:rPr>
          <w:rFonts w:cs="Arial"/>
          <w:szCs w:val="24"/>
        </w:rPr>
        <w:t xml:space="preserve">d, West Bergholt and Springfield. </w:t>
      </w:r>
    </w:p>
    <w:p w:rsidR="00206D96" w:rsidRPr="00FE7FD3" w:rsidRDefault="008C5D11" w:rsidP="00AA4196">
      <w:pPr>
        <w:pStyle w:val="ListParagraph"/>
        <w:numPr>
          <w:ilvl w:val="0"/>
          <w:numId w:val="9"/>
        </w:numPr>
        <w:spacing w:after="0"/>
        <w:rPr>
          <w:rFonts w:cs="Arial"/>
          <w:szCs w:val="24"/>
        </w:rPr>
      </w:pPr>
      <w:r w:rsidRPr="00FE7FD3">
        <w:rPr>
          <w:rFonts w:cs="Arial"/>
          <w:szCs w:val="24"/>
        </w:rPr>
        <w:lastRenderedPageBreak/>
        <w:t>In the last 3</w:t>
      </w:r>
      <w:r w:rsidR="0037640B" w:rsidRPr="00FE7FD3">
        <w:rPr>
          <w:rFonts w:cs="Arial"/>
          <w:szCs w:val="24"/>
        </w:rPr>
        <w:t xml:space="preserve"> months two new CSCs have attested, for </w:t>
      </w:r>
      <w:r w:rsidR="00FE7FD3" w:rsidRPr="00FE7FD3">
        <w:rPr>
          <w:rFonts w:cs="Arial"/>
          <w:szCs w:val="24"/>
        </w:rPr>
        <w:t xml:space="preserve">West </w:t>
      </w:r>
      <w:proofErr w:type="spellStart"/>
      <w:r w:rsidR="00FE7FD3" w:rsidRPr="00FE7FD3">
        <w:rPr>
          <w:rFonts w:cs="Arial"/>
          <w:szCs w:val="24"/>
        </w:rPr>
        <w:t>Mersea</w:t>
      </w:r>
      <w:proofErr w:type="spellEnd"/>
      <w:r w:rsidR="00FE7FD3" w:rsidRPr="00FE7FD3">
        <w:rPr>
          <w:rFonts w:cs="Arial"/>
          <w:szCs w:val="24"/>
        </w:rPr>
        <w:t xml:space="preserve"> and West Bergholt</w:t>
      </w:r>
      <w:r w:rsidR="0037640B" w:rsidRPr="00FE7FD3">
        <w:rPr>
          <w:rFonts w:cs="Arial"/>
          <w:szCs w:val="24"/>
        </w:rPr>
        <w:t xml:space="preserve">. They are now working with Local Policing Teams to complete their portfolios prior to achieving Independent Patrol status, before taking up their position in their parishes.  </w:t>
      </w:r>
      <w:r w:rsidR="00FE7FD3" w:rsidRPr="00FE7FD3">
        <w:rPr>
          <w:rFonts w:cs="Arial"/>
          <w:szCs w:val="24"/>
        </w:rPr>
        <w:t>Our Buckhurst Hill CSC is progressing well with his evidence portfolio and should achieve independent patrol status in the next couple of months.</w:t>
      </w:r>
    </w:p>
    <w:p w:rsidR="00FE7FD3" w:rsidRPr="00FE7FD3" w:rsidRDefault="00FE7FD3" w:rsidP="0037640B">
      <w:pPr>
        <w:pStyle w:val="ListParagraph"/>
        <w:numPr>
          <w:ilvl w:val="0"/>
          <w:numId w:val="9"/>
        </w:numPr>
        <w:spacing w:after="0"/>
        <w:rPr>
          <w:rFonts w:cs="Arial"/>
          <w:szCs w:val="24"/>
        </w:rPr>
      </w:pPr>
      <w:r w:rsidRPr="00FE7FD3">
        <w:rPr>
          <w:rFonts w:cs="Arial"/>
          <w:szCs w:val="24"/>
        </w:rPr>
        <w:t xml:space="preserve">We now have a CSC for Halstead – SC Michael </w:t>
      </w:r>
      <w:proofErr w:type="spellStart"/>
      <w:r w:rsidRPr="00FE7FD3">
        <w:rPr>
          <w:rFonts w:cs="Arial"/>
          <w:szCs w:val="24"/>
        </w:rPr>
        <w:t>Mihalyfi</w:t>
      </w:r>
      <w:proofErr w:type="spellEnd"/>
      <w:r w:rsidRPr="00FE7FD3">
        <w:rPr>
          <w:rFonts w:cs="Arial"/>
          <w:szCs w:val="24"/>
        </w:rPr>
        <w:t xml:space="preserve"> has asked to take up this position after he attained independent patrol status. Two other officers have asked to join him at Halstead when they are certified as independent. We also have interest from current Specials in being CSCs in Canvey and </w:t>
      </w:r>
      <w:proofErr w:type="spellStart"/>
      <w:r w:rsidRPr="00FE7FD3">
        <w:rPr>
          <w:rFonts w:cs="Arial"/>
          <w:szCs w:val="24"/>
        </w:rPr>
        <w:t>Hullbridge</w:t>
      </w:r>
      <w:proofErr w:type="spellEnd"/>
      <w:r w:rsidRPr="00FE7FD3">
        <w:rPr>
          <w:rFonts w:cs="Arial"/>
          <w:szCs w:val="24"/>
        </w:rPr>
        <w:t xml:space="preserve">. </w:t>
      </w:r>
    </w:p>
    <w:p w:rsidR="0037640B" w:rsidRPr="00FE7FD3" w:rsidRDefault="0037640B" w:rsidP="0037640B">
      <w:pPr>
        <w:pStyle w:val="ListParagraph"/>
        <w:numPr>
          <w:ilvl w:val="0"/>
          <w:numId w:val="9"/>
        </w:numPr>
        <w:spacing w:after="0"/>
        <w:rPr>
          <w:rFonts w:cs="Arial"/>
          <w:szCs w:val="24"/>
        </w:rPr>
      </w:pPr>
      <w:r w:rsidRPr="00FE7FD3">
        <w:rPr>
          <w:rFonts w:cs="Arial"/>
          <w:szCs w:val="24"/>
        </w:rPr>
        <w:t xml:space="preserve">Witham remains the </w:t>
      </w:r>
      <w:r w:rsidR="00FE7FD3" w:rsidRPr="00FE7FD3">
        <w:rPr>
          <w:rFonts w:cs="Arial"/>
          <w:szCs w:val="24"/>
        </w:rPr>
        <w:t xml:space="preserve">flagship </w:t>
      </w:r>
      <w:r w:rsidRPr="00FE7FD3">
        <w:rPr>
          <w:rFonts w:cs="Arial"/>
          <w:szCs w:val="24"/>
        </w:rPr>
        <w:t xml:space="preserve">council area </w:t>
      </w:r>
      <w:r w:rsidR="00FE7FD3" w:rsidRPr="00FE7FD3">
        <w:rPr>
          <w:rFonts w:cs="Arial"/>
          <w:szCs w:val="24"/>
        </w:rPr>
        <w:t xml:space="preserve">for CSC </w:t>
      </w:r>
      <w:r w:rsidRPr="00FE7FD3">
        <w:rPr>
          <w:rFonts w:cs="Arial"/>
          <w:szCs w:val="24"/>
        </w:rPr>
        <w:t xml:space="preserve">with </w:t>
      </w:r>
      <w:r w:rsidR="00FE7FD3" w:rsidRPr="00FE7FD3">
        <w:rPr>
          <w:rFonts w:cs="Arial"/>
          <w:szCs w:val="24"/>
        </w:rPr>
        <w:t xml:space="preserve">3 </w:t>
      </w:r>
      <w:r w:rsidRPr="00FE7FD3">
        <w:rPr>
          <w:rFonts w:cs="Arial"/>
          <w:szCs w:val="24"/>
        </w:rPr>
        <w:t xml:space="preserve">independent officers deployed. Over the last 3 months they have contributed a total of </w:t>
      </w:r>
      <w:r w:rsidR="00FE7FD3" w:rsidRPr="00FE7FD3">
        <w:rPr>
          <w:rFonts w:cs="Arial"/>
          <w:szCs w:val="24"/>
        </w:rPr>
        <w:t>226hrs</w:t>
      </w:r>
      <w:r w:rsidRPr="00FE7FD3">
        <w:rPr>
          <w:rFonts w:cs="Arial"/>
          <w:szCs w:val="24"/>
        </w:rPr>
        <w:t xml:space="preserve"> to local, visible and accessible policing in that area. </w:t>
      </w:r>
      <w:r w:rsidR="00FE7FD3" w:rsidRPr="00FE7FD3">
        <w:rPr>
          <w:rFonts w:cs="Arial"/>
          <w:szCs w:val="24"/>
        </w:rPr>
        <w:t xml:space="preserve">In recognition of their hard work they have recently received the Inspirational Role Model award at the annual Witham Chambers of Commerce Community Awards ceremony. </w:t>
      </w:r>
    </w:p>
    <w:p w:rsidR="009D0799" w:rsidRPr="00DE0935" w:rsidRDefault="00DE0935" w:rsidP="009D0799">
      <w:pPr>
        <w:spacing w:after="0" w:line="240" w:lineRule="auto"/>
        <w:ind w:left="720"/>
        <w:contextualSpacing/>
        <w:rPr>
          <w:rFonts w:ascii="Arial" w:hAnsi="Arial" w:cs="Arial"/>
          <w:b/>
          <w:sz w:val="24"/>
          <w:szCs w:val="24"/>
          <w:u w:val="single"/>
        </w:rPr>
      </w:pPr>
      <w:r w:rsidRPr="00DE0935">
        <w:rPr>
          <w:rFonts w:ascii="Arial" w:hAnsi="Arial" w:cs="Arial"/>
          <w:b/>
          <w:sz w:val="24"/>
          <w:szCs w:val="24"/>
          <w:u w:val="single"/>
        </w:rPr>
        <w:t>5.2</w:t>
      </w:r>
      <w:r w:rsidR="009D0799" w:rsidRPr="00DE0935">
        <w:rPr>
          <w:rFonts w:ascii="Arial" w:hAnsi="Arial" w:cs="Arial"/>
          <w:b/>
          <w:sz w:val="24"/>
          <w:szCs w:val="24"/>
          <w:u w:val="single"/>
        </w:rPr>
        <w:t xml:space="preserve"> Performance</w:t>
      </w:r>
    </w:p>
    <w:p w:rsidR="000568EA" w:rsidRDefault="000568EA" w:rsidP="0030288C">
      <w:pPr>
        <w:pStyle w:val="NoSpacing"/>
        <w:ind w:left="720"/>
        <w:rPr>
          <w:rFonts w:ascii="Arial" w:hAnsi="Arial" w:cs="Arial"/>
          <w:sz w:val="24"/>
          <w:szCs w:val="24"/>
        </w:rPr>
      </w:pPr>
    </w:p>
    <w:p w:rsidR="000568EA" w:rsidRDefault="006E344F" w:rsidP="0030288C">
      <w:pPr>
        <w:pStyle w:val="NoSpacing"/>
        <w:ind w:left="720"/>
        <w:rPr>
          <w:rFonts w:ascii="Arial" w:hAnsi="Arial" w:cs="Arial"/>
          <w:sz w:val="24"/>
          <w:szCs w:val="24"/>
        </w:rPr>
      </w:pPr>
      <w:r>
        <w:rPr>
          <w:rFonts w:ascii="Arial" w:hAnsi="Arial" w:cs="Arial"/>
          <w:sz w:val="24"/>
          <w:szCs w:val="24"/>
        </w:rPr>
        <w:t>Over the last 3 months (</w:t>
      </w:r>
      <w:r w:rsidR="00EA60C1" w:rsidRPr="00001744">
        <w:rPr>
          <w:rFonts w:ascii="Arial" w:hAnsi="Arial" w:cs="Arial"/>
          <w:sz w:val="24"/>
          <w:szCs w:val="24"/>
        </w:rPr>
        <w:t>1</w:t>
      </w:r>
      <w:r w:rsidR="00EA60C1" w:rsidRPr="00001744">
        <w:rPr>
          <w:rFonts w:ascii="Arial" w:hAnsi="Arial" w:cs="Arial"/>
          <w:sz w:val="24"/>
          <w:szCs w:val="24"/>
          <w:vertAlign w:val="superscript"/>
        </w:rPr>
        <w:t>st</w:t>
      </w:r>
      <w:r w:rsidR="00EA60C1" w:rsidRPr="00001744">
        <w:rPr>
          <w:rFonts w:ascii="Arial" w:hAnsi="Arial" w:cs="Arial"/>
          <w:sz w:val="24"/>
          <w:szCs w:val="24"/>
        </w:rPr>
        <w:t xml:space="preserve"> </w:t>
      </w:r>
      <w:r w:rsidR="00EA60C1">
        <w:rPr>
          <w:rFonts w:ascii="Arial" w:hAnsi="Arial" w:cs="Arial"/>
          <w:sz w:val="24"/>
          <w:szCs w:val="24"/>
        </w:rPr>
        <w:t>December 2018</w:t>
      </w:r>
      <w:r w:rsidR="00EA60C1" w:rsidRPr="00001744">
        <w:rPr>
          <w:rFonts w:ascii="Arial" w:hAnsi="Arial" w:cs="Arial"/>
          <w:sz w:val="24"/>
          <w:szCs w:val="24"/>
        </w:rPr>
        <w:t xml:space="preserve"> </w:t>
      </w:r>
      <w:r w:rsidR="00EA60C1">
        <w:rPr>
          <w:rFonts w:ascii="Arial" w:hAnsi="Arial" w:cs="Arial"/>
          <w:sz w:val="24"/>
          <w:szCs w:val="24"/>
        </w:rPr>
        <w:t>to 28</w:t>
      </w:r>
      <w:r w:rsidR="00EA60C1" w:rsidRPr="00976D1E">
        <w:rPr>
          <w:rFonts w:ascii="Arial" w:hAnsi="Arial" w:cs="Arial"/>
          <w:sz w:val="24"/>
          <w:szCs w:val="24"/>
          <w:vertAlign w:val="superscript"/>
        </w:rPr>
        <w:t>th</w:t>
      </w:r>
      <w:r w:rsidR="00EA60C1">
        <w:rPr>
          <w:rFonts w:ascii="Arial" w:hAnsi="Arial" w:cs="Arial"/>
          <w:sz w:val="24"/>
          <w:szCs w:val="24"/>
        </w:rPr>
        <w:t xml:space="preserve"> February 2019</w:t>
      </w:r>
      <w:r>
        <w:rPr>
          <w:rFonts w:ascii="Arial" w:hAnsi="Arial" w:cs="Arial"/>
          <w:sz w:val="24"/>
          <w:szCs w:val="24"/>
        </w:rPr>
        <w:t xml:space="preserve">) Specials have contributed a total of </w:t>
      </w:r>
      <w:r w:rsidR="00EA60C1" w:rsidRPr="00F74537">
        <w:rPr>
          <w:rFonts w:ascii="Arial" w:hAnsi="Arial" w:cs="Arial"/>
          <w:sz w:val="24"/>
          <w:szCs w:val="24"/>
        </w:rPr>
        <w:t>43,730 hours, a 39% increase</w:t>
      </w:r>
      <w:r w:rsidR="00EA60C1" w:rsidRPr="00001744">
        <w:rPr>
          <w:rFonts w:ascii="Arial" w:hAnsi="Arial" w:cs="Arial"/>
          <w:sz w:val="24"/>
          <w:szCs w:val="24"/>
        </w:rPr>
        <w:t xml:space="preserve"> on the same period in 2017</w:t>
      </w:r>
      <w:r w:rsidR="00EA60C1">
        <w:rPr>
          <w:rFonts w:ascii="Arial" w:hAnsi="Arial" w:cs="Arial"/>
          <w:sz w:val="24"/>
          <w:szCs w:val="24"/>
        </w:rPr>
        <w:t>/18</w:t>
      </w:r>
      <w:r>
        <w:rPr>
          <w:rFonts w:ascii="Arial" w:hAnsi="Arial" w:cs="Arial"/>
          <w:sz w:val="24"/>
          <w:szCs w:val="24"/>
        </w:rPr>
        <w:t xml:space="preserve">. The operational contribution over the last 3 months has amounted to </w:t>
      </w:r>
      <w:r w:rsidR="00EA60C1">
        <w:rPr>
          <w:rFonts w:ascii="Arial" w:hAnsi="Arial" w:cs="Arial"/>
          <w:sz w:val="24"/>
          <w:szCs w:val="24"/>
        </w:rPr>
        <w:t>33,198</w:t>
      </w:r>
      <w:r>
        <w:rPr>
          <w:rFonts w:ascii="Arial" w:hAnsi="Arial" w:cs="Arial"/>
          <w:sz w:val="24"/>
          <w:szCs w:val="24"/>
        </w:rPr>
        <w:t xml:space="preserve"> hours (</w:t>
      </w:r>
      <w:r w:rsidR="00EA60C1">
        <w:rPr>
          <w:rFonts w:ascii="Arial" w:hAnsi="Arial" w:cs="Arial"/>
          <w:sz w:val="24"/>
          <w:szCs w:val="24"/>
        </w:rPr>
        <w:t>a 5</w:t>
      </w:r>
      <w:r>
        <w:rPr>
          <w:rFonts w:ascii="Arial" w:hAnsi="Arial" w:cs="Arial"/>
          <w:sz w:val="24"/>
          <w:szCs w:val="24"/>
        </w:rPr>
        <w:t>3% increase). The Specials have recorded 17,</w:t>
      </w:r>
      <w:r w:rsidR="00EA60C1">
        <w:rPr>
          <w:rFonts w:ascii="Arial" w:hAnsi="Arial" w:cs="Arial"/>
          <w:sz w:val="24"/>
          <w:szCs w:val="24"/>
        </w:rPr>
        <w:t>494</w:t>
      </w:r>
      <w:r>
        <w:rPr>
          <w:rFonts w:ascii="Arial" w:hAnsi="Arial" w:cs="Arial"/>
          <w:sz w:val="24"/>
          <w:szCs w:val="24"/>
        </w:rPr>
        <w:t xml:space="preserve"> hours of high visibili</w:t>
      </w:r>
      <w:r w:rsidR="00EA60C1">
        <w:rPr>
          <w:rFonts w:ascii="Arial" w:hAnsi="Arial" w:cs="Arial"/>
          <w:sz w:val="24"/>
          <w:szCs w:val="24"/>
        </w:rPr>
        <w:t>ty policing over this time, a 56</w:t>
      </w:r>
      <w:r>
        <w:rPr>
          <w:rFonts w:ascii="Arial" w:hAnsi="Arial" w:cs="Arial"/>
          <w:sz w:val="24"/>
          <w:szCs w:val="24"/>
        </w:rPr>
        <w:t xml:space="preserve">% increase over the same period last year. </w:t>
      </w:r>
    </w:p>
    <w:p w:rsidR="006E344F" w:rsidRDefault="006E344F" w:rsidP="0030288C">
      <w:pPr>
        <w:pStyle w:val="NoSpacing"/>
        <w:ind w:left="720"/>
        <w:rPr>
          <w:rFonts w:ascii="Arial" w:hAnsi="Arial" w:cs="Arial"/>
          <w:sz w:val="24"/>
          <w:szCs w:val="24"/>
        </w:rPr>
      </w:pPr>
    </w:p>
    <w:p w:rsidR="006E344F" w:rsidRDefault="006E344F" w:rsidP="0030288C">
      <w:pPr>
        <w:pStyle w:val="NoSpacing"/>
        <w:ind w:left="720"/>
        <w:rPr>
          <w:rFonts w:ascii="Arial" w:hAnsi="Arial" w:cs="Arial"/>
          <w:sz w:val="24"/>
          <w:szCs w:val="24"/>
        </w:rPr>
      </w:pPr>
      <w:r>
        <w:rPr>
          <w:rFonts w:ascii="Arial" w:hAnsi="Arial" w:cs="Arial"/>
          <w:sz w:val="24"/>
          <w:szCs w:val="24"/>
        </w:rPr>
        <w:t xml:space="preserve">The hours worked by the Special Constabulary across this 3 month period is equivalent to having an </w:t>
      </w:r>
      <w:r w:rsidR="00EA60C1">
        <w:rPr>
          <w:rFonts w:ascii="Arial" w:hAnsi="Arial" w:cs="Arial"/>
          <w:sz w:val="24"/>
          <w:szCs w:val="24"/>
        </w:rPr>
        <w:t>additional 98</w:t>
      </w:r>
      <w:r>
        <w:rPr>
          <w:rFonts w:ascii="Arial" w:hAnsi="Arial" w:cs="Arial"/>
          <w:sz w:val="24"/>
          <w:szCs w:val="24"/>
        </w:rPr>
        <w:t xml:space="preserve"> full time officers</w:t>
      </w:r>
      <w:r w:rsidR="00BB0ED2">
        <w:rPr>
          <w:rFonts w:ascii="Arial" w:hAnsi="Arial" w:cs="Arial"/>
          <w:sz w:val="24"/>
          <w:szCs w:val="24"/>
        </w:rPr>
        <w:t>,</w:t>
      </w:r>
      <w:r>
        <w:rPr>
          <w:rFonts w:ascii="Arial" w:hAnsi="Arial" w:cs="Arial"/>
          <w:sz w:val="24"/>
          <w:szCs w:val="24"/>
        </w:rPr>
        <w:t xml:space="preserve"> who would attrac</w:t>
      </w:r>
      <w:r w:rsidR="00EA60C1">
        <w:rPr>
          <w:rFonts w:ascii="Arial" w:hAnsi="Arial" w:cs="Arial"/>
          <w:sz w:val="24"/>
          <w:szCs w:val="24"/>
        </w:rPr>
        <w:t>t an annual salary cost of £5.1</w:t>
      </w:r>
      <w:r>
        <w:rPr>
          <w:rFonts w:ascii="Arial" w:hAnsi="Arial" w:cs="Arial"/>
          <w:sz w:val="24"/>
          <w:szCs w:val="24"/>
        </w:rPr>
        <w:t>m.</w:t>
      </w:r>
    </w:p>
    <w:p w:rsidR="006E344F" w:rsidRDefault="006E344F" w:rsidP="0030288C">
      <w:pPr>
        <w:pStyle w:val="NoSpacing"/>
        <w:ind w:left="720"/>
        <w:rPr>
          <w:rFonts w:ascii="Arial" w:hAnsi="Arial" w:cs="Arial"/>
          <w:sz w:val="24"/>
          <w:szCs w:val="24"/>
        </w:rPr>
      </w:pPr>
    </w:p>
    <w:p w:rsidR="006E344F" w:rsidRDefault="006E344F" w:rsidP="0030288C">
      <w:pPr>
        <w:pStyle w:val="NoSpacing"/>
        <w:ind w:left="720"/>
        <w:rPr>
          <w:rFonts w:ascii="Arial" w:hAnsi="Arial" w:cs="Arial"/>
          <w:sz w:val="24"/>
          <w:szCs w:val="24"/>
        </w:rPr>
      </w:pPr>
      <w:r>
        <w:rPr>
          <w:rFonts w:ascii="Arial" w:hAnsi="Arial" w:cs="Arial"/>
          <w:sz w:val="24"/>
          <w:szCs w:val="24"/>
        </w:rPr>
        <w:t>Over the last 3 months</w:t>
      </w:r>
      <w:r w:rsidR="00BB0ED2">
        <w:rPr>
          <w:rFonts w:ascii="Arial" w:hAnsi="Arial" w:cs="Arial"/>
          <w:sz w:val="24"/>
          <w:szCs w:val="24"/>
        </w:rPr>
        <w:t>,</w:t>
      </w:r>
      <w:r>
        <w:rPr>
          <w:rFonts w:ascii="Arial" w:hAnsi="Arial" w:cs="Arial"/>
          <w:sz w:val="24"/>
          <w:szCs w:val="24"/>
        </w:rPr>
        <w:t xml:space="preserve"> 75% of Special Constables have volunt</w:t>
      </w:r>
      <w:r w:rsidR="00BB0ED2">
        <w:rPr>
          <w:rFonts w:ascii="Arial" w:hAnsi="Arial" w:cs="Arial"/>
          <w:sz w:val="24"/>
          <w:szCs w:val="24"/>
        </w:rPr>
        <w:t>eered at least 16hrs a month. T</w:t>
      </w:r>
      <w:r>
        <w:rPr>
          <w:rFonts w:ascii="Arial" w:hAnsi="Arial" w:cs="Arial"/>
          <w:sz w:val="24"/>
          <w:szCs w:val="24"/>
        </w:rPr>
        <w:t xml:space="preserve">his compares favourably with </w:t>
      </w:r>
      <w:r w:rsidR="00EA60C1">
        <w:rPr>
          <w:rFonts w:ascii="Arial" w:hAnsi="Arial" w:cs="Arial"/>
          <w:sz w:val="24"/>
          <w:szCs w:val="24"/>
        </w:rPr>
        <w:t>a national engagement rate of 50</w:t>
      </w:r>
      <w:r>
        <w:rPr>
          <w:rFonts w:ascii="Arial" w:hAnsi="Arial" w:cs="Arial"/>
          <w:sz w:val="24"/>
          <w:szCs w:val="24"/>
        </w:rPr>
        <w:t xml:space="preserve">%. </w:t>
      </w:r>
      <w:r w:rsidR="00BB0ED2">
        <w:rPr>
          <w:rFonts w:ascii="Arial" w:hAnsi="Arial" w:cs="Arial"/>
          <w:sz w:val="24"/>
          <w:szCs w:val="24"/>
        </w:rPr>
        <w:t xml:space="preserve">Specials are asked to work at least 16hrs per month, however, in the last 3 months </w:t>
      </w:r>
      <w:r>
        <w:rPr>
          <w:rFonts w:ascii="Arial" w:hAnsi="Arial" w:cs="Arial"/>
          <w:sz w:val="24"/>
          <w:szCs w:val="24"/>
        </w:rPr>
        <w:t xml:space="preserve">Essex Specials </w:t>
      </w:r>
      <w:r w:rsidR="00BB0ED2">
        <w:rPr>
          <w:rFonts w:ascii="Arial" w:hAnsi="Arial" w:cs="Arial"/>
          <w:sz w:val="24"/>
          <w:szCs w:val="24"/>
        </w:rPr>
        <w:t xml:space="preserve">have </w:t>
      </w:r>
      <w:r>
        <w:rPr>
          <w:rFonts w:ascii="Arial" w:hAnsi="Arial" w:cs="Arial"/>
          <w:sz w:val="24"/>
          <w:szCs w:val="24"/>
        </w:rPr>
        <w:t>volunteer</w:t>
      </w:r>
      <w:r w:rsidR="00BB0ED2">
        <w:rPr>
          <w:rFonts w:ascii="Arial" w:hAnsi="Arial" w:cs="Arial"/>
          <w:sz w:val="24"/>
          <w:szCs w:val="24"/>
        </w:rPr>
        <w:t>ed</w:t>
      </w:r>
      <w:r>
        <w:rPr>
          <w:rFonts w:ascii="Arial" w:hAnsi="Arial" w:cs="Arial"/>
          <w:sz w:val="24"/>
          <w:szCs w:val="24"/>
        </w:rPr>
        <w:t xml:space="preserve"> an average of </w:t>
      </w:r>
      <w:r w:rsidR="00BB0ED2">
        <w:rPr>
          <w:rFonts w:ascii="Arial" w:hAnsi="Arial" w:cs="Arial"/>
          <w:sz w:val="24"/>
          <w:szCs w:val="24"/>
        </w:rPr>
        <w:t>31</w:t>
      </w:r>
      <w:r>
        <w:rPr>
          <w:rFonts w:ascii="Arial" w:hAnsi="Arial" w:cs="Arial"/>
          <w:sz w:val="24"/>
          <w:szCs w:val="24"/>
        </w:rPr>
        <w:t>hrs per month</w:t>
      </w:r>
      <w:r w:rsidR="00BB0ED2">
        <w:rPr>
          <w:rFonts w:ascii="Arial" w:hAnsi="Arial" w:cs="Arial"/>
          <w:sz w:val="24"/>
          <w:szCs w:val="24"/>
        </w:rPr>
        <w:t xml:space="preserve"> each, up from 27hrs per month i</w:t>
      </w:r>
      <w:r w:rsidR="00EA60C1">
        <w:rPr>
          <w:rFonts w:ascii="Arial" w:hAnsi="Arial" w:cs="Arial"/>
          <w:sz w:val="24"/>
          <w:szCs w:val="24"/>
        </w:rPr>
        <w:t>n the equivalent period in 2017/18.</w:t>
      </w:r>
    </w:p>
    <w:p w:rsidR="006E344F" w:rsidRDefault="006E344F" w:rsidP="0030288C">
      <w:pPr>
        <w:pStyle w:val="NoSpacing"/>
        <w:ind w:left="720"/>
        <w:rPr>
          <w:rFonts w:ascii="Arial" w:hAnsi="Arial" w:cs="Arial"/>
          <w:sz w:val="24"/>
          <w:szCs w:val="24"/>
        </w:rPr>
      </w:pPr>
    </w:p>
    <w:p w:rsidR="006D469E" w:rsidRDefault="006D469E" w:rsidP="0030288C">
      <w:pPr>
        <w:pStyle w:val="NoSpacing"/>
        <w:ind w:left="720"/>
        <w:rPr>
          <w:rFonts w:ascii="Arial" w:hAnsi="Arial" w:cs="Arial"/>
          <w:sz w:val="24"/>
          <w:szCs w:val="24"/>
        </w:rPr>
      </w:pPr>
      <w:r w:rsidRPr="00495DAB">
        <w:rPr>
          <w:rFonts w:ascii="Arial" w:hAnsi="Arial" w:cs="Arial"/>
          <w:sz w:val="24"/>
          <w:szCs w:val="24"/>
        </w:rPr>
        <w:t xml:space="preserve">Between </w:t>
      </w:r>
      <w:r w:rsidR="00495DAB" w:rsidRPr="00495DAB">
        <w:rPr>
          <w:rFonts w:ascii="Arial" w:hAnsi="Arial" w:cs="Arial"/>
          <w:sz w:val="24"/>
          <w:szCs w:val="24"/>
        </w:rPr>
        <w:t>1</w:t>
      </w:r>
      <w:r w:rsidR="00495DAB" w:rsidRPr="00495DAB">
        <w:rPr>
          <w:rFonts w:ascii="Arial" w:hAnsi="Arial" w:cs="Arial"/>
          <w:sz w:val="24"/>
          <w:szCs w:val="24"/>
          <w:vertAlign w:val="superscript"/>
        </w:rPr>
        <w:t>st</w:t>
      </w:r>
      <w:r w:rsidR="00495DAB" w:rsidRPr="00495DAB">
        <w:rPr>
          <w:rFonts w:ascii="Arial" w:hAnsi="Arial" w:cs="Arial"/>
          <w:sz w:val="24"/>
          <w:szCs w:val="24"/>
        </w:rPr>
        <w:t xml:space="preserve"> December 2018 and 28</w:t>
      </w:r>
      <w:r w:rsidR="00495DAB" w:rsidRPr="00495DAB">
        <w:rPr>
          <w:rFonts w:ascii="Arial" w:hAnsi="Arial" w:cs="Arial"/>
          <w:sz w:val="24"/>
          <w:szCs w:val="24"/>
          <w:vertAlign w:val="superscript"/>
        </w:rPr>
        <w:t>th</w:t>
      </w:r>
      <w:r w:rsidR="00495DAB" w:rsidRPr="00495DAB">
        <w:rPr>
          <w:rFonts w:ascii="Arial" w:hAnsi="Arial" w:cs="Arial"/>
          <w:sz w:val="24"/>
          <w:szCs w:val="24"/>
        </w:rPr>
        <w:t xml:space="preserve"> February 2019</w:t>
      </w:r>
      <w:r w:rsidRPr="00495DAB">
        <w:rPr>
          <w:rFonts w:ascii="Arial" w:hAnsi="Arial" w:cs="Arial"/>
          <w:sz w:val="24"/>
          <w:szCs w:val="24"/>
        </w:rPr>
        <w:t xml:space="preserve">, </w:t>
      </w:r>
      <w:r w:rsidR="00495DAB" w:rsidRPr="00495DAB">
        <w:rPr>
          <w:rFonts w:ascii="Arial" w:hAnsi="Arial" w:cs="Arial"/>
          <w:sz w:val="24"/>
          <w:szCs w:val="24"/>
        </w:rPr>
        <w:t>34</w:t>
      </w:r>
      <w:r w:rsidRPr="00495DAB">
        <w:rPr>
          <w:rFonts w:ascii="Arial" w:hAnsi="Arial" w:cs="Arial"/>
          <w:sz w:val="24"/>
          <w:szCs w:val="24"/>
        </w:rPr>
        <w:t xml:space="preserve"> Specials have </w:t>
      </w:r>
      <w:r w:rsidR="00495DAB" w:rsidRPr="00495DAB">
        <w:rPr>
          <w:rFonts w:ascii="Arial" w:hAnsi="Arial" w:cs="Arial"/>
          <w:sz w:val="24"/>
          <w:szCs w:val="24"/>
        </w:rPr>
        <w:t>left the Special Constabulary. 12</w:t>
      </w:r>
      <w:r w:rsidRPr="00495DAB">
        <w:rPr>
          <w:rFonts w:ascii="Arial" w:hAnsi="Arial" w:cs="Arial"/>
          <w:sz w:val="24"/>
          <w:szCs w:val="24"/>
        </w:rPr>
        <w:t xml:space="preserve"> of these did so to join the regulars; 1</w:t>
      </w:r>
      <w:r w:rsidR="00495DAB" w:rsidRPr="00495DAB">
        <w:rPr>
          <w:rFonts w:ascii="Arial" w:hAnsi="Arial" w:cs="Arial"/>
          <w:sz w:val="24"/>
          <w:szCs w:val="24"/>
        </w:rPr>
        <w:t>5</w:t>
      </w:r>
      <w:r w:rsidRPr="00495DAB">
        <w:rPr>
          <w:rFonts w:ascii="Arial" w:hAnsi="Arial" w:cs="Arial"/>
          <w:sz w:val="24"/>
          <w:szCs w:val="24"/>
        </w:rPr>
        <w:t xml:space="preserve"> left for personal reasons (ranging from medical reasons, to changes in personal circumstances</w:t>
      </w:r>
      <w:r w:rsidR="00495DAB" w:rsidRPr="00495DAB">
        <w:rPr>
          <w:rFonts w:ascii="Arial" w:hAnsi="Arial" w:cs="Arial"/>
          <w:sz w:val="24"/>
          <w:szCs w:val="24"/>
        </w:rPr>
        <w:t xml:space="preserve"> and changes in work-life balance</w:t>
      </w:r>
      <w:r w:rsidRPr="00495DAB">
        <w:rPr>
          <w:rFonts w:ascii="Arial" w:hAnsi="Arial" w:cs="Arial"/>
          <w:sz w:val="24"/>
          <w:szCs w:val="24"/>
        </w:rPr>
        <w:t xml:space="preserve">); </w:t>
      </w:r>
      <w:r w:rsidR="00495DAB" w:rsidRPr="00495DAB">
        <w:rPr>
          <w:rFonts w:ascii="Arial" w:hAnsi="Arial" w:cs="Arial"/>
          <w:sz w:val="24"/>
          <w:szCs w:val="24"/>
        </w:rPr>
        <w:t>3</w:t>
      </w:r>
      <w:r w:rsidRPr="00495DAB">
        <w:rPr>
          <w:rFonts w:ascii="Arial" w:hAnsi="Arial" w:cs="Arial"/>
          <w:sz w:val="24"/>
          <w:szCs w:val="24"/>
        </w:rPr>
        <w:t xml:space="preserve"> </w:t>
      </w:r>
      <w:r w:rsidR="00495DAB" w:rsidRPr="00495DAB">
        <w:rPr>
          <w:rFonts w:ascii="Arial" w:hAnsi="Arial" w:cs="Arial"/>
          <w:sz w:val="24"/>
          <w:szCs w:val="24"/>
        </w:rPr>
        <w:t>failed in initial training and 4</w:t>
      </w:r>
      <w:r w:rsidRPr="00495DAB">
        <w:rPr>
          <w:rFonts w:ascii="Arial" w:hAnsi="Arial" w:cs="Arial"/>
          <w:sz w:val="24"/>
          <w:szCs w:val="24"/>
        </w:rPr>
        <w:t xml:space="preserve"> were hired, but failed to attend initial training. Our annual</w:t>
      </w:r>
      <w:r w:rsidR="00495DAB" w:rsidRPr="00495DAB">
        <w:rPr>
          <w:rFonts w:ascii="Arial" w:hAnsi="Arial" w:cs="Arial"/>
          <w:sz w:val="24"/>
          <w:szCs w:val="24"/>
        </w:rPr>
        <w:t xml:space="preserve"> turnover rate is currently 27.2</w:t>
      </w:r>
      <w:r w:rsidRPr="00495DAB">
        <w:rPr>
          <w:rFonts w:ascii="Arial" w:hAnsi="Arial" w:cs="Arial"/>
          <w:sz w:val="24"/>
          <w:szCs w:val="24"/>
        </w:rPr>
        <w:t xml:space="preserve">%, a slight </w:t>
      </w:r>
      <w:r w:rsidR="00495DAB" w:rsidRPr="00495DAB">
        <w:rPr>
          <w:rFonts w:ascii="Arial" w:hAnsi="Arial" w:cs="Arial"/>
          <w:sz w:val="24"/>
          <w:szCs w:val="24"/>
        </w:rPr>
        <w:t xml:space="preserve">increase on our performance over the last 12 months. We have reviewed each case in-depth to determine whether there is anything systemic that we can influence to improve </w:t>
      </w:r>
      <w:r w:rsidR="00495DAB">
        <w:rPr>
          <w:rFonts w:ascii="Arial" w:hAnsi="Arial" w:cs="Arial"/>
          <w:sz w:val="24"/>
          <w:szCs w:val="24"/>
        </w:rPr>
        <w:t xml:space="preserve">retention. Of the 34 leavers only one left for something that may have been resolvable (dissatisfaction with his supervisor) if we had known before resignation. In the case of all other leavers all the appropriate efforts and interventions had been made to try and retain the officers. </w:t>
      </w:r>
    </w:p>
    <w:p w:rsidR="00BB0ED2" w:rsidRDefault="00BB0ED2" w:rsidP="0030288C">
      <w:pPr>
        <w:pStyle w:val="NoSpacing"/>
        <w:ind w:left="720"/>
        <w:rPr>
          <w:rFonts w:ascii="Arial" w:hAnsi="Arial" w:cs="Arial"/>
          <w:sz w:val="24"/>
          <w:szCs w:val="24"/>
        </w:rPr>
      </w:pPr>
    </w:p>
    <w:p w:rsidR="0001733D" w:rsidRDefault="0001733D" w:rsidP="0030288C">
      <w:pPr>
        <w:pStyle w:val="NoSpacing"/>
        <w:ind w:left="720"/>
        <w:rPr>
          <w:rFonts w:ascii="Arial" w:hAnsi="Arial" w:cs="Arial"/>
          <w:sz w:val="24"/>
          <w:szCs w:val="24"/>
        </w:rPr>
      </w:pPr>
    </w:p>
    <w:p w:rsidR="0001733D" w:rsidRDefault="0001733D" w:rsidP="0030288C">
      <w:pPr>
        <w:pStyle w:val="NoSpacing"/>
        <w:ind w:left="720"/>
        <w:rPr>
          <w:rFonts w:ascii="Arial" w:hAnsi="Arial" w:cs="Arial"/>
          <w:sz w:val="24"/>
          <w:szCs w:val="24"/>
        </w:rPr>
      </w:pPr>
    </w:p>
    <w:p w:rsidR="0001733D" w:rsidRPr="007D3E9B" w:rsidRDefault="0001733D"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lastRenderedPageBreak/>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495DAB" w:rsidRDefault="00A0332C" w:rsidP="006279AB">
      <w:pPr>
        <w:pStyle w:val="NoSpacing"/>
        <w:ind w:left="720"/>
        <w:rPr>
          <w:rFonts w:ascii="Arial" w:hAnsi="Arial" w:cs="Arial"/>
          <w:sz w:val="24"/>
          <w:szCs w:val="24"/>
        </w:rPr>
      </w:pPr>
      <w:r>
        <w:rPr>
          <w:rFonts w:ascii="Arial" w:hAnsi="Arial" w:cs="Arial"/>
          <w:sz w:val="24"/>
          <w:szCs w:val="24"/>
        </w:rPr>
        <w:t xml:space="preserve">The greatest risk to the continued growth of the Special Constabulary remains the recruitment of regular officers. </w:t>
      </w:r>
    </w:p>
    <w:p w:rsidR="00A0332C" w:rsidRDefault="00A0332C" w:rsidP="006279AB">
      <w:pPr>
        <w:pStyle w:val="NoSpacing"/>
        <w:ind w:left="720"/>
        <w:rPr>
          <w:rFonts w:ascii="Arial" w:hAnsi="Arial" w:cs="Arial"/>
          <w:sz w:val="24"/>
          <w:szCs w:val="24"/>
        </w:rPr>
      </w:pPr>
    </w:p>
    <w:p w:rsidR="00A0332C" w:rsidRDefault="00005AD8" w:rsidP="006279AB">
      <w:pPr>
        <w:pStyle w:val="NoSpacing"/>
        <w:ind w:left="720"/>
        <w:rPr>
          <w:rFonts w:ascii="Arial" w:hAnsi="Arial" w:cs="Arial"/>
          <w:sz w:val="24"/>
          <w:szCs w:val="24"/>
        </w:rPr>
      </w:pPr>
      <w:r>
        <w:rPr>
          <w:rFonts w:ascii="Arial" w:hAnsi="Arial" w:cs="Arial"/>
          <w:sz w:val="24"/>
          <w:szCs w:val="24"/>
        </w:rPr>
        <w:t>T</w:t>
      </w:r>
      <w:r w:rsidR="00A0332C">
        <w:rPr>
          <w:rFonts w:ascii="Arial" w:hAnsi="Arial" w:cs="Arial"/>
          <w:sz w:val="24"/>
          <w:szCs w:val="24"/>
        </w:rPr>
        <w:t xml:space="preserve">he last 12 months </w:t>
      </w:r>
      <w:r w:rsidR="008450F2">
        <w:rPr>
          <w:rFonts w:ascii="Arial" w:hAnsi="Arial" w:cs="Arial"/>
          <w:sz w:val="24"/>
          <w:szCs w:val="24"/>
        </w:rPr>
        <w:t>has seen a steady growth, moving from a headcount of 416 in Feb 2018 to 499 at the end of Feb 2019, despite 124 leavers. We have recruited 207 new officers</w:t>
      </w:r>
      <w:r w:rsidR="008450F2">
        <w:rPr>
          <w:rStyle w:val="FootnoteReference"/>
          <w:rFonts w:ascii="Arial" w:hAnsi="Arial" w:cs="Arial"/>
          <w:sz w:val="24"/>
          <w:szCs w:val="24"/>
        </w:rPr>
        <w:footnoteReference w:id="3"/>
      </w:r>
      <w:r w:rsidR="008450F2">
        <w:rPr>
          <w:rFonts w:ascii="Arial" w:hAnsi="Arial" w:cs="Arial"/>
          <w:sz w:val="24"/>
          <w:szCs w:val="24"/>
        </w:rPr>
        <w:t xml:space="preserve"> in the last 12 months and both our surveying and anecdotal evidence suggests that circa 80% of those new starters intend to join the regulars. This suggests that there is a cohort of approximately 165 officers who have joined in the last year who have an intention to join the regulars. With the ambition of the for</w:t>
      </w:r>
      <w:r w:rsidR="00635778">
        <w:rPr>
          <w:rFonts w:ascii="Arial" w:hAnsi="Arial" w:cs="Arial"/>
          <w:sz w:val="24"/>
          <w:szCs w:val="24"/>
        </w:rPr>
        <w:t>ce to grow by an additional 215</w:t>
      </w:r>
      <w:r w:rsidR="008450F2">
        <w:rPr>
          <w:rFonts w:ascii="Arial" w:hAnsi="Arial" w:cs="Arial"/>
          <w:sz w:val="24"/>
          <w:szCs w:val="24"/>
        </w:rPr>
        <w:t xml:space="preserve"> regular officers over the next 12 months there is a significant risk that we will see increased attrition from existing Specials achieving independent patrol status and applying for the regular force. Independent Patrol Status </w:t>
      </w:r>
      <w:r w:rsidR="00C60D23">
        <w:rPr>
          <w:rFonts w:ascii="Arial" w:hAnsi="Arial" w:cs="Arial"/>
          <w:sz w:val="24"/>
          <w:szCs w:val="24"/>
        </w:rPr>
        <w:t xml:space="preserve">(IPS) </w:t>
      </w:r>
      <w:r w:rsidR="008450F2">
        <w:rPr>
          <w:rFonts w:ascii="Arial" w:hAnsi="Arial" w:cs="Arial"/>
          <w:sz w:val="24"/>
          <w:szCs w:val="24"/>
        </w:rPr>
        <w:t xml:space="preserve">is a landmark for potential applicants, both as a qualifying criteria for those who do not have the necessary academic qualifications and in allowing new starters to start their regular service at a higher pay point. </w:t>
      </w:r>
      <w:r w:rsidR="00C60D23">
        <w:rPr>
          <w:rFonts w:ascii="Arial" w:hAnsi="Arial" w:cs="Arial"/>
          <w:sz w:val="24"/>
          <w:szCs w:val="24"/>
        </w:rPr>
        <w:t xml:space="preserve">IPS is normally achieved after 12-18 months of service. </w:t>
      </w:r>
    </w:p>
    <w:p w:rsidR="00233A9C" w:rsidRDefault="00233A9C" w:rsidP="006279AB">
      <w:pPr>
        <w:pStyle w:val="NoSpacing"/>
        <w:ind w:left="720"/>
        <w:rPr>
          <w:rFonts w:ascii="Arial" w:hAnsi="Arial" w:cs="Arial"/>
          <w:sz w:val="24"/>
          <w:szCs w:val="24"/>
        </w:rPr>
      </w:pPr>
    </w:p>
    <w:p w:rsidR="00233A9C" w:rsidRDefault="00233A9C" w:rsidP="006279AB">
      <w:pPr>
        <w:pStyle w:val="NoSpacing"/>
        <w:ind w:left="720"/>
        <w:rPr>
          <w:rFonts w:ascii="Arial" w:hAnsi="Arial" w:cs="Arial"/>
          <w:sz w:val="24"/>
          <w:szCs w:val="24"/>
        </w:rPr>
      </w:pPr>
      <w:r>
        <w:rPr>
          <w:rFonts w:ascii="Arial" w:hAnsi="Arial" w:cs="Arial"/>
          <w:sz w:val="24"/>
          <w:szCs w:val="24"/>
        </w:rPr>
        <w:t>The threat this poses to continued growth of the Special Constabulary will be mitigated through:</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Extensive media campaign over the next financial year to ensure we attract sufficient applications to overcome any additional losses to the regulars. </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A media campaign that will specifically target those less likely to join as regulars e.g. those in their 30s and 40s who are earning in excess of £35k per annum. </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Maintaining focus on improving the volunteer experience and retention of those that do not intend to join the regulars </w:t>
      </w:r>
    </w:p>
    <w:p w:rsidR="00233A9C" w:rsidRDefault="00233A9C" w:rsidP="00233A9C">
      <w:pPr>
        <w:pStyle w:val="NoSpacing"/>
        <w:ind w:left="720"/>
        <w:rPr>
          <w:rFonts w:ascii="Arial" w:hAnsi="Arial" w:cs="Arial"/>
          <w:sz w:val="24"/>
          <w:szCs w:val="24"/>
        </w:rPr>
      </w:pPr>
    </w:p>
    <w:p w:rsidR="00233A9C" w:rsidRDefault="00233A9C" w:rsidP="00233A9C">
      <w:pPr>
        <w:pStyle w:val="NoSpacing"/>
        <w:ind w:left="720"/>
        <w:rPr>
          <w:rFonts w:ascii="Arial" w:hAnsi="Arial" w:cs="Arial"/>
          <w:sz w:val="24"/>
          <w:szCs w:val="24"/>
        </w:rPr>
      </w:pPr>
      <w:r>
        <w:rPr>
          <w:rFonts w:ascii="Arial" w:hAnsi="Arial" w:cs="Arial"/>
          <w:sz w:val="24"/>
          <w:szCs w:val="24"/>
        </w:rPr>
        <w:t xml:space="preserve">Specials joining the </w:t>
      </w:r>
      <w:r w:rsidR="00C60D23">
        <w:rPr>
          <w:rFonts w:ascii="Arial" w:hAnsi="Arial" w:cs="Arial"/>
          <w:sz w:val="24"/>
          <w:szCs w:val="24"/>
        </w:rPr>
        <w:t>regulars is not necessarily a negative for Essex Police – it is a legitimate route into the force and allows Essex Police to recruit officers that are already vetted, have proven capability in the role and who know they want to remain in the organisation - however, it is likely to continue to adversely impact on the specific ambitions for the Special Constabulary.</w:t>
      </w:r>
    </w:p>
    <w:p w:rsidR="00495DAB" w:rsidRDefault="00495DAB" w:rsidP="006279AB">
      <w:pPr>
        <w:pStyle w:val="NoSpacing"/>
        <w:ind w:left="720"/>
        <w:rPr>
          <w:rFonts w:ascii="Arial" w:hAnsi="Arial" w:cs="Arial"/>
          <w:sz w:val="24"/>
          <w:szCs w:val="24"/>
        </w:rPr>
      </w:pPr>
    </w:p>
    <w:p w:rsidR="00BF02BC" w:rsidRDefault="00005AD8" w:rsidP="006279AB">
      <w:pPr>
        <w:pStyle w:val="NoSpacing"/>
        <w:ind w:left="720"/>
        <w:rPr>
          <w:rFonts w:ascii="Arial" w:hAnsi="Arial" w:cs="Arial"/>
          <w:sz w:val="24"/>
          <w:szCs w:val="24"/>
        </w:rPr>
      </w:pPr>
      <w:r>
        <w:rPr>
          <w:rFonts w:ascii="Arial" w:hAnsi="Arial" w:cs="Arial"/>
          <w:sz w:val="24"/>
          <w:szCs w:val="24"/>
        </w:rPr>
        <w:t xml:space="preserve">In the last report to this board </w:t>
      </w:r>
      <w:r w:rsidR="00AA4196">
        <w:rPr>
          <w:rFonts w:ascii="Arial" w:hAnsi="Arial" w:cs="Arial"/>
          <w:sz w:val="24"/>
          <w:szCs w:val="24"/>
        </w:rPr>
        <w:t>we</w:t>
      </w:r>
      <w:r>
        <w:rPr>
          <w:rFonts w:ascii="Arial" w:hAnsi="Arial" w:cs="Arial"/>
          <w:sz w:val="24"/>
          <w:szCs w:val="24"/>
        </w:rPr>
        <w:t xml:space="preserve"> reported on concerns of a steady decline in the conversion rate from “apply now” clicks to actual completed applications (</w:t>
      </w:r>
      <w:proofErr w:type="spellStart"/>
      <w:r>
        <w:rPr>
          <w:rFonts w:ascii="Arial" w:hAnsi="Arial" w:cs="Arial"/>
          <w:sz w:val="24"/>
          <w:szCs w:val="24"/>
        </w:rPr>
        <w:t>SF:App</w:t>
      </w:r>
      <w:proofErr w:type="spellEnd"/>
      <w:r>
        <w:rPr>
          <w:rFonts w:ascii="Arial" w:hAnsi="Arial" w:cs="Arial"/>
          <w:sz w:val="24"/>
          <w:szCs w:val="24"/>
        </w:rPr>
        <w:t xml:space="preserve"> Ratio). This had reduced to 15% in the previous quarter. In response we made some amendments to the Success Factors landing page to give some clearer </w:t>
      </w:r>
      <w:r w:rsidR="00AA4196">
        <w:rPr>
          <w:rFonts w:ascii="Arial" w:hAnsi="Arial" w:cs="Arial"/>
          <w:sz w:val="24"/>
          <w:szCs w:val="24"/>
        </w:rPr>
        <w:t xml:space="preserve">information and encourage application. In the last 3 months we have seen an improvement where 22% of people clicking “apply now” on our website go on to complete an application. </w:t>
      </w:r>
      <w:r w:rsidR="00D42F84">
        <w:rPr>
          <w:rFonts w:ascii="Arial" w:hAnsi="Arial" w:cs="Arial"/>
          <w:sz w:val="24"/>
          <w:szCs w:val="24"/>
        </w:rPr>
        <w:t>Further work will be done to improve this through</w:t>
      </w:r>
      <w:r w:rsidR="00233A9C">
        <w:rPr>
          <w:rFonts w:ascii="Arial" w:hAnsi="Arial" w:cs="Arial"/>
          <w:sz w:val="24"/>
          <w:szCs w:val="24"/>
        </w:rPr>
        <w:t xml:space="preserve"> our marketing provider over the next financial year.</w:t>
      </w:r>
    </w:p>
    <w:p w:rsidR="00573FD9"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DE0935" w:rsidRPr="003B4522" w:rsidRDefault="00DE0935" w:rsidP="00DE0935">
      <w:pPr>
        <w:pStyle w:val="NoSpacing"/>
        <w:ind w:left="709"/>
        <w:rPr>
          <w:rFonts w:ascii="Arial" w:hAnsi="Arial" w:cs="Arial"/>
          <w:sz w:val="24"/>
          <w:szCs w:val="24"/>
        </w:rPr>
      </w:pPr>
      <w:r w:rsidRPr="003B4522">
        <w:rPr>
          <w:rFonts w:ascii="Arial" w:hAnsi="Arial" w:cs="Arial"/>
          <w:sz w:val="24"/>
          <w:szCs w:val="24"/>
        </w:rPr>
        <w:t>The Police and Crime Plan 2016-20 states that the PFCC will: “boost community volunteering, encourage the Active Citizen Programme and grow the police family – doubling the Special Constabulary, with a Special Constable in every community”</w:t>
      </w:r>
    </w:p>
    <w:p w:rsidR="00411145" w:rsidRDefault="0041114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Pr>
          <w:rFonts w:ascii="Arial" w:hAnsi="Arial" w:cs="Arial"/>
          <w:sz w:val="24"/>
          <w:szCs w:val="24"/>
        </w:rPr>
        <w:lastRenderedPageBreak/>
        <w:t>The Spec</w:t>
      </w:r>
      <w:r w:rsidR="00C60D23">
        <w:rPr>
          <w:rFonts w:ascii="Arial" w:hAnsi="Arial" w:cs="Arial"/>
          <w:sz w:val="24"/>
          <w:szCs w:val="24"/>
        </w:rPr>
        <w:t>ial Constabulary has grown by 43</w:t>
      </w:r>
      <w:r>
        <w:rPr>
          <w:rFonts w:ascii="Arial" w:hAnsi="Arial" w:cs="Arial"/>
          <w:sz w:val="24"/>
          <w:szCs w:val="24"/>
        </w:rPr>
        <w:t xml:space="preserve">% since September 2016. Whilst this is not as significant as intended at the outset of the programme, set within the context of a significant reduction in numbers of Specials nationally and our active recruitment of regular officers, this stands as a considerable achievement. </w:t>
      </w:r>
    </w:p>
    <w:p w:rsidR="00DE0935" w:rsidRDefault="00DE093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Pr>
          <w:rFonts w:ascii="Arial" w:hAnsi="Arial" w:cs="Arial"/>
          <w:sz w:val="24"/>
          <w:szCs w:val="24"/>
        </w:rPr>
        <w:t xml:space="preserve">We already have Special Constables aligned to all our DPA Community Policing Teams. The Community Special Constables initiative is starting to gain traction as more applications are received and officers who applied for that scheme attest. </w:t>
      </w:r>
      <w:r w:rsidR="00C60D23">
        <w:rPr>
          <w:rFonts w:ascii="Arial" w:hAnsi="Arial" w:cs="Arial"/>
          <w:sz w:val="24"/>
          <w:szCs w:val="24"/>
        </w:rPr>
        <w:t xml:space="preserve">Our Community Special Constables initiative is now seeing officers recruited to work on an even more localised area in Witham, Halstead, Buckhurst Hill, West Bergholt and West </w:t>
      </w:r>
      <w:proofErr w:type="spellStart"/>
      <w:r w:rsidR="00C60D23">
        <w:rPr>
          <w:rFonts w:ascii="Arial" w:hAnsi="Arial" w:cs="Arial"/>
          <w:sz w:val="24"/>
          <w:szCs w:val="24"/>
        </w:rPr>
        <w:t>Mersea</w:t>
      </w:r>
      <w:proofErr w:type="spellEnd"/>
      <w:r w:rsidR="00C60D23">
        <w:rPr>
          <w:rFonts w:ascii="Arial" w:hAnsi="Arial" w:cs="Arial"/>
          <w:sz w:val="24"/>
          <w:szCs w:val="24"/>
        </w:rPr>
        <w:t>, with more to come</w:t>
      </w:r>
      <w:r>
        <w:rPr>
          <w:rFonts w:ascii="Arial" w:hAnsi="Arial" w:cs="Arial"/>
          <w:sz w:val="24"/>
          <w:szCs w:val="24"/>
        </w:rPr>
        <w:t xml:space="preserve">. </w:t>
      </w:r>
    </w:p>
    <w:p w:rsidR="00DE0935" w:rsidRDefault="00DE093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DE0935" w:rsidRDefault="00DE0935" w:rsidP="00DE0935">
      <w:pPr>
        <w:pStyle w:val="NoSpacing"/>
        <w:ind w:left="709"/>
        <w:rPr>
          <w:rFonts w:ascii="Arial" w:hAnsi="Arial" w:cs="Arial"/>
          <w:sz w:val="24"/>
          <w:szCs w:val="24"/>
        </w:rPr>
      </w:pPr>
      <w:r>
        <w:rPr>
          <w:rFonts w:ascii="Arial" w:hAnsi="Arial" w:cs="Arial"/>
          <w:sz w:val="24"/>
          <w:szCs w:val="24"/>
        </w:rPr>
        <w:t>The impact on demand is best measured through contribution of operational hours. The improvements in operational performance were described in section 5.2.</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DE0935" w:rsidRDefault="00DE0935" w:rsidP="00DE0935">
      <w:pPr>
        <w:spacing w:after="0" w:line="240" w:lineRule="auto"/>
        <w:ind w:left="720"/>
        <w:rPr>
          <w:rFonts w:ascii="Arial" w:hAnsi="Arial" w:cs="Arial"/>
          <w:sz w:val="24"/>
          <w:szCs w:val="24"/>
        </w:rPr>
      </w:pPr>
      <w:r w:rsidRPr="009457BC">
        <w:rPr>
          <w:rFonts w:ascii="Arial" w:hAnsi="Arial" w:cs="Arial"/>
          <w:sz w:val="24"/>
          <w:szCs w:val="24"/>
        </w:rPr>
        <w:t>The following red risks are identified on the force risk register:</w:t>
      </w:r>
    </w:p>
    <w:p w:rsidR="00DE0935" w:rsidRPr="009457BC" w:rsidRDefault="00DE0935" w:rsidP="00DE0935">
      <w:pPr>
        <w:spacing w:after="0" w:line="240" w:lineRule="auto"/>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937"/>
        <w:gridCol w:w="890"/>
        <w:gridCol w:w="1843"/>
        <w:gridCol w:w="5346"/>
      </w:tblGrid>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t>URN</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Score</w:t>
            </w:r>
          </w:p>
        </w:tc>
        <w:tc>
          <w:tcPr>
            <w:tcW w:w="1843" w:type="dxa"/>
          </w:tcPr>
          <w:p w:rsidR="00DE0935" w:rsidRPr="009457BC" w:rsidRDefault="00DE0935" w:rsidP="00AA4196">
            <w:pPr>
              <w:rPr>
                <w:rFonts w:ascii="Arial" w:hAnsi="Arial" w:cs="Arial"/>
                <w:sz w:val="24"/>
                <w:szCs w:val="24"/>
              </w:rPr>
            </w:pPr>
            <w:r w:rsidRPr="009457BC">
              <w:rPr>
                <w:rFonts w:ascii="Arial" w:hAnsi="Arial" w:cs="Arial"/>
                <w:sz w:val="24"/>
                <w:szCs w:val="24"/>
              </w:rPr>
              <w:t>Risk</w:t>
            </w:r>
          </w:p>
        </w:tc>
        <w:tc>
          <w:tcPr>
            <w:tcW w:w="5346" w:type="dxa"/>
          </w:tcPr>
          <w:p w:rsidR="00DE0935" w:rsidRPr="009457BC" w:rsidRDefault="00DE0935" w:rsidP="00AA4196">
            <w:pPr>
              <w:rPr>
                <w:rFonts w:ascii="Arial" w:hAnsi="Arial" w:cs="Arial"/>
                <w:sz w:val="24"/>
                <w:szCs w:val="24"/>
              </w:rPr>
            </w:pPr>
            <w:r w:rsidRPr="009457BC">
              <w:rPr>
                <w:rFonts w:ascii="Arial" w:hAnsi="Arial" w:cs="Arial"/>
                <w:sz w:val="24"/>
                <w:szCs w:val="24"/>
              </w:rPr>
              <w:t>Rationale</w:t>
            </w:r>
          </w:p>
        </w:tc>
      </w:tr>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t>1196</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40 - Red</w:t>
            </w:r>
          </w:p>
        </w:tc>
        <w:tc>
          <w:tcPr>
            <w:tcW w:w="1843" w:type="dxa"/>
          </w:tcPr>
          <w:p w:rsidR="00DE0935" w:rsidRPr="009457BC" w:rsidRDefault="00DE0935" w:rsidP="00AA4196">
            <w:pPr>
              <w:rPr>
                <w:rFonts w:ascii="Arial" w:hAnsi="Arial" w:cs="Arial"/>
                <w:sz w:val="24"/>
                <w:szCs w:val="24"/>
              </w:rPr>
            </w:pPr>
            <w:r w:rsidRPr="009457BC">
              <w:rPr>
                <w:rFonts w:ascii="Arial" w:hAnsi="Arial"/>
                <w:sz w:val="24"/>
              </w:rPr>
              <w:t>Unable to meet the Special Constabulary establishment target due to Force recruitment.</w:t>
            </w:r>
          </w:p>
        </w:tc>
        <w:tc>
          <w:tcPr>
            <w:tcW w:w="5346" w:type="dxa"/>
          </w:tcPr>
          <w:p w:rsidR="00DE0935" w:rsidRPr="009457BC" w:rsidRDefault="000832E8" w:rsidP="000832E8">
            <w:pPr>
              <w:rPr>
                <w:rFonts w:ascii="Arial" w:hAnsi="Arial" w:cs="Arial"/>
                <w:sz w:val="24"/>
                <w:szCs w:val="24"/>
              </w:rPr>
            </w:pPr>
            <w:r w:rsidRPr="000832E8">
              <w:rPr>
                <w:rFonts w:ascii="Arial" w:hAnsi="Arial" w:cs="Arial"/>
                <w:sz w:val="24"/>
                <w:szCs w:val="24"/>
              </w:rPr>
              <w:t>Surveying continues to show that the majority of Specials are joining with a future in</w:t>
            </w:r>
            <w:r w:rsidR="00C60D23">
              <w:rPr>
                <w:rFonts w:ascii="Arial" w:hAnsi="Arial" w:cs="Arial"/>
                <w:sz w:val="24"/>
                <w:szCs w:val="24"/>
              </w:rPr>
              <w:t>tention to join the regulars - 8</w:t>
            </w:r>
            <w:r w:rsidRPr="000832E8">
              <w:rPr>
                <w:rFonts w:ascii="Arial" w:hAnsi="Arial" w:cs="Arial"/>
                <w:sz w:val="24"/>
                <w:szCs w:val="24"/>
              </w:rPr>
              <w:t>0% of new starters tells us they intend to join up. In the last 12 months we have seen 37 officers leave to join the re</w:t>
            </w:r>
            <w:r w:rsidR="00C60D23">
              <w:rPr>
                <w:rFonts w:ascii="Arial" w:hAnsi="Arial" w:cs="Arial"/>
                <w:sz w:val="24"/>
                <w:szCs w:val="24"/>
              </w:rPr>
              <w:t>gulars, this is equivalent to 18</w:t>
            </w:r>
            <w:r w:rsidRPr="000832E8">
              <w:rPr>
                <w:rFonts w:ascii="Arial" w:hAnsi="Arial" w:cs="Arial"/>
                <w:sz w:val="24"/>
                <w:szCs w:val="24"/>
              </w:rPr>
              <w:t>% of new starters over the same time period. As officers who have been recruited under the current campaign reach independent patrol status we anticipate seeing an increase number of applications. Anecdotally the recruitment team state that they is an increase in the number of Specials applying for the regulars.</w:t>
            </w:r>
          </w:p>
        </w:tc>
      </w:tr>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t>1659</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40 - Red</w:t>
            </w:r>
          </w:p>
        </w:tc>
        <w:tc>
          <w:tcPr>
            <w:tcW w:w="1843" w:type="dxa"/>
          </w:tcPr>
          <w:p w:rsidR="00DE0935" w:rsidRPr="009457BC" w:rsidRDefault="00DE0935" w:rsidP="00AA4196">
            <w:pPr>
              <w:rPr>
                <w:rFonts w:ascii="Arial" w:hAnsi="Arial" w:cs="Arial"/>
                <w:sz w:val="24"/>
                <w:szCs w:val="24"/>
              </w:rPr>
            </w:pPr>
            <w:r w:rsidRPr="009457BC">
              <w:rPr>
                <w:rFonts w:ascii="Arial" w:hAnsi="Arial"/>
                <w:sz w:val="24"/>
              </w:rPr>
              <w:t>Regular recruitment compromising Specials recruitment</w:t>
            </w:r>
          </w:p>
        </w:tc>
        <w:tc>
          <w:tcPr>
            <w:tcW w:w="5346" w:type="dxa"/>
          </w:tcPr>
          <w:p w:rsidR="00DE0935" w:rsidRPr="009457BC" w:rsidRDefault="006C3581" w:rsidP="006C3581">
            <w:pPr>
              <w:rPr>
                <w:rFonts w:ascii="Arial" w:hAnsi="Arial" w:cs="Arial"/>
                <w:sz w:val="24"/>
                <w:szCs w:val="24"/>
              </w:rPr>
            </w:pPr>
            <w:r>
              <w:rPr>
                <w:rFonts w:ascii="Arial" w:hAnsi="Arial" w:cs="Arial"/>
                <w:sz w:val="24"/>
                <w:szCs w:val="24"/>
              </w:rPr>
              <w:t xml:space="preserve">Subject to local and national funding decisions, </w:t>
            </w:r>
            <w:r w:rsidR="00DE0935" w:rsidRPr="00125D44">
              <w:rPr>
                <w:rFonts w:ascii="Arial" w:hAnsi="Arial" w:cs="Arial"/>
                <w:sz w:val="24"/>
                <w:szCs w:val="24"/>
              </w:rPr>
              <w:t xml:space="preserve">Essex Police </w:t>
            </w:r>
            <w:r>
              <w:rPr>
                <w:rFonts w:ascii="Arial" w:hAnsi="Arial" w:cs="Arial"/>
                <w:sz w:val="24"/>
                <w:szCs w:val="24"/>
              </w:rPr>
              <w:t>hopes</w:t>
            </w:r>
            <w:r w:rsidR="00DE0935" w:rsidRPr="00125D44">
              <w:rPr>
                <w:rFonts w:ascii="Arial" w:hAnsi="Arial" w:cs="Arial"/>
                <w:sz w:val="24"/>
                <w:szCs w:val="24"/>
              </w:rPr>
              <w:t xml:space="preserve"> to increase establishment </w:t>
            </w:r>
            <w:r>
              <w:rPr>
                <w:rFonts w:ascii="Arial" w:hAnsi="Arial" w:cs="Arial"/>
                <w:sz w:val="24"/>
                <w:szCs w:val="24"/>
              </w:rPr>
              <w:t>beyond</w:t>
            </w:r>
            <w:r w:rsidR="00DE0935" w:rsidRPr="00125D44">
              <w:rPr>
                <w:rFonts w:ascii="Arial" w:hAnsi="Arial" w:cs="Arial"/>
                <w:sz w:val="24"/>
                <w:szCs w:val="24"/>
              </w:rPr>
              <w:t xml:space="preserve"> 3,000 officers in the next 12 months. This means that the current regular recruitment campaign will continue. The launch of the #</w:t>
            </w:r>
            <w:proofErr w:type="spellStart"/>
            <w:r w:rsidR="00DE0935" w:rsidRPr="00125D44">
              <w:rPr>
                <w:rFonts w:ascii="Arial" w:hAnsi="Arial" w:cs="Arial"/>
                <w:sz w:val="24"/>
                <w:szCs w:val="24"/>
              </w:rPr>
              <w:t>FitTheBill</w:t>
            </w:r>
            <w:proofErr w:type="spellEnd"/>
            <w:r w:rsidR="00DE0935" w:rsidRPr="00125D44">
              <w:rPr>
                <w:rFonts w:ascii="Arial" w:hAnsi="Arial" w:cs="Arial"/>
                <w:sz w:val="24"/>
                <w:szCs w:val="24"/>
              </w:rPr>
              <w:t xml:space="preserve"> campaign saw a marked reduction in applications to the Specials and reduced the capacity for Specials recruitment messages on our social media platforms. Where forces have previously succeeded in doubling the size of the Special Constabulary (Northants, West </w:t>
            </w:r>
            <w:proofErr w:type="spellStart"/>
            <w:r w:rsidR="00DE0935" w:rsidRPr="00125D44">
              <w:rPr>
                <w:rFonts w:ascii="Arial" w:hAnsi="Arial" w:cs="Arial"/>
                <w:sz w:val="24"/>
                <w:szCs w:val="24"/>
              </w:rPr>
              <w:t>Yorks</w:t>
            </w:r>
            <w:proofErr w:type="spellEnd"/>
            <w:r w:rsidR="00DE0935" w:rsidRPr="00125D44">
              <w:rPr>
                <w:rFonts w:ascii="Arial" w:hAnsi="Arial" w:cs="Arial"/>
                <w:sz w:val="24"/>
                <w:szCs w:val="24"/>
              </w:rPr>
              <w:t>) this was done in an environment where the forces were not also recruiting regulars.</w:t>
            </w:r>
          </w:p>
        </w:tc>
      </w:tr>
    </w:tbl>
    <w:p w:rsidR="00DE0935" w:rsidRDefault="00DE0935" w:rsidP="00DE0935">
      <w:pPr>
        <w:spacing w:after="0" w:line="240" w:lineRule="auto"/>
        <w:ind w:left="709"/>
        <w:contextualSpacing/>
        <w:rPr>
          <w:rFonts w:ascii="Arial" w:hAnsi="Arial"/>
          <w:sz w:val="24"/>
        </w:rPr>
      </w:pPr>
    </w:p>
    <w:p w:rsidR="0095101C" w:rsidRPr="007D3E9B" w:rsidRDefault="0095101C" w:rsidP="00DE0935">
      <w:pPr>
        <w:spacing w:after="0" w:line="240" w:lineRule="auto"/>
        <w:ind w:left="709"/>
        <w:contextualSpacing/>
        <w:rPr>
          <w:rFonts w:ascii="Arial" w:hAnsi="Arial"/>
          <w:sz w:val="24"/>
        </w:rPr>
      </w:pP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6C3581" w:rsidRDefault="006C3581" w:rsidP="006C3581">
      <w:pPr>
        <w:pStyle w:val="NoSpacing"/>
        <w:ind w:left="720"/>
        <w:rPr>
          <w:rFonts w:ascii="Arial" w:hAnsi="Arial" w:cs="Arial"/>
          <w:sz w:val="24"/>
          <w:szCs w:val="24"/>
        </w:rPr>
      </w:pPr>
      <w:r>
        <w:rPr>
          <w:rFonts w:ascii="Arial" w:hAnsi="Arial" w:cs="Arial"/>
          <w:sz w:val="24"/>
          <w:szCs w:val="24"/>
        </w:rPr>
        <w:t>There are no specific equality or human rights implications in this paper.</w:t>
      </w:r>
    </w:p>
    <w:p w:rsidR="001D5222" w:rsidRDefault="001D5222" w:rsidP="00DE144B">
      <w:pPr>
        <w:pStyle w:val="NoSpacing"/>
        <w:ind w:left="720"/>
        <w:rPr>
          <w:rFonts w:ascii="Arial" w:hAnsi="Arial" w:cs="Arial"/>
          <w:b/>
          <w:sz w:val="24"/>
          <w:szCs w:val="24"/>
        </w:rPr>
      </w:pPr>
    </w:p>
    <w:p w:rsidR="00C63DE1" w:rsidRPr="00DE144B" w:rsidRDefault="00C63DE1"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6C3581" w:rsidRDefault="006C3581" w:rsidP="003832F7">
      <w:pPr>
        <w:pStyle w:val="NoSpacing"/>
        <w:ind w:left="709"/>
        <w:rPr>
          <w:rFonts w:ascii="Arial" w:hAnsi="Arial" w:cs="Arial"/>
          <w:sz w:val="24"/>
          <w:szCs w:val="24"/>
        </w:rPr>
      </w:pPr>
      <w:r>
        <w:rPr>
          <w:rFonts w:ascii="Arial" w:hAnsi="Arial" w:cs="Arial"/>
          <w:sz w:val="24"/>
          <w:szCs w:val="24"/>
        </w:rPr>
        <w:t>There are no specific health and safety implications in this paper.</w:t>
      </w:r>
    </w:p>
    <w:p w:rsidR="006C3581" w:rsidRPr="007D3E9B" w:rsidRDefault="006C3581"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C60D23" w:rsidRPr="00C60D23" w:rsidRDefault="006C3581" w:rsidP="00C60D23">
      <w:pPr>
        <w:pStyle w:val="NoSpacing"/>
        <w:numPr>
          <w:ilvl w:val="0"/>
          <w:numId w:val="13"/>
        </w:numPr>
        <w:rPr>
          <w:rFonts w:ascii="Arial" w:hAnsi="Arial" w:cs="Arial"/>
          <w:sz w:val="24"/>
          <w:szCs w:val="24"/>
        </w:rPr>
      </w:pPr>
      <w:r>
        <w:rPr>
          <w:rFonts w:ascii="Arial" w:hAnsi="Arial" w:cs="Arial"/>
          <w:sz w:val="24"/>
          <w:szCs w:val="24"/>
        </w:rPr>
        <w:t>Becky Humphreys &amp; Allison Bentley – Corporate HR</w:t>
      </w:r>
    </w:p>
    <w:p w:rsidR="006C3581" w:rsidRPr="00DB37F5" w:rsidRDefault="006C3581" w:rsidP="006C3581">
      <w:pPr>
        <w:pStyle w:val="NoSpacing"/>
        <w:numPr>
          <w:ilvl w:val="0"/>
          <w:numId w:val="13"/>
        </w:numPr>
        <w:rPr>
          <w:rFonts w:ascii="Arial" w:hAnsi="Arial" w:cs="Arial"/>
          <w:sz w:val="24"/>
          <w:szCs w:val="24"/>
        </w:rPr>
      </w:pPr>
      <w:proofErr w:type="spellStart"/>
      <w:r>
        <w:rPr>
          <w:rFonts w:ascii="Arial" w:hAnsi="Arial" w:cs="Arial"/>
          <w:sz w:val="24"/>
          <w:szCs w:val="24"/>
        </w:rPr>
        <w:t>Pru</w:t>
      </w:r>
      <w:proofErr w:type="spellEnd"/>
      <w:r>
        <w:rPr>
          <w:rFonts w:ascii="Arial" w:hAnsi="Arial" w:cs="Arial"/>
          <w:sz w:val="24"/>
          <w:szCs w:val="24"/>
        </w:rPr>
        <w:t xml:space="preserve"> Witherspoon – Media</w:t>
      </w:r>
    </w:p>
    <w:p w:rsidR="006C3581" w:rsidRDefault="006C3581" w:rsidP="006C3581">
      <w:pPr>
        <w:pStyle w:val="NoSpacing"/>
        <w:numPr>
          <w:ilvl w:val="0"/>
          <w:numId w:val="13"/>
        </w:numPr>
        <w:rPr>
          <w:rFonts w:ascii="Arial" w:hAnsi="Arial" w:cs="Arial"/>
          <w:sz w:val="24"/>
          <w:szCs w:val="24"/>
        </w:rPr>
      </w:pPr>
      <w:r>
        <w:rPr>
          <w:rFonts w:ascii="Arial" w:hAnsi="Arial" w:cs="Arial"/>
          <w:sz w:val="24"/>
          <w:szCs w:val="24"/>
        </w:rPr>
        <w:t>Jason Poole – Learning &amp; Development</w:t>
      </w:r>
    </w:p>
    <w:p w:rsidR="00C60D23" w:rsidRDefault="00C60D23" w:rsidP="006C3581">
      <w:pPr>
        <w:pStyle w:val="NoSpacing"/>
        <w:numPr>
          <w:ilvl w:val="0"/>
          <w:numId w:val="13"/>
        </w:numPr>
        <w:rPr>
          <w:rFonts w:ascii="Arial" w:hAnsi="Arial" w:cs="Arial"/>
          <w:sz w:val="24"/>
          <w:szCs w:val="24"/>
        </w:rPr>
      </w:pPr>
      <w:r>
        <w:rPr>
          <w:rFonts w:ascii="Arial" w:hAnsi="Arial" w:cs="Arial"/>
          <w:sz w:val="24"/>
          <w:szCs w:val="24"/>
        </w:rPr>
        <w:t>Les Hawkins – Supported Policing Champion</w:t>
      </w:r>
    </w:p>
    <w:p w:rsidR="00C60D23" w:rsidRPr="006C3581" w:rsidRDefault="00C60D23" w:rsidP="006C3581">
      <w:pPr>
        <w:pStyle w:val="NoSpacing"/>
        <w:numPr>
          <w:ilvl w:val="0"/>
          <w:numId w:val="13"/>
        </w:num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Stovell</w:t>
      </w:r>
      <w:proofErr w:type="spellEnd"/>
      <w:r>
        <w:rPr>
          <w:rFonts w:ascii="Arial" w:hAnsi="Arial" w:cs="Arial"/>
          <w:sz w:val="24"/>
          <w:szCs w:val="24"/>
        </w:rPr>
        <w:t xml:space="preserve"> – Corporate Finance</w:t>
      </w:r>
    </w:p>
    <w:p w:rsidR="006C3581" w:rsidRPr="007D3E9B" w:rsidRDefault="006C3581" w:rsidP="006C3581">
      <w:pPr>
        <w:pStyle w:val="NoSpacing"/>
        <w:ind w:left="142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821953" w:rsidRPr="007D3E9B" w:rsidRDefault="00821953" w:rsidP="00821953">
      <w:pPr>
        <w:pStyle w:val="NoSpacing"/>
        <w:ind w:left="720"/>
        <w:rPr>
          <w:rFonts w:ascii="Arial" w:hAnsi="Arial" w:cs="Arial"/>
          <w:sz w:val="24"/>
          <w:szCs w:val="24"/>
        </w:rPr>
      </w:pPr>
      <w:r>
        <w:rPr>
          <w:rFonts w:ascii="Arial" w:hAnsi="Arial" w:cs="Arial"/>
          <w:sz w:val="24"/>
          <w:szCs w:val="24"/>
        </w:rPr>
        <w:t xml:space="preserve">The action taken to </w:t>
      </w:r>
      <w:r w:rsidR="00C60D23">
        <w:rPr>
          <w:rFonts w:ascii="Arial" w:hAnsi="Arial" w:cs="Arial"/>
          <w:sz w:val="24"/>
          <w:szCs w:val="24"/>
        </w:rPr>
        <w:t>sustain</w:t>
      </w:r>
      <w:r>
        <w:rPr>
          <w:rFonts w:ascii="Arial" w:hAnsi="Arial" w:cs="Arial"/>
          <w:sz w:val="24"/>
          <w:szCs w:val="24"/>
        </w:rPr>
        <w:t xml:space="preserve"> recruitment over the last quarter has been summarised in section 5.1 above. </w:t>
      </w:r>
    </w:p>
    <w:p w:rsidR="007D3E9B" w:rsidRDefault="007D3E9B" w:rsidP="00C654B8">
      <w:pPr>
        <w:pStyle w:val="NoSpacing"/>
        <w:ind w:left="709"/>
        <w:rPr>
          <w:rFonts w:ascii="Arial" w:hAnsi="Arial" w:cs="Arial"/>
          <w:sz w:val="24"/>
          <w:szCs w:val="24"/>
        </w:rPr>
      </w:pPr>
    </w:p>
    <w:p w:rsidR="00821953" w:rsidRPr="007D3E9B" w:rsidRDefault="00821953"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C60D23" w:rsidRDefault="000D4FE5" w:rsidP="00821953">
      <w:pPr>
        <w:spacing w:after="0" w:line="240" w:lineRule="auto"/>
        <w:ind w:left="720"/>
        <w:contextualSpacing/>
        <w:rPr>
          <w:rFonts w:ascii="Arial" w:hAnsi="Arial" w:cs="Arial"/>
          <w:sz w:val="24"/>
          <w:szCs w:val="24"/>
        </w:rPr>
      </w:pPr>
      <w:r>
        <w:rPr>
          <w:rFonts w:ascii="Arial" w:hAnsi="Arial" w:cs="Arial"/>
          <w:b/>
          <w:sz w:val="24"/>
          <w:szCs w:val="24"/>
        </w:rPr>
        <w:t xml:space="preserve">9.0.1  </w:t>
      </w:r>
      <w:r w:rsidR="00207E90">
        <w:rPr>
          <w:rFonts w:ascii="Arial" w:hAnsi="Arial" w:cs="Arial"/>
          <w:b/>
          <w:sz w:val="24"/>
          <w:szCs w:val="24"/>
        </w:rPr>
        <w:tab/>
      </w:r>
      <w:r>
        <w:rPr>
          <w:rFonts w:ascii="Arial" w:hAnsi="Arial" w:cs="Arial"/>
          <w:b/>
          <w:sz w:val="24"/>
          <w:szCs w:val="24"/>
        </w:rPr>
        <w:t>Recruitment 2019/20</w:t>
      </w:r>
    </w:p>
    <w:p w:rsidR="00C60D23" w:rsidRDefault="00C60D23" w:rsidP="00821953">
      <w:pPr>
        <w:spacing w:after="0" w:line="240" w:lineRule="auto"/>
        <w:ind w:left="720"/>
        <w:contextualSpacing/>
        <w:rPr>
          <w:rFonts w:ascii="Arial" w:hAnsi="Arial" w:cs="Arial"/>
          <w:sz w:val="24"/>
          <w:szCs w:val="24"/>
        </w:rPr>
      </w:pPr>
    </w:p>
    <w:p w:rsidR="000D4FE5" w:rsidRDefault="000D4FE5" w:rsidP="000D4FE5">
      <w:pPr>
        <w:pStyle w:val="NoSpacing"/>
        <w:ind w:left="720"/>
        <w:rPr>
          <w:rFonts w:ascii="Arial" w:hAnsi="Arial" w:cs="Arial"/>
          <w:sz w:val="24"/>
          <w:szCs w:val="24"/>
        </w:rPr>
      </w:pPr>
      <w:r>
        <w:rPr>
          <w:rFonts w:ascii="Arial" w:hAnsi="Arial" w:cs="Arial"/>
          <w:sz w:val="24"/>
          <w:szCs w:val="24"/>
        </w:rPr>
        <w:t>The 2019/20 Recruitment Timetable is set out as follows:</w:t>
      </w:r>
    </w:p>
    <w:p w:rsidR="000D4FE5" w:rsidRDefault="000D4FE5" w:rsidP="000D4FE5">
      <w:pPr>
        <w:pStyle w:val="NoSpacing"/>
        <w:ind w:left="720"/>
        <w:rPr>
          <w:rFonts w:ascii="Arial" w:hAnsi="Arial" w:cs="Arial"/>
          <w:sz w:val="24"/>
          <w:szCs w:val="24"/>
        </w:rPr>
      </w:pPr>
    </w:p>
    <w:tbl>
      <w:tblPr>
        <w:tblW w:w="6817" w:type="dxa"/>
        <w:tblLook w:val="04A0" w:firstRow="1" w:lastRow="0" w:firstColumn="1" w:lastColumn="0" w:noHBand="0" w:noVBand="1"/>
      </w:tblPr>
      <w:tblGrid>
        <w:gridCol w:w="2977"/>
        <w:gridCol w:w="960"/>
        <w:gridCol w:w="960"/>
        <w:gridCol w:w="960"/>
        <w:gridCol w:w="960"/>
      </w:tblGrid>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rPr>
                <w:rFonts w:ascii="Times New Roman" w:eastAsia="Times New Roman" w:hAnsi="Times New Roman" w:cs="Times New Roman"/>
                <w:sz w:val="24"/>
                <w:szCs w:val="24"/>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No.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In</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Out</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Apr-19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516</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May-19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Jun-19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526</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Jul-19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531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30</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Aug-19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Sep-19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555</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Oct-19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568</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Nov-19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572</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Dec-19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577</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Jan-20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581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Feb-20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593</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Mar-20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597</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404715" w:rsidRPr="0090351D" w:rsidTr="00F23D2E">
        <w:trPr>
          <w:trHeight w:val="300"/>
        </w:trPr>
        <w:tc>
          <w:tcPr>
            <w:tcW w:w="2977" w:type="dxa"/>
            <w:tcBorders>
              <w:top w:val="nil"/>
              <w:left w:val="nil"/>
              <w:bottom w:val="nil"/>
              <w:right w:val="nil"/>
            </w:tcBorders>
            <w:shd w:val="clear" w:color="auto" w:fill="auto"/>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Apr-20</w:t>
            </w:r>
          </w:p>
        </w:tc>
        <w:tc>
          <w:tcPr>
            <w:tcW w:w="960" w:type="dxa"/>
            <w:tcBorders>
              <w:top w:val="nil"/>
              <w:left w:val="nil"/>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601</w:t>
            </w:r>
          </w:p>
        </w:tc>
        <w:tc>
          <w:tcPr>
            <w:tcW w:w="960" w:type="dxa"/>
            <w:tcBorders>
              <w:top w:val="nil"/>
              <w:left w:val="nil"/>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single" w:sz="8"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r>
      <w:tr w:rsidR="000D4FE5" w:rsidRPr="0090351D" w:rsidTr="00F23D2E">
        <w:trPr>
          <w:trHeight w:val="315"/>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Totals</w:t>
            </w:r>
          </w:p>
        </w:tc>
        <w:tc>
          <w:tcPr>
            <w:tcW w:w="960" w:type="dxa"/>
            <w:tcBorders>
              <w:top w:val="nil"/>
              <w:left w:val="nil"/>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224</w:t>
            </w:r>
          </w:p>
        </w:tc>
        <w:tc>
          <w:tcPr>
            <w:tcW w:w="960" w:type="dxa"/>
            <w:tcBorders>
              <w:top w:val="nil"/>
              <w:left w:val="nil"/>
              <w:bottom w:val="single" w:sz="8" w:space="0" w:color="auto"/>
              <w:right w:val="single" w:sz="8"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139</w:t>
            </w:r>
          </w:p>
        </w:tc>
      </w:tr>
    </w:tbl>
    <w:p w:rsidR="000D4FE5" w:rsidRPr="000D4FE5" w:rsidRDefault="000D4FE5" w:rsidP="000D4FE5">
      <w:pPr>
        <w:spacing w:after="0" w:line="240" w:lineRule="auto"/>
        <w:ind w:left="2160"/>
        <w:contextualSpacing/>
        <w:rPr>
          <w:rFonts w:ascii="Arial" w:hAnsi="Arial" w:cs="Arial"/>
          <w:sz w:val="16"/>
          <w:szCs w:val="16"/>
        </w:rPr>
      </w:pPr>
      <w:r>
        <w:rPr>
          <w:rFonts w:ascii="Arial" w:hAnsi="Arial" w:cs="Arial"/>
          <w:sz w:val="16"/>
          <w:szCs w:val="16"/>
        </w:rPr>
        <w:t xml:space="preserve">              </w:t>
      </w:r>
      <w:r w:rsidRPr="000D4FE5">
        <w:rPr>
          <w:rFonts w:ascii="Arial" w:hAnsi="Arial" w:cs="Arial"/>
          <w:sz w:val="16"/>
          <w:szCs w:val="16"/>
        </w:rPr>
        <w:t>(No. shows predicted headcount at the start of each month)</w:t>
      </w:r>
    </w:p>
    <w:p w:rsidR="00C60D23" w:rsidRPr="000D4FE5" w:rsidRDefault="00C60D23" w:rsidP="000D4FE5">
      <w:pPr>
        <w:spacing w:after="0" w:line="240" w:lineRule="auto"/>
        <w:ind w:left="2880"/>
        <w:contextualSpacing/>
        <w:rPr>
          <w:rFonts w:ascii="Arial" w:hAnsi="Arial" w:cs="Arial"/>
          <w:sz w:val="16"/>
          <w:szCs w:val="16"/>
        </w:rPr>
      </w:pPr>
    </w:p>
    <w:p w:rsidR="00C60D23" w:rsidRDefault="00C60D23" w:rsidP="00821953">
      <w:pPr>
        <w:spacing w:after="0" w:line="240" w:lineRule="auto"/>
        <w:ind w:left="720"/>
        <w:contextualSpacing/>
        <w:rPr>
          <w:rFonts w:ascii="Arial" w:hAnsi="Arial" w:cs="Arial"/>
          <w:sz w:val="24"/>
          <w:szCs w:val="24"/>
        </w:rPr>
      </w:pPr>
    </w:p>
    <w:p w:rsidR="00E2759B" w:rsidRDefault="00FA3315" w:rsidP="00B77DD0">
      <w:pPr>
        <w:spacing w:after="0" w:line="240" w:lineRule="auto"/>
        <w:ind w:left="720"/>
        <w:contextualSpacing/>
        <w:rPr>
          <w:rFonts w:ascii="Arial" w:hAnsi="Arial" w:cs="Arial"/>
          <w:sz w:val="24"/>
          <w:szCs w:val="24"/>
        </w:rPr>
      </w:pPr>
      <w:r>
        <w:rPr>
          <w:rFonts w:ascii="Arial" w:hAnsi="Arial" w:cs="Arial"/>
          <w:sz w:val="24"/>
          <w:szCs w:val="24"/>
        </w:rPr>
        <w:lastRenderedPageBreak/>
        <w:t xml:space="preserve">As agreed by the P&amp;RS board in September 2018, </w:t>
      </w:r>
      <w:r w:rsidR="000C3206">
        <w:rPr>
          <w:rFonts w:ascii="Arial" w:hAnsi="Arial" w:cs="Arial"/>
          <w:sz w:val="24"/>
          <w:szCs w:val="24"/>
        </w:rPr>
        <w:t xml:space="preserve">we are exploring options for an </w:t>
      </w:r>
      <w:r>
        <w:rPr>
          <w:rFonts w:ascii="Arial" w:hAnsi="Arial" w:cs="Arial"/>
          <w:sz w:val="24"/>
          <w:szCs w:val="24"/>
        </w:rPr>
        <w:t xml:space="preserve">external </w:t>
      </w:r>
      <w:r w:rsidR="005D1048">
        <w:rPr>
          <w:rFonts w:ascii="Arial" w:hAnsi="Arial" w:cs="Arial"/>
          <w:sz w:val="24"/>
          <w:szCs w:val="24"/>
        </w:rPr>
        <w:t xml:space="preserve">marketing </w:t>
      </w:r>
      <w:r>
        <w:rPr>
          <w:rFonts w:ascii="Arial" w:hAnsi="Arial" w:cs="Arial"/>
          <w:sz w:val="24"/>
          <w:szCs w:val="24"/>
        </w:rPr>
        <w:t>company</w:t>
      </w:r>
      <w:r w:rsidR="000C3206">
        <w:rPr>
          <w:rFonts w:ascii="Arial" w:hAnsi="Arial" w:cs="Arial"/>
          <w:sz w:val="24"/>
          <w:szCs w:val="24"/>
        </w:rPr>
        <w:t xml:space="preserve"> to deliver the campaign over the next financial year</w:t>
      </w:r>
      <w:r>
        <w:rPr>
          <w:rFonts w:ascii="Arial" w:hAnsi="Arial" w:cs="Arial"/>
          <w:sz w:val="24"/>
          <w:szCs w:val="24"/>
        </w:rPr>
        <w:t xml:space="preserve">. </w:t>
      </w:r>
      <w:r w:rsidRPr="00635778">
        <w:rPr>
          <w:rFonts w:ascii="Arial" w:hAnsi="Arial" w:cs="Arial"/>
          <w:b/>
          <w:sz w:val="24"/>
          <w:szCs w:val="24"/>
        </w:rPr>
        <w:t>Havas People</w:t>
      </w:r>
      <w:r>
        <w:rPr>
          <w:rFonts w:ascii="Arial" w:hAnsi="Arial" w:cs="Arial"/>
          <w:sz w:val="24"/>
          <w:szCs w:val="24"/>
        </w:rPr>
        <w:t xml:space="preserve"> </w:t>
      </w:r>
      <w:r w:rsidR="000C3206">
        <w:rPr>
          <w:rFonts w:ascii="Arial" w:hAnsi="Arial" w:cs="Arial"/>
          <w:sz w:val="24"/>
          <w:szCs w:val="24"/>
        </w:rPr>
        <w:t>are</w:t>
      </w:r>
      <w:r>
        <w:rPr>
          <w:rFonts w:ascii="Arial" w:hAnsi="Arial" w:cs="Arial"/>
          <w:sz w:val="24"/>
          <w:szCs w:val="24"/>
        </w:rPr>
        <w:t xml:space="preserve"> our </w:t>
      </w:r>
      <w:r w:rsidR="00171B53">
        <w:rPr>
          <w:rFonts w:ascii="Arial" w:hAnsi="Arial" w:cs="Arial"/>
          <w:sz w:val="24"/>
          <w:szCs w:val="24"/>
        </w:rPr>
        <w:t>current</w:t>
      </w:r>
      <w:r>
        <w:rPr>
          <w:rFonts w:ascii="Arial" w:hAnsi="Arial" w:cs="Arial"/>
          <w:sz w:val="24"/>
          <w:szCs w:val="24"/>
        </w:rPr>
        <w:t xml:space="preserve"> </w:t>
      </w:r>
      <w:r w:rsidR="000C3206">
        <w:rPr>
          <w:rFonts w:ascii="Arial" w:hAnsi="Arial" w:cs="Arial"/>
          <w:sz w:val="24"/>
          <w:szCs w:val="24"/>
        </w:rPr>
        <w:t xml:space="preserve">procured </w:t>
      </w:r>
      <w:r w:rsidR="00171B53">
        <w:rPr>
          <w:rFonts w:ascii="Arial" w:hAnsi="Arial" w:cs="Arial"/>
          <w:sz w:val="24"/>
          <w:szCs w:val="24"/>
        </w:rPr>
        <w:t>service provider</w:t>
      </w:r>
      <w:r w:rsidR="000C3206">
        <w:rPr>
          <w:rFonts w:ascii="Arial" w:hAnsi="Arial" w:cs="Arial"/>
          <w:sz w:val="24"/>
          <w:szCs w:val="24"/>
        </w:rPr>
        <w:t>,</w:t>
      </w:r>
      <w:r>
        <w:rPr>
          <w:rFonts w:ascii="Arial" w:hAnsi="Arial" w:cs="Arial"/>
          <w:sz w:val="24"/>
          <w:szCs w:val="24"/>
        </w:rPr>
        <w:t xml:space="preserve"> </w:t>
      </w:r>
      <w:r w:rsidR="000C3206">
        <w:rPr>
          <w:rFonts w:ascii="Arial" w:hAnsi="Arial" w:cs="Arial"/>
          <w:sz w:val="24"/>
          <w:szCs w:val="24"/>
        </w:rPr>
        <w:t>t</w:t>
      </w:r>
      <w:r w:rsidR="00171B53">
        <w:rPr>
          <w:rFonts w:ascii="Arial" w:hAnsi="Arial" w:cs="Arial"/>
          <w:sz w:val="24"/>
          <w:szCs w:val="24"/>
        </w:rPr>
        <w:t>hey have set out a proposal to meet the recr</w:t>
      </w:r>
      <w:r w:rsidR="000C3206">
        <w:rPr>
          <w:rFonts w:ascii="Arial" w:hAnsi="Arial" w:cs="Arial"/>
          <w:sz w:val="24"/>
          <w:szCs w:val="24"/>
        </w:rPr>
        <w:t>uitment objectives for 2019/20 that would</w:t>
      </w:r>
      <w:r>
        <w:rPr>
          <w:rFonts w:ascii="Arial" w:hAnsi="Arial" w:cs="Arial"/>
          <w:sz w:val="24"/>
          <w:szCs w:val="24"/>
        </w:rPr>
        <w:t xml:space="preserve"> move away from the successful #</w:t>
      </w:r>
      <w:proofErr w:type="spellStart"/>
      <w:r>
        <w:rPr>
          <w:rFonts w:ascii="Arial" w:hAnsi="Arial" w:cs="Arial"/>
          <w:sz w:val="24"/>
          <w:szCs w:val="24"/>
        </w:rPr>
        <w:t>MyOtherL</w:t>
      </w:r>
      <w:r w:rsidR="000C3206">
        <w:rPr>
          <w:rFonts w:ascii="Arial" w:hAnsi="Arial" w:cs="Arial"/>
          <w:sz w:val="24"/>
          <w:szCs w:val="24"/>
        </w:rPr>
        <w:t>ife</w:t>
      </w:r>
      <w:proofErr w:type="spellEnd"/>
      <w:r w:rsidR="000C3206">
        <w:rPr>
          <w:rFonts w:ascii="Arial" w:hAnsi="Arial" w:cs="Arial"/>
          <w:sz w:val="24"/>
          <w:szCs w:val="24"/>
        </w:rPr>
        <w:t xml:space="preserve"> brand. </w:t>
      </w:r>
      <w:r>
        <w:rPr>
          <w:rFonts w:ascii="Arial" w:hAnsi="Arial" w:cs="Arial"/>
          <w:sz w:val="24"/>
          <w:szCs w:val="24"/>
        </w:rPr>
        <w:t xml:space="preserve">The Havas campaign </w:t>
      </w:r>
      <w:r w:rsidR="000C3206">
        <w:rPr>
          <w:rFonts w:ascii="Arial" w:hAnsi="Arial" w:cs="Arial"/>
          <w:sz w:val="24"/>
          <w:szCs w:val="24"/>
        </w:rPr>
        <w:t>would</w:t>
      </w:r>
      <w:r>
        <w:rPr>
          <w:rFonts w:ascii="Arial" w:hAnsi="Arial" w:cs="Arial"/>
          <w:sz w:val="24"/>
          <w:szCs w:val="24"/>
        </w:rPr>
        <w:t xml:space="preserve"> </w:t>
      </w:r>
      <w:r w:rsidR="00313A98">
        <w:rPr>
          <w:rFonts w:ascii="Arial" w:hAnsi="Arial" w:cs="Arial"/>
          <w:sz w:val="24"/>
          <w:szCs w:val="24"/>
        </w:rPr>
        <w:t>primarily focus on targeted social media advertising across Facebook, Messenger, Instagram, Twitter and LinkedIn</w:t>
      </w:r>
      <w:r w:rsidR="000C3206">
        <w:rPr>
          <w:rFonts w:ascii="Arial" w:hAnsi="Arial" w:cs="Arial"/>
          <w:sz w:val="24"/>
          <w:szCs w:val="24"/>
        </w:rPr>
        <w:t>, however, Essex Police would still have the demand of creating those posts from the creative material send from Havas</w:t>
      </w:r>
      <w:r w:rsidR="00313A98">
        <w:rPr>
          <w:rFonts w:ascii="Arial" w:hAnsi="Arial" w:cs="Arial"/>
          <w:sz w:val="24"/>
          <w:szCs w:val="24"/>
        </w:rPr>
        <w:t xml:space="preserve">. In addition </w:t>
      </w:r>
      <w:r w:rsidR="000C3206">
        <w:rPr>
          <w:rFonts w:ascii="Arial" w:hAnsi="Arial" w:cs="Arial"/>
          <w:sz w:val="24"/>
          <w:szCs w:val="24"/>
        </w:rPr>
        <w:t>Havas’ proposal would</w:t>
      </w:r>
      <w:r w:rsidR="00313A98">
        <w:rPr>
          <w:rFonts w:ascii="Arial" w:hAnsi="Arial" w:cs="Arial"/>
          <w:sz w:val="24"/>
          <w:szCs w:val="24"/>
        </w:rPr>
        <w:t xml:space="preserve"> make use </w:t>
      </w:r>
      <w:r w:rsidR="00313A98" w:rsidRPr="00313A98">
        <w:rPr>
          <w:rFonts w:ascii="Arial" w:hAnsi="Arial" w:cs="Arial"/>
          <w:sz w:val="24"/>
          <w:szCs w:val="24"/>
        </w:rPr>
        <w:t xml:space="preserve">of </w:t>
      </w:r>
      <w:r w:rsidR="00B77DD0">
        <w:rPr>
          <w:rFonts w:ascii="Arial" w:hAnsi="Arial" w:cs="Arial"/>
          <w:sz w:val="24"/>
          <w:szCs w:val="24"/>
        </w:rPr>
        <w:t>s</w:t>
      </w:r>
      <w:r w:rsidR="00E2759B" w:rsidRPr="00313A98">
        <w:rPr>
          <w:rFonts w:ascii="Arial" w:hAnsi="Arial" w:cs="Arial"/>
          <w:sz w:val="24"/>
          <w:szCs w:val="24"/>
        </w:rPr>
        <w:t>ponsored keywords and advertisement on search engines</w:t>
      </w:r>
      <w:r w:rsidR="00313A98">
        <w:rPr>
          <w:rFonts w:ascii="Arial" w:hAnsi="Arial" w:cs="Arial"/>
          <w:sz w:val="24"/>
          <w:szCs w:val="24"/>
        </w:rPr>
        <w:t xml:space="preserve"> and </w:t>
      </w:r>
      <w:r w:rsidR="00313A98" w:rsidRPr="00313A98">
        <w:rPr>
          <w:rFonts w:ascii="Arial" w:hAnsi="Arial" w:cs="Arial"/>
          <w:sz w:val="24"/>
          <w:szCs w:val="24"/>
        </w:rPr>
        <w:t>a</w:t>
      </w:r>
      <w:r w:rsidR="00E2759B" w:rsidRPr="00313A98">
        <w:rPr>
          <w:rFonts w:ascii="Arial" w:hAnsi="Arial" w:cs="Arial"/>
          <w:sz w:val="24"/>
          <w:szCs w:val="24"/>
        </w:rPr>
        <w:t>dvertising on job boards such as jobsinessex.com and totaljobs.com</w:t>
      </w:r>
      <w:r w:rsidR="00313A98">
        <w:rPr>
          <w:rFonts w:ascii="Arial" w:hAnsi="Arial" w:cs="Arial"/>
          <w:sz w:val="24"/>
          <w:szCs w:val="24"/>
        </w:rPr>
        <w:t>.</w:t>
      </w:r>
    </w:p>
    <w:p w:rsidR="00313A98" w:rsidRDefault="00313A98" w:rsidP="00B77DD0">
      <w:pPr>
        <w:spacing w:after="0" w:line="240" w:lineRule="auto"/>
        <w:ind w:left="720"/>
        <w:contextualSpacing/>
        <w:rPr>
          <w:rFonts w:cs="Arial"/>
          <w:szCs w:val="24"/>
        </w:rPr>
      </w:pPr>
    </w:p>
    <w:p w:rsidR="00E2759B" w:rsidRDefault="00E2759B" w:rsidP="00B77DD0">
      <w:pPr>
        <w:spacing w:after="0" w:line="240" w:lineRule="auto"/>
        <w:ind w:left="720"/>
        <w:rPr>
          <w:rFonts w:ascii="Arial" w:hAnsi="Arial" w:cs="Arial"/>
          <w:sz w:val="24"/>
          <w:szCs w:val="24"/>
        </w:rPr>
      </w:pPr>
      <w:r>
        <w:rPr>
          <w:rFonts w:ascii="Arial" w:hAnsi="Arial" w:cs="Arial"/>
          <w:sz w:val="24"/>
          <w:szCs w:val="24"/>
        </w:rPr>
        <w:t>In addition Havas have made recommendations on how to improve our Specials website to make the most of traffic driven to the site by the campaign. We will be working with our media department to introduce those changes that</w:t>
      </w:r>
      <w:r w:rsidR="005D1048">
        <w:rPr>
          <w:rFonts w:ascii="Arial" w:hAnsi="Arial" w:cs="Arial"/>
          <w:sz w:val="24"/>
          <w:szCs w:val="24"/>
        </w:rPr>
        <w:t xml:space="preserve"> are compatible with the Single</w:t>
      </w:r>
      <w:r>
        <w:rPr>
          <w:rFonts w:ascii="Arial" w:hAnsi="Arial" w:cs="Arial"/>
          <w:sz w:val="24"/>
          <w:szCs w:val="24"/>
        </w:rPr>
        <w:t xml:space="preserve"> </w:t>
      </w:r>
      <w:r w:rsidR="005D1048">
        <w:rPr>
          <w:rFonts w:ascii="Arial" w:hAnsi="Arial" w:cs="Arial"/>
          <w:sz w:val="24"/>
          <w:szCs w:val="24"/>
        </w:rPr>
        <w:t xml:space="preserve">Online Home. </w:t>
      </w:r>
    </w:p>
    <w:p w:rsidR="000C3206" w:rsidRDefault="000C3206" w:rsidP="00B77DD0">
      <w:pPr>
        <w:spacing w:after="0" w:line="240" w:lineRule="auto"/>
        <w:ind w:left="720"/>
        <w:rPr>
          <w:rFonts w:ascii="Arial" w:hAnsi="Arial" w:cs="Arial"/>
          <w:sz w:val="24"/>
          <w:szCs w:val="24"/>
        </w:rPr>
      </w:pPr>
    </w:p>
    <w:p w:rsidR="000C3206" w:rsidRPr="00E2759B" w:rsidRDefault="000C3206" w:rsidP="00B77DD0">
      <w:pPr>
        <w:spacing w:after="0" w:line="240" w:lineRule="auto"/>
        <w:ind w:left="720"/>
        <w:rPr>
          <w:rFonts w:ascii="Arial" w:hAnsi="Arial" w:cs="Arial"/>
          <w:sz w:val="24"/>
          <w:szCs w:val="24"/>
        </w:rPr>
      </w:pPr>
      <w:r>
        <w:rPr>
          <w:rFonts w:ascii="Arial" w:hAnsi="Arial" w:cs="Arial"/>
          <w:sz w:val="24"/>
          <w:szCs w:val="24"/>
        </w:rPr>
        <w:t>At the time of writing the Havas proposal is being considered against the capacity and capability of our in-house campaigns team to deliver through a third year</w:t>
      </w:r>
      <w:r w:rsidR="0001733D">
        <w:rPr>
          <w:rFonts w:ascii="Arial" w:hAnsi="Arial" w:cs="Arial"/>
          <w:sz w:val="24"/>
          <w:szCs w:val="24"/>
        </w:rPr>
        <w:t xml:space="preserve">. </w:t>
      </w:r>
    </w:p>
    <w:p w:rsidR="000D4FE5" w:rsidRDefault="000D4FE5" w:rsidP="00821953">
      <w:pPr>
        <w:spacing w:after="0" w:line="240" w:lineRule="auto"/>
        <w:ind w:left="720"/>
        <w:contextualSpacing/>
        <w:rPr>
          <w:rFonts w:ascii="Arial" w:hAnsi="Arial" w:cs="Arial"/>
          <w:sz w:val="24"/>
          <w:szCs w:val="24"/>
        </w:rPr>
      </w:pPr>
    </w:p>
    <w:p w:rsidR="00635778" w:rsidRDefault="00635778" w:rsidP="00821953">
      <w:pPr>
        <w:spacing w:after="0" w:line="240" w:lineRule="auto"/>
        <w:ind w:left="720"/>
        <w:contextualSpacing/>
        <w:rPr>
          <w:rFonts w:ascii="Arial" w:hAnsi="Arial" w:cs="Arial"/>
          <w:sz w:val="24"/>
          <w:szCs w:val="24"/>
        </w:rPr>
      </w:pPr>
    </w:p>
    <w:p w:rsidR="000D4FE5" w:rsidRPr="000D4FE5" w:rsidRDefault="000D4FE5" w:rsidP="00821953">
      <w:pPr>
        <w:spacing w:after="0" w:line="240" w:lineRule="auto"/>
        <w:ind w:left="720"/>
        <w:contextualSpacing/>
        <w:rPr>
          <w:rFonts w:ascii="Arial" w:hAnsi="Arial" w:cs="Arial"/>
          <w:b/>
          <w:sz w:val="24"/>
          <w:szCs w:val="24"/>
        </w:rPr>
      </w:pPr>
      <w:r>
        <w:rPr>
          <w:rFonts w:ascii="Arial" w:hAnsi="Arial" w:cs="Arial"/>
          <w:b/>
          <w:sz w:val="24"/>
          <w:szCs w:val="24"/>
        </w:rPr>
        <w:t xml:space="preserve">9.0.2 </w:t>
      </w:r>
      <w:r w:rsidR="00207E90">
        <w:rPr>
          <w:rFonts w:ascii="Arial" w:hAnsi="Arial" w:cs="Arial"/>
          <w:b/>
          <w:sz w:val="24"/>
          <w:szCs w:val="24"/>
        </w:rPr>
        <w:tab/>
      </w:r>
      <w:r>
        <w:rPr>
          <w:rFonts w:ascii="Arial" w:hAnsi="Arial" w:cs="Arial"/>
          <w:b/>
          <w:sz w:val="24"/>
          <w:szCs w:val="24"/>
        </w:rPr>
        <w:t>Beyond 2020</w:t>
      </w:r>
    </w:p>
    <w:p w:rsidR="00C60D23" w:rsidRPr="00C60D23" w:rsidRDefault="00C60D23" w:rsidP="00821953">
      <w:pPr>
        <w:spacing w:after="0" w:line="240" w:lineRule="auto"/>
        <w:ind w:left="720"/>
        <w:contextualSpacing/>
        <w:rPr>
          <w:rFonts w:ascii="Arial" w:hAnsi="Arial" w:cs="Arial"/>
          <w:b/>
          <w:sz w:val="24"/>
          <w:szCs w:val="24"/>
        </w:rPr>
      </w:pPr>
    </w:p>
    <w:p w:rsidR="00502D12" w:rsidRDefault="00502D12" w:rsidP="00821953">
      <w:pPr>
        <w:spacing w:after="0" w:line="240" w:lineRule="auto"/>
        <w:ind w:left="720"/>
        <w:contextualSpacing/>
        <w:rPr>
          <w:rFonts w:ascii="Arial" w:hAnsi="Arial" w:cs="Arial"/>
          <w:sz w:val="24"/>
          <w:szCs w:val="24"/>
        </w:rPr>
      </w:pPr>
      <w:r>
        <w:rPr>
          <w:rFonts w:ascii="Arial" w:hAnsi="Arial" w:cs="Arial"/>
          <w:sz w:val="24"/>
          <w:szCs w:val="24"/>
        </w:rPr>
        <w:t xml:space="preserve">Based on current turnover, maintaining a headcount of 600 or more Special Constables </w:t>
      </w:r>
      <w:r w:rsidR="006E4820">
        <w:rPr>
          <w:rFonts w:ascii="Arial" w:hAnsi="Arial" w:cs="Arial"/>
          <w:sz w:val="24"/>
          <w:szCs w:val="24"/>
        </w:rPr>
        <w:t xml:space="preserve">beyond 2020 </w:t>
      </w:r>
      <w:r>
        <w:rPr>
          <w:rFonts w:ascii="Arial" w:hAnsi="Arial" w:cs="Arial"/>
          <w:sz w:val="24"/>
          <w:szCs w:val="24"/>
        </w:rPr>
        <w:t xml:space="preserve">is likely to require recruitment of </w:t>
      </w:r>
      <w:r w:rsidRPr="006E4820">
        <w:rPr>
          <w:rFonts w:ascii="Arial" w:hAnsi="Arial" w:cs="Arial"/>
          <w:b/>
          <w:sz w:val="24"/>
          <w:szCs w:val="24"/>
        </w:rPr>
        <w:t>180 new Special Constables per year</w:t>
      </w:r>
      <w:r>
        <w:rPr>
          <w:rFonts w:ascii="Arial" w:hAnsi="Arial" w:cs="Arial"/>
          <w:sz w:val="24"/>
          <w:szCs w:val="24"/>
        </w:rPr>
        <w:t xml:space="preserve">. </w:t>
      </w:r>
    </w:p>
    <w:p w:rsidR="006E4820" w:rsidRDefault="006E4820" w:rsidP="00821953">
      <w:pPr>
        <w:spacing w:after="0" w:line="240" w:lineRule="auto"/>
        <w:ind w:left="720"/>
        <w:contextualSpacing/>
        <w:rPr>
          <w:rFonts w:ascii="Arial" w:hAnsi="Arial" w:cs="Arial"/>
          <w:sz w:val="24"/>
          <w:szCs w:val="24"/>
        </w:rPr>
      </w:pPr>
    </w:p>
    <w:p w:rsidR="00F23D2E" w:rsidRDefault="00502D12" w:rsidP="00821953">
      <w:pPr>
        <w:spacing w:after="0" w:line="240" w:lineRule="auto"/>
        <w:ind w:left="720"/>
        <w:contextualSpacing/>
        <w:rPr>
          <w:rFonts w:ascii="Arial" w:hAnsi="Arial" w:cs="Arial"/>
          <w:sz w:val="24"/>
          <w:szCs w:val="24"/>
        </w:rPr>
      </w:pPr>
      <w:r>
        <w:rPr>
          <w:rFonts w:ascii="Arial" w:hAnsi="Arial" w:cs="Arial"/>
          <w:sz w:val="24"/>
          <w:szCs w:val="24"/>
        </w:rPr>
        <w:t xml:space="preserve">Based on current recruitment attrition, </w:t>
      </w:r>
      <w:r w:rsidRPr="00757C40">
        <w:rPr>
          <w:rFonts w:ascii="Arial" w:hAnsi="Arial" w:cs="Arial"/>
          <w:b/>
          <w:sz w:val="24"/>
          <w:szCs w:val="24"/>
        </w:rPr>
        <w:t>800 applications a year</w:t>
      </w:r>
      <w:r>
        <w:rPr>
          <w:rFonts w:ascii="Arial" w:hAnsi="Arial" w:cs="Arial"/>
          <w:sz w:val="24"/>
          <w:szCs w:val="24"/>
        </w:rPr>
        <w:t xml:space="preserve"> would be required to achieve these 180 new starters. This is equivalent to the number of applications received in 10 months between April 2018 and January 2019.</w:t>
      </w:r>
      <w:r w:rsidR="00F23D2E">
        <w:rPr>
          <w:rFonts w:ascii="Arial" w:hAnsi="Arial" w:cs="Arial"/>
          <w:sz w:val="24"/>
          <w:szCs w:val="24"/>
        </w:rPr>
        <w:t xml:space="preserve"> </w:t>
      </w:r>
    </w:p>
    <w:p w:rsidR="0095101C" w:rsidRDefault="0095101C" w:rsidP="00821953">
      <w:pPr>
        <w:spacing w:after="0" w:line="240" w:lineRule="auto"/>
        <w:ind w:left="720"/>
        <w:contextualSpacing/>
        <w:rPr>
          <w:rFonts w:ascii="Arial" w:hAnsi="Arial" w:cs="Arial"/>
          <w:sz w:val="24"/>
          <w:szCs w:val="24"/>
        </w:rPr>
      </w:pPr>
    </w:p>
    <w:p w:rsidR="00502D12" w:rsidRDefault="007E2C45" w:rsidP="00821953">
      <w:pPr>
        <w:spacing w:after="0" w:line="240" w:lineRule="auto"/>
        <w:ind w:left="720"/>
        <w:contextualSpacing/>
        <w:rPr>
          <w:rFonts w:ascii="Arial" w:hAnsi="Arial" w:cs="Arial"/>
          <w:sz w:val="24"/>
          <w:szCs w:val="24"/>
        </w:rPr>
      </w:pPr>
      <w:r>
        <w:rPr>
          <w:rFonts w:ascii="Arial" w:hAnsi="Arial" w:cs="Arial"/>
          <w:sz w:val="24"/>
          <w:szCs w:val="24"/>
        </w:rPr>
        <w:t>Maintaining a 600 headcount w</w:t>
      </w:r>
      <w:r w:rsidR="00502D12">
        <w:rPr>
          <w:rFonts w:ascii="Arial" w:hAnsi="Arial" w:cs="Arial"/>
          <w:sz w:val="24"/>
          <w:szCs w:val="24"/>
        </w:rPr>
        <w:t>ould be achieved through the following timetable:</w:t>
      </w:r>
    </w:p>
    <w:p w:rsidR="00502D12" w:rsidRDefault="00502D12" w:rsidP="00821953">
      <w:pPr>
        <w:spacing w:after="0" w:line="240" w:lineRule="auto"/>
        <w:ind w:left="720"/>
        <w:contextualSpacing/>
        <w:rPr>
          <w:rFonts w:ascii="Arial" w:hAnsi="Arial" w:cs="Arial"/>
          <w:sz w:val="24"/>
          <w:szCs w:val="24"/>
        </w:rPr>
      </w:pPr>
    </w:p>
    <w:tbl>
      <w:tblPr>
        <w:tblW w:w="6890" w:type="dxa"/>
        <w:tblLook w:val="04A0" w:firstRow="1" w:lastRow="0" w:firstColumn="1" w:lastColumn="0" w:noHBand="0" w:noVBand="1"/>
      </w:tblPr>
      <w:tblGrid>
        <w:gridCol w:w="2410"/>
        <w:gridCol w:w="1600"/>
        <w:gridCol w:w="960"/>
        <w:gridCol w:w="960"/>
        <w:gridCol w:w="960"/>
      </w:tblGrid>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rPr>
                <w:rFonts w:ascii="Times New Roman" w:eastAsia="Times New Roman" w:hAnsi="Times New Roman" w:cs="Times New Roman"/>
                <w:sz w:val="24"/>
                <w:szCs w:val="24"/>
                <w:lang w:eastAsia="en-GB"/>
              </w:rPr>
            </w:pPr>
          </w:p>
        </w:tc>
        <w:tc>
          <w:tcPr>
            <w:tcW w:w="1600" w:type="dxa"/>
            <w:vMerge w:val="restart"/>
            <w:tcBorders>
              <w:top w:val="nil"/>
              <w:left w:val="nil"/>
              <w:bottom w:val="single" w:sz="8" w:space="0" w:color="000000"/>
              <w:right w:val="single" w:sz="8" w:space="0" w:color="auto"/>
            </w:tcBorders>
            <w:shd w:val="clear" w:color="auto" w:fill="auto"/>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 </w:t>
            </w:r>
          </w:p>
        </w:tc>
        <w:tc>
          <w:tcPr>
            <w:tcW w:w="960" w:type="dxa"/>
            <w:vMerge w:val="restart"/>
            <w:tcBorders>
              <w:top w:val="single" w:sz="8" w:space="0" w:color="auto"/>
              <w:left w:val="single" w:sz="8" w:space="0" w:color="auto"/>
              <w:bottom w:val="single" w:sz="8" w:space="0" w:color="000000"/>
              <w:right w:val="single" w:sz="4" w:space="0" w:color="auto"/>
            </w:tcBorders>
            <w:shd w:val="clear" w:color="000000" w:fill="8497B0"/>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8497B0"/>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In</w:t>
            </w:r>
          </w:p>
        </w:tc>
        <w:tc>
          <w:tcPr>
            <w:tcW w:w="960" w:type="dxa"/>
            <w:tcBorders>
              <w:top w:val="single" w:sz="8" w:space="0" w:color="auto"/>
              <w:left w:val="nil"/>
              <w:bottom w:val="single" w:sz="4" w:space="0" w:color="auto"/>
              <w:right w:val="single" w:sz="4" w:space="0" w:color="auto"/>
            </w:tcBorders>
            <w:shd w:val="clear" w:color="000000" w:fill="8497B0"/>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Out</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p>
        </w:tc>
        <w:tc>
          <w:tcPr>
            <w:tcW w:w="1600" w:type="dxa"/>
            <w:vMerge/>
            <w:tcBorders>
              <w:top w:val="nil"/>
              <w:left w:val="nil"/>
              <w:bottom w:val="single" w:sz="8" w:space="0" w:color="000000"/>
              <w:right w:val="single" w:sz="8"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vMerge/>
            <w:tcBorders>
              <w:top w:val="single" w:sz="8" w:space="0" w:color="auto"/>
              <w:left w:val="single" w:sz="8" w:space="0" w:color="auto"/>
              <w:bottom w:val="single" w:sz="8" w:space="0" w:color="000000"/>
              <w:right w:val="single" w:sz="4"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tcBorders>
              <w:top w:val="nil"/>
              <w:left w:val="nil"/>
              <w:bottom w:val="single" w:sz="8" w:space="0" w:color="auto"/>
              <w:right w:val="single" w:sz="4" w:space="0" w:color="auto"/>
            </w:tcBorders>
            <w:shd w:val="clear" w:color="000000" w:fill="DDEBF7"/>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28%</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Apr-20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May-20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602</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Jun-20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604</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Jul-20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Aug-20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592</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Sep-20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Oct-20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608</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Nov-20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610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Dec-20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611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Jan-21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597</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Feb-21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599</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nil"/>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Mar-21</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601</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26</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20-21 Totals:</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 </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182</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169</w:t>
            </w:r>
          </w:p>
        </w:tc>
      </w:tr>
    </w:tbl>
    <w:p w:rsidR="00502D12" w:rsidRDefault="00502D12" w:rsidP="006E4820">
      <w:pPr>
        <w:spacing w:after="0" w:line="240" w:lineRule="auto"/>
        <w:ind w:left="720"/>
        <w:contextualSpacing/>
        <w:jc w:val="center"/>
        <w:rPr>
          <w:rFonts w:ascii="Arial" w:hAnsi="Arial" w:cs="Arial"/>
          <w:sz w:val="24"/>
          <w:szCs w:val="24"/>
        </w:rPr>
      </w:pPr>
    </w:p>
    <w:p w:rsidR="00502D12" w:rsidRDefault="007A001F" w:rsidP="007A001F">
      <w:pPr>
        <w:spacing w:after="0" w:line="240" w:lineRule="auto"/>
        <w:ind w:left="720"/>
        <w:contextualSpacing/>
        <w:rPr>
          <w:rFonts w:ascii="Arial" w:hAnsi="Arial" w:cs="Arial"/>
          <w:sz w:val="24"/>
          <w:szCs w:val="24"/>
        </w:rPr>
      </w:pPr>
      <w:r>
        <w:rPr>
          <w:rFonts w:ascii="Arial" w:hAnsi="Arial" w:cs="Arial"/>
          <w:sz w:val="24"/>
          <w:szCs w:val="24"/>
        </w:rPr>
        <w:lastRenderedPageBreak/>
        <w:t xml:space="preserve">The Specials Development Programme is </w:t>
      </w:r>
      <w:r w:rsidR="007E2C45">
        <w:rPr>
          <w:rFonts w:ascii="Arial" w:hAnsi="Arial" w:cs="Arial"/>
          <w:sz w:val="24"/>
          <w:szCs w:val="24"/>
        </w:rPr>
        <w:t xml:space="preserve">currently </w:t>
      </w:r>
      <w:r>
        <w:rPr>
          <w:rFonts w:ascii="Arial" w:hAnsi="Arial" w:cs="Arial"/>
          <w:sz w:val="24"/>
          <w:szCs w:val="24"/>
        </w:rPr>
        <w:t>resourced to deliver headcount growth, so</w:t>
      </w:r>
      <w:r w:rsidR="00635778">
        <w:rPr>
          <w:rFonts w:ascii="Arial" w:hAnsi="Arial" w:cs="Arial"/>
          <w:sz w:val="24"/>
          <w:szCs w:val="24"/>
        </w:rPr>
        <w:t xml:space="preserve"> </w:t>
      </w:r>
      <w:r>
        <w:rPr>
          <w:rFonts w:ascii="Arial" w:hAnsi="Arial" w:cs="Arial"/>
          <w:sz w:val="24"/>
          <w:szCs w:val="24"/>
        </w:rPr>
        <w:t xml:space="preserve">it is likely that </w:t>
      </w:r>
      <w:r w:rsidR="007E2C45">
        <w:rPr>
          <w:rFonts w:ascii="Arial" w:hAnsi="Arial" w:cs="Arial"/>
          <w:sz w:val="24"/>
          <w:szCs w:val="24"/>
        </w:rPr>
        <w:t xml:space="preserve">some </w:t>
      </w:r>
      <w:r>
        <w:rPr>
          <w:rFonts w:ascii="Arial" w:hAnsi="Arial" w:cs="Arial"/>
          <w:sz w:val="24"/>
          <w:szCs w:val="24"/>
        </w:rPr>
        <w:t xml:space="preserve">savings </w:t>
      </w:r>
      <w:r w:rsidR="007E2C45">
        <w:rPr>
          <w:rFonts w:ascii="Arial" w:hAnsi="Arial" w:cs="Arial"/>
          <w:sz w:val="24"/>
          <w:szCs w:val="24"/>
        </w:rPr>
        <w:t>can</w:t>
      </w:r>
      <w:r>
        <w:rPr>
          <w:rFonts w:ascii="Arial" w:hAnsi="Arial" w:cs="Arial"/>
          <w:sz w:val="24"/>
          <w:szCs w:val="24"/>
        </w:rPr>
        <w:t xml:space="preserve"> be made in relation to recruitment</w:t>
      </w:r>
      <w:r w:rsidR="005A0005">
        <w:rPr>
          <w:rFonts w:ascii="Arial" w:hAnsi="Arial" w:cs="Arial"/>
          <w:sz w:val="24"/>
          <w:szCs w:val="24"/>
        </w:rPr>
        <w:t xml:space="preserve"> and training </w:t>
      </w:r>
      <w:r>
        <w:rPr>
          <w:rFonts w:ascii="Arial" w:hAnsi="Arial" w:cs="Arial"/>
          <w:sz w:val="24"/>
          <w:szCs w:val="24"/>
        </w:rPr>
        <w:t>posts once we reach a ‘headcount maintenance</w:t>
      </w:r>
      <w:r w:rsidR="007E2C45">
        <w:rPr>
          <w:rFonts w:ascii="Arial" w:hAnsi="Arial" w:cs="Arial"/>
          <w:sz w:val="24"/>
          <w:szCs w:val="24"/>
        </w:rPr>
        <w:t>’</w:t>
      </w:r>
      <w:r>
        <w:rPr>
          <w:rFonts w:ascii="Arial" w:hAnsi="Arial" w:cs="Arial"/>
          <w:sz w:val="24"/>
          <w:szCs w:val="24"/>
        </w:rPr>
        <w:t xml:space="preserve"> position</w:t>
      </w:r>
      <w:r w:rsidR="007E2C45">
        <w:rPr>
          <w:rFonts w:ascii="Arial" w:hAnsi="Arial" w:cs="Arial"/>
          <w:sz w:val="24"/>
          <w:szCs w:val="24"/>
        </w:rPr>
        <w:t>.</w:t>
      </w:r>
      <w:r>
        <w:rPr>
          <w:rFonts w:ascii="Arial" w:hAnsi="Arial" w:cs="Arial"/>
          <w:sz w:val="24"/>
          <w:szCs w:val="24"/>
        </w:rPr>
        <w:t xml:space="preserve"> In relation to training, any reduction in capacity will be delayed as the impact of 2019/20 growth will have a significant train</w:t>
      </w:r>
      <w:r w:rsidR="007E2C45">
        <w:rPr>
          <w:rFonts w:ascii="Arial" w:hAnsi="Arial" w:cs="Arial"/>
          <w:sz w:val="24"/>
          <w:szCs w:val="24"/>
        </w:rPr>
        <w:t>ing legacy into 2020/21 (new starters in February and March 2020 will require foundation training and patrol assessment into the next financial year).</w:t>
      </w:r>
    </w:p>
    <w:p w:rsidR="007A001F" w:rsidRDefault="007A001F" w:rsidP="007A001F">
      <w:pPr>
        <w:spacing w:after="0" w:line="240" w:lineRule="auto"/>
        <w:ind w:left="720"/>
        <w:contextualSpacing/>
        <w:rPr>
          <w:rFonts w:ascii="Arial" w:hAnsi="Arial" w:cs="Arial"/>
          <w:sz w:val="24"/>
          <w:szCs w:val="24"/>
        </w:rPr>
      </w:pPr>
    </w:p>
    <w:p w:rsidR="00502D12" w:rsidRDefault="007A001F" w:rsidP="00821953">
      <w:pPr>
        <w:spacing w:after="0" w:line="240" w:lineRule="auto"/>
        <w:ind w:left="720"/>
        <w:contextualSpacing/>
        <w:rPr>
          <w:rFonts w:ascii="Arial" w:hAnsi="Arial" w:cs="Arial"/>
          <w:sz w:val="24"/>
          <w:szCs w:val="24"/>
        </w:rPr>
      </w:pPr>
      <w:r>
        <w:rPr>
          <w:rFonts w:ascii="Arial" w:hAnsi="Arial" w:cs="Arial"/>
          <w:sz w:val="24"/>
          <w:szCs w:val="24"/>
        </w:rPr>
        <w:t>The below table</w:t>
      </w:r>
      <w:r w:rsidR="007E2C45">
        <w:rPr>
          <w:rFonts w:ascii="Arial" w:hAnsi="Arial" w:cs="Arial"/>
          <w:sz w:val="24"/>
          <w:szCs w:val="24"/>
        </w:rPr>
        <w:t>s show</w:t>
      </w:r>
      <w:r>
        <w:rPr>
          <w:rFonts w:ascii="Arial" w:hAnsi="Arial" w:cs="Arial"/>
          <w:sz w:val="24"/>
          <w:szCs w:val="24"/>
        </w:rPr>
        <w:t xml:space="preserve"> indicative of costs associated with maintaini</w:t>
      </w:r>
      <w:r w:rsidR="007E2C45">
        <w:rPr>
          <w:rFonts w:ascii="Arial" w:hAnsi="Arial" w:cs="Arial"/>
          <w:sz w:val="24"/>
          <w:szCs w:val="24"/>
        </w:rPr>
        <w:t>ng a headcount of 600 Specials and a simple calculation of the return on investment we can expect:</w:t>
      </w:r>
    </w:p>
    <w:p w:rsidR="00C60D23" w:rsidRDefault="00C60D23" w:rsidP="00821953">
      <w:pPr>
        <w:spacing w:after="0" w:line="240" w:lineRule="auto"/>
        <w:ind w:left="720"/>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3665"/>
        <w:gridCol w:w="1847"/>
        <w:gridCol w:w="1701"/>
        <w:gridCol w:w="1701"/>
      </w:tblGrid>
      <w:tr w:rsidR="00C729B1" w:rsidTr="00C729B1">
        <w:tc>
          <w:tcPr>
            <w:tcW w:w="3665"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Cost Area</w:t>
            </w:r>
          </w:p>
        </w:tc>
        <w:tc>
          <w:tcPr>
            <w:tcW w:w="1847"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2019/20 Cost</w:t>
            </w:r>
            <w:r w:rsidR="007E1DC6">
              <w:rPr>
                <w:rStyle w:val="FootnoteReference"/>
                <w:rFonts w:ascii="Arial" w:hAnsi="Arial" w:cs="Arial"/>
                <w:b/>
                <w:sz w:val="24"/>
                <w:szCs w:val="24"/>
              </w:rPr>
              <w:footnoteReference w:id="4"/>
            </w:r>
          </w:p>
        </w:tc>
        <w:tc>
          <w:tcPr>
            <w:tcW w:w="1701"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2020 Cost</w:t>
            </w:r>
          </w:p>
        </w:tc>
        <w:tc>
          <w:tcPr>
            <w:tcW w:w="1701"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2021+ Cost</w:t>
            </w:r>
          </w:p>
        </w:tc>
      </w:tr>
      <w:tr w:rsidR="00C729B1" w:rsidTr="00C729B1">
        <w:tc>
          <w:tcPr>
            <w:tcW w:w="3665" w:type="dxa"/>
          </w:tcPr>
          <w:p w:rsidR="00C729B1" w:rsidRDefault="00C729B1" w:rsidP="00F335A9">
            <w:pPr>
              <w:contextualSpacing/>
              <w:rPr>
                <w:rFonts w:ascii="Arial" w:hAnsi="Arial" w:cs="Arial"/>
                <w:sz w:val="24"/>
                <w:szCs w:val="24"/>
              </w:rPr>
            </w:pPr>
            <w:r>
              <w:rPr>
                <w:rFonts w:ascii="Arial" w:hAnsi="Arial" w:cs="Arial"/>
                <w:sz w:val="24"/>
                <w:szCs w:val="24"/>
              </w:rPr>
              <w:t>Pay</w:t>
            </w:r>
          </w:p>
          <w:p w:rsidR="00C729B1" w:rsidRPr="00F335A9" w:rsidRDefault="00C729B1" w:rsidP="00F335A9">
            <w:pPr>
              <w:contextualSpacing/>
              <w:rPr>
                <w:rFonts w:ascii="Arial" w:hAnsi="Arial" w:cs="Arial"/>
                <w:sz w:val="16"/>
                <w:szCs w:val="16"/>
              </w:rPr>
            </w:pPr>
            <w:r>
              <w:rPr>
                <w:rFonts w:ascii="Arial" w:hAnsi="Arial" w:cs="Arial"/>
                <w:sz w:val="16"/>
                <w:szCs w:val="16"/>
              </w:rPr>
              <w:t xml:space="preserve">Recruitment, Vetting, Training, </w:t>
            </w:r>
            <w:r w:rsidR="00502D12">
              <w:rPr>
                <w:rFonts w:ascii="Arial" w:hAnsi="Arial" w:cs="Arial"/>
                <w:sz w:val="16"/>
                <w:szCs w:val="16"/>
              </w:rPr>
              <w:t xml:space="preserve">Retention </w:t>
            </w:r>
          </w:p>
        </w:tc>
        <w:tc>
          <w:tcPr>
            <w:tcW w:w="1847" w:type="dxa"/>
          </w:tcPr>
          <w:p w:rsidR="00C729B1" w:rsidRDefault="00635778" w:rsidP="00C729B1">
            <w:pPr>
              <w:contextualSpacing/>
              <w:jc w:val="center"/>
              <w:rPr>
                <w:rFonts w:ascii="Arial" w:hAnsi="Arial" w:cs="Arial"/>
                <w:sz w:val="24"/>
                <w:szCs w:val="24"/>
              </w:rPr>
            </w:pPr>
            <w:r>
              <w:rPr>
                <w:rFonts w:ascii="Arial" w:hAnsi="Arial" w:cs="Arial"/>
                <w:sz w:val="24"/>
                <w:szCs w:val="24"/>
              </w:rPr>
              <w:t>£889,0</w:t>
            </w:r>
            <w:r w:rsidR="00C729B1">
              <w:rPr>
                <w:rFonts w:ascii="Arial" w:hAnsi="Arial" w:cs="Arial"/>
                <w:sz w:val="24"/>
                <w:szCs w:val="24"/>
              </w:rPr>
              <w:t>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£765,000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£672,000</w:t>
            </w:r>
          </w:p>
        </w:tc>
      </w:tr>
      <w:tr w:rsidR="00C729B1" w:rsidTr="00C729B1">
        <w:tc>
          <w:tcPr>
            <w:tcW w:w="3665" w:type="dxa"/>
          </w:tcPr>
          <w:p w:rsidR="00C729B1" w:rsidRDefault="00C729B1" w:rsidP="00F335A9">
            <w:pPr>
              <w:contextualSpacing/>
              <w:rPr>
                <w:rFonts w:ascii="Arial" w:hAnsi="Arial" w:cs="Arial"/>
                <w:sz w:val="24"/>
                <w:szCs w:val="24"/>
              </w:rPr>
            </w:pPr>
            <w:r>
              <w:rPr>
                <w:rFonts w:ascii="Arial" w:hAnsi="Arial" w:cs="Arial"/>
                <w:sz w:val="24"/>
                <w:szCs w:val="24"/>
              </w:rPr>
              <w:t>Non-pay</w:t>
            </w:r>
          </w:p>
          <w:p w:rsidR="00C729B1" w:rsidRPr="00F335A9" w:rsidRDefault="00C729B1" w:rsidP="00F335A9">
            <w:pPr>
              <w:contextualSpacing/>
              <w:rPr>
                <w:rFonts w:ascii="Arial" w:hAnsi="Arial" w:cs="Arial"/>
                <w:sz w:val="16"/>
                <w:szCs w:val="16"/>
              </w:rPr>
            </w:pPr>
            <w:r>
              <w:rPr>
                <w:rFonts w:ascii="Arial" w:hAnsi="Arial" w:cs="Arial"/>
                <w:sz w:val="16"/>
                <w:szCs w:val="16"/>
              </w:rPr>
              <w:t xml:space="preserve">Allowances, Mileage, Uniform, Medicals </w:t>
            </w:r>
            <w:proofErr w:type="spellStart"/>
            <w:r>
              <w:rPr>
                <w:rFonts w:ascii="Arial" w:hAnsi="Arial" w:cs="Arial"/>
                <w:sz w:val="16"/>
                <w:szCs w:val="16"/>
              </w:rPr>
              <w:t>etc</w:t>
            </w:r>
            <w:proofErr w:type="spellEnd"/>
          </w:p>
        </w:tc>
        <w:tc>
          <w:tcPr>
            <w:tcW w:w="1847"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798,000</w:t>
            </w:r>
          </w:p>
        </w:tc>
        <w:tc>
          <w:tcPr>
            <w:tcW w:w="1701"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815,000</w:t>
            </w:r>
          </w:p>
        </w:tc>
        <w:tc>
          <w:tcPr>
            <w:tcW w:w="1701"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815,000</w:t>
            </w:r>
          </w:p>
        </w:tc>
      </w:tr>
      <w:tr w:rsidR="00C729B1" w:rsidTr="00C729B1">
        <w:tc>
          <w:tcPr>
            <w:tcW w:w="3665" w:type="dxa"/>
          </w:tcPr>
          <w:p w:rsidR="00C729B1" w:rsidRDefault="00C729B1" w:rsidP="00821953">
            <w:pPr>
              <w:contextualSpacing/>
              <w:rPr>
                <w:rFonts w:ascii="Arial" w:hAnsi="Arial" w:cs="Arial"/>
                <w:sz w:val="24"/>
                <w:szCs w:val="24"/>
              </w:rPr>
            </w:pPr>
            <w:r>
              <w:rPr>
                <w:rFonts w:ascii="Arial" w:hAnsi="Arial" w:cs="Arial"/>
                <w:sz w:val="24"/>
                <w:szCs w:val="24"/>
              </w:rPr>
              <w:t>Marketing</w:t>
            </w:r>
          </w:p>
          <w:p w:rsidR="00C729B1" w:rsidRPr="00F335A9" w:rsidRDefault="00C729B1" w:rsidP="00821953">
            <w:pPr>
              <w:contextualSpacing/>
              <w:rPr>
                <w:rFonts w:ascii="Arial" w:hAnsi="Arial" w:cs="Arial"/>
                <w:sz w:val="16"/>
                <w:szCs w:val="16"/>
              </w:rPr>
            </w:pPr>
            <w:r>
              <w:rPr>
                <w:rFonts w:ascii="Arial" w:hAnsi="Arial" w:cs="Arial"/>
                <w:sz w:val="16"/>
                <w:szCs w:val="16"/>
              </w:rPr>
              <w:t>Creative, Social Media, Print Media, Events</w:t>
            </w:r>
          </w:p>
        </w:tc>
        <w:tc>
          <w:tcPr>
            <w:tcW w:w="1847" w:type="dxa"/>
          </w:tcPr>
          <w:p w:rsidR="00C729B1" w:rsidRDefault="00C729B1" w:rsidP="007E1DC6">
            <w:pPr>
              <w:contextualSpacing/>
              <w:jc w:val="center"/>
              <w:rPr>
                <w:rFonts w:ascii="Arial" w:hAnsi="Arial" w:cs="Arial"/>
                <w:sz w:val="24"/>
                <w:szCs w:val="24"/>
              </w:rPr>
            </w:pPr>
            <w:r>
              <w:rPr>
                <w:rFonts w:ascii="Arial" w:hAnsi="Arial" w:cs="Arial"/>
                <w:sz w:val="24"/>
                <w:szCs w:val="24"/>
              </w:rPr>
              <w:t>£85,000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w:t>
            </w:r>
            <w:r w:rsidR="007A001F">
              <w:rPr>
                <w:rFonts w:ascii="Arial" w:hAnsi="Arial" w:cs="Arial"/>
                <w:sz w:val="24"/>
                <w:szCs w:val="24"/>
              </w:rPr>
              <w:t>40,000</w:t>
            </w:r>
            <w:r w:rsidR="007E1DC6">
              <w:rPr>
                <w:rStyle w:val="FootnoteReference"/>
                <w:rFonts w:ascii="Arial" w:hAnsi="Arial" w:cs="Arial"/>
                <w:sz w:val="24"/>
                <w:szCs w:val="24"/>
              </w:rPr>
              <w:footnoteReference w:id="5"/>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w:t>
            </w:r>
            <w:r w:rsidR="007A001F">
              <w:rPr>
                <w:rFonts w:ascii="Arial" w:hAnsi="Arial" w:cs="Arial"/>
                <w:sz w:val="24"/>
                <w:szCs w:val="24"/>
              </w:rPr>
              <w:t>40,000</w:t>
            </w:r>
          </w:p>
        </w:tc>
      </w:tr>
      <w:tr w:rsidR="00C729B1" w:rsidTr="00C729B1">
        <w:tc>
          <w:tcPr>
            <w:tcW w:w="3665" w:type="dxa"/>
            <w:shd w:val="clear" w:color="auto" w:fill="C6D9F1" w:themeFill="text2" w:themeFillTint="33"/>
          </w:tcPr>
          <w:p w:rsidR="00C729B1" w:rsidRPr="00C729B1" w:rsidRDefault="00C729B1" w:rsidP="00821953">
            <w:pPr>
              <w:contextualSpacing/>
              <w:rPr>
                <w:rFonts w:ascii="Arial" w:hAnsi="Arial" w:cs="Arial"/>
                <w:b/>
                <w:sz w:val="24"/>
                <w:szCs w:val="24"/>
              </w:rPr>
            </w:pPr>
            <w:r w:rsidRPr="00C729B1">
              <w:rPr>
                <w:rFonts w:ascii="Arial" w:hAnsi="Arial" w:cs="Arial"/>
                <w:b/>
                <w:sz w:val="24"/>
                <w:szCs w:val="24"/>
              </w:rPr>
              <w:t>Totals</w:t>
            </w:r>
          </w:p>
        </w:tc>
        <w:tc>
          <w:tcPr>
            <w:tcW w:w="1847" w:type="dxa"/>
            <w:shd w:val="clear" w:color="auto" w:fill="C6D9F1" w:themeFill="text2" w:themeFillTint="33"/>
          </w:tcPr>
          <w:p w:rsidR="00C729B1" w:rsidRPr="00C729B1" w:rsidRDefault="00C729B1" w:rsidP="00313A98">
            <w:pPr>
              <w:contextualSpacing/>
              <w:jc w:val="center"/>
              <w:rPr>
                <w:rFonts w:ascii="Arial" w:hAnsi="Arial" w:cs="Arial"/>
                <w:b/>
                <w:sz w:val="24"/>
                <w:szCs w:val="24"/>
              </w:rPr>
            </w:pPr>
            <w:r w:rsidRPr="00C729B1">
              <w:rPr>
                <w:rFonts w:ascii="Arial" w:hAnsi="Arial" w:cs="Arial"/>
                <w:b/>
                <w:sz w:val="24"/>
                <w:szCs w:val="24"/>
              </w:rPr>
              <w:t>£1,</w:t>
            </w:r>
            <w:r w:rsidR="00313A98">
              <w:rPr>
                <w:rFonts w:ascii="Arial" w:hAnsi="Arial" w:cs="Arial"/>
                <w:b/>
                <w:sz w:val="24"/>
                <w:szCs w:val="24"/>
              </w:rPr>
              <w:t>772</w:t>
            </w:r>
            <w:r w:rsidR="00635778">
              <w:rPr>
                <w:rFonts w:ascii="Arial" w:hAnsi="Arial" w:cs="Arial"/>
                <w:b/>
                <w:sz w:val="24"/>
                <w:szCs w:val="24"/>
              </w:rPr>
              <w:t>,000</w:t>
            </w:r>
          </w:p>
        </w:tc>
        <w:tc>
          <w:tcPr>
            <w:tcW w:w="1701" w:type="dxa"/>
            <w:shd w:val="clear" w:color="auto" w:fill="C6D9F1" w:themeFill="text2" w:themeFillTint="33"/>
          </w:tcPr>
          <w:p w:rsidR="00C729B1" w:rsidRPr="00C729B1" w:rsidRDefault="00757C40" w:rsidP="00313A98">
            <w:pPr>
              <w:contextualSpacing/>
              <w:jc w:val="center"/>
              <w:rPr>
                <w:rFonts w:ascii="Arial" w:hAnsi="Arial" w:cs="Arial"/>
                <w:b/>
                <w:sz w:val="24"/>
                <w:szCs w:val="24"/>
              </w:rPr>
            </w:pPr>
            <w:r>
              <w:rPr>
                <w:rFonts w:ascii="Arial" w:hAnsi="Arial" w:cs="Arial"/>
                <w:b/>
                <w:sz w:val="24"/>
                <w:szCs w:val="24"/>
              </w:rPr>
              <w:t>£1,6</w:t>
            </w:r>
            <w:r w:rsidR="00313A98">
              <w:rPr>
                <w:rFonts w:ascii="Arial" w:hAnsi="Arial" w:cs="Arial"/>
                <w:b/>
                <w:sz w:val="24"/>
                <w:szCs w:val="24"/>
              </w:rPr>
              <w:t>20</w:t>
            </w:r>
            <w:r>
              <w:rPr>
                <w:rFonts w:ascii="Arial" w:hAnsi="Arial" w:cs="Arial"/>
                <w:b/>
                <w:sz w:val="24"/>
                <w:szCs w:val="24"/>
              </w:rPr>
              <w:t>,000</w:t>
            </w:r>
          </w:p>
        </w:tc>
        <w:tc>
          <w:tcPr>
            <w:tcW w:w="1701" w:type="dxa"/>
            <w:shd w:val="clear" w:color="auto" w:fill="C6D9F1" w:themeFill="text2" w:themeFillTint="33"/>
          </w:tcPr>
          <w:p w:rsidR="00C729B1" w:rsidRPr="00C729B1" w:rsidRDefault="00757C40" w:rsidP="00313A98">
            <w:pPr>
              <w:contextualSpacing/>
              <w:jc w:val="center"/>
              <w:rPr>
                <w:rFonts w:ascii="Arial" w:hAnsi="Arial" w:cs="Arial"/>
                <w:b/>
                <w:sz w:val="24"/>
                <w:szCs w:val="24"/>
              </w:rPr>
            </w:pPr>
            <w:r>
              <w:rPr>
                <w:rFonts w:ascii="Arial" w:hAnsi="Arial" w:cs="Arial"/>
                <w:b/>
                <w:sz w:val="24"/>
                <w:szCs w:val="24"/>
              </w:rPr>
              <w:t>£1</w:t>
            </w:r>
            <w:r w:rsidR="005D1048">
              <w:rPr>
                <w:rFonts w:ascii="Arial" w:hAnsi="Arial" w:cs="Arial"/>
                <w:b/>
                <w:sz w:val="24"/>
                <w:szCs w:val="24"/>
              </w:rPr>
              <w:t>,5</w:t>
            </w:r>
            <w:r w:rsidR="00313A98">
              <w:rPr>
                <w:rFonts w:ascii="Arial" w:hAnsi="Arial" w:cs="Arial"/>
                <w:b/>
                <w:sz w:val="24"/>
                <w:szCs w:val="24"/>
              </w:rPr>
              <w:t>27</w:t>
            </w:r>
            <w:r>
              <w:rPr>
                <w:rFonts w:ascii="Arial" w:hAnsi="Arial" w:cs="Arial"/>
                <w:b/>
                <w:sz w:val="24"/>
                <w:szCs w:val="24"/>
              </w:rPr>
              <w:t>,000</w:t>
            </w:r>
          </w:p>
        </w:tc>
      </w:tr>
    </w:tbl>
    <w:p w:rsidR="00F335A9" w:rsidRPr="00502D12" w:rsidRDefault="00502D12" w:rsidP="00502D12">
      <w:pPr>
        <w:spacing w:after="0" w:line="240" w:lineRule="auto"/>
        <w:ind w:left="720"/>
        <w:contextualSpacing/>
        <w:jc w:val="right"/>
        <w:rPr>
          <w:rFonts w:ascii="Arial" w:hAnsi="Arial" w:cs="Arial"/>
          <w:sz w:val="16"/>
          <w:szCs w:val="16"/>
        </w:rPr>
      </w:pPr>
      <w:r>
        <w:rPr>
          <w:rFonts w:ascii="Arial" w:hAnsi="Arial" w:cs="Arial"/>
          <w:sz w:val="16"/>
          <w:szCs w:val="16"/>
        </w:rPr>
        <w:t>N.B. Costs are based on today’s amounts and do not take account of inflation or wage increases</w:t>
      </w:r>
    </w:p>
    <w:p w:rsidR="007A001F" w:rsidRDefault="007A001F" w:rsidP="00757C40">
      <w:pPr>
        <w:spacing w:after="0" w:line="240" w:lineRule="auto"/>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3665"/>
        <w:gridCol w:w="1847"/>
        <w:gridCol w:w="1701"/>
        <w:gridCol w:w="1701"/>
      </w:tblGrid>
      <w:tr w:rsidR="007A001F" w:rsidTr="0096268B">
        <w:tc>
          <w:tcPr>
            <w:tcW w:w="3665" w:type="dxa"/>
            <w:shd w:val="clear" w:color="auto" w:fill="BFBFBF" w:themeFill="background1" w:themeFillShade="BF"/>
          </w:tcPr>
          <w:p w:rsidR="007A001F" w:rsidRPr="00C729B1" w:rsidRDefault="007A001F" w:rsidP="0096268B">
            <w:pPr>
              <w:contextualSpacing/>
              <w:jc w:val="center"/>
              <w:rPr>
                <w:rFonts w:ascii="Arial" w:hAnsi="Arial" w:cs="Arial"/>
                <w:b/>
                <w:sz w:val="24"/>
                <w:szCs w:val="24"/>
              </w:rPr>
            </w:pPr>
            <w:r>
              <w:rPr>
                <w:rFonts w:ascii="Arial" w:hAnsi="Arial" w:cs="Arial"/>
                <w:b/>
                <w:sz w:val="24"/>
                <w:szCs w:val="24"/>
              </w:rPr>
              <w:t>Value Added</w:t>
            </w:r>
          </w:p>
        </w:tc>
        <w:tc>
          <w:tcPr>
            <w:tcW w:w="1847"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Pr>
                <w:rFonts w:ascii="Arial" w:hAnsi="Arial" w:cs="Arial"/>
                <w:b/>
                <w:sz w:val="24"/>
                <w:szCs w:val="24"/>
              </w:rPr>
              <w:t>2019/20</w:t>
            </w:r>
          </w:p>
        </w:tc>
        <w:tc>
          <w:tcPr>
            <w:tcW w:w="1701"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sidRPr="00C729B1">
              <w:rPr>
                <w:rFonts w:ascii="Arial" w:hAnsi="Arial" w:cs="Arial"/>
                <w:b/>
                <w:sz w:val="24"/>
                <w:szCs w:val="24"/>
              </w:rPr>
              <w:t xml:space="preserve">2020 </w:t>
            </w:r>
          </w:p>
        </w:tc>
        <w:tc>
          <w:tcPr>
            <w:tcW w:w="1701"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sidRPr="00C729B1">
              <w:rPr>
                <w:rFonts w:ascii="Arial" w:hAnsi="Arial" w:cs="Arial"/>
                <w:b/>
                <w:sz w:val="24"/>
                <w:szCs w:val="24"/>
              </w:rPr>
              <w:t xml:space="preserve">2021+ </w:t>
            </w:r>
          </w:p>
        </w:tc>
      </w:tr>
      <w:tr w:rsidR="007A001F" w:rsidTr="0096268B">
        <w:tc>
          <w:tcPr>
            <w:tcW w:w="3665" w:type="dxa"/>
          </w:tcPr>
          <w:p w:rsidR="007A001F" w:rsidRPr="00F335A9" w:rsidRDefault="00BE2A88" w:rsidP="0096268B">
            <w:pPr>
              <w:contextualSpacing/>
              <w:rPr>
                <w:rFonts w:ascii="Arial" w:hAnsi="Arial" w:cs="Arial"/>
                <w:sz w:val="16"/>
                <w:szCs w:val="16"/>
              </w:rPr>
            </w:pPr>
            <w:r>
              <w:rPr>
                <w:rFonts w:ascii="Arial" w:hAnsi="Arial" w:cs="Arial"/>
                <w:sz w:val="24"/>
                <w:szCs w:val="24"/>
              </w:rPr>
              <w:t xml:space="preserve">Productive </w:t>
            </w:r>
            <w:r w:rsidR="007A001F">
              <w:rPr>
                <w:rFonts w:ascii="Arial" w:hAnsi="Arial" w:cs="Arial"/>
                <w:sz w:val="24"/>
                <w:szCs w:val="24"/>
              </w:rPr>
              <w:t>Hours Volunteered</w:t>
            </w:r>
            <w:r w:rsidR="00757C40">
              <w:rPr>
                <w:rStyle w:val="FootnoteReference"/>
                <w:rFonts w:ascii="Arial" w:hAnsi="Arial" w:cs="Arial"/>
                <w:sz w:val="24"/>
                <w:szCs w:val="24"/>
              </w:rPr>
              <w:footnoteReference w:id="6"/>
            </w:r>
          </w:p>
        </w:tc>
        <w:tc>
          <w:tcPr>
            <w:tcW w:w="1847" w:type="dxa"/>
          </w:tcPr>
          <w:p w:rsidR="007A001F" w:rsidRDefault="006522B3" w:rsidP="0096268B">
            <w:pPr>
              <w:contextualSpacing/>
              <w:jc w:val="center"/>
              <w:rPr>
                <w:rFonts w:ascii="Arial" w:hAnsi="Arial" w:cs="Arial"/>
                <w:sz w:val="24"/>
                <w:szCs w:val="24"/>
              </w:rPr>
            </w:pPr>
            <w:r>
              <w:rPr>
                <w:rFonts w:ascii="Arial" w:hAnsi="Arial" w:cs="Arial"/>
                <w:sz w:val="24"/>
                <w:szCs w:val="24"/>
              </w:rPr>
              <w:t>1</w:t>
            </w:r>
            <w:r w:rsidR="007E2C45">
              <w:rPr>
                <w:rFonts w:ascii="Arial" w:hAnsi="Arial" w:cs="Arial"/>
                <w:sz w:val="24"/>
                <w:szCs w:val="24"/>
              </w:rPr>
              <w:t>69</w:t>
            </w:r>
            <w:r>
              <w:rPr>
                <w:rFonts w:ascii="Arial" w:hAnsi="Arial" w:cs="Arial"/>
                <w:sz w:val="24"/>
                <w:szCs w:val="24"/>
              </w:rPr>
              <w:t>,000</w:t>
            </w:r>
          </w:p>
        </w:tc>
        <w:tc>
          <w:tcPr>
            <w:tcW w:w="1701" w:type="dxa"/>
          </w:tcPr>
          <w:p w:rsidR="007A001F" w:rsidRDefault="00757C40" w:rsidP="007E2C45">
            <w:pPr>
              <w:contextualSpacing/>
              <w:jc w:val="center"/>
              <w:rPr>
                <w:rFonts w:ascii="Arial" w:hAnsi="Arial" w:cs="Arial"/>
                <w:sz w:val="24"/>
                <w:szCs w:val="24"/>
              </w:rPr>
            </w:pPr>
            <w:r>
              <w:rPr>
                <w:rFonts w:ascii="Arial" w:hAnsi="Arial" w:cs="Arial"/>
                <w:sz w:val="24"/>
                <w:szCs w:val="24"/>
              </w:rPr>
              <w:t>18</w:t>
            </w:r>
            <w:r w:rsidR="007E2C45">
              <w:rPr>
                <w:rFonts w:ascii="Arial" w:hAnsi="Arial" w:cs="Arial"/>
                <w:sz w:val="24"/>
                <w:szCs w:val="24"/>
              </w:rPr>
              <w:t>2</w:t>
            </w:r>
            <w:r>
              <w:rPr>
                <w:rFonts w:ascii="Arial" w:hAnsi="Arial" w:cs="Arial"/>
                <w:sz w:val="24"/>
                <w:szCs w:val="24"/>
              </w:rPr>
              <w:t>,000</w:t>
            </w:r>
          </w:p>
        </w:tc>
        <w:tc>
          <w:tcPr>
            <w:tcW w:w="1701" w:type="dxa"/>
          </w:tcPr>
          <w:p w:rsidR="007A001F" w:rsidRDefault="00757C40" w:rsidP="007E2C45">
            <w:pPr>
              <w:contextualSpacing/>
              <w:jc w:val="center"/>
              <w:rPr>
                <w:rFonts w:ascii="Arial" w:hAnsi="Arial" w:cs="Arial"/>
                <w:sz w:val="24"/>
                <w:szCs w:val="24"/>
              </w:rPr>
            </w:pPr>
            <w:r>
              <w:rPr>
                <w:rFonts w:ascii="Arial" w:hAnsi="Arial" w:cs="Arial"/>
                <w:sz w:val="24"/>
                <w:szCs w:val="24"/>
              </w:rPr>
              <w:t>18</w:t>
            </w:r>
            <w:r w:rsidR="007E2C45">
              <w:rPr>
                <w:rFonts w:ascii="Arial" w:hAnsi="Arial" w:cs="Arial"/>
                <w:sz w:val="24"/>
                <w:szCs w:val="24"/>
              </w:rPr>
              <w:t>2</w:t>
            </w:r>
            <w:r>
              <w:rPr>
                <w:rFonts w:ascii="Arial" w:hAnsi="Arial" w:cs="Arial"/>
                <w:sz w:val="24"/>
                <w:szCs w:val="24"/>
              </w:rPr>
              <w:t>,000</w:t>
            </w:r>
          </w:p>
        </w:tc>
      </w:tr>
      <w:tr w:rsidR="00BE2A88" w:rsidTr="0096268B">
        <w:tc>
          <w:tcPr>
            <w:tcW w:w="3665" w:type="dxa"/>
          </w:tcPr>
          <w:p w:rsidR="00BE2A88" w:rsidRDefault="00BE2A88" w:rsidP="0096268B">
            <w:pPr>
              <w:contextualSpacing/>
              <w:rPr>
                <w:rFonts w:ascii="Arial" w:hAnsi="Arial" w:cs="Arial"/>
                <w:sz w:val="24"/>
                <w:szCs w:val="24"/>
              </w:rPr>
            </w:pPr>
            <w:r>
              <w:rPr>
                <w:rFonts w:ascii="Arial" w:hAnsi="Arial" w:cs="Arial"/>
                <w:sz w:val="24"/>
                <w:szCs w:val="24"/>
              </w:rPr>
              <w:t>Equivalency in Regular FTE</w:t>
            </w:r>
            <w:r w:rsidR="00757C40">
              <w:rPr>
                <w:rStyle w:val="FootnoteReference"/>
                <w:rFonts w:ascii="Arial" w:hAnsi="Arial" w:cs="Arial"/>
                <w:sz w:val="24"/>
                <w:szCs w:val="24"/>
              </w:rPr>
              <w:footnoteReference w:id="7"/>
            </w:r>
          </w:p>
        </w:tc>
        <w:tc>
          <w:tcPr>
            <w:tcW w:w="1847" w:type="dxa"/>
          </w:tcPr>
          <w:p w:rsidR="00BE2A88" w:rsidRDefault="007E2C45" w:rsidP="0096268B">
            <w:pPr>
              <w:contextualSpacing/>
              <w:jc w:val="center"/>
              <w:rPr>
                <w:rFonts w:ascii="Arial" w:hAnsi="Arial" w:cs="Arial"/>
                <w:sz w:val="24"/>
                <w:szCs w:val="24"/>
              </w:rPr>
            </w:pPr>
            <w:r>
              <w:rPr>
                <w:rFonts w:ascii="Arial" w:hAnsi="Arial" w:cs="Arial"/>
                <w:sz w:val="24"/>
                <w:szCs w:val="24"/>
              </w:rPr>
              <w:t>112</w:t>
            </w:r>
          </w:p>
        </w:tc>
        <w:tc>
          <w:tcPr>
            <w:tcW w:w="1701" w:type="dxa"/>
          </w:tcPr>
          <w:p w:rsidR="00BE2A88" w:rsidRDefault="007E2C45" w:rsidP="0096268B">
            <w:pPr>
              <w:contextualSpacing/>
              <w:jc w:val="center"/>
              <w:rPr>
                <w:rFonts w:ascii="Arial" w:hAnsi="Arial" w:cs="Arial"/>
                <w:sz w:val="24"/>
                <w:szCs w:val="24"/>
              </w:rPr>
            </w:pPr>
            <w:r>
              <w:rPr>
                <w:rFonts w:ascii="Arial" w:hAnsi="Arial" w:cs="Arial"/>
                <w:sz w:val="24"/>
                <w:szCs w:val="24"/>
              </w:rPr>
              <w:t>121</w:t>
            </w:r>
          </w:p>
        </w:tc>
        <w:tc>
          <w:tcPr>
            <w:tcW w:w="1701" w:type="dxa"/>
          </w:tcPr>
          <w:p w:rsidR="00BE2A88" w:rsidRDefault="007E2C45" w:rsidP="0096268B">
            <w:pPr>
              <w:contextualSpacing/>
              <w:jc w:val="center"/>
              <w:rPr>
                <w:rFonts w:ascii="Arial" w:hAnsi="Arial" w:cs="Arial"/>
                <w:sz w:val="24"/>
                <w:szCs w:val="24"/>
              </w:rPr>
            </w:pPr>
            <w:r>
              <w:rPr>
                <w:rFonts w:ascii="Arial" w:hAnsi="Arial" w:cs="Arial"/>
                <w:sz w:val="24"/>
                <w:szCs w:val="24"/>
              </w:rPr>
              <w:t>121</w:t>
            </w:r>
          </w:p>
        </w:tc>
      </w:tr>
      <w:tr w:rsidR="007A001F" w:rsidTr="00757C40">
        <w:tc>
          <w:tcPr>
            <w:tcW w:w="3665" w:type="dxa"/>
            <w:shd w:val="clear" w:color="auto" w:fill="D6E3BC" w:themeFill="accent3" w:themeFillTint="66"/>
          </w:tcPr>
          <w:p w:rsidR="007A001F" w:rsidRPr="00C729B1" w:rsidRDefault="00BE2A88" w:rsidP="0096268B">
            <w:pPr>
              <w:contextualSpacing/>
              <w:rPr>
                <w:rFonts w:ascii="Arial" w:hAnsi="Arial" w:cs="Arial"/>
                <w:b/>
                <w:sz w:val="24"/>
                <w:szCs w:val="24"/>
              </w:rPr>
            </w:pPr>
            <w:r>
              <w:rPr>
                <w:rFonts w:ascii="Arial" w:hAnsi="Arial" w:cs="Arial"/>
                <w:b/>
                <w:sz w:val="24"/>
                <w:szCs w:val="24"/>
              </w:rPr>
              <w:t>Equivalent in Regular Salary</w:t>
            </w:r>
            <w:r w:rsidR="00757C40">
              <w:rPr>
                <w:rStyle w:val="FootnoteReference"/>
                <w:rFonts w:ascii="Arial" w:hAnsi="Arial" w:cs="Arial"/>
                <w:b/>
                <w:sz w:val="24"/>
                <w:szCs w:val="24"/>
              </w:rPr>
              <w:footnoteReference w:id="8"/>
            </w:r>
          </w:p>
        </w:tc>
        <w:tc>
          <w:tcPr>
            <w:tcW w:w="1847" w:type="dxa"/>
            <w:shd w:val="clear" w:color="auto" w:fill="D6E3BC" w:themeFill="accent3" w:themeFillTint="66"/>
          </w:tcPr>
          <w:p w:rsidR="007A001F" w:rsidRPr="00C729B1" w:rsidRDefault="007E2C45" w:rsidP="007E2C45">
            <w:pPr>
              <w:contextualSpacing/>
              <w:jc w:val="center"/>
              <w:rPr>
                <w:rFonts w:ascii="Arial" w:hAnsi="Arial" w:cs="Arial"/>
                <w:b/>
                <w:sz w:val="24"/>
                <w:szCs w:val="24"/>
              </w:rPr>
            </w:pPr>
            <w:r>
              <w:rPr>
                <w:rFonts w:ascii="Arial" w:hAnsi="Arial" w:cs="Arial"/>
                <w:b/>
                <w:sz w:val="24"/>
                <w:szCs w:val="24"/>
              </w:rPr>
              <w:t>£5,870</w:t>
            </w:r>
            <w:r w:rsidR="00757C40">
              <w:rPr>
                <w:rFonts w:ascii="Arial" w:hAnsi="Arial" w:cs="Arial"/>
                <w:b/>
                <w:sz w:val="24"/>
                <w:szCs w:val="24"/>
              </w:rPr>
              <w:t>,000</w:t>
            </w:r>
          </w:p>
        </w:tc>
        <w:tc>
          <w:tcPr>
            <w:tcW w:w="1701" w:type="dxa"/>
            <w:shd w:val="clear" w:color="auto" w:fill="D6E3BC" w:themeFill="accent3" w:themeFillTint="66"/>
          </w:tcPr>
          <w:p w:rsidR="007A001F" w:rsidRPr="00C729B1" w:rsidRDefault="00757C40" w:rsidP="0096268B">
            <w:pPr>
              <w:contextualSpacing/>
              <w:jc w:val="center"/>
              <w:rPr>
                <w:rFonts w:ascii="Arial" w:hAnsi="Arial" w:cs="Arial"/>
                <w:b/>
                <w:sz w:val="24"/>
                <w:szCs w:val="24"/>
              </w:rPr>
            </w:pPr>
            <w:r>
              <w:rPr>
                <w:rFonts w:ascii="Arial" w:hAnsi="Arial" w:cs="Arial"/>
                <w:b/>
                <w:sz w:val="24"/>
                <w:szCs w:val="24"/>
              </w:rPr>
              <w:t>£</w:t>
            </w:r>
            <w:r w:rsidR="007E2C45">
              <w:rPr>
                <w:rFonts w:ascii="Arial" w:hAnsi="Arial" w:cs="Arial"/>
                <w:b/>
                <w:sz w:val="24"/>
                <w:szCs w:val="24"/>
              </w:rPr>
              <w:t>6,34</w:t>
            </w:r>
            <w:r>
              <w:rPr>
                <w:rFonts w:ascii="Arial" w:hAnsi="Arial" w:cs="Arial"/>
                <w:b/>
                <w:sz w:val="24"/>
                <w:szCs w:val="24"/>
              </w:rPr>
              <w:t>0,000</w:t>
            </w:r>
          </w:p>
        </w:tc>
        <w:tc>
          <w:tcPr>
            <w:tcW w:w="1701" w:type="dxa"/>
            <w:shd w:val="clear" w:color="auto" w:fill="D6E3BC" w:themeFill="accent3" w:themeFillTint="66"/>
          </w:tcPr>
          <w:p w:rsidR="007A001F" w:rsidRPr="00C729B1" w:rsidRDefault="00757C40" w:rsidP="007E2C45">
            <w:pPr>
              <w:contextualSpacing/>
              <w:jc w:val="center"/>
              <w:rPr>
                <w:rFonts w:ascii="Arial" w:hAnsi="Arial" w:cs="Arial"/>
                <w:b/>
                <w:sz w:val="24"/>
                <w:szCs w:val="24"/>
              </w:rPr>
            </w:pPr>
            <w:r>
              <w:rPr>
                <w:rFonts w:ascii="Arial" w:hAnsi="Arial" w:cs="Arial"/>
                <w:b/>
                <w:sz w:val="24"/>
                <w:szCs w:val="24"/>
              </w:rPr>
              <w:t>£6,</w:t>
            </w:r>
            <w:r w:rsidR="007E2C45">
              <w:rPr>
                <w:rFonts w:ascii="Arial" w:hAnsi="Arial" w:cs="Arial"/>
                <w:b/>
                <w:sz w:val="24"/>
                <w:szCs w:val="24"/>
              </w:rPr>
              <w:t>34</w:t>
            </w:r>
            <w:r>
              <w:rPr>
                <w:rFonts w:ascii="Arial" w:hAnsi="Arial" w:cs="Arial"/>
                <w:b/>
                <w:sz w:val="24"/>
                <w:szCs w:val="24"/>
              </w:rPr>
              <w:t>0,000</w:t>
            </w:r>
          </w:p>
        </w:tc>
      </w:tr>
    </w:tbl>
    <w:p w:rsidR="007E1DC6" w:rsidRDefault="007E1DC6" w:rsidP="007E1DC6">
      <w:pPr>
        <w:pStyle w:val="NoSpacing"/>
        <w:ind w:left="720"/>
        <w:rPr>
          <w:rFonts w:ascii="Arial" w:hAnsi="Arial" w:cs="Arial"/>
          <w:sz w:val="24"/>
          <w:szCs w:val="24"/>
        </w:rPr>
      </w:pPr>
    </w:p>
    <w:p w:rsidR="0090351D" w:rsidRDefault="007E1DC6" w:rsidP="007E1DC6">
      <w:pPr>
        <w:pStyle w:val="NoSpacing"/>
        <w:ind w:left="720"/>
        <w:rPr>
          <w:rFonts w:ascii="Arial" w:hAnsi="Arial" w:cs="Arial"/>
          <w:sz w:val="24"/>
          <w:szCs w:val="24"/>
        </w:rPr>
      </w:pPr>
      <w:r>
        <w:rPr>
          <w:rFonts w:ascii="Arial" w:hAnsi="Arial" w:cs="Arial"/>
          <w:sz w:val="24"/>
          <w:szCs w:val="24"/>
        </w:rPr>
        <w:t xml:space="preserve">The </w:t>
      </w:r>
      <w:r w:rsidR="00C76F5D">
        <w:rPr>
          <w:rFonts w:ascii="Arial" w:hAnsi="Arial" w:cs="Arial"/>
          <w:sz w:val="24"/>
          <w:szCs w:val="24"/>
        </w:rPr>
        <w:t>ability of the force to maintain a headcount of 600 will be predicated on the following:</w:t>
      </w:r>
    </w:p>
    <w:p w:rsidR="00C76F5D" w:rsidRDefault="00C76F5D" w:rsidP="007E1DC6">
      <w:pPr>
        <w:pStyle w:val="NoSpacing"/>
        <w:ind w:left="720"/>
        <w:rPr>
          <w:rFonts w:ascii="Arial" w:hAnsi="Arial" w:cs="Arial"/>
          <w:sz w:val="24"/>
          <w:szCs w:val="24"/>
        </w:rPr>
      </w:pPr>
    </w:p>
    <w:p w:rsidR="00C76F5D" w:rsidRDefault="00C76F5D" w:rsidP="00C76F5D">
      <w:pPr>
        <w:pStyle w:val="NoSpacing"/>
        <w:numPr>
          <w:ilvl w:val="0"/>
          <w:numId w:val="17"/>
        </w:numPr>
        <w:rPr>
          <w:rFonts w:ascii="Arial" w:hAnsi="Arial" w:cs="Arial"/>
          <w:sz w:val="24"/>
          <w:szCs w:val="24"/>
        </w:rPr>
      </w:pPr>
      <w:r>
        <w:rPr>
          <w:rFonts w:ascii="Arial" w:hAnsi="Arial" w:cs="Arial"/>
          <w:sz w:val="24"/>
          <w:szCs w:val="24"/>
        </w:rPr>
        <w:t xml:space="preserve">The regular recruitment strategy </w:t>
      </w:r>
      <w:r w:rsidR="005121A0">
        <w:rPr>
          <w:rFonts w:ascii="Arial" w:hAnsi="Arial" w:cs="Arial"/>
          <w:sz w:val="24"/>
          <w:szCs w:val="24"/>
        </w:rPr>
        <w:t>–</w:t>
      </w:r>
      <w:r>
        <w:rPr>
          <w:rFonts w:ascii="Arial" w:hAnsi="Arial" w:cs="Arial"/>
          <w:sz w:val="24"/>
          <w:szCs w:val="24"/>
        </w:rPr>
        <w:t xml:space="preserve"> </w:t>
      </w:r>
      <w:r w:rsidR="005121A0">
        <w:rPr>
          <w:rFonts w:ascii="Arial" w:hAnsi="Arial" w:cs="Arial"/>
          <w:sz w:val="24"/>
          <w:szCs w:val="24"/>
        </w:rPr>
        <w:t xml:space="preserve">the presumption is that where regular recruitment stops or slows, Specials recruitment will increase, and vice-versa. </w:t>
      </w:r>
    </w:p>
    <w:p w:rsidR="005121A0" w:rsidRDefault="005121A0" w:rsidP="005121A0">
      <w:pPr>
        <w:pStyle w:val="NoSpacing"/>
        <w:ind w:left="1440"/>
        <w:rPr>
          <w:rFonts w:ascii="Arial" w:hAnsi="Arial" w:cs="Arial"/>
          <w:sz w:val="24"/>
          <w:szCs w:val="24"/>
        </w:rPr>
      </w:pPr>
    </w:p>
    <w:p w:rsidR="00C76F5D" w:rsidRDefault="00C76F5D" w:rsidP="00C76F5D">
      <w:pPr>
        <w:pStyle w:val="NoSpacing"/>
        <w:numPr>
          <w:ilvl w:val="0"/>
          <w:numId w:val="17"/>
        </w:numPr>
        <w:rPr>
          <w:rFonts w:ascii="Arial" w:hAnsi="Arial" w:cs="Arial"/>
          <w:sz w:val="24"/>
          <w:szCs w:val="24"/>
        </w:rPr>
      </w:pPr>
      <w:r>
        <w:rPr>
          <w:rFonts w:ascii="Arial" w:hAnsi="Arial" w:cs="Arial"/>
          <w:sz w:val="24"/>
          <w:szCs w:val="24"/>
        </w:rPr>
        <w:t xml:space="preserve">Our investment in </w:t>
      </w:r>
      <w:r w:rsidR="005121A0">
        <w:rPr>
          <w:rFonts w:ascii="Arial" w:hAnsi="Arial" w:cs="Arial"/>
          <w:sz w:val="24"/>
          <w:szCs w:val="24"/>
        </w:rPr>
        <w:t xml:space="preserve">retention – where other forces have seen a period of substantial growth it has been followed by a period of reduction as they have also removed investment in retention (achieved through paid staff to support the Specials and through commitment to training and integration) </w:t>
      </w:r>
    </w:p>
    <w:p w:rsidR="005121A0" w:rsidRDefault="005121A0" w:rsidP="005121A0">
      <w:pPr>
        <w:pStyle w:val="NoSpacing"/>
        <w:rPr>
          <w:rFonts w:ascii="Arial" w:hAnsi="Arial" w:cs="Arial"/>
          <w:sz w:val="24"/>
          <w:szCs w:val="24"/>
        </w:rPr>
      </w:pPr>
    </w:p>
    <w:p w:rsidR="005121A0" w:rsidRDefault="005121A0" w:rsidP="00C76F5D">
      <w:pPr>
        <w:pStyle w:val="NoSpacing"/>
        <w:numPr>
          <w:ilvl w:val="0"/>
          <w:numId w:val="17"/>
        </w:numPr>
        <w:rPr>
          <w:rFonts w:ascii="Arial" w:hAnsi="Arial" w:cs="Arial"/>
          <w:sz w:val="24"/>
          <w:szCs w:val="24"/>
        </w:rPr>
      </w:pPr>
      <w:r>
        <w:rPr>
          <w:rFonts w:ascii="Arial" w:hAnsi="Arial" w:cs="Arial"/>
          <w:sz w:val="24"/>
          <w:szCs w:val="24"/>
        </w:rPr>
        <w:t>The volunteer recruitment environment - our recruitment campaign will have been running since May 2017, but will still need to attract 800 new applications every year. There is a risk of reducing return on investment as the campaign continues.</w:t>
      </w:r>
    </w:p>
    <w:p w:rsidR="005121A0" w:rsidRDefault="005121A0" w:rsidP="005121A0">
      <w:pPr>
        <w:pStyle w:val="NoSpacing"/>
        <w:rPr>
          <w:rFonts w:ascii="Arial" w:hAnsi="Arial" w:cs="Arial"/>
          <w:sz w:val="24"/>
          <w:szCs w:val="24"/>
        </w:rPr>
      </w:pPr>
    </w:p>
    <w:p w:rsidR="005121A0" w:rsidRDefault="005121A0" w:rsidP="005121A0">
      <w:pPr>
        <w:pStyle w:val="NoSpacing"/>
        <w:ind w:left="720"/>
        <w:rPr>
          <w:rFonts w:ascii="Arial" w:hAnsi="Arial" w:cs="Arial"/>
          <w:sz w:val="24"/>
          <w:szCs w:val="24"/>
        </w:rPr>
      </w:pPr>
      <w:r>
        <w:rPr>
          <w:rFonts w:ascii="Arial" w:hAnsi="Arial" w:cs="Arial"/>
          <w:sz w:val="24"/>
          <w:szCs w:val="24"/>
        </w:rPr>
        <w:t>Changes to any of the above will have a significant impact on headcount maintenance, however, the return on investment in terms of salary equivalent suggest</w:t>
      </w:r>
      <w:r w:rsidR="005A0005">
        <w:rPr>
          <w:rFonts w:ascii="Arial" w:hAnsi="Arial" w:cs="Arial"/>
          <w:sz w:val="24"/>
          <w:szCs w:val="24"/>
        </w:rPr>
        <w:t>s</w:t>
      </w:r>
      <w:r>
        <w:rPr>
          <w:rFonts w:ascii="Arial" w:hAnsi="Arial" w:cs="Arial"/>
          <w:sz w:val="24"/>
          <w:szCs w:val="24"/>
        </w:rPr>
        <w:t xml:space="preserve"> that investment </w:t>
      </w:r>
      <w:r w:rsidR="005A0005">
        <w:rPr>
          <w:rFonts w:ascii="Arial" w:hAnsi="Arial" w:cs="Arial"/>
          <w:sz w:val="24"/>
          <w:szCs w:val="24"/>
        </w:rPr>
        <w:t xml:space="preserve">in the Special Constabulary </w:t>
      </w:r>
      <w:r>
        <w:rPr>
          <w:rFonts w:ascii="Arial" w:hAnsi="Arial" w:cs="Arial"/>
          <w:sz w:val="24"/>
          <w:szCs w:val="24"/>
        </w:rPr>
        <w:t>is worthwhile and achieves value for money.</w:t>
      </w:r>
    </w:p>
    <w:sectPr w:rsidR="005121A0" w:rsidSect="00BF02BC">
      <w:headerReference w:type="default" r:id="rId8"/>
      <w:footerReference w:type="default" r:id="rId9"/>
      <w:pgSz w:w="11906" w:h="16838"/>
      <w:pgMar w:top="1440" w:right="1080" w:bottom="1276"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8B" w:rsidRDefault="0096268B" w:rsidP="00121A7F">
      <w:pPr>
        <w:spacing w:after="0" w:line="240" w:lineRule="auto"/>
      </w:pPr>
      <w:r>
        <w:separator/>
      </w:r>
    </w:p>
  </w:endnote>
  <w:endnote w:type="continuationSeparator" w:id="0">
    <w:p w:rsidR="0096268B" w:rsidRDefault="0096268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96268B" w:rsidRDefault="0096268B" w:rsidP="004F62BB">
            <w:pPr>
              <w:pStyle w:val="Footer"/>
              <w:jc w:val="center"/>
            </w:pPr>
          </w:p>
          <w:p w:rsidR="0096268B" w:rsidRPr="004F62BB" w:rsidRDefault="0096268B"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96268B" w:rsidRPr="006279AB" w:rsidRDefault="0096268B" w:rsidP="004F62BB">
            <w:pPr>
              <w:pStyle w:val="Footer"/>
              <w:jc w:val="center"/>
              <w:rPr>
                <w:rFonts w:ascii="Arial" w:hAnsi="Arial" w:cs="Arial"/>
                <w:sz w:val="20"/>
                <w:szCs w:val="20"/>
              </w:rPr>
            </w:pPr>
          </w:p>
          <w:p w:rsidR="0096268B" w:rsidRDefault="0096268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212AD">
              <w:rPr>
                <w:rFonts w:ascii="Arial" w:hAnsi="Arial" w:cs="Arial"/>
                <w:bCs/>
                <w:noProof/>
                <w:sz w:val="20"/>
                <w:szCs w:val="20"/>
              </w:rPr>
              <w:t>11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212AD">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8B" w:rsidRDefault="0096268B" w:rsidP="00121A7F">
      <w:pPr>
        <w:spacing w:after="0" w:line="240" w:lineRule="auto"/>
      </w:pPr>
      <w:r>
        <w:separator/>
      </w:r>
    </w:p>
  </w:footnote>
  <w:footnote w:type="continuationSeparator" w:id="0">
    <w:p w:rsidR="0096268B" w:rsidRDefault="0096268B" w:rsidP="00121A7F">
      <w:pPr>
        <w:spacing w:after="0" w:line="240" w:lineRule="auto"/>
      </w:pPr>
      <w:r>
        <w:continuationSeparator/>
      </w:r>
    </w:p>
  </w:footnote>
  <w:footnote w:id="1">
    <w:p w:rsidR="00502B20" w:rsidRDefault="0096268B">
      <w:pPr>
        <w:pStyle w:val="FootnoteText"/>
      </w:pPr>
      <w:r>
        <w:rPr>
          <w:rStyle w:val="FootnoteReference"/>
        </w:rPr>
        <w:footnoteRef/>
      </w:r>
      <w:r>
        <w:t xml:space="preserve"> Calculated based on all </w:t>
      </w:r>
      <w:r w:rsidR="00502B20">
        <w:t xml:space="preserve">identifiable and </w:t>
      </w:r>
      <w:r>
        <w:t xml:space="preserve">attributable </w:t>
      </w:r>
      <w:r w:rsidR="00502B20">
        <w:t>costs of the Special Constabulary</w:t>
      </w:r>
    </w:p>
  </w:footnote>
  <w:footnote w:id="2">
    <w:p w:rsidR="00502B20" w:rsidRDefault="00502B20">
      <w:pPr>
        <w:pStyle w:val="FootnoteText"/>
      </w:pPr>
      <w:r>
        <w:rPr>
          <w:rStyle w:val="FootnoteReference"/>
        </w:rPr>
        <w:footnoteRef/>
      </w:r>
      <w:r>
        <w:t xml:space="preserve"> Based on salary costs of FTE regular officers working an equivalent number of productive hours as Specials</w:t>
      </w:r>
    </w:p>
  </w:footnote>
  <w:footnote w:id="3">
    <w:p w:rsidR="0096268B" w:rsidRDefault="0096268B">
      <w:pPr>
        <w:pStyle w:val="FootnoteText"/>
      </w:pPr>
      <w:r>
        <w:rPr>
          <w:rStyle w:val="FootnoteReference"/>
        </w:rPr>
        <w:footnoteRef/>
      </w:r>
      <w:r>
        <w:t xml:space="preserve"> Data obtained from Duty Sheet</w:t>
      </w:r>
    </w:p>
  </w:footnote>
  <w:footnote w:id="4">
    <w:p w:rsidR="0096268B" w:rsidRDefault="0096268B">
      <w:pPr>
        <w:pStyle w:val="FootnoteText"/>
      </w:pPr>
      <w:r>
        <w:rPr>
          <w:rStyle w:val="FootnoteReference"/>
        </w:rPr>
        <w:footnoteRef/>
      </w:r>
      <w:r>
        <w:t xml:space="preserve"> </w:t>
      </w:r>
      <w:r w:rsidRPr="007E1DC6">
        <w:rPr>
          <w:rFonts w:ascii="Arial" w:hAnsi="Arial" w:cs="Arial"/>
          <w:sz w:val="16"/>
          <w:szCs w:val="16"/>
        </w:rPr>
        <w:t>Agreed budget for 2019/20</w:t>
      </w:r>
    </w:p>
  </w:footnote>
  <w:footnote w:id="5">
    <w:p w:rsidR="0096268B" w:rsidRDefault="0096268B">
      <w:pPr>
        <w:pStyle w:val="FootnoteText"/>
      </w:pPr>
      <w:r>
        <w:rPr>
          <w:rStyle w:val="FootnoteReference"/>
        </w:rPr>
        <w:footnoteRef/>
      </w:r>
      <w:r>
        <w:t xml:space="preserve"> </w:t>
      </w:r>
      <w:r w:rsidRPr="007E1DC6">
        <w:rPr>
          <w:rFonts w:ascii="Arial" w:hAnsi="Arial" w:cs="Arial"/>
          <w:sz w:val="16"/>
          <w:szCs w:val="16"/>
        </w:rPr>
        <w:t>Likely budget required to attract 800 applications based on 2018/19 cost per application (£45)</w:t>
      </w:r>
    </w:p>
  </w:footnote>
  <w:footnote w:id="6">
    <w:p w:rsidR="0096268B" w:rsidRDefault="0096268B">
      <w:pPr>
        <w:pStyle w:val="FootnoteText"/>
      </w:pPr>
      <w:r>
        <w:rPr>
          <w:rStyle w:val="FootnoteReference"/>
        </w:rPr>
        <w:footnoteRef/>
      </w:r>
      <w:r>
        <w:t xml:space="preserve"> </w:t>
      </w:r>
      <w:r>
        <w:rPr>
          <w:rFonts w:ascii="Arial" w:hAnsi="Arial" w:cs="Arial"/>
          <w:sz w:val="16"/>
          <w:szCs w:val="16"/>
        </w:rPr>
        <w:t>T</w:t>
      </w:r>
      <w:r w:rsidRPr="00757C40">
        <w:rPr>
          <w:rFonts w:ascii="Arial" w:hAnsi="Arial" w:cs="Arial"/>
          <w:sz w:val="16"/>
          <w:szCs w:val="16"/>
        </w:rPr>
        <w:t>otal hours, less training</w:t>
      </w:r>
      <w:r>
        <w:rPr>
          <w:rFonts w:ascii="Arial" w:hAnsi="Arial" w:cs="Arial"/>
          <w:sz w:val="16"/>
          <w:szCs w:val="16"/>
        </w:rPr>
        <w:t xml:space="preserve"> (Total hours estimated based on 30hrs/</w:t>
      </w:r>
      <w:proofErr w:type="spellStart"/>
      <w:r>
        <w:rPr>
          <w:rFonts w:ascii="Arial" w:hAnsi="Arial" w:cs="Arial"/>
          <w:sz w:val="16"/>
          <w:szCs w:val="16"/>
        </w:rPr>
        <w:t>mth</w:t>
      </w:r>
      <w:proofErr w:type="spellEnd"/>
      <w:r>
        <w:rPr>
          <w:rFonts w:ascii="Arial" w:hAnsi="Arial" w:cs="Arial"/>
          <w:sz w:val="16"/>
          <w:szCs w:val="16"/>
        </w:rPr>
        <w:t>/officer; training estimated based on 16% total hours)</w:t>
      </w:r>
    </w:p>
  </w:footnote>
  <w:footnote w:id="7">
    <w:p w:rsidR="0096268B" w:rsidRDefault="0096268B">
      <w:pPr>
        <w:pStyle w:val="FootnoteText"/>
      </w:pPr>
      <w:r>
        <w:rPr>
          <w:rStyle w:val="FootnoteReference"/>
        </w:rPr>
        <w:footnoteRef/>
      </w:r>
      <w:r>
        <w:t xml:space="preserve"> </w:t>
      </w:r>
      <w:r>
        <w:rPr>
          <w:rFonts w:ascii="Arial" w:hAnsi="Arial" w:cs="Arial"/>
          <w:sz w:val="16"/>
          <w:szCs w:val="16"/>
        </w:rPr>
        <w:t>Productive hours divided by equivalent productive hours of a regular officer per year (1508hrs/</w:t>
      </w:r>
      <w:proofErr w:type="spellStart"/>
      <w:r>
        <w:rPr>
          <w:rFonts w:ascii="Arial" w:hAnsi="Arial" w:cs="Arial"/>
          <w:sz w:val="16"/>
          <w:szCs w:val="16"/>
        </w:rPr>
        <w:t>yr</w:t>
      </w:r>
      <w:proofErr w:type="spellEnd"/>
      <w:r>
        <w:rPr>
          <w:rFonts w:ascii="Arial" w:hAnsi="Arial" w:cs="Arial"/>
          <w:sz w:val="16"/>
          <w:szCs w:val="16"/>
        </w:rPr>
        <w:t xml:space="preserve"> as per NPCC)</w:t>
      </w:r>
    </w:p>
  </w:footnote>
  <w:footnote w:id="8">
    <w:p w:rsidR="0096268B" w:rsidRPr="00757C40" w:rsidRDefault="0096268B">
      <w:pPr>
        <w:pStyle w:val="FootnoteText"/>
        <w:rPr>
          <w:rFonts w:ascii="Arial" w:hAnsi="Arial" w:cs="Arial"/>
          <w:sz w:val="16"/>
          <w:szCs w:val="16"/>
        </w:rPr>
      </w:pPr>
      <w:r>
        <w:rPr>
          <w:rStyle w:val="FootnoteReference"/>
        </w:rPr>
        <w:footnoteRef/>
      </w:r>
      <w:r>
        <w:t xml:space="preserve"> </w:t>
      </w:r>
      <w:r w:rsidRPr="007E2C45">
        <w:rPr>
          <w:rFonts w:ascii="Arial" w:hAnsi="Arial" w:cs="Arial"/>
          <w:sz w:val="16"/>
          <w:szCs w:val="16"/>
        </w:rPr>
        <w:t>Equivalent regular salary based on FTE multiplied by ready re</w:t>
      </w:r>
      <w:r>
        <w:rPr>
          <w:rFonts w:ascii="Arial" w:hAnsi="Arial" w:cs="Arial"/>
          <w:sz w:val="16"/>
          <w:szCs w:val="16"/>
        </w:rPr>
        <w:t>ckoner salary (£</w:t>
      </w:r>
      <w:r w:rsidRPr="007E2C45">
        <w:rPr>
          <w:rFonts w:ascii="Arial" w:hAnsi="Arial" w:cs="Arial"/>
          <w:sz w:val="16"/>
          <w:szCs w:val="16"/>
        </w:rPr>
        <w:t>52</w:t>
      </w:r>
      <w:r>
        <w:rPr>
          <w:rFonts w:ascii="Arial" w:hAnsi="Arial" w:cs="Arial"/>
          <w:sz w:val="16"/>
          <w:szCs w:val="16"/>
        </w:rPr>
        <w:t>,</w:t>
      </w:r>
      <w:r w:rsidRPr="007E2C45">
        <w:rPr>
          <w:rFonts w:ascii="Arial" w:hAnsi="Arial" w:cs="Arial"/>
          <w:sz w:val="16"/>
          <w:szCs w:val="16"/>
        </w:rPr>
        <w:t>434</w:t>
      </w:r>
      <w:r>
        <w:rPr>
          <w:rFonts w:ascii="Arial" w:hAnsi="Arial" w:cs="Arial"/>
          <w:sz w:val="16"/>
          <w:szCs w:val="16"/>
        </w:rPr>
        <w:t xml:space="preserve"> for a Police Constable)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8B" w:rsidRDefault="0096268B" w:rsidP="004F62BB">
    <w:pPr>
      <w:pStyle w:val="Header"/>
      <w:jc w:val="center"/>
      <w:rPr>
        <w:rFonts w:ascii="Arial" w:hAnsi="Arial" w:cs="Arial"/>
        <w:sz w:val="20"/>
      </w:rPr>
    </w:pPr>
    <w:r>
      <w:rPr>
        <w:rFonts w:ascii="Arial" w:hAnsi="Arial" w:cs="Arial"/>
        <w:sz w:val="20"/>
      </w:rPr>
      <w:t>OFFICIAL</w:t>
    </w:r>
  </w:p>
  <w:p w:rsidR="0096268B" w:rsidRPr="006279AB" w:rsidRDefault="0096268B"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6EE"/>
    <w:multiLevelType w:val="hybridMultilevel"/>
    <w:tmpl w:val="7BC82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E14FF"/>
    <w:multiLevelType w:val="hybridMultilevel"/>
    <w:tmpl w:val="820C85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B4432"/>
    <w:multiLevelType w:val="hybridMultilevel"/>
    <w:tmpl w:val="EE0C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6005D5"/>
    <w:multiLevelType w:val="hybridMultilevel"/>
    <w:tmpl w:val="CC28B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7AC567A"/>
    <w:multiLevelType w:val="hybridMultilevel"/>
    <w:tmpl w:val="9006D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8071F1"/>
    <w:multiLevelType w:val="hybridMultilevel"/>
    <w:tmpl w:val="F196C0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CD357C"/>
    <w:multiLevelType w:val="hybridMultilevel"/>
    <w:tmpl w:val="8EFA90A6"/>
    <w:lvl w:ilvl="0" w:tplc="46CA464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244F90"/>
    <w:multiLevelType w:val="hybridMultilevel"/>
    <w:tmpl w:val="3180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B02D9"/>
    <w:multiLevelType w:val="hybridMultilevel"/>
    <w:tmpl w:val="DDD600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957C3"/>
    <w:multiLevelType w:val="hybridMultilevel"/>
    <w:tmpl w:val="E12C1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8"/>
  </w:num>
  <w:num w:numId="4">
    <w:abstractNumId w:val="15"/>
  </w:num>
  <w:num w:numId="5">
    <w:abstractNumId w:val="5"/>
  </w:num>
  <w:num w:numId="6">
    <w:abstractNumId w:val="16"/>
  </w:num>
  <w:num w:numId="7">
    <w:abstractNumId w:val="7"/>
  </w:num>
  <w:num w:numId="8">
    <w:abstractNumId w:val="12"/>
  </w:num>
  <w:num w:numId="9">
    <w:abstractNumId w:val="0"/>
  </w:num>
  <w:num w:numId="10">
    <w:abstractNumId w:val="2"/>
  </w:num>
  <w:num w:numId="11">
    <w:abstractNumId w:val="4"/>
  </w:num>
  <w:num w:numId="12">
    <w:abstractNumId w:val="14"/>
  </w:num>
  <w:num w:numId="13">
    <w:abstractNumId w:val="3"/>
  </w:num>
  <w:num w:numId="14">
    <w:abstractNumId w:val="17"/>
  </w:num>
  <w:num w:numId="15">
    <w:abstractNumId w:val="11"/>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744"/>
    <w:rsid w:val="00001C7C"/>
    <w:rsid w:val="00005AD8"/>
    <w:rsid w:val="00005D73"/>
    <w:rsid w:val="0001733D"/>
    <w:rsid w:val="00017D7D"/>
    <w:rsid w:val="00027D5B"/>
    <w:rsid w:val="00037B66"/>
    <w:rsid w:val="00046E42"/>
    <w:rsid w:val="000568EA"/>
    <w:rsid w:val="000832E8"/>
    <w:rsid w:val="000C0C36"/>
    <w:rsid w:val="000C3206"/>
    <w:rsid w:val="000D4FE5"/>
    <w:rsid w:val="00121849"/>
    <w:rsid w:val="00121A7F"/>
    <w:rsid w:val="00171B53"/>
    <w:rsid w:val="00176135"/>
    <w:rsid w:val="00182A62"/>
    <w:rsid w:val="001D19D3"/>
    <w:rsid w:val="001D5222"/>
    <w:rsid w:val="001E2DAF"/>
    <w:rsid w:val="00206D96"/>
    <w:rsid w:val="00207E90"/>
    <w:rsid w:val="00233A9C"/>
    <w:rsid w:val="00234BCF"/>
    <w:rsid w:val="00241276"/>
    <w:rsid w:val="002A17ED"/>
    <w:rsid w:val="002E2269"/>
    <w:rsid w:val="002E46DF"/>
    <w:rsid w:val="0030288C"/>
    <w:rsid w:val="00313A98"/>
    <w:rsid w:val="00326DE0"/>
    <w:rsid w:val="0037338D"/>
    <w:rsid w:val="0037640B"/>
    <w:rsid w:val="00376772"/>
    <w:rsid w:val="003832F7"/>
    <w:rsid w:val="00383A3A"/>
    <w:rsid w:val="003A0F89"/>
    <w:rsid w:val="003E6059"/>
    <w:rsid w:val="003E6E7B"/>
    <w:rsid w:val="003F7C58"/>
    <w:rsid w:val="00404715"/>
    <w:rsid w:val="0041002E"/>
    <w:rsid w:val="00411145"/>
    <w:rsid w:val="00480E86"/>
    <w:rsid w:val="00481761"/>
    <w:rsid w:val="00495DAB"/>
    <w:rsid w:val="004A55EC"/>
    <w:rsid w:val="004B289D"/>
    <w:rsid w:val="004D1DF5"/>
    <w:rsid w:val="004D5550"/>
    <w:rsid w:val="004F62BB"/>
    <w:rsid w:val="00502B20"/>
    <w:rsid w:val="00502D12"/>
    <w:rsid w:val="005070FD"/>
    <w:rsid w:val="005121A0"/>
    <w:rsid w:val="00517DD2"/>
    <w:rsid w:val="00523007"/>
    <w:rsid w:val="00535AE1"/>
    <w:rsid w:val="00536E90"/>
    <w:rsid w:val="00573FD9"/>
    <w:rsid w:val="00583860"/>
    <w:rsid w:val="00591EB9"/>
    <w:rsid w:val="005A0005"/>
    <w:rsid w:val="005A7360"/>
    <w:rsid w:val="005C3E88"/>
    <w:rsid w:val="005C6AE9"/>
    <w:rsid w:val="005D1048"/>
    <w:rsid w:val="005F6903"/>
    <w:rsid w:val="00605A10"/>
    <w:rsid w:val="006279AB"/>
    <w:rsid w:val="0063208F"/>
    <w:rsid w:val="00635778"/>
    <w:rsid w:val="006522B3"/>
    <w:rsid w:val="00652B9C"/>
    <w:rsid w:val="00656D79"/>
    <w:rsid w:val="00656F5B"/>
    <w:rsid w:val="00663C2D"/>
    <w:rsid w:val="00665862"/>
    <w:rsid w:val="006914B2"/>
    <w:rsid w:val="006C3581"/>
    <w:rsid w:val="006C3E07"/>
    <w:rsid w:val="006D2A79"/>
    <w:rsid w:val="006D469E"/>
    <w:rsid w:val="006E344F"/>
    <w:rsid w:val="006E4820"/>
    <w:rsid w:val="006F271A"/>
    <w:rsid w:val="007222D9"/>
    <w:rsid w:val="007427EA"/>
    <w:rsid w:val="00757C40"/>
    <w:rsid w:val="00761487"/>
    <w:rsid w:val="00773654"/>
    <w:rsid w:val="007A001F"/>
    <w:rsid w:val="007A4CFA"/>
    <w:rsid w:val="007A7C60"/>
    <w:rsid w:val="007D3E9B"/>
    <w:rsid w:val="007E1DC6"/>
    <w:rsid w:val="007E2C45"/>
    <w:rsid w:val="007F244C"/>
    <w:rsid w:val="00821953"/>
    <w:rsid w:val="00841A12"/>
    <w:rsid w:val="008450F2"/>
    <w:rsid w:val="00852251"/>
    <w:rsid w:val="008B19D3"/>
    <w:rsid w:val="008C29C2"/>
    <w:rsid w:val="008C3A5B"/>
    <w:rsid w:val="008C5D11"/>
    <w:rsid w:val="008E522B"/>
    <w:rsid w:val="008E7400"/>
    <w:rsid w:val="0090351D"/>
    <w:rsid w:val="0095101C"/>
    <w:rsid w:val="00960812"/>
    <w:rsid w:val="0096268B"/>
    <w:rsid w:val="00963A59"/>
    <w:rsid w:val="00966AA0"/>
    <w:rsid w:val="00976D1E"/>
    <w:rsid w:val="00977757"/>
    <w:rsid w:val="00980AAA"/>
    <w:rsid w:val="009C017A"/>
    <w:rsid w:val="009D0799"/>
    <w:rsid w:val="009F283C"/>
    <w:rsid w:val="009F3263"/>
    <w:rsid w:val="00A0332C"/>
    <w:rsid w:val="00A06A52"/>
    <w:rsid w:val="00A11310"/>
    <w:rsid w:val="00A430DE"/>
    <w:rsid w:val="00A538FE"/>
    <w:rsid w:val="00A85689"/>
    <w:rsid w:val="00AA4196"/>
    <w:rsid w:val="00AB1FBF"/>
    <w:rsid w:val="00AC1ABD"/>
    <w:rsid w:val="00AF2620"/>
    <w:rsid w:val="00AF26ED"/>
    <w:rsid w:val="00B05292"/>
    <w:rsid w:val="00B11263"/>
    <w:rsid w:val="00B77DD0"/>
    <w:rsid w:val="00B97BE5"/>
    <w:rsid w:val="00BB0ED2"/>
    <w:rsid w:val="00BE2A88"/>
    <w:rsid w:val="00BF02BC"/>
    <w:rsid w:val="00C064AB"/>
    <w:rsid w:val="00C10AA5"/>
    <w:rsid w:val="00C1201E"/>
    <w:rsid w:val="00C44E4F"/>
    <w:rsid w:val="00C60D23"/>
    <w:rsid w:val="00C63DE1"/>
    <w:rsid w:val="00C654B8"/>
    <w:rsid w:val="00C67C9C"/>
    <w:rsid w:val="00C729B1"/>
    <w:rsid w:val="00C76F5D"/>
    <w:rsid w:val="00C86218"/>
    <w:rsid w:val="00CF32ED"/>
    <w:rsid w:val="00D42F84"/>
    <w:rsid w:val="00D459B2"/>
    <w:rsid w:val="00D6469E"/>
    <w:rsid w:val="00D64911"/>
    <w:rsid w:val="00D8103E"/>
    <w:rsid w:val="00DE0935"/>
    <w:rsid w:val="00DE144B"/>
    <w:rsid w:val="00E212AD"/>
    <w:rsid w:val="00E2759B"/>
    <w:rsid w:val="00E3048D"/>
    <w:rsid w:val="00E41AA4"/>
    <w:rsid w:val="00E5304F"/>
    <w:rsid w:val="00E92E89"/>
    <w:rsid w:val="00EA0E9A"/>
    <w:rsid w:val="00EA60C1"/>
    <w:rsid w:val="00ED1AA3"/>
    <w:rsid w:val="00F16C3B"/>
    <w:rsid w:val="00F23D2E"/>
    <w:rsid w:val="00F25E84"/>
    <w:rsid w:val="00F335A9"/>
    <w:rsid w:val="00F44851"/>
    <w:rsid w:val="00F74537"/>
    <w:rsid w:val="00F83CE3"/>
    <w:rsid w:val="00FA3315"/>
    <w:rsid w:val="00FA3F24"/>
    <w:rsid w:val="00FA3F35"/>
    <w:rsid w:val="00FB268D"/>
    <w:rsid w:val="00FE7FD3"/>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902E7"/>
  <w15:docId w15:val="{C0A1CC81-260B-492A-A6FF-DB57776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056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EA"/>
    <w:rPr>
      <w:sz w:val="20"/>
      <w:szCs w:val="20"/>
    </w:rPr>
  </w:style>
  <w:style w:type="character" w:styleId="FootnoteReference">
    <w:name w:val="footnote reference"/>
    <w:basedOn w:val="DefaultParagraphFont"/>
    <w:uiPriority w:val="99"/>
    <w:semiHidden/>
    <w:unhideWhenUsed/>
    <w:rsid w:val="000568EA"/>
    <w:rPr>
      <w:vertAlign w:val="superscript"/>
    </w:rPr>
  </w:style>
  <w:style w:type="table" w:customStyle="1" w:styleId="TableGrid1">
    <w:name w:val="Table Grid1"/>
    <w:basedOn w:val="TableNormal"/>
    <w:next w:val="TableGrid"/>
    <w:uiPriority w:val="59"/>
    <w:rsid w:val="00DE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7870">
      <w:bodyDiv w:val="1"/>
      <w:marLeft w:val="0"/>
      <w:marRight w:val="0"/>
      <w:marTop w:val="0"/>
      <w:marBottom w:val="0"/>
      <w:divBdr>
        <w:top w:val="none" w:sz="0" w:space="0" w:color="auto"/>
        <w:left w:val="none" w:sz="0" w:space="0" w:color="auto"/>
        <w:bottom w:val="none" w:sz="0" w:space="0" w:color="auto"/>
        <w:right w:val="none" w:sz="0" w:space="0" w:color="auto"/>
      </w:divBdr>
      <w:divsChild>
        <w:div w:id="688796669">
          <w:marLeft w:val="0"/>
          <w:marRight w:val="0"/>
          <w:marTop w:val="0"/>
          <w:marBottom w:val="0"/>
          <w:divBdr>
            <w:top w:val="none" w:sz="0" w:space="0" w:color="auto"/>
            <w:left w:val="none" w:sz="0" w:space="0" w:color="auto"/>
            <w:bottom w:val="none" w:sz="0" w:space="0" w:color="auto"/>
            <w:right w:val="none" w:sz="0" w:space="0" w:color="auto"/>
          </w:divBdr>
        </w:div>
      </w:divsChild>
    </w:div>
    <w:div w:id="365982650">
      <w:bodyDiv w:val="1"/>
      <w:marLeft w:val="0"/>
      <w:marRight w:val="0"/>
      <w:marTop w:val="0"/>
      <w:marBottom w:val="0"/>
      <w:divBdr>
        <w:top w:val="none" w:sz="0" w:space="0" w:color="auto"/>
        <w:left w:val="none" w:sz="0" w:space="0" w:color="auto"/>
        <w:bottom w:val="none" w:sz="0" w:space="0" w:color="auto"/>
        <w:right w:val="none" w:sz="0" w:space="0" w:color="auto"/>
      </w:divBdr>
    </w:div>
    <w:div w:id="420873623">
      <w:bodyDiv w:val="1"/>
      <w:marLeft w:val="0"/>
      <w:marRight w:val="0"/>
      <w:marTop w:val="0"/>
      <w:marBottom w:val="0"/>
      <w:divBdr>
        <w:top w:val="none" w:sz="0" w:space="0" w:color="auto"/>
        <w:left w:val="none" w:sz="0" w:space="0" w:color="auto"/>
        <w:bottom w:val="none" w:sz="0" w:space="0" w:color="auto"/>
        <w:right w:val="none" w:sz="0" w:space="0" w:color="auto"/>
      </w:divBdr>
    </w:div>
    <w:div w:id="765006852">
      <w:bodyDiv w:val="1"/>
      <w:marLeft w:val="0"/>
      <w:marRight w:val="0"/>
      <w:marTop w:val="0"/>
      <w:marBottom w:val="0"/>
      <w:divBdr>
        <w:top w:val="none" w:sz="0" w:space="0" w:color="auto"/>
        <w:left w:val="none" w:sz="0" w:space="0" w:color="auto"/>
        <w:bottom w:val="none" w:sz="0" w:space="0" w:color="auto"/>
        <w:right w:val="none" w:sz="0" w:space="0" w:color="auto"/>
      </w:divBdr>
    </w:div>
    <w:div w:id="1188954445">
      <w:bodyDiv w:val="1"/>
      <w:marLeft w:val="0"/>
      <w:marRight w:val="0"/>
      <w:marTop w:val="0"/>
      <w:marBottom w:val="0"/>
      <w:divBdr>
        <w:top w:val="none" w:sz="0" w:space="0" w:color="auto"/>
        <w:left w:val="none" w:sz="0" w:space="0" w:color="auto"/>
        <w:bottom w:val="none" w:sz="0" w:space="0" w:color="auto"/>
        <w:right w:val="none" w:sz="0" w:space="0" w:color="auto"/>
      </w:divBdr>
    </w:div>
    <w:div w:id="1247224100">
      <w:bodyDiv w:val="1"/>
      <w:marLeft w:val="0"/>
      <w:marRight w:val="0"/>
      <w:marTop w:val="0"/>
      <w:marBottom w:val="0"/>
      <w:divBdr>
        <w:top w:val="none" w:sz="0" w:space="0" w:color="auto"/>
        <w:left w:val="none" w:sz="0" w:space="0" w:color="auto"/>
        <w:bottom w:val="none" w:sz="0" w:space="0" w:color="auto"/>
        <w:right w:val="none" w:sz="0" w:space="0" w:color="auto"/>
      </w:divBdr>
    </w:div>
    <w:div w:id="1281958978">
      <w:bodyDiv w:val="1"/>
      <w:marLeft w:val="0"/>
      <w:marRight w:val="0"/>
      <w:marTop w:val="0"/>
      <w:marBottom w:val="0"/>
      <w:divBdr>
        <w:top w:val="none" w:sz="0" w:space="0" w:color="auto"/>
        <w:left w:val="none" w:sz="0" w:space="0" w:color="auto"/>
        <w:bottom w:val="none" w:sz="0" w:space="0" w:color="auto"/>
        <w:right w:val="none" w:sz="0" w:space="0" w:color="auto"/>
      </w:divBdr>
    </w:div>
    <w:div w:id="20283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5C20-AB2D-42BA-8707-251EFF01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3</cp:revision>
  <cp:lastPrinted>2017-10-18T10:29:00Z</cp:lastPrinted>
  <dcterms:created xsi:type="dcterms:W3CDTF">2019-03-21T10:28:00Z</dcterms:created>
  <dcterms:modified xsi:type="dcterms:W3CDTF">2019-03-21T16:52:00Z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