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28" w:rsidRPr="004F62BB" w:rsidRDefault="00607528" w:rsidP="00607528">
      <w:pPr>
        <w:spacing w:after="0" w:line="240" w:lineRule="auto"/>
        <w:jc w:val="center"/>
        <w:rPr>
          <w:rFonts w:ascii="Arial" w:hAnsi="Arial" w:cs="Arial"/>
          <w:b/>
          <w:sz w:val="24"/>
          <w:szCs w:val="24"/>
        </w:rPr>
      </w:pPr>
      <w:r w:rsidRPr="004F62BB">
        <w:rPr>
          <w:rFonts w:ascii="Arial" w:hAnsi="Arial" w:cs="Arial"/>
          <w:b/>
          <w:sz w:val="24"/>
          <w:szCs w:val="24"/>
        </w:rPr>
        <w:t>Performance and Resource</w:t>
      </w:r>
      <w:r>
        <w:rPr>
          <w:rFonts w:ascii="Arial" w:hAnsi="Arial" w:cs="Arial"/>
          <w:b/>
          <w:sz w:val="24"/>
          <w:szCs w:val="24"/>
        </w:rPr>
        <w:t>s Scrutiny Programme 2019</w:t>
      </w:r>
    </w:p>
    <w:p w:rsidR="00607528" w:rsidRDefault="00607528" w:rsidP="00607528">
      <w:pPr>
        <w:spacing w:after="0" w:line="240" w:lineRule="auto"/>
        <w:jc w:val="center"/>
        <w:rPr>
          <w:rFonts w:ascii="Arial" w:hAnsi="Arial" w:cs="Arial"/>
          <w:b/>
          <w:sz w:val="24"/>
          <w:szCs w:val="24"/>
        </w:rPr>
      </w:pPr>
    </w:p>
    <w:p w:rsidR="00607528" w:rsidRPr="004F62BB" w:rsidRDefault="00607528" w:rsidP="00607528">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Pr>
          <w:rFonts w:ascii="Arial" w:hAnsi="Arial" w:cs="Arial"/>
          <w:b/>
          <w:sz w:val="24"/>
          <w:szCs w:val="24"/>
        </w:rPr>
        <w:t>, Fire</w:t>
      </w:r>
      <w:r w:rsidRPr="004F62BB">
        <w:rPr>
          <w:rFonts w:ascii="Arial" w:hAnsi="Arial" w:cs="Arial"/>
          <w:b/>
          <w:sz w:val="24"/>
          <w:szCs w:val="24"/>
        </w:rPr>
        <w:t xml:space="preserve"> and Crime Commissioner for Essex</w:t>
      </w:r>
    </w:p>
    <w:p w:rsidR="00607528" w:rsidRDefault="00607528" w:rsidP="00607528">
      <w:pPr>
        <w:spacing w:after="0" w:line="240" w:lineRule="auto"/>
        <w:jc w:val="center"/>
        <w:rPr>
          <w:rFonts w:ascii="Arial" w:hAnsi="Arial" w:cs="Arial"/>
          <w:b/>
          <w:sz w:val="24"/>
          <w:szCs w:val="24"/>
        </w:rPr>
      </w:pPr>
    </w:p>
    <w:p w:rsidR="00607528" w:rsidRDefault="00607528" w:rsidP="00607528">
      <w:pPr>
        <w:spacing w:after="0" w:line="240" w:lineRule="auto"/>
        <w:jc w:val="center"/>
        <w:rPr>
          <w:rFonts w:ascii="Arial" w:hAnsi="Arial" w:cs="Arial"/>
          <w:b/>
          <w:sz w:val="24"/>
          <w:szCs w:val="24"/>
        </w:rPr>
      </w:pPr>
    </w:p>
    <w:tbl>
      <w:tblPr>
        <w:tblStyle w:val="TableGrid"/>
        <w:tblW w:w="0" w:type="auto"/>
        <w:tblInd w:w="137" w:type="dxa"/>
        <w:tblLook w:val="04A0" w:firstRow="1" w:lastRow="0" w:firstColumn="1" w:lastColumn="0" w:noHBand="0" w:noVBand="1"/>
      </w:tblPr>
      <w:tblGrid>
        <w:gridCol w:w="4253"/>
        <w:gridCol w:w="4626"/>
      </w:tblGrid>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sidRPr="00046E42">
              <w:rPr>
                <w:rFonts w:ascii="Arial" w:hAnsi="Arial" w:cs="Arial"/>
                <w:b/>
                <w:sz w:val="24"/>
                <w:szCs w:val="24"/>
              </w:rPr>
              <w:t>Title of Report:</w:t>
            </w:r>
          </w:p>
        </w:tc>
        <w:tc>
          <w:tcPr>
            <w:tcW w:w="4626"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Force Growth</w:t>
            </w:r>
          </w:p>
        </w:tc>
      </w:tr>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Classification of Paper:</w:t>
            </w:r>
          </w:p>
        </w:tc>
        <w:tc>
          <w:tcPr>
            <w:tcW w:w="4626" w:type="dxa"/>
          </w:tcPr>
          <w:p w:rsidR="00607528" w:rsidRPr="00046E42" w:rsidRDefault="00607528" w:rsidP="00C162F4">
            <w:pPr>
              <w:spacing w:after="0" w:line="480" w:lineRule="auto"/>
              <w:rPr>
                <w:rFonts w:ascii="Arial" w:hAnsi="Arial" w:cs="Arial"/>
                <w:b/>
                <w:sz w:val="24"/>
                <w:szCs w:val="24"/>
              </w:rPr>
            </w:pPr>
            <w:r>
              <w:rPr>
                <w:rFonts w:ascii="Arial" w:hAnsi="Arial" w:cs="Arial"/>
                <w:b/>
                <w:sz w:val="24"/>
                <w:szCs w:val="24"/>
              </w:rPr>
              <w:t xml:space="preserve">Official </w:t>
            </w:r>
            <w:bookmarkStart w:id="0" w:name="_GoBack"/>
            <w:bookmarkEnd w:id="0"/>
          </w:p>
        </w:tc>
      </w:tr>
      <w:tr w:rsidR="00607528" w:rsidRPr="00046E42" w:rsidTr="00802888">
        <w:tc>
          <w:tcPr>
            <w:tcW w:w="4253" w:type="dxa"/>
          </w:tcPr>
          <w:p w:rsidR="00607528" w:rsidRPr="00802888" w:rsidRDefault="00607528" w:rsidP="00802888">
            <w:pPr>
              <w:spacing w:after="0" w:line="480" w:lineRule="auto"/>
              <w:rPr>
                <w:rFonts w:ascii="Arial" w:hAnsi="Arial" w:cs="Arial"/>
                <w:b/>
                <w:sz w:val="24"/>
                <w:szCs w:val="24"/>
              </w:rPr>
            </w:pPr>
            <w:r w:rsidRPr="00802888">
              <w:rPr>
                <w:rFonts w:ascii="Arial" w:hAnsi="Arial" w:cs="Arial"/>
                <w:b/>
                <w:sz w:val="24"/>
                <w:szCs w:val="24"/>
              </w:rPr>
              <w:t>Agenda Number:</w:t>
            </w:r>
          </w:p>
        </w:tc>
        <w:tc>
          <w:tcPr>
            <w:tcW w:w="4626" w:type="dxa"/>
          </w:tcPr>
          <w:p w:rsidR="00607528" w:rsidRPr="00802888" w:rsidRDefault="00802888" w:rsidP="00802888">
            <w:pPr>
              <w:spacing w:after="0" w:line="480" w:lineRule="auto"/>
              <w:rPr>
                <w:rFonts w:ascii="Arial" w:hAnsi="Arial" w:cs="Arial"/>
                <w:b/>
                <w:sz w:val="24"/>
                <w:szCs w:val="24"/>
              </w:rPr>
            </w:pPr>
            <w:r w:rsidRPr="00802888">
              <w:rPr>
                <w:rFonts w:ascii="Arial" w:hAnsi="Arial" w:cs="Arial"/>
                <w:b/>
                <w:sz w:val="24"/>
                <w:szCs w:val="24"/>
              </w:rPr>
              <w:t>4</w:t>
            </w:r>
          </w:p>
        </w:tc>
      </w:tr>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Chief Officer:</w:t>
            </w:r>
          </w:p>
        </w:tc>
        <w:tc>
          <w:tcPr>
            <w:tcW w:w="4626"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DCC Mills</w:t>
            </w:r>
          </w:p>
        </w:tc>
      </w:tr>
      <w:tr w:rsidR="00607528" w:rsidRPr="00046E42" w:rsidTr="00802888">
        <w:tc>
          <w:tcPr>
            <w:tcW w:w="4253" w:type="dxa"/>
          </w:tcPr>
          <w:p w:rsidR="00607528" w:rsidRDefault="00607528" w:rsidP="00802888">
            <w:pPr>
              <w:spacing w:after="0" w:line="480" w:lineRule="auto"/>
              <w:rPr>
                <w:rFonts w:ascii="Arial" w:hAnsi="Arial" w:cs="Arial"/>
                <w:b/>
                <w:sz w:val="24"/>
                <w:szCs w:val="24"/>
              </w:rPr>
            </w:pPr>
            <w:r>
              <w:rPr>
                <w:rFonts w:ascii="Arial" w:hAnsi="Arial" w:cs="Arial"/>
                <w:b/>
                <w:sz w:val="24"/>
                <w:szCs w:val="24"/>
              </w:rPr>
              <w:t>Date Paper was Written:</w:t>
            </w:r>
          </w:p>
        </w:tc>
        <w:tc>
          <w:tcPr>
            <w:tcW w:w="4626"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May 2019</w:t>
            </w:r>
          </w:p>
        </w:tc>
      </w:tr>
      <w:tr w:rsidR="00607528" w:rsidRPr="00046E42" w:rsidTr="00802888">
        <w:tc>
          <w:tcPr>
            <w:tcW w:w="4253" w:type="dxa"/>
          </w:tcPr>
          <w:p w:rsidR="00607528" w:rsidRDefault="00802888" w:rsidP="00802888">
            <w:pPr>
              <w:spacing w:after="0" w:line="480" w:lineRule="auto"/>
              <w:rPr>
                <w:rFonts w:ascii="Arial" w:hAnsi="Arial" w:cs="Arial"/>
                <w:b/>
                <w:sz w:val="24"/>
                <w:szCs w:val="24"/>
              </w:rPr>
            </w:pPr>
            <w:r>
              <w:rPr>
                <w:rFonts w:ascii="Arial" w:hAnsi="Arial" w:cs="Arial"/>
                <w:b/>
                <w:sz w:val="24"/>
                <w:szCs w:val="24"/>
              </w:rPr>
              <w:t>Version</w:t>
            </w:r>
            <w:r w:rsidR="00607528">
              <w:rPr>
                <w:rFonts w:ascii="Arial" w:hAnsi="Arial" w:cs="Arial"/>
                <w:b/>
                <w:sz w:val="24"/>
                <w:szCs w:val="24"/>
              </w:rPr>
              <w:t>:</w:t>
            </w:r>
          </w:p>
        </w:tc>
        <w:tc>
          <w:tcPr>
            <w:tcW w:w="4626"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Final Essex Police Approved Version</w:t>
            </w:r>
          </w:p>
        </w:tc>
      </w:tr>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sidRPr="00046E42">
              <w:rPr>
                <w:rFonts w:ascii="Arial" w:hAnsi="Arial" w:cs="Arial"/>
                <w:b/>
                <w:sz w:val="24"/>
                <w:szCs w:val="24"/>
              </w:rPr>
              <w:t xml:space="preserve">Report from: </w:t>
            </w:r>
          </w:p>
        </w:tc>
        <w:tc>
          <w:tcPr>
            <w:tcW w:w="4626" w:type="dxa"/>
          </w:tcPr>
          <w:p w:rsidR="00607528" w:rsidRPr="00046E42" w:rsidRDefault="00607528" w:rsidP="00802888">
            <w:pPr>
              <w:spacing w:after="0" w:line="480" w:lineRule="auto"/>
              <w:rPr>
                <w:rFonts w:ascii="Arial" w:hAnsi="Arial" w:cs="Arial"/>
                <w:b/>
                <w:sz w:val="24"/>
                <w:szCs w:val="24"/>
              </w:rPr>
            </w:pPr>
            <w:r w:rsidRPr="00046E42">
              <w:rPr>
                <w:rFonts w:ascii="Arial" w:hAnsi="Arial" w:cs="Arial"/>
                <w:b/>
                <w:sz w:val="24"/>
                <w:szCs w:val="24"/>
              </w:rPr>
              <w:t>Essex Police</w:t>
            </w:r>
          </w:p>
        </w:tc>
      </w:tr>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sidRPr="00046E42">
              <w:rPr>
                <w:rFonts w:ascii="Arial" w:hAnsi="Arial" w:cs="Arial"/>
                <w:b/>
                <w:sz w:val="24"/>
                <w:szCs w:val="24"/>
              </w:rPr>
              <w:t>Date of Meeting:</w:t>
            </w:r>
          </w:p>
        </w:tc>
        <w:tc>
          <w:tcPr>
            <w:tcW w:w="4626"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23</w:t>
            </w:r>
            <w:r w:rsidRPr="00607528">
              <w:rPr>
                <w:rFonts w:ascii="Arial" w:hAnsi="Arial" w:cs="Arial"/>
                <w:b/>
                <w:sz w:val="24"/>
                <w:szCs w:val="24"/>
                <w:vertAlign w:val="superscript"/>
              </w:rPr>
              <w:t>rd</w:t>
            </w:r>
            <w:r>
              <w:rPr>
                <w:rFonts w:ascii="Arial" w:hAnsi="Arial" w:cs="Arial"/>
                <w:b/>
                <w:sz w:val="24"/>
                <w:szCs w:val="24"/>
              </w:rPr>
              <w:t xml:space="preserve"> May 2019</w:t>
            </w:r>
          </w:p>
        </w:tc>
      </w:tr>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Chief Officer:</w:t>
            </w:r>
          </w:p>
        </w:tc>
        <w:tc>
          <w:tcPr>
            <w:tcW w:w="4626" w:type="dxa"/>
          </w:tcPr>
          <w:p w:rsidR="00607528" w:rsidRPr="00046E42" w:rsidRDefault="00830F00" w:rsidP="00802888">
            <w:pPr>
              <w:spacing w:after="0" w:line="480" w:lineRule="auto"/>
              <w:rPr>
                <w:rFonts w:ascii="Arial" w:hAnsi="Arial" w:cs="Arial"/>
                <w:b/>
                <w:sz w:val="24"/>
                <w:szCs w:val="24"/>
              </w:rPr>
            </w:pPr>
            <w:r>
              <w:rPr>
                <w:rFonts w:ascii="Arial" w:hAnsi="Arial" w:cs="Arial"/>
                <w:b/>
                <w:sz w:val="24"/>
                <w:szCs w:val="24"/>
              </w:rPr>
              <w:t xml:space="preserve">T/ </w:t>
            </w:r>
            <w:r w:rsidR="00607528">
              <w:rPr>
                <w:rFonts w:ascii="Arial" w:hAnsi="Arial" w:cs="Arial"/>
                <w:b/>
                <w:sz w:val="24"/>
                <w:szCs w:val="24"/>
              </w:rPr>
              <w:t>Supt Ed Wells</w:t>
            </w:r>
          </w:p>
        </w:tc>
      </w:tr>
      <w:tr w:rsidR="00607528" w:rsidRPr="00046E42" w:rsidTr="00802888">
        <w:tc>
          <w:tcPr>
            <w:tcW w:w="4253" w:type="dxa"/>
          </w:tcPr>
          <w:p w:rsidR="00607528" w:rsidRPr="00046E42" w:rsidRDefault="00607528" w:rsidP="00802888">
            <w:pPr>
              <w:spacing w:after="0" w:line="480" w:lineRule="auto"/>
              <w:rPr>
                <w:rFonts w:ascii="Arial" w:hAnsi="Arial" w:cs="Arial"/>
                <w:b/>
                <w:sz w:val="24"/>
                <w:szCs w:val="24"/>
              </w:rPr>
            </w:pPr>
            <w:r w:rsidRPr="00046E42">
              <w:rPr>
                <w:rFonts w:ascii="Arial" w:hAnsi="Arial" w:cs="Arial"/>
                <w:b/>
                <w:sz w:val="24"/>
                <w:szCs w:val="24"/>
              </w:rPr>
              <w:t>Date of Approval:</w:t>
            </w:r>
          </w:p>
        </w:tc>
        <w:tc>
          <w:tcPr>
            <w:tcW w:w="4626" w:type="dxa"/>
          </w:tcPr>
          <w:p w:rsidR="00607528" w:rsidRPr="00046E42" w:rsidRDefault="00607528" w:rsidP="00802888">
            <w:pPr>
              <w:spacing w:after="0" w:line="480" w:lineRule="auto"/>
              <w:rPr>
                <w:rFonts w:ascii="Arial" w:hAnsi="Arial" w:cs="Arial"/>
                <w:b/>
                <w:sz w:val="24"/>
                <w:szCs w:val="24"/>
              </w:rPr>
            </w:pPr>
            <w:r>
              <w:rPr>
                <w:rFonts w:ascii="Arial" w:hAnsi="Arial" w:cs="Arial"/>
                <w:b/>
                <w:sz w:val="24"/>
                <w:szCs w:val="24"/>
              </w:rPr>
              <w:t>COG – 8</w:t>
            </w:r>
            <w:r w:rsidRPr="00607528">
              <w:rPr>
                <w:rFonts w:ascii="Arial" w:hAnsi="Arial" w:cs="Arial"/>
                <w:b/>
                <w:sz w:val="24"/>
                <w:szCs w:val="24"/>
                <w:vertAlign w:val="superscript"/>
              </w:rPr>
              <w:t>th</w:t>
            </w:r>
            <w:r>
              <w:rPr>
                <w:rFonts w:ascii="Arial" w:hAnsi="Arial" w:cs="Arial"/>
                <w:b/>
                <w:sz w:val="24"/>
                <w:szCs w:val="24"/>
              </w:rPr>
              <w:t xml:space="preserve"> May 2019</w:t>
            </w:r>
          </w:p>
        </w:tc>
      </w:tr>
    </w:tbl>
    <w:p w:rsidR="00607528" w:rsidRDefault="00607528" w:rsidP="00607528">
      <w:pPr>
        <w:jc w:val="both"/>
        <w:rPr>
          <w:rFonts w:ascii="Arial" w:hAnsi="Arial" w:cs="Arial"/>
          <w:b/>
          <w:sz w:val="24"/>
          <w:szCs w:val="24"/>
        </w:rPr>
      </w:pPr>
    </w:p>
    <w:p w:rsidR="002908B7" w:rsidRPr="002908B7" w:rsidRDefault="002908B7" w:rsidP="002908B7">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rsidR="002908B7" w:rsidRPr="002908B7" w:rsidRDefault="002908B7" w:rsidP="002908B7">
      <w:pPr>
        <w:jc w:val="both"/>
        <w:rPr>
          <w:rFonts w:ascii="Arial" w:hAnsi="Arial" w:cs="Arial"/>
          <w:b/>
          <w:sz w:val="24"/>
          <w:szCs w:val="24"/>
        </w:rPr>
      </w:pPr>
      <w:r w:rsidRPr="002908B7">
        <w:rPr>
          <w:rFonts w:ascii="Arial" w:hAnsi="Arial" w:cs="Arial"/>
          <w:b/>
          <w:sz w:val="24"/>
          <w:szCs w:val="24"/>
        </w:rPr>
        <w:t>1.0</w:t>
      </w:r>
      <w:r w:rsidRPr="002908B7">
        <w:rPr>
          <w:rFonts w:ascii="Arial" w:hAnsi="Arial" w:cs="Arial"/>
          <w:b/>
          <w:sz w:val="24"/>
          <w:szCs w:val="24"/>
        </w:rPr>
        <w:tab/>
        <w:t>Purpose of report</w:t>
      </w:r>
    </w:p>
    <w:p w:rsidR="002908B7" w:rsidRPr="002908B7" w:rsidRDefault="002908B7" w:rsidP="002908B7">
      <w:pPr>
        <w:jc w:val="both"/>
        <w:rPr>
          <w:rFonts w:ascii="Arial" w:hAnsi="Arial" w:cs="Arial"/>
          <w:sz w:val="24"/>
          <w:szCs w:val="24"/>
        </w:rPr>
      </w:pPr>
      <w:r w:rsidRPr="002908B7">
        <w:rPr>
          <w:rFonts w:ascii="Arial" w:hAnsi="Arial" w:cs="Arial"/>
          <w:sz w:val="24"/>
          <w:szCs w:val="24"/>
        </w:rPr>
        <w:t>This report provides an update on the growth in Police Officer establishment following the precept increase for the financial year 2018/19. It outlines delivery against plans as set out in a paper to the PFCC on 22</w:t>
      </w:r>
      <w:r w:rsidRPr="002908B7">
        <w:rPr>
          <w:rFonts w:ascii="Arial" w:hAnsi="Arial" w:cs="Arial"/>
          <w:sz w:val="24"/>
          <w:szCs w:val="24"/>
          <w:vertAlign w:val="superscript"/>
        </w:rPr>
        <w:t>nd</w:t>
      </w:r>
      <w:r w:rsidRPr="002908B7">
        <w:rPr>
          <w:rFonts w:ascii="Arial" w:hAnsi="Arial" w:cs="Arial"/>
          <w:sz w:val="24"/>
          <w:szCs w:val="24"/>
        </w:rPr>
        <w:t xml:space="preserve"> March 2018. </w:t>
      </w:r>
    </w:p>
    <w:p w:rsidR="002908B7" w:rsidRPr="002908B7" w:rsidRDefault="002908B7" w:rsidP="002908B7">
      <w:pPr>
        <w:jc w:val="both"/>
        <w:rPr>
          <w:rFonts w:ascii="Arial" w:hAnsi="Arial" w:cs="Arial"/>
          <w:sz w:val="24"/>
          <w:szCs w:val="24"/>
        </w:rPr>
      </w:pPr>
      <w:r w:rsidRPr="002908B7">
        <w:rPr>
          <w:rFonts w:ascii="Arial" w:hAnsi="Arial" w:cs="Arial"/>
          <w:sz w:val="24"/>
          <w:szCs w:val="24"/>
        </w:rPr>
        <w:t>This report also details the 2019/20 Force Growth Plan and highlights the work in progress.</w:t>
      </w: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r w:rsidRPr="002908B7">
        <w:rPr>
          <w:rFonts w:ascii="Arial" w:eastAsia="Times New Roman" w:hAnsi="Arial" w:cs="Arial"/>
          <w:b/>
          <w:sz w:val="24"/>
          <w:szCs w:val="24"/>
          <w:lang w:eastAsia="en-GB"/>
        </w:rPr>
        <w:t>2.0</w:t>
      </w:r>
      <w:r w:rsidRPr="002908B7">
        <w:rPr>
          <w:rFonts w:ascii="Arial" w:eastAsia="Times New Roman" w:hAnsi="Arial" w:cs="Arial"/>
          <w:b/>
          <w:sz w:val="24"/>
          <w:szCs w:val="24"/>
          <w:lang w:eastAsia="en-GB"/>
        </w:rPr>
        <w:tab/>
        <w:t>Recommendation</w:t>
      </w: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sz w:val="24"/>
          <w:szCs w:val="24"/>
          <w:lang w:eastAsia="en-GB"/>
        </w:rPr>
      </w:pPr>
      <w:r w:rsidRPr="002908B7">
        <w:rPr>
          <w:rFonts w:ascii="Arial" w:eastAsia="Times New Roman" w:hAnsi="Arial" w:cs="Arial"/>
          <w:sz w:val="24"/>
          <w:szCs w:val="24"/>
          <w:lang w:eastAsia="en-GB"/>
        </w:rPr>
        <w:t>That the progress is noted by the Office of the Police, Fire and Crime Commissioner.</w:t>
      </w: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bookmarkStart w:id="1" w:name="_Hlk7434587"/>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r w:rsidRPr="002908B7">
        <w:rPr>
          <w:rFonts w:ascii="Arial" w:eastAsia="Times New Roman" w:hAnsi="Arial" w:cs="Arial"/>
          <w:b/>
          <w:sz w:val="24"/>
          <w:szCs w:val="24"/>
          <w:lang w:eastAsia="en-GB"/>
        </w:rPr>
        <w:t>3.0</w:t>
      </w:r>
      <w:r w:rsidRPr="002908B7">
        <w:rPr>
          <w:rFonts w:ascii="Arial" w:eastAsia="Times New Roman" w:hAnsi="Arial" w:cs="Arial"/>
          <w:b/>
          <w:sz w:val="24"/>
          <w:szCs w:val="24"/>
          <w:lang w:eastAsia="en-GB"/>
        </w:rPr>
        <w:tab/>
        <w:t xml:space="preserve">Background to 2018/19 Growth Plan </w:t>
      </w:r>
    </w:p>
    <w:bookmarkEnd w:id="1"/>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p>
    <w:p w:rsidR="002908B7" w:rsidRPr="002908B7" w:rsidRDefault="002908B7" w:rsidP="002908B7">
      <w:pPr>
        <w:spacing w:after="0"/>
        <w:jc w:val="both"/>
        <w:rPr>
          <w:rFonts w:ascii="Arial" w:hAnsi="Arial" w:cs="Arial"/>
          <w:sz w:val="24"/>
          <w:szCs w:val="24"/>
        </w:rPr>
      </w:pPr>
      <w:r w:rsidRPr="002908B7">
        <w:rPr>
          <w:rFonts w:ascii="Arial" w:hAnsi="Arial" w:cs="Arial"/>
          <w:sz w:val="24"/>
          <w:szCs w:val="24"/>
        </w:rPr>
        <w:t xml:space="preserve">The Chief Constable outlined in a paper to the PFCC in March 2018 how the additional funds from the precept increase 2018/19 would be invested in 150 extra Police Officers.  The plan focused on uplifting resources within local policing and distributed additional resources across priority teams within District Policing Areas (DPA) according to the Force’s policing priorities, these were as follows: </w:t>
      </w:r>
    </w:p>
    <w:p w:rsidR="002908B7" w:rsidRPr="002908B7" w:rsidRDefault="002908B7" w:rsidP="002908B7">
      <w:pPr>
        <w:spacing w:after="0"/>
        <w:ind w:left="720"/>
        <w:rPr>
          <w:rFonts w:ascii="Arial" w:hAnsi="Arial" w:cs="Arial"/>
          <w:sz w:val="24"/>
          <w:szCs w:val="24"/>
        </w:rPr>
      </w:pPr>
    </w:p>
    <w:p w:rsidR="002908B7" w:rsidRPr="002908B7" w:rsidRDefault="002908B7" w:rsidP="002908B7">
      <w:pPr>
        <w:numPr>
          <w:ilvl w:val="0"/>
          <w:numId w:val="1"/>
        </w:numPr>
        <w:spacing w:after="0"/>
        <w:rPr>
          <w:rFonts w:ascii="Arial" w:hAnsi="Arial" w:cs="Arial"/>
          <w:sz w:val="24"/>
          <w:szCs w:val="24"/>
        </w:rPr>
      </w:pPr>
      <w:r w:rsidRPr="002908B7">
        <w:rPr>
          <w:rFonts w:ascii="Arial" w:hAnsi="Arial" w:cs="Arial"/>
          <w:sz w:val="24"/>
          <w:szCs w:val="24"/>
        </w:rPr>
        <w:t>124 Officers to local policing (this includes, Local Policing Team (LPT), Community Policing Team (CPT) and Domestic Abuse Investigation Teams (DAIT)</w:t>
      </w:r>
    </w:p>
    <w:p w:rsidR="002908B7" w:rsidRPr="002908B7" w:rsidRDefault="002908B7" w:rsidP="002908B7">
      <w:pPr>
        <w:numPr>
          <w:ilvl w:val="0"/>
          <w:numId w:val="1"/>
        </w:numPr>
        <w:spacing w:after="0"/>
        <w:rPr>
          <w:rFonts w:ascii="Arial" w:hAnsi="Arial" w:cs="Arial"/>
          <w:sz w:val="24"/>
          <w:szCs w:val="24"/>
        </w:rPr>
      </w:pPr>
      <w:r w:rsidRPr="002908B7">
        <w:rPr>
          <w:rFonts w:ascii="Arial" w:hAnsi="Arial" w:cs="Arial"/>
          <w:sz w:val="24"/>
          <w:szCs w:val="24"/>
        </w:rPr>
        <w:t>1 Officer to Cyber Crime</w:t>
      </w:r>
    </w:p>
    <w:p w:rsidR="002908B7" w:rsidRPr="002908B7" w:rsidRDefault="002908B7" w:rsidP="002908B7">
      <w:pPr>
        <w:numPr>
          <w:ilvl w:val="0"/>
          <w:numId w:val="1"/>
        </w:numPr>
        <w:spacing w:after="0"/>
        <w:rPr>
          <w:rFonts w:ascii="Arial" w:hAnsi="Arial" w:cs="Arial"/>
          <w:sz w:val="24"/>
          <w:szCs w:val="24"/>
        </w:rPr>
      </w:pPr>
      <w:r w:rsidRPr="002908B7">
        <w:rPr>
          <w:rFonts w:ascii="Arial" w:hAnsi="Arial" w:cs="Arial"/>
          <w:sz w:val="24"/>
          <w:szCs w:val="24"/>
        </w:rPr>
        <w:t>25 Officers to Operational Support Group (OSG)</w:t>
      </w:r>
      <w:r w:rsidRPr="002908B7">
        <w:rPr>
          <w:rFonts w:ascii="Arial" w:hAnsi="Arial" w:cs="Arial"/>
          <w:sz w:val="24"/>
          <w:szCs w:val="24"/>
          <w:vertAlign w:val="superscript"/>
        </w:rPr>
        <w:footnoteReference w:id="1"/>
      </w:r>
    </w:p>
    <w:p w:rsidR="002908B7" w:rsidRPr="002908B7" w:rsidRDefault="002908B7" w:rsidP="002908B7">
      <w:pPr>
        <w:contextualSpacing/>
        <w:rPr>
          <w:rFonts w:ascii="Arial" w:hAnsi="Arial" w:cs="Arial"/>
          <w:sz w:val="24"/>
          <w:szCs w:val="24"/>
        </w:rPr>
      </w:pPr>
    </w:p>
    <w:p w:rsidR="002908B7" w:rsidRPr="002908B7" w:rsidRDefault="002908B7" w:rsidP="002908B7">
      <w:pPr>
        <w:spacing w:after="0"/>
        <w:contextualSpacing/>
        <w:jc w:val="both"/>
        <w:rPr>
          <w:rFonts w:ascii="Arial" w:hAnsi="Arial" w:cs="Arial"/>
          <w:sz w:val="24"/>
          <w:szCs w:val="24"/>
        </w:rPr>
      </w:pPr>
      <w:r w:rsidRPr="002908B7">
        <w:rPr>
          <w:rFonts w:ascii="Arial" w:hAnsi="Arial" w:cs="Arial"/>
          <w:sz w:val="24"/>
          <w:szCs w:val="24"/>
        </w:rPr>
        <w:t xml:space="preserve">In summary the North Local Policing Area (LPA) was allocated an additional 51 posts, the South LPA an additional 38 and the West LPA an additional 35 posts. The distribution of these additional resources was broken down by DPA (see Figure 1): </w:t>
      </w:r>
    </w:p>
    <w:p w:rsidR="002908B7" w:rsidRPr="002908B7" w:rsidRDefault="002908B7" w:rsidP="002908B7">
      <w:pPr>
        <w:contextualSpacing/>
        <w:rPr>
          <w:rFonts w:ascii="Arial" w:hAnsi="Arial" w:cs="Arial"/>
          <w:sz w:val="24"/>
          <w:szCs w:val="24"/>
        </w:rPr>
      </w:pPr>
    </w:p>
    <w:p w:rsidR="002908B7" w:rsidRPr="002908B7" w:rsidRDefault="002908B7" w:rsidP="002908B7">
      <w:pPr>
        <w:contextualSpacing/>
        <w:rPr>
          <w:rFonts w:ascii="Arial" w:hAnsi="Arial" w:cs="Arial"/>
          <w:b/>
          <w:sz w:val="20"/>
          <w:szCs w:val="20"/>
        </w:rPr>
      </w:pPr>
      <w:r w:rsidRPr="002908B7">
        <w:rPr>
          <w:rFonts w:ascii="Arial" w:hAnsi="Arial" w:cs="Arial"/>
          <w:b/>
          <w:sz w:val="20"/>
          <w:szCs w:val="20"/>
        </w:rPr>
        <w:t>Figure 1:  Additional Resources Approved Distribution by District Policing Area</w:t>
      </w:r>
    </w:p>
    <w:p w:rsidR="002908B7" w:rsidRPr="002908B7" w:rsidRDefault="002908B7" w:rsidP="002908B7">
      <w:pPr>
        <w:contextualSpacing/>
        <w:rPr>
          <w:rFonts w:ascii="Arial" w:eastAsia="Times New Roman" w:hAnsi="Arial" w:cs="Arial"/>
          <w:sz w:val="24"/>
          <w:szCs w:val="24"/>
          <w:lang w:val="en-US" w:eastAsia="en-GB"/>
        </w:rPr>
      </w:pPr>
    </w:p>
    <w:tbl>
      <w:tblPr>
        <w:tblW w:w="7580" w:type="dxa"/>
        <w:tblInd w:w="718" w:type="dxa"/>
        <w:tblLook w:val="04A0" w:firstRow="1" w:lastRow="0" w:firstColumn="1" w:lastColumn="0" w:noHBand="0" w:noVBand="1"/>
      </w:tblPr>
      <w:tblGrid>
        <w:gridCol w:w="2900"/>
        <w:gridCol w:w="1235"/>
        <w:gridCol w:w="1280"/>
        <w:gridCol w:w="1240"/>
        <w:gridCol w:w="925"/>
      </w:tblGrid>
      <w:tr w:rsidR="002908B7" w:rsidRPr="002908B7" w:rsidTr="001D4C02">
        <w:trPr>
          <w:trHeight w:val="900"/>
        </w:trPr>
        <w:tc>
          <w:tcPr>
            <w:tcW w:w="290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District Policing Area</w:t>
            </w:r>
          </w:p>
        </w:tc>
        <w:tc>
          <w:tcPr>
            <w:tcW w:w="1235" w:type="dxa"/>
            <w:tcBorders>
              <w:top w:val="single" w:sz="4" w:space="0" w:color="auto"/>
              <w:left w:val="nil"/>
              <w:bottom w:val="single" w:sz="4" w:space="0" w:color="auto"/>
              <w:right w:val="single" w:sz="4" w:space="0" w:color="auto"/>
            </w:tcBorders>
            <w:shd w:val="clear" w:color="000000" w:fill="0070C0"/>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Local Policing Teams</w:t>
            </w:r>
          </w:p>
        </w:tc>
        <w:tc>
          <w:tcPr>
            <w:tcW w:w="1280" w:type="dxa"/>
            <w:tcBorders>
              <w:top w:val="single" w:sz="4" w:space="0" w:color="auto"/>
              <w:left w:val="nil"/>
              <w:bottom w:val="single" w:sz="4" w:space="0" w:color="auto"/>
              <w:right w:val="single" w:sz="4" w:space="0" w:color="auto"/>
            </w:tcBorders>
            <w:shd w:val="clear" w:color="000000" w:fill="0070C0"/>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Community Policing Teams</w:t>
            </w:r>
          </w:p>
        </w:tc>
        <w:tc>
          <w:tcPr>
            <w:tcW w:w="1240" w:type="dxa"/>
            <w:tcBorders>
              <w:top w:val="single" w:sz="4" w:space="0" w:color="auto"/>
              <w:left w:val="nil"/>
              <w:bottom w:val="single" w:sz="4" w:space="0" w:color="auto"/>
              <w:right w:val="single" w:sz="4" w:space="0" w:color="auto"/>
            </w:tcBorders>
            <w:shd w:val="clear" w:color="000000" w:fill="0070C0"/>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Domestic Abuse Teams</w:t>
            </w:r>
          </w:p>
        </w:tc>
        <w:tc>
          <w:tcPr>
            <w:tcW w:w="925" w:type="dxa"/>
            <w:tcBorders>
              <w:top w:val="single" w:sz="4" w:space="0" w:color="auto"/>
              <w:left w:val="nil"/>
              <w:bottom w:val="single" w:sz="4" w:space="0" w:color="auto"/>
              <w:right w:val="single" w:sz="4" w:space="0" w:color="auto"/>
            </w:tcBorders>
            <w:shd w:val="clear" w:color="000000" w:fill="0070C0"/>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LPA Total</w:t>
            </w: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Chelmsford &amp; Maldon</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val="restart"/>
            <w:tcBorders>
              <w:top w:val="nil"/>
              <w:left w:val="single" w:sz="4" w:space="0" w:color="auto"/>
              <w:bottom w:val="single" w:sz="4" w:space="0" w:color="000000"/>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 </w:t>
            </w: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Colchester</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lastRenderedPageBreak/>
              <w:t xml:space="preserve">Braintree &amp; </w:t>
            </w:r>
            <w:proofErr w:type="spellStart"/>
            <w:r w:rsidRPr="002908B7">
              <w:rPr>
                <w:rFonts w:ascii="Calibri" w:eastAsia="Times New Roman" w:hAnsi="Calibri" w:cs="Calibri"/>
                <w:color w:val="000000"/>
                <w:lang w:eastAsia="en-GB"/>
              </w:rPr>
              <w:t>Uttlesford</w:t>
            </w:r>
            <w:proofErr w:type="spellEnd"/>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5</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 </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proofErr w:type="spellStart"/>
            <w:r w:rsidRPr="002908B7">
              <w:rPr>
                <w:rFonts w:ascii="Calibri" w:eastAsia="Times New Roman" w:hAnsi="Calibri" w:cs="Calibri"/>
                <w:color w:val="000000"/>
                <w:lang w:eastAsia="en-GB"/>
              </w:rPr>
              <w:t>Tendring</w:t>
            </w:r>
            <w:proofErr w:type="spellEnd"/>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5</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6655"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NORTH LPA</w:t>
            </w:r>
          </w:p>
        </w:tc>
        <w:tc>
          <w:tcPr>
            <w:tcW w:w="925" w:type="dxa"/>
            <w:tcBorders>
              <w:top w:val="nil"/>
              <w:left w:val="nil"/>
              <w:bottom w:val="single" w:sz="4" w:space="0" w:color="auto"/>
              <w:right w:val="single" w:sz="4" w:space="0" w:color="auto"/>
            </w:tcBorders>
            <w:shd w:val="clear" w:color="000000" w:fill="FFC000"/>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51</w:t>
            </w: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Basildon</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val="restart"/>
            <w:tcBorders>
              <w:top w:val="nil"/>
              <w:left w:val="single" w:sz="4" w:space="0" w:color="auto"/>
              <w:bottom w:val="single" w:sz="4" w:space="0" w:color="000000"/>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 </w:t>
            </w: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Southend</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Castle Point &amp; Rochford</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 </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r>
      <w:tr w:rsidR="002908B7" w:rsidRPr="002908B7" w:rsidTr="001D4C02">
        <w:trPr>
          <w:trHeight w:val="300"/>
        </w:trPr>
        <w:tc>
          <w:tcPr>
            <w:tcW w:w="6655"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SOUTH LPA</w:t>
            </w:r>
          </w:p>
        </w:tc>
        <w:tc>
          <w:tcPr>
            <w:tcW w:w="925" w:type="dxa"/>
            <w:tcBorders>
              <w:top w:val="nil"/>
              <w:left w:val="nil"/>
              <w:bottom w:val="single" w:sz="4" w:space="0" w:color="auto"/>
              <w:right w:val="single" w:sz="4" w:space="0" w:color="auto"/>
            </w:tcBorders>
            <w:shd w:val="clear" w:color="000000" w:fill="FFC000"/>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38</w:t>
            </w: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Thurrock</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val="restart"/>
            <w:tcBorders>
              <w:top w:val="nil"/>
              <w:left w:val="single" w:sz="4" w:space="0" w:color="auto"/>
              <w:bottom w:val="single" w:sz="4" w:space="0" w:color="000000"/>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 </w:t>
            </w: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Brentwood &amp; Epping</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6</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 </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Harlow</w:t>
            </w:r>
          </w:p>
        </w:tc>
        <w:tc>
          <w:tcPr>
            <w:tcW w:w="1235"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128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240" w:type="dxa"/>
            <w:tcBorders>
              <w:top w:val="nil"/>
              <w:left w:val="nil"/>
              <w:bottom w:val="single" w:sz="4" w:space="0" w:color="auto"/>
              <w:right w:val="single" w:sz="4" w:space="0" w:color="auto"/>
            </w:tcBorders>
            <w:shd w:val="clear" w:color="auto" w:fill="auto"/>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92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6655"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WEST LPA</w:t>
            </w:r>
          </w:p>
        </w:tc>
        <w:tc>
          <w:tcPr>
            <w:tcW w:w="925" w:type="dxa"/>
            <w:tcBorders>
              <w:top w:val="nil"/>
              <w:left w:val="nil"/>
              <w:bottom w:val="single" w:sz="4" w:space="0" w:color="auto"/>
              <w:right w:val="single" w:sz="4" w:space="0" w:color="auto"/>
            </w:tcBorders>
            <w:shd w:val="clear" w:color="000000" w:fill="FFC000"/>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35</w:t>
            </w:r>
          </w:p>
        </w:tc>
      </w:tr>
      <w:tr w:rsidR="002908B7" w:rsidRPr="002908B7" w:rsidTr="001D4C02">
        <w:trPr>
          <w:trHeight w:val="300"/>
        </w:trPr>
        <w:tc>
          <w:tcPr>
            <w:tcW w:w="2900" w:type="dxa"/>
            <w:tcBorders>
              <w:top w:val="nil"/>
              <w:left w:val="nil"/>
              <w:bottom w:val="nil"/>
              <w:right w:val="nil"/>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p>
        </w:tc>
        <w:tc>
          <w:tcPr>
            <w:tcW w:w="1235" w:type="dxa"/>
            <w:tcBorders>
              <w:top w:val="nil"/>
              <w:left w:val="nil"/>
              <w:bottom w:val="nil"/>
              <w:right w:val="nil"/>
            </w:tcBorders>
            <w:shd w:val="clear" w:color="auto" w:fill="auto"/>
            <w:vAlign w:val="bottom"/>
            <w:hideMark/>
          </w:tcPr>
          <w:p w:rsidR="002908B7" w:rsidRPr="002908B7" w:rsidRDefault="002908B7" w:rsidP="002908B7">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vAlign w:val="bottom"/>
            <w:hideMark/>
          </w:tcPr>
          <w:p w:rsidR="002908B7" w:rsidRPr="002908B7" w:rsidRDefault="002908B7" w:rsidP="002908B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vAlign w:val="bottom"/>
            <w:hideMark/>
          </w:tcPr>
          <w:p w:rsidR="002908B7" w:rsidRPr="002908B7" w:rsidRDefault="002908B7" w:rsidP="002908B7">
            <w:pPr>
              <w:spacing w:after="0" w:line="240" w:lineRule="auto"/>
              <w:rPr>
                <w:rFonts w:ascii="Times New Roman" w:eastAsia="Times New Roman" w:hAnsi="Times New Roman" w:cs="Times New Roman"/>
                <w:sz w:val="20"/>
                <w:szCs w:val="20"/>
                <w:lang w:eastAsia="en-GB"/>
              </w:rPr>
            </w:pPr>
          </w:p>
        </w:tc>
        <w:tc>
          <w:tcPr>
            <w:tcW w:w="925" w:type="dxa"/>
            <w:tcBorders>
              <w:top w:val="nil"/>
              <w:left w:val="single" w:sz="4" w:space="0" w:color="auto"/>
              <w:bottom w:val="single" w:sz="4" w:space="0" w:color="auto"/>
              <w:right w:val="single" w:sz="4" w:space="0" w:color="auto"/>
            </w:tcBorders>
            <w:shd w:val="clear" w:color="000000" w:fill="FFFF00"/>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124</w:t>
            </w:r>
          </w:p>
        </w:tc>
      </w:tr>
    </w:tbl>
    <w:p w:rsidR="002908B7" w:rsidRPr="002908B7" w:rsidRDefault="002908B7" w:rsidP="002908B7">
      <w:pPr>
        <w:spacing w:after="0"/>
        <w:ind w:left="360" w:firstLine="720"/>
        <w:rPr>
          <w:rFonts w:ascii="Arial" w:eastAsia="Times New Roman" w:hAnsi="Arial" w:cs="Arial"/>
          <w:sz w:val="24"/>
          <w:szCs w:val="24"/>
          <w:lang w:val="en-US" w:eastAsia="en-GB"/>
        </w:rPr>
      </w:pPr>
    </w:p>
    <w:p w:rsidR="002908B7" w:rsidRPr="002908B7" w:rsidRDefault="002908B7" w:rsidP="002908B7">
      <w:pPr>
        <w:spacing w:after="0"/>
        <w:jc w:val="both"/>
        <w:rPr>
          <w:rFonts w:ascii="Arial" w:hAnsi="Arial" w:cs="Arial"/>
          <w:sz w:val="24"/>
          <w:szCs w:val="24"/>
        </w:rPr>
      </w:pPr>
      <w:r w:rsidRPr="002908B7">
        <w:rPr>
          <w:rFonts w:ascii="Arial" w:hAnsi="Arial" w:cs="Arial"/>
          <w:sz w:val="24"/>
          <w:szCs w:val="24"/>
        </w:rPr>
        <w:t xml:space="preserve">A comprehensive implementation plan has overseen the increase in resources into the Force, including the recruitment of additional officers, and the planning for the sequencing of postings to additional specialist roles. The precept uplift set the Force’s budgeted establishment for officers in 2018/19 at 3,000 </w:t>
      </w:r>
      <w:proofErr w:type="spellStart"/>
      <w:r w:rsidRPr="002908B7">
        <w:rPr>
          <w:rFonts w:ascii="Arial" w:hAnsi="Arial" w:cs="Arial"/>
          <w:sz w:val="24"/>
          <w:szCs w:val="24"/>
        </w:rPr>
        <w:t>fte</w:t>
      </w:r>
      <w:proofErr w:type="spellEnd"/>
      <w:r w:rsidRPr="002908B7">
        <w:rPr>
          <w:rFonts w:ascii="Arial" w:hAnsi="Arial" w:cs="Arial"/>
          <w:sz w:val="24"/>
          <w:szCs w:val="24"/>
        </w:rPr>
        <w:t xml:space="preserve"> and required the Force to also be at a strength of 3000 </w:t>
      </w:r>
      <w:proofErr w:type="spellStart"/>
      <w:r w:rsidRPr="002908B7">
        <w:rPr>
          <w:rFonts w:ascii="Arial" w:hAnsi="Arial" w:cs="Arial"/>
          <w:sz w:val="24"/>
          <w:szCs w:val="24"/>
        </w:rPr>
        <w:t>fte</w:t>
      </w:r>
      <w:proofErr w:type="spellEnd"/>
      <w:r w:rsidRPr="002908B7">
        <w:rPr>
          <w:rFonts w:ascii="Arial" w:hAnsi="Arial" w:cs="Arial"/>
          <w:sz w:val="24"/>
          <w:szCs w:val="24"/>
        </w:rPr>
        <w:t xml:space="preserve"> by the end of the financial year.</w:t>
      </w:r>
      <w:r w:rsidRPr="002908B7">
        <w:rPr>
          <w:rFonts w:ascii="Arial" w:hAnsi="Arial" w:cs="Arial"/>
          <w:sz w:val="24"/>
          <w:szCs w:val="24"/>
          <w:vertAlign w:val="superscript"/>
        </w:rPr>
        <w:footnoteReference w:id="2"/>
      </w:r>
      <w:r w:rsidRPr="002908B7">
        <w:rPr>
          <w:rFonts w:ascii="Arial" w:hAnsi="Arial" w:cs="Arial"/>
          <w:sz w:val="24"/>
          <w:szCs w:val="24"/>
        </w:rPr>
        <w:t xml:space="preserve"> </w:t>
      </w:r>
    </w:p>
    <w:p w:rsidR="002908B7" w:rsidRPr="002908B7" w:rsidRDefault="002908B7" w:rsidP="002908B7">
      <w:pPr>
        <w:spacing w:after="0"/>
        <w:jc w:val="both"/>
        <w:rPr>
          <w:rFonts w:ascii="Arial" w:hAnsi="Arial" w:cs="Arial"/>
          <w:sz w:val="24"/>
          <w:szCs w:val="24"/>
        </w:rPr>
      </w:pPr>
    </w:p>
    <w:p w:rsidR="00E70ACC" w:rsidRDefault="002908B7" w:rsidP="002908B7">
      <w:pPr>
        <w:spacing w:after="0"/>
        <w:jc w:val="both"/>
        <w:rPr>
          <w:rFonts w:ascii="Arial" w:hAnsi="Arial" w:cs="Arial"/>
          <w:sz w:val="24"/>
          <w:szCs w:val="24"/>
        </w:rPr>
      </w:pPr>
      <w:r w:rsidRPr="002908B7">
        <w:rPr>
          <w:rFonts w:ascii="Arial" w:hAnsi="Arial" w:cs="Arial"/>
          <w:b/>
          <w:sz w:val="24"/>
          <w:szCs w:val="24"/>
        </w:rPr>
        <w:t>The uplift ambition was achieved in December 2018, four months early</w:t>
      </w:r>
      <w:r w:rsidRPr="002908B7">
        <w:rPr>
          <w:rFonts w:ascii="Arial" w:hAnsi="Arial" w:cs="Arial"/>
          <w:sz w:val="24"/>
          <w:szCs w:val="24"/>
        </w:rPr>
        <w:t>. As at 26</w:t>
      </w:r>
      <w:r w:rsidRPr="002908B7">
        <w:rPr>
          <w:rFonts w:ascii="Arial" w:hAnsi="Arial" w:cs="Arial"/>
          <w:sz w:val="24"/>
          <w:szCs w:val="24"/>
          <w:vertAlign w:val="superscript"/>
        </w:rPr>
        <w:t>th</w:t>
      </w:r>
      <w:r w:rsidRPr="002908B7">
        <w:rPr>
          <w:rFonts w:ascii="Arial" w:hAnsi="Arial" w:cs="Arial"/>
          <w:sz w:val="24"/>
          <w:szCs w:val="24"/>
        </w:rPr>
        <w:t xml:space="preserve"> April 2019 the Force’s police officer strength was 3045.93 </w:t>
      </w:r>
      <w:proofErr w:type="spellStart"/>
      <w:r w:rsidRPr="002908B7">
        <w:rPr>
          <w:rFonts w:ascii="Arial" w:hAnsi="Arial" w:cs="Arial"/>
          <w:sz w:val="24"/>
          <w:szCs w:val="24"/>
        </w:rPr>
        <w:t>fte</w:t>
      </w:r>
      <w:proofErr w:type="spellEnd"/>
      <w:r w:rsidRPr="002908B7">
        <w:rPr>
          <w:rFonts w:ascii="Arial" w:hAnsi="Arial" w:cs="Arial"/>
          <w:sz w:val="24"/>
          <w:szCs w:val="24"/>
        </w:rPr>
        <w:t xml:space="preserve">, which includes 139 </w:t>
      </w:r>
      <w:proofErr w:type="spellStart"/>
      <w:r w:rsidRPr="002908B7">
        <w:rPr>
          <w:rFonts w:ascii="Arial" w:hAnsi="Arial" w:cs="Arial"/>
          <w:sz w:val="24"/>
          <w:szCs w:val="24"/>
        </w:rPr>
        <w:t>fte</w:t>
      </w:r>
      <w:proofErr w:type="spellEnd"/>
    </w:p>
    <w:p w:rsidR="002908B7" w:rsidRPr="002908B7" w:rsidRDefault="002908B7" w:rsidP="002908B7">
      <w:pPr>
        <w:spacing w:after="0"/>
        <w:jc w:val="both"/>
        <w:rPr>
          <w:rFonts w:ascii="Arial" w:hAnsi="Arial" w:cs="Arial"/>
          <w:sz w:val="24"/>
          <w:szCs w:val="24"/>
        </w:rPr>
      </w:pPr>
      <w:proofErr w:type="gramStart"/>
      <w:r w:rsidRPr="002908B7">
        <w:rPr>
          <w:rFonts w:ascii="Arial" w:hAnsi="Arial" w:cs="Arial"/>
          <w:sz w:val="24"/>
          <w:szCs w:val="24"/>
        </w:rPr>
        <w:t>in</w:t>
      </w:r>
      <w:proofErr w:type="gramEnd"/>
      <w:r w:rsidRPr="002908B7">
        <w:rPr>
          <w:rFonts w:ascii="Arial" w:hAnsi="Arial" w:cs="Arial"/>
          <w:sz w:val="24"/>
          <w:szCs w:val="24"/>
        </w:rPr>
        <w:t xml:space="preserve"> training. This is a strong position from which to start the 2019/20 Growth Programme having already surpassed the 2018/19 establishment.</w:t>
      </w:r>
    </w:p>
    <w:p w:rsidR="002908B7" w:rsidRPr="002908B7" w:rsidRDefault="002908B7" w:rsidP="002908B7">
      <w:pPr>
        <w:spacing w:after="0"/>
        <w:contextualSpacing/>
        <w:jc w:val="both"/>
        <w:rPr>
          <w:rFonts w:ascii="Arial" w:hAnsi="Arial" w:cs="Arial"/>
          <w:b/>
          <w:sz w:val="24"/>
          <w:szCs w:val="24"/>
        </w:rPr>
      </w:pPr>
    </w:p>
    <w:p w:rsidR="002908B7" w:rsidRPr="002908B7" w:rsidRDefault="002908B7" w:rsidP="002908B7">
      <w:pPr>
        <w:spacing w:after="0"/>
        <w:contextualSpacing/>
        <w:jc w:val="both"/>
        <w:rPr>
          <w:rFonts w:ascii="Arial" w:hAnsi="Arial" w:cs="Arial"/>
          <w:b/>
          <w:sz w:val="24"/>
          <w:szCs w:val="24"/>
        </w:rPr>
      </w:pPr>
    </w:p>
    <w:p w:rsidR="002908B7" w:rsidRPr="002908B7" w:rsidRDefault="002908B7" w:rsidP="002908B7">
      <w:pPr>
        <w:spacing w:after="0"/>
        <w:contextualSpacing/>
        <w:jc w:val="both"/>
        <w:rPr>
          <w:rFonts w:ascii="Arial" w:hAnsi="Arial" w:cs="Arial"/>
          <w:b/>
          <w:sz w:val="24"/>
          <w:szCs w:val="24"/>
        </w:rPr>
      </w:pPr>
      <w:r w:rsidRPr="002908B7">
        <w:rPr>
          <w:rFonts w:ascii="Arial" w:hAnsi="Arial" w:cs="Arial"/>
          <w:b/>
          <w:sz w:val="24"/>
          <w:szCs w:val="24"/>
        </w:rPr>
        <w:t>4.0</w:t>
      </w:r>
      <w:r w:rsidRPr="002908B7">
        <w:rPr>
          <w:rFonts w:ascii="Arial" w:hAnsi="Arial" w:cs="Arial"/>
          <w:b/>
          <w:sz w:val="24"/>
          <w:szCs w:val="24"/>
        </w:rPr>
        <w:tab/>
        <w:t>Progress to date</w:t>
      </w:r>
    </w:p>
    <w:p w:rsidR="002908B7" w:rsidRPr="002908B7" w:rsidRDefault="002908B7" w:rsidP="002908B7">
      <w:pPr>
        <w:spacing w:after="0"/>
        <w:contextualSpacing/>
        <w:jc w:val="both"/>
        <w:rPr>
          <w:rFonts w:ascii="Arial" w:hAnsi="Arial" w:cs="Arial"/>
          <w:sz w:val="24"/>
          <w:szCs w:val="24"/>
        </w:rPr>
      </w:pPr>
    </w:p>
    <w:p w:rsidR="002908B7" w:rsidRPr="002908B7" w:rsidRDefault="002908B7" w:rsidP="002908B7">
      <w:pPr>
        <w:spacing w:after="0"/>
        <w:contextualSpacing/>
        <w:jc w:val="both"/>
        <w:rPr>
          <w:rFonts w:ascii="Arial" w:hAnsi="Arial" w:cs="Arial"/>
          <w:sz w:val="24"/>
          <w:szCs w:val="24"/>
        </w:rPr>
      </w:pPr>
      <w:r w:rsidRPr="002908B7">
        <w:rPr>
          <w:rFonts w:ascii="Arial" w:hAnsi="Arial" w:cs="Arial"/>
          <w:b/>
          <w:sz w:val="24"/>
          <w:szCs w:val="24"/>
        </w:rPr>
        <w:t>Overall the total uplift has been achieved.</w:t>
      </w:r>
      <w:r w:rsidRPr="002908B7">
        <w:rPr>
          <w:rFonts w:ascii="Arial" w:hAnsi="Arial" w:cs="Arial"/>
          <w:sz w:val="24"/>
          <w:szCs w:val="24"/>
        </w:rPr>
        <w:t xml:space="preserve"> Some minor changes have been made in the underlying establishment within specific LPA teams to improve local operational efficiency and effectiveness; these are reflected at Figure 2 </w:t>
      </w:r>
      <w:r w:rsidRPr="002908B7">
        <w:rPr>
          <w:rFonts w:ascii="Arial" w:hAnsi="Arial" w:cs="Arial"/>
          <w:sz w:val="24"/>
          <w:szCs w:val="24"/>
        </w:rPr>
        <w:lastRenderedPageBreak/>
        <w:t>where the establishment and strength as at 1</w:t>
      </w:r>
      <w:r w:rsidRPr="002908B7">
        <w:rPr>
          <w:rFonts w:ascii="Arial" w:hAnsi="Arial" w:cs="Arial"/>
          <w:sz w:val="24"/>
          <w:szCs w:val="24"/>
          <w:vertAlign w:val="superscript"/>
        </w:rPr>
        <w:t>st</w:t>
      </w:r>
      <w:r w:rsidRPr="002908B7">
        <w:rPr>
          <w:rFonts w:ascii="Arial" w:hAnsi="Arial" w:cs="Arial"/>
          <w:sz w:val="24"/>
          <w:szCs w:val="24"/>
        </w:rPr>
        <w:t xml:space="preserve"> April 2018 and as at 26</w:t>
      </w:r>
      <w:r w:rsidRPr="002908B7">
        <w:rPr>
          <w:rFonts w:ascii="Arial" w:hAnsi="Arial" w:cs="Arial"/>
          <w:sz w:val="24"/>
          <w:szCs w:val="24"/>
          <w:vertAlign w:val="superscript"/>
        </w:rPr>
        <w:t>th</w:t>
      </w:r>
      <w:r w:rsidRPr="002908B7">
        <w:rPr>
          <w:rFonts w:ascii="Arial" w:hAnsi="Arial" w:cs="Arial"/>
          <w:sz w:val="24"/>
          <w:szCs w:val="24"/>
        </w:rPr>
        <w:t xml:space="preserve"> April 2019 is compared; the last two columns provide a summary of the net effect to both establishment and strength.  </w:t>
      </w:r>
    </w:p>
    <w:p w:rsidR="002908B7" w:rsidRPr="002908B7" w:rsidRDefault="002908B7" w:rsidP="002908B7">
      <w:pPr>
        <w:spacing w:after="0"/>
        <w:contextualSpacing/>
        <w:jc w:val="both"/>
        <w:rPr>
          <w:rFonts w:ascii="Arial" w:hAnsi="Arial" w:cs="Arial"/>
          <w:sz w:val="24"/>
          <w:szCs w:val="24"/>
        </w:rPr>
      </w:pPr>
    </w:p>
    <w:p w:rsidR="002908B7" w:rsidRPr="002908B7" w:rsidRDefault="002908B7" w:rsidP="002908B7">
      <w:r w:rsidRPr="002908B7">
        <w:rPr>
          <w:rFonts w:ascii="Arial" w:eastAsia="Times New Roman" w:hAnsi="Arial" w:cs="Arial"/>
          <w:b/>
          <w:sz w:val="20"/>
          <w:szCs w:val="20"/>
          <w:lang w:val="en-US" w:eastAsia="en-GB"/>
        </w:rPr>
        <w:t>Figure 2: 2018/19 Uplift; Establishment v Strength Tracking</w:t>
      </w:r>
      <w:r w:rsidRPr="002908B7">
        <w:rPr>
          <w:lang w:val="en-US" w:eastAsia="en-GB"/>
        </w:rPr>
        <w:fldChar w:fldCharType="begin"/>
      </w:r>
      <w:r w:rsidRPr="002908B7">
        <w:rPr>
          <w:lang w:val="en-US" w:eastAsia="en-GB"/>
        </w:rPr>
        <w:instrText xml:space="preserve"> LINK Excel.Sheet.12 "C:\\Users\\42002770\\AppData\\Local\\Microsoft\\Windows\\INetCache\\Content.Outlook\\ZPHBGGWP\\Copy of 18.19 Est v Str Summary 26.04.19 v0.2 (002).xlsx" "Opt 1!R4C2:R14C9" \a \f 4 \h  \* MERGEFORMAT </w:instrText>
      </w:r>
      <w:r w:rsidRPr="002908B7">
        <w:rPr>
          <w:lang w:val="en-US" w:eastAsia="en-GB"/>
        </w:rPr>
        <w:fldChar w:fldCharType="separate"/>
      </w:r>
    </w:p>
    <w:tbl>
      <w:tblPr>
        <w:tblW w:w="10268" w:type="dxa"/>
        <w:tblInd w:w="-615" w:type="dxa"/>
        <w:tblLook w:val="04A0" w:firstRow="1" w:lastRow="0" w:firstColumn="1" w:lastColumn="0" w:noHBand="0" w:noVBand="1"/>
      </w:tblPr>
      <w:tblGrid>
        <w:gridCol w:w="3335"/>
        <w:gridCol w:w="922"/>
        <w:gridCol w:w="932"/>
        <w:gridCol w:w="920"/>
        <w:gridCol w:w="1641"/>
        <w:gridCol w:w="931"/>
        <w:gridCol w:w="844"/>
        <w:gridCol w:w="799"/>
      </w:tblGrid>
      <w:tr w:rsidR="002908B7" w:rsidRPr="002908B7" w:rsidTr="001D4C02">
        <w:trPr>
          <w:trHeight w:val="893"/>
        </w:trPr>
        <w:tc>
          <w:tcPr>
            <w:tcW w:w="3335" w:type="dxa"/>
            <w:tcBorders>
              <w:top w:val="nil"/>
              <w:left w:val="nil"/>
              <w:bottom w:val="nil"/>
              <w:right w:val="nil"/>
            </w:tcBorders>
            <w:shd w:val="clear" w:color="auto" w:fill="auto"/>
            <w:vAlign w:val="center"/>
            <w:hideMark/>
          </w:tcPr>
          <w:p w:rsidR="002908B7" w:rsidRPr="002908B7" w:rsidRDefault="002908B7" w:rsidP="002908B7">
            <w:pPr>
              <w:spacing w:after="0" w:line="240" w:lineRule="auto"/>
              <w:rPr>
                <w:rFonts w:ascii="Times New Roman" w:eastAsia="Times New Roman" w:hAnsi="Times New Roman" w:cs="Times New Roman"/>
                <w:sz w:val="24"/>
                <w:szCs w:val="24"/>
                <w:lang w:eastAsia="en-GB"/>
              </w:rPr>
            </w:pPr>
          </w:p>
        </w:tc>
        <w:tc>
          <w:tcPr>
            <w:tcW w:w="1855" w:type="dxa"/>
            <w:gridSpan w:val="2"/>
            <w:tcBorders>
              <w:top w:val="single" w:sz="4" w:space="0" w:color="auto"/>
              <w:left w:val="single" w:sz="4" w:space="0" w:color="auto"/>
              <w:bottom w:val="single" w:sz="4" w:space="0" w:color="auto"/>
              <w:right w:val="single" w:sz="4" w:space="0" w:color="000000"/>
            </w:tcBorders>
            <w:shd w:val="clear" w:color="000000" w:fill="2F75B5"/>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1st April 2018</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2908B7" w:rsidRPr="002908B7" w:rsidRDefault="002908B7" w:rsidP="002908B7">
            <w:pPr>
              <w:spacing w:after="0" w:line="240" w:lineRule="auto"/>
              <w:jc w:val="center"/>
              <w:rPr>
                <w:rFonts w:ascii="Calibri" w:eastAsia="Times New Roman" w:hAnsi="Calibri" w:cs="Calibri"/>
                <w:b/>
                <w:bCs/>
                <w:lang w:eastAsia="en-GB"/>
              </w:rPr>
            </w:pPr>
            <w:r w:rsidRPr="002908B7">
              <w:rPr>
                <w:rFonts w:ascii="Calibri" w:eastAsia="Times New Roman" w:hAnsi="Calibri" w:cs="Calibri"/>
                <w:b/>
                <w:bCs/>
                <w:lang w:eastAsia="en-GB"/>
              </w:rPr>
              <w:t>Precept Growth</w:t>
            </w:r>
          </w:p>
        </w:tc>
        <w:tc>
          <w:tcPr>
            <w:tcW w:w="2572" w:type="dxa"/>
            <w:gridSpan w:val="2"/>
            <w:tcBorders>
              <w:top w:val="single" w:sz="4" w:space="0" w:color="auto"/>
              <w:left w:val="nil"/>
              <w:bottom w:val="single" w:sz="4" w:space="0" w:color="auto"/>
              <w:right w:val="single" w:sz="4" w:space="0" w:color="000000"/>
            </w:tcBorders>
            <w:shd w:val="clear" w:color="000000" w:fill="2F75B5"/>
            <w:vAlign w:val="center"/>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26th April 2019</w:t>
            </w:r>
          </w:p>
        </w:tc>
        <w:tc>
          <w:tcPr>
            <w:tcW w:w="1643" w:type="dxa"/>
            <w:gridSpan w:val="2"/>
            <w:tcBorders>
              <w:top w:val="single" w:sz="4" w:space="0" w:color="auto"/>
              <w:left w:val="nil"/>
              <w:bottom w:val="single" w:sz="4" w:space="0" w:color="auto"/>
              <w:right w:val="single" w:sz="4" w:space="0" w:color="000000"/>
            </w:tcBorders>
            <w:shd w:val="clear" w:color="000000" w:fill="FFC000"/>
            <w:vAlign w:val="center"/>
            <w:hideMark/>
          </w:tcPr>
          <w:p w:rsidR="002908B7" w:rsidRPr="002908B7" w:rsidRDefault="002908B7" w:rsidP="002908B7">
            <w:pPr>
              <w:spacing w:after="0" w:line="240" w:lineRule="auto"/>
              <w:jc w:val="center"/>
              <w:rPr>
                <w:rFonts w:ascii="Calibri" w:eastAsia="Times New Roman" w:hAnsi="Calibri" w:cs="Calibri"/>
                <w:b/>
                <w:bCs/>
                <w:lang w:eastAsia="en-GB"/>
              </w:rPr>
            </w:pPr>
            <w:r w:rsidRPr="002908B7">
              <w:rPr>
                <w:rFonts w:ascii="Calibri" w:eastAsia="Times New Roman" w:hAnsi="Calibri" w:cs="Calibri"/>
                <w:b/>
                <w:bCs/>
                <w:lang w:eastAsia="en-GB"/>
              </w:rPr>
              <w:t>Net Change up to 26th April 2019</w:t>
            </w:r>
          </w:p>
        </w:tc>
      </w:tr>
      <w:tr w:rsidR="002908B7" w:rsidRPr="002908B7" w:rsidTr="001D4C02">
        <w:trPr>
          <w:trHeight w:val="297"/>
        </w:trPr>
        <w:tc>
          <w:tcPr>
            <w:tcW w:w="3335"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2908B7" w:rsidRPr="002908B7" w:rsidRDefault="002908B7" w:rsidP="002908B7">
            <w:pPr>
              <w:spacing w:after="0" w:line="240" w:lineRule="auto"/>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 xml:space="preserve">Investment </w:t>
            </w:r>
            <w:r w:rsidRPr="002908B7">
              <w:rPr>
                <w:rFonts w:ascii="Calibri" w:eastAsia="Times New Roman" w:hAnsi="Calibri" w:cs="Calibri"/>
                <w:b/>
                <w:bCs/>
                <w:color w:val="FFFFFF"/>
                <w:lang w:eastAsia="en-GB"/>
              </w:rPr>
              <w:br/>
            </w:r>
            <w:r w:rsidRPr="002908B7">
              <w:rPr>
                <w:rFonts w:ascii="Calibri" w:eastAsia="Times New Roman" w:hAnsi="Calibri" w:cs="Calibri"/>
                <w:b/>
                <w:bCs/>
                <w:color w:val="FFFFFF"/>
                <w:sz w:val="18"/>
                <w:lang w:eastAsia="en-GB"/>
              </w:rPr>
              <w:t>(Constable only unless stated otherwise)</w:t>
            </w:r>
          </w:p>
        </w:tc>
        <w:tc>
          <w:tcPr>
            <w:tcW w:w="922" w:type="dxa"/>
            <w:tcBorders>
              <w:top w:val="nil"/>
              <w:left w:val="nil"/>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jc w:val="center"/>
              <w:rPr>
                <w:rFonts w:ascii="Calibri" w:eastAsia="Times New Roman" w:hAnsi="Calibri" w:cs="Calibri"/>
                <w:b/>
                <w:bCs/>
                <w:color w:val="FFFFFF"/>
                <w:sz w:val="20"/>
                <w:lang w:eastAsia="en-GB"/>
              </w:rPr>
            </w:pPr>
            <w:r w:rsidRPr="002908B7">
              <w:rPr>
                <w:rFonts w:ascii="Calibri" w:eastAsia="Times New Roman" w:hAnsi="Calibri" w:cs="Calibri"/>
                <w:b/>
                <w:bCs/>
                <w:color w:val="FFFFFF"/>
                <w:sz w:val="20"/>
                <w:lang w:eastAsia="en-GB"/>
              </w:rPr>
              <w:t>Est</w:t>
            </w:r>
          </w:p>
        </w:tc>
        <w:tc>
          <w:tcPr>
            <w:tcW w:w="932" w:type="dxa"/>
            <w:tcBorders>
              <w:top w:val="nil"/>
              <w:left w:val="nil"/>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jc w:val="center"/>
              <w:rPr>
                <w:rFonts w:ascii="Calibri" w:eastAsia="Times New Roman" w:hAnsi="Calibri" w:cs="Calibri"/>
                <w:b/>
                <w:bCs/>
                <w:color w:val="FFFFFF"/>
                <w:sz w:val="20"/>
                <w:lang w:eastAsia="en-GB"/>
              </w:rPr>
            </w:pPr>
            <w:proofErr w:type="spellStart"/>
            <w:r w:rsidRPr="002908B7">
              <w:rPr>
                <w:rFonts w:ascii="Calibri" w:eastAsia="Times New Roman" w:hAnsi="Calibri" w:cs="Calibri"/>
                <w:b/>
                <w:bCs/>
                <w:color w:val="FFFFFF"/>
                <w:sz w:val="20"/>
                <w:lang w:eastAsia="en-GB"/>
              </w:rPr>
              <w:t>Str</w:t>
            </w:r>
            <w:proofErr w:type="spellEnd"/>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sz w:val="20"/>
                <w:lang w:eastAsia="en-GB"/>
              </w:rPr>
            </w:pPr>
          </w:p>
        </w:tc>
        <w:tc>
          <w:tcPr>
            <w:tcW w:w="1641" w:type="dxa"/>
            <w:tcBorders>
              <w:top w:val="nil"/>
              <w:left w:val="nil"/>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jc w:val="center"/>
              <w:rPr>
                <w:rFonts w:ascii="Calibri" w:eastAsia="Times New Roman" w:hAnsi="Calibri" w:cs="Calibri"/>
                <w:b/>
                <w:bCs/>
                <w:color w:val="FFFFFF"/>
                <w:sz w:val="20"/>
                <w:lang w:eastAsia="en-GB"/>
              </w:rPr>
            </w:pPr>
            <w:r w:rsidRPr="002908B7">
              <w:rPr>
                <w:rFonts w:ascii="Calibri" w:eastAsia="Times New Roman" w:hAnsi="Calibri" w:cs="Calibri"/>
                <w:b/>
                <w:bCs/>
                <w:color w:val="FFFFFF"/>
                <w:sz w:val="20"/>
                <w:lang w:eastAsia="en-GB"/>
              </w:rPr>
              <w:t>Est</w:t>
            </w:r>
          </w:p>
        </w:tc>
        <w:tc>
          <w:tcPr>
            <w:tcW w:w="931" w:type="dxa"/>
            <w:tcBorders>
              <w:top w:val="nil"/>
              <w:left w:val="nil"/>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jc w:val="center"/>
              <w:rPr>
                <w:rFonts w:ascii="Calibri" w:eastAsia="Times New Roman" w:hAnsi="Calibri" w:cs="Calibri"/>
                <w:b/>
                <w:bCs/>
                <w:color w:val="FFFFFF"/>
                <w:sz w:val="20"/>
                <w:lang w:eastAsia="en-GB"/>
              </w:rPr>
            </w:pPr>
            <w:proofErr w:type="spellStart"/>
            <w:r w:rsidRPr="002908B7">
              <w:rPr>
                <w:rFonts w:ascii="Calibri" w:eastAsia="Times New Roman" w:hAnsi="Calibri" w:cs="Calibri"/>
                <w:b/>
                <w:bCs/>
                <w:color w:val="FFFFFF"/>
                <w:sz w:val="20"/>
                <w:lang w:eastAsia="en-GB"/>
              </w:rPr>
              <w:t>Str</w:t>
            </w:r>
            <w:proofErr w:type="spellEnd"/>
          </w:p>
        </w:tc>
        <w:tc>
          <w:tcPr>
            <w:tcW w:w="844" w:type="dxa"/>
            <w:tcBorders>
              <w:top w:val="nil"/>
              <w:left w:val="nil"/>
              <w:bottom w:val="single" w:sz="4" w:space="0" w:color="auto"/>
              <w:right w:val="single" w:sz="4" w:space="0" w:color="auto"/>
            </w:tcBorders>
            <w:shd w:val="clear" w:color="000000" w:fill="FFC000"/>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Est</w:t>
            </w:r>
          </w:p>
        </w:tc>
        <w:tc>
          <w:tcPr>
            <w:tcW w:w="799" w:type="dxa"/>
            <w:tcBorders>
              <w:top w:val="nil"/>
              <w:left w:val="nil"/>
              <w:bottom w:val="single" w:sz="4" w:space="0" w:color="auto"/>
              <w:right w:val="single" w:sz="4" w:space="0" w:color="auto"/>
            </w:tcBorders>
            <w:shd w:val="clear" w:color="000000" w:fill="FFC000"/>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proofErr w:type="spellStart"/>
            <w:r w:rsidRPr="002908B7">
              <w:rPr>
                <w:rFonts w:ascii="Calibri" w:eastAsia="Times New Roman" w:hAnsi="Calibri" w:cs="Calibri"/>
                <w:b/>
                <w:bCs/>
                <w:sz w:val="20"/>
                <w:lang w:eastAsia="en-GB"/>
              </w:rPr>
              <w:t>Str</w:t>
            </w:r>
            <w:proofErr w:type="spellEnd"/>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Local Policing Teams (LPT)</w:t>
            </w:r>
          </w:p>
        </w:tc>
        <w:tc>
          <w:tcPr>
            <w:tcW w:w="92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845.90</w:t>
            </w:r>
          </w:p>
        </w:tc>
        <w:tc>
          <w:tcPr>
            <w:tcW w:w="93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716.60</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53.00</w:t>
            </w:r>
          </w:p>
        </w:tc>
        <w:tc>
          <w:tcPr>
            <w:tcW w:w="164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895.68</w:t>
            </w:r>
          </w:p>
        </w:tc>
        <w:tc>
          <w:tcPr>
            <w:tcW w:w="93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935.41</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49.78</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218.81</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sz w:val="20"/>
                <w:lang w:eastAsia="en-GB"/>
              </w:rPr>
              <w:t>Local Domestic Abuse Investigation</w:t>
            </w:r>
          </w:p>
        </w:tc>
        <w:tc>
          <w:tcPr>
            <w:tcW w:w="92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109.15</w:t>
            </w:r>
          </w:p>
        </w:tc>
        <w:tc>
          <w:tcPr>
            <w:tcW w:w="93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105.73</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21.00</w:t>
            </w:r>
          </w:p>
        </w:tc>
        <w:tc>
          <w:tcPr>
            <w:tcW w:w="164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127.15</w:t>
            </w:r>
          </w:p>
        </w:tc>
        <w:tc>
          <w:tcPr>
            <w:tcW w:w="93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109.42</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18.00</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3.69</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Community Policing Teams (CPT)</w:t>
            </w:r>
          </w:p>
        </w:tc>
        <w:tc>
          <w:tcPr>
            <w:tcW w:w="92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91.00</w:t>
            </w:r>
          </w:p>
        </w:tc>
        <w:tc>
          <w:tcPr>
            <w:tcW w:w="93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92.84</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50.00</w:t>
            </w:r>
          </w:p>
        </w:tc>
        <w:tc>
          <w:tcPr>
            <w:tcW w:w="164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140.00</w:t>
            </w:r>
          </w:p>
        </w:tc>
        <w:tc>
          <w:tcPr>
            <w:tcW w:w="93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130.66</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49.00</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37.82</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Local Policing Total</w:t>
            </w:r>
          </w:p>
        </w:tc>
        <w:tc>
          <w:tcPr>
            <w:tcW w:w="922"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1046.05</w:t>
            </w:r>
          </w:p>
        </w:tc>
        <w:tc>
          <w:tcPr>
            <w:tcW w:w="932"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915.17</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124.00</w:t>
            </w:r>
          </w:p>
        </w:tc>
        <w:tc>
          <w:tcPr>
            <w:tcW w:w="1641"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1162.83</w:t>
            </w:r>
          </w:p>
        </w:tc>
        <w:tc>
          <w:tcPr>
            <w:tcW w:w="931"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1175.49</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116.78</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260.32</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OSG</w:t>
            </w:r>
            <w:r w:rsidRPr="002908B7">
              <w:rPr>
                <w:rFonts w:ascii="Calibri" w:eastAsia="Times New Roman" w:hAnsi="Calibri" w:cs="Calibri"/>
                <w:color w:val="000000"/>
                <w:sz w:val="18"/>
                <w:lang w:eastAsia="en-GB"/>
              </w:rPr>
              <w:t xml:space="preserve"> (Constable, Sergeant &amp; Inspector)</w:t>
            </w:r>
          </w:p>
        </w:tc>
        <w:tc>
          <w:tcPr>
            <w:tcW w:w="92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49.00</w:t>
            </w:r>
          </w:p>
        </w:tc>
        <w:tc>
          <w:tcPr>
            <w:tcW w:w="93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41.42</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25.00</w:t>
            </w:r>
          </w:p>
        </w:tc>
        <w:tc>
          <w:tcPr>
            <w:tcW w:w="164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75.00</w:t>
            </w:r>
          </w:p>
        </w:tc>
        <w:tc>
          <w:tcPr>
            <w:tcW w:w="93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63.68</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26.00</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22.26</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 xml:space="preserve">OPC Total </w:t>
            </w:r>
          </w:p>
        </w:tc>
        <w:tc>
          <w:tcPr>
            <w:tcW w:w="922"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49.00</w:t>
            </w:r>
          </w:p>
        </w:tc>
        <w:tc>
          <w:tcPr>
            <w:tcW w:w="932"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41.42</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25.00</w:t>
            </w:r>
          </w:p>
        </w:tc>
        <w:tc>
          <w:tcPr>
            <w:tcW w:w="1641"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75.00</w:t>
            </w:r>
          </w:p>
        </w:tc>
        <w:tc>
          <w:tcPr>
            <w:tcW w:w="931"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63.68</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26.00</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22.26</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SCD: Cyber Crime Investigation</w:t>
            </w:r>
          </w:p>
        </w:tc>
        <w:tc>
          <w:tcPr>
            <w:tcW w:w="92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4.00</w:t>
            </w:r>
          </w:p>
        </w:tc>
        <w:tc>
          <w:tcPr>
            <w:tcW w:w="932"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5.00</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1.00</w:t>
            </w:r>
          </w:p>
        </w:tc>
        <w:tc>
          <w:tcPr>
            <w:tcW w:w="164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5.00</w:t>
            </w:r>
          </w:p>
        </w:tc>
        <w:tc>
          <w:tcPr>
            <w:tcW w:w="931" w:type="dxa"/>
            <w:tcBorders>
              <w:top w:val="nil"/>
              <w:left w:val="nil"/>
              <w:bottom w:val="single" w:sz="4" w:space="0" w:color="auto"/>
              <w:right w:val="single" w:sz="4" w:space="0" w:color="auto"/>
            </w:tcBorders>
            <w:shd w:val="clear" w:color="auto" w:fill="auto"/>
            <w:noWrap/>
            <w:vAlign w:val="center"/>
            <w:hideMark/>
          </w:tcPr>
          <w:p w:rsidR="002908B7" w:rsidRPr="002908B7" w:rsidRDefault="002908B7" w:rsidP="002908B7">
            <w:pPr>
              <w:spacing w:after="0" w:line="240" w:lineRule="auto"/>
              <w:jc w:val="center"/>
              <w:rPr>
                <w:rFonts w:ascii="Calibri" w:eastAsia="Times New Roman" w:hAnsi="Calibri" w:cs="Calibri"/>
                <w:color w:val="000000"/>
                <w:sz w:val="20"/>
                <w:lang w:eastAsia="en-GB"/>
              </w:rPr>
            </w:pPr>
            <w:r w:rsidRPr="002908B7">
              <w:rPr>
                <w:rFonts w:ascii="Calibri" w:eastAsia="Times New Roman" w:hAnsi="Calibri" w:cs="Calibri"/>
                <w:color w:val="000000"/>
                <w:sz w:val="20"/>
                <w:lang w:eastAsia="en-GB"/>
              </w:rPr>
              <w:t>5.00</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1.00</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0.00</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Investigations Total</w:t>
            </w:r>
          </w:p>
        </w:tc>
        <w:tc>
          <w:tcPr>
            <w:tcW w:w="922"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4.00</w:t>
            </w:r>
          </w:p>
        </w:tc>
        <w:tc>
          <w:tcPr>
            <w:tcW w:w="932"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5.00</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1.00</w:t>
            </w:r>
          </w:p>
        </w:tc>
        <w:tc>
          <w:tcPr>
            <w:tcW w:w="1641"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5.00</w:t>
            </w:r>
          </w:p>
        </w:tc>
        <w:tc>
          <w:tcPr>
            <w:tcW w:w="931" w:type="dxa"/>
            <w:tcBorders>
              <w:top w:val="nil"/>
              <w:left w:val="nil"/>
              <w:bottom w:val="single" w:sz="4" w:space="0" w:color="auto"/>
              <w:right w:val="single" w:sz="4" w:space="0" w:color="auto"/>
            </w:tcBorders>
            <w:shd w:val="clear" w:color="000000" w:fill="BDD7EE"/>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5.00</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1.00</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sz w:val="20"/>
                <w:lang w:eastAsia="en-GB"/>
              </w:rPr>
            </w:pPr>
            <w:r w:rsidRPr="002908B7">
              <w:rPr>
                <w:rFonts w:ascii="Calibri" w:eastAsia="Times New Roman" w:hAnsi="Calibri" w:cs="Calibri"/>
                <w:sz w:val="20"/>
                <w:lang w:eastAsia="en-GB"/>
              </w:rPr>
              <w:t>0.00</w:t>
            </w:r>
          </w:p>
        </w:tc>
      </w:tr>
      <w:tr w:rsidR="002908B7" w:rsidRPr="002908B7" w:rsidTr="001D4C02">
        <w:trPr>
          <w:trHeight w:val="297"/>
        </w:trPr>
        <w:tc>
          <w:tcPr>
            <w:tcW w:w="3335" w:type="dxa"/>
            <w:tcBorders>
              <w:top w:val="nil"/>
              <w:left w:val="single" w:sz="4" w:space="0" w:color="auto"/>
              <w:bottom w:val="single" w:sz="4" w:space="0" w:color="auto"/>
              <w:right w:val="single" w:sz="4" w:space="0" w:color="auto"/>
            </w:tcBorders>
            <w:shd w:val="clear" w:color="000000" w:fill="FFFF00"/>
            <w:noWrap/>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Total: Operational Policing</w:t>
            </w:r>
          </w:p>
        </w:tc>
        <w:tc>
          <w:tcPr>
            <w:tcW w:w="922" w:type="dxa"/>
            <w:tcBorders>
              <w:top w:val="nil"/>
              <w:left w:val="nil"/>
              <w:bottom w:val="single" w:sz="4" w:space="0" w:color="auto"/>
              <w:right w:val="single" w:sz="4" w:space="0" w:color="auto"/>
            </w:tcBorders>
            <w:shd w:val="clear" w:color="000000" w:fill="FFFF00"/>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1099.05</w:t>
            </w:r>
          </w:p>
        </w:tc>
        <w:tc>
          <w:tcPr>
            <w:tcW w:w="932" w:type="dxa"/>
            <w:tcBorders>
              <w:top w:val="nil"/>
              <w:left w:val="nil"/>
              <w:bottom w:val="single" w:sz="4" w:space="0" w:color="auto"/>
              <w:right w:val="single" w:sz="4" w:space="0" w:color="auto"/>
            </w:tcBorders>
            <w:shd w:val="clear" w:color="000000" w:fill="FFFF00"/>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961.59</w:t>
            </w:r>
          </w:p>
        </w:tc>
        <w:tc>
          <w:tcPr>
            <w:tcW w:w="863"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150.00</w:t>
            </w:r>
          </w:p>
        </w:tc>
        <w:tc>
          <w:tcPr>
            <w:tcW w:w="1641" w:type="dxa"/>
            <w:tcBorders>
              <w:top w:val="nil"/>
              <w:left w:val="nil"/>
              <w:bottom w:val="single" w:sz="4" w:space="0" w:color="auto"/>
              <w:right w:val="single" w:sz="4" w:space="0" w:color="auto"/>
            </w:tcBorders>
            <w:shd w:val="clear" w:color="000000" w:fill="FFFF00"/>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1242.83</w:t>
            </w:r>
          </w:p>
        </w:tc>
        <w:tc>
          <w:tcPr>
            <w:tcW w:w="931" w:type="dxa"/>
            <w:tcBorders>
              <w:top w:val="nil"/>
              <w:left w:val="nil"/>
              <w:bottom w:val="single" w:sz="4" w:space="0" w:color="auto"/>
              <w:right w:val="single" w:sz="4" w:space="0" w:color="auto"/>
            </w:tcBorders>
            <w:shd w:val="clear" w:color="000000" w:fill="FFFF00"/>
            <w:noWrap/>
            <w:vAlign w:val="center"/>
            <w:hideMark/>
          </w:tcPr>
          <w:p w:rsidR="002908B7" w:rsidRPr="002908B7" w:rsidRDefault="002908B7" w:rsidP="002908B7">
            <w:pPr>
              <w:spacing w:after="0" w:line="240" w:lineRule="auto"/>
              <w:jc w:val="center"/>
              <w:rPr>
                <w:rFonts w:ascii="Calibri" w:eastAsia="Times New Roman" w:hAnsi="Calibri" w:cs="Calibri"/>
                <w:b/>
                <w:bCs/>
                <w:color w:val="000000"/>
                <w:sz w:val="20"/>
                <w:lang w:eastAsia="en-GB"/>
              </w:rPr>
            </w:pPr>
            <w:r w:rsidRPr="002908B7">
              <w:rPr>
                <w:rFonts w:ascii="Calibri" w:eastAsia="Times New Roman" w:hAnsi="Calibri" w:cs="Calibri"/>
                <w:b/>
                <w:bCs/>
                <w:color w:val="000000"/>
                <w:sz w:val="20"/>
                <w:lang w:eastAsia="en-GB"/>
              </w:rPr>
              <w:t>1244.17</w:t>
            </w:r>
          </w:p>
        </w:tc>
        <w:tc>
          <w:tcPr>
            <w:tcW w:w="844"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143.78</w:t>
            </w:r>
          </w:p>
        </w:tc>
        <w:tc>
          <w:tcPr>
            <w:tcW w:w="799"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sz w:val="20"/>
                <w:lang w:eastAsia="en-GB"/>
              </w:rPr>
            </w:pPr>
            <w:r w:rsidRPr="002908B7">
              <w:rPr>
                <w:rFonts w:ascii="Calibri" w:eastAsia="Times New Roman" w:hAnsi="Calibri" w:cs="Calibri"/>
                <w:b/>
                <w:bCs/>
                <w:sz w:val="20"/>
                <w:lang w:eastAsia="en-GB"/>
              </w:rPr>
              <w:t>282.58</w:t>
            </w:r>
          </w:p>
        </w:tc>
      </w:tr>
    </w:tbl>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fldChar w:fldCharType="end"/>
      </w: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 xml:space="preserve">The 2018/19 funding increase has created 150 additional police officer posts. The original plan to invest the 150 in the teams was adjusted in year to meet operational needs; resulting in 143.78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invested as shown in Figure 2, and 6.22 posts being re-invested into Investigations, Public Protection and the </w:t>
      </w:r>
      <w:proofErr w:type="spellStart"/>
      <w:r w:rsidRPr="002908B7">
        <w:rPr>
          <w:rFonts w:ascii="Arial" w:eastAsia="Times New Roman" w:hAnsi="Arial" w:cs="Arial"/>
          <w:sz w:val="24"/>
          <w:szCs w:val="24"/>
          <w:lang w:val="en-US" w:eastAsia="en-GB"/>
        </w:rPr>
        <w:t>Southend</w:t>
      </w:r>
      <w:proofErr w:type="spellEnd"/>
      <w:r w:rsidRPr="002908B7">
        <w:rPr>
          <w:rFonts w:ascii="Arial" w:eastAsia="Times New Roman" w:hAnsi="Arial" w:cs="Arial"/>
          <w:sz w:val="24"/>
          <w:szCs w:val="24"/>
          <w:lang w:val="en-US" w:eastAsia="en-GB"/>
        </w:rPr>
        <w:t xml:space="preserve"> CPT Multi-Agency Vulnerability team. </w:t>
      </w:r>
    </w:p>
    <w:p w:rsidR="002908B7" w:rsidRPr="002908B7" w:rsidRDefault="002908B7" w:rsidP="002908B7">
      <w:pPr>
        <w:spacing w:after="0"/>
        <w:jc w:val="both"/>
        <w:rPr>
          <w:rFonts w:ascii="Arial" w:eastAsia="Times New Roman" w:hAnsi="Arial" w:cs="Arial"/>
          <w:sz w:val="24"/>
          <w:szCs w:val="24"/>
          <w:lang w:val="en-US" w:eastAsia="en-GB"/>
        </w:rPr>
      </w:pPr>
    </w:p>
    <w:p w:rsid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 xml:space="preserve">For the Local Policing Teams (LPT) the establishment increase for LPT was adjusted during the year to 49.78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as a result of Chief Officer agreed changes. They are the primary frontline team responding to calls for help from the public and are where all newly recruited officers are first posted following their initial training. As such, the growth in officer numbers within the LPTs is the first element of the Force which benefits from the investment of more officers (Figure 2).</w:t>
      </w:r>
    </w:p>
    <w:p w:rsidR="00830F00" w:rsidRDefault="00830F00" w:rsidP="002908B7">
      <w:pPr>
        <w:spacing w:after="0"/>
        <w:jc w:val="both"/>
        <w:rPr>
          <w:rFonts w:ascii="Arial" w:eastAsia="Times New Roman" w:hAnsi="Arial" w:cs="Arial"/>
          <w:sz w:val="24"/>
          <w:szCs w:val="24"/>
          <w:lang w:val="en-US" w:eastAsia="en-GB"/>
        </w:rPr>
      </w:pPr>
    </w:p>
    <w:p w:rsidR="00830F00" w:rsidRPr="002908B7" w:rsidRDefault="00830F00" w:rsidP="002908B7">
      <w:pPr>
        <w:spacing w:after="0"/>
        <w:jc w:val="both"/>
        <w:rPr>
          <w:rFonts w:ascii="Arial" w:eastAsia="Times New Roman" w:hAnsi="Arial" w:cs="Arial"/>
          <w:sz w:val="24"/>
          <w:szCs w:val="24"/>
          <w:lang w:val="en-US" w:eastAsia="en-GB"/>
        </w:rPr>
      </w:pPr>
    </w:p>
    <w:p w:rsidR="002908B7" w:rsidRPr="002908B7" w:rsidRDefault="002908B7" w:rsidP="002908B7">
      <w:pPr>
        <w:spacing w:after="0"/>
        <w:jc w:val="both"/>
        <w:rPr>
          <w:rFonts w:ascii="Arial" w:hAnsi="Arial" w:cs="Arial"/>
          <w:b/>
          <w:sz w:val="24"/>
          <w:szCs w:val="24"/>
        </w:rPr>
      </w:pPr>
    </w:p>
    <w:p w:rsidR="002908B7" w:rsidRPr="002908B7" w:rsidRDefault="002908B7" w:rsidP="002908B7">
      <w:pPr>
        <w:contextualSpacing/>
        <w:jc w:val="both"/>
        <w:rPr>
          <w:rFonts w:ascii="Arial" w:hAnsi="Arial" w:cs="Arial"/>
          <w:b/>
          <w:sz w:val="24"/>
          <w:szCs w:val="24"/>
        </w:rPr>
      </w:pPr>
    </w:p>
    <w:p w:rsidR="002908B7" w:rsidRDefault="002908B7" w:rsidP="002908B7">
      <w:pPr>
        <w:contextualSpacing/>
        <w:jc w:val="both"/>
        <w:rPr>
          <w:rFonts w:ascii="Arial" w:hAnsi="Arial" w:cs="Arial"/>
          <w:b/>
          <w:sz w:val="24"/>
          <w:szCs w:val="24"/>
        </w:rPr>
      </w:pPr>
      <w:r w:rsidRPr="002908B7">
        <w:rPr>
          <w:rFonts w:ascii="Arial" w:hAnsi="Arial" w:cs="Arial"/>
          <w:b/>
          <w:sz w:val="24"/>
          <w:szCs w:val="24"/>
        </w:rPr>
        <w:t>5.0</w:t>
      </w:r>
      <w:r w:rsidRPr="002908B7">
        <w:rPr>
          <w:rFonts w:ascii="Arial" w:hAnsi="Arial" w:cs="Arial"/>
          <w:b/>
          <w:sz w:val="24"/>
          <w:szCs w:val="24"/>
        </w:rPr>
        <w:tab/>
        <w:t>Posting to specialist roles</w:t>
      </w:r>
    </w:p>
    <w:p w:rsidR="00830F00" w:rsidRPr="002908B7" w:rsidRDefault="00830F00" w:rsidP="002908B7">
      <w:pPr>
        <w:contextualSpacing/>
        <w:jc w:val="both"/>
        <w:rPr>
          <w:rFonts w:ascii="Arial" w:hAnsi="Arial" w:cs="Arial"/>
          <w:b/>
          <w:sz w:val="24"/>
          <w:szCs w:val="24"/>
        </w:rPr>
      </w:pPr>
    </w:p>
    <w:p w:rsidR="002908B7" w:rsidRPr="002908B7" w:rsidRDefault="002908B7" w:rsidP="002908B7">
      <w:pPr>
        <w:contextualSpacing/>
        <w:jc w:val="both"/>
        <w:rPr>
          <w:rFonts w:ascii="Arial" w:eastAsia="Times New Roman" w:hAnsi="Arial" w:cs="Arial"/>
          <w:sz w:val="24"/>
          <w:szCs w:val="24"/>
          <w:lang w:val="en-US" w:eastAsia="en-GB"/>
        </w:rPr>
      </w:pPr>
      <w:r w:rsidRPr="002908B7">
        <w:rPr>
          <w:rFonts w:ascii="Arial" w:hAnsi="Arial" w:cs="Arial"/>
          <w:sz w:val="24"/>
          <w:szCs w:val="24"/>
        </w:rPr>
        <w:t>Areas approved for growth such as Community Policing Teams (CPT), Domestic Abuse Investigation Teams (DAIT) and Operational Support Group (OSG) are all considered specialist roles and require officers with a period of demonstrable policing experience and are not therefore suitable for newly trained student officers. The deployment of officers to these posts had to be sequenced for after the LPTs had received their full allocation of new officers through recruitment, as the majority of officers suitable for these specialist roles were likely to be selected from the LPTs</w:t>
      </w:r>
      <w:bookmarkStart w:id="2" w:name="_Hlk7439775"/>
      <w:r w:rsidRPr="002908B7">
        <w:rPr>
          <w:rFonts w:ascii="Arial" w:hAnsi="Arial" w:cs="Arial"/>
          <w:sz w:val="24"/>
          <w:szCs w:val="24"/>
        </w:rPr>
        <w:t xml:space="preserve">. </w:t>
      </w:r>
      <w:bookmarkEnd w:id="2"/>
      <w:r w:rsidRPr="002908B7">
        <w:rPr>
          <w:rFonts w:ascii="Arial" w:hAnsi="Arial" w:cs="Arial"/>
          <w:sz w:val="24"/>
          <w:szCs w:val="24"/>
        </w:rPr>
        <w:t xml:space="preserve">The exception to this was the single growth post for Cyber Crime Investigation, which in April 2018 established a previously unestablished post which already had an officer in it. </w:t>
      </w:r>
    </w:p>
    <w:p w:rsidR="002908B7" w:rsidRPr="002908B7" w:rsidRDefault="002908B7" w:rsidP="002908B7">
      <w:pPr>
        <w:spacing w:after="0"/>
        <w:jc w:val="both"/>
        <w:rPr>
          <w:rFonts w:ascii="Arial" w:eastAsia="Times New Roman" w:hAnsi="Arial" w:cs="Arial"/>
          <w:sz w:val="24"/>
          <w:szCs w:val="24"/>
          <w:lang w:val="en-US" w:eastAsia="en-GB"/>
        </w:rPr>
      </w:pPr>
    </w:p>
    <w:p w:rsidR="002908B7" w:rsidRPr="002908B7" w:rsidRDefault="002908B7" w:rsidP="002908B7">
      <w:pPr>
        <w:rPr>
          <w:rFonts w:ascii="Arial" w:eastAsia="Times New Roman" w:hAnsi="Arial" w:cs="Arial"/>
          <w:sz w:val="24"/>
          <w:szCs w:val="24"/>
          <w:u w:val="single"/>
          <w:lang w:val="en-US" w:eastAsia="en-GB"/>
        </w:rPr>
      </w:pPr>
      <w:r w:rsidRPr="002908B7">
        <w:rPr>
          <w:rFonts w:ascii="Arial" w:eastAsia="Times New Roman" w:hAnsi="Arial" w:cs="Arial"/>
          <w:sz w:val="24"/>
          <w:szCs w:val="24"/>
          <w:lang w:val="en-US" w:eastAsia="en-GB"/>
        </w:rPr>
        <w:t>5.1</w:t>
      </w:r>
      <w:r w:rsidRPr="002908B7">
        <w:rPr>
          <w:rFonts w:ascii="Arial" w:eastAsia="Times New Roman" w:hAnsi="Arial" w:cs="Arial"/>
          <w:sz w:val="24"/>
          <w:szCs w:val="24"/>
          <w:lang w:val="en-US" w:eastAsia="en-GB"/>
        </w:rPr>
        <w:tab/>
      </w:r>
      <w:r w:rsidRPr="002908B7">
        <w:rPr>
          <w:rFonts w:ascii="Arial" w:eastAsia="Times New Roman" w:hAnsi="Arial" w:cs="Arial"/>
          <w:sz w:val="24"/>
          <w:szCs w:val="24"/>
          <w:u w:val="single"/>
          <w:lang w:val="en-US" w:eastAsia="en-GB"/>
        </w:rPr>
        <w:t xml:space="preserve">Community Policing Team </w:t>
      </w: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Within Community Policing Team (CPT) the 50 planned growth posts were adjusted to 49 during the year (see Figure 2). As at 26</w:t>
      </w:r>
      <w:r w:rsidRPr="002908B7">
        <w:rPr>
          <w:rFonts w:ascii="Arial" w:eastAsia="Times New Roman" w:hAnsi="Arial" w:cs="Arial"/>
          <w:sz w:val="24"/>
          <w:szCs w:val="24"/>
          <w:vertAlign w:val="superscript"/>
          <w:lang w:val="en-US" w:eastAsia="en-GB"/>
        </w:rPr>
        <w:t>th</w:t>
      </w:r>
      <w:r w:rsidRPr="002908B7">
        <w:rPr>
          <w:rFonts w:ascii="Arial" w:eastAsia="Times New Roman" w:hAnsi="Arial" w:cs="Arial"/>
          <w:sz w:val="24"/>
          <w:szCs w:val="24"/>
          <w:lang w:val="en-US" w:eastAsia="en-GB"/>
        </w:rPr>
        <w:t xml:space="preserve"> April 2019 which includes the 2018/19 growth, just over 93% of CPT posts were filled (Figure 3).  </w:t>
      </w:r>
    </w:p>
    <w:p w:rsidR="002908B7" w:rsidRPr="002908B7" w:rsidRDefault="002908B7" w:rsidP="002908B7">
      <w:pPr>
        <w:contextualSpacing/>
        <w:jc w:val="both"/>
        <w:rPr>
          <w:rFonts w:ascii="Arial" w:hAnsi="Arial" w:cs="Arial"/>
          <w:sz w:val="24"/>
          <w:szCs w:val="24"/>
        </w:rPr>
      </w:pPr>
    </w:p>
    <w:p w:rsidR="002908B7" w:rsidRPr="002908B7" w:rsidRDefault="002908B7" w:rsidP="002908B7">
      <w:pPr>
        <w:jc w:val="both"/>
      </w:pPr>
      <w:r w:rsidRPr="002908B7">
        <w:rPr>
          <w:rFonts w:ascii="Arial" w:hAnsi="Arial" w:cs="Arial"/>
          <w:b/>
          <w:bCs/>
          <w:sz w:val="20"/>
          <w:szCs w:val="20"/>
        </w:rPr>
        <w:t>Figure 3: CPT Constable resourcing as at 26</w:t>
      </w:r>
      <w:r w:rsidRPr="002908B7">
        <w:rPr>
          <w:rFonts w:ascii="Arial" w:hAnsi="Arial" w:cs="Arial"/>
          <w:b/>
          <w:bCs/>
          <w:sz w:val="20"/>
          <w:szCs w:val="20"/>
          <w:vertAlign w:val="superscript"/>
        </w:rPr>
        <w:t>th</w:t>
      </w:r>
      <w:r w:rsidRPr="002908B7">
        <w:rPr>
          <w:rFonts w:ascii="Arial" w:hAnsi="Arial" w:cs="Arial"/>
          <w:b/>
          <w:bCs/>
          <w:sz w:val="20"/>
          <w:szCs w:val="20"/>
        </w:rPr>
        <w:t xml:space="preserve"> April 2019.</w:t>
      </w:r>
      <w:r w:rsidRPr="002908B7">
        <w:fldChar w:fldCharType="begin"/>
      </w:r>
      <w:r w:rsidRPr="002908B7">
        <w:instrText xml:space="preserve"> LINK Excel.Sheet.12 "C:\\Users\\42002770\\AppData\\Local\\Microsoft\\Windows\\INetCache\\Content.Outlook\\ZPHBGGWP\\18.19 Est v Str Summary 26.04.19 v0.3.xlsx" "Projected Position!R7C2:R21C5" \a \f 4 \h </w:instrText>
      </w:r>
      <w:r w:rsidRPr="002908B7">
        <w:fldChar w:fldCharType="separate"/>
      </w:r>
    </w:p>
    <w:tbl>
      <w:tblPr>
        <w:tblW w:w="7820" w:type="dxa"/>
        <w:tblLook w:val="04A0" w:firstRow="1" w:lastRow="0" w:firstColumn="1" w:lastColumn="0" w:noHBand="0" w:noVBand="1"/>
      </w:tblPr>
      <w:tblGrid>
        <w:gridCol w:w="4290"/>
        <w:gridCol w:w="1176"/>
        <w:gridCol w:w="1176"/>
        <w:gridCol w:w="1178"/>
      </w:tblGrid>
      <w:tr w:rsidR="002908B7" w:rsidRPr="002908B7" w:rsidTr="001D4C02">
        <w:trPr>
          <w:trHeight w:val="600"/>
        </w:trPr>
        <w:tc>
          <w:tcPr>
            <w:tcW w:w="429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rPr>
                <w:rFonts w:ascii="Arial" w:eastAsia="Times New Roman" w:hAnsi="Arial" w:cs="Arial"/>
                <w:b/>
                <w:bCs/>
                <w:color w:val="FFFFFF"/>
                <w:sz w:val="20"/>
                <w:szCs w:val="20"/>
                <w:lang w:eastAsia="en-GB"/>
              </w:rPr>
            </w:pPr>
            <w:r w:rsidRPr="002908B7">
              <w:rPr>
                <w:rFonts w:ascii="Arial" w:eastAsia="Times New Roman" w:hAnsi="Arial" w:cs="Arial"/>
                <w:b/>
                <w:bCs/>
                <w:color w:val="FFFFFF"/>
                <w:sz w:val="20"/>
                <w:szCs w:val="20"/>
                <w:lang w:eastAsia="en-GB"/>
              </w:rPr>
              <w:t>Command / Department</w:t>
            </w:r>
          </w:p>
        </w:tc>
        <w:tc>
          <w:tcPr>
            <w:tcW w:w="1176" w:type="dxa"/>
            <w:tcBorders>
              <w:top w:val="single" w:sz="4" w:space="0" w:color="auto"/>
              <w:left w:val="nil"/>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jc w:val="center"/>
              <w:rPr>
                <w:rFonts w:ascii="Arial" w:eastAsia="Times New Roman" w:hAnsi="Arial" w:cs="Arial"/>
                <w:b/>
                <w:bCs/>
                <w:color w:val="FFFFFF"/>
                <w:sz w:val="20"/>
                <w:szCs w:val="20"/>
                <w:lang w:eastAsia="en-GB"/>
              </w:rPr>
            </w:pPr>
            <w:r w:rsidRPr="002908B7">
              <w:rPr>
                <w:rFonts w:ascii="Arial" w:eastAsia="Times New Roman" w:hAnsi="Arial" w:cs="Arial"/>
                <w:b/>
                <w:bCs/>
                <w:color w:val="FFFFFF"/>
                <w:sz w:val="20"/>
                <w:szCs w:val="20"/>
                <w:lang w:eastAsia="en-GB"/>
              </w:rPr>
              <w:t>Est</w:t>
            </w:r>
          </w:p>
        </w:tc>
        <w:tc>
          <w:tcPr>
            <w:tcW w:w="1176" w:type="dxa"/>
            <w:tcBorders>
              <w:top w:val="single" w:sz="4" w:space="0" w:color="auto"/>
              <w:left w:val="nil"/>
              <w:bottom w:val="single" w:sz="4" w:space="0" w:color="auto"/>
              <w:right w:val="single" w:sz="4" w:space="0" w:color="auto"/>
            </w:tcBorders>
            <w:shd w:val="clear" w:color="000000" w:fill="2F75B5"/>
            <w:vAlign w:val="center"/>
            <w:hideMark/>
          </w:tcPr>
          <w:p w:rsidR="002908B7" w:rsidRPr="002908B7" w:rsidRDefault="002908B7" w:rsidP="002908B7">
            <w:pPr>
              <w:spacing w:after="0" w:line="240" w:lineRule="auto"/>
              <w:jc w:val="center"/>
              <w:rPr>
                <w:rFonts w:ascii="Arial" w:eastAsia="Times New Roman" w:hAnsi="Arial" w:cs="Arial"/>
                <w:b/>
                <w:bCs/>
                <w:color w:val="FFFFFF"/>
                <w:sz w:val="20"/>
                <w:szCs w:val="20"/>
                <w:lang w:eastAsia="en-GB"/>
              </w:rPr>
            </w:pPr>
            <w:proofErr w:type="spellStart"/>
            <w:r w:rsidRPr="002908B7">
              <w:rPr>
                <w:rFonts w:ascii="Arial" w:eastAsia="Times New Roman" w:hAnsi="Arial" w:cs="Arial"/>
                <w:b/>
                <w:bCs/>
                <w:color w:val="FFFFFF"/>
                <w:sz w:val="20"/>
                <w:szCs w:val="20"/>
                <w:lang w:eastAsia="en-GB"/>
              </w:rPr>
              <w:t>Str</w:t>
            </w:r>
            <w:proofErr w:type="spellEnd"/>
          </w:p>
        </w:tc>
        <w:tc>
          <w:tcPr>
            <w:tcW w:w="1178" w:type="dxa"/>
            <w:tcBorders>
              <w:top w:val="single" w:sz="4" w:space="0" w:color="auto"/>
              <w:left w:val="nil"/>
              <w:bottom w:val="single" w:sz="4" w:space="0" w:color="auto"/>
              <w:right w:val="single" w:sz="4" w:space="0" w:color="auto"/>
            </w:tcBorders>
            <w:shd w:val="clear" w:color="000000" w:fill="FFC000"/>
            <w:vAlign w:val="center"/>
            <w:hideMark/>
          </w:tcPr>
          <w:p w:rsidR="002908B7" w:rsidRPr="002908B7" w:rsidRDefault="002908B7" w:rsidP="002908B7">
            <w:pPr>
              <w:spacing w:after="0" w:line="240" w:lineRule="auto"/>
              <w:jc w:val="center"/>
              <w:rPr>
                <w:rFonts w:ascii="Calibri" w:eastAsia="Times New Roman" w:hAnsi="Calibri" w:cs="Calibri"/>
                <w:b/>
                <w:bCs/>
                <w:lang w:eastAsia="en-GB"/>
              </w:rPr>
            </w:pPr>
            <w:r w:rsidRPr="002908B7">
              <w:rPr>
                <w:rFonts w:ascii="Calibri" w:eastAsia="Times New Roman" w:hAnsi="Calibri" w:cs="Calibri"/>
                <w:b/>
                <w:bCs/>
                <w:lang w:eastAsia="en-GB"/>
              </w:rPr>
              <w:t>% Resourced</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Local Policing Area North</w:t>
            </w:r>
          </w:p>
        </w:tc>
        <w:tc>
          <w:tcPr>
            <w:tcW w:w="1176" w:type="dxa"/>
            <w:tcBorders>
              <w:top w:val="nil"/>
              <w:left w:val="nil"/>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jc w:val="center"/>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55.00</w:t>
            </w:r>
          </w:p>
        </w:tc>
        <w:tc>
          <w:tcPr>
            <w:tcW w:w="1176" w:type="dxa"/>
            <w:tcBorders>
              <w:top w:val="nil"/>
              <w:left w:val="nil"/>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jc w:val="center"/>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51.13</w:t>
            </w:r>
          </w:p>
        </w:tc>
        <w:tc>
          <w:tcPr>
            <w:tcW w:w="1178" w:type="dxa"/>
            <w:tcBorders>
              <w:top w:val="nil"/>
              <w:left w:val="nil"/>
              <w:bottom w:val="single" w:sz="4" w:space="0" w:color="auto"/>
              <w:right w:val="single" w:sz="4" w:space="0" w:color="auto"/>
            </w:tcBorders>
            <w:shd w:val="clear" w:color="000000" w:fill="FFC000"/>
            <w:noWrap/>
            <w:vAlign w:val="bottom"/>
            <w:hideMark/>
          </w:tcPr>
          <w:p w:rsidR="002908B7" w:rsidRPr="002908B7" w:rsidRDefault="002908B7" w:rsidP="002908B7">
            <w:pPr>
              <w:spacing w:after="0" w:line="240" w:lineRule="auto"/>
              <w:jc w:val="center"/>
              <w:rPr>
                <w:rFonts w:ascii="Arial" w:eastAsia="Times New Roman" w:hAnsi="Arial" w:cs="Arial"/>
                <w:b/>
                <w:bCs/>
                <w:sz w:val="20"/>
                <w:szCs w:val="20"/>
                <w:lang w:eastAsia="en-GB"/>
              </w:rPr>
            </w:pPr>
            <w:r w:rsidRPr="002908B7">
              <w:rPr>
                <w:rFonts w:ascii="Arial" w:eastAsia="Times New Roman" w:hAnsi="Arial" w:cs="Arial"/>
                <w:b/>
                <w:bCs/>
                <w:sz w:val="20"/>
                <w:szCs w:val="20"/>
                <w:lang w:eastAsia="en-GB"/>
              </w:rPr>
              <w:t>92.96</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 xml:space="preserve">Braintree and </w:t>
            </w:r>
            <w:proofErr w:type="spellStart"/>
            <w:r w:rsidRPr="002908B7">
              <w:rPr>
                <w:rFonts w:ascii="Calibri" w:eastAsia="Times New Roman" w:hAnsi="Calibri" w:cs="Calibri"/>
                <w:color w:val="000000"/>
                <w:lang w:eastAsia="en-GB"/>
              </w:rPr>
              <w:t>Uttlfrd</w:t>
            </w:r>
            <w:proofErr w:type="spellEnd"/>
            <w:r w:rsidRPr="002908B7">
              <w:rPr>
                <w:rFonts w:ascii="Calibri" w:eastAsia="Times New Roman" w:hAnsi="Calibri" w:cs="Calibri"/>
                <w:color w:val="000000"/>
                <w:lang w:eastAsia="en-GB"/>
              </w:rPr>
              <w:t xml:space="preserve">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12.00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12.14</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101.16</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Chelmsford and Maldon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16.00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14.55</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90.95</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Clacton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12.00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11.96</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99.66</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Colchester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15.00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12.48</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83.21</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Local Policing Area South</w:t>
            </w:r>
          </w:p>
        </w:tc>
        <w:tc>
          <w:tcPr>
            <w:tcW w:w="1176" w:type="dxa"/>
            <w:tcBorders>
              <w:top w:val="nil"/>
              <w:left w:val="nil"/>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jc w:val="center"/>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42.00</w:t>
            </w:r>
          </w:p>
        </w:tc>
        <w:tc>
          <w:tcPr>
            <w:tcW w:w="1176" w:type="dxa"/>
            <w:tcBorders>
              <w:top w:val="nil"/>
              <w:left w:val="nil"/>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jc w:val="center"/>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38.85</w:t>
            </w:r>
          </w:p>
        </w:tc>
        <w:tc>
          <w:tcPr>
            <w:tcW w:w="1178" w:type="dxa"/>
            <w:tcBorders>
              <w:top w:val="nil"/>
              <w:left w:val="nil"/>
              <w:bottom w:val="single" w:sz="4" w:space="0" w:color="auto"/>
              <w:right w:val="single" w:sz="4" w:space="0" w:color="auto"/>
            </w:tcBorders>
            <w:shd w:val="clear" w:color="000000" w:fill="FFC000"/>
            <w:noWrap/>
            <w:vAlign w:val="bottom"/>
            <w:hideMark/>
          </w:tcPr>
          <w:p w:rsidR="002908B7" w:rsidRPr="002908B7" w:rsidRDefault="002908B7" w:rsidP="002908B7">
            <w:pPr>
              <w:spacing w:after="0" w:line="240" w:lineRule="auto"/>
              <w:jc w:val="center"/>
              <w:rPr>
                <w:rFonts w:ascii="Arial" w:eastAsia="Times New Roman" w:hAnsi="Arial" w:cs="Arial"/>
                <w:b/>
                <w:bCs/>
                <w:sz w:val="20"/>
                <w:szCs w:val="20"/>
                <w:lang w:eastAsia="en-GB"/>
              </w:rPr>
            </w:pPr>
            <w:r w:rsidRPr="002908B7">
              <w:rPr>
                <w:rFonts w:ascii="Arial" w:eastAsia="Times New Roman" w:hAnsi="Arial" w:cs="Arial"/>
                <w:b/>
                <w:bCs/>
                <w:sz w:val="20"/>
                <w:szCs w:val="20"/>
                <w:lang w:eastAsia="en-GB"/>
              </w:rPr>
              <w:t>92.51</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Basildon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16.00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14.90</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93.14</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 xml:space="preserve">Castle </w:t>
            </w:r>
            <w:proofErr w:type="spellStart"/>
            <w:r w:rsidRPr="002908B7">
              <w:rPr>
                <w:rFonts w:ascii="Calibri" w:eastAsia="Times New Roman" w:hAnsi="Calibri" w:cs="Calibri"/>
                <w:color w:val="000000"/>
                <w:lang w:eastAsia="en-GB"/>
              </w:rPr>
              <w:t>Pnt</w:t>
            </w:r>
            <w:proofErr w:type="spellEnd"/>
            <w:r w:rsidRPr="002908B7">
              <w:rPr>
                <w:rFonts w:ascii="Calibri" w:eastAsia="Times New Roman" w:hAnsi="Calibri" w:cs="Calibri"/>
                <w:color w:val="000000"/>
                <w:lang w:eastAsia="en-GB"/>
              </w:rPr>
              <w:t xml:space="preserve"> and </w:t>
            </w:r>
            <w:proofErr w:type="spellStart"/>
            <w:r w:rsidRPr="002908B7">
              <w:rPr>
                <w:rFonts w:ascii="Calibri" w:eastAsia="Times New Roman" w:hAnsi="Calibri" w:cs="Calibri"/>
                <w:color w:val="000000"/>
                <w:lang w:eastAsia="en-GB"/>
              </w:rPr>
              <w:t>Rchfrd</w:t>
            </w:r>
            <w:proofErr w:type="spellEnd"/>
            <w:r w:rsidRPr="002908B7">
              <w:rPr>
                <w:rFonts w:ascii="Calibri" w:eastAsia="Times New Roman" w:hAnsi="Calibri" w:cs="Calibri"/>
                <w:color w:val="000000"/>
                <w:lang w:eastAsia="en-GB"/>
              </w:rPr>
              <w:t xml:space="preserve">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10.00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12.00</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120.00</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Southend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16.00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11.95</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74.69</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Local Policing Area West</w:t>
            </w:r>
          </w:p>
        </w:tc>
        <w:tc>
          <w:tcPr>
            <w:tcW w:w="1176" w:type="dxa"/>
            <w:tcBorders>
              <w:top w:val="nil"/>
              <w:left w:val="nil"/>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jc w:val="center"/>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43.00</w:t>
            </w:r>
          </w:p>
        </w:tc>
        <w:tc>
          <w:tcPr>
            <w:tcW w:w="1176" w:type="dxa"/>
            <w:tcBorders>
              <w:top w:val="nil"/>
              <w:left w:val="nil"/>
              <w:bottom w:val="single" w:sz="4" w:space="0" w:color="auto"/>
              <w:right w:val="single" w:sz="4" w:space="0" w:color="auto"/>
            </w:tcBorders>
            <w:shd w:val="clear" w:color="000000" w:fill="BDD7EE"/>
            <w:noWrap/>
            <w:vAlign w:val="bottom"/>
            <w:hideMark/>
          </w:tcPr>
          <w:p w:rsidR="002908B7" w:rsidRPr="002908B7" w:rsidRDefault="002908B7" w:rsidP="002908B7">
            <w:pPr>
              <w:spacing w:after="0" w:line="240" w:lineRule="auto"/>
              <w:jc w:val="center"/>
              <w:rPr>
                <w:rFonts w:ascii="Arial" w:eastAsia="Times New Roman" w:hAnsi="Arial" w:cs="Arial"/>
                <w:b/>
                <w:bCs/>
                <w:color w:val="000000"/>
                <w:sz w:val="20"/>
                <w:szCs w:val="20"/>
                <w:lang w:eastAsia="en-GB"/>
              </w:rPr>
            </w:pPr>
            <w:r w:rsidRPr="002908B7">
              <w:rPr>
                <w:rFonts w:ascii="Arial" w:eastAsia="Times New Roman" w:hAnsi="Arial" w:cs="Arial"/>
                <w:b/>
                <w:bCs/>
                <w:color w:val="000000"/>
                <w:sz w:val="20"/>
                <w:szCs w:val="20"/>
                <w:lang w:eastAsia="en-GB"/>
              </w:rPr>
              <w:t>40.68</w:t>
            </w:r>
          </w:p>
        </w:tc>
        <w:tc>
          <w:tcPr>
            <w:tcW w:w="1178" w:type="dxa"/>
            <w:tcBorders>
              <w:top w:val="nil"/>
              <w:left w:val="nil"/>
              <w:bottom w:val="single" w:sz="4" w:space="0" w:color="auto"/>
              <w:right w:val="single" w:sz="4" w:space="0" w:color="auto"/>
            </w:tcBorders>
            <w:shd w:val="clear" w:color="000000" w:fill="FFC000"/>
            <w:noWrap/>
            <w:vAlign w:val="bottom"/>
            <w:hideMark/>
          </w:tcPr>
          <w:p w:rsidR="002908B7" w:rsidRPr="002908B7" w:rsidRDefault="002908B7" w:rsidP="002908B7">
            <w:pPr>
              <w:spacing w:after="0" w:line="240" w:lineRule="auto"/>
              <w:jc w:val="center"/>
              <w:rPr>
                <w:rFonts w:ascii="Arial" w:eastAsia="Times New Roman" w:hAnsi="Arial" w:cs="Arial"/>
                <w:b/>
                <w:bCs/>
                <w:sz w:val="20"/>
                <w:szCs w:val="20"/>
                <w:lang w:eastAsia="en-GB"/>
              </w:rPr>
            </w:pPr>
            <w:r w:rsidRPr="002908B7">
              <w:rPr>
                <w:rFonts w:ascii="Arial" w:eastAsia="Times New Roman" w:hAnsi="Arial" w:cs="Arial"/>
                <w:b/>
                <w:bCs/>
                <w:sz w:val="20"/>
                <w:szCs w:val="20"/>
                <w:lang w:eastAsia="en-GB"/>
              </w:rPr>
              <w:t>94.60</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proofErr w:type="spellStart"/>
            <w:r w:rsidRPr="002908B7">
              <w:rPr>
                <w:rFonts w:ascii="Calibri" w:eastAsia="Times New Roman" w:hAnsi="Calibri" w:cs="Calibri"/>
                <w:color w:val="000000"/>
                <w:lang w:eastAsia="en-GB"/>
              </w:rPr>
              <w:lastRenderedPageBreak/>
              <w:t>Epp</w:t>
            </w:r>
            <w:proofErr w:type="spellEnd"/>
            <w:r w:rsidRPr="002908B7">
              <w:rPr>
                <w:rFonts w:ascii="Calibri" w:eastAsia="Times New Roman" w:hAnsi="Calibri" w:cs="Calibri"/>
                <w:color w:val="000000"/>
                <w:lang w:eastAsia="en-GB"/>
              </w:rPr>
              <w:t xml:space="preserve"> </w:t>
            </w:r>
            <w:proofErr w:type="spellStart"/>
            <w:r w:rsidRPr="002908B7">
              <w:rPr>
                <w:rFonts w:ascii="Calibri" w:eastAsia="Times New Roman" w:hAnsi="Calibri" w:cs="Calibri"/>
                <w:color w:val="000000"/>
                <w:lang w:eastAsia="en-GB"/>
              </w:rPr>
              <w:t>Brntwd</w:t>
            </w:r>
            <w:proofErr w:type="spellEnd"/>
            <w:r w:rsidRPr="002908B7">
              <w:rPr>
                <w:rFonts w:ascii="Calibri" w:eastAsia="Times New Roman" w:hAnsi="Calibri" w:cs="Calibri"/>
                <w:color w:val="000000"/>
                <w:lang w:eastAsia="en-GB"/>
              </w:rPr>
              <w:t xml:space="preserve"> and </w:t>
            </w:r>
            <w:proofErr w:type="spellStart"/>
            <w:r w:rsidRPr="002908B7">
              <w:rPr>
                <w:rFonts w:ascii="Calibri" w:eastAsia="Times New Roman" w:hAnsi="Calibri" w:cs="Calibri"/>
                <w:color w:val="000000"/>
                <w:lang w:eastAsia="en-GB"/>
              </w:rPr>
              <w:t>Lghtn</w:t>
            </w:r>
            <w:proofErr w:type="spellEnd"/>
            <w:r w:rsidRPr="002908B7">
              <w:rPr>
                <w:rFonts w:ascii="Calibri" w:eastAsia="Times New Roman" w:hAnsi="Calibri" w:cs="Calibri"/>
                <w:color w:val="000000"/>
                <w:lang w:eastAsia="en-GB"/>
              </w:rPr>
              <w:t xml:space="preserve"> LP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15.00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15.22</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101.49</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proofErr w:type="spellStart"/>
            <w:r w:rsidRPr="002908B7">
              <w:rPr>
                <w:rFonts w:ascii="Calibri" w:eastAsia="Times New Roman" w:hAnsi="Calibri" w:cs="Calibri"/>
                <w:color w:val="000000"/>
                <w:lang w:eastAsia="en-GB"/>
              </w:rPr>
              <w:t>Grays</w:t>
            </w:r>
            <w:proofErr w:type="spellEnd"/>
            <w:r w:rsidRPr="002908B7">
              <w:rPr>
                <w:rFonts w:ascii="Calibri" w:eastAsia="Times New Roman" w:hAnsi="Calibri" w:cs="Calibri"/>
                <w:color w:val="000000"/>
                <w:lang w:eastAsia="en-GB"/>
              </w:rPr>
              <w:t xml:space="preserve"> LP and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18.00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15.45</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85.85</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Harlow LP and Partnership Hub</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10.00</w:t>
            </w:r>
          </w:p>
        </w:tc>
        <w:tc>
          <w:tcPr>
            <w:tcW w:w="1176" w:type="dxa"/>
            <w:tcBorders>
              <w:top w:val="nil"/>
              <w:left w:val="nil"/>
              <w:bottom w:val="single" w:sz="4" w:space="0" w:color="auto"/>
              <w:right w:val="single" w:sz="4" w:space="0" w:color="auto"/>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10.00</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lang w:eastAsia="en-GB"/>
              </w:rPr>
            </w:pPr>
            <w:r w:rsidRPr="002908B7">
              <w:rPr>
                <w:rFonts w:ascii="Calibri" w:eastAsia="Times New Roman" w:hAnsi="Calibri" w:cs="Calibri"/>
                <w:lang w:eastAsia="en-GB"/>
              </w:rPr>
              <w:t>100.00</w:t>
            </w:r>
          </w:p>
        </w:tc>
      </w:tr>
      <w:tr w:rsidR="002908B7" w:rsidRPr="002908B7" w:rsidTr="001D4C02">
        <w:trPr>
          <w:trHeight w:val="300"/>
        </w:trPr>
        <w:tc>
          <w:tcPr>
            <w:tcW w:w="4290" w:type="dxa"/>
            <w:tcBorders>
              <w:top w:val="nil"/>
              <w:left w:val="single" w:sz="4" w:space="0" w:color="auto"/>
              <w:bottom w:val="single" w:sz="4" w:space="0" w:color="auto"/>
              <w:right w:val="single" w:sz="4" w:space="0" w:color="auto"/>
            </w:tcBorders>
            <w:shd w:val="clear" w:color="DDEBF7" w:fill="FFFF00"/>
            <w:noWrap/>
            <w:vAlign w:val="bottom"/>
            <w:hideMark/>
          </w:tcPr>
          <w:p w:rsidR="002908B7" w:rsidRPr="002908B7" w:rsidRDefault="002908B7" w:rsidP="002908B7">
            <w:pPr>
              <w:spacing w:after="0" w:line="240" w:lineRule="auto"/>
              <w:rPr>
                <w:rFonts w:ascii="Arial" w:eastAsia="Times New Roman" w:hAnsi="Arial" w:cs="Arial"/>
                <w:b/>
                <w:bCs/>
                <w:sz w:val="20"/>
                <w:szCs w:val="20"/>
                <w:lang w:eastAsia="en-GB"/>
              </w:rPr>
            </w:pPr>
            <w:r w:rsidRPr="002908B7">
              <w:rPr>
                <w:rFonts w:ascii="Arial" w:eastAsia="Times New Roman" w:hAnsi="Arial" w:cs="Arial"/>
                <w:b/>
                <w:bCs/>
                <w:sz w:val="20"/>
                <w:szCs w:val="20"/>
                <w:lang w:eastAsia="en-GB"/>
              </w:rPr>
              <w:t>Grand Total</w:t>
            </w:r>
          </w:p>
        </w:tc>
        <w:tc>
          <w:tcPr>
            <w:tcW w:w="1176" w:type="dxa"/>
            <w:tcBorders>
              <w:top w:val="nil"/>
              <w:left w:val="nil"/>
              <w:bottom w:val="single" w:sz="4" w:space="0" w:color="auto"/>
              <w:right w:val="single" w:sz="4" w:space="0" w:color="auto"/>
            </w:tcBorders>
            <w:shd w:val="clear" w:color="DDEBF7" w:fill="FFFF00"/>
            <w:noWrap/>
            <w:vAlign w:val="bottom"/>
            <w:hideMark/>
          </w:tcPr>
          <w:p w:rsidR="002908B7" w:rsidRPr="002908B7" w:rsidRDefault="002908B7" w:rsidP="002908B7">
            <w:pPr>
              <w:spacing w:after="0" w:line="240" w:lineRule="auto"/>
              <w:jc w:val="center"/>
              <w:rPr>
                <w:rFonts w:ascii="Arial" w:eastAsia="Times New Roman" w:hAnsi="Arial" w:cs="Arial"/>
                <w:b/>
                <w:bCs/>
                <w:sz w:val="20"/>
                <w:szCs w:val="20"/>
                <w:lang w:eastAsia="en-GB"/>
              </w:rPr>
            </w:pPr>
            <w:r w:rsidRPr="002908B7">
              <w:rPr>
                <w:rFonts w:ascii="Arial" w:eastAsia="Times New Roman" w:hAnsi="Arial" w:cs="Arial"/>
                <w:b/>
                <w:bCs/>
                <w:sz w:val="20"/>
                <w:szCs w:val="20"/>
                <w:lang w:eastAsia="en-GB"/>
              </w:rPr>
              <w:t>140.00</w:t>
            </w:r>
          </w:p>
        </w:tc>
        <w:tc>
          <w:tcPr>
            <w:tcW w:w="1176" w:type="dxa"/>
            <w:tcBorders>
              <w:top w:val="nil"/>
              <w:left w:val="nil"/>
              <w:bottom w:val="single" w:sz="4" w:space="0" w:color="auto"/>
              <w:right w:val="single" w:sz="4" w:space="0" w:color="auto"/>
            </w:tcBorders>
            <w:shd w:val="clear" w:color="DDEBF7" w:fill="FFFF00"/>
            <w:noWrap/>
            <w:vAlign w:val="bottom"/>
            <w:hideMark/>
          </w:tcPr>
          <w:p w:rsidR="002908B7" w:rsidRPr="002908B7" w:rsidRDefault="002908B7" w:rsidP="002908B7">
            <w:pPr>
              <w:spacing w:after="0" w:line="240" w:lineRule="auto"/>
              <w:jc w:val="center"/>
              <w:rPr>
                <w:rFonts w:ascii="Arial" w:eastAsia="Times New Roman" w:hAnsi="Arial" w:cs="Arial"/>
                <w:b/>
                <w:bCs/>
                <w:sz w:val="20"/>
                <w:szCs w:val="20"/>
                <w:lang w:eastAsia="en-GB"/>
              </w:rPr>
            </w:pPr>
            <w:r w:rsidRPr="002908B7">
              <w:rPr>
                <w:rFonts w:ascii="Arial" w:eastAsia="Times New Roman" w:hAnsi="Arial" w:cs="Arial"/>
                <w:b/>
                <w:bCs/>
                <w:sz w:val="20"/>
                <w:szCs w:val="20"/>
                <w:lang w:eastAsia="en-GB"/>
              </w:rPr>
              <w:t>130.66</w:t>
            </w:r>
          </w:p>
        </w:tc>
        <w:tc>
          <w:tcPr>
            <w:tcW w:w="1178" w:type="dxa"/>
            <w:tcBorders>
              <w:top w:val="nil"/>
              <w:left w:val="nil"/>
              <w:bottom w:val="single" w:sz="4" w:space="0" w:color="auto"/>
              <w:right w:val="single" w:sz="4" w:space="0" w:color="auto"/>
            </w:tcBorders>
            <w:shd w:val="clear" w:color="000000" w:fill="FFC000"/>
            <w:noWrap/>
            <w:vAlign w:val="center"/>
            <w:hideMark/>
          </w:tcPr>
          <w:p w:rsidR="002908B7" w:rsidRPr="002908B7" w:rsidRDefault="002908B7" w:rsidP="002908B7">
            <w:pPr>
              <w:spacing w:after="0" w:line="240" w:lineRule="auto"/>
              <w:jc w:val="center"/>
              <w:rPr>
                <w:rFonts w:ascii="Calibri" w:eastAsia="Times New Roman" w:hAnsi="Calibri" w:cs="Calibri"/>
                <w:b/>
                <w:bCs/>
                <w:lang w:eastAsia="en-GB"/>
              </w:rPr>
            </w:pPr>
            <w:r w:rsidRPr="002908B7">
              <w:rPr>
                <w:rFonts w:ascii="Calibri" w:eastAsia="Times New Roman" w:hAnsi="Calibri" w:cs="Calibri"/>
                <w:b/>
                <w:bCs/>
                <w:lang w:eastAsia="en-GB"/>
              </w:rPr>
              <w:t>93.33</w:t>
            </w:r>
          </w:p>
        </w:tc>
      </w:tr>
    </w:tbl>
    <w:p w:rsidR="002908B7" w:rsidRPr="002908B7" w:rsidRDefault="002908B7" w:rsidP="002908B7">
      <w:pPr>
        <w:jc w:val="both"/>
        <w:rPr>
          <w:rFonts w:ascii="Arial" w:hAnsi="Arial" w:cs="Arial"/>
          <w:bCs/>
          <w:sz w:val="20"/>
          <w:szCs w:val="20"/>
        </w:rPr>
      </w:pPr>
      <w:r w:rsidRPr="002908B7">
        <w:rPr>
          <w:rFonts w:ascii="Arial" w:hAnsi="Arial" w:cs="Arial"/>
          <w:b/>
          <w:bCs/>
          <w:sz w:val="20"/>
          <w:szCs w:val="20"/>
        </w:rPr>
        <w:fldChar w:fldCharType="end"/>
      </w:r>
    </w:p>
    <w:p w:rsidR="00830F00"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Each Local Policing Area carefully manages their vacancies across different teams in order to balance a number of competing priorities within the particular local context. The position for each District’s CPT can be influenced by a number of different factors which include, for example, officers</w:t>
      </w:r>
      <w:r w:rsidRPr="002908B7">
        <w:rPr>
          <w:sz w:val="16"/>
          <w:szCs w:val="16"/>
        </w:rPr>
        <w:t xml:space="preserve"> </w:t>
      </w:r>
      <w:r w:rsidRPr="002908B7">
        <w:rPr>
          <w:rFonts w:ascii="Arial" w:eastAsia="Times New Roman" w:hAnsi="Arial" w:cs="Arial"/>
          <w:sz w:val="24"/>
          <w:szCs w:val="24"/>
          <w:lang w:val="en-US" w:eastAsia="en-GB"/>
        </w:rPr>
        <w:t xml:space="preserve">performing acting or temporary duties within the CPT. </w:t>
      </w:r>
      <w:proofErr w:type="gramStart"/>
      <w:r w:rsidRPr="002908B7">
        <w:rPr>
          <w:rFonts w:ascii="Arial" w:eastAsia="Times New Roman" w:hAnsi="Arial" w:cs="Arial"/>
          <w:sz w:val="24"/>
          <w:szCs w:val="24"/>
          <w:lang w:val="en-US" w:eastAsia="en-GB"/>
        </w:rPr>
        <w:t>Against</w:t>
      </w:r>
      <w:proofErr w:type="gramEnd"/>
      <w:r w:rsidRPr="002908B7">
        <w:rPr>
          <w:rFonts w:ascii="Arial" w:eastAsia="Times New Roman" w:hAnsi="Arial" w:cs="Arial"/>
          <w:sz w:val="24"/>
          <w:szCs w:val="24"/>
          <w:lang w:val="en-US" w:eastAsia="en-GB"/>
        </w:rPr>
        <w:t xml:space="preserve"> the Force position of 93.33% of posts occupied, there are three areas of exception to highlight, which are Colchester, </w:t>
      </w:r>
      <w:proofErr w:type="spellStart"/>
      <w:r w:rsidRPr="002908B7">
        <w:rPr>
          <w:rFonts w:ascii="Arial" w:eastAsia="Times New Roman" w:hAnsi="Arial" w:cs="Arial"/>
          <w:sz w:val="24"/>
          <w:szCs w:val="24"/>
          <w:lang w:val="en-US" w:eastAsia="en-GB"/>
        </w:rPr>
        <w:t>Southend</w:t>
      </w:r>
      <w:proofErr w:type="spellEnd"/>
      <w:r w:rsidRPr="002908B7">
        <w:rPr>
          <w:rFonts w:ascii="Arial" w:eastAsia="Times New Roman" w:hAnsi="Arial" w:cs="Arial"/>
          <w:sz w:val="24"/>
          <w:szCs w:val="24"/>
          <w:lang w:val="en-US" w:eastAsia="en-GB"/>
        </w:rPr>
        <w:t xml:space="preserve"> and Grays: </w:t>
      </w: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 xml:space="preserve">In Colchester there are 2.52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vacancies; one officer selected for CPT is awaiting a start date, one is currently covering a sergeant role and will revert to their PC post in July. The 0.52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results from part time workers within the team.</w:t>
      </w:r>
    </w:p>
    <w:p w:rsidR="002908B7" w:rsidRPr="002908B7" w:rsidRDefault="002908B7" w:rsidP="002908B7">
      <w:pPr>
        <w:spacing w:after="0"/>
        <w:jc w:val="both"/>
        <w:rPr>
          <w:rFonts w:ascii="Arial" w:eastAsia="Times New Roman" w:hAnsi="Arial" w:cs="Arial"/>
          <w:sz w:val="24"/>
          <w:szCs w:val="24"/>
          <w:lang w:val="en-US" w:eastAsia="en-GB"/>
        </w:rPr>
      </w:pPr>
    </w:p>
    <w:p w:rsidR="002908B7" w:rsidRPr="002908B7" w:rsidRDefault="002908B7" w:rsidP="002908B7">
      <w:pPr>
        <w:spacing w:after="0"/>
        <w:jc w:val="both"/>
        <w:rPr>
          <w:rFonts w:ascii="Arial" w:eastAsia="Times New Roman" w:hAnsi="Arial" w:cs="Arial"/>
          <w:sz w:val="24"/>
          <w:szCs w:val="24"/>
          <w:lang w:val="en-US" w:eastAsia="en-GB"/>
        </w:rPr>
      </w:pPr>
      <w:proofErr w:type="spellStart"/>
      <w:r w:rsidRPr="002908B7">
        <w:rPr>
          <w:rFonts w:ascii="Arial" w:eastAsia="Times New Roman" w:hAnsi="Arial" w:cs="Arial"/>
          <w:sz w:val="24"/>
          <w:szCs w:val="24"/>
          <w:lang w:val="en-US" w:eastAsia="en-GB"/>
        </w:rPr>
        <w:t>Southend</w:t>
      </w:r>
      <w:proofErr w:type="spellEnd"/>
      <w:r w:rsidRPr="002908B7">
        <w:rPr>
          <w:rFonts w:ascii="Arial" w:eastAsia="Times New Roman" w:hAnsi="Arial" w:cs="Arial"/>
          <w:sz w:val="24"/>
          <w:szCs w:val="24"/>
          <w:lang w:val="en-US" w:eastAsia="en-GB"/>
        </w:rPr>
        <w:t xml:space="preserve"> have 4.05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vacancies; two constables are covering sergeant roles and will be released back to their core role shortly. The other two vacancies will be filled by Police Now recruits in the near future. </w:t>
      </w:r>
    </w:p>
    <w:p w:rsidR="002908B7" w:rsidRPr="002908B7" w:rsidRDefault="002908B7" w:rsidP="002908B7">
      <w:pPr>
        <w:spacing w:after="0"/>
        <w:jc w:val="both"/>
        <w:rPr>
          <w:rFonts w:ascii="Arial" w:eastAsia="Times New Roman" w:hAnsi="Arial" w:cs="Arial"/>
          <w:sz w:val="24"/>
          <w:szCs w:val="24"/>
          <w:lang w:val="en-US" w:eastAsia="en-GB"/>
        </w:rPr>
      </w:pPr>
    </w:p>
    <w:p w:rsidR="002908B7" w:rsidRPr="002908B7" w:rsidRDefault="002908B7" w:rsidP="002908B7">
      <w:pPr>
        <w:spacing w:after="0"/>
        <w:jc w:val="both"/>
        <w:rPr>
          <w:rFonts w:ascii="Arial" w:eastAsia="Times New Roman" w:hAnsi="Arial" w:cs="Arial"/>
          <w:color w:val="FF0000"/>
          <w:sz w:val="24"/>
          <w:szCs w:val="24"/>
          <w:lang w:val="en-US" w:eastAsia="en-GB"/>
        </w:rPr>
      </w:pPr>
      <w:r w:rsidRPr="002908B7">
        <w:rPr>
          <w:rFonts w:ascii="Arial" w:eastAsia="Times New Roman" w:hAnsi="Arial" w:cs="Arial"/>
          <w:sz w:val="24"/>
          <w:szCs w:val="24"/>
          <w:lang w:val="en-US" w:eastAsia="en-GB"/>
        </w:rPr>
        <w:t xml:space="preserve">Grays have 2.55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vacancies; two officers have been selected and will be posted to CPT by 13</w:t>
      </w:r>
      <w:r w:rsidRPr="002908B7">
        <w:rPr>
          <w:rFonts w:ascii="Arial" w:eastAsia="Times New Roman" w:hAnsi="Arial" w:cs="Arial"/>
          <w:sz w:val="24"/>
          <w:szCs w:val="24"/>
          <w:vertAlign w:val="superscript"/>
          <w:lang w:val="en-US" w:eastAsia="en-GB"/>
        </w:rPr>
        <w:t>th</w:t>
      </w:r>
      <w:r w:rsidRPr="002908B7">
        <w:rPr>
          <w:rFonts w:ascii="Arial" w:eastAsia="Times New Roman" w:hAnsi="Arial" w:cs="Arial"/>
          <w:sz w:val="24"/>
          <w:szCs w:val="24"/>
          <w:lang w:val="en-US" w:eastAsia="en-GB"/>
        </w:rPr>
        <w:t xml:space="preserve"> May 2019. The 0.55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results from part time workers. </w:t>
      </w:r>
    </w:p>
    <w:p w:rsidR="002908B7" w:rsidRPr="002908B7" w:rsidRDefault="002908B7" w:rsidP="002908B7">
      <w:pPr>
        <w:spacing w:after="0"/>
        <w:jc w:val="both"/>
        <w:rPr>
          <w:rFonts w:ascii="Arial" w:eastAsia="Times New Roman" w:hAnsi="Arial" w:cs="Arial"/>
          <w:sz w:val="24"/>
          <w:szCs w:val="24"/>
          <w:lang w:val="en-US" w:eastAsia="en-GB"/>
        </w:rPr>
      </w:pP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5.2</w:t>
      </w:r>
      <w:r w:rsidRPr="002908B7">
        <w:rPr>
          <w:rFonts w:ascii="Arial" w:eastAsia="Times New Roman" w:hAnsi="Arial" w:cs="Arial"/>
          <w:sz w:val="24"/>
          <w:szCs w:val="24"/>
          <w:lang w:val="en-US" w:eastAsia="en-GB"/>
        </w:rPr>
        <w:tab/>
      </w:r>
      <w:r w:rsidRPr="002908B7">
        <w:rPr>
          <w:rFonts w:ascii="Arial" w:eastAsia="Times New Roman" w:hAnsi="Arial" w:cs="Arial"/>
          <w:sz w:val="24"/>
          <w:szCs w:val="24"/>
          <w:u w:val="single"/>
          <w:lang w:val="en-US" w:eastAsia="en-GB"/>
        </w:rPr>
        <w:t>Domestic Abuse Investigation Teams</w:t>
      </w:r>
      <w:r w:rsidRPr="002908B7">
        <w:rPr>
          <w:rFonts w:ascii="Arial" w:eastAsia="Times New Roman" w:hAnsi="Arial" w:cs="Arial"/>
          <w:sz w:val="24"/>
          <w:szCs w:val="24"/>
          <w:lang w:val="en-US" w:eastAsia="en-GB"/>
        </w:rPr>
        <w:t xml:space="preserve"> </w:t>
      </w:r>
    </w:p>
    <w:p w:rsidR="002908B7" w:rsidRPr="002908B7" w:rsidRDefault="002908B7" w:rsidP="002908B7">
      <w:pPr>
        <w:contextualSpacing/>
        <w:jc w:val="both"/>
        <w:rPr>
          <w:rFonts w:ascii="Arial" w:hAnsi="Arial" w:cs="Arial"/>
          <w:sz w:val="24"/>
          <w:szCs w:val="24"/>
        </w:rPr>
      </w:pPr>
    </w:p>
    <w:p w:rsidR="002908B7" w:rsidRPr="002908B7" w:rsidRDefault="002908B7" w:rsidP="002908B7">
      <w:pPr>
        <w:contextualSpacing/>
        <w:jc w:val="both"/>
        <w:rPr>
          <w:rFonts w:ascii="Arial" w:hAnsi="Arial" w:cs="Arial"/>
          <w:sz w:val="24"/>
          <w:szCs w:val="24"/>
        </w:rPr>
      </w:pPr>
      <w:r w:rsidRPr="002908B7">
        <w:rPr>
          <w:rFonts w:ascii="Arial" w:hAnsi="Arial" w:cs="Arial"/>
          <w:sz w:val="24"/>
          <w:szCs w:val="24"/>
        </w:rPr>
        <w:t xml:space="preserve">The Domestic Abuse Investigation Teams (DAIT, formerly Juno Teams) were given an uplift of 21 </w:t>
      </w:r>
      <w:proofErr w:type="spellStart"/>
      <w:r w:rsidRPr="002908B7">
        <w:rPr>
          <w:rFonts w:ascii="Arial" w:hAnsi="Arial" w:cs="Arial"/>
          <w:sz w:val="24"/>
          <w:szCs w:val="24"/>
        </w:rPr>
        <w:t>fte</w:t>
      </w:r>
      <w:proofErr w:type="spellEnd"/>
      <w:r w:rsidRPr="002908B7">
        <w:rPr>
          <w:rFonts w:ascii="Arial" w:hAnsi="Arial" w:cs="Arial"/>
          <w:sz w:val="24"/>
          <w:szCs w:val="24"/>
        </w:rPr>
        <w:t xml:space="preserve"> at the start of 2018/19 to meet operational requirements. During the year this investment was adjusted to 18 (see Figure 2). While </w:t>
      </w:r>
      <w:r w:rsidRPr="002908B7">
        <w:rPr>
          <w:rFonts w:ascii="Arial" w:hAnsi="Arial" w:cs="Arial"/>
          <w:sz w:val="24"/>
          <w:szCs w:val="24"/>
        </w:rPr>
        <w:lastRenderedPageBreak/>
        <w:t xml:space="preserve">there has been a steady stream of officers moving into DAIT throughout the year, due to other movements of DAIT officers the net increase in strength is 3.69 </w:t>
      </w:r>
      <w:proofErr w:type="spellStart"/>
      <w:r w:rsidRPr="002908B7">
        <w:rPr>
          <w:rFonts w:ascii="Arial" w:hAnsi="Arial" w:cs="Arial"/>
          <w:sz w:val="24"/>
          <w:szCs w:val="24"/>
        </w:rPr>
        <w:t>fte</w:t>
      </w:r>
      <w:proofErr w:type="spellEnd"/>
      <w:r w:rsidRPr="002908B7">
        <w:rPr>
          <w:rFonts w:ascii="Arial" w:hAnsi="Arial" w:cs="Arial"/>
          <w:sz w:val="24"/>
          <w:szCs w:val="24"/>
        </w:rPr>
        <w:t>. Existing Force processes continue to monitor closely the fluctuations in officer numbers across this and all specialist teams.</w:t>
      </w:r>
      <w:r w:rsidRPr="002908B7">
        <w:rPr>
          <w:rFonts w:ascii="Arial" w:hAnsi="Arial" w:cs="Arial"/>
          <w:sz w:val="24"/>
          <w:szCs w:val="24"/>
          <w:vertAlign w:val="superscript"/>
        </w:rPr>
        <w:footnoteReference w:id="3"/>
      </w:r>
      <w:r w:rsidRPr="002908B7">
        <w:rPr>
          <w:rFonts w:ascii="Arial" w:hAnsi="Arial" w:cs="Arial"/>
          <w:sz w:val="24"/>
          <w:szCs w:val="24"/>
        </w:rPr>
        <w:t xml:space="preserve"> </w:t>
      </w:r>
    </w:p>
    <w:p w:rsidR="002908B7" w:rsidRPr="002908B7" w:rsidRDefault="002908B7" w:rsidP="002908B7">
      <w:pPr>
        <w:jc w:val="both"/>
        <w:rPr>
          <w:rFonts w:ascii="Arial" w:hAnsi="Arial" w:cs="Arial"/>
          <w:sz w:val="24"/>
          <w:szCs w:val="24"/>
          <w:lang w:val="en-US" w:eastAsia="en-GB"/>
        </w:rPr>
      </w:pPr>
    </w:p>
    <w:p w:rsidR="002908B7" w:rsidRPr="002908B7" w:rsidRDefault="002908B7" w:rsidP="002908B7">
      <w:pPr>
        <w:jc w:val="both"/>
        <w:rPr>
          <w:rFonts w:ascii="Arial" w:hAnsi="Arial" w:cs="Arial"/>
          <w:sz w:val="24"/>
          <w:szCs w:val="24"/>
          <w:u w:val="single"/>
          <w:lang w:val="en-US" w:eastAsia="en-GB"/>
        </w:rPr>
      </w:pPr>
      <w:r w:rsidRPr="002908B7">
        <w:rPr>
          <w:rFonts w:ascii="Arial" w:hAnsi="Arial" w:cs="Arial"/>
          <w:sz w:val="24"/>
          <w:szCs w:val="24"/>
          <w:lang w:val="en-US" w:eastAsia="en-GB"/>
        </w:rPr>
        <w:t>5.3</w:t>
      </w:r>
      <w:r w:rsidRPr="002908B7">
        <w:rPr>
          <w:rFonts w:ascii="Arial" w:hAnsi="Arial" w:cs="Arial"/>
          <w:sz w:val="24"/>
          <w:szCs w:val="24"/>
          <w:lang w:val="en-US" w:eastAsia="en-GB"/>
        </w:rPr>
        <w:tab/>
      </w:r>
      <w:r w:rsidRPr="002908B7">
        <w:rPr>
          <w:rFonts w:ascii="Arial" w:hAnsi="Arial" w:cs="Arial"/>
          <w:sz w:val="24"/>
          <w:szCs w:val="24"/>
          <w:u w:val="single"/>
          <w:lang w:val="en-US" w:eastAsia="en-GB"/>
        </w:rPr>
        <w:t>Operational Support Group</w:t>
      </w:r>
    </w:p>
    <w:p w:rsidR="002908B7" w:rsidRPr="002908B7" w:rsidRDefault="002908B7" w:rsidP="002908B7">
      <w:pPr>
        <w:contextualSpacing/>
        <w:jc w:val="both"/>
        <w:rPr>
          <w:rFonts w:ascii="Arial" w:hAnsi="Arial" w:cs="Arial"/>
          <w:sz w:val="24"/>
          <w:szCs w:val="24"/>
        </w:rPr>
      </w:pPr>
      <w:r w:rsidRPr="002908B7">
        <w:rPr>
          <w:rFonts w:ascii="Arial" w:hAnsi="Arial" w:cs="Arial"/>
          <w:sz w:val="24"/>
          <w:szCs w:val="24"/>
        </w:rPr>
        <w:t xml:space="preserve">The Operational Support Group (OSG) uplift of 25 was amended to 26 in year to establish a post within the pre 2018/19 OSG structure (Figure 2).  All 26 growth posts have an officer selected, with a number already in post. </w:t>
      </w:r>
    </w:p>
    <w:p w:rsidR="002908B7" w:rsidRPr="002908B7" w:rsidRDefault="002908B7" w:rsidP="002908B7">
      <w:pPr>
        <w:spacing w:after="0"/>
        <w:rPr>
          <w:rFonts w:ascii="Arial" w:eastAsia="Times New Roman" w:hAnsi="Arial" w:cs="Arial"/>
          <w:b/>
          <w:sz w:val="24"/>
          <w:szCs w:val="24"/>
          <w:lang w:val="en-US" w:eastAsia="en-GB"/>
        </w:rPr>
      </w:pPr>
    </w:p>
    <w:p w:rsidR="002908B7" w:rsidRPr="002908B7" w:rsidRDefault="002908B7" w:rsidP="002908B7">
      <w:pPr>
        <w:spacing w:after="0"/>
        <w:rPr>
          <w:rFonts w:ascii="Arial" w:eastAsia="Times New Roman" w:hAnsi="Arial" w:cs="Arial"/>
          <w:b/>
          <w:sz w:val="24"/>
          <w:szCs w:val="24"/>
          <w:lang w:val="en-US" w:eastAsia="en-GB"/>
        </w:rPr>
      </w:pPr>
      <w:r w:rsidRPr="002908B7">
        <w:rPr>
          <w:rFonts w:ascii="Arial" w:eastAsia="Times New Roman" w:hAnsi="Arial" w:cs="Arial"/>
          <w:b/>
          <w:sz w:val="24"/>
          <w:szCs w:val="24"/>
          <w:lang w:val="en-US" w:eastAsia="en-GB"/>
        </w:rPr>
        <w:t>6.0</w:t>
      </w:r>
      <w:r w:rsidRPr="002908B7">
        <w:rPr>
          <w:rFonts w:ascii="Arial" w:eastAsia="Times New Roman" w:hAnsi="Arial" w:cs="Arial"/>
          <w:b/>
          <w:sz w:val="24"/>
          <w:szCs w:val="24"/>
          <w:lang w:val="en-US" w:eastAsia="en-GB"/>
        </w:rPr>
        <w:tab/>
        <w:t>Conclusion to 2018/2019 Growth</w:t>
      </w:r>
    </w:p>
    <w:p w:rsidR="002908B7" w:rsidRPr="002908B7" w:rsidRDefault="002908B7" w:rsidP="002908B7">
      <w:pPr>
        <w:spacing w:after="0"/>
        <w:rPr>
          <w:rFonts w:ascii="Arial" w:eastAsia="Times New Roman" w:hAnsi="Arial" w:cs="Arial"/>
          <w:b/>
          <w:sz w:val="24"/>
          <w:szCs w:val="24"/>
          <w:lang w:val="en-US" w:eastAsia="en-GB"/>
        </w:rPr>
      </w:pP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 xml:space="preserve">The precept uplift of 150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xml:space="preserve"> additional officers was successfully achieved eight months into the financial year with the strength on 26</w:t>
      </w:r>
      <w:r w:rsidRPr="002908B7">
        <w:rPr>
          <w:rFonts w:ascii="Arial" w:eastAsia="Times New Roman" w:hAnsi="Arial" w:cs="Arial"/>
          <w:sz w:val="24"/>
          <w:szCs w:val="24"/>
          <w:vertAlign w:val="superscript"/>
          <w:lang w:val="en-US" w:eastAsia="en-GB"/>
        </w:rPr>
        <w:t>th</w:t>
      </w:r>
      <w:r w:rsidRPr="002908B7">
        <w:rPr>
          <w:rFonts w:ascii="Arial" w:eastAsia="Times New Roman" w:hAnsi="Arial" w:cs="Arial"/>
          <w:sz w:val="24"/>
          <w:szCs w:val="24"/>
          <w:lang w:val="en-US" w:eastAsia="en-GB"/>
        </w:rPr>
        <w:t xml:space="preserve"> April 2019 at 3045.93 </w:t>
      </w:r>
      <w:proofErr w:type="spellStart"/>
      <w:r w:rsidRPr="002908B7">
        <w:rPr>
          <w:rFonts w:ascii="Arial" w:eastAsia="Times New Roman" w:hAnsi="Arial" w:cs="Arial"/>
          <w:sz w:val="24"/>
          <w:szCs w:val="24"/>
          <w:lang w:val="en-US" w:eastAsia="en-GB"/>
        </w:rPr>
        <w:t>fte</w:t>
      </w:r>
      <w:proofErr w:type="spellEnd"/>
      <w:r w:rsidRPr="002908B7">
        <w:rPr>
          <w:rFonts w:ascii="Arial" w:eastAsia="Times New Roman" w:hAnsi="Arial" w:cs="Arial"/>
          <w:sz w:val="24"/>
          <w:szCs w:val="24"/>
          <w:lang w:val="en-US" w:eastAsia="en-GB"/>
        </w:rPr>
        <w:t>. The focus for the year was ensuring new officers were recruited, effectively trained and able to achieve Independent Patrol Status.</w:t>
      </w:r>
      <w:r w:rsidRPr="002908B7">
        <w:rPr>
          <w:rFonts w:ascii="Arial" w:eastAsia="Calibri" w:hAnsi="Arial" w:cs="Arial"/>
          <w:sz w:val="24"/>
          <w:szCs w:val="24"/>
          <w:vertAlign w:val="superscript"/>
        </w:rPr>
        <w:footnoteReference w:id="4"/>
      </w:r>
      <w:r w:rsidRPr="002908B7">
        <w:rPr>
          <w:rFonts w:ascii="Arial" w:eastAsia="Times New Roman" w:hAnsi="Arial" w:cs="Arial"/>
          <w:sz w:val="24"/>
          <w:szCs w:val="24"/>
          <w:lang w:val="en-US" w:eastAsia="en-GB"/>
        </w:rPr>
        <w:t xml:space="preserve"> This has allowed the sequenced release of experienced officers into Community Policing Teams, Operational Support Group and Domestic Abuse Investigation Teams which will continue to be managed through the Force Resource Deployment Meeting.</w:t>
      </w:r>
    </w:p>
    <w:p w:rsidR="002908B7" w:rsidRPr="002908B7" w:rsidRDefault="002908B7" w:rsidP="002908B7">
      <w:pPr>
        <w:spacing w:after="0"/>
        <w:jc w:val="both"/>
        <w:rPr>
          <w:rFonts w:ascii="Arial" w:eastAsia="Times New Roman" w:hAnsi="Arial" w:cs="Arial"/>
          <w:sz w:val="24"/>
          <w:szCs w:val="24"/>
          <w:lang w:val="en-US" w:eastAsia="en-GB"/>
        </w:rPr>
      </w:pPr>
    </w:p>
    <w:p w:rsidR="00830F00" w:rsidRDefault="002908B7" w:rsidP="00830F00">
      <w:pPr>
        <w:spacing w:after="0"/>
        <w:jc w:val="both"/>
        <w:rPr>
          <w:rFonts w:ascii="Arial" w:eastAsia="Times New Roman" w:hAnsi="Arial" w:cs="Arial"/>
          <w:b/>
          <w:sz w:val="24"/>
          <w:szCs w:val="24"/>
          <w:lang w:val="en-US" w:eastAsia="en-GB"/>
        </w:rPr>
      </w:pPr>
      <w:r w:rsidRPr="002908B7">
        <w:rPr>
          <w:rFonts w:ascii="Arial" w:eastAsia="Times New Roman" w:hAnsi="Arial" w:cs="Arial"/>
          <w:sz w:val="24"/>
          <w:szCs w:val="24"/>
          <w:lang w:val="en-US" w:eastAsia="en-GB"/>
        </w:rPr>
        <w:t xml:space="preserve">The net result is an increase in officer numbers across a number of key Force functions, which has increased the Force’s </w:t>
      </w:r>
      <w:r w:rsidRPr="002908B7">
        <w:rPr>
          <w:rFonts w:ascii="Arial" w:eastAsia="Times New Roman" w:hAnsi="Arial" w:cs="Arial"/>
          <w:sz w:val="24"/>
          <w:szCs w:val="24"/>
          <w:lang w:val="en-US" w:eastAsia="en-GB"/>
        </w:rPr>
        <w:lastRenderedPageBreak/>
        <w:t xml:space="preserve">capacity to deal with a wide range of areas including an increased local and visible presence. </w:t>
      </w:r>
    </w:p>
    <w:p w:rsidR="002908B7" w:rsidRPr="00830F00" w:rsidRDefault="002908B7" w:rsidP="00830F00">
      <w:pPr>
        <w:spacing w:after="0"/>
        <w:jc w:val="both"/>
        <w:rPr>
          <w:rFonts w:ascii="Arial" w:eastAsia="Times New Roman" w:hAnsi="Arial" w:cs="Arial"/>
          <w:b/>
          <w:sz w:val="24"/>
          <w:szCs w:val="24"/>
          <w:lang w:val="en-US" w:eastAsia="en-GB"/>
        </w:rPr>
      </w:pPr>
      <w:r w:rsidRPr="002908B7">
        <w:rPr>
          <w:rFonts w:ascii="Arial" w:hAnsi="Arial" w:cs="Arial"/>
          <w:b/>
          <w:sz w:val="24"/>
          <w:szCs w:val="24"/>
          <w:u w:val="single"/>
        </w:rPr>
        <w:t>2019/20 Force Growth Programme</w:t>
      </w: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r w:rsidRPr="002908B7">
        <w:rPr>
          <w:rFonts w:ascii="Arial" w:eastAsia="Times New Roman" w:hAnsi="Arial" w:cs="Arial"/>
          <w:b/>
          <w:sz w:val="24"/>
          <w:szCs w:val="24"/>
          <w:lang w:eastAsia="en-GB"/>
        </w:rPr>
        <w:t>7.0</w:t>
      </w:r>
      <w:r w:rsidRPr="002908B7">
        <w:rPr>
          <w:rFonts w:ascii="Arial" w:eastAsia="Times New Roman" w:hAnsi="Arial" w:cs="Arial"/>
          <w:b/>
          <w:sz w:val="24"/>
          <w:szCs w:val="24"/>
          <w:lang w:eastAsia="en-GB"/>
        </w:rPr>
        <w:tab/>
        <w:t xml:space="preserve">Background </w:t>
      </w:r>
    </w:p>
    <w:p w:rsidR="002908B7" w:rsidRPr="002908B7" w:rsidRDefault="002908B7" w:rsidP="002908B7">
      <w:pPr>
        <w:overflowPunct w:val="0"/>
        <w:autoSpaceDE w:val="0"/>
        <w:autoSpaceDN w:val="0"/>
        <w:adjustRightInd w:val="0"/>
        <w:spacing w:after="0"/>
        <w:textAlignment w:val="baseline"/>
        <w:rPr>
          <w:rFonts w:ascii="Arial" w:eastAsia="Times New Roman" w:hAnsi="Arial" w:cs="Arial"/>
          <w:b/>
          <w:sz w:val="24"/>
          <w:szCs w:val="24"/>
          <w:lang w:eastAsia="en-GB"/>
        </w:rPr>
      </w:pPr>
    </w:p>
    <w:p w:rsidR="002908B7" w:rsidRPr="002908B7" w:rsidRDefault="002908B7" w:rsidP="002908B7">
      <w:pPr>
        <w:spacing w:after="0"/>
        <w:jc w:val="both"/>
        <w:rPr>
          <w:rFonts w:ascii="Arial" w:eastAsia="Calibri" w:hAnsi="Arial" w:cs="Arial"/>
          <w:sz w:val="24"/>
          <w:szCs w:val="24"/>
        </w:rPr>
      </w:pPr>
      <w:r w:rsidRPr="002908B7">
        <w:rPr>
          <w:rFonts w:ascii="Arial" w:eastAsia="Calibri" w:hAnsi="Arial" w:cs="Arial"/>
          <w:sz w:val="24"/>
          <w:szCs w:val="24"/>
        </w:rPr>
        <w:t xml:space="preserve">Members of the Essex Police, Fire and Crime Panel have approved an average £24 increase in Council Tax, which supplements the overall Police Funding Settlement for 2019/20. A significant part of the £15.5m new investment will allow Essex Police to: </w:t>
      </w:r>
    </w:p>
    <w:p w:rsidR="002908B7" w:rsidRPr="002908B7" w:rsidRDefault="002908B7" w:rsidP="002908B7">
      <w:pPr>
        <w:spacing w:after="0"/>
        <w:ind w:left="720"/>
        <w:jc w:val="both"/>
        <w:rPr>
          <w:rFonts w:ascii="Arial" w:hAnsi="Arial" w:cs="Arial"/>
          <w:sz w:val="24"/>
          <w:szCs w:val="24"/>
        </w:rPr>
      </w:pPr>
    </w:p>
    <w:p w:rsidR="002908B7" w:rsidRPr="002908B7" w:rsidRDefault="002908B7" w:rsidP="002908B7">
      <w:pPr>
        <w:numPr>
          <w:ilvl w:val="0"/>
          <w:numId w:val="2"/>
        </w:numPr>
        <w:spacing w:after="0"/>
        <w:jc w:val="both"/>
        <w:rPr>
          <w:rFonts w:ascii="Arial" w:hAnsi="Arial" w:cs="Arial"/>
          <w:sz w:val="24"/>
          <w:szCs w:val="24"/>
        </w:rPr>
      </w:pPr>
      <w:r w:rsidRPr="002908B7">
        <w:rPr>
          <w:rFonts w:ascii="Arial" w:hAnsi="Arial" w:cs="Arial"/>
          <w:sz w:val="24"/>
          <w:szCs w:val="24"/>
        </w:rPr>
        <w:t>Recruit 215 more frontline officers, bringing the total number of officers to at least 3,218</w:t>
      </w:r>
      <w:r w:rsidRPr="002908B7">
        <w:rPr>
          <w:rFonts w:ascii="Arial" w:hAnsi="Arial" w:cs="Arial"/>
          <w:sz w:val="24"/>
          <w:szCs w:val="24"/>
          <w:vertAlign w:val="superscript"/>
        </w:rPr>
        <w:footnoteReference w:id="5"/>
      </w:r>
      <w:r w:rsidRPr="002908B7">
        <w:rPr>
          <w:rFonts w:ascii="Arial" w:hAnsi="Arial" w:cs="Arial"/>
          <w:sz w:val="24"/>
          <w:szCs w:val="24"/>
        </w:rPr>
        <w:t xml:space="preserve"> by the end of 2019/20. Of these, 168 will be posted into local policing roles.</w:t>
      </w:r>
    </w:p>
    <w:p w:rsidR="002908B7" w:rsidRPr="002908B7" w:rsidRDefault="002908B7" w:rsidP="002908B7">
      <w:pPr>
        <w:spacing w:after="0"/>
        <w:jc w:val="both"/>
        <w:rPr>
          <w:rFonts w:ascii="Arial" w:hAnsi="Arial" w:cs="Arial"/>
          <w:sz w:val="24"/>
          <w:szCs w:val="24"/>
        </w:rPr>
      </w:pPr>
    </w:p>
    <w:p w:rsidR="002908B7" w:rsidRPr="002908B7" w:rsidRDefault="002908B7" w:rsidP="002908B7">
      <w:pPr>
        <w:numPr>
          <w:ilvl w:val="0"/>
          <w:numId w:val="2"/>
        </w:numPr>
        <w:spacing w:after="0"/>
        <w:jc w:val="both"/>
        <w:rPr>
          <w:rFonts w:ascii="Arial" w:hAnsi="Arial" w:cs="Arial"/>
          <w:sz w:val="24"/>
          <w:szCs w:val="24"/>
        </w:rPr>
      </w:pPr>
      <w:r w:rsidRPr="002908B7">
        <w:rPr>
          <w:rFonts w:ascii="Arial" w:hAnsi="Arial" w:cs="Arial"/>
          <w:sz w:val="24"/>
          <w:szCs w:val="24"/>
        </w:rPr>
        <w:t xml:space="preserve">Recruit 32 further operational police staff. </w:t>
      </w:r>
    </w:p>
    <w:p w:rsidR="002908B7" w:rsidRPr="002908B7" w:rsidRDefault="002908B7" w:rsidP="002908B7">
      <w:pPr>
        <w:spacing w:after="0"/>
        <w:ind w:left="720"/>
        <w:jc w:val="both"/>
        <w:rPr>
          <w:rFonts w:ascii="Arial" w:hAnsi="Arial" w:cs="Arial"/>
          <w:sz w:val="24"/>
          <w:szCs w:val="24"/>
        </w:rPr>
      </w:pPr>
    </w:p>
    <w:p w:rsidR="002908B7" w:rsidRPr="002908B7" w:rsidRDefault="002908B7" w:rsidP="002908B7">
      <w:pPr>
        <w:numPr>
          <w:ilvl w:val="0"/>
          <w:numId w:val="2"/>
        </w:numPr>
        <w:spacing w:after="0"/>
        <w:jc w:val="both"/>
        <w:rPr>
          <w:rFonts w:ascii="Arial" w:hAnsi="Arial" w:cs="Arial"/>
          <w:sz w:val="24"/>
          <w:szCs w:val="24"/>
        </w:rPr>
      </w:pPr>
      <w:r w:rsidRPr="002908B7">
        <w:rPr>
          <w:rFonts w:ascii="Arial" w:hAnsi="Arial" w:cs="Arial"/>
          <w:sz w:val="24"/>
          <w:szCs w:val="24"/>
        </w:rPr>
        <w:t>Recruit 18 additional support police staff to service the business needs of a larger workforce.</w:t>
      </w:r>
    </w:p>
    <w:p w:rsidR="002908B7" w:rsidRPr="002908B7" w:rsidRDefault="002908B7" w:rsidP="002908B7">
      <w:pPr>
        <w:spacing w:after="0"/>
        <w:jc w:val="both"/>
        <w:rPr>
          <w:rFonts w:ascii="Arial" w:hAnsi="Arial" w:cs="Arial"/>
          <w:sz w:val="24"/>
          <w:szCs w:val="24"/>
        </w:rPr>
      </w:pPr>
    </w:p>
    <w:p w:rsidR="002908B7" w:rsidRPr="002908B7" w:rsidRDefault="002908B7" w:rsidP="002908B7">
      <w:pPr>
        <w:spacing w:after="0"/>
        <w:jc w:val="both"/>
        <w:rPr>
          <w:rFonts w:ascii="Arial" w:hAnsi="Arial" w:cs="Arial"/>
          <w:sz w:val="24"/>
          <w:szCs w:val="24"/>
        </w:rPr>
      </w:pPr>
      <w:r w:rsidRPr="002908B7">
        <w:rPr>
          <w:rFonts w:ascii="Arial" w:hAnsi="Arial" w:cs="Arial"/>
          <w:sz w:val="24"/>
          <w:szCs w:val="24"/>
        </w:rPr>
        <w:t xml:space="preserve">The investment recommendations put forward by Essex Police were carefully calculated to ensure that the Force remains local, visible and accessible to communities, responding to the growth in high harm and emerging crimes as well as investing in long term infrastructure, technology and skills. </w:t>
      </w:r>
    </w:p>
    <w:p w:rsidR="002908B7" w:rsidRPr="002908B7" w:rsidRDefault="002908B7" w:rsidP="002908B7">
      <w:pPr>
        <w:spacing w:after="0"/>
        <w:ind w:left="720"/>
        <w:rPr>
          <w:rFonts w:ascii="Arial" w:hAnsi="Arial" w:cs="Arial"/>
          <w:sz w:val="24"/>
          <w:szCs w:val="24"/>
        </w:rPr>
      </w:pPr>
    </w:p>
    <w:p w:rsidR="002908B7" w:rsidRPr="002908B7" w:rsidRDefault="002908B7" w:rsidP="002908B7">
      <w:pPr>
        <w:ind w:left="720" w:hanging="720"/>
        <w:rPr>
          <w:rFonts w:ascii="Arial" w:eastAsia="Calibri" w:hAnsi="Arial" w:cs="Arial"/>
          <w:b/>
          <w:sz w:val="20"/>
          <w:szCs w:val="20"/>
        </w:rPr>
      </w:pPr>
      <w:r w:rsidRPr="002908B7">
        <w:rPr>
          <w:rFonts w:ascii="Arial" w:eastAsia="Calibri" w:hAnsi="Arial" w:cs="Arial"/>
          <w:b/>
          <w:sz w:val="20"/>
          <w:szCs w:val="20"/>
        </w:rPr>
        <w:t>Figure 4: Agreed allocation of new officer and staff roles that form the 265 officer and staff posts.</w:t>
      </w:r>
    </w:p>
    <w:tbl>
      <w:tblPr>
        <w:tblStyle w:val="TableGrid1"/>
        <w:tblW w:w="8480" w:type="dxa"/>
        <w:tblInd w:w="607" w:type="dxa"/>
        <w:tblLook w:val="04A0" w:firstRow="1" w:lastRow="0" w:firstColumn="1" w:lastColumn="0" w:noHBand="0" w:noVBand="1"/>
      </w:tblPr>
      <w:tblGrid>
        <w:gridCol w:w="3256"/>
        <w:gridCol w:w="3196"/>
        <w:gridCol w:w="1048"/>
        <w:gridCol w:w="980"/>
      </w:tblGrid>
      <w:tr w:rsidR="002908B7" w:rsidRPr="002908B7" w:rsidTr="001D4C02">
        <w:tc>
          <w:tcPr>
            <w:tcW w:w="8480" w:type="dxa"/>
            <w:gridSpan w:val="4"/>
            <w:shd w:val="clear" w:color="auto" w:fill="2E74B5" w:themeFill="accent1" w:themeFillShade="BF"/>
          </w:tcPr>
          <w:p w:rsidR="002908B7" w:rsidRPr="002908B7" w:rsidRDefault="002908B7" w:rsidP="002908B7">
            <w:pPr>
              <w:spacing w:after="0" w:line="240" w:lineRule="auto"/>
              <w:rPr>
                <w:rFonts w:ascii="Arial" w:hAnsi="Arial" w:cs="Arial"/>
                <w:b/>
                <w:color w:val="FFFFFF" w:themeColor="background1"/>
                <w:sz w:val="28"/>
              </w:rPr>
            </w:pPr>
            <w:r w:rsidRPr="002908B7">
              <w:rPr>
                <w:rFonts w:ascii="Arial" w:hAnsi="Arial" w:cs="Arial"/>
                <w:b/>
                <w:color w:val="FFFFFF" w:themeColor="background1"/>
              </w:rPr>
              <w:lastRenderedPageBreak/>
              <w:t>Investment for Additional Police Officers and Staff</w:t>
            </w:r>
          </w:p>
        </w:tc>
      </w:tr>
      <w:tr w:rsidR="002908B7" w:rsidRPr="002908B7" w:rsidTr="001D4C02">
        <w:tc>
          <w:tcPr>
            <w:tcW w:w="6452" w:type="dxa"/>
            <w:gridSpan w:val="2"/>
            <w:vMerge w:val="restart"/>
            <w:shd w:val="clear" w:color="auto" w:fill="BDD6EE" w:themeFill="accent1" w:themeFillTint="66"/>
          </w:tcPr>
          <w:p w:rsidR="002908B7" w:rsidRPr="002908B7" w:rsidRDefault="002908B7" w:rsidP="002908B7">
            <w:pPr>
              <w:spacing w:after="0" w:line="240" w:lineRule="auto"/>
              <w:rPr>
                <w:rFonts w:ascii="Arial" w:hAnsi="Arial" w:cs="Arial"/>
                <w:b/>
              </w:rPr>
            </w:pPr>
          </w:p>
          <w:p w:rsidR="002908B7" w:rsidRPr="002908B7" w:rsidRDefault="002908B7" w:rsidP="002908B7">
            <w:pPr>
              <w:spacing w:after="0" w:line="240" w:lineRule="auto"/>
              <w:rPr>
                <w:rFonts w:ascii="Arial" w:hAnsi="Arial" w:cs="Arial"/>
                <w:b/>
              </w:rPr>
            </w:pPr>
            <w:r w:rsidRPr="002908B7">
              <w:rPr>
                <w:rFonts w:ascii="Arial" w:hAnsi="Arial" w:cs="Arial"/>
                <w:b/>
              </w:rPr>
              <w:t>Investment Area</w:t>
            </w:r>
          </w:p>
        </w:tc>
        <w:tc>
          <w:tcPr>
            <w:tcW w:w="1048" w:type="dxa"/>
            <w:shd w:val="clear" w:color="auto" w:fill="FFC000"/>
          </w:tcPr>
          <w:p w:rsidR="002908B7" w:rsidRPr="002908B7" w:rsidRDefault="002908B7" w:rsidP="002908B7">
            <w:pPr>
              <w:spacing w:after="0" w:line="240" w:lineRule="auto"/>
              <w:jc w:val="center"/>
              <w:rPr>
                <w:rFonts w:ascii="Arial" w:hAnsi="Arial" w:cs="Arial"/>
                <w:b/>
              </w:rPr>
            </w:pPr>
            <w:r w:rsidRPr="002908B7">
              <w:rPr>
                <w:rFonts w:ascii="Arial" w:hAnsi="Arial" w:cs="Arial"/>
                <w:b/>
              </w:rPr>
              <w:t>Officers</w:t>
            </w:r>
          </w:p>
        </w:tc>
        <w:tc>
          <w:tcPr>
            <w:tcW w:w="980" w:type="dxa"/>
            <w:shd w:val="clear" w:color="auto" w:fill="FFC000"/>
          </w:tcPr>
          <w:p w:rsidR="002908B7" w:rsidRPr="002908B7" w:rsidRDefault="002908B7" w:rsidP="002908B7">
            <w:pPr>
              <w:spacing w:after="0" w:line="240" w:lineRule="auto"/>
              <w:jc w:val="center"/>
              <w:rPr>
                <w:rFonts w:ascii="Arial" w:hAnsi="Arial" w:cs="Arial"/>
                <w:b/>
              </w:rPr>
            </w:pPr>
            <w:r w:rsidRPr="002908B7">
              <w:rPr>
                <w:rFonts w:ascii="Arial" w:hAnsi="Arial" w:cs="Arial"/>
                <w:b/>
              </w:rPr>
              <w:t>Staff</w:t>
            </w:r>
          </w:p>
        </w:tc>
      </w:tr>
      <w:tr w:rsidR="002908B7" w:rsidRPr="002908B7" w:rsidTr="001D4C02">
        <w:tc>
          <w:tcPr>
            <w:tcW w:w="6452" w:type="dxa"/>
            <w:gridSpan w:val="2"/>
            <w:vMerge/>
            <w:shd w:val="clear" w:color="auto" w:fill="BDD6EE" w:themeFill="accent1" w:themeFillTint="66"/>
          </w:tcPr>
          <w:p w:rsidR="002908B7" w:rsidRPr="002908B7" w:rsidRDefault="002908B7" w:rsidP="002908B7">
            <w:pPr>
              <w:spacing w:after="0" w:line="240" w:lineRule="auto"/>
              <w:rPr>
                <w:rFonts w:ascii="Arial" w:hAnsi="Arial" w:cs="Arial"/>
              </w:rPr>
            </w:pPr>
          </w:p>
        </w:tc>
        <w:tc>
          <w:tcPr>
            <w:tcW w:w="1048" w:type="dxa"/>
            <w:shd w:val="clear" w:color="auto" w:fill="FFC000"/>
          </w:tcPr>
          <w:p w:rsidR="002908B7" w:rsidRPr="002908B7" w:rsidRDefault="002908B7" w:rsidP="002908B7">
            <w:pPr>
              <w:spacing w:after="0" w:line="240" w:lineRule="auto"/>
              <w:jc w:val="center"/>
              <w:rPr>
                <w:rFonts w:ascii="Arial" w:hAnsi="Arial" w:cs="Arial"/>
              </w:rPr>
            </w:pPr>
            <w:r w:rsidRPr="002908B7">
              <w:rPr>
                <w:rFonts w:ascii="Arial" w:hAnsi="Arial" w:cs="Arial"/>
              </w:rPr>
              <w:t>FTE</w:t>
            </w:r>
          </w:p>
        </w:tc>
        <w:tc>
          <w:tcPr>
            <w:tcW w:w="980" w:type="dxa"/>
            <w:shd w:val="clear" w:color="auto" w:fill="FFC000"/>
          </w:tcPr>
          <w:p w:rsidR="002908B7" w:rsidRPr="002908B7" w:rsidRDefault="002908B7" w:rsidP="002908B7">
            <w:pPr>
              <w:spacing w:after="0" w:line="240" w:lineRule="auto"/>
              <w:jc w:val="center"/>
              <w:rPr>
                <w:rFonts w:ascii="Arial" w:hAnsi="Arial" w:cs="Arial"/>
              </w:rPr>
            </w:pPr>
            <w:r w:rsidRPr="002908B7">
              <w:rPr>
                <w:rFonts w:ascii="Arial" w:hAnsi="Arial" w:cs="Arial"/>
              </w:rPr>
              <w:t>FTE</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Town Centre Teams</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68</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Information Management</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11</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Gangs (Operation Raptor)</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19</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11</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Children/Young People</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20</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Business Crime</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3</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Roads Policing Unit</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21</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Crime &amp; Public Protection</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20</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3</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Local Policing Teams</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50</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Serious Crime Directorate – Modern Slavery</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5</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Serious Crime Directorate – Volume Fraud</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Serious Crime Directorate – Op Signature(Fraud victim care)</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3</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Serious Crime Directorate – OCG Co-ordinators</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3</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Serious Crime Directorate  - Violence &amp; Vulnerability Unit</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Gypsy, Traveller and Rural Engagement Team (GTRET)</w:t>
            </w:r>
          </w:p>
        </w:tc>
        <w:tc>
          <w:tcPr>
            <w:tcW w:w="1048"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7</w:t>
            </w: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0</w:t>
            </w:r>
          </w:p>
        </w:tc>
      </w:tr>
      <w:tr w:rsidR="002908B7" w:rsidRPr="002908B7" w:rsidTr="001D4C02">
        <w:trPr>
          <w:gridBefore w:val="1"/>
          <w:wBefore w:w="3256" w:type="dxa"/>
        </w:trPr>
        <w:tc>
          <w:tcPr>
            <w:tcW w:w="3196" w:type="dxa"/>
            <w:shd w:val="clear" w:color="auto" w:fill="FFFF00"/>
          </w:tcPr>
          <w:p w:rsidR="002908B7" w:rsidRPr="002908B7" w:rsidRDefault="002908B7" w:rsidP="002908B7">
            <w:pPr>
              <w:spacing w:after="0" w:line="240" w:lineRule="auto"/>
              <w:jc w:val="right"/>
              <w:rPr>
                <w:rFonts w:ascii="Arial" w:hAnsi="Arial" w:cs="Arial"/>
                <w:b/>
              </w:rPr>
            </w:pPr>
            <w:r w:rsidRPr="002908B7">
              <w:rPr>
                <w:rFonts w:ascii="Arial" w:hAnsi="Arial" w:cs="Arial"/>
                <w:b/>
              </w:rPr>
              <w:t>Total – Operational Policing</w:t>
            </w:r>
          </w:p>
        </w:tc>
        <w:tc>
          <w:tcPr>
            <w:tcW w:w="1048" w:type="dxa"/>
            <w:tcBorders>
              <w:bottom w:val="single" w:sz="4" w:space="0" w:color="auto"/>
            </w:tcBorders>
            <w:shd w:val="clear" w:color="auto" w:fill="FFFF00"/>
          </w:tcPr>
          <w:p w:rsidR="002908B7" w:rsidRPr="002908B7" w:rsidRDefault="002908B7" w:rsidP="002908B7">
            <w:pPr>
              <w:spacing w:after="0" w:line="240" w:lineRule="auto"/>
              <w:jc w:val="center"/>
              <w:rPr>
                <w:rFonts w:ascii="Arial" w:hAnsi="Arial" w:cs="Arial"/>
                <w:b/>
              </w:rPr>
            </w:pPr>
            <w:r w:rsidRPr="002908B7">
              <w:rPr>
                <w:rFonts w:ascii="Arial" w:hAnsi="Arial" w:cs="Arial"/>
                <w:b/>
              </w:rPr>
              <w:t>215</w:t>
            </w:r>
          </w:p>
        </w:tc>
        <w:tc>
          <w:tcPr>
            <w:tcW w:w="980" w:type="dxa"/>
            <w:tcBorders>
              <w:bottom w:val="single" w:sz="4" w:space="0" w:color="auto"/>
            </w:tcBorders>
            <w:shd w:val="clear" w:color="auto" w:fill="FFFF00"/>
          </w:tcPr>
          <w:p w:rsidR="002908B7" w:rsidRPr="002908B7" w:rsidRDefault="002908B7" w:rsidP="002908B7">
            <w:pPr>
              <w:spacing w:after="0" w:line="240" w:lineRule="auto"/>
              <w:jc w:val="center"/>
              <w:rPr>
                <w:rFonts w:ascii="Arial" w:hAnsi="Arial" w:cs="Arial"/>
                <w:b/>
              </w:rPr>
            </w:pPr>
            <w:r w:rsidRPr="002908B7">
              <w:rPr>
                <w:rFonts w:ascii="Arial" w:hAnsi="Arial" w:cs="Arial"/>
                <w:b/>
              </w:rPr>
              <w:t>32</w:t>
            </w:r>
          </w:p>
        </w:tc>
      </w:tr>
      <w:tr w:rsidR="002908B7" w:rsidRPr="002908B7" w:rsidTr="001D4C02">
        <w:trPr>
          <w:gridBefore w:val="2"/>
          <w:wBefore w:w="6452" w:type="dxa"/>
          <w:trHeight w:val="106"/>
        </w:trPr>
        <w:tc>
          <w:tcPr>
            <w:tcW w:w="2028" w:type="dxa"/>
            <w:gridSpan w:val="2"/>
            <w:tcBorders>
              <w:left w:val="nil"/>
              <w:right w:val="nil"/>
            </w:tcBorders>
            <w:shd w:val="clear" w:color="auto" w:fill="auto"/>
          </w:tcPr>
          <w:p w:rsidR="002908B7" w:rsidRPr="002908B7" w:rsidRDefault="002908B7" w:rsidP="002908B7">
            <w:pPr>
              <w:spacing w:after="0" w:line="240" w:lineRule="auto"/>
              <w:jc w:val="center"/>
              <w:rPr>
                <w:rFonts w:ascii="Arial" w:hAnsi="Arial" w:cs="Arial"/>
                <w:sz w:val="4"/>
              </w:rPr>
            </w:pPr>
          </w:p>
        </w:tc>
      </w:tr>
      <w:tr w:rsidR="002908B7" w:rsidRPr="002908B7" w:rsidTr="001D4C02">
        <w:tc>
          <w:tcPr>
            <w:tcW w:w="6452" w:type="dxa"/>
            <w:gridSpan w:val="2"/>
            <w:shd w:val="clear" w:color="auto" w:fill="auto"/>
          </w:tcPr>
          <w:p w:rsidR="002908B7" w:rsidRPr="002908B7" w:rsidRDefault="002908B7" w:rsidP="002908B7">
            <w:pPr>
              <w:spacing w:after="0" w:line="240" w:lineRule="auto"/>
              <w:rPr>
                <w:rFonts w:ascii="Arial" w:hAnsi="Arial" w:cs="Arial"/>
              </w:rPr>
            </w:pPr>
            <w:r w:rsidRPr="002908B7">
              <w:rPr>
                <w:rFonts w:ascii="Arial" w:hAnsi="Arial" w:cs="Arial"/>
              </w:rPr>
              <w:t>Support Functions (recruitment, standard training)</w:t>
            </w:r>
          </w:p>
        </w:tc>
        <w:tc>
          <w:tcPr>
            <w:tcW w:w="1048" w:type="dxa"/>
            <w:shd w:val="clear" w:color="auto" w:fill="auto"/>
          </w:tcPr>
          <w:p w:rsidR="002908B7" w:rsidRPr="002908B7" w:rsidRDefault="002908B7" w:rsidP="002908B7">
            <w:pPr>
              <w:spacing w:after="0" w:line="240" w:lineRule="auto"/>
              <w:jc w:val="center"/>
              <w:rPr>
                <w:rFonts w:ascii="Arial" w:hAnsi="Arial" w:cs="Arial"/>
              </w:rPr>
            </w:pPr>
          </w:p>
        </w:tc>
        <w:tc>
          <w:tcPr>
            <w:tcW w:w="980" w:type="dxa"/>
            <w:shd w:val="clear" w:color="auto" w:fill="auto"/>
          </w:tcPr>
          <w:p w:rsidR="002908B7" w:rsidRPr="002908B7" w:rsidRDefault="002908B7" w:rsidP="002908B7">
            <w:pPr>
              <w:spacing w:after="0" w:line="240" w:lineRule="auto"/>
              <w:jc w:val="center"/>
              <w:rPr>
                <w:rFonts w:ascii="Arial" w:hAnsi="Arial" w:cs="Arial"/>
              </w:rPr>
            </w:pPr>
            <w:r w:rsidRPr="002908B7">
              <w:rPr>
                <w:rFonts w:ascii="Arial" w:hAnsi="Arial" w:cs="Arial"/>
              </w:rPr>
              <w:t>18</w:t>
            </w:r>
          </w:p>
        </w:tc>
      </w:tr>
    </w:tbl>
    <w:p w:rsidR="002908B7" w:rsidRPr="002908B7" w:rsidRDefault="002908B7" w:rsidP="002908B7">
      <w:pPr>
        <w:spacing w:after="0"/>
        <w:contextualSpacing/>
        <w:jc w:val="both"/>
        <w:rPr>
          <w:rFonts w:ascii="Arial" w:eastAsia="Calibri" w:hAnsi="Arial" w:cs="Arial"/>
          <w:sz w:val="24"/>
          <w:szCs w:val="24"/>
        </w:rPr>
      </w:pPr>
      <w:r w:rsidRPr="002908B7">
        <w:rPr>
          <w:rFonts w:ascii="Arial" w:eastAsia="Calibri" w:hAnsi="Arial" w:cs="Arial"/>
          <w:sz w:val="24"/>
          <w:szCs w:val="24"/>
        </w:rPr>
        <w:t xml:space="preserve">Essex Police has developed a detailed plan for the deployment of these additional officers and staff in line with this budget approval through the 2019/20 Force Growth Programme. </w:t>
      </w:r>
    </w:p>
    <w:p w:rsidR="002908B7" w:rsidRPr="002908B7" w:rsidRDefault="002908B7" w:rsidP="002908B7">
      <w:pPr>
        <w:spacing w:after="0"/>
        <w:contextualSpacing/>
        <w:jc w:val="both"/>
        <w:rPr>
          <w:rFonts w:ascii="Arial" w:eastAsia="Calibri" w:hAnsi="Arial" w:cs="Arial"/>
          <w:b/>
          <w:sz w:val="20"/>
          <w:szCs w:val="20"/>
        </w:rPr>
      </w:pPr>
    </w:p>
    <w:p w:rsidR="002908B7" w:rsidRPr="002908B7" w:rsidRDefault="002908B7" w:rsidP="002908B7">
      <w:pPr>
        <w:spacing w:after="0"/>
        <w:rPr>
          <w:rFonts w:ascii="Arial" w:hAnsi="Arial" w:cs="Arial"/>
          <w:b/>
          <w:sz w:val="24"/>
          <w:szCs w:val="24"/>
        </w:rPr>
      </w:pPr>
    </w:p>
    <w:p w:rsidR="002908B7" w:rsidRPr="002908B7" w:rsidRDefault="002908B7" w:rsidP="002908B7">
      <w:pPr>
        <w:spacing w:after="0"/>
        <w:rPr>
          <w:rFonts w:ascii="Arial" w:hAnsi="Arial" w:cs="Arial"/>
          <w:b/>
          <w:sz w:val="24"/>
          <w:szCs w:val="24"/>
        </w:rPr>
      </w:pPr>
      <w:r w:rsidRPr="002908B7">
        <w:rPr>
          <w:rFonts w:ascii="Arial" w:hAnsi="Arial" w:cs="Arial"/>
          <w:b/>
          <w:sz w:val="24"/>
          <w:szCs w:val="24"/>
        </w:rPr>
        <w:t>8.0</w:t>
      </w:r>
      <w:r w:rsidRPr="002908B7">
        <w:rPr>
          <w:rFonts w:ascii="Arial" w:hAnsi="Arial" w:cs="Arial"/>
          <w:b/>
          <w:sz w:val="24"/>
          <w:szCs w:val="24"/>
        </w:rPr>
        <w:tab/>
        <w:t>Governance</w:t>
      </w:r>
    </w:p>
    <w:p w:rsidR="002908B7" w:rsidRPr="002908B7" w:rsidRDefault="002908B7" w:rsidP="002908B7">
      <w:pPr>
        <w:spacing w:after="0"/>
        <w:ind w:left="720"/>
        <w:rPr>
          <w:rFonts w:ascii="Arial" w:hAnsi="Arial" w:cs="Arial"/>
          <w:b/>
          <w:sz w:val="24"/>
          <w:szCs w:val="24"/>
          <w:u w:val="single"/>
        </w:rPr>
      </w:pPr>
    </w:p>
    <w:p w:rsidR="002908B7" w:rsidRPr="002908B7" w:rsidRDefault="002908B7" w:rsidP="002908B7">
      <w:pPr>
        <w:spacing w:after="0"/>
        <w:contextualSpacing/>
        <w:jc w:val="both"/>
        <w:rPr>
          <w:rFonts w:ascii="Arial" w:eastAsia="Calibri" w:hAnsi="Arial" w:cs="Arial"/>
          <w:sz w:val="24"/>
          <w:szCs w:val="24"/>
        </w:rPr>
      </w:pPr>
      <w:r w:rsidRPr="002908B7">
        <w:rPr>
          <w:rFonts w:ascii="Arial" w:eastAsia="Calibri" w:hAnsi="Arial" w:cs="Arial"/>
          <w:sz w:val="24"/>
          <w:szCs w:val="24"/>
        </w:rPr>
        <w:t>Quarterly update reports will be provided by Strategic Change, via the Strategic Change Co-ordination Board (SCCB) to the Chief Officer Group (COG). This will enable the Chief Constable to provide assurance to the PFCC through the Strategic Board that the additional investment secured through the 2019/20 Force Growth Programme is being effectively and efficiently utilised.</w:t>
      </w:r>
    </w:p>
    <w:p w:rsidR="002908B7" w:rsidRPr="002908B7" w:rsidRDefault="002908B7" w:rsidP="002908B7">
      <w:pPr>
        <w:spacing w:after="0"/>
        <w:ind w:left="792"/>
        <w:contextualSpacing/>
        <w:jc w:val="both"/>
        <w:rPr>
          <w:rFonts w:ascii="Arial" w:eastAsia="Calibri" w:hAnsi="Arial" w:cs="Arial"/>
        </w:rPr>
      </w:pPr>
    </w:p>
    <w:p w:rsidR="002908B7" w:rsidRPr="002908B7" w:rsidRDefault="002908B7" w:rsidP="002908B7">
      <w:pPr>
        <w:spacing w:after="0"/>
        <w:contextualSpacing/>
        <w:jc w:val="both"/>
        <w:rPr>
          <w:rFonts w:ascii="Arial" w:eastAsia="Calibri" w:hAnsi="Arial" w:cs="Arial"/>
          <w:sz w:val="24"/>
          <w:szCs w:val="24"/>
        </w:rPr>
      </w:pPr>
      <w:r w:rsidRPr="002908B7">
        <w:rPr>
          <w:rFonts w:ascii="Arial" w:eastAsia="Calibri" w:hAnsi="Arial" w:cs="Arial"/>
          <w:sz w:val="24"/>
          <w:szCs w:val="24"/>
        </w:rPr>
        <w:t xml:space="preserve">The newly created Force Growth Programme Board will feed into the SCCB, chaired by the Deputy Chief Constable, and will monitor and steer the overall implementation plan on behalf of the Chief Officer Group. </w:t>
      </w:r>
    </w:p>
    <w:p w:rsidR="002908B7" w:rsidRPr="002908B7" w:rsidRDefault="002908B7" w:rsidP="002908B7">
      <w:pPr>
        <w:spacing w:after="0"/>
        <w:contextualSpacing/>
        <w:jc w:val="both"/>
        <w:rPr>
          <w:rFonts w:ascii="Arial" w:eastAsia="Calibri" w:hAnsi="Arial" w:cs="Arial"/>
          <w:sz w:val="24"/>
          <w:szCs w:val="24"/>
        </w:rPr>
      </w:pPr>
    </w:p>
    <w:p w:rsidR="002908B7" w:rsidRPr="002908B7" w:rsidRDefault="002908B7" w:rsidP="002908B7">
      <w:pPr>
        <w:spacing w:after="0"/>
        <w:contextualSpacing/>
        <w:jc w:val="both"/>
        <w:rPr>
          <w:rFonts w:ascii="Arial" w:eastAsia="Calibri" w:hAnsi="Arial" w:cs="Arial"/>
          <w:sz w:val="24"/>
          <w:szCs w:val="24"/>
        </w:rPr>
      </w:pPr>
      <w:r w:rsidRPr="002908B7">
        <w:rPr>
          <w:rFonts w:ascii="Arial" w:eastAsia="Calibri" w:hAnsi="Arial" w:cs="Arial"/>
          <w:sz w:val="24"/>
          <w:szCs w:val="24"/>
        </w:rPr>
        <w:t xml:space="preserve">Strategic Change will project manage and coordinate the Force Growth Programme, ensuring the work across various </w:t>
      </w:r>
      <w:r w:rsidRPr="002908B7">
        <w:rPr>
          <w:rFonts w:ascii="Arial" w:eastAsia="Calibri" w:hAnsi="Arial" w:cs="Arial"/>
          <w:sz w:val="24"/>
          <w:szCs w:val="24"/>
        </w:rPr>
        <w:lastRenderedPageBreak/>
        <w:t xml:space="preserve">departments and commands is de-conflicted, and that identified risks are mitigated and escalated as appropriate. </w:t>
      </w:r>
    </w:p>
    <w:p w:rsidR="002908B7" w:rsidRPr="002908B7" w:rsidRDefault="002908B7" w:rsidP="002908B7">
      <w:pPr>
        <w:spacing w:after="0"/>
        <w:ind w:left="792"/>
        <w:contextualSpacing/>
        <w:jc w:val="both"/>
        <w:rPr>
          <w:rFonts w:ascii="Arial" w:eastAsia="Calibri" w:hAnsi="Arial" w:cs="Arial"/>
        </w:rPr>
      </w:pPr>
    </w:p>
    <w:p w:rsidR="002908B7" w:rsidRPr="002908B7" w:rsidRDefault="002908B7" w:rsidP="002908B7">
      <w:pPr>
        <w:spacing w:after="0"/>
        <w:contextualSpacing/>
        <w:jc w:val="both"/>
        <w:rPr>
          <w:rFonts w:ascii="Arial" w:eastAsia="Calibri" w:hAnsi="Arial" w:cs="Arial"/>
          <w:sz w:val="24"/>
          <w:szCs w:val="24"/>
        </w:rPr>
      </w:pPr>
      <w:r w:rsidRPr="002908B7">
        <w:rPr>
          <w:rFonts w:ascii="Arial" w:eastAsia="Calibri" w:hAnsi="Arial" w:cs="Arial"/>
          <w:sz w:val="24"/>
          <w:szCs w:val="24"/>
        </w:rPr>
        <w:t>The Resourcing and Deployment Meeting chaired by the Director of Human Resources will oversee the recruitment profile, including officer moves and allocations managed by Local Policing Areas (LPAs).</w:t>
      </w:r>
    </w:p>
    <w:p w:rsidR="002908B7" w:rsidRPr="002908B7" w:rsidRDefault="002908B7" w:rsidP="002908B7">
      <w:pPr>
        <w:spacing w:after="160" w:line="259" w:lineRule="auto"/>
        <w:rPr>
          <w:rFonts w:ascii="Arial" w:eastAsia="Calibri" w:hAnsi="Arial" w:cs="Arial"/>
          <w:b/>
          <w:sz w:val="20"/>
          <w:szCs w:val="20"/>
        </w:rPr>
      </w:pPr>
      <w:r w:rsidRPr="002908B7">
        <w:rPr>
          <w:rFonts w:ascii="Arial" w:eastAsia="Calibri" w:hAnsi="Arial" w:cs="Arial"/>
          <w:noProof/>
          <w:sz w:val="24"/>
          <w:szCs w:val="24"/>
          <w:lang w:eastAsia="en-GB"/>
        </w:rPr>
        <w:drawing>
          <wp:anchor distT="0" distB="0" distL="114300" distR="114300" simplePos="0" relativeHeight="251659264" behindDoc="0" locked="0" layoutInCell="1" allowOverlap="1" wp14:anchorId="5F82115E" wp14:editId="1BE13BC9">
            <wp:simplePos x="0" y="0"/>
            <wp:positionH relativeFrom="margin">
              <wp:align>left</wp:align>
            </wp:positionH>
            <wp:positionV relativeFrom="paragraph">
              <wp:posOffset>293312</wp:posOffset>
            </wp:positionV>
            <wp:extent cx="6334125" cy="4451350"/>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445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8B7">
        <w:rPr>
          <w:rFonts w:ascii="Arial" w:eastAsia="Calibri" w:hAnsi="Arial" w:cs="Arial"/>
          <w:b/>
          <w:sz w:val="20"/>
          <w:szCs w:val="20"/>
        </w:rPr>
        <w:t>Figure 5: Governance Roadmap</w:t>
      </w:r>
    </w:p>
    <w:p w:rsidR="002908B7" w:rsidRPr="002908B7" w:rsidRDefault="002908B7" w:rsidP="002908B7">
      <w:pPr>
        <w:spacing w:after="0"/>
        <w:contextualSpacing/>
        <w:rPr>
          <w:rFonts w:ascii="Arial" w:eastAsia="Calibri" w:hAnsi="Arial" w:cs="Arial"/>
          <w:b/>
          <w:sz w:val="20"/>
          <w:szCs w:val="20"/>
        </w:rPr>
      </w:pPr>
    </w:p>
    <w:p w:rsidR="002908B7" w:rsidRPr="002908B7" w:rsidRDefault="002908B7" w:rsidP="002908B7">
      <w:pPr>
        <w:spacing w:after="0"/>
        <w:rPr>
          <w:rFonts w:ascii="Arial" w:eastAsia="Times New Roman" w:hAnsi="Arial" w:cs="Arial"/>
          <w:b/>
          <w:sz w:val="24"/>
          <w:szCs w:val="24"/>
          <w:lang w:val="en-US" w:eastAsia="en-GB"/>
        </w:rPr>
      </w:pPr>
      <w:r w:rsidRPr="002908B7">
        <w:rPr>
          <w:rFonts w:ascii="Arial" w:eastAsia="Times New Roman" w:hAnsi="Arial" w:cs="Arial"/>
          <w:b/>
          <w:sz w:val="24"/>
          <w:szCs w:val="24"/>
          <w:lang w:val="en-US" w:eastAsia="en-GB"/>
        </w:rPr>
        <w:t>9.0</w:t>
      </w:r>
      <w:r w:rsidRPr="002908B7">
        <w:rPr>
          <w:rFonts w:ascii="Arial" w:eastAsia="Times New Roman" w:hAnsi="Arial" w:cs="Arial"/>
          <w:b/>
          <w:sz w:val="24"/>
          <w:szCs w:val="24"/>
          <w:lang w:val="en-US" w:eastAsia="en-GB"/>
        </w:rPr>
        <w:tab/>
        <w:t>Additional Officer Recruitment 2019/2020</w:t>
      </w:r>
    </w:p>
    <w:p w:rsidR="002908B7" w:rsidRPr="002908B7" w:rsidRDefault="002908B7" w:rsidP="002908B7">
      <w:pPr>
        <w:spacing w:after="0"/>
        <w:rPr>
          <w:rFonts w:ascii="Arial" w:eastAsia="Times New Roman" w:hAnsi="Arial" w:cs="Arial"/>
          <w:b/>
          <w:sz w:val="24"/>
          <w:szCs w:val="24"/>
          <w:lang w:val="en-US" w:eastAsia="en-GB"/>
        </w:rPr>
      </w:pPr>
    </w:p>
    <w:p w:rsidR="002908B7" w:rsidRPr="002908B7" w:rsidRDefault="002908B7" w:rsidP="002908B7">
      <w:pPr>
        <w:jc w:val="both"/>
        <w:rPr>
          <w:rFonts w:ascii="Arial" w:hAnsi="Arial" w:cs="Arial"/>
          <w:sz w:val="24"/>
          <w:szCs w:val="24"/>
        </w:rPr>
      </w:pPr>
      <w:r w:rsidRPr="002908B7">
        <w:rPr>
          <w:rFonts w:ascii="Arial" w:hAnsi="Arial" w:cs="Arial"/>
          <w:sz w:val="24"/>
          <w:szCs w:val="24"/>
        </w:rPr>
        <w:t xml:space="preserve">Following the success of the 2018/19 recruitment programme, the Force started 2019/20 over establishment by 60.94 </w:t>
      </w:r>
      <w:proofErr w:type="spellStart"/>
      <w:r w:rsidRPr="002908B7">
        <w:rPr>
          <w:rFonts w:ascii="Arial" w:hAnsi="Arial" w:cs="Arial"/>
          <w:sz w:val="24"/>
          <w:szCs w:val="24"/>
        </w:rPr>
        <w:t>fte</w:t>
      </w:r>
      <w:proofErr w:type="spellEnd"/>
      <w:r w:rsidRPr="002908B7">
        <w:rPr>
          <w:rFonts w:ascii="Arial" w:hAnsi="Arial" w:cs="Arial"/>
          <w:sz w:val="24"/>
          <w:szCs w:val="24"/>
        </w:rPr>
        <w:t xml:space="preserve">. Therefore to achieve an uplift of 215 officers within 2019/20, with a projected turnover of 264 officers, the Force must recruit 418 new officers by 31 March 2020. There is a comprehensive plan which allows for the training and recruitment of up to 476 officers during the year; the associated schedule is detailed below (Figure 6). </w:t>
      </w:r>
    </w:p>
    <w:p w:rsidR="00830F00" w:rsidRDefault="00830F00" w:rsidP="002908B7">
      <w:pPr>
        <w:jc w:val="both"/>
        <w:rPr>
          <w:rFonts w:ascii="Arial" w:hAnsi="Arial" w:cs="Arial"/>
          <w:b/>
          <w:sz w:val="20"/>
          <w:szCs w:val="20"/>
        </w:rPr>
      </w:pPr>
    </w:p>
    <w:p w:rsidR="00830F00" w:rsidRDefault="00830F00" w:rsidP="002908B7">
      <w:pPr>
        <w:jc w:val="both"/>
        <w:rPr>
          <w:rFonts w:ascii="Arial" w:hAnsi="Arial" w:cs="Arial"/>
          <w:b/>
          <w:sz w:val="20"/>
          <w:szCs w:val="20"/>
        </w:rPr>
      </w:pPr>
    </w:p>
    <w:p w:rsidR="00830F00" w:rsidRDefault="00830F00" w:rsidP="002908B7">
      <w:pPr>
        <w:jc w:val="both"/>
        <w:rPr>
          <w:rFonts w:ascii="Arial" w:hAnsi="Arial" w:cs="Arial"/>
          <w:b/>
          <w:sz w:val="20"/>
          <w:szCs w:val="20"/>
        </w:rPr>
      </w:pPr>
    </w:p>
    <w:p w:rsidR="00830F00" w:rsidRDefault="00830F00" w:rsidP="002908B7">
      <w:pPr>
        <w:jc w:val="both"/>
        <w:rPr>
          <w:rFonts w:ascii="Arial" w:hAnsi="Arial" w:cs="Arial"/>
          <w:b/>
          <w:sz w:val="20"/>
          <w:szCs w:val="20"/>
        </w:rPr>
      </w:pPr>
    </w:p>
    <w:p w:rsidR="00830F00" w:rsidRDefault="00830F00" w:rsidP="002908B7">
      <w:pPr>
        <w:jc w:val="both"/>
        <w:rPr>
          <w:rFonts w:ascii="Arial" w:hAnsi="Arial" w:cs="Arial"/>
          <w:b/>
          <w:sz w:val="20"/>
          <w:szCs w:val="20"/>
        </w:rPr>
      </w:pPr>
    </w:p>
    <w:p w:rsidR="00830F00" w:rsidRDefault="00830F00" w:rsidP="002908B7">
      <w:pPr>
        <w:jc w:val="both"/>
        <w:rPr>
          <w:rFonts w:ascii="Arial" w:hAnsi="Arial" w:cs="Arial"/>
          <w:b/>
          <w:sz w:val="20"/>
          <w:szCs w:val="20"/>
        </w:rPr>
      </w:pPr>
    </w:p>
    <w:p w:rsidR="00830F00" w:rsidRDefault="00830F00" w:rsidP="002908B7">
      <w:pPr>
        <w:jc w:val="both"/>
        <w:rPr>
          <w:rFonts w:ascii="Arial" w:hAnsi="Arial" w:cs="Arial"/>
          <w:b/>
          <w:sz w:val="20"/>
          <w:szCs w:val="20"/>
        </w:rPr>
      </w:pPr>
    </w:p>
    <w:p w:rsidR="002908B7" w:rsidRPr="002908B7" w:rsidRDefault="002908B7" w:rsidP="002908B7">
      <w:pPr>
        <w:jc w:val="both"/>
        <w:rPr>
          <w:rFonts w:ascii="Arial" w:hAnsi="Arial" w:cs="Arial"/>
          <w:b/>
          <w:sz w:val="20"/>
          <w:szCs w:val="20"/>
        </w:rPr>
      </w:pPr>
      <w:r w:rsidRPr="002908B7">
        <w:rPr>
          <w:rFonts w:ascii="Arial" w:hAnsi="Arial" w:cs="Arial"/>
          <w:b/>
          <w:sz w:val="20"/>
          <w:szCs w:val="20"/>
        </w:rPr>
        <w:t>Figure 6: L&amp;D and Corporate Recruitment officer intake plan 2019/2020</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4241"/>
      </w:tblGrid>
      <w:tr w:rsidR="002908B7" w:rsidRPr="002908B7" w:rsidTr="001D4C02">
        <w:tc>
          <w:tcPr>
            <w:tcW w:w="4639" w:type="dxa"/>
            <w:shd w:val="clear" w:color="auto" w:fill="0070C0"/>
          </w:tcPr>
          <w:p w:rsidR="002908B7" w:rsidRPr="002908B7" w:rsidRDefault="002908B7" w:rsidP="002908B7">
            <w:pPr>
              <w:spacing w:after="0"/>
              <w:jc w:val="center"/>
              <w:rPr>
                <w:rFonts w:ascii="Trebuchet MS" w:eastAsia="Times New Roman" w:hAnsi="Trebuchet MS" w:cs="Times New Roman"/>
                <w:b/>
                <w:color w:val="FFFFFF" w:themeColor="background1"/>
                <w:lang w:eastAsia="en-GB"/>
              </w:rPr>
            </w:pPr>
            <w:r w:rsidRPr="002908B7">
              <w:rPr>
                <w:rFonts w:ascii="Trebuchet MS" w:eastAsia="Times New Roman" w:hAnsi="Trebuchet MS" w:cs="Times New Roman"/>
                <w:b/>
                <w:color w:val="FFFFFF" w:themeColor="background1"/>
                <w:lang w:eastAsia="en-GB"/>
              </w:rPr>
              <w:t>Month</w:t>
            </w:r>
          </w:p>
        </w:tc>
        <w:tc>
          <w:tcPr>
            <w:tcW w:w="4603" w:type="dxa"/>
            <w:shd w:val="clear" w:color="auto" w:fill="0070C0"/>
          </w:tcPr>
          <w:p w:rsidR="002908B7" w:rsidRPr="002908B7" w:rsidRDefault="002908B7" w:rsidP="002908B7">
            <w:pPr>
              <w:spacing w:after="0"/>
              <w:jc w:val="center"/>
              <w:rPr>
                <w:rFonts w:ascii="Trebuchet MS" w:eastAsia="Times New Roman" w:hAnsi="Trebuchet MS" w:cs="Times New Roman"/>
                <w:b/>
                <w:color w:val="FFFFFF" w:themeColor="background1"/>
                <w:lang w:eastAsia="en-GB"/>
              </w:rPr>
            </w:pPr>
            <w:r w:rsidRPr="002908B7">
              <w:rPr>
                <w:rFonts w:ascii="Trebuchet MS" w:eastAsia="Times New Roman" w:hAnsi="Trebuchet MS" w:cs="Times New Roman"/>
                <w:b/>
                <w:color w:val="FFFFFF" w:themeColor="background1"/>
                <w:lang w:eastAsia="en-GB"/>
              </w:rPr>
              <w:t>Number of officers</w:t>
            </w:r>
          </w:p>
        </w:tc>
      </w:tr>
      <w:tr w:rsidR="002908B7" w:rsidRPr="002908B7" w:rsidTr="001D4C02">
        <w:tc>
          <w:tcPr>
            <w:tcW w:w="4639"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 xml:space="preserve"> 7</w:t>
            </w:r>
            <w:r w:rsidRPr="002908B7">
              <w:rPr>
                <w:rFonts w:ascii="Trebuchet MS" w:eastAsia="Times New Roman" w:hAnsi="Trebuchet MS" w:cs="Times New Roman"/>
                <w:vertAlign w:val="superscript"/>
                <w:lang w:eastAsia="en-GB"/>
              </w:rPr>
              <w:t>th</w:t>
            </w:r>
            <w:r w:rsidRPr="002908B7">
              <w:rPr>
                <w:rFonts w:ascii="Trebuchet MS" w:eastAsia="Times New Roman" w:hAnsi="Trebuchet MS" w:cs="Times New Roman"/>
                <w:lang w:eastAsia="en-GB"/>
              </w:rPr>
              <w:t xml:space="preserve"> May 2019</w:t>
            </w:r>
          </w:p>
        </w:tc>
        <w:tc>
          <w:tcPr>
            <w:tcW w:w="4603"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76</w:t>
            </w:r>
          </w:p>
        </w:tc>
      </w:tr>
      <w:tr w:rsidR="002908B7" w:rsidRPr="002908B7" w:rsidTr="001D4C02">
        <w:tc>
          <w:tcPr>
            <w:tcW w:w="4639"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15</w:t>
            </w:r>
            <w:r w:rsidRPr="002908B7">
              <w:rPr>
                <w:rFonts w:ascii="Trebuchet MS" w:eastAsia="Times New Roman" w:hAnsi="Trebuchet MS" w:cs="Times New Roman"/>
                <w:vertAlign w:val="superscript"/>
                <w:lang w:eastAsia="en-GB"/>
              </w:rPr>
              <w:t>th</w:t>
            </w:r>
            <w:r w:rsidRPr="002908B7">
              <w:rPr>
                <w:rFonts w:ascii="Trebuchet MS" w:eastAsia="Times New Roman" w:hAnsi="Trebuchet MS" w:cs="Times New Roman"/>
                <w:lang w:eastAsia="en-GB"/>
              </w:rPr>
              <w:t xml:space="preserve"> July 2019</w:t>
            </w:r>
          </w:p>
        </w:tc>
        <w:tc>
          <w:tcPr>
            <w:tcW w:w="4603"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80</w:t>
            </w:r>
          </w:p>
        </w:tc>
      </w:tr>
      <w:tr w:rsidR="002908B7" w:rsidRPr="002908B7" w:rsidTr="001D4C02">
        <w:tc>
          <w:tcPr>
            <w:tcW w:w="4639"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23</w:t>
            </w:r>
            <w:r w:rsidRPr="002908B7">
              <w:rPr>
                <w:rFonts w:ascii="Trebuchet MS" w:eastAsia="Times New Roman" w:hAnsi="Trebuchet MS" w:cs="Times New Roman"/>
                <w:vertAlign w:val="superscript"/>
                <w:lang w:eastAsia="en-GB"/>
              </w:rPr>
              <w:t>rd</w:t>
            </w:r>
            <w:r w:rsidRPr="002908B7">
              <w:rPr>
                <w:rFonts w:ascii="Trebuchet MS" w:eastAsia="Times New Roman" w:hAnsi="Trebuchet MS" w:cs="Times New Roman"/>
                <w:lang w:eastAsia="en-GB"/>
              </w:rPr>
              <w:t xml:space="preserve"> September 2019</w:t>
            </w:r>
          </w:p>
        </w:tc>
        <w:tc>
          <w:tcPr>
            <w:tcW w:w="4603"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80</w:t>
            </w:r>
          </w:p>
        </w:tc>
      </w:tr>
      <w:tr w:rsidR="002908B7" w:rsidRPr="002908B7" w:rsidTr="001D4C02">
        <w:tc>
          <w:tcPr>
            <w:tcW w:w="4639"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 xml:space="preserve"> 2</w:t>
            </w:r>
            <w:r w:rsidRPr="002908B7">
              <w:rPr>
                <w:rFonts w:ascii="Trebuchet MS" w:eastAsia="Times New Roman" w:hAnsi="Trebuchet MS" w:cs="Times New Roman"/>
                <w:vertAlign w:val="superscript"/>
                <w:lang w:eastAsia="en-GB"/>
              </w:rPr>
              <w:t>nd</w:t>
            </w:r>
            <w:r w:rsidRPr="002908B7">
              <w:rPr>
                <w:rFonts w:ascii="Trebuchet MS" w:eastAsia="Times New Roman" w:hAnsi="Trebuchet MS" w:cs="Times New Roman"/>
                <w:lang w:eastAsia="en-GB"/>
              </w:rPr>
              <w:t xml:space="preserve">  December 2019</w:t>
            </w:r>
          </w:p>
        </w:tc>
        <w:tc>
          <w:tcPr>
            <w:tcW w:w="4603"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80</w:t>
            </w:r>
          </w:p>
        </w:tc>
      </w:tr>
      <w:tr w:rsidR="002908B7" w:rsidRPr="002908B7" w:rsidTr="001D4C02">
        <w:tc>
          <w:tcPr>
            <w:tcW w:w="4639"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10th February 2020</w:t>
            </w:r>
          </w:p>
        </w:tc>
        <w:tc>
          <w:tcPr>
            <w:tcW w:w="4603"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80</w:t>
            </w:r>
          </w:p>
        </w:tc>
      </w:tr>
      <w:tr w:rsidR="002908B7" w:rsidRPr="002908B7" w:rsidTr="001D4C02">
        <w:tc>
          <w:tcPr>
            <w:tcW w:w="4639"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30</w:t>
            </w:r>
            <w:r w:rsidRPr="002908B7">
              <w:rPr>
                <w:rFonts w:ascii="Trebuchet MS" w:eastAsia="Times New Roman" w:hAnsi="Trebuchet MS" w:cs="Times New Roman"/>
                <w:vertAlign w:val="superscript"/>
                <w:lang w:eastAsia="en-GB"/>
              </w:rPr>
              <w:t>th</w:t>
            </w:r>
            <w:r w:rsidRPr="002908B7">
              <w:rPr>
                <w:rFonts w:ascii="Trebuchet MS" w:eastAsia="Times New Roman" w:hAnsi="Trebuchet MS" w:cs="Times New Roman"/>
                <w:lang w:eastAsia="en-GB"/>
              </w:rPr>
              <w:t xml:space="preserve">  March 2020</w:t>
            </w:r>
          </w:p>
        </w:tc>
        <w:tc>
          <w:tcPr>
            <w:tcW w:w="4603" w:type="dxa"/>
            <w:shd w:val="clear" w:color="auto" w:fill="auto"/>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80</w:t>
            </w:r>
          </w:p>
        </w:tc>
      </w:tr>
      <w:tr w:rsidR="002908B7" w:rsidRPr="002908B7" w:rsidTr="001D4C02">
        <w:tc>
          <w:tcPr>
            <w:tcW w:w="4639" w:type="dxa"/>
            <w:shd w:val="clear" w:color="auto" w:fill="FFFF00"/>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Total</w:t>
            </w:r>
          </w:p>
        </w:tc>
        <w:tc>
          <w:tcPr>
            <w:tcW w:w="4603" w:type="dxa"/>
            <w:shd w:val="clear" w:color="auto" w:fill="FFFF00"/>
          </w:tcPr>
          <w:p w:rsidR="002908B7" w:rsidRPr="002908B7" w:rsidRDefault="002908B7" w:rsidP="002908B7">
            <w:pPr>
              <w:spacing w:after="0"/>
              <w:jc w:val="center"/>
              <w:rPr>
                <w:rFonts w:ascii="Trebuchet MS" w:eastAsia="Times New Roman" w:hAnsi="Trebuchet MS" w:cs="Times New Roman"/>
                <w:lang w:eastAsia="en-GB"/>
              </w:rPr>
            </w:pPr>
            <w:r w:rsidRPr="002908B7">
              <w:rPr>
                <w:rFonts w:ascii="Trebuchet MS" w:eastAsia="Times New Roman" w:hAnsi="Trebuchet MS" w:cs="Times New Roman"/>
                <w:lang w:eastAsia="en-GB"/>
              </w:rPr>
              <w:t>476</w:t>
            </w:r>
          </w:p>
        </w:tc>
      </w:tr>
    </w:tbl>
    <w:p w:rsidR="002908B7" w:rsidRPr="002908B7" w:rsidRDefault="002908B7" w:rsidP="002908B7">
      <w:pPr>
        <w:spacing w:after="0"/>
        <w:contextualSpacing/>
        <w:jc w:val="both"/>
        <w:rPr>
          <w:rFonts w:ascii="Arial" w:hAnsi="Arial" w:cs="Arial"/>
          <w:i/>
          <w:sz w:val="18"/>
          <w:szCs w:val="18"/>
        </w:rPr>
      </w:pPr>
      <w:r w:rsidRPr="002908B7">
        <w:rPr>
          <w:rFonts w:ascii="Arial" w:hAnsi="Arial" w:cs="Arial"/>
          <w:i/>
          <w:sz w:val="18"/>
          <w:szCs w:val="18"/>
        </w:rPr>
        <w:t>N.B The course on the 15</w:t>
      </w:r>
      <w:r w:rsidRPr="002908B7">
        <w:rPr>
          <w:rFonts w:ascii="Arial" w:hAnsi="Arial" w:cs="Arial"/>
          <w:i/>
          <w:sz w:val="18"/>
          <w:szCs w:val="18"/>
          <w:vertAlign w:val="superscript"/>
        </w:rPr>
        <w:t>th</w:t>
      </w:r>
      <w:r w:rsidRPr="002908B7">
        <w:rPr>
          <w:rFonts w:ascii="Arial" w:hAnsi="Arial" w:cs="Arial"/>
          <w:i/>
          <w:sz w:val="18"/>
          <w:szCs w:val="18"/>
        </w:rPr>
        <w:t xml:space="preserve"> July includes the recruitment of 10 officers through the Police Now scheme. If the scheme does not yield the full cohort of 10, regular recruitment will be increased to ensure that 80 new officers are recruited.</w:t>
      </w:r>
    </w:p>
    <w:p w:rsidR="002908B7" w:rsidRPr="002908B7" w:rsidRDefault="002908B7" w:rsidP="002908B7">
      <w:pPr>
        <w:spacing w:after="0"/>
        <w:contextualSpacing/>
        <w:jc w:val="both"/>
        <w:rPr>
          <w:rFonts w:ascii="Arial" w:eastAsia="Calibri" w:hAnsi="Arial" w:cs="Arial"/>
          <w:sz w:val="24"/>
          <w:szCs w:val="24"/>
        </w:rPr>
      </w:pPr>
    </w:p>
    <w:p w:rsidR="002908B7" w:rsidRPr="002908B7" w:rsidRDefault="002908B7" w:rsidP="002908B7">
      <w:pPr>
        <w:spacing w:after="0"/>
        <w:contextualSpacing/>
        <w:jc w:val="both"/>
        <w:rPr>
          <w:rFonts w:ascii="Arial" w:eastAsia="Calibri" w:hAnsi="Arial" w:cs="Arial"/>
          <w:sz w:val="24"/>
          <w:szCs w:val="24"/>
        </w:rPr>
      </w:pPr>
      <w:r w:rsidRPr="002908B7">
        <w:rPr>
          <w:rFonts w:ascii="Arial" w:eastAsia="Calibri" w:hAnsi="Arial" w:cs="Arial"/>
          <w:sz w:val="24"/>
          <w:szCs w:val="24"/>
        </w:rPr>
        <w:t xml:space="preserve">There is flexibility within the plan to allow for increases in transferees and/or any difference between the projected and actual attrition of officers. The actual number of new officers recruited will be carefully managed through the HR Director’s Resource Deployment Meeting. </w:t>
      </w:r>
    </w:p>
    <w:p w:rsidR="002908B7" w:rsidRPr="002908B7" w:rsidRDefault="002908B7" w:rsidP="002908B7">
      <w:pPr>
        <w:spacing w:after="0"/>
        <w:contextualSpacing/>
        <w:jc w:val="both"/>
        <w:rPr>
          <w:rFonts w:ascii="Arial" w:eastAsia="Calibri" w:hAnsi="Arial" w:cs="Arial"/>
          <w:sz w:val="24"/>
          <w:szCs w:val="24"/>
        </w:rPr>
      </w:pPr>
    </w:p>
    <w:p w:rsidR="002908B7" w:rsidRPr="002908B7" w:rsidRDefault="002908B7" w:rsidP="002908B7">
      <w:pPr>
        <w:spacing w:after="0"/>
        <w:contextualSpacing/>
        <w:jc w:val="both"/>
        <w:rPr>
          <w:rFonts w:ascii="Arial" w:eastAsia="Calibri" w:hAnsi="Arial" w:cs="Arial"/>
          <w:sz w:val="24"/>
          <w:szCs w:val="24"/>
        </w:rPr>
      </w:pPr>
    </w:p>
    <w:p w:rsidR="002908B7" w:rsidRPr="002908B7" w:rsidRDefault="002908B7" w:rsidP="002908B7">
      <w:pPr>
        <w:spacing w:after="0"/>
        <w:contextualSpacing/>
        <w:jc w:val="both"/>
        <w:rPr>
          <w:rFonts w:ascii="Arial" w:eastAsia="Calibri" w:hAnsi="Arial" w:cs="Arial"/>
          <w:b/>
          <w:sz w:val="24"/>
          <w:szCs w:val="24"/>
        </w:rPr>
      </w:pPr>
      <w:r w:rsidRPr="002908B7">
        <w:rPr>
          <w:rFonts w:ascii="Arial" w:eastAsia="Calibri" w:hAnsi="Arial" w:cs="Arial"/>
          <w:b/>
          <w:sz w:val="24"/>
          <w:szCs w:val="24"/>
        </w:rPr>
        <w:t>10.0</w:t>
      </w:r>
      <w:r w:rsidRPr="002908B7">
        <w:rPr>
          <w:rFonts w:ascii="Arial" w:eastAsia="Calibri" w:hAnsi="Arial" w:cs="Arial"/>
          <w:b/>
          <w:sz w:val="24"/>
          <w:szCs w:val="24"/>
        </w:rPr>
        <w:tab/>
        <w:t>Posting to Specialist Roles</w:t>
      </w:r>
    </w:p>
    <w:p w:rsidR="002908B7" w:rsidRPr="002908B7" w:rsidRDefault="002908B7" w:rsidP="002908B7">
      <w:pPr>
        <w:spacing w:after="0"/>
        <w:contextualSpacing/>
        <w:jc w:val="both"/>
        <w:rPr>
          <w:rFonts w:ascii="Arial" w:eastAsia="Calibri" w:hAnsi="Arial" w:cs="Arial"/>
          <w:sz w:val="24"/>
          <w:szCs w:val="24"/>
        </w:rPr>
      </w:pPr>
    </w:p>
    <w:p w:rsidR="002908B7" w:rsidRPr="002908B7" w:rsidRDefault="002908B7" w:rsidP="002908B7">
      <w:pPr>
        <w:jc w:val="both"/>
        <w:rPr>
          <w:rFonts w:ascii="Arial" w:eastAsia="Calibri" w:hAnsi="Arial" w:cs="Arial"/>
          <w:sz w:val="24"/>
          <w:szCs w:val="24"/>
        </w:rPr>
      </w:pPr>
      <w:r w:rsidRPr="002908B7">
        <w:rPr>
          <w:rFonts w:ascii="Arial" w:eastAsia="Calibri" w:hAnsi="Arial" w:cs="Arial"/>
          <w:sz w:val="24"/>
          <w:szCs w:val="24"/>
        </w:rPr>
        <w:t xml:space="preserve">As was the case for 2018/19 growth, the sequencing of recruitment to new specialist roles is critical. The approved new posts are essential to meet the Force’s priorities, but if experienced officers are lost from Local Policing Teams (LPTs) </w:t>
      </w:r>
      <w:r w:rsidRPr="002908B7">
        <w:rPr>
          <w:rFonts w:ascii="Arial" w:eastAsia="Calibri" w:hAnsi="Arial" w:cs="Arial"/>
          <w:sz w:val="24"/>
          <w:szCs w:val="24"/>
        </w:rPr>
        <w:lastRenderedPageBreak/>
        <w:t xml:space="preserve">before recruitment of student officers has taken effect, then the delivery of frontline policing services risks being compromised. </w:t>
      </w:r>
    </w:p>
    <w:p w:rsidR="002908B7" w:rsidRPr="002908B7" w:rsidRDefault="002908B7" w:rsidP="002908B7">
      <w:pPr>
        <w:jc w:val="both"/>
        <w:rPr>
          <w:rFonts w:ascii="Arial" w:eastAsia="Calibri" w:hAnsi="Arial" w:cs="Arial"/>
          <w:sz w:val="24"/>
          <w:szCs w:val="24"/>
        </w:rPr>
      </w:pPr>
      <w:r w:rsidRPr="002908B7">
        <w:rPr>
          <w:rFonts w:ascii="Arial" w:eastAsia="Calibri" w:hAnsi="Arial" w:cs="Arial"/>
          <w:sz w:val="24"/>
          <w:szCs w:val="24"/>
        </w:rPr>
        <w:t xml:space="preserve">The below table (Figure 7) shows the anticipated timeline for posting police officers into growth posts throughout 2019/20 in accordance with priorities agreed by Chief Officers. This is based on anticipated joiners and leavers and the dates on which intakes of new recruits are scheduled to achieve Independent Patrol Status. </w:t>
      </w:r>
    </w:p>
    <w:p w:rsidR="002908B7" w:rsidRPr="002908B7" w:rsidRDefault="002908B7" w:rsidP="002908B7">
      <w:pPr>
        <w:jc w:val="both"/>
        <w:rPr>
          <w:rFonts w:ascii="Arial" w:hAnsi="Arial" w:cs="Arial"/>
          <w:sz w:val="24"/>
          <w:szCs w:val="24"/>
        </w:rPr>
      </w:pPr>
      <w:r w:rsidRPr="002908B7">
        <w:rPr>
          <w:rFonts w:ascii="Arial" w:eastAsia="Calibri" w:hAnsi="Arial" w:cs="Arial"/>
          <w:sz w:val="24"/>
          <w:szCs w:val="24"/>
        </w:rPr>
        <w:t xml:space="preserve">Figure 7 outlines when it is estimated that the overall police officer growth will be sufficient for experienced officers to be released from LPTs into the new posts. </w:t>
      </w:r>
      <w:r w:rsidRPr="002908B7">
        <w:rPr>
          <w:rFonts w:ascii="Arial" w:hAnsi="Arial" w:cs="Arial"/>
          <w:sz w:val="24"/>
          <w:szCs w:val="24"/>
        </w:rPr>
        <w:t xml:space="preserve">This plan is indicative and dependent upon a number of variables and may, therefore, need to be adjusted through the Resource Deployment Meeting to meet changing operational needs, such as ensuring the Force maintains </w:t>
      </w:r>
      <w:r w:rsidRPr="002908B7">
        <w:rPr>
          <w:rFonts w:ascii="Arial" w:eastAsia="Calibri" w:hAnsi="Arial" w:cs="Arial"/>
          <w:sz w:val="24"/>
          <w:szCs w:val="24"/>
        </w:rPr>
        <w:t xml:space="preserve">the necessary </w:t>
      </w:r>
      <w:r w:rsidRPr="002908B7">
        <w:rPr>
          <w:rFonts w:ascii="Arial" w:hAnsi="Arial" w:cs="Arial"/>
          <w:sz w:val="24"/>
          <w:szCs w:val="24"/>
        </w:rPr>
        <w:t>resilience and skills within LPTs.</w:t>
      </w:r>
    </w:p>
    <w:p w:rsidR="002908B7" w:rsidRPr="002908B7" w:rsidRDefault="002908B7" w:rsidP="002908B7">
      <w:pPr>
        <w:spacing w:after="0"/>
        <w:contextualSpacing/>
        <w:jc w:val="both"/>
        <w:rPr>
          <w:rFonts w:ascii="Arial" w:eastAsia="Calibri" w:hAnsi="Arial" w:cs="Arial"/>
          <w:b/>
          <w:sz w:val="20"/>
          <w:szCs w:val="20"/>
        </w:rPr>
      </w:pPr>
    </w:p>
    <w:p w:rsidR="002908B7" w:rsidRPr="002908B7" w:rsidRDefault="002908B7" w:rsidP="002908B7">
      <w:pPr>
        <w:spacing w:after="0"/>
        <w:contextualSpacing/>
        <w:jc w:val="both"/>
        <w:rPr>
          <w:rFonts w:ascii="Arial" w:eastAsia="Calibri" w:hAnsi="Arial" w:cs="Arial"/>
          <w:b/>
          <w:sz w:val="20"/>
          <w:szCs w:val="20"/>
        </w:rPr>
      </w:pPr>
    </w:p>
    <w:p w:rsidR="002908B7" w:rsidRPr="002908B7" w:rsidRDefault="002908B7" w:rsidP="002908B7">
      <w:pPr>
        <w:spacing w:after="0"/>
        <w:contextualSpacing/>
        <w:jc w:val="both"/>
        <w:rPr>
          <w:rFonts w:ascii="Arial" w:eastAsia="Calibri" w:hAnsi="Arial" w:cs="Arial"/>
          <w:b/>
          <w:sz w:val="20"/>
          <w:szCs w:val="20"/>
        </w:rPr>
      </w:pPr>
    </w:p>
    <w:p w:rsidR="002908B7" w:rsidRPr="002908B7" w:rsidRDefault="002908B7" w:rsidP="002908B7">
      <w:pPr>
        <w:spacing w:after="0"/>
        <w:contextualSpacing/>
        <w:jc w:val="both"/>
        <w:rPr>
          <w:rFonts w:ascii="Arial" w:eastAsia="Calibri" w:hAnsi="Arial" w:cs="Arial"/>
          <w:b/>
          <w:sz w:val="20"/>
          <w:szCs w:val="20"/>
        </w:rPr>
        <w:sectPr w:rsidR="002908B7" w:rsidRPr="002908B7" w:rsidSect="00852394">
          <w:footerReference w:type="default" r:id="rId9"/>
          <w:pgSz w:w="11906" w:h="16838"/>
          <w:pgMar w:top="1440" w:right="1440" w:bottom="1440" w:left="1440" w:header="708" w:footer="708" w:gutter="0"/>
          <w:cols w:space="708"/>
          <w:docGrid w:linePitch="360"/>
        </w:sectPr>
      </w:pPr>
    </w:p>
    <w:p w:rsidR="002908B7" w:rsidRPr="002908B7" w:rsidRDefault="002908B7" w:rsidP="002908B7">
      <w:pPr>
        <w:spacing w:after="0"/>
        <w:contextualSpacing/>
        <w:jc w:val="both"/>
        <w:rPr>
          <w:rFonts w:ascii="Arial" w:eastAsia="Calibri" w:hAnsi="Arial" w:cs="Arial"/>
          <w:b/>
          <w:sz w:val="20"/>
          <w:szCs w:val="20"/>
        </w:rPr>
      </w:pPr>
    </w:p>
    <w:p w:rsidR="002908B7" w:rsidRPr="002908B7" w:rsidRDefault="002908B7" w:rsidP="002908B7">
      <w:pPr>
        <w:spacing w:after="0"/>
        <w:contextualSpacing/>
        <w:jc w:val="both"/>
        <w:rPr>
          <w:rFonts w:ascii="Arial" w:eastAsia="Calibri" w:hAnsi="Arial" w:cs="Arial"/>
          <w:b/>
          <w:sz w:val="20"/>
          <w:szCs w:val="20"/>
        </w:rPr>
      </w:pPr>
      <w:r w:rsidRPr="002908B7">
        <w:rPr>
          <w:rFonts w:ascii="Arial" w:eastAsia="Calibri" w:hAnsi="Arial" w:cs="Arial"/>
          <w:b/>
          <w:sz w:val="20"/>
          <w:szCs w:val="20"/>
        </w:rPr>
        <w:t xml:space="preserve">Figure 7: Police Officer Growth Plans </w:t>
      </w:r>
    </w:p>
    <w:p w:rsidR="002908B7" w:rsidRPr="002908B7" w:rsidRDefault="002908B7" w:rsidP="002908B7">
      <w:pPr>
        <w:spacing w:after="0"/>
        <w:ind w:left="-567" w:firstLine="567"/>
        <w:contextualSpacing/>
        <w:jc w:val="both"/>
        <w:rPr>
          <w:rFonts w:ascii="Arial" w:eastAsia="Calibri" w:hAnsi="Arial" w:cs="Arial"/>
          <w:sz w:val="24"/>
          <w:szCs w:val="24"/>
        </w:rPr>
      </w:pPr>
    </w:p>
    <w:p w:rsidR="002908B7" w:rsidRPr="002908B7" w:rsidRDefault="002908B7" w:rsidP="002908B7">
      <w:pPr>
        <w:spacing w:after="0"/>
        <w:rPr>
          <w:rFonts w:ascii="Arial" w:hAnsi="Arial" w:cs="Arial"/>
          <w:sz w:val="24"/>
          <w:szCs w:val="24"/>
        </w:rPr>
        <w:sectPr w:rsidR="002908B7" w:rsidRPr="002908B7" w:rsidSect="00B27A5D">
          <w:pgSz w:w="16838" w:h="11906" w:orient="landscape"/>
          <w:pgMar w:top="1440" w:right="1440" w:bottom="1440" w:left="1440" w:header="708" w:footer="708" w:gutter="0"/>
          <w:cols w:space="708"/>
          <w:docGrid w:linePitch="360"/>
        </w:sectPr>
      </w:pPr>
      <w:r w:rsidRPr="002908B7">
        <w:rPr>
          <w:noProof/>
          <w:lang w:eastAsia="en-GB"/>
        </w:rPr>
        <w:drawing>
          <wp:inline distT="0" distB="0" distL="0" distR="0" wp14:anchorId="2ABF526E" wp14:editId="08CA1996">
            <wp:extent cx="9347984" cy="492369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1909" cy="4925759"/>
                    </a:xfrm>
                    <a:prstGeom prst="rect">
                      <a:avLst/>
                    </a:prstGeom>
                    <a:noFill/>
                    <a:ln>
                      <a:noFill/>
                    </a:ln>
                  </pic:spPr>
                </pic:pic>
              </a:graphicData>
            </a:graphic>
          </wp:inline>
        </w:drawing>
      </w:r>
    </w:p>
    <w:p w:rsidR="002908B7" w:rsidRPr="002908B7" w:rsidRDefault="002908B7" w:rsidP="002908B7">
      <w:pPr>
        <w:spacing w:after="0"/>
        <w:rPr>
          <w:rFonts w:ascii="Arial" w:eastAsia="Times New Roman" w:hAnsi="Arial" w:cs="Arial"/>
          <w:b/>
          <w:sz w:val="24"/>
          <w:szCs w:val="24"/>
          <w:lang w:val="en-US" w:eastAsia="en-GB"/>
        </w:rPr>
      </w:pPr>
      <w:r w:rsidRPr="002908B7">
        <w:rPr>
          <w:rFonts w:ascii="Arial" w:eastAsia="Times New Roman" w:hAnsi="Arial" w:cs="Arial"/>
          <w:b/>
          <w:sz w:val="24"/>
          <w:szCs w:val="24"/>
          <w:lang w:val="en-US" w:eastAsia="en-GB"/>
        </w:rPr>
        <w:lastRenderedPageBreak/>
        <w:t>11.0</w:t>
      </w:r>
      <w:r w:rsidRPr="002908B7">
        <w:rPr>
          <w:rFonts w:ascii="Arial" w:eastAsia="Times New Roman" w:hAnsi="Arial" w:cs="Arial"/>
          <w:b/>
          <w:sz w:val="24"/>
          <w:szCs w:val="24"/>
          <w:lang w:val="en-US" w:eastAsia="en-GB"/>
        </w:rPr>
        <w:tab/>
        <w:t>Implementation Update</w:t>
      </w:r>
    </w:p>
    <w:p w:rsidR="002908B7" w:rsidRPr="002908B7" w:rsidRDefault="002908B7" w:rsidP="002908B7">
      <w:pPr>
        <w:spacing w:after="0"/>
        <w:rPr>
          <w:rFonts w:ascii="Arial" w:eastAsia="Times New Roman" w:hAnsi="Arial" w:cs="Arial"/>
          <w:b/>
          <w:sz w:val="24"/>
          <w:szCs w:val="24"/>
          <w:u w:val="single"/>
          <w:lang w:val="en-US" w:eastAsia="en-GB"/>
        </w:rPr>
      </w:pP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sz w:val="24"/>
          <w:szCs w:val="24"/>
          <w:lang w:val="en-US" w:eastAsia="en-GB"/>
        </w:rPr>
        <w:t>There are a small number of specialist teams intending to recruit experienced officers from May 2019 (see Figure 7) where the relatively small number of officers to be invested can be accommodated through the normal resourcing priority process. The recruitment is already underway with the Violence and Vulnerability Unit Inspector already in post. Detailed implementation plans are being developed for each strand of investment.</w:t>
      </w:r>
    </w:p>
    <w:p w:rsidR="002908B7" w:rsidRPr="002908B7" w:rsidRDefault="002908B7" w:rsidP="002908B7">
      <w:pPr>
        <w:spacing w:after="0"/>
        <w:jc w:val="both"/>
        <w:rPr>
          <w:rFonts w:ascii="Arial" w:eastAsia="Times New Roman" w:hAnsi="Arial" w:cs="Arial"/>
          <w:b/>
          <w:sz w:val="24"/>
          <w:szCs w:val="24"/>
          <w:u w:val="single"/>
          <w:lang w:val="en-US" w:eastAsia="en-GB"/>
        </w:rPr>
      </w:pPr>
      <w:r w:rsidRPr="002908B7">
        <w:rPr>
          <w:rFonts w:ascii="Arial" w:eastAsia="Times New Roman" w:hAnsi="Arial" w:cs="Arial"/>
          <w:b/>
          <w:sz w:val="24"/>
          <w:szCs w:val="24"/>
          <w:u w:val="single"/>
          <w:lang w:val="en-US" w:eastAsia="en-GB"/>
        </w:rPr>
        <w:t xml:space="preserve"> </w:t>
      </w:r>
    </w:p>
    <w:p w:rsidR="002908B7" w:rsidRPr="002908B7" w:rsidRDefault="002908B7" w:rsidP="002908B7">
      <w:pPr>
        <w:spacing w:after="0"/>
        <w:rPr>
          <w:rFonts w:ascii="Arial" w:hAnsi="Arial" w:cs="Arial"/>
          <w:sz w:val="24"/>
          <w:szCs w:val="24"/>
        </w:rPr>
      </w:pPr>
      <w:r w:rsidRPr="002908B7">
        <w:rPr>
          <w:rFonts w:ascii="Arial" w:hAnsi="Arial" w:cs="Arial"/>
          <w:sz w:val="24"/>
          <w:szCs w:val="24"/>
        </w:rPr>
        <w:t>11.1</w:t>
      </w:r>
      <w:r w:rsidRPr="002908B7">
        <w:rPr>
          <w:rFonts w:ascii="Arial" w:hAnsi="Arial" w:cs="Arial"/>
          <w:sz w:val="24"/>
          <w:szCs w:val="24"/>
        </w:rPr>
        <w:tab/>
      </w:r>
      <w:r w:rsidRPr="002908B7">
        <w:rPr>
          <w:rFonts w:ascii="Arial" w:hAnsi="Arial" w:cs="Arial"/>
          <w:sz w:val="24"/>
          <w:szCs w:val="24"/>
          <w:u w:val="single"/>
        </w:rPr>
        <w:t>Town Centre Teams</w:t>
      </w:r>
      <w:r w:rsidRPr="002908B7">
        <w:rPr>
          <w:rFonts w:ascii="Arial" w:hAnsi="Arial" w:cs="Arial"/>
          <w:b/>
          <w:sz w:val="24"/>
          <w:szCs w:val="24"/>
        </w:rPr>
        <w:t xml:space="preserve">  </w:t>
      </w:r>
    </w:p>
    <w:p w:rsidR="002908B7" w:rsidRPr="002908B7" w:rsidRDefault="002908B7" w:rsidP="002908B7">
      <w:pPr>
        <w:spacing w:after="0"/>
        <w:ind w:left="720"/>
        <w:rPr>
          <w:rFonts w:ascii="Arial" w:hAnsi="Arial" w:cs="Arial"/>
          <w:b/>
          <w:sz w:val="24"/>
          <w:szCs w:val="24"/>
          <w:u w:val="single"/>
        </w:rPr>
      </w:pP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hAnsi="Arial" w:cs="Arial"/>
          <w:sz w:val="24"/>
          <w:szCs w:val="24"/>
        </w:rPr>
        <w:t>The first substantial investment (68) to be implemented will be the Town Centre Teams</w:t>
      </w:r>
      <w:r w:rsidRPr="002908B7">
        <w:rPr>
          <w:rFonts w:ascii="Arial" w:eastAsia="Times New Roman" w:hAnsi="Arial" w:cs="Arial"/>
          <w:sz w:val="24"/>
          <w:szCs w:val="24"/>
          <w:lang w:val="en-US" w:eastAsia="en-GB"/>
        </w:rPr>
        <w:t xml:space="preserve">. </w:t>
      </w:r>
      <w:r w:rsidRPr="002908B7">
        <w:rPr>
          <w:rFonts w:ascii="Arial" w:eastAsia="Times New Roman" w:hAnsi="Arial" w:cs="Arial"/>
          <w:b/>
          <w:sz w:val="24"/>
          <w:szCs w:val="24"/>
          <w:lang w:val="en-US" w:eastAsia="en-GB"/>
        </w:rPr>
        <w:t>The recruitment to these teams is underway and on track for implementation in July.</w:t>
      </w:r>
      <w:r w:rsidRPr="002908B7">
        <w:rPr>
          <w:rFonts w:ascii="Arial" w:eastAsia="Times New Roman" w:hAnsi="Arial" w:cs="Arial"/>
          <w:sz w:val="24"/>
          <w:szCs w:val="24"/>
          <w:lang w:val="en-US" w:eastAsia="en-GB"/>
        </w:rPr>
        <w:t xml:space="preserve"> </w:t>
      </w:r>
    </w:p>
    <w:p w:rsidR="002908B7" w:rsidRPr="002908B7" w:rsidRDefault="002908B7" w:rsidP="002908B7">
      <w:pPr>
        <w:jc w:val="both"/>
        <w:rPr>
          <w:rFonts w:ascii="Arial" w:hAnsi="Arial" w:cs="Arial"/>
          <w:sz w:val="24"/>
          <w:szCs w:val="24"/>
        </w:rPr>
      </w:pPr>
      <w:r w:rsidRPr="002908B7">
        <w:rPr>
          <w:rFonts w:ascii="Arial" w:hAnsi="Arial" w:cs="Arial"/>
          <w:sz w:val="24"/>
          <w:szCs w:val="24"/>
        </w:rPr>
        <w:br/>
        <w:t>The Town Centre Teams will place additional police officers in town centres across Essex. This will enable greater targeting of crime and anti-social behaviour (ASB) in town centres and promote local confidence through visible policing interventions. There are clear links between town centre locations and community and partner priorities as well as street-based violence and vulnerability.</w:t>
      </w:r>
    </w:p>
    <w:p w:rsidR="002908B7" w:rsidRPr="002908B7" w:rsidRDefault="002908B7" w:rsidP="002908B7">
      <w:pPr>
        <w:rPr>
          <w:rFonts w:ascii="Arial" w:hAnsi="Arial" w:cs="Arial"/>
          <w:sz w:val="24"/>
          <w:szCs w:val="24"/>
        </w:rPr>
      </w:pPr>
      <w:r w:rsidRPr="002908B7">
        <w:rPr>
          <w:rFonts w:ascii="Arial" w:hAnsi="Arial" w:cs="Arial"/>
          <w:sz w:val="24"/>
          <w:szCs w:val="24"/>
        </w:rPr>
        <w:t>Analysis of data on local population, crime and ASB have been used to calculate the appropriate allocation of officers to Town Centres (Figure 8).</w:t>
      </w: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830F00" w:rsidRDefault="00830F00" w:rsidP="002908B7">
      <w:pPr>
        <w:rPr>
          <w:rFonts w:ascii="Arial" w:hAnsi="Arial" w:cs="Arial"/>
          <w:b/>
          <w:sz w:val="20"/>
          <w:szCs w:val="20"/>
        </w:rPr>
      </w:pPr>
    </w:p>
    <w:p w:rsidR="002908B7" w:rsidRPr="002908B7" w:rsidRDefault="002908B7" w:rsidP="002908B7">
      <w:pPr>
        <w:rPr>
          <w:rFonts w:ascii="Arial" w:hAnsi="Arial" w:cs="Arial"/>
          <w:sz w:val="24"/>
          <w:szCs w:val="24"/>
        </w:rPr>
      </w:pPr>
      <w:r w:rsidRPr="002908B7">
        <w:rPr>
          <w:rFonts w:ascii="Arial" w:hAnsi="Arial" w:cs="Arial"/>
          <w:b/>
          <w:sz w:val="20"/>
          <w:szCs w:val="20"/>
        </w:rPr>
        <w:t>Figure 8: proposed allocation of Town Centre Officers</w:t>
      </w:r>
    </w:p>
    <w:tbl>
      <w:tblPr>
        <w:tblW w:w="5529" w:type="dxa"/>
        <w:tblLook w:val="04A0" w:firstRow="1" w:lastRow="0" w:firstColumn="1" w:lastColumn="0" w:noHBand="0" w:noVBand="1"/>
      </w:tblPr>
      <w:tblGrid>
        <w:gridCol w:w="491"/>
        <w:gridCol w:w="2020"/>
        <w:gridCol w:w="1213"/>
        <w:gridCol w:w="1805"/>
      </w:tblGrid>
      <w:tr w:rsidR="002908B7" w:rsidRPr="002908B7" w:rsidTr="001D4C02">
        <w:trPr>
          <w:trHeight w:val="300"/>
        </w:trPr>
        <w:tc>
          <w:tcPr>
            <w:tcW w:w="491" w:type="dxa"/>
            <w:tcBorders>
              <w:top w:val="nil"/>
              <w:left w:val="nil"/>
              <w:bottom w:val="nil"/>
              <w:right w:val="nil"/>
            </w:tcBorders>
            <w:shd w:val="clear" w:color="auto" w:fill="auto"/>
            <w:noWrap/>
            <w:vAlign w:val="bottom"/>
            <w:hideMark/>
          </w:tcPr>
          <w:p w:rsidR="002908B7" w:rsidRPr="002908B7" w:rsidRDefault="002908B7" w:rsidP="002908B7">
            <w:pPr>
              <w:spacing w:after="0" w:line="240" w:lineRule="auto"/>
              <w:rPr>
                <w:rFonts w:ascii="Times New Roman" w:eastAsia="Times New Roman" w:hAnsi="Times New Roman" w:cs="Times New Roman"/>
                <w:sz w:val="24"/>
                <w:szCs w:val="24"/>
                <w:lang w:eastAsia="en-GB"/>
              </w:rPr>
            </w:pPr>
          </w:p>
        </w:tc>
        <w:tc>
          <w:tcPr>
            <w:tcW w:w="2020" w:type="dxa"/>
            <w:tcBorders>
              <w:top w:val="nil"/>
              <w:left w:val="nil"/>
              <w:bottom w:val="nil"/>
              <w:right w:val="nil"/>
            </w:tcBorders>
            <w:shd w:val="clear" w:color="auto" w:fill="auto"/>
            <w:noWrap/>
            <w:vAlign w:val="bottom"/>
            <w:hideMark/>
          </w:tcPr>
          <w:p w:rsidR="002908B7" w:rsidRPr="002908B7" w:rsidRDefault="002908B7" w:rsidP="002908B7">
            <w:pPr>
              <w:spacing w:after="0" w:line="240" w:lineRule="auto"/>
              <w:rPr>
                <w:rFonts w:ascii="Times New Roman" w:eastAsia="Times New Roman" w:hAnsi="Times New Roman" w:cs="Times New Roman"/>
                <w:sz w:val="20"/>
                <w:szCs w:val="20"/>
                <w:lang w:eastAsia="en-GB"/>
              </w:rPr>
            </w:pPr>
          </w:p>
        </w:tc>
        <w:tc>
          <w:tcPr>
            <w:tcW w:w="1213"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Constables</w:t>
            </w:r>
          </w:p>
        </w:tc>
        <w:tc>
          <w:tcPr>
            <w:tcW w:w="1805" w:type="dxa"/>
            <w:tcBorders>
              <w:top w:val="single" w:sz="4" w:space="0" w:color="auto"/>
              <w:left w:val="nil"/>
              <w:bottom w:val="single" w:sz="4" w:space="0" w:color="auto"/>
              <w:right w:val="single" w:sz="4" w:space="0" w:color="auto"/>
            </w:tcBorders>
            <w:shd w:val="clear" w:color="000000" w:fill="0070C0"/>
            <w:noWrap/>
            <w:vAlign w:val="bottom"/>
            <w:hideMark/>
          </w:tcPr>
          <w:p w:rsidR="002908B7" w:rsidRPr="002908B7" w:rsidRDefault="002908B7" w:rsidP="002908B7">
            <w:pPr>
              <w:spacing w:after="0" w:line="240" w:lineRule="auto"/>
              <w:jc w:val="center"/>
              <w:rPr>
                <w:rFonts w:ascii="Calibri" w:eastAsia="Times New Roman" w:hAnsi="Calibri" w:cs="Calibri"/>
                <w:b/>
                <w:bCs/>
                <w:color w:val="FFFFFF"/>
                <w:lang w:eastAsia="en-GB"/>
              </w:rPr>
            </w:pPr>
            <w:r w:rsidRPr="002908B7">
              <w:rPr>
                <w:rFonts w:ascii="Calibri" w:eastAsia="Times New Roman" w:hAnsi="Calibri" w:cs="Calibri"/>
                <w:b/>
                <w:bCs/>
                <w:color w:val="FFFFFF"/>
                <w:lang w:eastAsia="en-GB"/>
              </w:rPr>
              <w:t xml:space="preserve">Sergeants </w:t>
            </w:r>
            <w:r w:rsidRPr="002908B7">
              <w:rPr>
                <w:rFonts w:ascii="Calibri" w:eastAsia="Times New Roman" w:hAnsi="Calibri" w:cs="Calibri"/>
                <w:b/>
                <w:bCs/>
                <w:color w:val="FFFFFF"/>
                <w:lang w:eastAsia="en-GB"/>
              </w:rPr>
              <w:br/>
            </w:r>
            <w:r w:rsidRPr="002908B7">
              <w:rPr>
                <w:rFonts w:ascii="Calibri" w:eastAsia="Times New Roman" w:hAnsi="Calibri" w:cs="Calibri"/>
                <w:bCs/>
                <w:color w:val="FFFFFF"/>
                <w:sz w:val="16"/>
                <w:lang w:eastAsia="en-GB"/>
              </w:rPr>
              <w:t>(One per Police District)</w:t>
            </w:r>
          </w:p>
        </w:tc>
      </w:tr>
      <w:tr w:rsidR="002908B7" w:rsidRPr="002908B7" w:rsidTr="001D4C02">
        <w:trPr>
          <w:trHeight w:val="300"/>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South LPA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Southend</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5</w:t>
            </w:r>
          </w:p>
        </w:tc>
        <w:tc>
          <w:tcPr>
            <w:tcW w:w="1805"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Rochford</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Rayleigh</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Canvey</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Basildon</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Billericay</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roofErr w:type="spellStart"/>
            <w:r w:rsidRPr="002908B7">
              <w:rPr>
                <w:rFonts w:ascii="Calibri" w:eastAsia="Times New Roman" w:hAnsi="Calibri" w:cs="Calibri"/>
                <w:color w:val="000000"/>
                <w:lang w:eastAsia="en-GB"/>
              </w:rPr>
              <w:t>Wickford</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val="restart"/>
            <w:tcBorders>
              <w:top w:val="nil"/>
              <w:left w:val="single" w:sz="4" w:space="0" w:color="auto"/>
              <w:bottom w:val="single" w:sz="4" w:space="0" w:color="auto"/>
              <w:right w:val="single" w:sz="4" w:space="0" w:color="auto"/>
            </w:tcBorders>
            <w:shd w:val="clear" w:color="000000" w:fill="FFC000"/>
            <w:noWrap/>
            <w:textDirection w:val="btLr"/>
            <w:vAlign w:val="center"/>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West LPA</w:t>
            </w: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roofErr w:type="spellStart"/>
            <w:r w:rsidRPr="002908B7">
              <w:rPr>
                <w:rFonts w:ascii="Calibri" w:eastAsia="Times New Roman" w:hAnsi="Calibri" w:cs="Calibri"/>
                <w:color w:val="000000"/>
                <w:lang w:eastAsia="en-GB"/>
              </w:rPr>
              <w:t>Grays</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 xml:space="preserve">South </w:t>
            </w:r>
            <w:proofErr w:type="spellStart"/>
            <w:r w:rsidRPr="002908B7">
              <w:rPr>
                <w:rFonts w:ascii="Calibri" w:eastAsia="Times New Roman" w:hAnsi="Calibri" w:cs="Calibri"/>
                <w:color w:val="000000"/>
                <w:lang w:eastAsia="en-GB"/>
              </w:rPr>
              <w:t>Ockendon</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Stanford le Hope</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Brentwood</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Loughton</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Waltham Abbey</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Harlow</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1805"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val="restart"/>
            <w:tcBorders>
              <w:top w:val="nil"/>
              <w:left w:val="single" w:sz="4" w:space="0" w:color="auto"/>
              <w:bottom w:val="single" w:sz="4" w:space="0" w:color="auto"/>
              <w:right w:val="single" w:sz="4" w:space="0" w:color="auto"/>
            </w:tcBorders>
            <w:shd w:val="clear" w:color="000000" w:fill="FFC000"/>
            <w:noWrap/>
            <w:textDirection w:val="btLr"/>
            <w:vAlign w:val="center"/>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North LPA</w:t>
            </w: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Chelmsford</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Maldon</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615"/>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 xml:space="preserve">South </w:t>
            </w:r>
            <w:proofErr w:type="spellStart"/>
            <w:r w:rsidRPr="002908B7">
              <w:rPr>
                <w:rFonts w:ascii="Calibri" w:eastAsia="Times New Roman" w:hAnsi="Calibri" w:cs="Calibri"/>
                <w:color w:val="000000"/>
                <w:lang w:eastAsia="en-GB"/>
              </w:rPr>
              <w:t>Woodham</w:t>
            </w:r>
            <w:proofErr w:type="spellEnd"/>
            <w:r w:rsidRPr="002908B7">
              <w:rPr>
                <w:rFonts w:ascii="Calibri" w:eastAsia="Times New Roman" w:hAnsi="Calibri" w:cs="Calibri"/>
                <w:color w:val="000000"/>
                <w:lang w:eastAsia="en-GB"/>
              </w:rPr>
              <w:t xml:space="preserve"> </w:t>
            </w:r>
            <w:proofErr w:type="spellStart"/>
            <w:r w:rsidRPr="002908B7">
              <w:rPr>
                <w:rFonts w:ascii="Calibri" w:eastAsia="Times New Roman" w:hAnsi="Calibri" w:cs="Calibri"/>
                <w:color w:val="000000"/>
                <w:lang w:eastAsia="en-GB"/>
              </w:rPr>
              <w:t>Ferrers</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Witham</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Braintree</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Saffron Walden</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Colchester</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4</w:t>
            </w:r>
          </w:p>
        </w:tc>
        <w:tc>
          <w:tcPr>
            <w:tcW w:w="1805"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Harwich</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2</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1</w:t>
            </w:r>
          </w:p>
        </w:tc>
      </w:tr>
      <w:tr w:rsidR="002908B7" w:rsidRPr="002908B7" w:rsidTr="001D4C02">
        <w:trPr>
          <w:trHeight w:val="300"/>
        </w:trPr>
        <w:tc>
          <w:tcPr>
            <w:tcW w:w="491" w:type="dxa"/>
            <w:vMerge/>
            <w:tcBorders>
              <w:top w:val="nil"/>
              <w:left w:val="single" w:sz="4" w:space="0" w:color="auto"/>
              <w:bottom w:val="single" w:sz="4" w:space="0" w:color="auto"/>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b/>
                <w:bCs/>
                <w:color w:val="000000"/>
                <w:lang w:eastAsia="en-GB"/>
              </w:rPr>
            </w:pPr>
          </w:p>
        </w:tc>
        <w:tc>
          <w:tcPr>
            <w:tcW w:w="2020"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rPr>
                <w:rFonts w:ascii="Calibri" w:eastAsia="Times New Roman" w:hAnsi="Calibri" w:cs="Calibri"/>
                <w:color w:val="000000"/>
                <w:lang w:eastAsia="en-GB"/>
              </w:rPr>
            </w:pPr>
            <w:r w:rsidRPr="002908B7">
              <w:rPr>
                <w:rFonts w:ascii="Calibri" w:eastAsia="Times New Roman" w:hAnsi="Calibri" w:cs="Calibri"/>
                <w:color w:val="000000"/>
                <w:lang w:eastAsia="en-GB"/>
              </w:rPr>
              <w:t>Clacton</w:t>
            </w:r>
          </w:p>
        </w:tc>
        <w:tc>
          <w:tcPr>
            <w:tcW w:w="1213" w:type="dxa"/>
            <w:tcBorders>
              <w:top w:val="nil"/>
              <w:left w:val="nil"/>
              <w:bottom w:val="single" w:sz="4" w:space="0" w:color="auto"/>
              <w:right w:val="single" w:sz="4" w:space="0" w:color="auto"/>
            </w:tcBorders>
            <w:shd w:val="clear" w:color="auto" w:fill="auto"/>
            <w:vAlign w:val="center"/>
            <w:hideMark/>
          </w:tcPr>
          <w:p w:rsidR="002908B7" w:rsidRPr="002908B7" w:rsidRDefault="002908B7" w:rsidP="002908B7">
            <w:pPr>
              <w:spacing w:after="0" w:line="240" w:lineRule="auto"/>
              <w:jc w:val="center"/>
              <w:rPr>
                <w:rFonts w:ascii="Calibri" w:eastAsia="Times New Roman" w:hAnsi="Calibri" w:cs="Calibri"/>
                <w:color w:val="000000"/>
                <w:lang w:eastAsia="en-GB"/>
              </w:rPr>
            </w:pPr>
            <w:r w:rsidRPr="002908B7">
              <w:rPr>
                <w:rFonts w:ascii="Calibri" w:eastAsia="Times New Roman" w:hAnsi="Calibri" w:cs="Calibri"/>
                <w:color w:val="000000"/>
                <w:lang w:eastAsia="en-GB"/>
              </w:rPr>
              <w:t>3</w:t>
            </w:r>
          </w:p>
        </w:tc>
        <w:tc>
          <w:tcPr>
            <w:tcW w:w="1805" w:type="dxa"/>
            <w:vMerge/>
            <w:tcBorders>
              <w:top w:val="nil"/>
              <w:left w:val="single" w:sz="4" w:space="0" w:color="auto"/>
              <w:bottom w:val="single" w:sz="4" w:space="0" w:color="000000"/>
              <w:right w:val="single" w:sz="4" w:space="0" w:color="auto"/>
            </w:tcBorders>
            <w:vAlign w:val="center"/>
            <w:hideMark/>
          </w:tcPr>
          <w:p w:rsidR="002908B7" w:rsidRPr="002908B7" w:rsidRDefault="002908B7" w:rsidP="002908B7">
            <w:pPr>
              <w:spacing w:after="0" w:line="240" w:lineRule="auto"/>
              <w:rPr>
                <w:rFonts w:ascii="Calibri" w:eastAsia="Times New Roman" w:hAnsi="Calibri" w:cs="Calibri"/>
                <w:color w:val="000000"/>
                <w:lang w:eastAsia="en-GB"/>
              </w:rPr>
            </w:pPr>
          </w:p>
        </w:tc>
      </w:tr>
      <w:tr w:rsidR="002908B7" w:rsidRPr="002908B7" w:rsidTr="001D4C02">
        <w:trPr>
          <w:trHeight w:val="300"/>
        </w:trPr>
        <w:tc>
          <w:tcPr>
            <w:tcW w:w="491" w:type="dxa"/>
            <w:tcBorders>
              <w:top w:val="nil"/>
              <w:left w:val="nil"/>
              <w:bottom w:val="nil"/>
              <w:right w:val="nil"/>
            </w:tcBorders>
            <w:shd w:val="clear" w:color="auto" w:fill="auto"/>
            <w:noWrap/>
            <w:vAlign w:val="bottom"/>
            <w:hideMark/>
          </w:tcPr>
          <w:p w:rsidR="002908B7" w:rsidRPr="002908B7" w:rsidRDefault="002908B7" w:rsidP="002908B7">
            <w:pPr>
              <w:spacing w:after="0" w:line="240" w:lineRule="auto"/>
              <w:jc w:val="center"/>
              <w:rPr>
                <w:rFonts w:ascii="Calibri" w:eastAsia="Times New Roman" w:hAnsi="Calibri" w:cs="Calibri"/>
                <w:color w:val="000000"/>
                <w:lang w:eastAsia="en-GB"/>
              </w:rPr>
            </w:pPr>
          </w:p>
        </w:tc>
        <w:tc>
          <w:tcPr>
            <w:tcW w:w="2020" w:type="dxa"/>
            <w:tcBorders>
              <w:top w:val="nil"/>
              <w:left w:val="nil"/>
              <w:bottom w:val="nil"/>
              <w:right w:val="nil"/>
            </w:tcBorders>
            <w:shd w:val="clear" w:color="auto" w:fill="auto"/>
            <w:noWrap/>
            <w:vAlign w:val="bottom"/>
            <w:hideMark/>
          </w:tcPr>
          <w:p w:rsidR="002908B7" w:rsidRPr="002908B7" w:rsidRDefault="002908B7" w:rsidP="002908B7">
            <w:pPr>
              <w:spacing w:after="0" w:line="240" w:lineRule="auto"/>
              <w:rPr>
                <w:rFonts w:ascii="Times New Roman" w:eastAsia="Times New Roman" w:hAnsi="Times New Roman" w:cs="Times New Roman"/>
                <w:sz w:val="20"/>
                <w:szCs w:val="20"/>
                <w:lang w:eastAsia="en-GB"/>
              </w:rPr>
            </w:pPr>
          </w:p>
        </w:tc>
        <w:tc>
          <w:tcPr>
            <w:tcW w:w="1213" w:type="dxa"/>
            <w:tcBorders>
              <w:top w:val="nil"/>
              <w:left w:val="single" w:sz="4" w:space="0" w:color="auto"/>
              <w:bottom w:val="single" w:sz="4" w:space="0" w:color="auto"/>
              <w:right w:val="single" w:sz="4" w:space="0" w:color="auto"/>
            </w:tcBorders>
            <w:shd w:val="clear" w:color="000000" w:fill="FFFF00"/>
            <w:noWrap/>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58</w:t>
            </w:r>
          </w:p>
        </w:tc>
        <w:tc>
          <w:tcPr>
            <w:tcW w:w="1805" w:type="dxa"/>
            <w:tcBorders>
              <w:top w:val="nil"/>
              <w:left w:val="nil"/>
              <w:bottom w:val="single" w:sz="4" w:space="0" w:color="auto"/>
              <w:right w:val="single" w:sz="4" w:space="0" w:color="auto"/>
            </w:tcBorders>
            <w:shd w:val="clear" w:color="000000" w:fill="FFFF00"/>
            <w:noWrap/>
            <w:vAlign w:val="bottom"/>
            <w:hideMark/>
          </w:tcPr>
          <w:p w:rsidR="002908B7" w:rsidRPr="002908B7" w:rsidRDefault="002908B7" w:rsidP="002908B7">
            <w:pPr>
              <w:spacing w:after="0" w:line="240" w:lineRule="auto"/>
              <w:jc w:val="center"/>
              <w:rPr>
                <w:rFonts w:ascii="Calibri" w:eastAsia="Times New Roman" w:hAnsi="Calibri" w:cs="Calibri"/>
                <w:b/>
                <w:bCs/>
                <w:color w:val="000000"/>
                <w:lang w:eastAsia="en-GB"/>
              </w:rPr>
            </w:pPr>
            <w:r w:rsidRPr="002908B7">
              <w:rPr>
                <w:rFonts w:ascii="Calibri" w:eastAsia="Times New Roman" w:hAnsi="Calibri" w:cs="Calibri"/>
                <w:b/>
                <w:bCs/>
                <w:color w:val="000000"/>
                <w:lang w:eastAsia="en-GB"/>
              </w:rPr>
              <w:t>10</w:t>
            </w:r>
          </w:p>
        </w:tc>
      </w:tr>
    </w:tbl>
    <w:p w:rsidR="002908B7" w:rsidRPr="002908B7" w:rsidRDefault="002908B7" w:rsidP="002908B7">
      <w:pPr>
        <w:jc w:val="both"/>
        <w:rPr>
          <w:rFonts w:ascii="Arial" w:hAnsi="Arial" w:cs="Arial"/>
          <w:sz w:val="24"/>
          <w:szCs w:val="24"/>
          <w:u w:val="single"/>
        </w:rPr>
      </w:pPr>
    </w:p>
    <w:p w:rsidR="002908B7" w:rsidRPr="002908B7" w:rsidRDefault="002908B7" w:rsidP="002908B7">
      <w:pPr>
        <w:jc w:val="both"/>
        <w:rPr>
          <w:rFonts w:ascii="Arial" w:hAnsi="Arial" w:cs="Arial"/>
          <w:sz w:val="24"/>
          <w:szCs w:val="24"/>
        </w:rPr>
      </w:pPr>
      <w:r w:rsidRPr="002908B7">
        <w:rPr>
          <w:rFonts w:ascii="Arial" w:hAnsi="Arial" w:cs="Arial"/>
          <w:sz w:val="24"/>
          <w:szCs w:val="24"/>
        </w:rPr>
        <w:t>This investment into Town Centre Teams is a further increase in Community Policing Teams following the 2018/19 investment. Including the Children and Young Persons Officers expected to be implemented in December 2019, CPTs will have had a net investment of 127 Constables over two years. To support these teams, 10 additional sergeants will form part of the Town Centre Team uplift and be allocated to each of the 10 CPTs in the Force.</w:t>
      </w:r>
    </w:p>
    <w:p w:rsidR="002908B7" w:rsidRPr="002908B7" w:rsidRDefault="002908B7" w:rsidP="002908B7">
      <w:pPr>
        <w:spacing w:after="0"/>
        <w:jc w:val="both"/>
        <w:rPr>
          <w:rFonts w:ascii="Arial" w:eastAsia="Times New Roman" w:hAnsi="Arial" w:cs="Arial"/>
          <w:b/>
          <w:sz w:val="24"/>
          <w:szCs w:val="24"/>
          <w:lang w:val="en-US" w:eastAsia="en-GB"/>
        </w:rPr>
      </w:pPr>
    </w:p>
    <w:p w:rsidR="002908B7" w:rsidRPr="002908B7" w:rsidRDefault="002908B7" w:rsidP="002908B7">
      <w:pPr>
        <w:spacing w:after="0"/>
        <w:jc w:val="both"/>
        <w:rPr>
          <w:rFonts w:ascii="Arial" w:eastAsia="Times New Roman" w:hAnsi="Arial" w:cs="Arial"/>
          <w:sz w:val="24"/>
          <w:szCs w:val="24"/>
          <w:lang w:val="en-US" w:eastAsia="en-GB"/>
        </w:rPr>
      </w:pPr>
      <w:r w:rsidRPr="002908B7">
        <w:rPr>
          <w:rFonts w:ascii="Arial" w:eastAsia="Times New Roman" w:hAnsi="Arial" w:cs="Arial"/>
          <w:b/>
          <w:sz w:val="24"/>
          <w:szCs w:val="24"/>
          <w:lang w:val="en-US" w:eastAsia="en-GB"/>
        </w:rPr>
        <w:t>12.0</w:t>
      </w:r>
      <w:r w:rsidRPr="002908B7">
        <w:rPr>
          <w:rFonts w:ascii="Arial" w:eastAsia="Times New Roman" w:hAnsi="Arial" w:cs="Arial"/>
          <w:b/>
          <w:sz w:val="24"/>
          <w:szCs w:val="24"/>
          <w:lang w:val="en-US" w:eastAsia="en-GB"/>
        </w:rPr>
        <w:tab/>
        <w:t>Conclusion to 2019/2020 Growth</w:t>
      </w:r>
    </w:p>
    <w:p w:rsidR="002908B7" w:rsidRPr="002908B7" w:rsidRDefault="002908B7" w:rsidP="002908B7">
      <w:pPr>
        <w:spacing w:after="0"/>
        <w:rPr>
          <w:rFonts w:ascii="Arial" w:eastAsia="Times New Roman" w:hAnsi="Arial" w:cs="Arial"/>
          <w:b/>
          <w:sz w:val="24"/>
          <w:szCs w:val="24"/>
          <w:lang w:val="en-US" w:eastAsia="en-GB"/>
        </w:rPr>
      </w:pPr>
    </w:p>
    <w:p w:rsidR="008B4C50" w:rsidRDefault="002908B7" w:rsidP="00E70ACC">
      <w:pPr>
        <w:spacing w:after="0"/>
        <w:jc w:val="both"/>
      </w:pPr>
      <w:r w:rsidRPr="002908B7">
        <w:rPr>
          <w:rFonts w:ascii="Arial" w:eastAsia="Times New Roman" w:hAnsi="Arial" w:cs="Arial"/>
          <w:sz w:val="24"/>
          <w:szCs w:val="24"/>
          <w:lang w:val="en-US" w:eastAsia="en-GB"/>
        </w:rPr>
        <w:t xml:space="preserve">There is strong governance in place to support the 2019/20 growth </w:t>
      </w:r>
      <w:proofErr w:type="spellStart"/>
      <w:r w:rsidRPr="002908B7">
        <w:rPr>
          <w:rFonts w:ascii="Arial" w:eastAsia="Times New Roman" w:hAnsi="Arial" w:cs="Arial"/>
          <w:sz w:val="24"/>
          <w:szCs w:val="24"/>
          <w:lang w:val="en-US" w:eastAsia="en-GB"/>
        </w:rPr>
        <w:t>programme</w:t>
      </w:r>
      <w:proofErr w:type="spellEnd"/>
      <w:r w:rsidRPr="002908B7">
        <w:rPr>
          <w:rFonts w:ascii="Arial" w:eastAsia="Times New Roman" w:hAnsi="Arial" w:cs="Arial"/>
          <w:sz w:val="24"/>
          <w:szCs w:val="24"/>
          <w:lang w:val="en-US" w:eastAsia="en-GB"/>
        </w:rPr>
        <w:t xml:space="preserve"> to ensure that the implementation plan runs smoothly. This includes robust </w:t>
      </w:r>
      <w:proofErr w:type="spellStart"/>
      <w:r w:rsidRPr="002908B7">
        <w:rPr>
          <w:rFonts w:ascii="Arial" w:eastAsia="Times New Roman" w:hAnsi="Arial" w:cs="Arial"/>
          <w:sz w:val="24"/>
          <w:szCs w:val="24"/>
          <w:lang w:val="en-US" w:eastAsia="en-GB"/>
        </w:rPr>
        <w:t>programme</w:t>
      </w:r>
      <w:proofErr w:type="spellEnd"/>
      <w:r w:rsidRPr="002908B7">
        <w:rPr>
          <w:rFonts w:ascii="Arial" w:eastAsia="Times New Roman" w:hAnsi="Arial" w:cs="Arial"/>
          <w:sz w:val="24"/>
          <w:szCs w:val="24"/>
          <w:lang w:val="en-US" w:eastAsia="en-GB"/>
        </w:rPr>
        <w:t xml:space="preserve"> management to co-ordinate and monitor activity as well </w:t>
      </w:r>
      <w:r w:rsidRPr="002908B7">
        <w:rPr>
          <w:rFonts w:ascii="Arial" w:hAnsi="Arial" w:cs="Arial"/>
          <w:sz w:val="24"/>
          <w:szCs w:val="24"/>
        </w:rPr>
        <w:t>as a structure that ensures Chief Officers and the OPFCC have appropriate oversight on progress.</w:t>
      </w:r>
      <w:r w:rsidRPr="002908B7">
        <w:rPr>
          <w:rFonts w:ascii="Arial" w:eastAsia="Times New Roman" w:hAnsi="Arial" w:cs="Arial"/>
          <w:sz w:val="24"/>
          <w:szCs w:val="24"/>
          <w:lang w:val="en-US" w:eastAsia="en-GB"/>
        </w:rPr>
        <w:t xml:space="preserve"> The creation of new posts will be aligned with student officers arriving on the LPAs. Overall co-ordination will be through the Deputy Chief Constable’s Force Growth Board. </w:t>
      </w:r>
    </w:p>
    <w:sectPr w:rsidR="008B4C50" w:rsidSect="002908B7">
      <w:headerReference w:type="default" r:id="rId11"/>
      <w:footerReference w:type="default" r:id="rId12"/>
      <w:pgSz w:w="11906" w:h="16838"/>
      <w:pgMar w:top="1135" w:right="1440" w:bottom="1440" w:left="144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AC" w:rsidRDefault="000902AC" w:rsidP="00D97FFE">
      <w:pPr>
        <w:spacing w:after="0" w:line="240" w:lineRule="auto"/>
      </w:pPr>
      <w:r>
        <w:separator/>
      </w:r>
    </w:p>
  </w:endnote>
  <w:endnote w:type="continuationSeparator" w:id="0">
    <w:p w:rsidR="000902AC" w:rsidRDefault="000902AC" w:rsidP="00D9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54919"/>
      <w:docPartObj>
        <w:docPartGallery w:val="Page Numbers (Bottom of Page)"/>
        <w:docPartUnique/>
      </w:docPartObj>
    </w:sdtPr>
    <w:sdtEndPr>
      <w:rPr>
        <w:noProof/>
      </w:rPr>
    </w:sdtEndPr>
    <w:sdtContent>
      <w:p w:rsidR="002908B7" w:rsidRDefault="002908B7">
        <w:pPr>
          <w:pStyle w:val="Footer"/>
          <w:jc w:val="center"/>
        </w:pPr>
        <w:r>
          <w:fldChar w:fldCharType="begin"/>
        </w:r>
        <w:r>
          <w:instrText xml:space="preserve"> PAGE   \* MERGEFORMAT </w:instrText>
        </w:r>
        <w:r>
          <w:fldChar w:fldCharType="separate"/>
        </w:r>
        <w:r w:rsidR="00C162F4">
          <w:rPr>
            <w:noProof/>
          </w:rPr>
          <w:t>10</w:t>
        </w:r>
        <w:r>
          <w:rPr>
            <w:noProof/>
          </w:rPr>
          <w:fldChar w:fldCharType="end"/>
        </w:r>
      </w:p>
    </w:sdtContent>
  </w:sdt>
  <w:p w:rsidR="002908B7" w:rsidRDefault="0029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7366"/>
      <w:docPartObj>
        <w:docPartGallery w:val="Page Numbers (Bottom of Page)"/>
        <w:docPartUnique/>
      </w:docPartObj>
    </w:sdtPr>
    <w:sdtEndPr>
      <w:rPr>
        <w:noProof/>
      </w:rPr>
    </w:sdtEndPr>
    <w:sdtContent>
      <w:p w:rsidR="00607528" w:rsidRDefault="00607528">
        <w:pPr>
          <w:pStyle w:val="Footer"/>
          <w:jc w:val="center"/>
        </w:pPr>
        <w:r>
          <w:t>OFFICIAL – SENSITIVE</w:t>
        </w:r>
      </w:p>
      <w:p w:rsidR="00607528" w:rsidRDefault="00607528">
        <w:pPr>
          <w:pStyle w:val="Footer"/>
          <w:jc w:val="center"/>
        </w:pPr>
        <w:r>
          <w:fldChar w:fldCharType="begin"/>
        </w:r>
        <w:r>
          <w:instrText xml:space="preserve"> PAGE   \* MERGEFORMAT </w:instrText>
        </w:r>
        <w:r>
          <w:fldChar w:fldCharType="separate"/>
        </w:r>
        <w:r w:rsidR="00C162F4">
          <w:rPr>
            <w:noProof/>
          </w:rPr>
          <w:t>12</w:t>
        </w:r>
        <w:r>
          <w:rPr>
            <w:noProof/>
          </w:rPr>
          <w:fldChar w:fldCharType="end"/>
        </w:r>
      </w:p>
    </w:sdtContent>
  </w:sdt>
  <w:p w:rsidR="00607528" w:rsidRDefault="0060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AC" w:rsidRDefault="000902AC" w:rsidP="00D97FFE">
      <w:pPr>
        <w:spacing w:after="0" w:line="240" w:lineRule="auto"/>
      </w:pPr>
      <w:r>
        <w:separator/>
      </w:r>
    </w:p>
  </w:footnote>
  <w:footnote w:type="continuationSeparator" w:id="0">
    <w:p w:rsidR="000902AC" w:rsidRDefault="000902AC" w:rsidP="00D97FFE">
      <w:pPr>
        <w:spacing w:after="0" w:line="240" w:lineRule="auto"/>
      </w:pPr>
      <w:r>
        <w:continuationSeparator/>
      </w:r>
    </w:p>
  </w:footnote>
  <w:footnote w:id="1">
    <w:p w:rsidR="002908B7" w:rsidRDefault="002908B7" w:rsidP="002908B7">
      <w:pPr>
        <w:pStyle w:val="FootnoteText"/>
      </w:pPr>
      <w:r>
        <w:rPr>
          <w:rStyle w:val="FootnoteReference"/>
        </w:rPr>
        <w:footnoteRef/>
      </w:r>
      <w:r>
        <w:t xml:space="preserve"> </w:t>
      </w:r>
      <w:r w:rsidRPr="00383EA6">
        <w:t>Central specialist team which provides preventative and proactive capability</w:t>
      </w:r>
      <w:r>
        <w:t xml:space="preserve"> to support local policing</w:t>
      </w:r>
    </w:p>
  </w:footnote>
  <w:footnote w:id="2">
    <w:p w:rsidR="002908B7" w:rsidRDefault="002908B7" w:rsidP="002908B7">
      <w:pPr>
        <w:pStyle w:val="FootnoteText"/>
      </w:pPr>
      <w:r w:rsidRPr="00BC14EC">
        <w:rPr>
          <w:rStyle w:val="FootnoteReference"/>
        </w:rPr>
        <w:footnoteRef/>
      </w:r>
      <w:r w:rsidRPr="00BC14EC">
        <w:t xml:space="preserve"> </w:t>
      </w:r>
      <w:r w:rsidRPr="008748A9">
        <w:t xml:space="preserve">The baseline </w:t>
      </w:r>
      <w:r>
        <w:t>Establishment</w:t>
      </w:r>
      <w:r w:rsidRPr="008748A9">
        <w:t xml:space="preserve"> changed from 3000 to 3003 in-year due to three funded PC posts from Epping Forest District Council. </w:t>
      </w:r>
    </w:p>
  </w:footnote>
  <w:footnote w:id="3">
    <w:p w:rsidR="002908B7" w:rsidRDefault="002908B7" w:rsidP="002908B7">
      <w:pPr>
        <w:pStyle w:val="FootnoteText"/>
      </w:pPr>
      <w:r>
        <w:rPr>
          <w:rStyle w:val="FootnoteReference"/>
        </w:rPr>
        <w:footnoteRef/>
      </w:r>
      <w:r>
        <w:t xml:space="preserve"> Officers continue to be selected for DAIT, and this continued investment will be carefully managed throughout 2019/20 towards the new establishment </w:t>
      </w:r>
    </w:p>
  </w:footnote>
  <w:footnote w:id="4">
    <w:p w:rsidR="002908B7" w:rsidRDefault="002908B7" w:rsidP="002908B7">
      <w:pPr>
        <w:pStyle w:val="FootnoteText"/>
      </w:pPr>
      <w:r>
        <w:rPr>
          <w:rStyle w:val="FootnoteReference"/>
        </w:rPr>
        <w:footnoteRef/>
      </w:r>
      <w:r>
        <w:t xml:space="preserve"> Normally around 32 weeks after joining the Force</w:t>
      </w:r>
    </w:p>
  </w:footnote>
  <w:footnote w:id="5">
    <w:p w:rsidR="002908B7" w:rsidRDefault="002908B7" w:rsidP="002908B7">
      <w:pPr>
        <w:pStyle w:val="FootnoteText"/>
      </w:pPr>
      <w:r>
        <w:rPr>
          <w:rStyle w:val="FootnoteReference"/>
        </w:rPr>
        <w:footnoteRef/>
      </w:r>
      <w:r>
        <w:t xml:space="preserve"> Including the three funded posts from Epping Forest District Council.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28" w:rsidRDefault="00607528" w:rsidP="00607528">
    <w:pPr>
      <w:pStyle w:val="Header"/>
      <w:jc w:val="center"/>
    </w:pPr>
    <w:r>
      <w:t>OFFICIAL – SENSITIVE</w:t>
    </w:r>
  </w:p>
  <w:p w:rsidR="00607528" w:rsidRDefault="00607528" w:rsidP="006075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4E11"/>
    <w:multiLevelType w:val="hybridMultilevel"/>
    <w:tmpl w:val="68945790"/>
    <w:lvl w:ilvl="0" w:tplc="69DC7A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5C4801B8"/>
    <w:multiLevelType w:val="hybridMultilevel"/>
    <w:tmpl w:val="08B2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51B6"/>
    <w:multiLevelType w:val="hybridMultilevel"/>
    <w:tmpl w:val="E3E8D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FE"/>
    <w:rsid w:val="0001187F"/>
    <w:rsid w:val="00020970"/>
    <w:rsid w:val="00022631"/>
    <w:rsid w:val="000376FD"/>
    <w:rsid w:val="000432D2"/>
    <w:rsid w:val="00056E35"/>
    <w:rsid w:val="00061BF4"/>
    <w:rsid w:val="0006297F"/>
    <w:rsid w:val="000806DC"/>
    <w:rsid w:val="000902AC"/>
    <w:rsid w:val="000A4925"/>
    <w:rsid w:val="000C345D"/>
    <w:rsid w:val="000E1E7B"/>
    <w:rsid w:val="000F3ECC"/>
    <w:rsid w:val="00101E0C"/>
    <w:rsid w:val="00117473"/>
    <w:rsid w:val="00120366"/>
    <w:rsid w:val="00121B71"/>
    <w:rsid w:val="00142522"/>
    <w:rsid w:val="00146DC6"/>
    <w:rsid w:val="0014722F"/>
    <w:rsid w:val="00147625"/>
    <w:rsid w:val="00156564"/>
    <w:rsid w:val="001647FB"/>
    <w:rsid w:val="001943F2"/>
    <w:rsid w:val="001954ED"/>
    <w:rsid w:val="00195F38"/>
    <w:rsid w:val="00196AFC"/>
    <w:rsid w:val="001C153D"/>
    <w:rsid w:val="001D40AF"/>
    <w:rsid w:val="001D5631"/>
    <w:rsid w:val="001E112B"/>
    <w:rsid w:val="001E453A"/>
    <w:rsid w:val="001E7C96"/>
    <w:rsid w:val="001F100D"/>
    <w:rsid w:val="00225307"/>
    <w:rsid w:val="002335C9"/>
    <w:rsid w:val="002335D1"/>
    <w:rsid w:val="00235A10"/>
    <w:rsid w:val="00253C93"/>
    <w:rsid w:val="002611E0"/>
    <w:rsid w:val="00261DA0"/>
    <w:rsid w:val="00262FED"/>
    <w:rsid w:val="002908B7"/>
    <w:rsid w:val="00294FF2"/>
    <w:rsid w:val="002B0156"/>
    <w:rsid w:val="002C0502"/>
    <w:rsid w:val="002C2527"/>
    <w:rsid w:val="002C3A11"/>
    <w:rsid w:val="002D3519"/>
    <w:rsid w:val="002D3CAF"/>
    <w:rsid w:val="00303708"/>
    <w:rsid w:val="0032078C"/>
    <w:rsid w:val="003401CF"/>
    <w:rsid w:val="00371A74"/>
    <w:rsid w:val="003767A3"/>
    <w:rsid w:val="003778A3"/>
    <w:rsid w:val="00382892"/>
    <w:rsid w:val="00390231"/>
    <w:rsid w:val="0039162A"/>
    <w:rsid w:val="0039369D"/>
    <w:rsid w:val="003B7A77"/>
    <w:rsid w:val="003C015F"/>
    <w:rsid w:val="003C6A2C"/>
    <w:rsid w:val="003C6BCC"/>
    <w:rsid w:val="003D36A3"/>
    <w:rsid w:val="003D67B5"/>
    <w:rsid w:val="003F27C4"/>
    <w:rsid w:val="00432901"/>
    <w:rsid w:val="004351B6"/>
    <w:rsid w:val="004428CD"/>
    <w:rsid w:val="004660DE"/>
    <w:rsid w:val="0047230A"/>
    <w:rsid w:val="00473959"/>
    <w:rsid w:val="00474064"/>
    <w:rsid w:val="004E7F07"/>
    <w:rsid w:val="004F69F4"/>
    <w:rsid w:val="00527C85"/>
    <w:rsid w:val="00566FC7"/>
    <w:rsid w:val="00575993"/>
    <w:rsid w:val="00587B25"/>
    <w:rsid w:val="00595030"/>
    <w:rsid w:val="005A10C9"/>
    <w:rsid w:val="005D1312"/>
    <w:rsid w:val="005E79EE"/>
    <w:rsid w:val="005E7B34"/>
    <w:rsid w:val="005F3EC0"/>
    <w:rsid w:val="005F466A"/>
    <w:rsid w:val="006045CF"/>
    <w:rsid w:val="00607528"/>
    <w:rsid w:val="0061123B"/>
    <w:rsid w:val="00613F5A"/>
    <w:rsid w:val="00626903"/>
    <w:rsid w:val="00630148"/>
    <w:rsid w:val="0063357F"/>
    <w:rsid w:val="0067156C"/>
    <w:rsid w:val="00681819"/>
    <w:rsid w:val="00681E40"/>
    <w:rsid w:val="006C5C20"/>
    <w:rsid w:val="006D0578"/>
    <w:rsid w:val="006E1E22"/>
    <w:rsid w:val="006E37C8"/>
    <w:rsid w:val="006F2418"/>
    <w:rsid w:val="007315C3"/>
    <w:rsid w:val="00744F23"/>
    <w:rsid w:val="0074595B"/>
    <w:rsid w:val="00750F60"/>
    <w:rsid w:val="007556D0"/>
    <w:rsid w:val="00760413"/>
    <w:rsid w:val="00772773"/>
    <w:rsid w:val="00784742"/>
    <w:rsid w:val="007978BB"/>
    <w:rsid w:val="007B2FF2"/>
    <w:rsid w:val="007C31A0"/>
    <w:rsid w:val="007C3C83"/>
    <w:rsid w:val="007F0191"/>
    <w:rsid w:val="00802888"/>
    <w:rsid w:val="00814265"/>
    <w:rsid w:val="00825B61"/>
    <w:rsid w:val="00826A3E"/>
    <w:rsid w:val="00827073"/>
    <w:rsid w:val="00830F00"/>
    <w:rsid w:val="00831293"/>
    <w:rsid w:val="0084299A"/>
    <w:rsid w:val="00845BB3"/>
    <w:rsid w:val="00852394"/>
    <w:rsid w:val="008724BE"/>
    <w:rsid w:val="00873462"/>
    <w:rsid w:val="008748A9"/>
    <w:rsid w:val="00886EEF"/>
    <w:rsid w:val="008B4C50"/>
    <w:rsid w:val="008C074B"/>
    <w:rsid w:val="008C46F6"/>
    <w:rsid w:val="00901BA2"/>
    <w:rsid w:val="009123A6"/>
    <w:rsid w:val="00922CB6"/>
    <w:rsid w:val="00936E1C"/>
    <w:rsid w:val="009419B8"/>
    <w:rsid w:val="00942733"/>
    <w:rsid w:val="009519EE"/>
    <w:rsid w:val="00961C77"/>
    <w:rsid w:val="0096321C"/>
    <w:rsid w:val="009712FF"/>
    <w:rsid w:val="00977440"/>
    <w:rsid w:val="00985DD0"/>
    <w:rsid w:val="00991B97"/>
    <w:rsid w:val="00A01D8C"/>
    <w:rsid w:val="00A15FD5"/>
    <w:rsid w:val="00A21609"/>
    <w:rsid w:val="00A2177F"/>
    <w:rsid w:val="00A221A4"/>
    <w:rsid w:val="00A23B11"/>
    <w:rsid w:val="00A24972"/>
    <w:rsid w:val="00A341BE"/>
    <w:rsid w:val="00A352DE"/>
    <w:rsid w:val="00A40602"/>
    <w:rsid w:val="00A4166C"/>
    <w:rsid w:val="00A52DEF"/>
    <w:rsid w:val="00A572BD"/>
    <w:rsid w:val="00A82F5C"/>
    <w:rsid w:val="00AA1D16"/>
    <w:rsid w:val="00AA2335"/>
    <w:rsid w:val="00AC1F94"/>
    <w:rsid w:val="00AD0286"/>
    <w:rsid w:val="00AE64F7"/>
    <w:rsid w:val="00AF5A0E"/>
    <w:rsid w:val="00AF7620"/>
    <w:rsid w:val="00AF7D9C"/>
    <w:rsid w:val="00B01EEA"/>
    <w:rsid w:val="00B15AA6"/>
    <w:rsid w:val="00B161A3"/>
    <w:rsid w:val="00B278F4"/>
    <w:rsid w:val="00B27A5D"/>
    <w:rsid w:val="00B36166"/>
    <w:rsid w:val="00B41F46"/>
    <w:rsid w:val="00B453DE"/>
    <w:rsid w:val="00B45AC6"/>
    <w:rsid w:val="00B50B3F"/>
    <w:rsid w:val="00B559B6"/>
    <w:rsid w:val="00B62030"/>
    <w:rsid w:val="00B66591"/>
    <w:rsid w:val="00B71C17"/>
    <w:rsid w:val="00BC10F3"/>
    <w:rsid w:val="00BC5EC1"/>
    <w:rsid w:val="00BD204C"/>
    <w:rsid w:val="00BE6AE3"/>
    <w:rsid w:val="00C01BBB"/>
    <w:rsid w:val="00C069FE"/>
    <w:rsid w:val="00C162F4"/>
    <w:rsid w:val="00C17E33"/>
    <w:rsid w:val="00C24195"/>
    <w:rsid w:val="00C45319"/>
    <w:rsid w:val="00C45FD2"/>
    <w:rsid w:val="00C64C2C"/>
    <w:rsid w:val="00C779F4"/>
    <w:rsid w:val="00C835AF"/>
    <w:rsid w:val="00C93EDE"/>
    <w:rsid w:val="00C97A5C"/>
    <w:rsid w:val="00CA0B2C"/>
    <w:rsid w:val="00CA4C93"/>
    <w:rsid w:val="00CC1AAA"/>
    <w:rsid w:val="00CC7647"/>
    <w:rsid w:val="00CD4EF3"/>
    <w:rsid w:val="00CF5DE5"/>
    <w:rsid w:val="00D019D0"/>
    <w:rsid w:val="00D02E80"/>
    <w:rsid w:val="00D02ED9"/>
    <w:rsid w:val="00D16BBB"/>
    <w:rsid w:val="00D22C69"/>
    <w:rsid w:val="00D258EC"/>
    <w:rsid w:val="00D26A05"/>
    <w:rsid w:val="00D35097"/>
    <w:rsid w:val="00D465E3"/>
    <w:rsid w:val="00D609A1"/>
    <w:rsid w:val="00D6185A"/>
    <w:rsid w:val="00D774F4"/>
    <w:rsid w:val="00D83F76"/>
    <w:rsid w:val="00D97388"/>
    <w:rsid w:val="00D97FFE"/>
    <w:rsid w:val="00DA48E9"/>
    <w:rsid w:val="00DB2650"/>
    <w:rsid w:val="00DC46EF"/>
    <w:rsid w:val="00DD4346"/>
    <w:rsid w:val="00DE0BB7"/>
    <w:rsid w:val="00E1352E"/>
    <w:rsid w:val="00E170B9"/>
    <w:rsid w:val="00E26201"/>
    <w:rsid w:val="00E3526A"/>
    <w:rsid w:val="00E36EE8"/>
    <w:rsid w:val="00E412BB"/>
    <w:rsid w:val="00E568C9"/>
    <w:rsid w:val="00E6343D"/>
    <w:rsid w:val="00E648BD"/>
    <w:rsid w:val="00E70ACC"/>
    <w:rsid w:val="00E74E45"/>
    <w:rsid w:val="00E80ED8"/>
    <w:rsid w:val="00E94F89"/>
    <w:rsid w:val="00EB1226"/>
    <w:rsid w:val="00EB280F"/>
    <w:rsid w:val="00EC75B5"/>
    <w:rsid w:val="00ED2225"/>
    <w:rsid w:val="00EF7E76"/>
    <w:rsid w:val="00F01B8A"/>
    <w:rsid w:val="00F10D56"/>
    <w:rsid w:val="00F133E9"/>
    <w:rsid w:val="00F1753C"/>
    <w:rsid w:val="00F40392"/>
    <w:rsid w:val="00F54DCB"/>
    <w:rsid w:val="00F60E37"/>
    <w:rsid w:val="00F6407E"/>
    <w:rsid w:val="00F70726"/>
    <w:rsid w:val="00F722E8"/>
    <w:rsid w:val="00F81A77"/>
    <w:rsid w:val="00F919DA"/>
    <w:rsid w:val="00F977E7"/>
    <w:rsid w:val="00FA556D"/>
    <w:rsid w:val="00FB3E79"/>
    <w:rsid w:val="00FD541B"/>
    <w:rsid w:val="00FE03EB"/>
    <w:rsid w:val="00FE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A6E74B-52E7-4426-B823-3A64686B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R">
    <w:name w:val="TextR"/>
    <w:basedOn w:val="Normal"/>
    <w:rsid w:val="00D97FF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NoSpacing">
    <w:name w:val="No Spacing"/>
    <w:uiPriority w:val="1"/>
    <w:qFormat/>
    <w:rsid w:val="00D97FFE"/>
    <w:pPr>
      <w:spacing w:after="0" w:line="240" w:lineRule="auto"/>
    </w:pPr>
  </w:style>
  <w:style w:type="paragraph" w:styleId="FootnoteText">
    <w:name w:val="footnote text"/>
    <w:basedOn w:val="Normal"/>
    <w:link w:val="FootnoteTextChar"/>
    <w:uiPriority w:val="99"/>
    <w:semiHidden/>
    <w:unhideWhenUsed/>
    <w:rsid w:val="00D97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FFE"/>
    <w:rPr>
      <w:sz w:val="20"/>
      <w:szCs w:val="20"/>
    </w:rPr>
  </w:style>
  <w:style w:type="character" w:styleId="FootnoteReference">
    <w:name w:val="footnote reference"/>
    <w:basedOn w:val="DefaultParagraphFont"/>
    <w:uiPriority w:val="99"/>
    <w:semiHidden/>
    <w:unhideWhenUsed/>
    <w:rsid w:val="00D97FFE"/>
    <w:rPr>
      <w:vertAlign w:val="superscript"/>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D97FFE"/>
    <w:pPr>
      <w:ind w:left="720"/>
      <w:contextualSpacing/>
    </w:pPr>
  </w:style>
  <w:style w:type="table" w:styleId="TableGrid">
    <w:name w:val="Table Grid"/>
    <w:basedOn w:val="TableNormal"/>
    <w:uiPriority w:val="59"/>
    <w:rsid w:val="00D9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link w:val="ListParagraph"/>
    <w:uiPriority w:val="34"/>
    <w:qFormat/>
    <w:locked/>
    <w:rsid w:val="00D97FFE"/>
  </w:style>
  <w:style w:type="character" w:styleId="CommentReference">
    <w:name w:val="annotation reference"/>
    <w:basedOn w:val="DefaultParagraphFont"/>
    <w:uiPriority w:val="99"/>
    <w:semiHidden/>
    <w:unhideWhenUsed/>
    <w:rsid w:val="00D97FFE"/>
    <w:rPr>
      <w:sz w:val="16"/>
      <w:szCs w:val="16"/>
    </w:rPr>
  </w:style>
  <w:style w:type="paragraph" w:styleId="CommentText">
    <w:name w:val="annotation text"/>
    <w:basedOn w:val="Normal"/>
    <w:link w:val="CommentTextChar"/>
    <w:uiPriority w:val="99"/>
    <w:semiHidden/>
    <w:unhideWhenUsed/>
    <w:rsid w:val="00D97FFE"/>
    <w:pPr>
      <w:spacing w:line="240" w:lineRule="auto"/>
    </w:pPr>
    <w:rPr>
      <w:sz w:val="20"/>
      <w:szCs w:val="20"/>
    </w:rPr>
  </w:style>
  <w:style w:type="character" w:customStyle="1" w:styleId="CommentTextChar">
    <w:name w:val="Comment Text Char"/>
    <w:basedOn w:val="DefaultParagraphFont"/>
    <w:link w:val="CommentText"/>
    <w:uiPriority w:val="99"/>
    <w:semiHidden/>
    <w:rsid w:val="00D97FFE"/>
    <w:rPr>
      <w:sz w:val="20"/>
      <w:szCs w:val="20"/>
    </w:rPr>
  </w:style>
  <w:style w:type="paragraph" w:styleId="BalloonText">
    <w:name w:val="Balloon Text"/>
    <w:basedOn w:val="Normal"/>
    <w:link w:val="BalloonTextChar"/>
    <w:uiPriority w:val="99"/>
    <w:semiHidden/>
    <w:unhideWhenUsed/>
    <w:rsid w:val="00D9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FE"/>
    <w:rPr>
      <w:rFonts w:ascii="Segoe UI" w:hAnsi="Segoe UI" w:cs="Segoe UI"/>
      <w:sz w:val="18"/>
      <w:szCs w:val="18"/>
    </w:rPr>
  </w:style>
  <w:style w:type="paragraph" w:styleId="Header">
    <w:name w:val="header"/>
    <w:basedOn w:val="Normal"/>
    <w:link w:val="HeaderChar"/>
    <w:uiPriority w:val="99"/>
    <w:unhideWhenUsed/>
    <w:rsid w:val="00D9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FFE"/>
  </w:style>
  <w:style w:type="paragraph" w:styleId="Footer">
    <w:name w:val="footer"/>
    <w:basedOn w:val="Normal"/>
    <w:link w:val="FooterChar"/>
    <w:uiPriority w:val="99"/>
    <w:unhideWhenUsed/>
    <w:rsid w:val="00D9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FFE"/>
  </w:style>
  <w:style w:type="paragraph" w:styleId="CommentSubject">
    <w:name w:val="annotation subject"/>
    <w:basedOn w:val="CommentText"/>
    <w:next w:val="CommentText"/>
    <w:link w:val="CommentSubjectChar"/>
    <w:uiPriority w:val="99"/>
    <w:semiHidden/>
    <w:unhideWhenUsed/>
    <w:rsid w:val="00760413"/>
    <w:rPr>
      <w:b/>
      <w:bCs/>
    </w:rPr>
  </w:style>
  <w:style w:type="character" w:customStyle="1" w:styleId="CommentSubjectChar">
    <w:name w:val="Comment Subject Char"/>
    <w:basedOn w:val="CommentTextChar"/>
    <w:link w:val="CommentSubject"/>
    <w:uiPriority w:val="99"/>
    <w:semiHidden/>
    <w:rsid w:val="00760413"/>
    <w:rPr>
      <w:b/>
      <w:bCs/>
      <w:sz w:val="20"/>
      <w:szCs w:val="20"/>
    </w:rPr>
  </w:style>
  <w:style w:type="numbering" w:customStyle="1" w:styleId="NoList1">
    <w:name w:val="No List1"/>
    <w:next w:val="NoList"/>
    <w:uiPriority w:val="99"/>
    <w:semiHidden/>
    <w:unhideWhenUsed/>
    <w:rsid w:val="002908B7"/>
  </w:style>
  <w:style w:type="table" w:customStyle="1" w:styleId="TableGrid1">
    <w:name w:val="Table Grid1"/>
    <w:basedOn w:val="TableNormal"/>
    <w:next w:val="TableGrid"/>
    <w:uiPriority w:val="39"/>
    <w:rsid w:val="0029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4651">
      <w:bodyDiv w:val="1"/>
      <w:marLeft w:val="0"/>
      <w:marRight w:val="0"/>
      <w:marTop w:val="0"/>
      <w:marBottom w:val="0"/>
      <w:divBdr>
        <w:top w:val="none" w:sz="0" w:space="0" w:color="auto"/>
        <w:left w:val="none" w:sz="0" w:space="0" w:color="auto"/>
        <w:bottom w:val="none" w:sz="0" w:space="0" w:color="auto"/>
        <w:right w:val="none" w:sz="0" w:space="0" w:color="auto"/>
      </w:divBdr>
    </w:div>
    <w:div w:id="427896300">
      <w:bodyDiv w:val="1"/>
      <w:marLeft w:val="0"/>
      <w:marRight w:val="0"/>
      <w:marTop w:val="0"/>
      <w:marBottom w:val="0"/>
      <w:divBdr>
        <w:top w:val="none" w:sz="0" w:space="0" w:color="auto"/>
        <w:left w:val="none" w:sz="0" w:space="0" w:color="auto"/>
        <w:bottom w:val="none" w:sz="0" w:space="0" w:color="auto"/>
        <w:right w:val="none" w:sz="0" w:space="0" w:color="auto"/>
      </w:divBdr>
    </w:div>
    <w:div w:id="948001124">
      <w:bodyDiv w:val="1"/>
      <w:marLeft w:val="0"/>
      <w:marRight w:val="0"/>
      <w:marTop w:val="0"/>
      <w:marBottom w:val="0"/>
      <w:divBdr>
        <w:top w:val="none" w:sz="0" w:space="0" w:color="auto"/>
        <w:left w:val="none" w:sz="0" w:space="0" w:color="auto"/>
        <w:bottom w:val="none" w:sz="0" w:space="0" w:color="auto"/>
        <w:right w:val="none" w:sz="0" w:space="0" w:color="auto"/>
      </w:divBdr>
    </w:div>
    <w:div w:id="1019742757">
      <w:bodyDiv w:val="1"/>
      <w:marLeft w:val="0"/>
      <w:marRight w:val="0"/>
      <w:marTop w:val="0"/>
      <w:marBottom w:val="0"/>
      <w:divBdr>
        <w:top w:val="none" w:sz="0" w:space="0" w:color="auto"/>
        <w:left w:val="none" w:sz="0" w:space="0" w:color="auto"/>
        <w:bottom w:val="none" w:sz="0" w:space="0" w:color="auto"/>
        <w:right w:val="none" w:sz="0" w:space="0" w:color="auto"/>
      </w:divBdr>
    </w:div>
    <w:div w:id="1256086169">
      <w:bodyDiv w:val="1"/>
      <w:marLeft w:val="0"/>
      <w:marRight w:val="0"/>
      <w:marTop w:val="0"/>
      <w:marBottom w:val="0"/>
      <w:divBdr>
        <w:top w:val="none" w:sz="0" w:space="0" w:color="auto"/>
        <w:left w:val="none" w:sz="0" w:space="0" w:color="auto"/>
        <w:bottom w:val="none" w:sz="0" w:space="0" w:color="auto"/>
        <w:right w:val="none" w:sz="0" w:space="0" w:color="auto"/>
      </w:divBdr>
    </w:div>
    <w:div w:id="1519852583">
      <w:bodyDiv w:val="1"/>
      <w:marLeft w:val="0"/>
      <w:marRight w:val="0"/>
      <w:marTop w:val="0"/>
      <w:marBottom w:val="0"/>
      <w:divBdr>
        <w:top w:val="none" w:sz="0" w:space="0" w:color="auto"/>
        <w:left w:val="none" w:sz="0" w:space="0" w:color="auto"/>
        <w:bottom w:val="none" w:sz="0" w:space="0" w:color="auto"/>
        <w:right w:val="none" w:sz="0" w:space="0" w:color="auto"/>
      </w:divBdr>
    </w:div>
    <w:div w:id="1532916719">
      <w:bodyDiv w:val="1"/>
      <w:marLeft w:val="0"/>
      <w:marRight w:val="0"/>
      <w:marTop w:val="0"/>
      <w:marBottom w:val="0"/>
      <w:divBdr>
        <w:top w:val="none" w:sz="0" w:space="0" w:color="auto"/>
        <w:left w:val="none" w:sz="0" w:space="0" w:color="auto"/>
        <w:bottom w:val="none" w:sz="0" w:space="0" w:color="auto"/>
        <w:right w:val="none" w:sz="0" w:space="0" w:color="auto"/>
      </w:divBdr>
    </w:div>
    <w:div w:id="1606884073">
      <w:bodyDiv w:val="1"/>
      <w:marLeft w:val="0"/>
      <w:marRight w:val="0"/>
      <w:marTop w:val="0"/>
      <w:marBottom w:val="0"/>
      <w:divBdr>
        <w:top w:val="none" w:sz="0" w:space="0" w:color="auto"/>
        <w:left w:val="none" w:sz="0" w:space="0" w:color="auto"/>
        <w:bottom w:val="none" w:sz="0" w:space="0" w:color="auto"/>
        <w:right w:val="none" w:sz="0" w:space="0" w:color="auto"/>
      </w:divBdr>
    </w:div>
    <w:div w:id="1896042391">
      <w:bodyDiv w:val="1"/>
      <w:marLeft w:val="0"/>
      <w:marRight w:val="0"/>
      <w:marTop w:val="0"/>
      <w:marBottom w:val="0"/>
      <w:divBdr>
        <w:top w:val="none" w:sz="0" w:space="0" w:color="auto"/>
        <w:left w:val="none" w:sz="0" w:space="0" w:color="auto"/>
        <w:bottom w:val="none" w:sz="0" w:space="0" w:color="auto"/>
        <w:right w:val="none" w:sz="0" w:space="0" w:color="auto"/>
      </w:divBdr>
    </w:div>
    <w:div w:id="2013217414">
      <w:bodyDiv w:val="1"/>
      <w:marLeft w:val="0"/>
      <w:marRight w:val="0"/>
      <w:marTop w:val="0"/>
      <w:marBottom w:val="0"/>
      <w:divBdr>
        <w:top w:val="none" w:sz="0" w:space="0" w:color="auto"/>
        <w:left w:val="none" w:sz="0" w:space="0" w:color="auto"/>
        <w:bottom w:val="none" w:sz="0" w:space="0" w:color="auto"/>
        <w:right w:val="none" w:sz="0" w:space="0" w:color="auto"/>
      </w:divBdr>
    </w:div>
    <w:div w:id="20908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2AA8-F7AF-4873-A57C-1C5AB481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Wells</dc:creator>
  <cp:keywords/>
  <dc:description/>
  <cp:lastModifiedBy>Anna Hook 42078328</cp:lastModifiedBy>
  <cp:revision>3</cp:revision>
  <cp:lastPrinted>2019-05-08T15:42:00Z</cp:lastPrinted>
  <dcterms:created xsi:type="dcterms:W3CDTF">2019-05-22T13:30:00Z</dcterms:created>
  <dcterms:modified xsi:type="dcterms:W3CDTF">2019-05-22T13:30:00Z</dcterms:modified>
</cp:coreProperties>
</file>