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6366B" w14:textId="77777777" w:rsidR="004F62BB" w:rsidRPr="007408B4" w:rsidRDefault="004F62BB" w:rsidP="00773654">
      <w:pPr>
        <w:spacing w:after="0" w:line="240" w:lineRule="auto"/>
        <w:jc w:val="center"/>
        <w:rPr>
          <w:rFonts w:ascii="Arial" w:hAnsi="Arial" w:cs="Arial"/>
          <w:b/>
          <w:sz w:val="24"/>
          <w:szCs w:val="24"/>
        </w:rPr>
      </w:pPr>
      <w:bookmarkStart w:id="0" w:name="_GoBack"/>
      <w:bookmarkEnd w:id="0"/>
      <w:r w:rsidRPr="007408B4">
        <w:rPr>
          <w:rFonts w:ascii="Arial" w:hAnsi="Arial" w:cs="Arial"/>
          <w:b/>
          <w:sz w:val="24"/>
          <w:szCs w:val="24"/>
        </w:rPr>
        <w:t>Performance and Resource</w:t>
      </w:r>
      <w:r w:rsidR="007D3E9B" w:rsidRPr="007408B4">
        <w:rPr>
          <w:rFonts w:ascii="Arial" w:hAnsi="Arial" w:cs="Arial"/>
          <w:b/>
          <w:sz w:val="24"/>
          <w:szCs w:val="24"/>
        </w:rPr>
        <w:t>s</w:t>
      </w:r>
      <w:r w:rsidRPr="007408B4">
        <w:rPr>
          <w:rFonts w:ascii="Arial" w:hAnsi="Arial" w:cs="Arial"/>
          <w:b/>
          <w:sz w:val="24"/>
          <w:szCs w:val="24"/>
        </w:rPr>
        <w:t xml:space="preserve"> Scrutiny Programme 20</w:t>
      </w:r>
      <w:r w:rsidR="00BD6870">
        <w:rPr>
          <w:rFonts w:ascii="Arial" w:hAnsi="Arial" w:cs="Arial"/>
          <w:b/>
          <w:sz w:val="24"/>
          <w:szCs w:val="24"/>
        </w:rPr>
        <w:t>18/19</w:t>
      </w:r>
    </w:p>
    <w:p w14:paraId="4A029936" w14:textId="77777777" w:rsidR="001D5222" w:rsidRPr="007408B4" w:rsidRDefault="001D5222" w:rsidP="00773654">
      <w:pPr>
        <w:spacing w:after="0" w:line="240" w:lineRule="auto"/>
        <w:jc w:val="center"/>
        <w:rPr>
          <w:rFonts w:ascii="Arial" w:hAnsi="Arial" w:cs="Arial"/>
          <w:b/>
          <w:sz w:val="24"/>
          <w:szCs w:val="24"/>
        </w:rPr>
      </w:pPr>
    </w:p>
    <w:p w14:paraId="60BC8DA6" w14:textId="77777777" w:rsidR="004F62BB" w:rsidRPr="007408B4" w:rsidRDefault="004F62BB" w:rsidP="00773654">
      <w:pPr>
        <w:spacing w:after="0" w:line="240" w:lineRule="auto"/>
        <w:jc w:val="center"/>
        <w:rPr>
          <w:rFonts w:ascii="Arial" w:hAnsi="Arial" w:cs="Arial"/>
          <w:b/>
          <w:sz w:val="24"/>
          <w:szCs w:val="24"/>
        </w:rPr>
      </w:pPr>
      <w:r w:rsidRPr="007408B4">
        <w:rPr>
          <w:rFonts w:ascii="Arial" w:hAnsi="Arial" w:cs="Arial"/>
          <w:b/>
          <w:sz w:val="24"/>
          <w:szCs w:val="24"/>
        </w:rPr>
        <w:t>Report to: the Office of the Police</w:t>
      </w:r>
      <w:r w:rsidR="00AC1ABD" w:rsidRPr="007408B4">
        <w:rPr>
          <w:rFonts w:ascii="Arial" w:hAnsi="Arial" w:cs="Arial"/>
          <w:b/>
          <w:sz w:val="24"/>
          <w:szCs w:val="24"/>
        </w:rPr>
        <w:t>, Fire</w:t>
      </w:r>
      <w:r w:rsidRPr="007408B4">
        <w:rPr>
          <w:rFonts w:ascii="Arial" w:hAnsi="Arial" w:cs="Arial"/>
          <w:b/>
          <w:sz w:val="24"/>
          <w:szCs w:val="24"/>
        </w:rPr>
        <w:t xml:space="preserve"> and Crime Commissioner for Essex</w:t>
      </w:r>
    </w:p>
    <w:p w14:paraId="3C92FBC3" w14:textId="77777777" w:rsidR="001D5222" w:rsidRPr="007408B4" w:rsidRDefault="001D5222" w:rsidP="00773654">
      <w:pPr>
        <w:spacing w:after="0" w:line="240" w:lineRule="auto"/>
        <w:jc w:val="center"/>
        <w:rPr>
          <w:rFonts w:ascii="Arial" w:hAnsi="Arial" w:cs="Arial"/>
          <w:b/>
          <w:sz w:val="24"/>
          <w:szCs w:val="24"/>
        </w:rPr>
      </w:pPr>
    </w:p>
    <w:p w14:paraId="6DD1353D" w14:textId="77777777" w:rsidR="004F62BB" w:rsidRPr="007408B4"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D1739B" w14:paraId="1D817257" w14:textId="77777777" w:rsidTr="00773654">
        <w:tc>
          <w:tcPr>
            <w:tcW w:w="3260" w:type="dxa"/>
          </w:tcPr>
          <w:p w14:paraId="0DF4575B" w14:textId="77777777" w:rsidR="00773654" w:rsidRPr="007408B4" w:rsidRDefault="00652B9C" w:rsidP="00773654">
            <w:pPr>
              <w:spacing w:line="480" w:lineRule="auto"/>
              <w:rPr>
                <w:rFonts w:ascii="Arial" w:hAnsi="Arial" w:cs="Arial"/>
                <w:b/>
                <w:szCs w:val="24"/>
              </w:rPr>
            </w:pPr>
            <w:r w:rsidRPr="007408B4">
              <w:rPr>
                <w:rFonts w:ascii="Arial" w:hAnsi="Arial" w:cs="Arial"/>
                <w:b/>
                <w:szCs w:val="24"/>
              </w:rPr>
              <w:t>Title of Report:</w:t>
            </w:r>
          </w:p>
        </w:tc>
        <w:tc>
          <w:tcPr>
            <w:tcW w:w="5103" w:type="dxa"/>
          </w:tcPr>
          <w:p w14:paraId="71C7EAA3" w14:textId="77777777" w:rsidR="00652B9C" w:rsidRPr="007408B4" w:rsidRDefault="003B54D3" w:rsidP="00BB105B">
            <w:pPr>
              <w:spacing w:line="480" w:lineRule="auto"/>
              <w:rPr>
                <w:rFonts w:ascii="Arial" w:hAnsi="Arial" w:cs="Arial"/>
                <w:b/>
                <w:sz w:val="24"/>
                <w:szCs w:val="24"/>
              </w:rPr>
            </w:pPr>
            <w:r w:rsidRPr="007408B4">
              <w:rPr>
                <w:rFonts w:ascii="Arial" w:hAnsi="Arial" w:cs="Arial"/>
                <w:b/>
                <w:sz w:val="24"/>
                <w:szCs w:val="24"/>
              </w:rPr>
              <w:t>Future and Current Collaboration Activity</w:t>
            </w:r>
            <w:r w:rsidR="00AF0D6A">
              <w:rPr>
                <w:rFonts w:ascii="Arial" w:hAnsi="Arial" w:cs="Arial"/>
                <w:b/>
                <w:sz w:val="24"/>
                <w:szCs w:val="24"/>
              </w:rPr>
              <w:t xml:space="preserve"> – quarterly u</w:t>
            </w:r>
            <w:r w:rsidR="00761D93">
              <w:rPr>
                <w:rFonts w:ascii="Arial" w:hAnsi="Arial" w:cs="Arial"/>
                <w:b/>
                <w:sz w:val="24"/>
                <w:szCs w:val="24"/>
              </w:rPr>
              <w:t>pdate</w:t>
            </w:r>
          </w:p>
        </w:tc>
      </w:tr>
      <w:tr w:rsidR="00652B9C" w:rsidRPr="00D1739B" w14:paraId="3F1E0C61" w14:textId="77777777" w:rsidTr="00773654">
        <w:tc>
          <w:tcPr>
            <w:tcW w:w="3260" w:type="dxa"/>
          </w:tcPr>
          <w:p w14:paraId="0A0C48A7" w14:textId="77777777" w:rsidR="00773654" w:rsidRPr="00D1739B" w:rsidRDefault="00517DD2" w:rsidP="00773654">
            <w:pPr>
              <w:spacing w:line="480" w:lineRule="auto"/>
              <w:rPr>
                <w:rFonts w:ascii="Arial" w:hAnsi="Arial" w:cs="Arial"/>
                <w:b/>
                <w:sz w:val="24"/>
                <w:szCs w:val="24"/>
              </w:rPr>
            </w:pPr>
            <w:r w:rsidRPr="00D1739B">
              <w:rPr>
                <w:rFonts w:ascii="Arial" w:hAnsi="Arial" w:cs="Arial"/>
                <w:b/>
                <w:sz w:val="24"/>
                <w:szCs w:val="24"/>
              </w:rPr>
              <w:t>Chief Officer</w:t>
            </w:r>
          </w:p>
        </w:tc>
        <w:tc>
          <w:tcPr>
            <w:tcW w:w="5103" w:type="dxa"/>
          </w:tcPr>
          <w:p w14:paraId="144BE85E" w14:textId="77777777" w:rsidR="00652B9C" w:rsidRPr="00D1739B" w:rsidRDefault="0083121D" w:rsidP="00773654">
            <w:pPr>
              <w:spacing w:line="480" w:lineRule="auto"/>
              <w:rPr>
                <w:rFonts w:ascii="Arial" w:hAnsi="Arial" w:cs="Arial"/>
                <w:b/>
                <w:sz w:val="24"/>
                <w:szCs w:val="24"/>
              </w:rPr>
            </w:pPr>
            <w:r w:rsidRPr="00D1739B">
              <w:rPr>
                <w:rFonts w:ascii="Arial" w:hAnsi="Arial" w:cs="Arial"/>
                <w:b/>
                <w:sz w:val="24"/>
                <w:szCs w:val="24"/>
              </w:rPr>
              <w:t>Dr Victoria Harrington</w:t>
            </w:r>
          </w:p>
        </w:tc>
      </w:tr>
      <w:tr w:rsidR="00591EB9" w:rsidRPr="00D1739B" w14:paraId="2F8AA59C" w14:textId="77777777" w:rsidTr="00773654">
        <w:tc>
          <w:tcPr>
            <w:tcW w:w="3260" w:type="dxa"/>
          </w:tcPr>
          <w:p w14:paraId="7ECDC1D9" w14:textId="77777777" w:rsidR="00591EB9" w:rsidRPr="00D1739B" w:rsidRDefault="00591EB9" w:rsidP="00773654">
            <w:pPr>
              <w:spacing w:line="480" w:lineRule="auto"/>
              <w:rPr>
                <w:rFonts w:ascii="Arial" w:hAnsi="Arial" w:cs="Arial"/>
                <w:b/>
                <w:sz w:val="24"/>
                <w:szCs w:val="24"/>
              </w:rPr>
            </w:pPr>
            <w:r w:rsidRPr="00D1739B">
              <w:rPr>
                <w:rFonts w:ascii="Arial" w:hAnsi="Arial" w:cs="Arial"/>
                <w:b/>
                <w:sz w:val="24"/>
                <w:szCs w:val="24"/>
              </w:rPr>
              <w:t>Date Paper was Written</w:t>
            </w:r>
          </w:p>
        </w:tc>
        <w:tc>
          <w:tcPr>
            <w:tcW w:w="5103" w:type="dxa"/>
          </w:tcPr>
          <w:p w14:paraId="36928F27" w14:textId="53223A41" w:rsidR="00591EB9" w:rsidRPr="00D1739B" w:rsidRDefault="00834A66" w:rsidP="00834A66">
            <w:pPr>
              <w:spacing w:line="480" w:lineRule="auto"/>
              <w:rPr>
                <w:rFonts w:ascii="Arial" w:hAnsi="Arial" w:cs="Arial"/>
                <w:b/>
                <w:sz w:val="24"/>
                <w:szCs w:val="24"/>
              </w:rPr>
            </w:pPr>
            <w:r>
              <w:rPr>
                <w:rFonts w:ascii="Arial" w:hAnsi="Arial" w:cs="Arial"/>
                <w:b/>
                <w:sz w:val="24"/>
                <w:szCs w:val="24"/>
              </w:rPr>
              <w:t>18</w:t>
            </w:r>
            <w:r w:rsidRPr="00834A66">
              <w:rPr>
                <w:rFonts w:ascii="Arial" w:hAnsi="Arial" w:cs="Arial"/>
                <w:b/>
                <w:sz w:val="24"/>
                <w:szCs w:val="24"/>
                <w:vertAlign w:val="superscript"/>
              </w:rPr>
              <w:t>th</w:t>
            </w:r>
            <w:r>
              <w:rPr>
                <w:rFonts w:ascii="Arial" w:hAnsi="Arial" w:cs="Arial"/>
                <w:b/>
                <w:sz w:val="24"/>
                <w:szCs w:val="24"/>
              </w:rPr>
              <w:t xml:space="preserve"> </w:t>
            </w:r>
            <w:r w:rsidR="00867715">
              <w:rPr>
                <w:rFonts w:ascii="Arial" w:hAnsi="Arial" w:cs="Arial"/>
                <w:b/>
                <w:sz w:val="24"/>
                <w:szCs w:val="24"/>
              </w:rPr>
              <w:t xml:space="preserve">March </w:t>
            </w:r>
            <w:r w:rsidR="0083121D" w:rsidRPr="00D1739B">
              <w:rPr>
                <w:rFonts w:ascii="Arial" w:hAnsi="Arial" w:cs="Arial"/>
                <w:b/>
                <w:sz w:val="24"/>
                <w:szCs w:val="24"/>
              </w:rPr>
              <w:t>201</w:t>
            </w:r>
            <w:r w:rsidR="00867715">
              <w:rPr>
                <w:rFonts w:ascii="Arial" w:hAnsi="Arial" w:cs="Arial"/>
                <w:b/>
                <w:sz w:val="24"/>
                <w:szCs w:val="24"/>
              </w:rPr>
              <w:t>9</w:t>
            </w:r>
          </w:p>
        </w:tc>
      </w:tr>
      <w:tr w:rsidR="00591EB9" w:rsidRPr="00D1739B" w14:paraId="47D48656" w14:textId="77777777" w:rsidTr="00773654">
        <w:tc>
          <w:tcPr>
            <w:tcW w:w="3260" w:type="dxa"/>
          </w:tcPr>
          <w:p w14:paraId="75000E5C" w14:textId="77777777" w:rsidR="00591EB9" w:rsidRPr="00D1739B" w:rsidRDefault="00591EB9" w:rsidP="00773654">
            <w:pPr>
              <w:spacing w:line="480" w:lineRule="auto"/>
              <w:rPr>
                <w:rFonts w:ascii="Arial" w:hAnsi="Arial" w:cs="Arial"/>
                <w:b/>
                <w:sz w:val="24"/>
                <w:szCs w:val="24"/>
              </w:rPr>
            </w:pPr>
            <w:r w:rsidRPr="00D1739B">
              <w:rPr>
                <w:rFonts w:ascii="Arial" w:hAnsi="Arial" w:cs="Arial"/>
                <w:b/>
                <w:sz w:val="24"/>
                <w:szCs w:val="24"/>
              </w:rPr>
              <w:t>Version Number</w:t>
            </w:r>
          </w:p>
        </w:tc>
        <w:tc>
          <w:tcPr>
            <w:tcW w:w="5103" w:type="dxa"/>
          </w:tcPr>
          <w:p w14:paraId="1E33E492" w14:textId="6321BDAE" w:rsidR="00591EB9" w:rsidRPr="00D1739B" w:rsidRDefault="00834A66" w:rsidP="00834A66">
            <w:pPr>
              <w:spacing w:line="480" w:lineRule="auto"/>
              <w:rPr>
                <w:rFonts w:ascii="Arial" w:hAnsi="Arial" w:cs="Arial"/>
                <w:b/>
                <w:sz w:val="24"/>
                <w:szCs w:val="24"/>
              </w:rPr>
            </w:pPr>
            <w:r>
              <w:rPr>
                <w:rFonts w:ascii="Arial" w:hAnsi="Arial" w:cs="Arial"/>
                <w:b/>
                <w:sz w:val="24"/>
                <w:szCs w:val="24"/>
              </w:rPr>
              <w:t>1.0</w:t>
            </w:r>
          </w:p>
        </w:tc>
      </w:tr>
      <w:tr w:rsidR="00652B9C" w:rsidRPr="00D1739B" w14:paraId="246B16E2" w14:textId="77777777" w:rsidTr="00773654">
        <w:tc>
          <w:tcPr>
            <w:tcW w:w="3260" w:type="dxa"/>
          </w:tcPr>
          <w:p w14:paraId="3F326E27" w14:textId="77777777" w:rsidR="00652B9C" w:rsidRPr="00D1739B" w:rsidRDefault="00652B9C" w:rsidP="00773654">
            <w:pPr>
              <w:spacing w:line="480" w:lineRule="auto"/>
              <w:rPr>
                <w:rFonts w:ascii="Arial" w:hAnsi="Arial" w:cs="Arial"/>
                <w:b/>
                <w:sz w:val="24"/>
                <w:szCs w:val="24"/>
              </w:rPr>
            </w:pPr>
            <w:r w:rsidRPr="00D1739B">
              <w:rPr>
                <w:rFonts w:ascii="Arial" w:hAnsi="Arial" w:cs="Arial"/>
                <w:b/>
                <w:sz w:val="24"/>
                <w:szCs w:val="24"/>
              </w:rPr>
              <w:t xml:space="preserve">Report from: </w:t>
            </w:r>
          </w:p>
        </w:tc>
        <w:tc>
          <w:tcPr>
            <w:tcW w:w="5103" w:type="dxa"/>
          </w:tcPr>
          <w:p w14:paraId="0CB8B100" w14:textId="77777777" w:rsidR="00652B9C" w:rsidRPr="00D1739B" w:rsidRDefault="00773654" w:rsidP="00773654">
            <w:pPr>
              <w:spacing w:line="480" w:lineRule="auto"/>
              <w:rPr>
                <w:rFonts w:ascii="Arial" w:hAnsi="Arial" w:cs="Arial"/>
                <w:b/>
                <w:sz w:val="24"/>
                <w:szCs w:val="24"/>
              </w:rPr>
            </w:pPr>
            <w:r w:rsidRPr="00D1739B">
              <w:rPr>
                <w:rFonts w:ascii="Arial" w:hAnsi="Arial" w:cs="Arial"/>
                <w:b/>
                <w:sz w:val="24"/>
                <w:szCs w:val="24"/>
              </w:rPr>
              <w:t>Essex Police</w:t>
            </w:r>
          </w:p>
        </w:tc>
      </w:tr>
      <w:tr w:rsidR="00652B9C" w:rsidRPr="00D1739B" w14:paraId="1B533A9D" w14:textId="77777777" w:rsidTr="00773654">
        <w:tc>
          <w:tcPr>
            <w:tcW w:w="3260" w:type="dxa"/>
          </w:tcPr>
          <w:p w14:paraId="3B599353" w14:textId="77777777" w:rsidR="00652B9C" w:rsidRPr="00D1739B" w:rsidRDefault="00652B9C" w:rsidP="00773654">
            <w:pPr>
              <w:spacing w:line="480" w:lineRule="auto"/>
              <w:rPr>
                <w:rFonts w:ascii="Arial" w:hAnsi="Arial" w:cs="Arial"/>
                <w:b/>
                <w:sz w:val="24"/>
                <w:szCs w:val="24"/>
              </w:rPr>
            </w:pPr>
            <w:r w:rsidRPr="00D1739B">
              <w:rPr>
                <w:rFonts w:ascii="Arial" w:hAnsi="Arial" w:cs="Arial"/>
                <w:b/>
                <w:sz w:val="24"/>
                <w:szCs w:val="24"/>
              </w:rPr>
              <w:t>Date of Meeting</w:t>
            </w:r>
            <w:r w:rsidR="00773654" w:rsidRPr="00D1739B">
              <w:rPr>
                <w:rFonts w:ascii="Arial" w:hAnsi="Arial" w:cs="Arial"/>
                <w:b/>
                <w:sz w:val="24"/>
                <w:szCs w:val="24"/>
              </w:rPr>
              <w:t>:</w:t>
            </w:r>
          </w:p>
        </w:tc>
        <w:tc>
          <w:tcPr>
            <w:tcW w:w="5103" w:type="dxa"/>
          </w:tcPr>
          <w:p w14:paraId="7675ABF8" w14:textId="77777777" w:rsidR="00652B9C" w:rsidRPr="00D1739B" w:rsidRDefault="00867715" w:rsidP="00867715">
            <w:pPr>
              <w:spacing w:line="480" w:lineRule="auto"/>
              <w:rPr>
                <w:rFonts w:ascii="Arial" w:hAnsi="Arial" w:cs="Arial"/>
                <w:b/>
                <w:sz w:val="24"/>
                <w:szCs w:val="24"/>
              </w:rPr>
            </w:pPr>
            <w:r>
              <w:rPr>
                <w:rFonts w:ascii="Arial" w:hAnsi="Arial" w:cs="Arial"/>
                <w:b/>
                <w:sz w:val="24"/>
                <w:szCs w:val="24"/>
              </w:rPr>
              <w:t>28</w:t>
            </w:r>
            <w:r w:rsidRPr="00867715">
              <w:rPr>
                <w:rFonts w:ascii="Arial" w:hAnsi="Arial" w:cs="Arial"/>
                <w:b/>
                <w:sz w:val="24"/>
                <w:szCs w:val="24"/>
                <w:vertAlign w:val="superscript"/>
              </w:rPr>
              <w:t>th</w:t>
            </w:r>
            <w:r>
              <w:rPr>
                <w:rFonts w:ascii="Arial" w:hAnsi="Arial" w:cs="Arial"/>
                <w:b/>
                <w:sz w:val="24"/>
                <w:szCs w:val="24"/>
              </w:rPr>
              <w:t xml:space="preserve"> March </w:t>
            </w:r>
            <w:r w:rsidR="003626B2">
              <w:rPr>
                <w:rFonts w:ascii="Arial" w:hAnsi="Arial" w:cs="Arial"/>
                <w:b/>
                <w:sz w:val="24"/>
                <w:szCs w:val="24"/>
              </w:rPr>
              <w:t>2019</w:t>
            </w:r>
          </w:p>
        </w:tc>
      </w:tr>
      <w:tr w:rsidR="00652B9C" w:rsidRPr="00D1739B" w14:paraId="518E0C3B" w14:textId="77777777" w:rsidTr="00773654">
        <w:tc>
          <w:tcPr>
            <w:tcW w:w="3260" w:type="dxa"/>
          </w:tcPr>
          <w:p w14:paraId="62FC53B4" w14:textId="77777777" w:rsidR="00652B9C" w:rsidRPr="00D1739B" w:rsidRDefault="00517DD2" w:rsidP="009F3263">
            <w:pPr>
              <w:spacing w:line="360" w:lineRule="auto"/>
              <w:rPr>
                <w:rFonts w:ascii="Arial" w:hAnsi="Arial" w:cs="Arial"/>
                <w:b/>
                <w:sz w:val="24"/>
                <w:szCs w:val="24"/>
              </w:rPr>
            </w:pPr>
            <w:r w:rsidRPr="00D1739B">
              <w:rPr>
                <w:rFonts w:ascii="Arial" w:hAnsi="Arial" w:cs="Arial"/>
                <w:b/>
                <w:sz w:val="24"/>
                <w:szCs w:val="24"/>
              </w:rPr>
              <w:t xml:space="preserve">Author on behalf of </w:t>
            </w:r>
            <w:r w:rsidR="00652B9C" w:rsidRPr="00D1739B">
              <w:rPr>
                <w:rFonts w:ascii="Arial" w:hAnsi="Arial" w:cs="Arial"/>
                <w:b/>
                <w:sz w:val="24"/>
                <w:szCs w:val="24"/>
              </w:rPr>
              <w:t>Chief Officer:</w:t>
            </w:r>
          </w:p>
        </w:tc>
        <w:tc>
          <w:tcPr>
            <w:tcW w:w="5103" w:type="dxa"/>
          </w:tcPr>
          <w:p w14:paraId="052402DA" w14:textId="77777777" w:rsidR="00652B9C" w:rsidRPr="00D1739B" w:rsidRDefault="00761D93" w:rsidP="00761D93">
            <w:pPr>
              <w:spacing w:line="360" w:lineRule="auto"/>
              <w:rPr>
                <w:rFonts w:ascii="Arial" w:hAnsi="Arial" w:cs="Arial"/>
                <w:b/>
                <w:sz w:val="24"/>
                <w:szCs w:val="24"/>
              </w:rPr>
            </w:pPr>
            <w:r>
              <w:rPr>
                <w:rFonts w:ascii="Arial" w:hAnsi="Arial" w:cs="Arial"/>
                <w:b/>
                <w:sz w:val="24"/>
                <w:szCs w:val="24"/>
              </w:rPr>
              <w:t>Paul Nagle</w:t>
            </w:r>
          </w:p>
        </w:tc>
      </w:tr>
      <w:tr w:rsidR="00652B9C" w:rsidRPr="00D1739B" w14:paraId="3382154D" w14:textId="77777777" w:rsidTr="00773654">
        <w:tc>
          <w:tcPr>
            <w:tcW w:w="3260" w:type="dxa"/>
          </w:tcPr>
          <w:p w14:paraId="517825A0" w14:textId="77777777" w:rsidR="00652B9C" w:rsidRPr="00D1739B" w:rsidRDefault="00652B9C" w:rsidP="00773654">
            <w:pPr>
              <w:spacing w:line="480" w:lineRule="auto"/>
              <w:rPr>
                <w:rFonts w:ascii="Arial" w:hAnsi="Arial" w:cs="Arial"/>
                <w:b/>
                <w:sz w:val="24"/>
                <w:szCs w:val="24"/>
              </w:rPr>
            </w:pPr>
            <w:r w:rsidRPr="00D1739B">
              <w:rPr>
                <w:rFonts w:ascii="Arial" w:hAnsi="Arial" w:cs="Arial"/>
                <w:b/>
                <w:sz w:val="24"/>
                <w:szCs w:val="24"/>
              </w:rPr>
              <w:t>Date of Approval:</w:t>
            </w:r>
          </w:p>
        </w:tc>
        <w:tc>
          <w:tcPr>
            <w:tcW w:w="5103" w:type="dxa"/>
          </w:tcPr>
          <w:p w14:paraId="09483E13" w14:textId="2DBEEFA1" w:rsidR="00652B9C" w:rsidRPr="00D1739B" w:rsidRDefault="00834A66" w:rsidP="005E09EB">
            <w:pPr>
              <w:spacing w:line="480" w:lineRule="auto"/>
              <w:rPr>
                <w:rFonts w:ascii="Arial" w:hAnsi="Arial" w:cs="Arial"/>
                <w:b/>
                <w:sz w:val="24"/>
                <w:szCs w:val="24"/>
              </w:rPr>
            </w:pPr>
            <w:r>
              <w:rPr>
                <w:rFonts w:ascii="Arial" w:hAnsi="Arial" w:cs="Arial"/>
                <w:b/>
                <w:sz w:val="24"/>
                <w:szCs w:val="24"/>
              </w:rPr>
              <w:t>19</w:t>
            </w:r>
            <w:r w:rsidRPr="00834A66">
              <w:rPr>
                <w:rFonts w:ascii="Arial" w:hAnsi="Arial" w:cs="Arial"/>
                <w:b/>
                <w:sz w:val="24"/>
                <w:szCs w:val="24"/>
                <w:vertAlign w:val="superscript"/>
              </w:rPr>
              <w:t>th</w:t>
            </w:r>
            <w:r>
              <w:rPr>
                <w:rFonts w:ascii="Arial" w:hAnsi="Arial" w:cs="Arial"/>
                <w:b/>
                <w:sz w:val="24"/>
                <w:szCs w:val="24"/>
              </w:rPr>
              <w:t xml:space="preserve"> March 2019</w:t>
            </w:r>
          </w:p>
        </w:tc>
      </w:tr>
    </w:tbl>
    <w:p w14:paraId="2077FFDE" w14:textId="77777777" w:rsidR="004F62BB" w:rsidRPr="00D1739B" w:rsidRDefault="004D4EF7" w:rsidP="00AF0D6A">
      <w:pPr>
        <w:pStyle w:val="NoSpacing"/>
        <w:rPr>
          <w:rFonts w:ascii="Arial" w:hAnsi="Arial" w:cs="Arial"/>
          <w:sz w:val="24"/>
          <w:szCs w:val="24"/>
        </w:rPr>
      </w:pPr>
      <w:r w:rsidRPr="00D1739B">
        <w:rPr>
          <w:rFonts w:ascii="Arial" w:hAnsi="Arial" w:cs="Arial"/>
          <w:b/>
          <w:sz w:val="24"/>
          <w:szCs w:val="24"/>
        </w:rPr>
        <w:br/>
      </w:r>
    </w:p>
    <w:p w14:paraId="369FB9C5" w14:textId="77777777" w:rsidR="00665862" w:rsidRPr="00D1739B" w:rsidRDefault="00665862" w:rsidP="006D07B8">
      <w:pPr>
        <w:pStyle w:val="NoSpacing"/>
        <w:numPr>
          <w:ilvl w:val="0"/>
          <w:numId w:val="8"/>
        </w:numPr>
        <w:spacing w:line="259" w:lineRule="auto"/>
        <w:rPr>
          <w:rFonts w:ascii="Arial" w:hAnsi="Arial" w:cs="Arial"/>
          <w:b/>
          <w:sz w:val="24"/>
          <w:szCs w:val="24"/>
          <w:u w:val="single"/>
        </w:rPr>
      </w:pPr>
      <w:r w:rsidRPr="00D1739B">
        <w:rPr>
          <w:rFonts w:ascii="Arial" w:hAnsi="Arial" w:cs="Arial"/>
          <w:b/>
          <w:sz w:val="24"/>
          <w:szCs w:val="24"/>
          <w:u w:val="single"/>
        </w:rPr>
        <w:t>Purpose of Report</w:t>
      </w:r>
    </w:p>
    <w:p w14:paraId="28A69768" w14:textId="77777777" w:rsidR="00652B9C" w:rsidRPr="00D1739B" w:rsidRDefault="00652B9C" w:rsidP="006D07B8">
      <w:pPr>
        <w:pStyle w:val="NoSpacing"/>
        <w:spacing w:line="259" w:lineRule="auto"/>
        <w:ind w:left="720"/>
        <w:rPr>
          <w:rFonts w:ascii="Arial" w:hAnsi="Arial" w:cs="Arial"/>
          <w:b/>
          <w:sz w:val="24"/>
          <w:szCs w:val="24"/>
          <w:u w:val="single"/>
        </w:rPr>
      </w:pPr>
    </w:p>
    <w:p w14:paraId="1A0B2648" w14:textId="77777777" w:rsidR="00665862" w:rsidRPr="00552390" w:rsidRDefault="00CC50F9" w:rsidP="006D07B8">
      <w:pPr>
        <w:pStyle w:val="NoSpacing"/>
        <w:spacing w:line="259" w:lineRule="auto"/>
        <w:ind w:left="720"/>
        <w:rPr>
          <w:rFonts w:ascii="Arial" w:hAnsi="Arial" w:cs="Arial"/>
          <w:sz w:val="24"/>
          <w:szCs w:val="24"/>
        </w:rPr>
      </w:pPr>
      <w:r w:rsidRPr="00552390">
        <w:rPr>
          <w:rFonts w:ascii="Arial" w:hAnsi="Arial" w:cs="Arial"/>
          <w:sz w:val="24"/>
          <w:szCs w:val="24"/>
        </w:rPr>
        <w:t xml:space="preserve">The purpose of this paper is to </w:t>
      </w:r>
      <w:r w:rsidR="00761D93" w:rsidRPr="00552390">
        <w:rPr>
          <w:rFonts w:ascii="Arial" w:hAnsi="Arial" w:cs="Arial"/>
          <w:sz w:val="24"/>
          <w:szCs w:val="24"/>
        </w:rPr>
        <w:t xml:space="preserve">provide a quarterly update to the OPFCC on </w:t>
      </w:r>
      <w:r w:rsidRPr="00552390">
        <w:rPr>
          <w:rFonts w:ascii="Arial" w:hAnsi="Arial" w:cs="Arial"/>
          <w:sz w:val="24"/>
          <w:szCs w:val="24"/>
        </w:rPr>
        <w:t>future and current collaboration activity</w:t>
      </w:r>
      <w:r w:rsidR="00761D93" w:rsidRPr="00552390">
        <w:rPr>
          <w:rFonts w:ascii="Arial" w:hAnsi="Arial" w:cs="Arial"/>
          <w:sz w:val="24"/>
          <w:szCs w:val="24"/>
        </w:rPr>
        <w:t xml:space="preserve"> and expected benefits. </w:t>
      </w:r>
      <w:r w:rsidR="00C83A6D" w:rsidRPr="00552390">
        <w:rPr>
          <w:rFonts w:ascii="Arial" w:hAnsi="Arial" w:cs="Arial"/>
          <w:sz w:val="24"/>
          <w:szCs w:val="24"/>
        </w:rPr>
        <w:t xml:space="preserve">This is an update on the report provided to the </w:t>
      </w:r>
      <w:r w:rsidR="00867715" w:rsidRPr="00552390">
        <w:rPr>
          <w:rFonts w:ascii="Arial" w:hAnsi="Arial" w:cs="Arial"/>
          <w:sz w:val="24"/>
          <w:szCs w:val="24"/>
        </w:rPr>
        <w:t>3</w:t>
      </w:r>
      <w:r w:rsidR="00867715" w:rsidRPr="00552390">
        <w:rPr>
          <w:rFonts w:ascii="Arial" w:hAnsi="Arial" w:cs="Arial"/>
          <w:sz w:val="24"/>
          <w:szCs w:val="24"/>
          <w:vertAlign w:val="superscript"/>
        </w:rPr>
        <w:t>rd</w:t>
      </w:r>
      <w:r w:rsidR="00867715" w:rsidRPr="00552390">
        <w:rPr>
          <w:rFonts w:ascii="Arial" w:hAnsi="Arial" w:cs="Arial"/>
          <w:sz w:val="24"/>
          <w:szCs w:val="24"/>
        </w:rPr>
        <w:t xml:space="preserve"> January 2019</w:t>
      </w:r>
      <w:r w:rsidR="00A57D37" w:rsidRPr="00552390">
        <w:rPr>
          <w:rFonts w:ascii="Arial" w:hAnsi="Arial" w:cs="Arial"/>
          <w:sz w:val="24"/>
          <w:szCs w:val="24"/>
        </w:rPr>
        <w:t xml:space="preserve"> Board</w:t>
      </w:r>
      <w:r w:rsidR="005D2800" w:rsidRPr="00552390">
        <w:rPr>
          <w:rFonts w:ascii="Arial" w:hAnsi="Arial" w:cs="Arial"/>
          <w:sz w:val="24"/>
          <w:szCs w:val="24"/>
        </w:rPr>
        <w:t>.</w:t>
      </w:r>
      <w:r w:rsidR="00A57D37" w:rsidRPr="00552390">
        <w:rPr>
          <w:rFonts w:ascii="Arial" w:hAnsi="Arial" w:cs="Arial"/>
          <w:sz w:val="24"/>
          <w:szCs w:val="24"/>
        </w:rPr>
        <w:t xml:space="preserve"> </w:t>
      </w:r>
    </w:p>
    <w:p w14:paraId="38C86628" w14:textId="77777777" w:rsidR="00761D93" w:rsidRPr="00552390" w:rsidRDefault="00761D93" w:rsidP="00761D93">
      <w:pPr>
        <w:pStyle w:val="NoSpacing"/>
        <w:spacing w:line="259" w:lineRule="auto"/>
        <w:ind w:left="720"/>
        <w:rPr>
          <w:rFonts w:ascii="Arial" w:hAnsi="Arial" w:cs="Arial"/>
          <w:b/>
          <w:sz w:val="24"/>
          <w:szCs w:val="24"/>
          <w:u w:val="single"/>
        </w:rPr>
      </w:pPr>
    </w:p>
    <w:p w14:paraId="7B03E9BD" w14:textId="77777777" w:rsidR="00665862" w:rsidRPr="00552390" w:rsidRDefault="00665862" w:rsidP="006D07B8">
      <w:pPr>
        <w:pStyle w:val="NoSpacing"/>
        <w:numPr>
          <w:ilvl w:val="0"/>
          <w:numId w:val="8"/>
        </w:numPr>
        <w:spacing w:line="259" w:lineRule="auto"/>
        <w:rPr>
          <w:rFonts w:ascii="Arial" w:hAnsi="Arial" w:cs="Arial"/>
          <w:b/>
          <w:sz w:val="24"/>
          <w:szCs w:val="24"/>
          <w:u w:val="single"/>
        </w:rPr>
      </w:pPr>
      <w:r w:rsidRPr="00552390">
        <w:rPr>
          <w:rFonts w:ascii="Arial" w:hAnsi="Arial" w:cs="Arial"/>
          <w:b/>
          <w:sz w:val="24"/>
          <w:szCs w:val="24"/>
          <w:u w:val="single"/>
        </w:rPr>
        <w:t>Recommendations</w:t>
      </w:r>
    </w:p>
    <w:p w14:paraId="602AF65D" w14:textId="77777777" w:rsidR="00652B9C" w:rsidRPr="00552390" w:rsidRDefault="00652B9C" w:rsidP="006D07B8">
      <w:pPr>
        <w:pStyle w:val="NoSpacing"/>
        <w:spacing w:line="259" w:lineRule="auto"/>
        <w:ind w:left="720"/>
        <w:rPr>
          <w:rFonts w:ascii="Arial" w:hAnsi="Arial" w:cs="Arial"/>
          <w:b/>
          <w:sz w:val="24"/>
          <w:szCs w:val="24"/>
          <w:u w:val="single"/>
        </w:rPr>
      </w:pPr>
    </w:p>
    <w:p w14:paraId="6B3A2D9E" w14:textId="77777777" w:rsidR="00652B9C" w:rsidRPr="00552390" w:rsidRDefault="00F304D3" w:rsidP="006D07B8">
      <w:pPr>
        <w:pStyle w:val="NoSpacing"/>
        <w:spacing w:line="259" w:lineRule="auto"/>
        <w:ind w:left="720"/>
        <w:rPr>
          <w:rFonts w:ascii="Arial" w:hAnsi="Arial" w:cs="Arial"/>
          <w:sz w:val="24"/>
          <w:szCs w:val="24"/>
        </w:rPr>
      </w:pPr>
      <w:r w:rsidRPr="00552390">
        <w:rPr>
          <w:rFonts w:ascii="Arial" w:hAnsi="Arial" w:cs="Arial"/>
          <w:sz w:val="24"/>
          <w:szCs w:val="24"/>
        </w:rPr>
        <w:t>The report is for the Performance and Resources Scrutiny Board to note.</w:t>
      </w:r>
    </w:p>
    <w:p w14:paraId="31F4EC74" w14:textId="77777777" w:rsidR="00665862" w:rsidRPr="00552390" w:rsidRDefault="00665862" w:rsidP="006D07B8">
      <w:pPr>
        <w:pStyle w:val="NoSpacing"/>
        <w:spacing w:line="259" w:lineRule="auto"/>
        <w:ind w:left="720"/>
        <w:rPr>
          <w:rFonts w:ascii="Arial" w:hAnsi="Arial" w:cs="Arial"/>
          <w:b/>
          <w:sz w:val="24"/>
          <w:szCs w:val="24"/>
        </w:rPr>
      </w:pPr>
    </w:p>
    <w:p w14:paraId="1C1FE0E7" w14:textId="77777777" w:rsidR="00665862" w:rsidRPr="00552390" w:rsidRDefault="00665862" w:rsidP="006D07B8">
      <w:pPr>
        <w:pStyle w:val="NoSpacing"/>
        <w:numPr>
          <w:ilvl w:val="0"/>
          <w:numId w:val="8"/>
        </w:numPr>
        <w:spacing w:line="259" w:lineRule="auto"/>
        <w:rPr>
          <w:rFonts w:ascii="Arial" w:hAnsi="Arial" w:cs="Arial"/>
          <w:b/>
          <w:sz w:val="24"/>
          <w:szCs w:val="24"/>
          <w:u w:val="single"/>
        </w:rPr>
      </w:pPr>
      <w:r w:rsidRPr="00552390">
        <w:rPr>
          <w:rFonts w:ascii="Arial" w:hAnsi="Arial" w:cs="Arial"/>
          <w:b/>
          <w:sz w:val="24"/>
          <w:szCs w:val="24"/>
          <w:u w:val="single"/>
        </w:rPr>
        <w:t>Executive Summary</w:t>
      </w:r>
    </w:p>
    <w:p w14:paraId="0E03D1B1" w14:textId="77777777" w:rsidR="00652B9C" w:rsidRPr="00552390" w:rsidRDefault="00652B9C" w:rsidP="006D07B8">
      <w:pPr>
        <w:pStyle w:val="NoSpacing"/>
        <w:spacing w:line="259" w:lineRule="auto"/>
        <w:ind w:left="720"/>
        <w:rPr>
          <w:rFonts w:ascii="Arial" w:hAnsi="Arial" w:cs="Arial"/>
          <w:b/>
          <w:sz w:val="24"/>
          <w:szCs w:val="24"/>
          <w:u w:val="single"/>
        </w:rPr>
      </w:pPr>
    </w:p>
    <w:p w14:paraId="439029A0" w14:textId="77777777" w:rsidR="00BB6DF4" w:rsidRPr="00552390" w:rsidRDefault="00516C1E" w:rsidP="00BB6DF4">
      <w:pPr>
        <w:pStyle w:val="NoSpacing"/>
        <w:spacing w:line="259" w:lineRule="auto"/>
        <w:ind w:left="720"/>
        <w:rPr>
          <w:rFonts w:ascii="Arial" w:eastAsia="Times New Roman" w:hAnsi="Arial" w:cs="Arial"/>
          <w:sz w:val="24"/>
          <w:szCs w:val="24"/>
          <w:lang w:eastAsia="en-GB"/>
        </w:rPr>
      </w:pPr>
      <w:r w:rsidRPr="00552390">
        <w:rPr>
          <w:rFonts w:ascii="Arial" w:eastAsia="Times New Roman" w:hAnsi="Arial" w:cs="Arial"/>
          <w:sz w:val="24"/>
          <w:szCs w:val="24"/>
          <w:lang w:eastAsia="en-GB"/>
        </w:rPr>
        <w:lastRenderedPageBreak/>
        <w:t>Collaboration permeates throughout the force and is fully embedded within our business planning strategy and delivery.</w:t>
      </w:r>
      <w:r w:rsidR="00BB6DF4" w:rsidRPr="00552390">
        <w:rPr>
          <w:rFonts w:ascii="Arial" w:eastAsia="Times New Roman" w:hAnsi="Arial" w:cs="Arial"/>
          <w:sz w:val="24"/>
          <w:szCs w:val="24"/>
          <w:lang w:eastAsia="en-GB"/>
        </w:rPr>
        <w:t xml:space="preserve"> </w:t>
      </w:r>
      <w:r w:rsidR="005D2800" w:rsidRPr="00552390">
        <w:rPr>
          <w:rFonts w:ascii="Arial" w:eastAsia="Times New Roman" w:hAnsi="Arial" w:cs="Arial"/>
          <w:sz w:val="24"/>
          <w:szCs w:val="24"/>
          <w:lang w:eastAsia="en-GB"/>
        </w:rPr>
        <w:t>Updates have been provided on the following areas:-</w:t>
      </w:r>
    </w:p>
    <w:p w14:paraId="0C99AD0E" w14:textId="77777777" w:rsidR="00BB6DF4" w:rsidRPr="00552390" w:rsidRDefault="00BB6DF4" w:rsidP="00BB6DF4">
      <w:pPr>
        <w:pStyle w:val="NoSpacing"/>
        <w:spacing w:line="259" w:lineRule="auto"/>
        <w:ind w:left="720"/>
        <w:rPr>
          <w:rFonts w:ascii="Arial" w:eastAsia="Times New Roman" w:hAnsi="Arial" w:cs="Arial"/>
          <w:sz w:val="24"/>
          <w:szCs w:val="24"/>
          <w:lang w:eastAsia="en-GB"/>
        </w:rPr>
      </w:pPr>
    </w:p>
    <w:p w14:paraId="7E90A1F6" w14:textId="77777777" w:rsidR="005D2800" w:rsidRPr="00552390" w:rsidRDefault="005D2800" w:rsidP="005D2800">
      <w:pPr>
        <w:pStyle w:val="NoSpacing"/>
        <w:numPr>
          <w:ilvl w:val="0"/>
          <w:numId w:val="27"/>
        </w:numPr>
        <w:spacing w:line="259" w:lineRule="auto"/>
        <w:rPr>
          <w:rFonts w:ascii="Arial" w:eastAsia="Times New Roman" w:hAnsi="Arial" w:cs="Arial"/>
          <w:sz w:val="24"/>
          <w:szCs w:val="24"/>
          <w:lang w:eastAsia="en-GB"/>
        </w:rPr>
      </w:pPr>
      <w:r w:rsidRPr="00552390">
        <w:rPr>
          <w:rFonts w:ascii="Arial" w:eastAsia="Times New Roman" w:hAnsi="Arial" w:cs="Arial"/>
          <w:sz w:val="24"/>
          <w:szCs w:val="24"/>
          <w:lang w:eastAsia="en-GB"/>
        </w:rPr>
        <w:t>Joint Serious Crime Directorate</w:t>
      </w:r>
    </w:p>
    <w:p w14:paraId="0DA25D32" w14:textId="77777777" w:rsidR="00C337C1" w:rsidRPr="00552390" w:rsidRDefault="00C337C1" w:rsidP="005D2800">
      <w:pPr>
        <w:pStyle w:val="NoSpacing"/>
        <w:numPr>
          <w:ilvl w:val="0"/>
          <w:numId w:val="27"/>
        </w:numPr>
        <w:spacing w:line="259" w:lineRule="auto"/>
        <w:rPr>
          <w:rFonts w:ascii="Arial" w:eastAsia="Times New Roman" w:hAnsi="Arial" w:cs="Arial"/>
          <w:sz w:val="24"/>
          <w:szCs w:val="24"/>
          <w:lang w:eastAsia="en-GB"/>
        </w:rPr>
      </w:pPr>
      <w:r w:rsidRPr="00552390">
        <w:rPr>
          <w:rFonts w:ascii="Arial" w:eastAsia="Times New Roman" w:hAnsi="Arial" w:cs="Arial"/>
          <w:sz w:val="24"/>
          <w:szCs w:val="24"/>
          <w:lang w:eastAsia="en-GB"/>
        </w:rPr>
        <w:t>Joint Support Services Directorate</w:t>
      </w:r>
    </w:p>
    <w:p w14:paraId="28DE0056" w14:textId="77777777" w:rsidR="001A34F1" w:rsidRPr="00552390" w:rsidRDefault="001A34F1" w:rsidP="00BB6DF4">
      <w:pPr>
        <w:pStyle w:val="NoSpacing"/>
        <w:numPr>
          <w:ilvl w:val="0"/>
          <w:numId w:val="27"/>
        </w:numPr>
        <w:spacing w:line="259" w:lineRule="auto"/>
        <w:rPr>
          <w:rFonts w:ascii="Arial" w:eastAsia="Times New Roman" w:hAnsi="Arial" w:cs="Arial"/>
          <w:sz w:val="24"/>
          <w:szCs w:val="24"/>
          <w:lang w:eastAsia="en-GB"/>
        </w:rPr>
      </w:pPr>
      <w:r w:rsidRPr="00552390">
        <w:rPr>
          <w:rFonts w:ascii="Arial" w:eastAsia="Times New Roman" w:hAnsi="Arial" w:cs="Arial"/>
          <w:sz w:val="24"/>
          <w:szCs w:val="24"/>
          <w:lang w:eastAsia="en-GB"/>
        </w:rPr>
        <w:t>Essex/Kent Police Forces – Op Hexagon</w:t>
      </w:r>
    </w:p>
    <w:p w14:paraId="67BFAD6B" w14:textId="77777777" w:rsidR="001A34F1" w:rsidRPr="00552390" w:rsidRDefault="001A34F1" w:rsidP="001A34F1">
      <w:pPr>
        <w:pStyle w:val="NoSpacing"/>
        <w:numPr>
          <w:ilvl w:val="0"/>
          <w:numId w:val="27"/>
        </w:numPr>
        <w:spacing w:line="259" w:lineRule="auto"/>
        <w:rPr>
          <w:rFonts w:ascii="Arial" w:eastAsia="Times New Roman" w:hAnsi="Arial" w:cs="Arial"/>
          <w:sz w:val="24"/>
          <w:szCs w:val="24"/>
          <w:lang w:eastAsia="en-GB"/>
        </w:rPr>
      </w:pPr>
      <w:r w:rsidRPr="00552390">
        <w:rPr>
          <w:rFonts w:ascii="Arial" w:eastAsia="Times New Roman" w:hAnsi="Arial" w:cs="Arial"/>
          <w:sz w:val="24"/>
          <w:szCs w:val="24"/>
          <w:lang w:eastAsia="en-GB"/>
        </w:rPr>
        <w:t>7 Force Strategic Collaboration Programme</w:t>
      </w:r>
    </w:p>
    <w:p w14:paraId="3406CBE9" w14:textId="3AAB7492" w:rsidR="006772DB" w:rsidRDefault="006772DB" w:rsidP="00E543B9">
      <w:pPr>
        <w:pStyle w:val="NoSpacing"/>
        <w:numPr>
          <w:ilvl w:val="0"/>
          <w:numId w:val="27"/>
        </w:numPr>
        <w:spacing w:line="259" w:lineRule="auto"/>
        <w:rPr>
          <w:rFonts w:ascii="Arial" w:eastAsia="Times New Roman" w:hAnsi="Arial" w:cs="Arial"/>
          <w:sz w:val="24"/>
          <w:szCs w:val="24"/>
          <w:lang w:eastAsia="en-GB"/>
        </w:rPr>
      </w:pPr>
      <w:r>
        <w:rPr>
          <w:rFonts w:ascii="Arial" w:eastAsia="Times New Roman" w:hAnsi="Arial" w:cs="Arial"/>
          <w:sz w:val="24"/>
          <w:szCs w:val="24"/>
          <w:lang w:eastAsia="en-GB"/>
        </w:rPr>
        <w:t>Home Office – Digital Policing Portfolio</w:t>
      </w:r>
    </w:p>
    <w:p w14:paraId="3F6CDB55" w14:textId="7BB042FD" w:rsidR="00E543B9" w:rsidRPr="00552390" w:rsidRDefault="00E543B9" w:rsidP="00E543B9">
      <w:pPr>
        <w:pStyle w:val="NoSpacing"/>
        <w:numPr>
          <w:ilvl w:val="0"/>
          <w:numId w:val="27"/>
        </w:numPr>
        <w:spacing w:line="259" w:lineRule="auto"/>
        <w:rPr>
          <w:rFonts w:ascii="Arial" w:eastAsia="Times New Roman" w:hAnsi="Arial" w:cs="Arial"/>
          <w:sz w:val="24"/>
          <w:szCs w:val="24"/>
          <w:lang w:eastAsia="en-GB"/>
        </w:rPr>
      </w:pPr>
      <w:r w:rsidRPr="00552390">
        <w:rPr>
          <w:rFonts w:ascii="Arial" w:eastAsia="Times New Roman" w:hAnsi="Arial" w:cs="Arial"/>
          <w:sz w:val="24"/>
          <w:szCs w:val="24"/>
          <w:lang w:eastAsia="en-GB"/>
        </w:rPr>
        <w:t>Digital Public Contact – Single Online Home</w:t>
      </w:r>
    </w:p>
    <w:p w14:paraId="4E271037" w14:textId="77777777" w:rsidR="00E543B9" w:rsidRPr="00552390" w:rsidRDefault="00E543B9" w:rsidP="00E543B9">
      <w:pPr>
        <w:pStyle w:val="NoSpacing"/>
        <w:numPr>
          <w:ilvl w:val="0"/>
          <w:numId w:val="27"/>
        </w:numPr>
        <w:spacing w:line="259" w:lineRule="auto"/>
        <w:rPr>
          <w:rFonts w:ascii="Arial" w:eastAsia="Times New Roman" w:hAnsi="Arial" w:cs="Arial"/>
          <w:sz w:val="24"/>
          <w:szCs w:val="24"/>
          <w:lang w:eastAsia="en-GB"/>
        </w:rPr>
      </w:pPr>
      <w:r w:rsidRPr="00552390">
        <w:rPr>
          <w:rFonts w:ascii="Arial" w:eastAsia="Times New Roman" w:hAnsi="Arial" w:cs="Arial"/>
          <w:sz w:val="24"/>
          <w:szCs w:val="24"/>
          <w:lang w:eastAsia="en-GB"/>
        </w:rPr>
        <w:t>Essex County Fire &amp; Rescue Service (ECFRS)</w:t>
      </w:r>
    </w:p>
    <w:p w14:paraId="4BA5DAA2" w14:textId="77777777" w:rsidR="00C337C1" w:rsidRPr="00552390" w:rsidRDefault="00C337C1" w:rsidP="001A34F1">
      <w:pPr>
        <w:pStyle w:val="NoSpacing"/>
        <w:numPr>
          <w:ilvl w:val="0"/>
          <w:numId w:val="27"/>
        </w:numPr>
        <w:spacing w:line="259" w:lineRule="auto"/>
        <w:rPr>
          <w:rFonts w:ascii="Arial" w:eastAsia="Times New Roman" w:hAnsi="Arial" w:cs="Arial"/>
          <w:sz w:val="24"/>
          <w:szCs w:val="24"/>
          <w:lang w:eastAsia="en-GB"/>
        </w:rPr>
      </w:pPr>
      <w:r w:rsidRPr="00552390">
        <w:rPr>
          <w:rFonts w:ascii="Arial" w:eastAsia="Times New Roman" w:hAnsi="Arial" w:cs="Arial"/>
          <w:sz w:val="24"/>
          <w:szCs w:val="24"/>
          <w:lang w:eastAsia="en-GB"/>
        </w:rPr>
        <w:t xml:space="preserve">Local crime reduction collaborations </w:t>
      </w:r>
    </w:p>
    <w:p w14:paraId="34C14BB9" w14:textId="77777777" w:rsidR="001A674B" w:rsidRPr="00552390" w:rsidRDefault="001A674B" w:rsidP="001A34F1">
      <w:pPr>
        <w:pStyle w:val="NoSpacing"/>
        <w:numPr>
          <w:ilvl w:val="0"/>
          <w:numId w:val="27"/>
        </w:numPr>
        <w:spacing w:line="259" w:lineRule="auto"/>
        <w:rPr>
          <w:rFonts w:ascii="Arial" w:eastAsia="Times New Roman" w:hAnsi="Arial" w:cs="Arial"/>
          <w:sz w:val="24"/>
          <w:szCs w:val="24"/>
          <w:lang w:eastAsia="en-GB"/>
        </w:rPr>
      </w:pPr>
      <w:r w:rsidRPr="00552390">
        <w:rPr>
          <w:rFonts w:ascii="Arial" w:eastAsia="Times New Roman" w:hAnsi="Arial" w:cs="Arial"/>
          <w:sz w:val="24"/>
          <w:szCs w:val="24"/>
          <w:lang w:eastAsia="en-GB"/>
        </w:rPr>
        <w:t xml:space="preserve">Essex Centre for Data Analytics (ECDA) </w:t>
      </w:r>
    </w:p>
    <w:p w14:paraId="7682CDFF" w14:textId="77777777" w:rsidR="001A674B" w:rsidRPr="00552390" w:rsidRDefault="001A674B" w:rsidP="001A674B">
      <w:pPr>
        <w:pStyle w:val="NoSpacing"/>
        <w:numPr>
          <w:ilvl w:val="0"/>
          <w:numId w:val="27"/>
        </w:numPr>
        <w:spacing w:line="259" w:lineRule="auto"/>
        <w:rPr>
          <w:rFonts w:ascii="Arial" w:eastAsia="Times New Roman" w:hAnsi="Arial" w:cs="Arial"/>
          <w:sz w:val="24"/>
          <w:szCs w:val="24"/>
          <w:lang w:eastAsia="en-GB"/>
        </w:rPr>
      </w:pPr>
      <w:r w:rsidRPr="00552390">
        <w:rPr>
          <w:rFonts w:ascii="Arial" w:eastAsia="Times New Roman" w:hAnsi="Arial" w:cs="Arial"/>
          <w:sz w:val="24"/>
          <w:szCs w:val="24"/>
          <w:lang w:eastAsia="en-GB"/>
        </w:rPr>
        <w:t>Innovative Partnerships – BT Hothouse</w:t>
      </w:r>
    </w:p>
    <w:p w14:paraId="1325AF05" w14:textId="77777777" w:rsidR="001A34F1" w:rsidRPr="00552390" w:rsidRDefault="001A34F1" w:rsidP="001A34F1">
      <w:pPr>
        <w:pStyle w:val="NoSpacing"/>
        <w:numPr>
          <w:ilvl w:val="0"/>
          <w:numId w:val="27"/>
        </w:numPr>
        <w:spacing w:line="259" w:lineRule="auto"/>
        <w:rPr>
          <w:rFonts w:ascii="Arial" w:eastAsia="Times New Roman" w:hAnsi="Arial" w:cs="Arial"/>
          <w:sz w:val="24"/>
          <w:szCs w:val="24"/>
          <w:lang w:eastAsia="en-GB"/>
        </w:rPr>
      </w:pPr>
      <w:r w:rsidRPr="00552390">
        <w:rPr>
          <w:rFonts w:ascii="Arial" w:eastAsia="Times New Roman" w:hAnsi="Arial" w:cs="Arial"/>
          <w:sz w:val="24"/>
          <w:szCs w:val="24"/>
          <w:lang w:eastAsia="en-GB"/>
        </w:rPr>
        <w:t>Anglia Ruskin University</w:t>
      </w:r>
    </w:p>
    <w:p w14:paraId="27B7FE34" w14:textId="77777777" w:rsidR="001A674B" w:rsidRPr="00552390" w:rsidRDefault="001A674B" w:rsidP="001A674B">
      <w:pPr>
        <w:pStyle w:val="NoSpacing"/>
        <w:numPr>
          <w:ilvl w:val="0"/>
          <w:numId w:val="27"/>
        </w:numPr>
        <w:spacing w:line="259" w:lineRule="auto"/>
        <w:rPr>
          <w:rFonts w:ascii="Arial" w:eastAsia="Times New Roman" w:hAnsi="Arial" w:cs="Arial"/>
          <w:sz w:val="24"/>
          <w:szCs w:val="24"/>
          <w:lang w:eastAsia="en-GB"/>
        </w:rPr>
      </w:pPr>
      <w:r w:rsidRPr="00552390">
        <w:rPr>
          <w:rFonts w:ascii="Arial" w:eastAsia="Times New Roman" w:hAnsi="Arial" w:cs="Arial"/>
          <w:sz w:val="24"/>
          <w:szCs w:val="24"/>
          <w:lang w:eastAsia="en-GB"/>
        </w:rPr>
        <w:t>Cyber Specials and Volunteers</w:t>
      </w:r>
    </w:p>
    <w:p w14:paraId="589FCAE2" w14:textId="77777777" w:rsidR="001A34F1" w:rsidRPr="00552390" w:rsidRDefault="001A34F1" w:rsidP="001A34F1">
      <w:pPr>
        <w:pStyle w:val="NoSpacing"/>
        <w:numPr>
          <w:ilvl w:val="0"/>
          <w:numId w:val="27"/>
        </w:numPr>
        <w:spacing w:line="259" w:lineRule="auto"/>
        <w:rPr>
          <w:rFonts w:ascii="Arial" w:eastAsia="Times New Roman" w:hAnsi="Arial" w:cs="Arial"/>
          <w:sz w:val="24"/>
          <w:szCs w:val="24"/>
          <w:lang w:eastAsia="en-GB"/>
        </w:rPr>
      </w:pPr>
      <w:r w:rsidRPr="00552390">
        <w:rPr>
          <w:rFonts w:ascii="Arial" w:eastAsia="Times New Roman" w:hAnsi="Arial" w:cs="Arial"/>
          <w:sz w:val="24"/>
          <w:szCs w:val="24"/>
          <w:lang w:eastAsia="en-GB"/>
        </w:rPr>
        <w:t>Durham University</w:t>
      </w:r>
    </w:p>
    <w:p w14:paraId="05373093" w14:textId="77777777" w:rsidR="001A34F1" w:rsidRPr="00552390" w:rsidRDefault="001A34F1" w:rsidP="001A674B">
      <w:pPr>
        <w:pStyle w:val="NoSpacing"/>
        <w:spacing w:line="259" w:lineRule="auto"/>
        <w:ind w:left="1440"/>
        <w:rPr>
          <w:rFonts w:ascii="Arial" w:eastAsia="Times New Roman" w:hAnsi="Arial" w:cs="Arial"/>
          <w:sz w:val="24"/>
          <w:szCs w:val="24"/>
          <w:lang w:eastAsia="en-GB"/>
        </w:rPr>
      </w:pPr>
    </w:p>
    <w:p w14:paraId="314F1D2B" w14:textId="77777777" w:rsidR="001A34F1" w:rsidRPr="00552390" w:rsidRDefault="005D2800" w:rsidP="005D2800">
      <w:pPr>
        <w:pStyle w:val="NoSpacing"/>
        <w:spacing w:line="259" w:lineRule="auto"/>
        <w:ind w:left="720"/>
        <w:rPr>
          <w:rFonts w:ascii="Arial" w:eastAsia="Times New Roman" w:hAnsi="Arial" w:cs="Arial"/>
          <w:sz w:val="24"/>
          <w:szCs w:val="24"/>
          <w:lang w:eastAsia="en-GB"/>
        </w:rPr>
      </w:pPr>
      <w:r w:rsidRPr="00552390">
        <w:rPr>
          <w:rFonts w:ascii="Arial" w:eastAsia="Times New Roman" w:hAnsi="Arial" w:cs="Arial"/>
          <w:sz w:val="24"/>
          <w:szCs w:val="24"/>
          <w:lang w:eastAsia="en-GB"/>
        </w:rPr>
        <w:t>The report incorporates an agreed action from the last Board to integrate quantification of costs and benefits and apply a RAG rating. Information on costs and benefits have been provided where captured through existing Programme reporting mechanism</w:t>
      </w:r>
      <w:r w:rsidR="00C337C1" w:rsidRPr="00552390">
        <w:rPr>
          <w:rFonts w:ascii="Arial" w:eastAsia="Times New Roman" w:hAnsi="Arial" w:cs="Arial"/>
          <w:sz w:val="24"/>
          <w:szCs w:val="24"/>
          <w:lang w:eastAsia="en-GB"/>
        </w:rPr>
        <w:t>, primarily for the larger active collaboration workstreams. Further detailed work would be required to develop a full quantification of costs and benefits for the smaller but innovative areas of collaboration.</w:t>
      </w:r>
      <w:r w:rsidRPr="00552390">
        <w:rPr>
          <w:rFonts w:ascii="Arial" w:eastAsia="Times New Roman" w:hAnsi="Arial" w:cs="Arial"/>
          <w:sz w:val="24"/>
          <w:szCs w:val="24"/>
          <w:lang w:eastAsia="en-GB"/>
        </w:rPr>
        <w:t xml:space="preserve">  </w:t>
      </w:r>
    </w:p>
    <w:p w14:paraId="431EC314" w14:textId="77777777" w:rsidR="005D2800" w:rsidRPr="00552390" w:rsidRDefault="005D2800" w:rsidP="005D2800">
      <w:pPr>
        <w:pStyle w:val="NoSpacing"/>
        <w:spacing w:line="259" w:lineRule="auto"/>
        <w:ind w:left="720"/>
        <w:rPr>
          <w:rFonts w:ascii="Arial" w:eastAsia="Times New Roman" w:hAnsi="Arial" w:cs="Arial"/>
          <w:sz w:val="24"/>
          <w:szCs w:val="24"/>
          <w:lang w:eastAsia="en-GB"/>
        </w:rPr>
      </w:pPr>
    </w:p>
    <w:p w14:paraId="0E2EA28C" w14:textId="77777777" w:rsidR="00ED5F0C" w:rsidRPr="00552390" w:rsidRDefault="004F62BB" w:rsidP="006D07B8">
      <w:pPr>
        <w:pStyle w:val="NoSpacing"/>
        <w:numPr>
          <w:ilvl w:val="0"/>
          <w:numId w:val="8"/>
        </w:numPr>
        <w:spacing w:line="259" w:lineRule="auto"/>
        <w:rPr>
          <w:rFonts w:ascii="Arial" w:hAnsi="Arial" w:cs="Arial"/>
          <w:b/>
          <w:sz w:val="24"/>
          <w:szCs w:val="24"/>
          <w:u w:val="single"/>
        </w:rPr>
      </w:pPr>
      <w:r w:rsidRPr="00552390">
        <w:rPr>
          <w:rFonts w:ascii="Arial" w:hAnsi="Arial" w:cs="Arial"/>
          <w:b/>
          <w:sz w:val="24"/>
          <w:szCs w:val="24"/>
          <w:u w:val="single"/>
        </w:rPr>
        <w:t>Introduction</w:t>
      </w:r>
      <w:r w:rsidR="00E92E89" w:rsidRPr="00552390">
        <w:rPr>
          <w:rFonts w:ascii="Arial" w:hAnsi="Arial" w:cs="Arial"/>
          <w:b/>
          <w:sz w:val="24"/>
          <w:szCs w:val="24"/>
          <w:u w:val="single"/>
        </w:rPr>
        <w:t>/</w:t>
      </w:r>
      <w:r w:rsidR="001D5222" w:rsidRPr="00552390">
        <w:rPr>
          <w:rFonts w:ascii="Arial" w:hAnsi="Arial" w:cs="Arial"/>
          <w:b/>
          <w:sz w:val="24"/>
          <w:szCs w:val="24"/>
          <w:u w:val="single"/>
        </w:rPr>
        <w:t xml:space="preserve">Background </w:t>
      </w:r>
    </w:p>
    <w:p w14:paraId="2E1E84E4" w14:textId="77777777" w:rsidR="00ED5F0C" w:rsidRPr="00552390" w:rsidRDefault="00ED5F0C" w:rsidP="006D07B8">
      <w:pPr>
        <w:pStyle w:val="NoSpacing"/>
        <w:spacing w:line="259" w:lineRule="auto"/>
        <w:ind w:left="720"/>
        <w:rPr>
          <w:rFonts w:ascii="Arial" w:hAnsi="Arial" w:cs="Arial"/>
          <w:sz w:val="24"/>
          <w:szCs w:val="24"/>
        </w:rPr>
      </w:pPr>
      <w:r w:rsidRPr="00552390">
        <w:rPr>
          <w:rFonts w:ascii="Arial" w:hAnsi="Arial" w:cs="Arial"/>
          <w:b/>
          <w:sz w:val="24"/>
          <w:szCs w:val="24"/>
          <w:u w:val="single"/>
        </w:rPr>
        <w:lastRenderedPageBreak/>
        <w:br/>
      </w:r>
      <w:r w:rsidRPr="00552390">
        <w:rPr>
          <w:rFonts w:ascii="Arial" w:hAnsi="Arial" w:cs="Arial"/>
          <w:sz w:val="24"/>
          <w:szCs w:val="24"/>
        </w:rPr>
        <w:t>Essex Police has developed over time significant collaborative arrangements with other police forces</w:t>
      </w:r>
      <w:r w:rsidR="00C73631" w:rsidRPr="00552390">
        <w:rPr>
          <w:rFonts w:ascii="Arial" w:hAnsi="Arial" w:cs="Arial"/>
          <w:sz w:val="24"/>
          <w:szCs w:val="24"/>
        </w:rPr>
        <w:t>, particularly over the last twelve</w:t>
      </w:r>
      <w:r w:rsidRPr="00552390">
        <w:rPr>
          <w:rFonts w:ascii="Arial" w:hAnsi="Arial" w:cs="Arial"/>
          <w:sz w:val="24"/>
          <w:szCs w:val="24"/>
        </w:rPr>
        <w:t xml:space="preserve"> years since the decision by the government not to proceed with compulsory mergers of forces in 2006. These were for the purpose of cost savings as well as looking to achieve efficiencies and maximising joint working with the overarching aim of delivering more effective policing. </w:t>
      </w:r>
      <w:r w:rsidRPr="00552390">
        <w:rPr>
          <w:rFonts w:ascii="Arial" w:hAnsi="Arial" w:cs="Arial"/>
          <w:sz w:val="24"/>
          <w:szCs w:val="24"/>
        </w:rPr>
        <w:br/>
      </w:r>
      <w:r w:rsidRPr="00552390">
        <w:rPr>
          <w:rFonts w:ascii="Arial" w:hAnsi="Arial" w:cs="Arial"/>
          <w:sz w:val="24"/>
          <w:szCs w:val="24"/>
        </w:rPr>
        <w:br/>
        <w:t>The main Police collaborations are:</w:t>
      </w:r>
    </w:p>
    <w:p w14:paraId="63DCE2DC" w14:textId="77777777" w:rsidR="00ED5F0C" w:rsidRPr="00552390" w:rsidRDefault="00ED5F0C" w:rsidP="006D07B8">
      <w:pPr>
        <w:pStyle w:val="NoSpacing"/>
        <w:spacing w:line="259" w:lineRule="auto"/>
        <w:ind w:left="720"/>
        <w:rPr>
          <w:rFonts w:ascii="Arial" w:hAnsi="Arial" w:cs="Arial"/>
          <w:sz w:val="24"/>
          <w:szCs w:val="24"/>
        </w:rPr>
      </w:pPr>
    </w:p>
    <w:p w14:paraId="2BF80F6E" w14:textId="77777777" w:rsidR="007408B4" w:rsidRPr="00552390" w:rsidRDefault="004D1BC0" w:rsidP="006D07B8">
      <w:pPr>
        <w:pStyle w:val="NoSpacing"/>
        <w:numPr>
          <w:ilvl w:val="0"/>
          <w:numId w:val="12"/>
        </w:numPr>
        <w:spacing w:line="259" w:lineRule="auto"/>
        <w:rPr>
          <w:rFonts w:ascii="Arial" w:hAnsi="Arial" w:cs="Arial"/>
          <w:sz w:val="24"/>
          <w:szCs w:val="24"/>
        </w:rPr>
      </w:pPr>
      <w:r w:rsidRPr="00552390">
        <w:rPr>
          <w:rFonts w:ascii="Arial" w:hAnsi="Arial" w:cs="Arial"/>
          <w:b/>
          <w:sz w:val="24"/>
          <w:szCs w:val="24"/>
        </w:rPr>
        <w:t>Essex/</w:t>
      </w:r>
      <w:r w:rsidR="00ED5F0C" w:rsidRPr="00552390">
        <w:rPr>
          <w:rFonts w:ascii="Arial" w:hAnsi="Arial" w:cs="Arial"/>
          <w:b/>
          <w:sz w:val="24"/>
          <w:szCs w:val="24"/>
        </w:rPr>
        <w:t>Kent police forces</w:t>
      </w:r>
    </w:p>
    <w:p w14:paraId="6674ABF3" w14:textId="77777777" w:rsidR="00FD77E7" w:rsidRPr="00552390" w:rsidRDefault="00ED5F0C" w:rsidP="00FE52AD">
      <w:pPr>
        <w:pStyle w:val="NoSpacing"/>
        <w:numPr>
          <w:ilvl w:val="1"/>
          <w:numId w:val="12"/>
        </w:numPr>
        <w:spacing w:after="120" w:line="259" w:lineRule="auto"/>
        <w:ind w:left="1797" w:hanging="357"/>
        <w:rPr>
          <w:rFonts w:ascii="Arial" w:hAnsi="Arial" w:cs="Arial"/>
          <w:sz w:val="24"/>
          <w:szCs w:val="24"/>
        </w:rPr>
      </w:pPr>
      <w:r w:rsidRPr="00552390">
        <w:rPr>
          <w:rFonts w:ascii="Arial" w:hAnsi="Arial" w:cs="Arial"/>
          <w:sz w:val="24"/>
          <w:szCs w:val="24"/>
        </w:rPr>
        <w:t>Joint Serious Crime Directorate (SCD)</w:t>
      </w:r>
    </w:p>
    <w:p w14:paraId="24F583F0" w14:textId="77777777" w:rsidR="001A674B" w:rsidRPr="00552390" w:rsidRDefault="00ED5F0C" w:rsidP="00FE52AD">
      <w:pPr>
        <w:pStyle w:val="NoSpacing"/>
        <w:numPr>
          <w:ilvl w:val="1"/>
          <w:numId w:val="12"/>
        </w:numPr>
        <w:spacing w:after="120" w:line="259" w:lineRule="auto"/>
        <w:ind w:left="1797" w:hanging="357"/>
        <w:rPr>
          <w:rFonts w:ascii="Arial" w:hAnsi="Arial" w:cs="Arial"/>
          <w:sz w:val="24"/>
          <w:szCs w:val="24"/>
        </w:rPr>
      </w:pPr>
      <w:r w:rsidRPr="00552390">
        <w:rPr>
          <w:rFonts w:ascii="Arial" w:hAnsi="Arial" w:cs="Arial"/>
          <w:sz w:val="24"/>
          <w:szCs w:val="24"/>
        </w:rPr>
        <w:t>Joint Support Services Directorate</w:t>
      </w:r>
      <w:r w:rsidR="004D4EF7" w:rsidRPr="00552390">
        <w:rPr>
          <w:rFonts w:ascii="Arial" w:hAnsi="Arial" w:cs="Arial"/>
          <w:sz w:val="24"/>
          <w:szCs w:val="24"/>
        </w:rPr>
        <w:t xml:space="preserve"> (SSD)</w:t>
      </w:r>
    </w:p>
    <w:p w14:paraId="79D34EEC" w14:textId="77777777" w:rsidR="001973CB" w:rsidRPr="00552390" w:rsidRDefault="001A674B" w:rsidP="00FE52AD">
      <w:pPr>
        <w:pStyle w:val="NoSpacing"/>
        <w:numPr>
          <w:ilvl w:val="1"/>
          <w:numId w:val="12"/>
        </w:numPr>
        <w:spacing w:after="120" w:line="259" w:lineRule="auto"/>
        <w:ind w:left="1797" w:hanging="357"/>
        <w:rPr>
          <w:rFonts w:ascii="Arial" w:hAnsi="Arial" w:cs="Arial"/>
          <w:sz w:val="24"/>
          <w:szCs w:val="24"/>
        </w:rPr>
      </w:pPr>
      <w:r w:rsidRPr="00552390">
        <w:rPr>
          <w:rFonts w:ascii="Arial" w:hAnsi="Arial" w:cs="Arial"/>
          <w:sz w:val="24"/>
          <w:szCs w:val="24"/>
        </w:rPr>
        <w:t>Joint Operational working Essex OPC/ Kent TAC OPS</w:t>
      </w:r>
      <w:r w:rsidR="003467EE" w:rsidRPr="00552390">
        <w:rPr>
          <w:rFonts w:ascii="Arial" w:hAnsi="Arial" w:cs="Arial"/>
          <w:sz w:val="24"/>
          <w:szCs w:val="24"/>
        </w:rPr>
        <w:br/>
      </w:r>
    </w:p>
    <w:p w14:paraId="3A87B18A" w14:textId="77777777" w:rsidR="007408B4" w:rsidRPr="00552390" w:rsidRDefault="00ED5F0C" w:rsidP="006D07B8">
      <w:pPr>
        <w:pStyle w:val="NoSpacing"/>
        <w:numPr>
          <w:ilvl w:val="0"/>
          <w:numId w:val="12"/>
        </w:numPr>
        <w:spacing w:line="259" w:lineRule="auto"/>
        <w:rPr>
          <w:rFonts w:ascii="Arial" w:hAnsi="Arial" w:cs="Arial"/>
          <w:b/>
          <w:sz w:val="24"/>
          <w:szCs w:val="24"/>
        </w:rPr>
      </w:pPr>
      <w:r w:rsidRPr="00552390">
        <w:rPr>
          <w:rFonts w:ascii="Arial" w:hAnsi="Arial" w:cs="Arial"/>
          <w:b/>
          <w:sz w:val="24"/>
          <w:szCs w:val="24"/>
        </w:rPr>
        <w:t>Regional police collaboration</w:t>
      </w:r>
    </w:p>
    <w:p w14:paraId="02B2D414" w14:textId="77777777" w:rsidR="00FD77E7" w:rsidRPr="00552390" w:rsidRDefault="00D00F2A" w:rsidP="00FE52AD">
      <w:pPr>
        <w:pStyle w:val="NoSpacing"/>
        <w:numPr>
          <w:ilvl w:val="1"/>
          <w:numId w:val="12"/>
        </w:numPr>
        <w:spacing w:after="120" w:line="259" w:lineRule="auto"/>
        <w:ind w:left="1797" w:hanging="357"/>
        <w:rPr>
          <w:rFonts w:ascii="Arial" w:hAnsi="Arial" w:cs="Arial"/>
          <w:sz w:val="24"/>
          <w:szCs w:val="24"/>
        </w:rPr>
      </w:pPr>
      <w:r w:rsidRPr="00552390">
        <w:rPr>
          <w:rFonts w:ascii="Arial" w:eastAsia="Times New Roman" w:hAnsi="Arial" w:cs="Arial"/>
          <w:sz w:val="24"/>
          <w:szCs w:val="24"/>
          <w:lang w:eastAsia="en-GB"/>
        </w:rPr>
        <w:t>7 Force Strategic Collaboration Programme</w:t>
      </w:r>
      <w:r w:rsidR="00357A19" w:rsidRPr="00552390">
        <w:rPr>
          <w:rFonts w:ascii="Arial" w:eastAsia="Times New Roman" w:hAnsi="Arial" w:cs="Arial"/>
          <w:sz w:val="24"/>
          <w:szCs w:val="24"/>
          <w:lang w:eastAsia="en-GB"/>
        </w:rPr>
        <w:t>:</w:t>
      </w:r>
    </w:p>
    <w:p w14:paraId="217EA7AF" w14:textId="77777777" w:rsidR="00FD77E7" w:rsidRPr="00552390" w:rsidRDefault="00ED5F0C" w:rsidP="00FE52AD">
      <w:pPr>
        <w:pStyle w:val="NoSpacing"/>
        <w:numPr>
          <w:ilvl w:val="1"/>
          <w:numId w:val="12"/>
        </w:numPr>
        <w:spacing w:after="120" w:line="259" w:lineRule="auto"/>
        <w:ind w:left="1797" w:hanging="357"/>
        <w:rPr>
          <w:rFonts w:ascii="Arial" w:hAnsi="Arial" w:cs="Arial"/>
          <w:sz w:val="24"/>
          <w:szCs w:val="24"/>
        </w:rPr>
      </w:pPr>
      <w:r w:rsidRPr="00552390">
        <w:rPr>
          <w:rFonts w:ascii="Arial" w:eastAsia="Times New Roman" w:hAnsi="Arial" w:cs="Arial"/>
          <w:sz w:val="24"/>
          <w:szCs w:val="24"/>
          <w:lang w:eastAsia="en-GB"/>
        </w:rPr>
        <w:t>Athena IT Programme (nine forces)</w:t>
      </w:r>
      <w:r w:rsidR="00932B10" w:rsidRPr="00552390">
        <w:rPr>
          <w:rFonts w:ascii="Arial" w:eastAsia="Times New Roman" w:hAnsi="Arial" w:cs="Arial"/>
          <w:sz w:val="24"/>
          <w:szCs w:val="24"/>
          <w:lang w:eastAsia="en-GB"/>
        </w:rPr>
        <w:t>:</w:t>
      </w:r>
    </w:p>
    <w:p w14:paraId="12F3A2B2" w14:textId="77777777" w:rsidR="00FD77E7" w:rsidRPr="00552390" w:rsidRDefault="00ED5F0C" w:rsidP="00FE52AD">
      <w:pPr>
        <w:pStyle w:val="NoSpacing"/>
        <w:numPr>
          <w:ilvl w:val="1"/>
          <w:numId w:val="12"/>
        </w:numPr>
        <w:spacing w:after="120" w:line="259" w:lineRule="auto"/>
        <w:ind w:left="1797" w:hanging="357"/>
        <w:rPr>
          <w:rFonts w:ascii="Arial" w:hAnsi="Arial" w:cs="Arial"/>
          <w:sz w:val="24"/>
          <w:szCs w:val="24"/>
        </w:rPr>
      </w:pPr>
      <w:r w:rsidRPr="00552390">
        <w:rPr>
          <w:rFonts w:ascii="Arial" w:eastAsia="Times New Roman" w:hAnsi="Arial" w:cs="Arial"/>
          <w:sz w:val="24"/>
          <w:szCs w:val="24"/>
          <w:lang w:eastAsia="en-GB"/>
        </w:rPr>
        <w:t>Eastern Region Special Operations Unit (ERSOU)</w:t>
      </w:r>
      <w:r w:rsidR="00102305" w:rsidRPr="00552390">
        <w:rPr>
          <w:rFonts w:ascii="Arial" w:eastAsia="Times New Roman" w:hAnsi="Arial" w:cs="Arial"/>
          <w:sz w:val="24"/>
          <w:szCs w:val="24"/>
          <w:lang w:eastAsia="en-GB"/>
        </w:rPr>
        <w:t>:</w:t>
      </w:r>
    </w:p>
    <w:p w14:paraId="27B54109" w14:textId="77777777" w:rsidR="00E43B6E" w:rsidRPr="00552390" w:rsidRDefault="00253C74" w:rsidP="00FE52AD">
      <w:pPr>
        <w:pStyle w:val="NoSpacing"/>
        <w:numPr>
          <w:ilvl w:val="1"/>
          <w:numId w:val="12"/>
        </w:numPr>
        <w:spacing w:after="120" w:line="259" w:lineRule="auto"/>
        <w:ind w:left="1797" w:hanging="357"/>
        <w:rPr>
          <w:rFonts w:ascii="Arial" w:hAnsi="Arial" w:cs="Arial"/>
          <w:sz w:val="24"/>
          <w:szCs w:val="24"/>
        </w:rPr>
      </w:pPr>
      <w:r w:rsidRPr="00552390">
        <w:rPr>
          <w:rFonts w:ascii="Arial" w:hAnsi="Arial" w:cs="Arial"/>
          <w:sz w:val="24"/>
          <w:szCs w:val="24"/>
        </w:rPr>
        <w:t>Eastern Region Counter Terrorism Intelligence Unit (ECTIU</w:t>
      </w:r>
      <w:r w:rsidR="007408B4" w:rsidRPr="00552390">
        <w:rPr>
          <w:rFonts w:ascii="Arial" w:hAnsi="Arial" w:cs="Arial"/>
          <w:sz w:val="24"/>
          <w:szCs w:val="24"/>
        </w:rPr>
        <w:t>)</w:t>
      </w:r>
      <w:r w:rsidR="00570530" w:rsidRPr="00552390">
        <w:rPr>
          <w:rFonts w:ascii="Arial" w:hAnsi="Arial" w:cs="Arial"/>
          <w:sz w:val="24"/>
          <w:szCs w:val="24"/>
        </w:rPr>
        <w:t>:</w:t>
      </w:r>
      <w:r w:rsidR="00570530" w:rsidRPr="00552390">
        <w:rPr>
          <w:rFonts w:ascii="Arial" w:hAnsi="Arial" w:cs="Arial"/>
          <w:sz w:val="24"/>
          <w:szCs w:val="24"/>
        </w:rPr>
        <w:br/>
      </w:r>
    </w:p>
    <w:p w14:paraId="6F8CBCD9" w14:textId="77777777" w:rsidR="00FD77E7" w:rsidRPr="00552390" w:rsidRDefault="00E43B6E" w:rsidP="00FE52AD">
      <w:pPr>
        <w:pStyle w:val="ListParagraph"/>
        <w:numPr>
          <w:ilvl w:val="0"/>
          <w:numId w:val="12"/>
        </w:numPr>
        <w:spacing w:before="0" w:beforeAutospacing="0" w:after="0" w:afterAutospacing="0" w:line="259" w:lineRule="auto"/>
        <w:rPr>
          <w:rFonts w:cs="Arial"/>
        </w:rPr>
      </w:pPr>
      <w:r w:rsidRPr="00552390">
        <w:rPr>
          <w:rFonts w:cs="Arial"/>
          <w:b/>
          <w:szCs w:val="24"/>
        </w:rPr>
        <w:t>National collaboration</w:t>
      </w:r>
      <w:r w:rsidRPr="00552390">
        <w:rPr>
          <w:rFonts w:cs="Arial"/>
          <w:szCs w:val="24"/>
        </w:rPr>
        <w:t xml:space="preserve"> – </w:t>
      </w:r>
    </w:p>
    <w:p w14:paraId="0535D516" w14:textId="77777777" w:rsidR="00FD77E7" w:rsidRPr="00552390" w:rsidRDefault="00E43B6E" w:rsidP="00FD77E7">
      <w:pPr>
        <w:pStyle w:val="NoSpacing"/>
        <w:numPr>
          <w:ilvl w:val="1"/>
          <w:numId w:val="12"/>
        </w:numPr>
        <w:spacing w:after="120" w:line="259" w:lineRule="auto"/>
        <w:ind w:left="1797" w:hanging="357"/>
        <w:rPr>
          <w:rFonts w:ascii="Arial" w:eastAsia="Times New Roman" w:hAnsi="Arial" w:cs="Arial"/>
          <w:sz w:val="24"/>
          <w:szCs w:val="24"/>
          <w:lang w:eastAsia="en-GB"/>
        </w:rPr>
      </w:pPr>
      <w:r w:rsidRPr="00552390">
        <w:rPr>
          <w:rFonts w:ascii="Arial" w:eastAsia="Times New Roman" w:hAnsi="Arial" w:cs="Arial"/>
          <w:sz w:val="24"/>
          <w:szCs w:val="24"/>
          <w:lang w:eastAsia="en-GB"/>
        </w:rPr>
        <w:t>National Police Air Service (NPAS)</w:t>
      </w:r>
    </w:p>
    <w:p w14:paraId="7D3C5107" w14:textId="77777777" w:rsidR="00FD77E7" w:rsidRPr="00552390" w:rsidRDefault="00E43B6E" w:rsidP="00FD77E7">
      <w:pPr>
        <w:pStyle w:val="NoSpacing"/>
        <w:numPr>
          <w:ilvl w:val="1"/>
          <w:numId w:val="12"/>
        </w:numPr>
        <w:spacing w:after="120" w:line="259" w:lineRule="auto"/>
        <w:ind w:left="1797" w:hanging="357"/>
        <w:rPr>
          <w:rFonts w:ascii="Arial" w:eastAsia="Times New Roman" w:hAnsi="Arial" w:cs="Arial"/>
          <w:sz w:val="24"/>
          <w:szCs w:val="24"/>
          <w:lang w:eastAsia="en-GB"/>
        </w:rPr>
      </w:pPr>
      <w:r w:rsidRPr="00552390">
        <w:rPr>
          <w:rFonts w:ascii="Arial" w:eastAsia="Times New Roman" w:hAnsi="Arial" w:cs="Arial"/>
          <w:sz w:val="24"/>
          <w:szCs w:val="24"/>
          <w:lang w:eastAsia="en-GB"/>
        </w:rPr>
        <w:t>Eastern Region Mobilisation Hub</w:t>
      </w:r>
    </w:p>
    <w:p w14:paraId="0DFD87E9" w14:textId="77777777" w:rsidR="00F12993" w:rsidRPr="00552390" w:rsidRDefault="00E43B6E" w:rsidP="00FD77E7">
      <w:pPr>
        <w:pStyle w:val="NoSpacing"/>
        <w:numPr>
          <w:ilvl w:val="1"/>
          <w:numId w:val="12"/>
        </w:numPr>
        <w:spacing w:after="120" w:line="259" w:lineRule="auto"/>
        <w:ind w:left="1797" w:hanging="357"/>
        <w:rPr>
          <w:rFonts w:ascii="Arial" w:eastAsia="Times New Roman" w:hAnsi="Arial" w:cs="Arial"/>
          <w:sz w:val="24"/>
          <w:szCs w:val="24"/>
          <w:lang w:eastAsia="en-GB"/>
        </w:rPr>
      </w:pPr>
      <w:r w:rsidRPr="00552390">
        <w:rPr>
          <w:rFonts w:ascii="Arial" w:eastAsia="Times New Roman" w:hAnsi="Arial" w:cs="Arial"/>
          <w:sz w:val="24"/>
          <w:szCs w:val="24"/>
          <w:lang w:eastAsia="en-GB"/>
        </w:rPr>
        <w:lastRenderedPageBreak/>
        <w:t>Home Office IT Programme</w:t>
      </w:r>
    </w:p>
    <w:p w14:paraId="5253AD9D" w14:textId="77777777" w:rsidR="007408B4" w:rsidRPr="00552390" w:rsidRDefault="00F12993" w:rsidP="00FD77E7">
      <w:pPr>
        <w:pStyle w:val="NoSpacing"/>
        <w:numPr>
          <w:ilvl w:val="1"/>
          <w:numId w:val="12"/>
        </w:numPr>
        <w:spacing w:after="120" w:line="259" w:lineRule="auto"/>
        <w:ind w:left="1797" w:hanging="357"/>
        <w:rPr>
          <w:rFonts w:ascii="Arial" w:eastAsia="Times New Roman" w:hAnsi="Arial" w:cs="Arial"/>
          <w:sz w:val="24"/>
          <w:szCs w:val="24"/>
          <w:lang w:eastAsia="en-GB"/>
        </w:rPr>
      </w:pPr>
      <w:r w:rsidRPr="00552390">
        <w:rPr>
          <w:rFonts w:ascii="Arial" w:eastAsia="Times New Roman" w:hAnsi="Arial" w:cs="Arial"/>
          <w:sz w:val="24"/>
          <w:szCs w:val="24"/>
          <w:lang w:eastAsia="en-GB"/>
        </w:rPr>
        <w:t>Home Office Digital Policing Portfolio</w:t>
      </w:r>
      <w:r w:rsidR="00E43B6E" w:rsidRPr="00552390">
        <w:rPr>
          <w:rFonts w:ascii="Arial" w:eastAsia="Times New Roman" w:hAnsi="Arial" w:cs="Arial"/>
          <w:sz w:val="24"/>
          <w:szCs w:val="24"/>
          <w:lang w:eastAsia="en-GB"/>
        </w:rPr>
        <w:br/>
      </w:r>
    </w:p>
    <w:p w14:paraId="6F38542C" w14:textId="77777777" w:rsidR="00ED5F0C" w:rsidRPr="00552390" w:rsidRDefault="00FC22D8" w:rsidP="006D07B8">
      <w:pPr>
        <w:pStyle w:val="NoSpacing"/>
        <w:numPr>
          <w:ilvl w:val="0"/>
          <w:numId w:val="12"/>
        </w:numPr>
        <w:spacing w:line="259" w:lineRule="auto"/>
        <w:rPr>
          <w:rFonts w:ascii="Arial" w:hAnsi="Arial" w:cs="Arial"/>
          <w:b/>
          <w:sz w:val="24"/>
          <w:szCs w:val="24"/>
        </w:rPr>
      </w:pPr>
      <w:r w:rsidRPr="00552390">
        <w:rPr>
          <w:rFonts w:ascii="Arial" w:hAnsi="Arial" w:cs="Arial"/>
          <w:b/>
          <w:sz w:val="24"/>
          <w:szCs w:val="24"/>
        </w:rPr>
        <w:t>Local collaboration</w:t>
      </w:r>
    </w:p>
    <w:p w14:paraId="5F020AA7" w14:textId="77777777" w:rsidR="006D07B8" w:rsidRPr="00552390" w:rsidRDefault="00ED5F0C" w:rsidP="006D07B8">
      <w:pPr>
        <w:pStyle w:val="NoSpacing"/>
        <w:numPr>
          <w:ilvl w:val="1"/>
          <w:numId w:val="12"/>
        </w:numPr>
        <w:spacing w:line="259" w:lineRule="auto"/>
        <w:rPr>
          <w:rFonts w:ascii="Arial" w:hAnsi="Arial" w:cs="Arial"/>
          <w:sz w:val="24"/>
          <w:szCs w:val="24"/>
        </w:rPr>
      </w:pPr>
      <w:r w:rsidRPr="00552390">
        <w:rPr>
          <w:rFonts w:ascii="Arial" w:hAnsi="Arial" w:cs="Arial"/>
          <w:sz w:val="24"/>
          <w:szCs w:val="24"/>
        </w:rPr>
        <w:t>Essex County Fire &amp; Rescue Service (ECFRS)</w:t>
      </w:r>
    </w:p>
    <w:p w14:paraId="6C5F8D72" w14:textId="77777777" w:rsidR="00ED5F0C" w:rsidRPr="00552390" w:rsidRDefault="00243C35" w:rsidP="00FE52AD">
      <w:pPr>
        <w:pStyle w:val="NoSpacing"/>
        <w:numPr>
          <w:ilvl w:val="1"/>
          <w:numId w:val="12"/>
        </w:numPr>
        <w:spacing w:line="259" w:lineRule="auto"/>
        <w:rPr>
          <w:rFonts w:ascii="Arial" w:hAnsi="Arial" w:cs="Arial"/>
          <w:sz w:val="24"/>
          <w:szCs w:val="24"/>
        </w:rPr>
      </w:pPr>
      <w:r w:rsidRPr="00552390">
        <w:rPr>
          <w:rFonts w:ascii="Arial" w:hAnsi="Arial" w:cs="Arial"/>
          <w:sz w:val="24"/>
          <w:szCs w:val="24"/>
        </w:rPr>
        <w:t>Local Crime reduction collaborations– e.g. community hubs</w:t>
      </w:r>
      <w:r w:rsidRPr="00552390" w:rsidDel="00243C35">
        <w:rPr>
          <w:rFonts w:ascii="Arial" w:hAnsi="Arial" w:cs="Arial"/>
          <w:sz w:val="24"/>
          <w:szCs w:val="24"/>
        </w:rPr>
        <w:t xml:space="preserve"> </w:t>
      </w:r>
      <w:r w:rsidR="00F256B6" w:rsidRPr="00552390">
        <w:rPr>
          <w:rFonts w:ascii="Arial" w:hAnsi="Arial" w:cs="Arial"/>
          <w:sz w:val="24"/>
          <w:szCs w:val="24"/>
        </w:rPr>
        <w:br/>
      </w:r>
      <w:r w:rsidR="00ED5F0C" w:rsidRPr="00552390">
        <w:rPr>
          <w:rFonts w:ascii="Arial" w:hAnsi="Arial" w:cs="Arial"/>
          <w:sz w:val="24"/>
          <w:szCs w:val="24"/>
        </w:rPr>
        <w:br/>
      </w:r>
    </w:p>
    <w:p w14:paraId="28C23405" w14:textId="77777777" w:rsidR="004D1BC0" w:rsidRPr="00552390" w:rsidRDefault="00ED5F0C" w:rsidP="006D07B8">
      <w:pPr>
        <w:pStyle w:val="NoSpacing"/>
        <w:numPr>
          <w:ilvl w:val="0"/>
          <w:numId w:val="12"/>
        </w:numPr>
        <w:spacing w:line="259" w:lineRule="auto"/>
        <w:rPr>
          <w:rFonts w:ascii="Arial" w:hAnsi="Arial" w:cs="Arial"/>
          <w:sz w:val="24"/>
          <w:szCs w:val="24"/>
        </w:rPr>
      </w:pPr>
      <w:r w:rsidRPr="00552390">
        <w:rPr>
          <w:rFonts w:ascii="Arial" w:hAnsi="Arial" w:cs="Arial"/>
          <w:b/>
          <w:sz w:val="24"/>
          <w:szCs w:val="24"/>
        </w:rPr>
        <w:t>External and innovative partnerships</w:t>
      </w:r>
      <w:r w:rsidR="004D1BC0" w:rsidRPr="00552390">
        <w:rPr>
          <w:rFonts w:ascii="Arial" w:hAnsi="Arial" w:cs="Arial"/>
          <w:sz w:val="24"/>
          <w:szCs w:val="24"/>
        </w:rPr>
        <w:br/>
        <w:t>These initiatives include:</w:t>
      </w:r>
      <w:r w:rsidR="004D1BC0" w:rsidRPr="00552390">
        <w:rPr>
          <w:rFonts w:ascii="Arial" w:hAnsi="Arial" w:cs="Arial"/>
          <w:sz w:val="24"/>
          <w:szCs w:val="24"/>
        </w:rPr>
        <w:br/>
      </w:r>
    </w:p>
    <w:p w14:paraId="3D5262FB" w14:textId="77777777" w:rsidR="00FD77E7" w:rsidRPr="00552390" w:rsidRDefault="004D1BC0" w:rsidP="00FE52AD">
      <w:pPr>
        <w:numPr>
          <w:ilvl w:val="0"/>
          <w:numId w:val="17"/>
        </w:numPr>
        <w:tabs>
          <w:tab w:val="left" w:pos="1843"/>
        </w:tabs>
        <w:spacing w:after="0" w:line="259" w:lineRule="auto"/>
        <w:ind w:left="1843" w:hanging="425"/>
        <w:contextualSpacing/>
        <w:rPr>
          <w:rFonts w:ascii="Arial" w:eastAsia="Times New Roman" w:hAnsi="Arial" w:cs="Arial"/>
          <w:sz w:val="24"/>
          <w:szCs w:val="24"/>
          <w:lang w:eastAsia="en-GB"/>
        </w:rPr>
      </w:pPr>
      <w:r w:rsidRPr="00552390">
        <w:rPr>
          <w:rFonts w:ascii="Arial" w:eastAsia="Times New Roman" w:hAnsi="Arial" w:cs="Arial"/>
          <w:sz w:val="24"/>
          <w:szCs w:val="24"/>
          <w:lang w:eastAsia="en-GB"/>
        </w:rPr>
        <w:t>Essex C</w:t>
      </w:r>
      <w:r w:rsidR="00552390">
        <w:rPr>
          <w:rFonts w:ascii="Arial" w:eastAsia="Times New Roman" w:hAnsi="Arial" w:cs="Arial"/>
          <w:sz w:val="24"/>
          <w:szCs w:val="24"/>
          <w:lang w:eastAsia="en-GB"/>
        </w:rPr>
        <w:t>entre for Data Analytics (ECDA)</w:t>
      </w:r>
    </w:p>
    <w:p w14:paraId="1CAC15BF" w14:textId="77777777" w:rsidR="004D1BC0" w:rsidRPr="00552390" w:rsidRDefault="004D1BC0" w:rsidP="00FE52AD">
      <w:pPr>
        <w:numPr>
          <w:ilvl w:val="0"/>
          <w:numId w:val="17"/>
        </w:numPr>
        <w:tabs>
          <w:tab w:val="left" w:pos="1843"/>
        </w:tabs>
        <w:spacing w:after="0" w:line="259" w:lineRule="auto"/>
        <w:ind w:left="1843" w:hanging="425"/>
        <w:contextualSpacing/>
        <w:rPr>
          <w:rFonts w:ascii="Arial" w:eastAsia="Times New Roman" w:hAnsi="Arial" w:cs="Arial"/>
          <w:sz w:val="24"/>
          <w:szCs w:val="24"/>
          <w:lang w:eastAsia="en-GB"/>
        </w:rPr>
      </w:pPr>
      <w:r w:rsidRPr="00552390">
        <w:rPr>
          <w:rFonts w:ascii="Arial" w:eastAsia="Times New Roman" w:hAnsi="Arial" w:cs="Arial"/>
          <w:sz w:val="24"/>
          <w:szCs w:val="24"/>
          <w:lang w:eastAsia="en-GB"/>
        </w:rPr>
        <w:t xml:space="preserve">Innovative </w:t>
      </w:r>
      <w:r w:rsidR="00552390">
        <w:rPr>
          <w:rFonts w:ascii="Arial" w:eastAsia="Times New Roman" w:hAnsi="Arial" w:cs="Arial"/>
          <w:sz w:val="24"/>
          <w:szCs w:val="24"/>
          <w:lang w:eastAsia="en-GB"/>
        </w:rPr>
        <w:t xml:space="preserve">partnerships – BT Hothouse </w:t>
      </w:r>
    </w:p>
    <w:p w14:paraId="10CAFCB5" w14:textId="77777777" w:rsidR="00272BCC" w:rsidRPr="00552390" w:rsidRDefault="00272BCC" w:rsidP="005B3924">
      <w:pPr>
        <w:numPr>
          <w:ilvl w:val="0"/>
          <w:numId w:val="17"/>
        </w:numPr>
        <w:tabs>
          <w:tab w:val="left" w:pos="1843"/>
        </w:tabs>
        <w:spacing w:after="0" w:line="259" w:lineRule="auto"/>
        <w:ind w:left="1843" w:hanging="425"/>
        <w:contextualSpacing/>
        <w:rPr>
          <w:rFonts w:ascii="Arial" w:eastAsia="Times New Roman" w:hAnsi="Arial" w:cs="Arial"/>
          <w:sz w:val="24"/>
          <w:szCs w:val="24"/>
          <w:lang w:eastAsia="en-GB"/>
        </w:rPr>
      </w:pPr>
      <w:r w:rsidRPr="00552390">
        <w:rPr>
          <w:rFonts w:ascii="Arial" w:eastAsia="Times New Roman" w:hAnsi="Arial" w:cs="Arial"/>
          <w:sz w:val="24"/>
          <w:szCs w:val="24"/>
          <w:lang w:eastAsia="en-GB"/>
        </w:rPr>
        <w:t>Essex Online Partnership (EOLP)</w:t>
      </w:r>
      <w:r w:rsidR="005B3924" w:rsidRPr="00552390">
        <w:rPr>
          <w:rFonts w:ascii="Arial" w:eastAsia="Times New Roman" w:hAnsi="Arial" w:cs="Arial"/>
          <w:sz w:val="24"/>
          <w:szCs w:val="24"/>
          <w:lang w:eastAsia="en-GB"/>
        </w:rPr>
        <w:t xml:space="preserve"> </w:t>
      </w:r>
    </w:p>
    <w:p w14:paraId="564D67B2" w14:textId="77777777" w:rsidR="004D1BC0" w:rsidRPr="00552390" w:rsidRDefault="00272BCC" w:rsidP="000C23C3">
      <w:pPr>
        <w:numPr>
          <w:ilvl w:val="0"/>
          <w:numId w:val="17"/>
        </w:numPr>
        <w:tabs>
          <w:tab w:val="left" w:pos="1843"/>
        </w:tabs>
        <w:spacing w:after="0" w:line="259" w:lineRule="auto"/>
        <w:ind w:left="1843" w:hanging="425"/>
        <w:contextualSpacing/>
        <w:rPr>
          <w:rFonts w:ascii="Arial" w:eastAsia="Times New Roman" w:hAnsi="Arial" w:cs="Arial"/>
          <w:sz w:val="24"/>
          <w:szCs w:val="24"/>
          <w:lang w:eastAsia="en-GB"/>
        </w:rPr>
      </w:pPr>
      <w:r w:rsidRPr="00552390">
        <w:rPr>
          <w:rFonts w:ascii="Arial" w:eastAsia="Times New Roman" w:hAnsi="Arial" w:cs="Arial"/>
          <w:sz w:val="24"/>
          <w:szCs w:val="24"/>
          <w:lang w:eastAsia="en-GB"/>
        </w:rPr>
        <w:t>Anglia Ruskin University (ARU)</w:t>
      </w:r>
      <w:r w:rsidR="005B3924" w:rsidRPr="00552390">
        <w:rPr>
          <w:rFonts w:ascii="Arial" w:eastAsia="Times New Roman" w:hAnsi="Arial" w:cs="Arial"/>
          <w:sz w:val="24"/>
          <w:szCs w:val="24"/>
          <w:lang w:eastAsia="en-GB"/>
        </w:rPr>
        <w:t xml:space="preserve"> </w:t>
      </w:r>
    </w:p>
    <w:p w14:paraId="728FFD7D" w14:textId="77777777" w:rsidR="004D1BC0" w:rsidRPr="00552390" w:rsidRDefault="004D1BC0" w:rsidP="009837C1">
      <w:pPr>
        <w:numPr>
          <w:ilvl w:val="0"/>
          <w:numId w:val="17"/>
        </w:numPr>
        <w:tabs>
          <w:tab w:val="left" w:pos="1843"/>
        </w:tabs>
        <w:spacing w:after="0" w:line="259" w:lineRule="auto"/>
        <w:ind w:left="1843" w:hanging="425"/>
        <w:contextualSpacing/>
        <w:rPr>
          <w:rFonts w:ascii="Arial" w:eastAsia="Times New Roman" w:hAnsi="Arial" w:cs="Arial"/>
          <w:sz w:val="24"/>
          <w:szCs w:val="24"/>
          <w:lang w:eastAsia="en-GB"/>
        </w:rPr>
      </w:pPr>
      <w:r w:rsidRPr="00552390">
        <w:rPr>
          <w:rFonts w:ascii="Arial" w:eastAsia="Times New Roman" w:hAnsi="Arial" w:cs="Arial"/>
          <w:sz w:val="24"/>
          <w:szCs w:val="24"/>
          <w:lang w:eastAsia="en-GB"/>
        </w:rPr>
        <w:t>Open University Centre for Research and Learning</w:t>
      </w:r>
      <w:r w:rsidR="009837C1" w:rsidRPr="00552390">
        <w:rPr>
          <w:rFonts w:ascii="Arial" w:eastAsia="Times New Roman" w:hAnsi="Arial" w:cs="Arial"/>
          <w:sz w:val="24"/>
          <w:szCs w:val="24"/>
          <w:lang w:eastAsia="en-GB"/>
        </w:rPr>
        <w:t xml:space="preserve"> </w:t>
      </w:r>
    </w:p>
    <w:p w14:paraId="18FC9ED9" w14:textId="77777777" w:rsidR="0031562F" w:rsidRPr="00552390" w:rsidRDefault="004D1BC0" w:rsidP="006D07B8">
      <w:pPr>
        <w:numPr>
          <w:ilvl w:val="0"/>
          <w:numId w:val="17"/>
        </w:numPr>
        <w:tabs>
          <w:tab w:val="left" w:pos="1843"/>
        </w:tabs>
        <w:spacing w:after="0" w:line="259" w:lineRule="auto"/>
        <w:contextualSpacing/>
        <w:rPr>
          <w:rFonts w:ascii="Arial" w:eastAsia="Times New Roman" w:hAnsi="Arial" w:cs="Arial"/>
          <w:sz w:val="24"/>
          <w:szCs w:val="24"/>
          <w:lang w:eastAsia="en-GB"/>
        </w:rPr>
      </w:pPr>
      <w:r w:rsidRPr="00552390">
        <w:rPr>
          <w:rFonts w:ascii="Arial" w:eastAsia="Times New Roman" w:hAnsi="Arial" w:cs="Arial"/>
          <w:sz w:val="24"/>
          <w:szCs w:val="24"/>
          <w:lang w:eastAsia="en-GB"/>
        </w:rPr>
        <w:t>Cyber Speci</w:t>
      </w:r>
      <w:r w:rsidR="00552390">
        <w:rPr>
          <w:rFonts w:ascii="Arial" w:eastAsia="Times New Roman" w:hAnsi="Arial" w:cs="Arial"/>
          <w:sz w:val="24"/>
          <w:szCs w:val="24"/>
          <w:lang w:eastAsia="en-GB"/>
        </w:rPr>
        <w:t>als and Cyber Volunteers (CSCV)</w:t>
      </w:r>
    </w:p>
    <w:p w14:paraId="2E6696D1" w14:textId="77777777" w:rsidR="00591EB9" w:rsidRPr="00552390" w:rsidRDefault="0031562F" w:rsidP="006D07B8">
      <w:pPr>
        <w:numPr>
          <w:ilvl w:val="0"/>
          <w:numId w:val="17"/>
        </w:numPr>
        <w:tabs>
          <w:tab w:val="left" w:pos="1843"/>
        </w:tabs>
        <w:spacing w:after="0" w:line="259" w:lineRule="auto"/>
        <w:contextualSpacing/>
        <w:rPr>
          <w:rFonts w:ascii="Arial" w:eastAsia="Times New Roman" w:hAnsi="Arial" w:cs="Arial"/>
          <w:sz w:val="24"/>
          <w:szCs w:val="24"/>
          <w:lang w:eastAsia="en-GB"/>
        </w:rPr>
      </w:pPr>
      <w:r w:rsidRPr="00552390">
        <w:rPr>
          <w:rFonts w:ascii="Arial" w:eastAsia="Times New Roman" w:hAnsi="Arial" w:cs="Arial"/>
          <w:sz w:val="24"/>
          <w:szCs w:val="24"/>
          <w:lang w:eastAsia="en-GB"/>
        </w:rPr>
        <w:t>Durham University</w:t>
      </w:r>
      <w:r w:rsidR="005B3924" w:rsidRPr="00552390">
        <w:rPr>
          <w:rFonts w:ascii="Arial" w:eastAsia="Times New Roman" w:hAnsi="Arial" w:cs="Arial"/>
          <w:sz w:val="24"/>
          <w:szCs w:val="24"/>
          <w:lang w:eastAsia="en-GB"/>
        </w:rPr>
        <w:t xml:space="preserve"> </w:t>
      </w:r>
    </w:p>
    <w:p w14:paraId="30B49B4E" w14:textId="77777777" w:rsidR="00591EB9" w:rsidRPr="00552390" w:rsidRDefault="00591EB9" w:rsidP="006D07B8">
      <w:pPr>
        <w:pStyle w:val="NoSpacing"/>
        <w:spacing w:line="259" w:lineRule="auto"/>
        <w:rPr>
          <w:rFonts w:ascii="Arial" w:hAnsi="Arial" w:cs="Arial"/>
          <w:sz w:val="24"/>
          <w:szCs w:val="24"/>
        </w:rPr>
      </w:pPr>
    </w:p>
    <w:p w14:paraId="1BB6CED6" w14:textId="77777777" w:rsidR="00297867" w:rsidRPr="00552390" w:rsidRDefault="00297867" w:rsidP="006D07B8">
      <w:pPr>
        <w:pStyle w:val="NoSpacing"/>
        <w:spacing w:line="259" w:lineRule="auto"/>
        <w:rPr>
          <w:rFonts w:ascii="Arial" w:hAnsi="Arial" w:cs="Arial"/>
          <w:sz w:val="24"/>
          <w:szCs w:val="24"/>
        </w:rPr>
      </w:pPr>
    </w:p>
    <w:p w14:paraId="4F29B6DE" w14:textId="77777777" w:rsidR="00C654B8" w:rsidRPr="00552390" w:rsidRDefault="00E92E89" w:rsidP="006D07B8">
      <w:pPr>
        <w:pStyle w:val="NoSpacing"/>
        <w:spacing w:line="259" w:lineRule="auto"/>
        <w:rPr>
          <w:rFonts w:ascii="Arial" w:hAnsi="Arial" w:cs="Arial"/>
          <w:b/>
          <w:sz w:val="24"/>
          <w:szCs w:val="24"/>
          <w:u w:val="single"/>
        </w:rPr>
      </w:pPr>
      <w:r w:rsidRPr="00552390">
        <w:rPr>
          <w:rFonts w:ascii="Arial" w:hAnsi="Arial" w:cs="Arial"/>
          <w:b/>
          <w:sz w:val="24"/>
          <w:szCs w:val="24"/>
        </w:rPr>
        <w:t>5</w:t>
      </w:r>
      <w:r w:rsidR="00665862" w:rsidRPr="00552390">
        <w:rPr>
          <w:rFonts w:ascii="Arial" w:hAnsi="Arial" w:cs="Arial"/>
          <w:b/>
          <w:sz w:val="24"/>
          <w:szCs w:val="24"/>
        </w:rPr>
        <w:t>.0</w:t>
      </w:r>
      <w:r w:rsidR="00665862" w:rsidRPr="00552390">
        <w:rPr>
          <w:rFonts w:ascii="Arial" w:hAnsi="Arial" w:cs="Arial"/>
          <w:b/>
          <w:sz w:val="24"/>
          <w:szCs w:val="24"/>
        </w:rPr>
        <w:tab/>
      </w:r>
      <w:r w:rsidR="0031562F" w:rsidRPr="00552390">
        <w:rPr>
          <w:rFonts w:ascii="Arial" w:hAnsi="Arial" w:cs="Arial"/>
          <w:b/>
          <w:sz w:val="24"/>
          <w:szCs w:val="24"/>
          <w:u w:val="single"/>
        </w:rPr>
        <w:t>Update on Current Collaboration Work</w:t>
      </w:r>
    </w:p>
    <w:p w14:paraId="0E59354C" w14:textId="77777777" w:rsidR="00422583" w:rsidRPr="00552390" w:rsidRDefault="00422583" w:rsidP="006D07B8">
      <w:pPr>
        <w:pStyle w:val="NoSpacing"/>
        <w:spacing w:line="259" w:lineRule="auto"/>
        <w:rPr>
          <w:rFonts w:ascii="Arial" w:hAnsi="Arial" w:cs="Arial"/>
          <w:b/>
          <w:sz w:val="24"/>
          <w:szCs w:val="24"/>
          <w:u w:val="single"/>
        </w:rPr>
      </w:pPr>
    </w:p>
    <w:p w14:paraId="0F5E6580" w14:textId="77777777" w:rsidR="00E80BC6" w:rsidRPr="00552390" w:rsidRDefault="00E80BC6" w:rsidP="008F0D43">
      <w:pPr>
        <w:rPr>
          <w:rFonts w:ascii="Arial" w:hAnsi="Arial" w:cs="Arial"/>
          <w:b/>
          <w:sz w:val="24"/>
          <w:szCs w:val="24"/>
          <w:u w:val="single"/>
        </w:rPr>
      </w:pPr>
      <w:r w:rsidRPr="00552390">
        <w:rPr>
          <w:rFonts w:ascii="Arial" w:hAnsi="Arial" w:cs="Arial"/>
          <w:b/>
          <w:sz w:val="24"/>
          <w:szCs w:val="24"/>
          <w:u w:val="single"/>
        </w:rPr>
        <w:t>Essex/Kent Collaboration</w:t>
      </w:r>
    </w:p>
    <w:p w14:paraId="33689E84" w14:textId="77777777" w:rsidR="007424E1" w:rsidRPr="00552390" w:rsidRDefault="008048AC" w:rsidP="008F0D43">
      <w:pPr>
        <w:rPr>
          <w:rFonts w:ascii="Arial" w:hAnsi="Arial" w:cs="Arial"/>
          <w:b/>
          <w:sz w:val="24"/>
          <w:szCs w:val="24"/>
          <w:u w:val="single"/>
        </w:rPr>
      </w:pPr>
      <w:r w:rsidRPr="00552390">
        <w:rPr>
          <w:rFonts w:ascii="Arial" w:hAnsi="Arial" w:cs="Arial"/>
          <w:b/>
          <w:sz w:val="24"/>
          <w:szCs w:val="24"/>
          <w:u w:val="single"/>
        </w:rPr>
        <w:t xml:space="preserve">Joint </w:t>
      </w:r>
      <w:r w:rsidR="00E80BC6" w:rsidRPr="00552390">
        <w:rPr>
          <w:rFonts w:ascii="Arial" w:hAnsi="Arial" w:cs="Arial"/>
          <w:b/>
          <w:sz w:val="24"/>
          <w:szCs w:val="24"/>
          <w:u w:val="single"/>
        </w:rPr>
        <w:t>Serious Crime Directorate</w:t>
      </w:r>
      <w:r w:rsidR="00BE619D" w:rsidRPr="00552390">
        <w:rPr>
          <w:rFonts w:ascii="Arial" w:hAnsi="Arial" w:cs="Arial"/>
          <w:b/>
          <w:sz w:val="24"/>
          <w:szCs w:val="24"/>
          <w:u w:val="single"/>
        </w:rPr>
        <w:t xml:space="preserve"> (SCD) </w:t>
      </w:r>
    </w:p>
    <w:tbl>
      <w:tblPr>
        <w:tblStyle w:val="TableGrid27"/>
        <w:tblpPr w:leftFromText="180" w:rightFromText="180" w:vertAnchor="text" w:horzAnchor="margin" w:tblpY="200"/>
        <w:tblW w:w="9351" w:type="dxa"/>
        <w:tblLook w:val="04A0" w:firstRow="1" w:lastRow="0" w:firstColumn="1" w:lastColumn="0" w:noHBand="0" w:noVBand="1"/>
      </w:tblPr>
      <w:tblGrid>
        <w:gridCol w:w="996"/>
        <w:gridCol w:w="938"/>
        <w:gridCol w:w="1001"/>
        <w:gridCol w:w="1040"/>
        <w:gridCol w:w="1002"/>
        <w:gridCol w:w="1067"/>
        <w:gridCol w:w="897"/>
        <w:gridCol w:w="1276"/>
        <w:gridCol w:w="1134"/>
      </w:tblGrid>
      <w:tr w:rsidR="007424E1" w:rsidRPr="008A42D5" w14:paraId="2189850F" w14:textId="77777777" w:rsidTr="006B1BC2">
        <w:trPr>
          <w:trHeight w:val="1672"/>
        </w:trPr>
        <w:tc>
          <w:tcPr>
            <w:tcW w:w="996" w:type="dxa"/>
            <w:tcBorders>
              <w:top w:val="single" w:sz="12" w:space="0" w:color="auto"/>
              <w:bottom w:val="single" w:sz="12" w:space="0" w:color="auto"/>
            </w:tcBorders>
            <w:shd w:val="clear" w:color="auto" w:fill="92D050"/>
            <w:vAlign w:val="center"/>
          </w:tcPr>
          <w:p w14:paraId="4F95FE93" w14:textId="77777777" w:rsidR="007424E1" w:rsidRPr="00552390" w:rsidRDefault="007424E1" w:rsidP="00C337C1">
            <w:pPr>
              <w:jc w:val="center"/>
              <w:rPr>
                <w:rFonts w:ascii="Calibri" w:eastAsia="Calibri" w:hAnsi="Calibri" w:cs="Times New Roman"/>
                <w:sz w:val="14"/>
                <w:szCs w:val="15"/>
              </w:rPr>
            </w:pPr>
            <w:r w:rsidRPr="00552390">
              <w:rPr>
                <w:rFonts w:ascii="Calibri" w:eastAsia="Calibri" w:hAnsi="Calibri" w:cs="Times New Roman"/>
                <w:sz w:val="14"/>
                <w:szCs w:val="15"/>
              </w:rPr>
              <w:t>Overall RAG</w:t>
            </w:r>
          </w:p>
        </w:tc>
        <w:tc>
          <w:tcPr>
            <w:tcW w:w="938" w:type="dxa"/>
            <w:tcBorders>
              <w:top w:val="single" w:sz="4" w:space="0" w:color="auto"/>
              <w:bottom w:val="single" w:sz="4" w:space="0" w:color="auto"/>
            </w:tcBorders>
            <w:shd w:val="clear" w:color="auto" w:fill="FFFFFF"/>
            <w:vAlign w:val="center"/>
          </w:tcPr>
          <w:p w14:paraId="48543853" w14:textId="77777777" w:rsidR="007424E1" w:rsidRPr="00552390" w:rsidRDefault="007424E1" w:rsidP="00C337C1">
            <w:pPr>
              <w:pStyle w:val="NoSpacing"/>
              <w:spacing w:after="120" w:line="259" w:lineRule="auto"/>
              <w:jc w:val="center"/>
              <w:rPr>
                <w:color w:val="000000" w:themeColor="text1"/>
                <w:sz w:val="15"/>
                <w:szCs w:val="15"/>
              </w:rPr>
            </w:pPr>
            <w:r w:rsidRPr="00552390">
              <w:rPr>
                <w:color w:val="000000" w:themeColor="text1"/>
                <w:sz w:val="15"/>
                <w:szCs w:val="15"/>
              </w:rPr>
              <w:t>Time</w:t>
            </w:r>
          </w:p>
        </w:tc>
        <w:tc>
          <w:tcPr>
            <w:tcW w:w="1001" w:type="dxa"/>
            <w:tcBorders>
              <w:top w:val="single" w:sz="4" w:space="0" w:color="auto"/>
              <w:bottom w:val="single" w:sz="4" w:space="0" w:color="auto"/>
            </w:tcBorders>
            <w:shd w:val="clear" w:color="auto" w:fill="92D050"/>
            <w:vAlign w:val="center"/>
          </w:tcPr>
          <w:p w14:paraId="6201A9B5" w14:textId="77777777" w:rsidR="007424E1" w:rsidRPr="00542C69" w:rsidRDefault="007424E1" w:rsidP="00C337C1">
            <w:pPr>
              <w:pStyle w:val="NoSpacing"/>
              <w:spacing w:after="120" w:line="259" w:lineRule="auto"/>
              <w:jc w:val="center"/>
              <w:rPr>
                <w:color w:val="000000" w:themeColor="text1"/>
                <w:sz w:val="15"/>
                <w:szCs w:val="15"/>
              </w:rPr>
            </w:pPr>
            <w:r>
              <w:rPr>
                <w:color w:val="000000" w:themeColor="text1"/>
                <w:sz w:val="15"/>
                <w:szCs w:val="15"/>
              </w:rPr>
              <w:t>A</w:t>
            </w:r>
          </w:p>
        </w:tc>
        <w:tc>
          <w:tcPr>
            <w:tcW w:w="1040" w:type="dxa"/>
            <w:tcBorders>
              <w:top w:val="single" w:sz="4" w:space="0" w:color="auto"/>
              <w:bottom w:val="single" w:sz="4" w:space="0" w:color="auto"/>
            </w:tcBorders>
            <w:shd w:val="clear" w:color="auto" w:fill="FFFFFF"/>
            <w:vAlign w:val="center"/>
          </w:tcPr>
          <w:p w14:paraId="74D8719F" w14:textId="77777777" w:rsidR="007424E1" w:rsidRPr="00542C69" w:rsidRDefault="007424E1" w:rsidP="00C337C1">
            <w:pPr>
              <w:pStyle w:val="NoSpacing"/>
              <w:spacing w:after="120" w:line="259" w:lineRule="auto"/>
              <w:jc w:val="center"/>
              <w:rPr>
                <w:color w:val="000000" w:themeColor="text1"/>
                <w:sz w:val="15"/>
                <w:szCs w:val="15"/>
              </w:rPr>
            </w:pPr>
            <w:r>
              <w:rPr>
                <w:color w:val="000000" w:themeColor="text1"/>
                <w:sz w:val="15"/>
                <w:szCs w:val="15"/>
              </w:rPr>
              <w:t>Costs</w:t>
            </w:r>
          </w:p>
        </w:tc>
        <w:tc>
          <w:tcPr>
            <w:tcW w:w="1002" w:type="dxa"/>
            <w:tcBorders>
              <w:top w:val="single" w:sz="4" w:space="0" w:color="auto"/>
              <w:bottom w:val="single" w:sz="4" w:space="0" w:color="auto"/>
            </w:tcBorders>
            <w:shd w:val="clear" w:color="auto" w:fill="92D050"/>
            <w:vAlign w:val="center"/>
          </w:tcPr>
          <w:p w14:paraId="2E8BDE0B" w14:textId="77777777" w:rsidR="007424E1" w:rsidRPr="00542C69" w:rsidRDefault="007424E1" w:rsidP="00C337C1">
            <w:pPr>
              <w:pStyle w:val="NoSpacing"/>
              <w:spacing w:after="120" w:line="259" w:lineRule="auto"/>
              <w:jc w:val="center"/>
              <w:rPr>
                <w:color w:val="000000" w:themeColor="text1"/>
                <w:sz w:val="15"/>
                <w:szCs w:val="15"/>
              </w:rPr>
            </w:pPr>
            <w:r>
              <w:rPr>
                <w:color w:val="000000" w:themeColor="text1"/>
                <w:sz w:val="15"/>
                <w:szCs w:val="15"/>
              </w:rPr>
              <w:t>G</w:t>
            </w:r>
          </w:p>
        </w:tc>
        <w:tc>
          <w:tcPr>
            <w:tcW w:w="1067" w:type="dxa"/>
            <w:tcBorders>
              <w:top w:val="single" w:sz="4" w:space="0" w:color="auto"/>
              <w:bottom w:val="single" w:sz="4" w:space="0" w:color="auto"/>
            </w:tcBorders>
            <w:shd w:val="clear" w:color="auto" w:fill="FFFFFF"/>
            <w:vAlign w:val="center"/>
          </w:tcPr>
          <w:p w14:paraId="46D21A72" w14:textId="77777777" w:rsidR="006B1BC2" w:rsidRDefault="006B1BC2" w:rsidP="00C337C1">
            <w:pPr>
              <w:pStyle w:val="NoSpacing"/>
              <w:spacing w:after="120" w:line="259" w:lineRule="auto"/>
              <w:jc w:val="center"/>
              <w:rPr>
                <w:color w:val="000000" w:themeColor="text1"/>
                <w:sz w:val="15"/>
                <w:szCs w:val="15"/>
              </w:rPr>
            </w:pPr>
            <w:r>
              <w:rPr>
                <w:color w:val="000000" w:themeColor="text1"/>
                <w:sz w:val="15"/>
                <w:szCs w:val="15"/>
              </w:rPr>
              <w:t>Cashable</w:t>
            </w:r>
          </w:p>
          <w:p w14:paraId="054D6813" w14:textId="77777777" w:rsidR="007424E1" w:rsidRDefault="007424E1" w:rsidP="00C337C1">
            <w:pPr>
              <w:pStyle w:val="NoSpacing"/>
              <w:spacing w:after="120" w:line="259" w:lineRule="auto"/>
              <w:jc w:val="center"/>
              <w:rPr>
                <w:color w:val="000000" w:themeColor="text1"/>
                <w:sz w:val="15"/>
                <w:szCs w:val="15"/>
              </w:rPr>
            </w:pPr>
            <w:r>
              <w:rPr>
                <w:color w:val="000000" w:themeColor="text1"/>
                <w:sz w:val="15"/>
                <w:szCs w:val="15"/>
              </w:rPr>
              <w:t>Savings</w:t>
            </w:r>
          </w:p>
          <w:p w14:paraId="059E6085" w14:textId="77777777" w:rsidR="007424E1" w:rsidRPr="00542C69" w:rsidRDefault="006B1BC2" w:rsidP="00C337C1">
            <w:pPr>
              <w:pStyle w:val="NoSpacing"/>
              <w:spacing w:after="120" w:line="259" w:lineRule="auto"/>
              <w:jc w:val="center"/>
              <w:rPr>
                <w:color w:val="000000" w:themeColor="text1"/>
                <w:sz w:val="15"/>
                <w:szCs w:val="15"/>
              </w:rPr>
            </w:pPr>
            <w:r w:rsidRPr="00CB37A8">
              <w:rPr>
                <w:rFonts w:ascii="Calibri" w:eastAsia="Calibri" w:hAnsi="Calibri" w:cs="Times New Roman"/>
                <w:sz w:val="15"/>
                <w:szCs w:val="15"/>
              </w:rPr>
              <w:t>£1.62m</w:t>
            </w:r>
          </w:p>
        </w:tc>
        <w:tc>
          <w:tcPr>
            <w:tcW w:w="897" w:type="dxa"/>
            <w:tcBorders>
              <w:top w:val="single" w:sz="4" w:space="0" w:color="auto"/>
              <w:bottom w:val="single" w:sz="4" w:space="0" w:color="auto"/>
            </w:tcBorders>
            <w:shd w:val="clear" w:color="auto" w:fill="92D050"/>
          </w:tcPr>
          <w:p w14:paraId="27E989F6" w14:textId="77777777" w:rsidR="007424E1" w:rsidRPr="006B1BC2" w:rsidRDefault="007424E1" w:rsidP="00C337C1">
            <w:pPr>
              <w:pStyle w:val="NoSpacing"/>
              <w:spacing w:after="120" w:line="259" w:lineRule="auto"/>
              <w:jc w:val="center"/>
              <w:rPr>
                <w:color w:val="000000" w:themeColor="text1"/>
                <w:sz w:val="15"/>
                <w:szCs w:val="15"/>
                <w:highlight w:val="green"/>
              </w:rPr>
            </w:pPr>
          </w:p>
          <w:p w14:paraId="455E6C52" w14:textId="77777777" w:rsidR="007424E1" w:rsidRPr="006B1BC2" w:rsidRDefault="007424E1" w:rsidP="00C337C1">
            <w:pPr>
              <w:pStyle w:val="NoSpacing"/>
              <w:spacing w:after="120" w:line="259" w:lineRule="auto"/>
              <w:jc w:val="center"/>
              <w:rPr>
                <w:color w:val="000000" w:themeColor="text1"/>
                <w:sz w:val="15"/>
                <w:szCs w:val="15"/>
                <w:highlight w:val="green"/>
              </w:rPr>
            </w:pPr>
          </w:p>
          <w:p w14:paraId="526E6A58" w14:textId="77777777" w:rsidR="007424E1" w:rsidRPr="006B1BC2" w:rsidRDefault="006B1BC2" w:rsidP="00C337C1">
            <w:pPr>
              <w:pStyle w:val="NoSpacing"/>
              <w:spacing w:after="120" w:line="259" w:lineRule="auto"/>
              <w:jc w:val="center"/>
              <w:rPr>
                <w:color w:val="000000" w:themeColor="text1"/>
                <w:sz w:val="15"/>
                <w:szCs w:val="15"/>
                <w:highlight w:val="green"/>
              </w:rPr>
            </w:pPr>
            <w:r w:rsidRPr="006B1BC2">
              <w:rPr>
                <w:color w:val="000000" w:themeColor="text1"/>
                <w:sz w:val="15"/>
                <w:szCs w:val="15"/>
              </w:rPr>
              <w:t>G</w:t>
            </w:r>
            <w:r w:rsidR="007424E1" w:rsidRPr="006B1BC2">
              <w:rPr>
                <w:highlight w:val="green"/>
              </w:rPr>
              <w:t xml:space="preserve"> </w:t>
            </w:r>
          </w:p>
          <w:p w14:paraId="70F282AA" w14:textId="77777777" w:rsidR="007424E1" w:rsidRPr="006B1BC2" w:rsidRDefault="007424E1" w:rsidP="00C337C1">
            <w:pPr>
              <w:pStyle w:val="NoSpacing"/>
              <w:spacing w:after="120" w:line="259" w:lineRule="auto"/>
              <w:jc w:val="center"/>
              <w:rPr>
                <w:color w:val="000000" w:themeColor="text1"/>
                <w:sz w:val="15"/>
                <w:szCs w:val="15"/>
                <w:highlight w:val="green"/>
              </w:rPr>
            </w:pPr>
          </w:p>
        </w:tc>
        <w:tc>
          <w:tcPr>
            <w:tcW w:w="1276" w:type="dxa"/>
            <w:tcBorders>
              <w:top w:val="single" w:sz="4" w:space="0" w:color="auto"/>
              <w:bottom w:val="single" w:sz="4" w:space="0" w:color="auto"/>
            </w:tcBorders>
            <w:shd w:val="clear" w:color="auto" w:fill="FFFFFF" w:themeFill="background1"/>
          </w:tcPr>
          <w:p w14:paraId="228BA5A7" w14:textId="77777777" w:rsidR="007424E1" w:rsidRDefault="007424E1" w:rsidP="00C337C1">
            <w:pPr>
              <w:pStyle w:val="NoSpacing"/>
              <w:spacing w:after="120" w:line="259" w:lineRule="auto"/>
              <w:jc w:val="center"/>
              <w:rPr>
                <w:color w:val="000000" w:themeColor="text1"/>
                <w:sz w:val="15"/>
                <w:szCs w:val="15"/>
              </w:rPr>
            </w:pPr>
          </w:p>
          <w:p w14:paraId="625EAEBD" w14:textId="77777777" w:rsidR="007424E1" w:rsidRDefault="007424E1" w:rsidP="00C337C1">
            <w:pPr>
              <w:pStyle w:val="NoSpacing"/>
              <w:spacing w:after="120" w:line="259" w:lineRule="auto"/>
              <w:jc w:val="center"/>
              <w:rPr>
                <w:color w:val="000000" w:themeColor="text1"/>
                <w:sz w:val="15"/>
                <w:szCs w:val="15"/>
              </w:rPr>
            </w:pPr>
          </w:p>
          <w:p w14:paraId="656275E7" w14:textId="77777777" w:rsidR="007424E1" w:rsidRDefault="007424E1" w:rsidP="00C337C1">
            <w:pPr>
              <w:pStyle w:val="NoSpacing"/>
              <w:spacing w:after="120" w:line="259" w:lineRule="auto"/>
              <w:jc w:val="center"/>
              <w:rPr>
                <w:color w:val="000000" w:themeColor="text1"/>
                <w:sz w:val="15"/>
                <w:szCs w:val="15"/>
              </w:rPr>
            </w:pPr>
            <w:r>
              <w:rPr>
                <w:color w:val="000000" w:themeColor="text1"/>
                <w:sz w:val="15"/>
                <w:szCs w:val="15"/>
              </w:rPr>
              <w:t>Benefits</w:t>
            </w:r>
          </w:p>
        </w:tc>
        <w:tc>
          <w:tcPr>
            <w:tcW w:w="1134" w:type="dxa"/>
            <w:tcBorders>
              <w:top w:val="single" w:sz="4" w:space="0" w:color="auto"/>
              <w:bottom w:val="single" w:sz="4" w:space="0" w:color="auto"/>
            </w:tcBorders>
            <w:shd w:val="clear" w:color="auto" w:fill="92D050"/>
            <w:vAlign w:val="center"/>
          </w:tcPr>
          <w:p w14:paraId="0D5218AE" w14:textId="77777777" w:rsidR="007424E1" w:rsidRPr="00542C69" w:rsidRDefault="007424E1" w:rsidP="00C337C1">
            <w:pPr>
              <w:pStyle w:val="NoSpacing"/>
              <w:spacing w:after="120" w:line="259" w:lineRule="auto"/>
              <w:jc w:val="center"/>
              <w:rPr>
                <w:color w:val="000000" w:themeColor="text1"/>
                <w:sz w:val="15"/>
                <w:szCs w:val="15"/>
              </w:rPr>
            </w:pPr>
            <w:r>
              <w:rPr>
                <w:color w:val="000000" w:themeColor="text1"/>
                <w:sz w:val="15"/>
                <w:szCs w:val="15"/>
              </w:rPr>
              <w:t>G</w:t>
            </w:r>
          </w:p>
        </w:tc>
      </w:tr>
    </w:tbl>
    <w:p w14:paraId="33C24C9E" w14:textId="77777777" w:rsidR="008046F9" w:rsidRDefault="008046F9" w:rsidP="008F0D43">
      <w:pPr>
        <w:rPr>
          <w:rFonts w:ascii="Arial" w:hAnsi="Arial" w:cs="Arial"/>
          <w:sz w:val="24"/>
          <w:szCs w:val="24"/>
        </w:rPr>
      </w:pPr>
    </w:p>
    <w:p w14:paraId="40021DC5" w14:textId="77777777" w:rsidR="00E80BC6" w:rsidRPr="00552390" w:rsidRDefault="00BE619D" w:rsidP="008F0D43">
      <w:pPr>
        <w:rPr>
          <w:rFonts w:ascii="Arial" w:hAnsi="Arial" w:cs="Arial"/>
          <w:sz w:val="24"/>
          <w:szCs w:val="24"/>
        </w:rPr>
      </w:pPr>
      <w:r w:rsidRPr="00552390">
        <w:rPr>
          <w:rFonts w:ascii="Arial" w:hAnsi="Arial" w:cs="Arial"/>
          <w:sz w:val="24"/>
          <w:szCs w:val="24"/>
        </w:rPr>
        <w:t>Good progress has been made in implementing the remainder of the new structures and teams agreed following the SCD Review that was agreed by JCOG (Joint Chief Officers Group) in November 2017. A project board has been established to oversee and co-ordinate SCD Estate Moves necessary to complete the full implementation of the agreed changes.</w:t>
      </w:r>
    </w:p>
    <w:p w14:paraId="2C3CD646" w14:textId="77777777" w:rsidR="008048AC" w:rsidRPr="00552390" w:rsidRDefault="008048AC" w:rsidP="008F0D43">
      <w:pPr>
        <w:rPr>
          <w:rFonts w:ascii="Arial" w:hAnsi="Arial" w:cs="Arial"/>
          <w:b/>
          <w:sz w:val="24"/>
          <w:szCs w:val="24"/>
          <w:u w:val="single"/>
        </w:rPr>
      </w:pPr>
      <w:r w:rsidRPr="00552390">
        <w:rPr>
          <w:rFonts w:ascii="Arial" w:hAnsi="Arial" w:cs="Arial"/>
          <w:b/>
          <w:sz w:val="24"/>
          <w:szCs w:val="24"/>
          <w:u w:val="single"/>
        </w:rPr>
        <w:t xml:space="preserve">Joint Support Services Directorate </w:t>
      </w:r>
      <w:r w:rsidR="006B1BC2" w:rsidRPr="00552390">
        <w:rPr>
          <w:rFonts w:ascii="Arial" w:hAnsi="Arial" w:cs="Arial"/>
          <w:b/>
          <w:sz w:val="24"/>
          <w:szCs w:val="24"/>
          <w:u w:val="single"/>
        </w:rPr>
        <w:t xml:space="preserve">- </w:t>
      </w:r>
    </w:p>
    <w:p w14:paraId="34F50EC0" w14:textId="77777777" w:rsidR="008048AC" w:rsidRPr="00552390" w:rsidRDefault="00B66C9F" w:rsidP="008F0D43">
      <w:pPr>
        <w:rPr>
          <w:rFonts w:ascii="Arial" w:hAnsi="Arial" w:cs="Arial"/>
          <w:sz w:val="24"/>
          <w:szCs w:val="24"/>
        </w:rPr>
      </w:pPr>
      <w:r w:rsidRPr="00552390">
        <w:rPr>
          <w:rFonts w:ascii="Arial" w:hAnsi="Arial" w:cs="Arial"/>
          <w:sz w:val="24"/>
          <w:szCs w:val="24"/>
        </w:rPr>
        <w:t xml:space="preserve">The joint SSD has achieved considerable cashable savings objectives whilst maintaining service across both forces.  It is an area recognised nationally in terms of good practice and has won numerous awards. The collaborated business model is regularly reviewed as reflected in the current 7 Force – IT Convergence work streams, introduction of 7 Force – Procurement function and the formalisation of the separation of Kent &amp; Essex Estates functions.   </w:t>
      </w:r>
    </w:p>
    <w:p w14:paraId="3843B4FE" w14:textId="77777777" w:rsidR="00BF4C2F" w:rsidRPr="00552390" w:rsidRDefault="00BF4C2F" w:rsidP="008F0D43">
      <w:pPr>
        <w:rPr>
          <w:rFonts w:ascii="Arial" w:hAnsi="Arial" w:cs="Arial"/>
          <w:b/>
          <w:sz w:val="24"/>
          <w:szCs w:val="24"/>
          <w:u w:val="single"/>
        </w:rPr>
      </w:pPr>
    </w:p>
    <w:p w14:paraId="18833491" w14:textId="77777777" w:rsidR="008F0D43" w:rsidRPr="00552390" w:rsidRDefault="008F0D43" w:rsidP="008F0D43">
      <w:pPr>
        <w:rPr>
          <w:rFonts w:ascii="Arial" w:hAnsi="Arial" w:cs="Arial"/>
          <w:b/>
          <w:sz w:val="24"/>
          <w:szCs w:val="24"/>
          <w:u w:val="single"/>
        </w:rPr>
      </w:pPr>
      <w:r w:rsidRPr="00552390">
        <w:rPr>
          <w:rFonts w:ascii="Arial" w:hAnsi="Arial" w:cs="Arial"/>
          <w:b/>
          <w:sz w:val="24"/>
          <w:szCs w:val="24"/>
          <w:u w:val="single"/>
        </w:rPr>
        <w:t>Op Hexagon</w:t>
      </w:r>
    </w:p>
    <w:tbl>
      <w:tblPr>
        <w:tblStyle w:val="TableGrid27"/>
        <w:tblpPr w:leftFromText="180" w:rightFromText="180" w:vertAnchor="text" w:horzAnchor="margin" w:tblpY="200"/>
        <w:tblW w:w="9351" w:type="dxa"/>
        <w:tblLook w:val="04A0" w:firstRow="1" w:lastRow="0" w:firstColumn="1" w:lastColumn="0" w:noHBand="0" w:noVBand="1"/>
      </w:tblPr>
      <w:tblGrid>
        <w:gridCol w:w="996"/>
        <w:gridCol w:w="938"/>
        <w:gridCol w:w="1001"/>
        <w:gridCol w:w="1040"/>
        <w:gridCol w:w="1002"/>
        <w:gridCol w:w="1067"/>
        <w:gridCol w:w="897"/>
        <w:gridCol w:w="1276"/>
        <w:gridCol w:w="1134"/>
      </w:tblGrid>
      <w:tr w:rsidR="0075534B" w:rsidRPr="008A42D5" w14:paraId="12260D2C" w14:textId="77777777" w:rsidTr="0075534B">
        <w:trPr>
          <w:trHeight w:val="1672"/>
        </w:trPr>
        <w:tc>
          <w:tcPr>
            <w:tcW w:w="996" w:type="dxa"/>
            <w:tcBorders>
              <w:top w:val="single" w:sz="12" w:space="0" w:color="auto"/>
              <w:bottom w:val="single" w:sz="12" w:space="0" w:color="auto"/>
            </w:tcBorders>
            <w:shd w:val="clear" w:color="auto" w:fill="FFC000"/>
            <w:vAlign w:val="center"/>
          </w:tcPr>
          <w:p w14:paraId="7C844C4E" w14:textId="77777777" w:rsidR="0075534B" w:rsidRPr="00552390" w:rsidRDefault="0075534B" w:rsidP="00C337C1">
            <w:pPr>
              <w:jc w:val="center"/>
              <w:rPr>
                <w:rFonts w:ascii="Calibri" w:eastAsia="Calibri" w:hAnsi="Calibri" w:cs="Times New Roman"/>
                <w:sz w:val="14"/>
                <w:szCs w:val="15"/>
              </w:rPr>
            </w:pPr>
            <w:r w:rsidRPr="00552390">
              <w:rPr>
                <w:rFonts w:ascii="Calibri" w:eastAsia="Calibri" w:hAnsi="Calibri" w:cs="Times New Roman"/>
                <w:sz w:val="14"/>
                <w:szCs w:val="15"/>
              </w:rPr>
              <w:t>Overall RAG</w:t>
            </w:r>
          </w:p>
        </w:tc>
        <w:tc>
          <w:tcPr>
            <w:tcW w:w="938" w:type="dxa"/>
            <w:tcBorders>
              <w:top w:val="single" w:sz="4" w:space="0" w:color="auto"/>
              <w:bottom w:val="single" w:sz="4" w:space="0" w:color="auto"/>
            </w:tcBorders>
            <w:shd w:val="clear" w:color="auto" w:fill="FFFFFF"/>
            <w:vAlign w:val="center"/>
          </w:tcPr>
          <w:p w14:paraId="7A703DED" w14:textId="77777777" w:rsidR="0075534B" w:rsidRPr="00552390" w:rsidRDefault="0075534B" w:rsidP="00C337C1">
            <w:pPr>
              <w:pStyle w:val="NoSpacing"/>
              <w:spacing w:after="120" w:line="259" w:lineRule="auto"/>
              <w:jc w:val="center"/>
              <w:rPr>
                <w:color w:val="000000" w:themeColor="text1"/>
                <w:sz w:val="15"/>
                <w:szCs w:val="15"/>
              </w:rPr>
            </w:pPr>
            <w:r w:rsidRPr="00552390">
              <w:rPr>
                <w:color w:val="000000" w:themeColor="text1"/>
                <w:sz w:val="15"/>
                <w:szCs w:val="15"/>
              </w:rPr>
              <w:t>Time</w:t>
            </w:r>
          </w:p>
        </w:tc>
        <w:tc>
          <w:tcPr>
            <w:tcW w:w="1001" w:type="dxa"/>
            <w:tcBorders>
              <w:top w:val="single" w:sz="4" w:space="0" w:color="auto"/>
              <w:bottom w:val="single" w:sz="4" w:space="0" w:color="auto"/>
            </w:tcBorders>
            <w:shd w:val="clear" w:color="auto" w:fill="FFC000"/>
            <w:vAlign w:val="center"/>
          </w:tcPr>
          <w:p w14:paraId="3F049506" w14:textId="77777777" w:rsidR="0075534B" w:rsidRPr="00552390" w:rsidRDefault="0075534B" w:rsidP="00C337C1">
            <w:pPr>
              <w:pStyle w:val="NoSpacing"/>
              <w:spacing w:after="120" w:line="259" w:lineRule="auto"/>
              <w:jc w:val="center"/>
              <w:rPr>
                <w:color w:val="000000" w:themeColor="text1"/>
                <w:sz w:val="15"/>
                <w:szCs w:val="15"/>
              </w:rPr>
            </w:pPr>
            <w:r w:rsidRPr="00552390">
              <w:rPr>
                <w:color w:val="000000" w:themeColor="text1"/>
                <w:sz w:val="15"/>
                <w:szCs w:val="15"/>
              </w:rPr>
              <w:t>A</w:t>
            </w:r>
          </w:p>
        </w:tc>
        <w:tc>
          <w:tcPr>
            <w:tcW w:w="1040" w:type="dxa"/>
            <w:tcBorders>
              <w:top w:val="single" w:sz="4" w:space="0" w:color="auto"/>
              <w:bottom w:val="single" w:sz="4" w:space="0" w:color="auto"/>
            </w:tcBorders>
            <w:shd w:val="clear" w:color="auto" w:fill="FFFFFF"/>
            <w:vAlign w:val="center"/>
          </w:tcPr>
          <w:p w14:paraId="2DD5DE9F" w14:textId="77777777" w:rsidR="0075534B" w:rsidRPr="00552390" w:rsidRDefault="0075534B" w:rsidP="00C337C1">
            <w:pPr>
              <w:pStyle w:val="NoSpacing"/>
              <w:spacing w:after="120" w:line="259" w:lineRule="auto"/>
              <w:jc w:val="center"/>
              <w:rPr>
                <w:color w:val="000000" w:themeColor="text1"/>
                <w:sz w:val="15"/>
                <w:szCs w:val="15"/>
              </w:rPr>
            </w:pPr>
            <w:r w:rsidRPr="00552390">
              <w:rPr>
                <w:color w:val="000000" w:themeColor="text1"/>
                <w:sz w:val="15"/>
                <w:szCs w:val="15"/>
              </w:rPr>
              <w:t>Costs</w:t>
            </w:r>
          </w:p>
        </w:tc>
        <w:tc>
          <w:tcPr>
            <w:tcW w:w="1002" w:type="dxa"/>
            <w:tcBorders>
              <w:top w:val="single" w:sz="4" w:space="0" w:color="auto"/>
              <w:bottom w:val="single" w:sz="4" w:space="0" w:color="auto"/>
            </w:tcBorders>
            <w:shd w:val="clear" w:color="auto" w:fill="92D050"/>
            <w:vAlign w:val="center"/>
          </w:tcPr>
          <w:p w14:paraId="00CA52A1" w14:textId="77777777" w:rsidR="0075534B" w:rsidRPr="00552390" w:rsidRDefault="0075534B" w:rsidP="00C337C1">
            <w:pPr>
              <w:pStyle w:val="NoSpacing"/>
              <w:spacing w:after="120" w:line="259" w:lineRule="auto"/>
              <w:jc w:val="center"/>
              <w:rPr>
                <w:color w:val="000000" w:themeColor="text1"/>
                <w:sz w:val="15"/>
                <w:szCs w:val="15"/>
              </w:rPr>
            </w:pPr>
            <w:r w:rsidRPr="00552390">
              <w:rPr>
                <w:color w:val="000000" w:themeColor="text1"/>
                <w:sz w:val="15"/>
                <w:szCs w:val="15"/>
              </w:rPr>
              <w:t>G</w:t>
            </w:r>
          </w:p>
        </w:tc>
        <w:tc>
          <w:tcPr>
            <w:tcW w:w="1067" w:type="dxa"/>
            <w:tcBorders>
              <w:top w:val="single" w:sz="4" w:space="0" w:color="auto"/>
              <w:bottom w:val="single" w:sz="4" w:space="0" w:color="auto"/>
            </w:tcBorders>
            <w:shd w:val="clear" w:color="auto" w:fill="FFFFFF"/>
            <w:vAlign w:val="center"/>
          </w:tcPr>
          <w:p w14:paraId="6CD0AE4C" w14:textId="77777777" w:rsidR="0075534B" w:rsidRPr="00552390" w:rsidRDefault="0075534B" w:rsidP="00C337C1">
            <w:pPr>
              <w:pStyle w:val="NoSpacing"/>
              <w:spacing w:after="120" w:line="259" w:lineRule="auto"/>
              <w:jc w:val="center"/>
              <w:rPr>
                <w:color w:val="000000" w:themeColor="text1"/>
                <w:sz w:val="15"/>
                <w:szCs w:val="15"/>
              </w:rPr>
            </w:pPr>
            <w:r w:rsidRPr="00552390">
              <w:rPr>
                <w:color w:val="000000" w:themeColor="text1"/>
                <w:sz w:val="15"/>
                <w:szCs w:val="15"/>
              </w:rPr>
              <w:t>Savings</w:t>
            </w:r>
          </w:p>
          <w:p w14:paraId="1CBB8237" w14:textId="2076B5E6" w:rsidR="00596A08" w:rsidRPr="00552390" w:rsidRDefault="00596A08" w:rsidP="00596A08">
            <w:pPr>
              <w:pStyle w:val="NoSpacing"/>
              <w:spacing w:after="120" w:line="259" w:lineRule="auto"/>
              <w:jc w:val="center"/>
              <w:rPr>
                <w:color w:val="000000" w:themeColor="text1"/>
                <w:sz w:val="15"/>
                <w:szCs w:val="15"/>
              </w:rPr>
            </w:pPr>
            <w:r w:rsidRPr="00552390">
              <w:rPr>
                <w:color w:val="000000" w:themeColor="text1"/>
                <w:sz w:val="15"/>
                <w:szCs w:val="15"/>
              </w:rPr>
              <w:t>18/19 - £10</w:t>
            </w:r>
            <w:r w:rsidR="00834A66">
              <w:rPr>
                <w:color w:val="000000" w:themeColor="text1"/>
                <w:sz w:val="15"/>
                <w:szCs w:val="15"/>
              </w:rPr>
              <w:t>0</w:t>
            </w:r>
            <w:r w:rsidRPr="00552390">
              <w:rPr>
                <w:color w:val="000000" w:themeColor="text1"/>
                <w:sz w:val="15"/>
                <w:szCs w:val="15"/>
              </w:rPr>
              <w:t>k achieved.</w:t>
            </w:r>
          </w:p>
          <w:p w14:paraId="607F2682" w14:textId="77777777" w:rsidR="00596A08" w:rsidRPr="00552390" w:rsidRDefault="00596A08" w:rsidP="00596A08">
            <w:pPr>
              <w:pStyle w:val="NoSpacing"/>
              <w:spacing w:after="120" w:line="259" w:lineRule="auto"/>
              <w:jc w:val="center"/>
              <w:rPr>
                <w:color w:val="000000" w:themeColor="text1"/>
                <w:sz w:val="15"/>
                <w:szCs w:val="15"/>
              </w:rPr>
            </w:pPr>
            <w:r w:rsidRPr="00552390">
              <w:rPr>
                <w:color w:val="000000" w:themeColor="text1"/>
                <w:sz w:val="15"/>
                <w:szCs w:val="15"/>
              </w:rPr>
              <w:t>19/20 - £250k</w:t>
            </w:r>
          </w:p>
        </w:tc>
        <w:tc>
          <w:tcPr>
            <w:tcW w:w="897" w:type="dxa"/>
            <w:tcBorders>
              <w:top w:val="single" w:sz="4" w:space="0" w:color="auto"/>
              <w:bottom w:val="single" w:sz="4" w:space="0" w:color="auto"/>
            </w:tcBorders>
            <w:shd w:val="clear" w:color="auto" w:fill="FFC000"/>
          </w:tcPr>
          <w:p w14:paraId="08F541B7" w14:textId="77777777" w:rsidR="00596A08" w:rsidRPr="00552390" w:rsidRDefault="00596A08" w:rsidP="00596A08">
            <w:pPr>
              <w:pStyle w:val="NoSpacing"/>
              <w:spacing w:after="120" w:line="259" w:lineRule="auto"/>
              <w:jc w:val="center"/>
              <w:rPr>
                <w:color w:val="000000" w:themeColor="text1"/>
                <w:sz w:val="15"/>
                <w:szCs w:val="15"/>
              </w:rPr>
            </w:pPr>
          </w:p>
          <w:p w14:paraId="43E6BFF4" w14:textId="77777777" w:rsidR="00596A08" w:rsidRPr="00552390" w:rsidRDefault="00596A08" w:rsidP="00596A08">
            <w:pPr>
              <w:pStyle w:val="NoSpacing"/>
              <w:spacing w:after="120" w:line="259" w:lineRule="auto"/>
              <w:jc w:val="center"/>
              <w:rPr>
                <w:color w:val="000000" w:themeColor="text1"/>
                <w:sz w:val="15"/>
                <w:szCs w:val="15"/>
              </w:rPr>
            </w:pPr>
          </w:p>
          <w:p w14:paraId="065ECF82" w14:textId="77777777" w:rsidR="00596A08" w:rsidRPr="00552390" w:rsidRDefault="0075534B" w:rsidP="00596A08">
            <w:pPr>
              <w:pStyle w:val="NoSpacing"/>
              <w:spacing w:after="120" w:line="259" w:lineRule="auto"/>
              <w:jc w:val="center"/>
              <w:rPr>
                <w:color w:val="000000" w:themeColor="text1"/>
                <w:sz w:val="15"/>
                <w:szCs w:val="15"/>
              </w:rPr>
            </w:pPr>
            <w:r w:rsidRPr="00552390">
              <w:rPr>
                <w:color w:val="000000" w:themeColor="text1"/>
                <w:sz w:val="15"/>
                <w:szCs w:val="15"/>
              </w:rPr>
              <w:t>A</w:t>
            </w:r>
            <w:r w:rsidRPr="00552390">
              <w:t xml:space="preserve"> </w:t>
            </w:r>
          </w:p>
          <w:p w14:paraId="7E4B55DC" w14:textId="77777777" w:rsidR="0075534B" w:rsidRDefault="0075534B" w:rsidP="0075534B">
            <w:pPr>
              <w:pStyle w:val="NoSpacing"/>
              <w:spacing w:after="120" w:line="259" w:lineRule="auto"/>
              <w:jc w:val="center"/>
              <w:rPr>
                <w:color w:val="000000" w:themeColor="text1"/>
                <w:sz w:val="15"/>
                <w:szCs w:val="15"/>
              </w:rPr>
            </w:pPr>
          </w:p>
        </w:tc>
        <w:tc>
          <w:tcPr>
            <w:tcW w:w="1276" w:type="dxa"/>
            <w:tcBorders>
              <w:top w:val="single" w:sz="4" w:space="0" w:color="auto"/>
              <w:bottom w:val="single" w:sz="4" w:space="0" w:color="auto"/>
            </w:tcBorders>
            <w:shd w:val="clear" w:color="auto" w:fill="FFFFFF" w:themeFill="background1"/>
          </w:tcPr>
          <w:p w14:paraId="2B29DC7F" w14:textId="77777777" w:rsidR="0075534B" w:rsidRPr="00552390" w:rsidRDefault="0075534B" w:rsidP="0075534B">
            <w:pPr>
              <w:pStyle w:val="NoSpacing"/>
              <w:spacing w:after="120" w:line="259" w:lineRule="auto"/>
              <w:jc w:val="center"/>
              <w:rPr>
                <w:color w:val="000000" w:themeColor="text1"/>
                <w:sz w:val="15"/>
                <w:szCs w:val="15"/>
              </w:rPr>
            </w:pPr>
          </w:p>
          <w:p w14:paraId="7FFCCC79" w14:textId="77777777" w:rsidR="0075534B" w:rsidRPr="00552390" w:rsidRDefault="0075534B" w:rsidP="0075534B">
            <w:pPr>
              <w:pStyle w:val="NoSpacing"/>
              <w:spacing w:after="120" w:line="259" w:lineRule="auto"/>
              <w:jc w:val="center"/>
              <w:rPr>
                <w:color w:val="000000" w:themeColor="text1"/>
                <w:sz w:val="15"/>
                <w:szCs w:val="15"/>
              </w:rPr>
            </w:pPr>
          </w:p>
          <w:p w14:paraId="203D4415" w14:textId="77777777" w:rsidR="0075534B" w:rsidRPr="00552390" w:rsidRDefault="0075534B" w:rsidP="0075534B">
            <w:pPr>
              <w:pStyle w:val="NoSpacing"/>
              <w:spacing w:after="120" w:line="259" w:lineRule="auto"/>
              <w:jc w:val="center"/>
              <w:rPr>
                <w:color w:val="000000" w:themeColor="text1"/>
                <w:sz w:val="15"/>
                <w:szCs w:val="15"/>
              </w:rPr>
            </w:pPr>
            <w:r w:rsidRPr="00552390">
              <w:rPr>
                <w:color w:val="000000" w:themeColor="text1"/>
                <w:sz w:val="15"/>
                <w:szCs w:val="15"/>
              </w:rPr>
              <w:t>Benefits</w:t>
            </w:r>
          </w:p>
        </w:tc>
        <w:tc>
          <w:tcPr>
            <w:tcW w:w="1134" w:type="dxa"/>
            <w:tcBorders>
              <w:top w:val="single" w:sz="4" w:space="0" w:color="auto"/>
              <w:bottom w:val="single" w:sz="4" w:space="0" w:color="auto"/>
            </w:tcBorders>
            <w:shd w:val="clear" w:color="auto" w:fill="92D050"/>
            <w:vAlign w:val="center"/>
          </w:tcPr>
          <w:p w14:paraId="6969927F" w14:textId="77777777" w:rsidR="0075534B" w:rsidRPr="00552390" w:rsidRDefault="0075534B" w:rsidP="00C337C1">
            <w:pPr>
              <w:pStyle w:val="NoSpacing"/>
              <w:spacing w:after="120" w:line="259" w:lineRule="auto"/>
              <w:jc w:val="center"/>
              <w:rPr>
                <w:color w:val="000000" w:themeColor="text1"/>
                <w:sz w:val="15"/>
                <w:szCs w:val="15"/>
              </w:rPr>
            </w:pPr>
            <w:r w:rsidRPr="00552390">
              <w:rPr>
                <w:color w:val="000000" w:themeColor="text1"/>
                <w:sz w:val="15"/>
                <w:szCs w:val="15"/>
              </w:rPr>
              <w:t>G</w:t>
            </w:r>
          </w:p>
        </w:tc>
      </w:tr>
    </w:tbl>
    <w:p w14:paraId="58D40E33" w14:textId="77777777" w:rsidR="00067D4E" w:rsidRPr="00552390" w:rsidRDefault="00067D4E" w:rsidP="008F0D43">
      <w:pPr>
        <w:spacing w:after="160" w:line="259" w:lineRule="auto"/>
        <w:rPr>
          <w:rFonts w:ascii="Arial" w:hAnsi="Arial" w:cs="Arial"/>
          <w:sz w:val="24"/>
          <w:szCs w:val="24"/>
        </w:rPr>
      </w:pPr>
    </w:p>
    <w:p w14:paraId="5A31A3BA" w14:textId="77777777" w:rsidR="008F0D43" w:rsidRPr="00552390" w:rsidRDefault="008F0D43" w:rsidP="008F0D43">
      <w:pPr>
        <w:spacing w:after="160" w:line="259" w:lineRule="auto"/>
        <w:rPr>
          <w:rFonts w:ascii="Arial" w:hAnsi="Arial" w:cs="Arial"/>
          <w:sz w:val="24"/>
          <w:szCs w:val="24"/>
        </w:rPr>
      </w:pPr>
      <w:r w:rsidRPr="00552390">
        <w:rPr>
          <w:rFonts w:ascii="Arial" w:hAnsi="Arial" w:cs="Arial"/>
          <w:sz w:val="24"/>
          <w:szCs w:val="24"/>
        </w:rPr>
        <w:t xml:space="preserve">The purpose of this work stream is to develop collaborative opportunities between Operational Policing Command (Essex Police) and Tactical Operations (Kent Police). </w:t>
      </w:r>
    </w:p>
    <w:p w14:paraId="3D62F14F" w14:textId="052CEB6F" w:rsidR="00BE619D" w:rsidRPr="00552390" w:rsidRDefault="00BE619D" w:rsidP="00BE619D">
      <w:pPr>
        <w:spacing w:after="100" w:afterAutospacing="1" w:line="259" w:lineRule="auto"/>
        <w:rPr>
          <w:rFonts w:ascii="Arial" w:hAnsi="Arial" w:cs="Arial"/>
          <w:sz w:val="24"/>
          <w:szCs w:val="24"/>
        </w:rPr>
      </w:pPr>
      <w:r w:rsidRPr="00552390">
        <w:rPr>
          <w:rFonts w:ascii="Arial" w:hAnsi="Arial" w:cs="Arial"/>
          <w:sz w:val="24"/>
          <w:szCs w:val="24"/>
        </w:rPr>
        <w:lastRenderedPageBreak/>
        <w:t>Detailed work reviewing the collaborative opportunities for the Essex Resource Management Unit and Kent Force Resource Unit has been completed. Improved joint working practices have been agreed. Following agreement not to pursue a single joint Essex/ Kent RMU/FRU an Essex only business case to streamline the Essex RMU and provide £10</w:t>
      </w:r>
      <w:r w:rsidR="00834A66">
        <w:rPr>
          <w:rFonts w:ascii="Arial" w:hAnsi="Arial" w:cs="Arial"/>
          <w:sz w:val="24"/>
          <w:szCs w:val="24"/>
        </w:rPr>
        <w:t>0</w:t>
      </w:r>
      <w:r w:rsidRPr="00552390">
        <w:rPr>
          <w:rFonts w:ascii="Arial" w:hAnsi="Arial" w:cs="Arial"/>
          <w:sz w:val="24"/>
          <w:szCs w:val="24"/>
        </w:rPr>
        <w:t>k savings was presented and agreed by COG on the 19th December 2019.</w:t>
      </w:r>
    </w:p>
    <w:p w14:paraId="17D03C44" w14:textId="77777777" w:rsidR="00BE619D" w:rsidRPr="00552390" w:rsidRDefault="00BE619D" w:rsidP="00BE619D">
      <w:pPr>
        <w:framePr w:hSpace="180" w:wrap="around" w:vAnchor="text" w:hAnchor="margin" w:y="200"/>
        <w:contextualSpacing/>
        <w:jc w:val="both"/>
        <w:rPr>
          <w:rFonts w:ascii="Arial" w:hAnsi="Arial" w:cs="Arial"/>
          <w:sz w:val="24"/>
          <w:szCs w:val="24"/>
        </w:rPr>
      </w:pPr>
      <w:r w:rsidRPr="00552390">
        <w:rPr>
          <w:rFonts w:ascii="Arial" w:hAnsi="Arial" w:cs="Arial"/>
          <w:sz w:val="24"/>
          <w:szCs w:val="24"/>
        </w:rPr>
        <w:t xml:space="preserve">A further Op Hexagon report was discussed at the 4th March 2019 SCCB setting out opportunities and lessons learned from Collaboration with Kent. The report identified opportunities in the following areas that will now be progressed. </w:t>
      </w:r>
    </w:p>
    <w:p w14:paraId="2AA4CB01" w14:textId="77777777" w:rsidR="00BE619D" w:rsidRPr="00552390" w:rsidRDefault="00BE619D" w:rsidP="00BE619D">
      <w:pPr>
        <w:framePr w:hSpace="180" w:wrap="around" w:vAnchor="text" w:hAnchor="margin" w:y="200"/>
        <w:contextualSpacing/>
        <w:jc w:val="both"/>
        <w:rPr>
          <w:rFonts w:ascii="Arial" w:hAnsi="Arial" w:cs="Arial"/>
          <w:sz w:val="24"/>
          <w:szCs w:val="24"/>
        </w:rPr>
      </w:pPr>
    </w:p>
    <w:p w14:paraId="0F0CB816" w14:textId="77777777" w:rsidR="00BE619D" w:rsidRPr="00552390" w:rsidRDefault="00BE619D" w:rsidP="00BE619D">
      <w:pPr>
        <w:framePr w:hSpace="180" w:wrap="around" w:vAnchor="text" w:hAnchor="margin" w:y="200"/>
        <w:numPr>
          <w:ilvl w:val="0"/>
          <w:numId w:val="37"/>
        </w:numPr>
        <w:contextualSpacing/>
        <w:jc w:val="both"/>
        <w:rPr>
          <w:rFonts w:ascii="Arial" w:hAnsi="Arial" w:cs="Arial"/>
          <w:sz w:val="24"/>
          <w:szCs w:val="24"/>
        </w:rPr>
      </w:pPr>
      <w:r w:rsidRPr="00552390">
        <w:rPr>
          <w:rFonts w:ascii="Arial" w:hAnsi="Arial" w:cs="Arial"/>
          <w:sz w:val="24"/>
          <w:szCs w:val="24"/>
        </w:rPr>
        <w:t>The consistent use of the departmental name of ‘Resource Management Unit’</w:t>
      </w:r>
    </w:p>
    <w:p w14:paraId="75FEEBD8" w14:textId="77777777" w:rsidR="00BE619D" w:rsidRPr="00552390" w:rsidRDefault="00BE619D" w:rsidP="00BE619D">
      <w:pPr>
        <w:framePr w:hSpace="180" w:wrap="around" w:vAnchor="text" w:hAnchor="margin" w:y="200"/>
        <w:numPr>
          <w:ilvl w:val="0"/>
          <w:numId w:val="37"/>
        </w:numPr>
        <w:contextualSpacing/>
        <w:jc w:val="both"/>
        <w:rPr>
          <w:rFonts w:ascii="Arial" w:hAnsi="Arial" w:cs="Arial"/>
          <w:sz w:val="24"/>
          <w:szCs w:val="24"/>
        </w:rPr>
      </w:pPr>
      <w:r w:rsidRPr="00552390">
        <w:rPr>
          <w:rFonts w:ascii="Arial" w:hAnsi="Arial" w:cs="Arial"/>
          <w:sz w:val="24"/>
          <w:szCs w:val="24"/>
        </w:rPr>
        <w:t>Alignment and adjustment of ownerships of budgets e.g. overtime</w:t>
      </w:r>
    </w:p>
    <w:p w14:paraId="4FAAC517" w14:textId="77777777" w:rsidR="00BE619D" w:rsidRPr="00552390" w:rsidRDefault="00BE619D" w:rsidP="00BE619D">
      <w:pPr>
        <w:framePr w:hSpace="180" w:wrap="around" w:vAnchor="text" w:hAnchor="margin" w:y="200"/>
        <w:numPr>
          <w:ilvl w:val="0"/>
          <w:numId w:val="37"/>
        </w:numPr>
        <w:contextualSpacing/>
        <w:jc w:val="both"/>
        <w:rPr>
          <w:rFonts w:ascii="Arial" w:hAnsi="Arial" w:cs="Arial"/>
          <w:sz w:val="24"/>
          <w:szCs w:val="24"/>
        </w:rPr>
      </w:pPr>
      <w:r w:rsidRPr="00552390">
        <w:rPr>
          <w:rFonts w:ascii="Arial" w:hAnsi="Arial" w:cs="Arial"/>
          <w:sz w:val="24"/>
          <w:szCs w:val="24"/>
        </w:rPr>
        <w:t>SAP working practices review, SAP self-service, SAP ‘robotics’</w:t>
      </w:r>
    </w:p>
    <w:p w14:paraId="6557D480" w14:textId="77777777" w:rsidR="00BE619D" w:rsidRPr="00552390" w:rsidRDefault="00BE619D" w:rsidP="00BE619D">
      <w:pPr>
        <w:framePr w:hSpace="180" w:wrap="around" w:vAnchor="text" w:hAnchor="margin" w:y="200"/>
        <w:numPr>
          <w:ilvl w:val="0"/>
          <w:numId w:val="37"/>
        </w:numPr>
        <w:contextualSpacing/>
        <w:jc w:val="both"/>
        <w:rPr>
          <w:rFonts w:ascii="Arial" w:hAnsi="Arial" w:cs="Arial"/>
          <w:sz w:val="24"/>
          <w:szCs w:val="24"/>
        </w:rPr>
      </w:pPr>
      <w:r w:rsidRPr="00552390">
        <w:rPr>
          <w:rFonts w:ascii="Arial" w:hAnsi="Arial" w:cs="Arial"/>
          <w:sz w:val="24"/>
          <w:szCs w:val="24"/>
        </w:rPr>
        <w:t>Structured review of RMU – already complete in Essex</w:t>
      </w:r>
    </w:p>
    <w:p w14:paraId="758027D6" w14:textId="77777777" w:rsidR="00BE619D" w:rsidRPr="00552390" w:rsidRDefault="00BE619D" w:rsidP="00BE619D">
      <w:pPr>
        <w:framePr w:hSpace="180" w:wrap="around" w:vAnchor="text" w:hAnchor="margin" w:y="200"/>
        <w:numPr>
          <w:ilvl w:val="0"/>
          <w:numId w:val="37"/>
        </w:numPr>
        <w:contextualSpacing/>
        <w:jc w:val="both"/>
        <w:rPr>
          <w:rFonts w:ascii="Arial" w:hAnsi="Arial" w:cs="Arial"/>
          <w:sz w:val="24"/>
          <w:szCs w:val="24"/>
        </w:rPr>
      </w:pPr>
      <w:r w:rsidRPr="00552390">
        <w:rPr>
          <w:rFonts w:ascii="Arial" w:hAnsi="Arial" w:cs="Arial"/>
          <w:sz w:val="24"/>
          <w:szCs w:val="24"/>
        </w:rPr>
        <w:t>The notion of agile resourcing. Kent to consider the ‘Essex Flex’ model</w:t>
      </w:r>
    </w:p>
    <w:p w14:paraId="508527D0" w14:textId="77777777" w:rsidR="00BE619D" w:rsidRPr="00552390" w:rsidRDefault="00BE619D" w:rsidP="00BE619D">
      <w:pPr>
        <w:framePr w:hSpace="180" w:wrap="around" w:vAnchor="text" w:hAnchor="margin" w:y="200"/>
        <w:numPr>
          <w:ilvl w:val="0"/>
          <w:numId w:val="37"/>
        </w:numPr>
        <w:contextualSpacing/>
        <w:jc w:val="both"/>
        <w:rPr>
          <w:rFonts w:ascii="Arial" w:hAnsi="Arial" w:cs="Arial"/>
          <w:sz w:val="24"/>
          <w:szCs w:val="24"/>
        </w:rPr>
      </w:pPr>
      <w:r w:rsidRPr="00552390">
        <w:rPr>
          <w:rFonts w:ascii="Arial" w:hAnsi="Arial" w:cs="Arial"/>
          <w:sz w:val="24"/>
          <w:szCs w:val="24"/>
        </w:rPr>
        <w:t>Demand Analyst role(s)</w:t>
      </w:r>
    </w:p>
    <w:p w14:paraId="1F554622" w14:textId="77777777" w:rsidR="00BE619D" w:rsidRPr="00552390" w:rsidRDefault="00BE619D" w:rsidP="00BE619D">
      <w:pPr>
        <w:framePr w:hSpace="180" w:wrap="around" w:vAnchor="text" w:hAnchor="margin" w:y="200"/>
        <w:numPr>
          <w:ilvl w:val="0"/>
          <w:numId w:val="37"/>
        </w:numPr>
        <w:contextualSpacing/>
        <w:jc w:val="both"/>
        <w:rPr>
          <w:rFonts w:ascii="Arial" w:hAnsi="Arial" w:cs="Arial"/>
          <w:sz w:val="24"/>
          <w:szCs w:val="24"/>
        </w:rPr>
      </w:pPr>
      <w:r w:rsidRPr="00552390">
        <w:rPr>
          <w:rFonts w:ascii="Arial" w:hAnsi="Arial" w:cs="Arial"/>
          <w:sz w:val="24"/>
          <w:szCs w:val="24"/>
        </w:rPr>
        <w:t>Training Administration</w:t>
      </w:r>
    </w:p>
    <w:p w14:paraId="25704B96" w14:textId="77777777" w:rsidR="00BE619D" w:rsidRPr="00552390" w:rsidRDefault="00BE619D" w:rsidP="00BE619D">
      <w:pPr>
        <w:framePr w:hSpace="180" w:wrap="around" w:vAnchor="text" w:hAnchor="margin" w:y="200"/>
        <w:numPr>
          <w:ilvl w:val="0"/>
          <w:numId w:val="37"/>
        </w:numPr>
        <w:contextualSpacing/>
        <w:jc w:val="both"/>
        <w:rPr>
          <w:rFonts w:ascii="Arial" w:hAnsi="Arial" w:cs="Arial"/>
          <w:sz w:val="24"/>
          <w:szCs w:val="24"/>
        </w:rPr>
      </w:pPr>
      <w:r w:rsidRPr="00552390">
        <w:rPr>
          <w:rFonts w:ascii="Arial" w:hAnsi="Arial" w:cs="Arial"/>
          <w:sz w:val="24"/>
          <w:szCs w:val="24"/>
        </w:rPr>
        <w:t>FCR Duty Planning. Essex FCR duty planning is carried out within the RMU, benefits of Kent adopting similar approach to be considered.</w:t>
      </w:r>
    </w:p>
    <w:p w14:paraId="60108D09" w14:textId="77777777" w:rsidR="00BE619D" w:rsidRPr="00552390" w:rsidRDefault="00BE619D" w:rsidP="00BE619D">
      <w:pPr>
        <w:numPr>
          <w:ilvl w:val="0"/>
          <w:numId w:val="37"/>
        </w:numPr>
        <w:contextualSpacing/>
        <w:jc w:val="both"/>
        <w:rPr>
          <w:rFonts w:ascii="Arial" w:hAnsi="Arial" w:cs="Arial"/>
          <w:sz w:val="24"/>
          <w:szCs w:val="24"/>
        </w:rPr>
      </w:pPr>
      <w:r w:rsidRPr="00552390">
        <w:rPr>
          <w:rFonts w:ascii="Arial" w:hAnsi="Arial" w:cs="Arial"/>
          <w:sz w:val="24"/>
          <w:szCs w:val="24"/>
        </w:rPr>
        <w:t>Single contact number across both Forces</w:t>
      </w:r>
    </w:p>
    <w:p w14:paraId="75FF8069" w14:textId="77777777" w:rsidR="00092BB3" w:rsidRPr="00552390" w:rsidRDefault="00092BB3" w:rsidP="00BE619D">
      <w:pPr>
        <w:spacing w:after="100" w:afterAutospacing="1" w:line="259" w:lineRule="auto"/>
        <w:rPr>
          <w:rFonts w:ascii="Arial" w:hAnsi="Arial" w:cs="Arial"/>
          <w:sz w:val="24"/>
          <w:szCs w:val="24"/>
        </w:rPr>
      </w:pPr>
    </w:p>
    <w:p w14:paraId="65EE3CCB" w14:textId="77777777" w:rsidR="00BE619D" w:rsidRPr="00552390" w:rsidRDefault="00092BB3" w:rsidP="00BE619D">
      <w:pPr>
        <w:spacing w:after="100" w:afterAutospacing="1" w:line="259" w:lineRule="auto"/>
        <w:rPr>
          <w:rFonts w:ascii="Arial" w:hAnsi="Arial" w:cs="Arial"/>
          <w:sz w:val="24"/>
          <w:szCs w:val="24"/>
        </w:rPr>
      </w:pPr>
      <w:r w:rsidRPr="00552390">
        <w:rPr>
          <w:rFonts w:ascii="Arial" w:hAnsi="Arial" w:cs="Arial"/>
          <w:sz w:val="24"/>
          <w:szCs w:val="24"/>
        </w:rPr>
        <w:lastRenderedPageBreak/>
        <w:t>The FSEL (Firearms Shotgun, Explosives Licencing) Hexagon business case which Essex will lead on will be developed and presented to the SCCB in the summer of 2019/20 and then subsequently to COG/JCOG.</w:t>
      </w:r>
    </w:p>
    <w:p w14:paraId="7F9F334D" w14:textId="77777777" w:rsidR="008F0D43" w:rsidRPr="00552390" w:rsidRDefault="008F0D43" w:rsidP="008F0D43">
      <w:pPr>
        <w:rPr>
          <w:rFonts w:ascii="Arial" w:hAnsi="Arial" w:cs="Arial"/>
          <w:b/>
          <w:sz w:val="24"/>
          <w:szCs w:val="24"/>
          <w:u w:val="single"/>
        </w:rPr>
      </w:pPr>
      <w:r w:rsidRPr="00552390">
        <w:rPr>
          <w:rFonts w:ascii="Arial" w:hAnsi="Arial" w:cs="Arial"/>
          <w:b/>
          <w:sz w:val="24"/>
          <w:szCs w:val="24"/>
          <w:u w:val="single"/>
        </w:rPr>
        <w:t>7 Force Strategic Collaboration Programme:</w:t>
      </w:r>
      <w:r w:rsidR="00265F1A" w:rsidRPr="00552390">
        <w:rPr>
          <w:rFonts w:ascii="Arial" w:hAnsi="Arial" w:cs="Arial"/>
          <w:b/>
          <w:sz w:val="24"/>
          <w:szCs w:val="24"/>
          <w:u w:val="single"/>
        </w:rPr>
        <w:t xml:space="preserve"> </w:t>
      </w:r>
    </w:p>
    <w:p w14:paraId="197FFEF8" w14:textId="77777777" w:rsidR="00A76944" w:rsidRPr="00552390" w:rsidRDefault="008F0D43" w:rsidP="00B66C9F">
      <w:pPr>
        <w:pStyle w:val="Default"/>
        <w:rPr>
          <w:rFonts w:ascii="Arial" w:hAnsi="Arial" w:cs="Arial"/>
          <w:color w:val="auto"/>
        </w:rPr>
      </w:pPr>
      <w:r w:rsidRPr="00552390">
        <w:rPr>
          <w:rFonts w:ascii="Arial" w:hAnsi="Arial" w:cs="Arial"/>
          <w:b/>
          <w:color w:val="auto"/>
        </w:rPr>
        <w:t>PEQF</w:t>
      </w:r>
      <w:r w:rsidR="00A76944" w:rsidRPr="00552390">
        <w:rPr>
          <w:rFonts w:ascii="Arial" w:hAnsi="Arial" w:cs="Arial"/>
          <w:b/>
          <w:color w:val="auto"/>
        </w:rPr>
        <w:t xml:space="preserve"> </w:t>
      </w:r>
      <w:r w:rsidR="00265F1A" w:rsidRPr="00552390">
        <w:rPr>
          <w:rFonts w:ascii="Arial" w:hAnsi="Arial" w:cs="Arial"/>
          <w:b/>
          <w:color w:val="auto"/>
        </w:rPr>
        <w:t>(Overall RAG Green)</w:t>
      </w:r>
      <w:r w:rsidR="00265F1A" w:rsidRPr="00552390">
        <w:rPr>
          <w:rFonts w:ascii="Arial" w:hAnsi="Arial" w:cs="Arial"/>
          <w:color w:val="auto"/>
        </w:rPr>
        <w:t xml:space="preserve"> </w:t>
      </w:r>
      <w:r w:rsidR="00A76944" w:rsidRPr="00552390">
        <w:rPr>
          <w:rFonts w:ascii="Arial" w:hAnsi="Arial" w:cs="Arial"/>
          <w:color w:val="auto"/>
        </w:rPr>
        <w:t>–</w:t>
      </w:r>
      <w:r w:rsidR="00265F1A" w:rsidRPr="00552390">
        <w:rPr>
          <w:rFonts w:ascii="Arial" w:hAnsi="Arial" w:cs="Arial"/>
          <w:color w:val="auto"/>
        </w:rPr>
        <w:t xml:space="preserve"> </w:t>
      </w:r>
      <w:r w:rsidR="00A76944" w:rsidRPr="00552390">
        <w:rPr>
          <w:rFonts w:ascii="Arial" w:hAnsi="Arial" w:cs="Arial"/>
          <w:color w:val="auto"/>
        </w:rPr>
        <w:t xml:space="preserve">The Policing Education Qualifications Framework (PEQF) remains a significant focus for all forces. The 7F Programme are leading on the procurement aspect of PEQF; defining and procuring the services of the Higher Education Institution's to deliver police apprenticeships. </w:t>
      </w:r>
      <w:r w:rsidR="00B66C9F" w:rsidRPr="00552390">
        <w:rPr>
          <w:rFonts w:ascii="Arial" w:hAnsi="Arial" w:cs="Arial"/>
          <w:color w:val="auto"/>
        </w:rPr>
        <w:t>The t</w:t>
      </w:r>
      <w:r w:rsidR="00A76944" w:rsidRPr="00552390">
        <w:rPr>
          <w:rFonts w:ascii="Arial" w:hAnsi="Arial" w:cs="Arial"/>
        </w:rPr>
        <w:t xml:space="preserve">ender </w:t>
      </w:r>
      <w:r w:rsidR="00B66C9F" w:rsidRPr="00552390">
        <w:rPr>
          <w:rFonts w:ascii="Arial" w:hAnsi="Arial" w:cs="Arial"/>
        </w:rPr>
        <w:t xml:space="preserve">process </w:t>
      </w:r>
      <w:r w:rsidR="00A76944" w:rsidRPr="00552390">
        <w:rPr>
          <w:rFonts w:ascii="Arial" w:hAnsi="Arial" w:cs="Arial"/>
        </w:rPr>
        <w:t>was launched on 4th February 2019. A briefing update was provided to the 7 Chief Constables on 28th February 2019. The first set of Clarification questions have been answered.</w:t>
      </w:r>
      <w:r w:rsidR="00D876CF" w:rsidRPr="00552390">
        <w:rPr>
          <w:rFonts w:ascii="Arial" w:hAnsi="Arial" w:cs="Arial"/>
        </w:rPr>
        <w:t xml:space="preserve"> A c</w:t>
      </w:r>
      <w:r w:rsidR="00A76944" w:rsidRPr="00552390">
        <w:rPr>
          <w:rFonts w:ascii="Arial" w:hAnsi="Arial" w:cs="Arial"/>
        </w:rPr>
        <w:t xml:space="preserve">larification </w:t>
      </w:r>
      <w:r w:rsidR="00D876CF" w:rsidRPr="00552390">
        <w:rPr>
          <w:rFonts w:ascii="Arial" w:hAnsi="Arial" w:cs="Arial"/>
        </w:rPr>
        <w:t>e</w:t>
      </w:r>
      <w:r w:rsidR="00A76944" w:rsidRPr="00552390">
        <w:rPr>
          <w:rFonts w:ascii="Arial" w:hAnsi="Arial" w:cs="Arial"/>
        </w:rPr>
        <w:t xml:space="preserve">vent </w:t>
      </w:r>
      <w:r w:rsidR="00D876CF" w:rsidRPr="00552390">
        <w:rPr>
          <w:rFonts w:ascii="Arial" w:hAnsi="Arial" w:cs="Arial"/>
        </w:rPr>
        <w:t>and f</w:t>
      </w:r>
      <w:r w:rsidR="00A76944" w:rsidRPr="00552390">
        <w:rPr>
          <w:rFonts w:ascii="Arial" w:hAnsi="Arial" w:cs="Arial"/>
        </w:rPr>
        <w:t xml:space="preserve">inance evaluation training </w:t>
      </w:r>
      <w:r w:rsidR="00D876CF" w:rsidRPr="00552390">
        <w:rPr>
          <w:rFonts w:ascii="Arial" w:hAnsi="Arial" w:cs="Arial"/>
        </w:rPr>
        <w:t>are being held in March following which e</w:t>
      </w:r>
      <w:r w:rsidR="00A76944" w:rsidRPr="00552390">
        <w:rPr>
          <w:rFonts w:ascii="Arial" w:hAnsi="Arial" w:cs="Arial"/>
        </w:rPr>
        <w:t xml:space="preserve">valuation </w:t>
      </w:r>
      <w:r w:rsidR="00D876CF" w:rsidRPr="00552390">
        <w:rPr>
          <w:rFonts w:ascii="Arial" w:hAnsi="Arial" w:cs="Arial"/>
        </w:rPr>
        <w:t>p</w:t>
      </w:r>
      <w:r w:rsidR="00A76944" w:rsidRPr="00552390">
        <w:rPr>
          <w:rFonts w:ascii="Arial" w:hAnsi="Arial" w:cs="Arial"/>
        </w:rPr>
        <w:t>acks will be collated, anonymised and issued.</w:t>
      </w:r>
    </w:p>
    <w:p w14:paraId="5E653C72" w14:textId="77777777" w:rsidR="00A76944" w:rsidRPr="00552390" w:rsidRDefault="00A76944" w:rsidP="00A76944">
      <w:pPr>
        <w:autoSpaceDE w:val="0"/>
        <w:autoSpaceDN w:val="0"/>
        <w:adjustRightInd w:val="0"/>
        <w:spacing w:after="0" w:line="240" w:lineRule="auto"/>
        <w:rPr>
          <w:rFonts w:ascii="Calibri" w:hAnsi="Calibri" w:cs="Calibri"/>
          <w:color w:val="000000"/>
        </w:rPr>
      </w:pPr>
    </w:p>
    <w:p w14:paraId="6CCCBEC6" w14:textId="77777777" w:rsidR="00A76944" w:rsidRPr="00552390" w:rsidRDefault="00A76944" w:rsidP="00D876CF">
      <w:pPr>
        <w:autoSpaceDE w:val="0"/>
        <w:autoSpaceDN w:val="0"/>
        <w:adjustRightInd w:val="0"/>
        <w:spacing w:after="0" w:line="240" w:lineRule="auto"/>
        <w:rPr>
          <w:rFonts w:ascii="Arial" w:hAnsi="Arial" w:cs="Arial"/>
          <w:sz w:val="24"/>
          <w:szCs w:val="24"/>
        </w:rPr>
      </w:pPr>
      <w:r w:rsidRPr="00552390">
        <w:rPr>
          <w:rFonts w:ascii="Arial" w:hAnsi="Arial" w:cs="Arial"/>
          <w:b/>
          <w:sz w:val="24"/>
          <w:szCs w:val="24"/>
        </w:rPr>
        <w:t>Procurement</w:t>
      </w:r>
      <w:r w:rsidRPr="00552390">
        <w:rPr>
          <w:rFonts w:ascii="Arial" w:hAnsi="Arial" w:cs="Arial"/>
          <w:sz w:val="24"/>
          <w:szCs w:val="24"/>
        </w:rPr>
        <w:t xml:space="preserve"> </w:t>
      </w:r>
      <w:r w:rsidR="00265F1A" w:rsidRPr="00552390">
        <w:rPr>
          <w:rFonts w:ascii="Arial" w:hAnsi="Arial" w:cs="Arial"/>
          <w:b/>
        </w:rPr>
        <w:t xml:space="preserve">(Overall RAG Green) </w:t>
      </w:r>
      <w:r w:rsidRPr="00552390">
        <w:rPr>
          <w:rFonts w:ascii="Arial" w:hAnsi="Arial" w:cs="Arial"/>
          <w:sz w:val="24"/>
          <w:szCs w:val="24"/>
        </w:rPr>
        <w:t>- The 7F Programme are working on the implementation of the 7F Single Procurement Function.</w:t>
      </w:r>
      <w:r w:rsidR="00D876CF" w:rsidRPr="00552390">
        <w:rPr>
          <w:rFonts w:ascii="Arial" w:hAnsi="Arial" w:cs="Arial"/>
          <w:sz w:val="24"/>
          <w:szCs w:val="24"/>
        </w:rPr>
        <w:t xml:space="preserve"> </w:t>
      </w:r>
      <w:r w:rsidRPr="00552390">
        <w:rPr>
          <w:rFonts w:ascii="Arial" w:hAnsi="Arial" w:cs="Arial"/>
          <w:sz w:val="24"/>
          <w:szCs w:val="24"/>
        </w:rPr>
        <w:t>The Job Description evaluation panels for roles for the Seven Force Procurement function are on track for completion. The 7F Procurement model is being revised and reviewed considering the feedback collated from the initial consultation process.</w:t>
      </w:r>
      <w:r w:rsidR="00D876CF" w:rsidRPr="00552390">
        <w:rPr>
          <w:rFonts w:ascii="Arial" w:hAnsi="Arial" w:cs="Arial"/>
          <w:sz w:val="24"/>
          <w:szCs w:val="24"/>
        </w:rPr>
        <w:t xml:space="preserve"> </w:t>
      </w:r>
    </w:p>
    <w:p w14:paraId="05BF9836" w14:textId="77777777" w:rsidR="00A76944" w:rsidRPr="00552390" w:rsidRDefault="00A76944" w:rsidP="00A76944">
      <w:pPr>
        <w:pStyle w:val="Default"/>
      </w:pPr>
    </w:p>
    <w:p w14:paraId="223F00D9" w14:textId="77777777" w:rsidR="00A76944" w:rsidRPr="00552390" w:rsidRDefault="00A76944" w:rsidP="00D876CF">
      <w:pPr>
        <w:pStyle w:val="Default"/>
        <w:rPr>
          <w:rFonts w:ascii="Arial" w:hAnsi="Arial" w:cs="Arial"/>
          <w:color w:val="auto"/>
        </w:rPr>
      </w:pPr>
      <w:r w:rsidRPr="00552390">
        <w:rPr>
          <w:rFonts w:ascii="Arial" w:hAnsi="Arial" w:cs="Arial"/>
          <w:b/>
          <w:color w:val="auto"/>
        </w:rPr>
        <w:t>Armed Policing (Training &amp; Governance)</w:t>
      </w:r>
      <w:r w:rsidR="00265F1A" w:rsidRPr="00552390">
        <w:rPr>
          <w:rFonts w:ascii="Arial" w:hAnsi="Arial" w:cs="Arial"/>
          <w:b/>
          <w:color w:val="auto"/>
        </w:rPr>
        <w:t xml:space="preserve"> (Overall RAG Green) </w:t>
      </w:r>
      <w:r w:rsidRPr="00552390">
        <w:rPr>
          <w:rFonts w:ascii="Arial" w:hAnsi="Arial" w:cs="Arial"/>
          <w:color w:val="auto"/>
        </w:rPr>
        <w:t xml:space="preserve"> </w:t>
      </w:r>
      <w:r w:rsidR="00D876CF" w:rsidRPr="00552390">
        <w:rPr>
          <w:rFonts w:ascii="Arial" w:hAnsi="Arial" w:cs="Arial"/>
          <w:color w:val="auto"/>
        </w:rPr>
        <w:t xml:space="preserve">- </w:t>
      </w:r>
      <w:r w:rsidRPr="00552390">
        <w:rPr>
          <w:rFonts w:ascii="Arial" w:hAnsi="Arial" w:cs="Arial"/>
          <w:color w:val="auto"/>
        </w:rPr>
        <w:t>7F Armed Policing is working to develop fully interoperable operational armed resources which can deploy seamlessly across the seven forces, with the same capability, training, equipment and operational understanding.</w:t>
      </w:r>
      <w:r w:rsidR="00D876CF" w:rsidRPr="00552390">
        <w:rPr>
          <w:rFonts w:ascii="Arial" w:hAnsi="Arial" w:cs="Arial"/>
          <w:color w:val="auto"/>
        </w:rPr>
        <w:t xml:space="preserve"> </w:t>
      </w:r>
      <w:r w:rsidRPr="00552390">
        <w:rPr>
          <w:rFonts w:ascii="Arial" w:hAnsi="Arial" w:cs="Arial"/>
          <w:color w:val="auto"/>
        </w:rPr>
        <w:t xml:space="preserve">Vision meetings have taken place in which there was 7F agreement for a single procurement framework for the 7F Armed Policing Uniform (Shirts/ Trousers). Standardisation </w:t>
      </w:r>
      <w:r w:rsidRPr="00552390">
        <w:rPr>
          <w:rFonts w:ascii="Arial" w:hAnsi="Arial" w:cs="Arial"/>
          <w:color w:val="auto"/>
        </w:rPr>
        <w:lastRenderedPageBreak/>
        <w:t xml:space="preserve">of the Armed Policing curriculum is taking place ahead of full 7F Armed Policing migration expected on 1st April 2019. A workshop will take place in order to develop the 7F Armed Policing Strategic Outline case (SOC). This is expected to be ongoing for at least 3 months. </w:t>
      </w:r>
    </w:p>
    <w:p w14:paraId="66104545" w14:textId="77777777" w:rsidR="00D876CF" w:rsidRPr="00552390" w:rsidRDefault="00D876CF" w:rsidP="00A76944">
      <w:pPr>
        <w:pStyle w:val="Default"/>
        <w:rPr>
          <w:b/>
          <w:bCs/>
          <w:sz w:val="23"/>
          <w:szCs w:val="23"/>
        </w:rPr>
      </w:pPr>
    </w:p>
    <w:p w14:paraId="193E4A00" w14:textId="77777777" w:rsidR="00A76944" w:rsidRPr="00552390" w:rsidRDefault="00A76944" w:rsidP="00D876CF">
      <w:pPr>
        <w:pStyle w:val="Default"/>
        <w:rPr>
          <w:rFonts w:ascii="Arial" w:hAnsi="Arial" w:cs="Arial"/>
          <w:color w:val="auto"/>
        </w:rPr>
      </w:pPr>
      <w:r w:rsidRPr="00552390">
        <w:rPr>
          <w:rFonts w:ascii="Arial" w:hAnsi="Arial" w:cs="Arial"/>
          <w:b/>
          <w:color w:val="auto"/>
        </w:rPr>
        <w:t>Forensics</w:t>
      </w:r>
      <w:r w:rsidR="00265F1A" w:rsidRPr="00552390">
        <w:rPr>
          <w:rFonts w:ascii="Arial" w:hAnsi="Arial" w:cs="Arial"/>
          <w:b/>
          <w:color w:val="auto"/>
        </w:rPr>
        <w:t xml:space="preserve"> (Overall RAG Green)</w:t>
      </w:r>
      <w:r w:rsidRPr="00552390">
        <w:rPr>
          <w:rFonts w:ascii="Arial" w:hAnsi="Arial" w:cs="Arial"/>
          <w:b/>
          <w:color w:val="auto"/>
        </w:rPr>
        <w:t xml:space="preserve"> </w:t>
      </w:r>
      <w:r w:rsidR="008048AC" w:rsidRPr="00552390">
        <w:rPr>
          <w:rFonts w:ascii="Arial" w:hAnsi="Arial" w:cs="Arial"/>
          <w:b/>
          <w:color w:val="auto"/>
        </w:rPr>
        <w:t>-</w:t>
      </w:r>
      <w:r w:rsidR="008048AC" w:rsidRPr="00552390">
        <w:rPr>
          <w:b/>
          <w:bCs/>
          <w:sz w:val="23"/>
          <w:szCs w:val="23"/>
        </w:rPr>
        <w:t xml:space="preserve"> </w:t>
      </w:r>
      <w:r w:rsidRPr="00552390">
        <w:rPr>
          <w:rFonts w:ascii="Arial" w:hAnsi="Arial" w:cs="Arial"/>
          <w:color w:val="auto"/>
        </w:rPr>
        <w:t xml:space="preserve">The 7F Programme are in the early stages of exploring potential 7F opportunities in Forensics. The forensics work plan has matured to give greater detail of the service review phases and key milestones. The second monthly board meeting has taken place and fortnightly project meetings have been held. The Baseline work has started and a Benefits mapping workshop was held, with the initial draft benefits map and vision statement completed. </w:t>
      </w:r>
    </w:p>
    <w:p w14:paraId="05A9A4FD" w14:textId="77777777" w:rsidR="008F0D43" w:rsidRPr="00552390" w:rsidRDefault="008F0D43" w:rsidP="008F0D43">
      <w:pPr>
        <w:tabs>
          <w:tab w:val="left" w:pos="1843"/>
        </w:tabs>
        <w:spacing w:after="0" w:line="259" w:lineRule="auto"/>
        <w:contextualSpacing/>
        <w:rPr>
          <w:rFonts w:ascii="Arial" w:eastAsia="Times New Roman" w:hAnsi="Arial" w:cs="Arial"/>
          <w:b/>
          <w:sz w:val="24"/>
          <w:szCs w:val="24"/>
          <w:u w:val="single"/>
          <w:lang w:eastAsia="en-GB"/>
        </w:rPr>
      </w:pPr>
    </w:p>
    <w:p w14:paraId="582B4038" w14:textId="77777777" w:rsidR="008F0D43" w:rsidRPr="00552390" w:rsidRDefault="008F0D43" w:rsidP="008F0D43">
      <w:pPr>
        <w:tabs>
          <w:tab w:val="left" w:pos="1843"/>
        </w:tabs>
        <w:spacing w:after="0" w:line="259" w:lineRule="auto"/>
        <w:contextualSpacing/>
        <w:rPr>
          <w:rFonts w:ascii="Arial" w:eastAsia="Times New Roman" w:hAnsi="Arial" w:cs="Arial"/>
          <w:sz w:val="24"/>
          <w:szCs w:val="24"/>
          <w:lang w:eastAsia="en-GB"/>
        </w:rPr>
      </w:pPr>
    </w:p>
    <w:p w14:paraId="0E4B9B09" w14:textId="77777777" w:rsidR="00092BB3" w:rsidRPr="00552390" w:rsidRDefault="008F0D43" w:rsidP="008F0D43">
      <w:pPr>
        <w:tabs>
          <w:tab w:val="left" w:pos="1843"/>
        </w:tabs>
        <w:spacing w:after="0" w:line="259" w:lineRule="auto"/>
        <w:contextualSpacing/>
        <w:rPr>
          <w:rFonts w:ascii="Arial" w:eastAsia="Times New Roman" w:hAnsi="Arial" w:cs="Arial"/>
          <w:b/>
          <w:sz w:val="24"/>
          <w:szCs w:val="24"/>
          <w:u w:val="single"/>
          <w:lang w:eastAsia="en-GB"/>
        </w:rPr>
      </w:pPr>
      <w:r w:rsidRPr="00552390">
        <w:rPr>
          <w:rFonts w:ascii="Arial" w:eastAsia="Times New Roman" w:hAnsi="Arial" w:cs="Arial"/>
          <w:b/>
          <w:sz w:val="24"/>
          <w:szCs w:val="24"/>
          <w:u w:val="single"/>
          <w:lang w:eastAsia="en-GB"/>
        </w:rPr>
        <w:t>Home Office Digital Policing Portfolio</w:t>
      </w:r>
      <w:r w:rsidR="008341F6" w:rsidRPr="00552390">
        <w:rPr>
          <w:rFonts w:ascii="Arial" w:eastAsia="Times New Roman" w:hAnsi="Arial" w:cs="Arial"/>
          <w:b/>
          <w:sz w:val="24"/>
          <w:szCs w:val="24"/>
          <w:u w:val="single"/>
          <w:lang w:eastAsia="en-GB"/>
        </w:rPr>
        <w:t>/Home Office Technology Programme</w:t>
      </w:r>
      <w:r w:rsidRPr="00552390">
        <w:rPr>
          <w:rFonts w:ascii="Arial" w:eastAsia="Times New Roman" w:hAnsi="Arial" w:cs="Arial"/>
          <w:b/>
          <w:sz w:val="24"/>
          <w:szCs w:val="24"/>
          <w:u w:val="single"/>
          <w:lang w:eastAsia="en-GB"/>
        </w:rPr>
        <w:t xml:space="preserve"> </w:t>
      </w:r>
    </w:p>
    <w:p w14:paraId="058750F6" w14:textId="77777777" w:rsidR="00092BB3" w:rsidRPr="00552390" w:rsidRDefault="00092BB3" w:rsidP="008F0D43">
      <w:pPr>
        <w:tabs>
          <w:tab w:val="left" w:pos="1843"/>
        </w:tabs>
        <w:spacing w:after="0" w:line="259" w:lineRule="auto"/>
        <w:contextualSpacing/>
        <w:rPr>
          <w:rFonts w:ascii="Arial" w:eastAsia="Times New Roman" w:hAnsi="Arial" w:cs="Arial"/>
          <w:b/>
          <w:sz w:val="24"/>
          <w:szCs w:val="24"/>
          <w:u w:val="single"/>
          <w:lang w:eastAsia="en-GB"/>
        </w:rPr>
      </w:pPr>
    </w:p>
    <w:tbl>
      <w:tblPr>
        <w:tblStyle w:val="TableGrid27"/>
        <w:tblpPr w:leftFromText="180" w:rightFromText="180" w:vertAnchor="text" w:horzAnchor="margin" w:tblpY="200"/>
        <w:tblW w:w="9351" w:type="dxa"/>
        <w:tblLook w:val="04A0" w:firstRow="1" w:lastRow="0" w:firstColumn="1" w:lastColumn="0" w:noHBand="0" w:noVBand="1"/>
      </w:tblPr>
      <w:tblGrid>
        <w:gridCol w:w="996"/>
        <w:gridCol w:w="938"/>
        <w:gridCol w:w="1001"/>
        <w:gridCol w:w="1040"/>
        <w:gridCol w:w="1002"/>
        <w:gridCol w:w="1067"/>
        <w:gridCol w:w="897"/>
        <w:gridCol w:w="1276"/>
        <w:gridCol w:w="1134"/>
      </w:tblGrid>
      <w:tr w:rsidR="0075534B" w:rsidRPr="008A42D5" w14:paraId="37805A22" w14:textId="77777777" w:rsidTr="0075534B">
        <w:trPr>
          <w:trHeight w:val="396"/>
        </w:trPr>
        <w:tc>
          <w:tcPr>
            <w:tcW w:w="996" w:type="dxa"/>
            <w:tcBorders>
              <w:top w:val="single" w:sz="12" w:space="0" w:color="auto"/>
              <w:bottom w:val="single" w:sz="12" w:space="0" w:color="auto"/>
            </w:tcBorders>
            <w:shd w:val="clear" w:color="auto" w:fill="FFC000"/>
            <w:vAlign w:val="center"/>
          </w:tcPr>
          <w:p w14:paraId="333992AF" w14:textId="77777777" w:rsidR="0075534B" w:rsidRPr="00552390" w:rsidRDefault="0075534B" w:rsidP="0075534B">
            <w:pPr>
              <w:jc w:val="center"/>
              <w:rPr>
                <w:rFonts w:ascii="Calibri" w:eastAsia="Calibri" w:hAnsi="Calibri" w:cs="Times New Roman"/>
                <w:b/>
                <w:sz w:val="14"/>
                <w:szCs w:val="15"/>
              </w:rPr>
            </w:pPr>
            <w:r w:rsidRPr="00552390">
              <w:rPr>
                <w:rFonts w:ascii="Calibri" w:eastAsia="Calibri" w:hAnsi="Calibri" w:cs="Times New Roman"/>
                <w:b/>
                <w:sz w:val="14"/>
                <w:szCs w:val="15"/>
              </w:rPr>
              <w:t>Overall RAG</w:t>
            </w:r>
          </w:p>
          <w:p w14:paraId="42BD0895" w14:textId="77777777" w:rsidR="00C337C1" w:rsidRPr="00552390" w:rsidRDefault="00C337C1" w:rsidP="0075534B">
            <w:pPr>
              <w:jc w:val="center"/>
              <w:rPr>
                <w:rFonts w:ascii="Calibri" w:eastAsia="Calibri" w:hAnsi="Calibri" w:cs="Times New Roman"/>
                <w:b/>
                <w:sz w:val="14"/>
                <w:szCs w:val="15"/>
              </w:rPr>
            </w:pPr>
            <w:r w:rsidRPr="00552390">
              <w:rPr>
                <w:rFonts w:ascii="Calibri" w:eastAsia="Calibri" w:hAnsi="Calibri" w:cs="Times New Roman"/>
                <w:b/>
                <w:sz w:val="14"/>
                <w:szCs w:val="15"/>
              </w:rPr>
              <w:t>Amber</w:t>
            </w:r>
          </w:p>
        </w:tc>
        <w:tc>
          <w:tcPr>
            <w:tcW w:w="938" w:type="dxa"/>
            <w:tcBorders>
              <w:top w:val="single" w:sz="4" w:space="0" w:color="auto"/>
              <w:bottom w:val="single" w:sz="4" w:space="0" w:color="auto"/>
            </w:tcBorders>
            <w:shd w:val="clear" w:color="auto" w:fill="FFFFFF"/>
            <w:vAlign w:val="center"/>
          </w:tcPr>
          <w:p w14:paraId="68FF2121" w14:textId="77777777" w:rsidR="0075534B" w:rsidRPr="00552390" w:rsidRDefault="0075534B" w:rsidP="0075534B">
            <w:pPr>
              <w:pStyle w:val="NoSpacing"/>
              <w:spacing w:after="120" w:line="259" w:lineRule="auto"/>
              <w:jc w:val="center"/>
              <w:rPr>
                <w:color w:val="000000" w:themeColor="text1"/>
                <w:sz w:val="15"/>
                <w:szCs w:val="15"/>
              </w:rPr>
            </w:pPr>
            <w:r w:rsidRPr="00552390">
              <w:rPr>
                <w:color w:val="000000" w:themeColor="text1"/>
                <w:sz w:val="15"/>
                <w:szCs w:val="15"/>
              </w:rPr>
              <w:t>Time</w:t>
            </w:r>
          </w:p>
        </w:tc>
        <w:tc>
          <w:tcPr>
            <w:tcW w:w="1001" w:type="dxa"/>
            <w:tcBorders>
              <w:top w:val="single" w:sz="4" w:space="0" w:color="auto"/>
              <w:bottom w:val="single" w:sz="4" w:space="0" w:color="auto"/>
            </w:tcBorders>
            <w:shd w:val="clear" w:color="auto" w:fill="FFC000"/>
            <w:vAlign w:val="center"/>
          </w:tcPr>
          <w:p w14:paraId="1EA6E980" w14:textId="77777777" w:rsidR="0075534B" w:rsidRPr="00542C69" w:rsidRDefault="0075534B" w:rsidP="0075534B">
            <w:pPr>
              <w:pStyle w:val="NoSpacing"/>
              <w:spacing w:after="120" w:line="259" w:lineRule="auto"/>
              <w:jc w:val="center"/>
              <w:rPr>
                <w:color w:val="000000" w:themeColor="text1"/>
                <w:sz w:val="15"/>
                <w:szCs w:val="15"/>
              </w:rPr>
            </w:pPr>
            <w:r>
              <w:rPr>
                <w:color w:val="000000" w:themeColor="text1"/>
                <w:sz w:val="15"/>
                <w:szCs w:val="15"/>
              </w:rPr>
              <w:t>A</w:t>
            </w:r>
          </w:p>
        </w:tc>
        <w:tc>
          <w:tcPr>
            <w:tcW w:w="1040" w:type="dxa"/>
            <w:tcBorders>
              <w:top w:val="single" w:sz="4" w:space="0" w:color="auto"/>
              <w:bottom w:val="single" w:sz="4" w:space="0" w:color="auto"/>
            </w:tcBorders>
            <w:shd w:val="clear" w:color="auto" w:fill="FFFFFF"/>
            <w:vAlign w:val="center"/>
          </w:tcPr>
          <w:p w14:paraId="0458864E" w14:textId="77777777" w:rsidR="0075534B" w:rsidRDefault="0075534B" w:rsidP="00C337C1">
            <w:pPr>
              <w:pStyle w:val="NoSpacing"/>
              <w:spacing w:after="120" w:line="259" w:lineRule="auto"/>
              <w:jc w:val="center"/>
              <w:rPr>
                <w:color w:val="000000" w:themeColor="text1"/>
                <w:sz w:val="15"/>
                <w:szCs w:val="15"/>
              </w:rPr>
            </w:pPr>
            <w:r>
              <w:rPr>
                <w:color w:val="000000" w:themeColor="text1"/>
                <w:sz w:val="15"/>
                <w:szCs w:val="15"/>
              </w:rPr>
              <w:t>Costs</w:t>
            </w:r>
          </w:p>
          <w:p w14:paraId="532517A8" w14:textId="77777777" w:rsidR="00596A08" w:rsidRPr="00596A08" w:rsidRDefault="00596A08" w:rsidP="00596A08">
            <w:pPr>
              <w:rPr>
                <w:rFonts w:ascii="Calibri" w:eastAsia="Calibri" w:hAnsi="Calibri" w:cs="Times New Roman"/>
                <w:sz w:val="15"/>
                <w:szCs w:val="15"/>
              </w:rPr>
            </w:pPr>
            <w:r w:rsidRPr="00596A08">
              <w:rPr>
                <w:rFonts w:ascii="Calibri" w:eastAsia="Calibri" w:hAnsi="Calibri" w:cs="Times New Roman"/>
                <w:sz w:val="15"/>
                <w:szCs w:val="15"/>
              </w:rPr>
              <w:t>£ 136K  NAS</w:t>
            </w:r>
          </w:p>
          <w:p w14:paraId="51096025" w14:textId="77777777" w:rsidR="00596A08" w:rsidRPr="00542C69" w:rsidRDefault="00596A08" w:rsidP="00596A08">
            <w:pPr>
              <w:pStyle w:val="NoSpacing"/>
              <w:spacing w:after="120" w:line="259" w:lineRule="auto"/>
              <w:jc w:val="center"/>
              <w:rPr>
                <w:color w:val="000000" w:themeColor="text1"/>
                <w:sz w:val="15"/>
                <w:szCs w:val="15"/>
              </w:rPr>
            </w:pPr>
            <w:r w:rsidRPr="00596A08">
              <w:rPr>
                <w:rFonts w:ascii="Calibri" w:eastAsia="Calibri" w:hAnsi="Calibri" w:cs="Times New Roman"/>
                <w:sz w:val="15"/>
                <w:szCs w:val="15"/>
              </w:rPr>
              <w:t>£50k HOB</w:t>
            </w:r>
          </w:p>
        </w:tc>
        <w:tc>
          <w:tcPr>
            <w:tcW w:w="1002" w:type="dxa"/>
            <w:tcBorders>
              <w:top w:val="single" w:sz="4" w:space="0" w:color="auto"/>
              <w:bottom w:val="single" w:sz="4" w:space="0" w:color="auto"/>
            </w:tcBorders>
            <w:shd w:val="clear" w:color="auto" w:fill="92D050"/>
            <w:vAlign w:val="center"/>
          </w:tcPr>
          <w:p w14:paraId="6FBA5CA8" w14:textId="77777777" w:rsidR="0075534B" w:rsidRPr="00542C69" w:rsidRDefault="0075534B" w:rsidP="00C337C1">
            <w:pPr>
              <w:pStyle w:val="NoSpacing"/>
              <w:spacing w:after="120" w:line="259" w:lineRule="auto"/>
              <w:jc w:val="center"/>
              <w:rPr>
                <w:color w:val="000000" w:themeColor="text1"/>
                <w:sz w:val="15"/>
                <w:szCs w:val="15"/>
              </w:rPr>
            </w:pPr>
            <w:r>
              <w:rPr>
                <w:color w:val="000000" w:themeColor="text1"/>
                <w:sz w:val="15"/>
                <w:szCs w:val="15"/>
              </w:rPr>
              <w:t>G</w:t>
            </w:r>
          </w:p>
        </w:tc>
        <w:tc>
          <w:tcPr>
            <w:tcW w:w="1067" w:type="dxa"/>
            <w:tcBorders>
              <w:top w:val="single" w:sz="4" w:space="0" w:color="auto"/>
              <w:bottom w:val="single" w:sz="4" w:space="0" w:color="auto"/>
            </w:tcBorders>
            <w:shd w:val="clear" w:color="auto" w:fill="FFFFFF"/>
            <w:vAlign w:val="center"/>
          </w:tcPr>
          <w:p w14:paraId="5B81847A" w14:textId="77777777" w:rsidR="0075534B" w:rsidRPr="00542C69" w:rsidRDefault="0075534B" w:rsidP="0075534B">
            <w:pPr>
              <w:pStyle w:val="NoSpacing"/>
              <w:spacing w:after="120" w:line="259" w:lineRule="auto"/>
              <w:jc w:val="center"/>
              <w:rPr>
                <w:color w:val="000000" w:themeColor="text1"/>
                <w:sz w:val="15"/>
                <w:szCs w:val="15"/>
              </w:rPr>
            </w:pPr>
            <w:r>
              <w:rPr>
                <w:color w:val="000000" w:themeColor="text1"/>
                <w:sz w:val="15"/>
                <w:szCs w:val="15"/>
              </w:rPr>
              <w:t>Savings</w:t>
            </w:r>
          </w:p>
        </w:tc>
        <w:tc>
          <w:tcPr>
            <w:tcW w:w="897" w:type="dxa"/>
            <w:tcBorders>
              <w:top w:val="single" w:sz="4" w:space="0" w:color="auto"/>
              <w:bottom w:val="single" w:sz="4" w:space="0" w:color="auto"/>
            </w:tcBorders>
            <w:shd w:val="clear" w:color="auto" w:fill="FFC000"/>
          </w:tcPr>
          <w:p w14:paraId="12C42872" w14:textId="77777777" w:rsidR="007424E1" w:rsidRDefault="007424E1" w:rsidP="00C337C1">
            <w:pPr>
              <w:pStyle w:val="NoSpacing"/>
              <w:spacing w:after="120" w:line="259" w:lineRule="auto"/>
              <w:jc w:val="center"/>
              <w:rPr>
                <w:color w:val="000000" w:themeColor="text1"/>
                <w:sz w:val="15"/>
                <w:szCs w:val="15"/>
              </w:rPr>
            </w:pPr>
          </w:p>
          <w:p w14:paraId="0A505504" w14:textId="77777777" w:rsidR="0075534B" w:rsidRDefault="0075534B" w:rsidP="00C337C1">
            <w:pPr>
              <w:pStyle w:val="NoSpacing"/>
              <w:spacing w:after="120" w:line="259" w:lineRule="auto"/>
              <w:jc w:val="center"/>
              <w:rPr>
                <w:color w:val="000000" w:themeColor="text1"/>
                <w:sz w:val="15"/>
                <w:szCs w:val="15"/>
              </w:rPr>
            </w:pPr>
            <w:r>
              <w:rPr>
                <w:color w:val="000000" w:themeColor="text1"/>
                <w:sz w:val="15"/>
                <w:szCs w:val="15"/>
              </w:rPr>
              <w:t>A</w:t>
            </w:r>
          </w:p>
        </w:tc>
        <w:tc>
          <w:tcPr>
            <w:tcW w:w="1276" w:type="dxa"/>
            <w:tcBorders>
              <w:top w:val="single" w:sz="4" w:space="0" w:color="auto"/>
              <w:bottom w:val="single" w:sz="4" w:space="0" w:color="auto"/>
            </w:tcBorders>
            <w:shd w:val="clear" w:color="auto" w:fill="FFFFFF" w:themeFill="background1"/>
          </w:tcPr>
          <w:p w14:paraId="46DA2563" w14:textId="77777777" w:rsidR="00596A08" w:rsidRDefault="00596A08" w:rsidP="0075534B">
            <w:pPr>
              <w:pStyle w:val="NoSpacing"/>
              <w:spacing w:after="120" w:line="276" w:lineRule="auto"/>
              <w:jc w:val="center"/>
              <w:rPr>
                <w:color w:val="000000" w:themeColor="text1"/>
                <w:sz w:val="15"/>
                <w:szCs w:val="15"/>
              </w:rPr>
            </w:pPr>
          </w:p>
          <w:p w14:paraId="39D923E0" w14:textId="77777777" w:rsidR="0075534B" w:rsidRDefault="0075534B" w:rsidP="0075534B">
            <w:pPr>
              <w:pStyle w:val="NoSpacing"/>
              <w:spacing w:after="120" w:line="276" w:lineRule="auto"/>
              <w:jc w:val="center"/>
              <w:rPr>
                <w:color w:val="000000" w:themeColor="text1"/>
                <w:sz w:val="15"/>
                <w:szCs w:val="15"/>
              </w:rPr>
            </w:pPr>
            <w:r>
              <w:rPr>
                <w:color w:val="000000" w:themeColor="text1"/>
                <w:sz w:val="15"/>
                <w:szCs w:val="15"/>
              </w:rPr>
              <w:t>Benefits</w:t>
            </w:r>
          </w:p>
        </w:tc>
        <w:tc>
          <w:tcPr>
            <w:tcW w:w="1134" w:type="dxa"/>
            <w:tcBorders>
              <w:top w:val="single" w:sz="4" w:space="0" w:color="auto"/>
              <w:bottom w:val="single" w:sz="4" w:space="0" w:color="auto"/>
            </w:tcBorders>
            <w:shd w:val="clear" w:color="auto" w:fill="92D050"/>
            <w:vAlign w:val="center"/>
          </w:tcPr>
          <w:p w14:paraId="5A422B34" w14:textId="77777777" w:rsidR="0075534B" w:rsidRPr="00542C69" w:rsidRDefault="0075534B" w:rsidP="00C337C1">
            <w:pPr>
              <w:pStyle w:val="NoSpacing"/>
              <w:spacing w:after="120" w:line="259" w:lineRule="auto"/>
              <w:jc w:val="center"/>
              <w:rPr>
                <w:color w:val="000000" w:themeColor="text1"/>
                <w:sz w:val="15"/>
                <w:szCs w:val="15"/>
              </w:rPr>
            </w:pPr>
            <w:r>
              <w:rPr>
                <w:color w:val="000000" w:themeColor="text1"/>
                <w:sz w:val="15"/>
                <w:szCs w:val="15"/>
              </w:rPr>
              <w:t>G</w:t>
            </w:r>
          </w:p>
        </w:tc>
      </w:tr>
    </w:tbl>
    <w:p w14:paraId="520EA7F0" w14:textId="77777777" w:rsidR="0075534B" w:rsidRDefault="0075534B" w:rsidP="008F0D43">
      <w:pPr>
        <w:tabs>
          <w:tab w:val="left" w:pos="1843"/>
        </w:tabs>
        <w:spacing w:after="0" w:line="259" w:lineRule="auto"/>
        <w:contextualSpacing/>
        <w:rPr>
          <w:rFonts w:ascii="Arial" w:eastAsia="Times New Roman" w:hAnsi="Arial" w:cs="Arial"/>
          <w:b/>
          <w:sz w:val="24"/>
          <w:szCs w:val="24"/>
          <w:u w:val="single"/>
          <w:lang w:eastAsia="en-GB"/>
        </w:rPr>
      </w:pPr>
    </w:p>
    <w:p w14:paraId="174D7702" w14:textId="77777777" w:rsidR="0075534B" w:rsidRDefault="0075534B" w:rsidP="008F0D43">
      <w:pPr>
        <w:tabs>
          <w:tab w:val="left" w:pos="1843"/>
        </w:tabs>
        <w:spacing w:after="0" w:line="259" w:lineRule="auto"/>
        <w:contextualSpacing/>
        <w:rPr>
          <w:rFonts w:ascii="Arial" w:eastAsia="Times New Roman" w:hAnsi="Arial" w:cs="Arial"/>
          <w:b/>
          <w:sz w:val="24"/>
          <w:szCs w:val="24"/>
          <w:u w:val="single"/>
          <w:lang w:eastAsia="en-GB"/>
        </w:rPr>
      </w:pPr>
    </w:p>
    <w:p w14:paraId="11DB52E2" w14:textId="77777777" w:rsidR="008341F6" w:rsidRPr="00552390" w:rsidRDefault="008341F6" w:rsidP="008F0D43">
      <w:pPr>
        <w:tabs>
          <w:tab w:val="left" w:pos="1843"/>
        </w:tabs>
        <w:spacing w:after="0" w:line="259" w:lineRule="auto"/>
        <w:contextualSpacing/>
        <w:rPr>
          <w:rFonts w:ascii="Arial" w:eastAsia="Times New Roman" w:hAnsi="Arial" w:cs="Arial"/>
          <w:sz w:val="24"/>
          <w:szCs w:val="24"/>
          <w:lang w:eastAsia="en-GB"/>
        </w:rPr>
      </w:pPr>
      <w:r w:rsidRPr="00552390">
        <w:rPr>
          <w:rFonts w:ascii="Arial" w:eastAsia="Times New Roman" w:hAnsi="Arial" w:cs="Arial"/>
          <w:sz w:val="24"/>
          <w:szCs w:val="24"/>
          <w:lang w:eastAsia="en-GB"/>
        </w:rPr>
        <w:t>The DPP is a national delivery organisation that will support the evolution of policing, enabling forces to respond and adapt to the increasingly digital world we live in</w:t>
      </w:r>
      <w:r w:rsidR="006676F7" w:rsidRPr="00552390">
        <w:rPr>
          <w:rFonts w:ascii="Arial" w:eastAsia="Times New Roman" w:hAnsi="Arial" w:cs="Arial"/>
          <w:sz w:val="24"/>
          <w:szCs w:val="24"/>
          <w:lang w:eastAsia="en-GB"/>
        </w:rPr>
        <w:t xml:space="preserve">, </w:t>
      </w:r>
      <w:r w:rsidRPr="00552390">
        <w:rPr>
          <w:rFonts w:ascii="Arial" w:eastAsia="Times New Roman" w:hAnsi="Arial" w:cs="Arial"/>
          <w:sz w:val="24"/>
          <w:szCs w:val="24"/>
          <w:lang w:eastAsia="en-GB"/>
        </w:rPr>
        <w:t>by developing nationally consistent services and capabilities enabled by technology. The solutions developed will enable forces to meet the changing demands of the public, more effectively prevent and investigate crime and better handle digital evidence.</w:t>
      </w:r>
      <w:r w:rsidR="006676F7" w:rsidRPr="00552390">
        <w:rPr>
          <w:rFonts w:ascii="Arial" w:eastAsia="Times New Roman" w:hAnsi="Arial" w:cs="Arial"/>
          <w:sz w:val="24"/>
          <w:szCs w:val="24"/>
          <w:lang w:eastAsia="en-GB"/>
        </w:rPr>
        <w:t xml:space="preserve"> There are a number of national projects within this Portfolio that are currently being progressed in Essex with updates as below:-  </w:t>
      </w:r>
    </w:p>
    <w:p w14:paraId="260762B3" w14:textId="77777777" w:rsidR="00BC6F2F" w:rsidRPr="00552390" w:rsidRDefault="00BC6F2F" w:rsidP="008F0D43">
      <w:pPr>
        <w:tabs>
          <w:tab w:val="left" w:pos="1843"/>
        </w:tabs>
        <w:spacing w:after="0" w:line="259" w:lineRule="auto"/>
        <w:contextualSpacing/>
        <w:rPr>
          <w:rFonts w:ascii="Arial" w:eastAsia="Times New Roman" w:hAnsi="Arial" w:cs="Arial"/>
          <w:sz w:val="24"/>
          <w:szCs w:val="24"/>
          <w:lang w:eastAsia="en-GB"/>
        </w:rPr>
      </w:pPr>
    </w:p>
    <w:p w14:paraId="04622228" w14:textId="77777777" w:rsidR="00092BB3" w:rsidRPr="00552390" w:rsidRDefault="00092BB3" w:rsidP="00092BB3">
      <w:pPr>
        <w:numPr>
          <w:ilvl w:val="0"/>
          <w:numId w:val="30"/>
        </w:numPr>
        <w:ind w:left="426" w:hanging="284"/>
        <w:contextualSpacing/>
        <w:rPr>
          <w:rFonts w:ascii="Arial" w:eastAsia="Times New Roman" w:hAnsi="Arial" w:cs="Arial"/>
          <w:sz w:val="24"/>
          <w:szCs w:val="24"/>
          <w:lang w:eastAsia="en-GB"/>
        </w:rPr>
      </w:pPr>
      <w:r w:rsidRPr="00552390">
        <w:rPr>
          <w:rFonts w:ascii="Arial" w:eastAsia="Times New Roman" w:hAnsi="Arial" w:cs="Arial"/>
          <w:sz w:val="24"/>
          <w:szCs w:val="24"/>
          <w:lang w:eastAsia="en-GB"/>
        </w:rPr>
        <w:lastRenderedPageBreak/>
        <w:t>CAID</w:t>
      </w:r>
      <w:r w:rsidR="006676F7" w:rsidRPr="00552390">
        <w:rPr>
          <w:rFonts w:ascii="Arial" w:eastAsia="Times New Roman" w:hAnsi="Arial" w:cs="Arial"/>
          <w:sz w:val="24"/>
          <w:szCs w:val="24"/>
          <w:lang w:eastAsia="en-GB"/>
        </w:rPr>
        <w:t xml:space="preserve"> (Child Abuse Image Database) </w:t>
      </w:r>
      <w:r w:rsidRPr="00552390">
        <w:rPr>
          <w:rFonts w:ascii="Arial" w:eastAsia="Times New Roman" w:hAnsi="Arial" w:cs="Arial"/>
          <w:sz w:val="24"/>
          <w:szCs w:val="24"/>
          <w:lang w:eastAsia="en-GB"/>
        </w:rPr>
        <w:t xml:space="preserve">– Alternative grading product trialled, findings to be incorporated into outline business case for Digital Forensics Unit (DFU) &amp; Police Online Investigation Team (POLIT) IT redesign. </w:t>
      </w:r>
    </w:p>
    <w:p w14:paraId="43C503B1" w14:textId="77777777" w:rsidR="00092BB3" w:rsidRPr="00552390" w:rsidRDefault="00092BB3" w:rsidP="00092BB3">
      <w:pPr>
        <w:numPr>
          <w:ilvl w:val="0"/>
          <w:numId w:val="30"/>
        </w:numPr>
        <w:ind w:left="426" w:hanging="284"/>
        <w:contextualSpacing/>
        <w:rPr>
          <w:rFonts w:ascii="Arial" w:eastAsia="Times New Roman" w:hAnsi="Arial" w:cs="Arial"/>
          <w:sz w:val="24"/>
          <w:szCs w:val="24"/>
          <w:lang w:eastAsia="en-GB"/>
        </w:rPr>
      </w:pPr>
      <w:r w:rsidRPr="00552390">
        <w:rPr>
          <w:rFonts w:ascii="Arial" w:eastAsia="Times New Roman" w:hAnsi="Arial" w:cs="Arial"/>
          <w:sz w:val="24"/>
          <w:szCs w:val="24"/>
          <w:lang w:eastAsia="en-GB"/>
        </w:rPr>
        <w:t>NAS</w:t>
      </w:r>
      <w:r w:rsidR="006676F7" w:rsidRPr="00552390">
        <w:rPr>
          <w:rFonts w:ascii="Arial" w:eastAsia="Times New Roman" w:hAnsi="Arial" w:cs="Arial"/>
          <w:sz w:val="24"/>
          <w:szCs w:val="24"/>
          <w:lang w:eastAsia="en-GB"/>
        </w:rPr>
        <w:t xml:space="preserve"> (National ANPR Service) </w:t>
      </w:r>
      <w:r w:rsidRPr="00552390">
        <w:rPr>
          <w:rFonts w:ascii="Arial" w:eastAsia="Times New Roman" w:hAnsi="Arial" w:cs="Arial"/>
          <w:sz w:val="24"/>
          <w:szCs w:val="24"/>
          <w:lang w:eastAsia="en-GB"/>
        </w:rPr>
        <w:t xml:space="preserve">– Due to delays in implementing the PSN line the original date to begin dual running </w:t>
      </w:r>
      <w:r w:rsidR="006676F7" w:rsidRPr="00552390">
        <w:rPr>
          <w:rFonts w:ascii="Arial" w:eastAsia="Times New Roman" w:hAnsi="Arial" w:cs="Arial"/>
          <w:sz w:val="24"/>
          <w:szCs w:val="24"/>
          <w:lang w:eastAsia="en-GB"/>
        </w:rPr>
        <w:t xml:space="preserve">from March 2019 </w:t>
      </w:r>
      <w:r w:rsidRPr="00552390">
        <w:rPr>
          <w:rFonts w:ascii="Arial" w:eastAsia="Times New Roman" w:hAnsi="Arial" w:cs="Arial"/>
          <w:sz w:val="24"/>
          <w:szCs w:val="24"/>
          <w:lang w:eastAsia="en-GB"/>
        </w:rPr>
        <w:t xml:space="preserve">cannot be met. A new connection date has been agreed and is on schedule, providing the PSN line is in place. </w:t>
      </w:r>
    </w:p>
    <w:p w14:paraId="782B68C0" w14:textId="77777777" w:rsidR="00092BB3" w:rsidRPr="00552390" w:rsidRDefault="00092BB3" w:rsidP="00092BB3">
      <w:pPr>
        <w:numPr>
          <w:ilvl w:val="0"/>
          <w:numId w:val="30"/>
        </w:numPr>
        <w:ind w:left="426" w:hanging="284"/>
        <w:contextualSpacing/>
        <w:rPr>
          <w:rFonts w:ascii="Arial" w:eastAsia="Times New Roman" w:hAnsi="Arial" w:cs="Arial"/>
          <w:sz w:val="24"/>
          <w:szCs w:val="24"/>
          <w:lang w:eastAsia="en-GB"/>
        </w:rPr>
      </w:pPr>
      <w:r w:rsidRPr="00552390">
        <w:rPr>
          <w:rFonts w:ascii="Arial" w:eastAsia="Times New Roman" w:hAnsi="Arial" w:cs="Arial"/>
          <w:sz w:val="24"/>
          <w:szCs w:val="24"/>
          <w:lang w:eastAsia="en-GB"/>
        </w:rPr>
        <w:t>HO</w:t>
      </w:r>
      <w:r w:rsidR="00BC6F2F" w:rsidRPr="00552390">
        <w:rPr>
          <w:rFonts w:ascii="Arial" w:eastAsia="Times New Roman" w:hAnsi="Arial" w:cs="Arial"/>
          <w:sz w:val="24"/>
          <w:szCs w:val="24"/>
          <w:lang w:eastAsia="en-GB"/>
        </w:rPr>
        <w:t xml:space="preserve"> </w:t>
      </w:r>
      <w:r w:rsidRPr="00552390">
        <w:rPr>
          <w:rFonts w:ascii="Arial" w:eastAsia="Times New Roman" w:hAnsi="Arial" w:cs="Arial"/>
          <w:sz w:val="24"/>
          <w:szCs w:val="24"/>
          <w:lang w:eastAsia="en-GB"/>
        </w:rPr>
        <w:t>B</w:t>
      </w:r>
      <w:r w:rsidR="00BC6F2F" w:rsidRPr="00552390">
        <w:rPr>
          <w:rFonts w:ascii="Arial" w:eastAsia="Times New Roman" w:hAnsi="Arial" w:cs="Arial"/>
          <w:sz w:val="24"/>
          <w:szCs w:val="24"/>
          <w:lang w:eastAsia="en-GB"/>
        </w:rPr>
        <w:t xml:space="preserve">iometrics </w:t>
      </w:r>
      <w:r w:rsidRPr="00552390">
        <w:rPr>
          <w:rFonts w:ascii="Arial" w:eastAsia="Times New Roman" w:hAnsi="Arial" w:cs="Arial"/>
          <w:sz w:val="24"/>
          <w:szCs w:val="24"/>
          <w:lang w:eastAsia="en-GB"/>
        </w:rPr>
        <w:t xml:space="preserve"> – Mobile Fingerprint - LIVE pilot begun.  Wider roll out of HOB functionality and scanners planned from April 2019.</w:t>
      </w:r>
    </w:p>
    <w:p w14:paraId="345E8A95" w14:textId="77777777" w:rsidR="00092BB3" w:rsidRPr="00552390" w:rsidRDefault="00092BB3" w:rsidP="00092BB3">
      <w:pPr>
        <w:numPr>
          <w:ilvl w:val="0"/>
          <w:numId w:val="30"/>
        </w:numPr>
        <w:ind w:left="426" w:hanging="284"/>
        <w:contextualSpacing/>
        <w:rPr>
          <w:rFonts w:ascii="Arial" w:eastAsia="Times New Roman" w:hAnsi="Arial" w:cs="Arial"/>
          <w:sz w:val="24"/>
          <w:szCs w:val="24"/>
          <w:lang w:eastAsia="en-GB"/>
        </w:rPr>
      </w:pPr>
      <w:r w:rsidRPr="00552390">
        <w:rPr>
          <w:rFonts w:ascii="Arial" w:eastAsia="Times New Roman" w:hAnsi="Arial" w:cs="Arial"/>
          <w:sz w:val="24"/>
          <w:szCs w:val="24"/>
          <w:lang w:eastAsia="en-GB"/>
        </w:rPr>
        <w:t>National Law Enforcement Data Programme NLEDP</w:t>
      </w:r>
      <w:r w:rsidR="00BC6F2F" w:rsidRPr="00552390">
        <w:rPr>
          <w:rFonts w:ascii="Arial" w:eastAsia="Times New Roman" w:hAnsi="Arial" w:cs="Arial"/>
          <w:sz w:val="24"/>
          <w:szCs w:val="24"/>
          <w:lang w:eastAsia="en-GB"/>
        </w:rPr>
        <w:t xml:space="preserve"> (PNC and PND system replacement)</w:t>
      </w:r>
      <w:r w:rsidRPr="00552390">
        <w:rPr>
          <w:rFonts w:ascii="Arial" w:eastAsia="Times New Roman" w:hAnsi="Arial" w:cs="Arial"/>
          <w:sz w:val="24"/>
          <w:szCs w:val="24"/>
          <w:lang w:eastAsia="en-GB"/>
        </w:rPr>
        <w:t xml:space="preserve"> – Awaiting output from re-planning and recommendation for delivery options along </w:t>
      </w:r>
      <w:r w:rsidR="00BC6F2F" w:rsidRPr="00552390">
        <w:rPr>
          <w:rFonts w:ascii="Arial" w:eastAsia="Times New Roman" w:hAnsi="Arial" w:cs="Arial"/>
          <w:sz w:val="24"/>
          <w:szCs w:val="24"/>
          <w:lang w:eastAsia="en-GB"/>
        </w:rPr>
        <w:t xml:space="preserve">with </w:t>
      </w:r>
      <w:r w:rsidRPr="00552390">
        <w:rPr>
          <w:rFonts w:ascii="Arial" w:eastAsia="Times New Roman" w:hAnsi="Arial" w:cs="Arial"/>
          <w:sz w:val="24"/>
          <w:szCs w:val="24"/>
          <w:lang w:eastAsia="en-GB"/>
        </w:rPr>
        <w:t>costs.</w:t>
      </w:r>
    </w:p>
    <w:p w14:paraId="29F74149" w14:textId="77777777" w:rsidR="00092BB3" w:rsidRPr="00552390" w:rsidRDefault="00092BB3" w:rsidP="008F0D43">
      <w:pPr>
        <w:tabs>
          <w:tab w:val="left" w:pos="1843"/>
        </w:tabs>
        <w:spacing w:after="0" w:line="259" w:lineRule="auto"/>
        <w:contextualSpacing/>
        <w:rPr>
          <w:rFonts w:ascii="Arial" w:eastAsia="Times New Roman" w:hAnsi="Arial" w:cs="Arial"/>
          <w:b/>
          <w:sz w:val="24"/>
          <w:szCs w:val="24"/>
          <w:u w:val="single"/>
          <w:lang w:eastAsia="en-GB"/>
        </w:rPr>
      </w:pPr>
    </w:p>
    <w:p w14:paraId="0D90481E" w14:textId="77777777" w:rsidR="008F0D43" w:rsidRPr="00BC6F2F" w:rsidRDefault="008F0D43" w:rsidP="008F0D43">
      <w:pPr>
        <w:tabs>
          <w:tab w:val="left" w:pos="1843"/>
        </w:tabs>
        <w:spacing w:after="0" w:line="259" w:lineRule="auto"/>
        <w:contextualSpacing/>
        <w:rPr>
          <w:rFonts w:ascii="Arial" w:eastAsia="Times New Roman" w:hAnsi="Arial" w:cs="Arial"/>
          <w:sz w:val="24"/>
          <w:szCs w:val="24"/>
          <w:u w:val="single"/>
          <w:lang w:eastAsia="en-GB"/>
        </w:rPr>
      </w:pPr>
      <w:r w:rsidRPr="00BC6F2F">
        <w:rPr>
          <w:rFonts w:ascii="Arial" w:eastAsia="Times New Roman" w:hAnsi="Arial" w:cs="Arial"/>
          <w:sz w:val="24"/>
          <w:szCs w:val="24"/>
          <w:u w:val="single"/>
          <w:lang w:eastAsia="en-GB"/>
        </w:rPr>
        <w:t>Digital Public Contact – Single Online Home</w:t>
      </w:r>
    </w:p>
    <w:p w14:paraId="732B5C05" w14:textId="77777777" w:rsidR="008F0D43" w:rsidRPr="00A97886" w:rsidRDefault="008F0D43" w:rsidP="008F0D43">
      <w:pPr>
        <w:tabs>
          <w:tab w:val="left" w:pos="1843"/>
        </w:tabs>
        <w:spacing w:after="0" w:line="259" w:lineRule="auto"/>
        <w:contextualSpacing/>
        <w:rPr>
          <w:rFonts w:ascii="Arial" w:eastAsia="Times New Roman" w:hAnsi="Arial" w:cs="Arial"/>
          <w:sz w:val="24"/>
          <w:szCs w:val="24"/>
          <w:lang w:eastAsia="en-GB"/>
        </w:rPr>
      </w:pPr>
      <w:r w:rsidRPr="00A97886">
        <w:rPr>
          <w:rFonts w:ascii="Arial" w:eastAsia="Times New Roman" w:hAnsi="Arial" w:cs="Arial"/>
          <w:sz w:val="24"/>
          <w:szCs w:val="24"/>
          <w:lang w:eastAsia="en-GB"/>
        </w:rPr>
        <w:t xml:space="preserve"> </w:t>
      </w:r>
    </w:p>
    <w:tbl>
      <w:tblPr>
        <w:tblStyle w:val="TableGrid27"/>
        <w:tblpPr w:leftFromText="180" w:rightFromText="180" w:vertAnchor="text" w:horzAnchor="margin" w:tblpY="200"/>
        <w:tblW w:w="9351" w:type="dxa"/>
        <w:tblLook w:val="04A0" w:firstRow="1" w:lastRow="0" w:firstColumn="1" w:lastColumn="0" w:noHBand="0" w:noVBand="1"/>
      </w:tblPr>
      <w:tblGrid>
        <w:gridCol w:w="996"/>
        <w:gridCol w:w="938"/>
        <w:gridCol w:w="1001"/>
        <w:gridCol w:w="1040"/>
        <w:gridCol w:w="1002"/>
        <w:gridCol w:w="1067"/>
        <w:gridCol w:w="897"/>
        <w:gridCol w:w="1276"/>
        <w:gridCol w:w="1134"/>
      </w:tblGrid>
      <w:tr w:rsidR="00596A08" w:rsidRPr="008A42D5" w14:paraId="3E64EC8B" w14:textId="77777777" w:rsidTr="007424E1">
        <w:trPr>
          <w:trHeight w:val="396"/>
        </w:trPr>
        <w:tc>
          <w:tcPr>
            <w:tcW w:w="996" w:type="dxa"/>
            <w:tcBorders>
              <w:top w:val="single" w:sz="12" w:space="0" w:color="auto"/>
              <w:bottom w:val="single" w:sz="12" w:space="0" w:color="auto"/>
            </w:tcBorders>
            <w:shd w:val="clear" w:color="auto" w:fill="FFC000"/>
            <w:vAlign w:val="center"/>
          </w:tcPr>
          <w:p w14:paraId="617623B3" w14:textId="77777777" w:rsidR="00596A08" w:rsidRDefault="00596A08" w:rsidP="00C337C1">
            <w:pPr>
              <w:jc w:val="center"/>
              <w:rPr>
                <w:rFonts w:ascii="Calibri" w:eastAsia="Calibri" w:hAnsi="Calibri" w:cs="Times New Roman"/>
                <w:b/>
                <w:sz w:val="14"/>
                <w:szCs w:val="15"/>
              </w:rPr>
            </w:pPr>
            <w:r>
              <w:rPr>
                <w:rFonts w:ascii="Calibri" w:eastAsia="Calibri" w:hAnsi="Calibri" w:cs="Times New Roman"/>
                <w:b/>
                <w:sz w:val="14"/>
                <w:szCs w:val="15"/>
              </w:rPr>
              <w:t>Overall RAG</w:t>
            </w:r>
          </w:p>
          <w:p w14:paraId="0C447BD9" w14:textId="77777777" w:rsidR="00C337C1" w:rsidRPr="008A42D5" w:rsidRDefault="00C337C1" w:rsidP="00C337C1">
            <w:pPr>
              <w:jc w:val="center"/>
              <w:rPr>
                <w:rFonts w:ascii="Calibri" w:eastAsia="Calibri" w:hAnsi="Calibri" w:cs="Times New Roman"/>
                <w:b/>
                <w:sz w:val="14"/>
                <w:szCs w:val="15"/>
              </w:rPr>
            </w:pPr>
            <w:r>
              <w:rPr>
                <w:rFonts w:ascii="Calibri" w:eastAsia="Calibri" w:hAnsi="Calibri" w:cs="Times New Roman"/>
                <w:b/>
                <w:sz w:val="14"/>
                <w:szCs w:val="15"/>
              </w:rPr>
              <w:t>Amber</w:t>
            </w:r>
          </w:p>
        </w:tc>
        <w:tc>
          <w:tcPr>
            <w:tcW w:w="938" w:type="dxa"/>
            <w:tcBorders>
              <w:top w:val="single" w:sz="4" w:space="0" w:color="auto"/>
              <w:bottom w:val="single" w:sz="4" w:space="0" w:color="auto"/>
            </w:tcBorders>
            <w:shd w:val="clear" w:color="auto" w:fill="FFFFFF"/>
            <w:vAlign w:val="center"/>
          </w:tcPr>
          <w:p w14:paraId="3A4FE3F0" w14:textId="77777777" w:rsidR="00596A08" w:rsidRPr="00542C69" w:rsidRDefault="00596A08" w:rsidP="00C337C1">
            <w:pPr>
              <w:pStyle w:val="NoSpacing"/>
              <w:spacing w:after="120" w:line="259" w:lineRule="auto"/>
              <w:jc w:val="center"/>
              <w:rPr>
                <w:color w:val="000000" w:themeColor="text1"/>
                <w:sz w:val="15"/>
                <w:szCs w:val="15"/>
              </w:rPr>
            </w:pPr>
            <w:r>
              <w:rPr>
                <w:color w:val="000000" w:themeColor="text1"/>
                <w:sz w:val="15"/>
                <w:szCs w:val="15"/>
              </w:rPr>
              <w:t>Time</w:t>
            </w:r>
          </w:p>
        </w:tc>
        <w:tc>
          <w:tcPr>
            <w:tcW w:w="1001" w:type="dxa"/>
            <w:tcBorders>
              <w:top w:val="single" w:sz="4" w:space="0" w:color="auto"/>
              <w:bottom w:val="single" w:sz="4" w:space="0" w:color="auto"/>
            </w:tcBorders>
            <w:shd w:val="clear" w:color="auto" w:fill="FFC000"/>
            <w:vAlign w:val="center"/>
          </w:tcPr>
          <w:p w14:paraId="25E83931" w14:textId="77777777" w:rsidR="00596A08" w:rsidRPr="00542C69" w:rsidRDefault="00596A08" w:rsidP="00C337C1">
            <w:pPr>
              <w:pStyle w:val="NoSpacing"/>
              <w:spacing w:after="120" w:line="259" w:lineRule="auto"/>
              <w:jc w:val="center"/>
              <w:rPr>
                <w:color w:val="000000" w:themeColor="text1"/>
                <w:sz w:val="15"/>
                <w:szCs w:val="15"/>
              </w:rPr>
            </w:pPr>
            <w:r>
              <w:rPr>
                <w:color w:val="000000" w:themeColor="text1"/>
                <w:sz w:val="15"/>
                <w:szCs w:val="15"/>
              </w:rPr>
              <w:t>A</w:t>
            </w:r>
          </w:p>
        </w:tc>
        <w:tc>
          <w:tcPr>
            <w:tcW w:w="1040" w:type="dxa"/>
            <w:tcBorders>
              <w:top w:val="single" w:sz="4" w:space="0" w:color="auto"/>
              <w:bottom w:val="single" w:sz="4" w:space="0" w:color="auto"/>
            </w:tcBorders>
            <w:shd w:val="clear" w:color="auto" w:fill="FFFFFF"/>
            <w:vAlign w:val="center"/>
          </w:tcPr>
          <w:p w14:paraId="58E6DFD2" w14:textId="77777777" w:rsidR="00596A08" w:rsidRDefault="00596A08" w:rsidP="00C337C1">
            <w:pPr>
              <w:pStyle w:val="NoSpacing"/>
              <w:spacing w:after="120" w:line="259" w:lineRule="auto"/>
              <w:jc w:val="center"/>
              <w:rPr>
                <w:color w:val="000000" w:themeColor="text1"/>
                <w:sz w:val="15"/>
                <w:szCs w:val="15"/>
              </w:rPr>
            </w:pPr>
            <w:r>
              <w:rPr>
                <w:color w:val="000000" w:themeColor="text1"/>
                <w:sz w:val="15"/>
                <w:szCs w:val="15"/>
              </w:rPr>
              <w:t>Costs</w:t>
            </w:r>
          </w:p>
          <w:p w14:paraId="2C255F05" w14:textId="77777777" w:rsidR="00596A08" w:rsidRPr="00542C69" w:rsidRDefault="007424E1" w:rsidP="00596A08">
            <w:pPr>
              <w:rPr>
                <w:color w:val="000000" w:themeColor="text1"/>
                <w:sz w:val="15"/>
                <w:szCs w:val="15"/>
              </w:rPr>
            </w:pPr>
            <w:r>
              <w:rPr>
                <w:rFonts w:ascii="Calibri" w:eastAsia="Calibri" w:hAnsi="Calibri" w:cs="Times New Roman"/>
                <w:noProof/>
                <w:sz w:val="15"/>
                <w:szCs w:val="15"/>
                <w:lang w:eastAsia="en-GB"/>
              </w:rPr>
              <w:t xml:space="preserve">TBD </w:t>
            </w:r>
            <w:r w:rsidR="00596A08">
              <w:rPr>
                <w:rFonts w:ascii="Calibri" w:eastAsia="Calibri" w:hAnsi="Calibri" w:cs="Times New Roman"/>
                <w:noProof/>
                <w:sz w:val="15"/>
                <w:szCs w:val="15"/>
                <w:lang w:eastAsia="en-GB"/>
              </w:rPr>
              <w:t xml:space="preserve">(circa £110k PA) </w:t>
            </w:r>
          </w:p>
          <w:p w14:paraId="30BB1397" w14:textId="77777777" w:rsidR="00596A08" w:rsidRPr="00542C69" w:rsidRDefault="00596A08" w:rsidP="00C337C1">
            <w:pPr>
              <w:pStyle w:val="NoSpacing"/>
              <w:spacing w:after="120" w:line="259" w:lineRule="auto"/>
              <w:jc w:val="center"/>
              <w:rPr>
                <w:color w:val="000000" w:themeColor="text1"/>
                <w:sz w:val="15"/>
                <w:szCs w:val="15"/>
              </w:rPr>
            </w:pPr>
          </w:p>
        </w:tc>
        <w:tc>
          <w:tcPr>
            <w:tcW w:w="1002" w:type="dxa"/>
            <w:tcBorders>
              <w:top w:val="single" w:sz="4" w:space="0" w:color="auto"/>
              <w:bottom w:val="single" w:sz="4" w:space="0" w:color="auto"/>
            </w:tcBorders>
            <w:shd w:val="clear" w:color="auto" w:fill="92D050"/>
            <w:vAlign w:val="center"/>
          </w:tcPr>
          <w:p w14:paraId="13EB5A5B" w14:textId="77777777" w:rsidR="00596A08" w:rsidRPr="00542C69" w:rsidRDefault="00596A08" w:rsidP="00C337C1">
            <w:pPr>
              <w:pStyle w:val="NoSpacing"/>
              <w:spacing w:after="120" w:line="259" w:lineRule="auto"/>
              <w:jc w:val="center"/>
              <w:rPr>
                <w:color w:val="000000" w:themeColor="text1"/>
                <w:sz w:val="15"/>
                <w:szCs w:val="15"/>
              </w:rPr>
            </w:pPr>
            <w:r>
              <w:rPr>
                <w:color w:val="000000" w:themeColor="text1"/>
                <w:sz w:val="15"/>
                <w:szCs w:val="15"/>
              </w:rPr>
              <w:t>G</w:t>
            </w:r>
          </w:p>
        </w:tc>
        <w:tc>
          <w:tcPr>
            <w:tcW w:w="1067" w:type="dxa"/>
            <w:tcBorders>
              <w:top w:val="single" w:sz="4" w:space="0" w:color="auto"/>
              <w:bottom w:val="single" w:sz="4" w:space="0" w:color="auto"/>
            </w:tcBorders>
            <w:shd w:val="clear" w:color="auto" w:fill="FFFFFF"/>
            <w:vAlign w:val="center"/>
          </w:tcPr>
          <w:p w14:paraId="46F60802" w14:textId="77777777" w:rsidR="00596A08" w:rsidRPr="00542C69" w:rsidRDefault="00596A08" w:rsidP="00C337C1">
            <w:pPr>
              <w:pStyle w:val="NoSpacing"/>
              <w:spacing w:after="120" w:line="259" w:lineRule="auto"/>
              <w:jc w:val="center"/>
              <w:rPr>
                <w:color w:val="000000" w:themeColor="text1"/>
                <w:sz w:val="15"/>
                <w:szCs w:val="15"/>
              </w:rPr>
            </w:pPr>
            <w:r>
              <w:rPr>
                <w:color w:val="000000" w:themeColor="text1"/>
                <w:sz w:val="15"/>
                <w:szCs w:val="15"/>
              </w:rPr>
              <w:t>Savings</w:t>
            </w:r>
          </w:p>
        </w:tc>
        <w:tc>
          <w:tcPr>
            <w:tcW w:w="897" w:type="dxa"/>
            <w:tcBorders>
              <w:top w:val="single" w:sz="4" w:space="0" w:color="auto"/>
              <w:bottom w:val="single" w:sz="4" w:space="0" w:color="auto"/>
            </w:tcBorders>
            <w:shd w:val="clear" w:color="auto" w:fill="FFFFFF" w:themeFill="background1"/>
          </w:tcPr>
          <w:p w14:paraId="679E2258" w14:textId="77777777" w:rsidR="00596A08" w:rsidRDefault="00596A08" w:rsidP="00C337C1">
            <w:pPr>
              <w:pStyle w:val="NoSpacing"/>
              <w:spacing w:after="120" w:line="259" w:lineRule="auto"/>
              <w:jc w:val="center"/>
              <w:rPr>
                <w:color w:val="000000" w:themeColor="text1"/>
                <w:sz w:val="15"/>
                <w:szCs w:val="15"/>
              </w:rPr>
            </w:pPr>
          </w:p>
          <w:p w14:paraId="38988035" w14:textId="77777777" w:rsidR="00596A08" w:rsidRDefault="00596A08" w:rsidP="00596A08">
            <w:pPr>
              <w:pStyle w:val="NoSpacing"/>
              <w:spacing w:after="120" w:line="259" w:lineRule="auto"/>
              <w:jc w:val="center"/>
              <w:rPr>
                <w:color w:val="000000" w:themeColor="text1"/>
                <w:sz w:val="15"/>
                <w:szCs w:val="15"/>
              </w:rPr>
            </w:pPr>
            <w:r w:rsidRPr="007424E1">
              <w:rPr>
                <w:color w:val="000000" w:themeColor="text1"/>
                <w:sz w:val="15"/>
                <w:szCs w:val="15"/>
                <w:shd w:val="clear" w:color="auto" w:fill="FFFFFF" w:themeFill="background1"/>
              </w:rPr>
              <w:t>N/A</w:t>
            </w:r>
          </w:p>
        </w:tc>
        <w:tc>
          <w:tcPr>
            <w:tcW w:w="1276" w:type="dxa"/>
            <w:tcBorders>
              <w:top w:val="single" w:sz="4" w:space="0" w:color="auto"/>
              <w:bottom w:val="single" w:sz="4" w:space="0" w:color="auto"/>
            </w:tcBorders>
            <w:shd w:val="clear" w:color="auto" w:fill="FFFFFF" w:themeFill="background1"/>
          </w:tcPr>
          <w:p w14:paraId="4D7B3CDB" w14:textId="77777777" w:rsidR="00596A08" w:rsidRDefault="00596A08" w:rsidP="00C337C1">
            <w:pPr>
              <w:pStyle w:val="NoSpacing"/>
              <w:spacing w:after="120" w:line="276" w:lineRule="auto"/>
              <w:jc w:val="center"/>
              <w:rPr>
                <w:color w:val="000000" w:themeColor="text1"/>
                <w:sz w:val="15"/>
                <w:szCs w:val="15"/>
              </w:rPr>
            </w:pPr>
          </w:p>
          <w:p w14:paraId="0BDA81F7" w14:textId="77777777" w:rsidR="00596A08" w:rsidRDefault="00596A08" w:rsidP="00C337C1">
            <w:pPr>
              <w:pStyle w:val="NoSpacing"/>
              <w:spacing w:after="120" w:line="276" w:lineRule="auto"/>
              <w:jc w:val="center"/>
              <w:rPr>
                <w:color w:val="000000" w:themeColor="text1"/>
                <w:sz w:val="15"/>
                <w:szCs w:val="15"/>
              </w:rPr>
            </w:pPr>
            <w:r>
              <w:rPr>
                <w:color w:val="000000" w:themeColor="text1"/>
                <w:sz w:val="15"/>
                <w:szCs w:val="15"/>
              </w:rPr>
              <w:t>Benefits</w:t>
            </w:r>
          </w:p>
        </w:tc>
        <w:tc>
          <w:tcPr>
            <w:tcW w:w="1134" w:type="dxa"/>
            <w:tcBorders>
              <w:top w:val="single" w:sz="4" w:space="0" w:color="auto"/>
              <w:bottom w:val="single" w:sz="4" w:space="0" w:color="auto"/>
            </w:tcBorders>
            <w:shd w:val="clear" w:color="auto" w:fill="FFFFFF" w:themeFill="background1"/>
            <w:vAlign w:val="center"/>
          </w:tcPr>
          <w:p w14:paraId="58B8A37E" w14:textId="77777777" w:rsidR="00596A08" w:rsidRPr="00542C69" w:rsidRDefault="00596A08" w:rsidP="00596A08">
            <w:pPr>
              <w:pStyle w:val="NoSpacing"/>
              <w:spacing w:after="120" w:line="259" w:lineRule="auto"/>
              <w:jc w:val="center"/>
              <w:rPr>
                <w:color w:val="000000" w:themeColor="text1"/>
                <w:sz w:val="15"/>
                <w:szCs w:val="15"/>
              </w:rPr>
            </w:pPr>
            <w:r>
              <w:rPr>
                <w:color w:val="000000" w:themeColor="text1"/>
                <w:sz w:val="15"/>
                <w:szCs w:val="15"/>
              </w:rPr>
              <w:t>TBD</w:t>
            </w:r>
          </w:p>
        </w:tc>
      </w:tr>
    </w:tbl>
    <w:p w14:paraId="40D36D2F" w14:textId="77777777" w:rsidR="00596A08" w:rsidRDefault="00596A08" w:rsidP="008F0D43">
      <w:pPr>
        <w:tabs>
          <w:tab w:val="left" w:pos="1843"/>
        </w:tabs>
        <w:spacing w:after="0" w:line="259" w:lineRule="auto"/>
        <w:contextualSpacing/>
        <w:rPr>
          <w:rFonts w:ascii="Arial" w:eastAsia="Times New Roman" w:hAnsi="Arial" w:cs="Arial"/>
          <w:sz w:val="24"/>
          <w:szCs w:val="24"/>
          <w:lang w:eastAsia="en-GB"/>
        </w:rPr>
      </w:pPr>
    </w:p>
    <w:p w14:paraId="0A107201" w14:textId="77777777" w:rsidR="008F0D43" w:rsidRDefault="008F0D43" w:rsidP="008F0D43">
      <w:pPr>
        <w:tabs>
          <w:tab w:val="left" w:pos="1843"/>
        </w:tabs>
        <w:spacing w:after="0" w:line="259"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Single Online Home (SOH) is an internet platform provided through the Home Office Digital Public Contact programme which provides the public with a consistent way of engaging with their local police force and accessing policing services and information on line.</w:t>
      </w:r>
    </w:p>
    <w:p w14:paraId="33F2403E" w14:textId="77777777" w:rsidR="008F0D43" w:rsidRPr="00552390" w:rsidRDefault="008F0D43" w:rsidP="008F0D43">
      <w:pPr>
        <w:tabs>
          <w:tab w:val="left" w:pos="1843"/>
        </w:tabs>
        <w:spacing w:after="0" w:line="259" w:lineRule="auto"/>
        <w:contextualSpacing/>
        <w:rPr>
          <w:rFonts w:ascii="Arial" w:eastAsia="Times New Roman" w:hAnsi="Arial" w:cs="Arial"/>
          <w:sz w:val="24"/>
          <w:szCs w:val="24"/>
          <w:lang w:eastAsia="en-GB"/>
        </w:rPr>
      </w:pPr>
    </w:p>
    <w:p w14:paraId="6F9766FB" w14:textId="77777777" w:rsidR="008F0D43" w:rsidRPr="00552390" w:rsidRDefault="008F0D43" w:rsidP="008F0D43">
      <w:pPr>
        <w:tabs>
          <w:tab w:val="left" w:pos="1843"/>
        </w:tabs>
        <w:spacing w:after="0" w:line="259" w:lineRule="auto"/>
        <w:contextualSpacing/>
        <w:rPr>
          <w:rFonts w:ascii="Arial" w:eastAsia="Times New Roman" w:hAnsi="Arial" w:cs="Arial"/>
          <w:sz w:val="24"/>
          <w:szCs w:val="24"/>
          <w:lang w:eastAsia="en-GB"/>
        </w:rPr>
      </w:pPr>
      <w:r w:rsidRPr="00552390">
        <w:rPr>
          <w:rFonts w:ascii="Arial" w:eastAsia="Times New Roman" w:hAnsi="Arial" w:cs="Arial"/>
          <w:sz w:val="24"/>
          <w:szCs w:val="24"/>
          <w:lang w:eastAsia="en-GB"/>
        </w:rPr>
        <w:t xml:space="preserve">SOH will provide both significant initial improvements &amp; consistency with other force sites and longer term potential for continued development. It supports ‘channel shift’ over time </w:t>
      </w:r>
      <w:r w:rsidRPr="00552390">
        <w:rPr>
          <w:rFonts w:ascii="Arial" w:eastAsia="Times New Roman" w:hAnsi="Arial" w:cs="Arial"/>
          <w:sz w:val="24"/>
          <w:szCs w:val="24"/>
          <w:lang w:eastAsia="en-GB"/>
        </w:rPr>
        <w:lastRenderedPageBreak/>
        <w:t xml:space="preserve">to a digital online self-service approach as the preferred option for public contact. </w:t>
      </w:r>
    </w:p>
    <w:p w14:paraId="1E56B0EF" w14:textId="77777777" w:rsidR="00092BB3" w:rsidRPr="00552390" w:rsidRDefault="00092BB3" w:rsidP="008F0D43">
      <w:pPr>
        <w:tabs>
          <w:tab w:val="left" w:pos="1843"/>
        </w:tabs>
        <w:spacing w:after="0" w:line="259" w:lineRule="auto"/>
        <w:contextualSpacing/>
        <w:rPr>
          <w:rFonts w:ascii="Arial" w:eastAsia="Times New Roman" w:hAnsi="Arial" w:cs="Arial"/>
          <w:sz w:val="24"/>
          <w:szCs w:val="24"/>
          <w:lang w:eastAsia="en-GB"/>
        </w:rPr>
      </w:pPr>
    </w:p>
    <w:p w14:paraId="7ECE7D23" w14:textId="77777777" w:rsidR="00092BB3" w:rsidRPr="00552390" w:rsidRDefault="00092BB3" w:rsidP="00092BB3">
      <w:pPr>
        <w:tabs>
          <w:tab w:val="left" w:pos="1843"/>
        </w:tabs>
        <w:spacing w:after="0" w:line="259" w:lineRule="auto"/>
        <w:contextualSpacing/>
        <w:rPr>
          <w:rFonts w:ascii="Arial" w:eastAsia="Times New Roman" w:hAnsi="Arial" w:cs="Arial"/>
          <w:sz w:val="24"/>
          <w:szCs w:val="24"/>
          <w:lang w:eastAsia="en-GB"/>
        </w:rPr>
      </w:pPr>
      <w:r w:rsidRPr="00552390">
        <w:rPr>
          <w:rFonts w:ascii="Arial" w:eastAsia="Times New Roman" w:hAnsi="Arial" w:cs="Arial"/>
          <w:sz w:val="24"/>
          <w:szCs w:val="24"/>
          <w:lang w:eastAsia="en-GB"/>
        </w:rPr>
        <w:t>Essex and Kent Police both held transition start-up events in January 2019 and now have project teams working with the national transition team to prepare for migration to Single On-line Home. The forces are working independently although sharing best practice and co</w:t>
      </w:r>
      <w:r w:rsidR="00BC6F2F" w:rsidRPr="00552390">
        <w:rPr>
          <w:rFonts w:ascii="Arial" w:eastAsia="Times New Roman" w:hAnsi="Arial" w:cs="Arial"/>
          <w:sz w:val="24"/>
          <w:szCs w:val="24"/>
          <w:lang w:eastAsia="en-GB"/>
        </w:rPr>
        <w:t>-</w:t>
      </w:r>
      <w:r w:rsidRPr="00552390">
        <w:rPr>
          <w:rFonts w:ascii="Arial" w:eastAsia="Times New Roman" w:hAnsi="Arial" w:cs="Arial"/>
          <w:sz w:val="24"/>
          <w:szCs w:val="24"/>
          <w:lang w:eastAsia="en-GB"/>
        </w:rPr>
        <w:t>ordinating joint work in areas such as IT change and Information Security matters. The go-live dates for Essex and Kent Police will be the same and are currently scheduled for three phases during June, July and end August 2019. The detailed business case was presented to the OPFCC Strategic Board on the 14th March and the Section 22 agreement is currently being considered.</w:t>
      </w:r>
    </w:p>
    <w:p w14:paraId="52A3B062" w14:textId="77777777" w:rsidR="00092BB3" w:rsidRPr="00552390" w:rsidRDefault="00092BB3" w:rsidP="008F0D43">
      <w:pPr>
        <w:rPr>
          <w:rFonts w:ascii="Arial" w:hAnsi="Arial" w:cs="Arial"/>
          <w:sz w:val="24"/>
          <w:szCs w:val="24"/>
        </w:rPr>
      </w:pPr>
    </w:p>
    <w:p w14:paraId="6CB2856D" w14:textId="77777777" w:rsidR="008F0D43" w:rsidRPr="00552390" w:rsidRDefault="008F0D43" w:rsidP="008F0D43">
      <w:pPr>
        <w:framePr w:hSpace="180" w:wrap="around" w:vAnchor="text" w:hAnchor="margin" w:y="155"/>
        <w:rPr>
          <w:rFonts w:ascii="Arial" w:hAnsi="Arial" w:cs="Arial"/>
          <w:b/>
          <w:sz w:val="24"/>
          <w:szCs w:val="24"/>
          <w:u w:val="single"/>
        </w:rPr>
      </w:pPr>
      <w:r w:rsidRPr="00552390">
        <w:rPr>
          <w:rFonts w:ascii="Arial" w:hAnsi="Arial" w:cs="Arial"/>
          <w:b/>
          <w:sz w:val="24"/>
          <w:szCs w:val="24"/>
          <w:u w:val="single"/>
        </w:rPr>
        <w:t>Essex County Fire &amp; Rescue Service (ECFRS)</w:t>
      </w:r>
    </w:p>
    <w:p w14:paraId="2DEF8241" w14:textId="7F0CE0A3" w:rsidR="00596A08" w:rsidRDefault="00596A08" w:rsidP="008F0D43">
      <w:pPr>
        <w:rPr>
          <w:rFonts w:ascii="Arial" w:hAnsi="Arial" w:cs="Arial"/>
          <w:sz w:val="24"/>
          <w:szCs w:val="24"/>
        </w:rPr>
      </w:pPr>
    </w:p>
    <w:tbl>
      <w:tblPr>
        <w:tblStyle w:val="TableGrid27"/>
        <w:tblpPr w:leftFromText="180" w:rightFromText="180" w:vertAnchor="text" w:horzAnchor="margin" w:tblpY="200"/>
        <w:tblW w:w="9351" w:type="dxa"/>
        <w:tblLook w:val="04A0" w:firstRow="1" w:lastRow="0" w:firstColumn="1" w:lastColumn="0" w:noHBand="0" w:noVBand="1"/>
      </w:tblPr>
      <w:tblGrid>
        <w:gridCol w:w="996"/>
        <w:gridCol w:w="938"/>
        <w:gridCol w:w="1001"/>
        <w:gridCol w:w="1040"/>
        <w:gridCol w:w="1002"/>
        <w:gridCol w:w="1067"/>
        <w:gridCol w:w="897"/>
        <w:gridCol w:w="1276"/>
        <w:gridCol w:w="1134"/>
      </w:tblGrid>
      <w:tr w:rsidR="006B1BC2" w:rsidRPr="008A42D5" w14:paraId="02774534" w14:textId="77777777" w:rsidTr="006B1BC2">
        <w:trPr>
          <w:trHeight w:val="396"/>
        </w:trPr>
        <w:tc>
          <w:tcPr>
            <w:tcW w:w="996" w:type="dxa"/>
            <w:tcBorders>
              <w:top w:val="single" w:sz="12" w:space="0" w:color="auto"/>
              <w:bottom w:val="single" w:sz="12" w:space="0" w:color="auto"/>
            </w:tcBorders>
            <w:shd w:val="clear" w:color="auto" w:fill="FFC000"/>
            <w:vAlign w:val="center"/>
          </w:tcPr>
          <w:p w14:paraId="5864C2FD" w14:textId="77777777" w:rsidR="006B1BC2" w:rsidRDefault="006B1BC2" w:rsidP="00C337C1">
            <w:pPr>
              <w:jc w:val="center"/>
              <w:rPr>
                <w:rFonts w:ascii="Calibri" w:eastAsia="Calibri" w:hAnsi="Calibri" w:cs="Times New Roman"/>
                <w:b/>
                <w:sz w:val="14"/>
                <w:szCs w:val="15"/>
              </w:rPr>
            </w:pPr>
            <w:r>
              <w:rPr>
                <w:rFonts w:ascii="Calibri" w:eastAsia="Calibri" w:hAnsi="Calibri" w:cs="Times New Roman"/>
                <w:b/>
                <w:sz w:val="14"/>
                <w:szCs w:val="15"/>
              </w:rPr>
              <w:t>Overall RAG</w:t>
            </w:r>
          </w:p>
          <w:p w14:paraId="2C9959C6" w14:textId="77777777" w:rsidR="00C337C1" w:rsidRPr="008A42D5" w:rsidRDefault="00C337C1" w:rsidP="00C337C1">
            <w:pPr>
              <w:jc w:val="center"/>
              <w:rPr>
                <w:rFonts w:ascii="Calibri" w:eastAsia="Calibri" w:hAnsi="Calibri" w:cs="Times New Roman"/>
                <w:b/>
                <w:sz w:val="14"/>
                <w:szCs w:val="15"/>
              </w:rPr>
            </w:pPr>
            <w:r>
              <w:rPr>
                <w:rFonts w:ascii="Calibri" w:eastAsia="Calibri" w:hAnsi="Calibri" w:cs="Times New Roman"/>
                <w:b/>
                <w:sz w:val="14"/>
                <w:szCs w:val="15"/>
              </w:rPr>
              <w:t>Amber</w:t>
            </w:r>
          </w:p>
        </w:tc>
        <w:tc>
          <w:tcPr>
            <w:tcW w:w="938" w:type="dxa"/>
            <w:tcBorders>
              <w:top w:val="single" w:sz="4" w:space="0" w:color="auto"/>
              <w:bottom w:val="single" w:sz="4" w:space="0" w:color="auto"/>
            </w:tcBorders>
            <w:shd w:val="clear" w:color="auto" w:fill="FFFFFF"/>
            <w:vAlign w:val="center"/>
          </w:tcPr>
          <w:p w14:paraId="1215D00F" w14:textId="77777777" w:rsidR="006B1BC2" w:rsidRPr="00542C69" w:rsidRDefault="006B1BC2" w:rsidP="00C337C1">
            <w:pPr>
              <w:pStyle w:val="NoSpacing"/>
              <w:spacing w:after="120" w:line="259" w:lineRule="auto"/>
              <w:jc w:val="center"/>
              <w:rPr>
                <w:color w:val="000000" w:themeColor="text1"/>
                <w:sz w:val="15"/>
                <w:szCs w:val="15"/>
              </w:rPr>
            </w:pPr>
            <w:r>
              <w:rPr>
                <w:color w:val="000000" w:themeColor="text1"/>
                <w:sz w:val="15"/>
                <w:szCs w:val="15"/>
              </w:rPr>
              <w:t>Time</w:t>
            </w:r>
          </w:p>
        </w:tc>
        <w:tc>
          <w:tcPr>
            <w:tcW w:w="1001" w:type="dxa"/>
            <w:tcBorders>
              <w:top w:val="single" w:sz="4" w:space="0" w:color="auto"/>
              <w:bottom w:val="single" w:sz="4" w:space="0" w:color="auto"/>
            </w:tcBorders>
            <w:shd w:val="clear" w:color="auto" w:fill="FFC000"/>
            <w:vAlign w:val="center"/>
          </w:tcPr>
          <w:p w14:paraId="69DB7BBB" w14:textId="77777777" w:rsidR="006B1BC2" w:rsidRPr="00542C69" w:rsidRDefault="006B1BC2" w:rsidP="00C337C1">
            <w:pPr>
              <w:pStyle w:val="NoSpacing"/>
              <w:spacing w:after="120" w:line="259" w:lineRule="auto"/>
              <w:jc w:val="center"/>
              <w:rPr>
                <w:color w:val="000000" w:themeColor="text1"/>
                <w:sz w:val="15"/>
                <w:szCs w:val="15"/>
              </w:rPr>
            </w:pPr>
            <w:r>
              <w:rPr>
                <w:color w:val="000000" w:themeColor="text1"/>
                <w:sz w:val="15"/>
                <w:szCs w:val="15"/>
              </w:rPr>
              <w:t>A</w:t>
            </w:r>
          </w:p>
        </w:tc>
        <w:tc>
          <w:tcPr>
            <w:tcW w:w="1040" w:type="dxa"/>
            <w:tcBorders>
              <w:top w:val="single" w:sz="4" w:space="0" w:color="auto"/>
              <w:bottom w:val="single" w:sz="4" w:space="0" w:color="auto"/>
            </w:tcBorders>
            <w:shd w:val="clear" w:color="auto" w:fill="FFFFFF"/>
            <w:vAlign w:val="center"/>
          </w:tcPr>
          <w:p w14:paraId="24269C30" w14:textId="77777777" w:rsidR="006B1BC2" w:rsidRDefault="006B1BC2" w:rsidP="00C337C1">
            <w:pPr>
              <w:pStyle w:val="NoSpacing"/>
              <w:spacing w:after="120" w:line="259" w:lineRule="auto"/>
              <w:jc w:val="center"/>
              <w:rPr>
                <w:color w:val="000000" w:themeColor="text1"/>
                <w:sz w:val="15"/>
                <w:szCs w:val="15"/>
              </w:rPr>
            </w:pPr>
            <w:r>
              <w:rPr>
                <w:color w:val="000000" w:themeColor="text1"/>
                <w:sz w:val="15"/>
                <w:szCs w:val="15"/>
              </w:rPr>
              <w:t>Costs</w:t>
            </w:r>
          </w:p>
          <w:p w14:paraId="78429C73" w14:textId="77777777" w:rsidR="006B1BC2" w:rsidRPr="00542C69" w:rsidRDefault="006B1BC2" w:rsidP="00C337C1">
            <w:pPr>
              <w:rPr>
                <w:color w:val="000000" w:themeColor="text1"/>
                <w:sz w:val="15"/>
                <w:szCs w:val="15"/>
              </w:rPr>
            </w:pPr>
            <w:r w:rsidRPr="006B1BC2">
              <w:rPr>
                <w:rFonts w:ascii="Calibri" w:eastAsia="Calibri" w:hAnsi="Calibri" w:cs="Times New Roman"/>
                <w:noProof/>
                <w:sz w:val="15"/>
                <w:szCs w:val="15"/>
                <w:lang w:eastAsia="en-GB"/>
              </w:rPr>
              <w:t>£ 1,320k (2 yrs)</w:t>
            </w:r>
            <w:r>
              <w:rPr>
                <w:rFonts w:ascii="Calibri" w:eastAsia="Calibri" w:hAnsi="Calibri" w:cs="Times New Roman"/>
                <w:noProof/>
                <w:sz w:val="15"/>
                <w:szCs w:val="15"/>
                <w:lang w:eastAsia="en-GB"/>
              </w:rPr>
              <w:t xml:space="preserve"> </w:t>
            </w:r>
          </w:p>
          <w:p w14:paraId="2E78DEC4" w14:textId="77777777" w:rsidR="006B1BC2" w:rsidRPr="00542C69" w:rsidRDefault="006B1BC2" w:rsidP="00C337C1">
            <w:pPr>
              <w:pStyle w:val="NoSpacing"/>
              <w:spacing w:after="120" w:line="259" w:lineRule="auto"/>
              <w:jc w:val="center"/>
              <w:rPr>
                <w:color w:val="000000" w:themeColor="text1"/>
                <w:sz w:val="15"/>
                <w:szCs w:val="15"/>
              </w:rPr>
            </w:pPr>
          </w:p>
        </w:tc>
        <w:tc>
          <w:tcPr>
            <w:tcW w:w="1002" w:type="dxa"/>
            <w:tcBorders>
              <w:top w:val="single" w:sz="4" w:space="0" w:color="auto"/>
              <w:bottom w:val="single" w:sz="4" w:space="0" w:color="auto"/>
            </w:tcBorders>
            <w:shd w:val="clear" w:color="auto" w:fill="92D050"/>
            <w:vAlign w:val="center"/>
          </w:tcPr>
          <w:p w14:paraId="6E06C9C3" w14:textId="77777777" w:rsidR="006B1BC2" w:rsidRPr="00542C69" w:rsidRDefault="006B1BC2" w:rsidP="00C337C1">
            <w:pPr>
              <w:pStyle w:val="NoSpacing"/>
              <w:spacing w:after="120" w:line="259" w:lineRule="auto"/>
              <w:jc w:val="center"/>
              <w:rPr>
                <w:color w:val="000000" w:themeColor="text1"/>
                <w:sz w:val="15"/>
                <w:szCs w:val="15"/>
              </w:rPr>
            </w:pPr>
            <w:r>
              <w:rPr>
                <w:color w:val="000000" w:themeColor="text1"/>
                <w:sz w:val="15"/>
                <w:szCs w:val="15"/>
              </w:rPr>
              <w:t>G</w:t>
            </w:r>
          </w:p>
        </w:tc>
        <w:tc>
          <w:tcPr>
            <w:tcW w:w="1067" w:type="dxa"/>
            <w:tcBorders>
              <w:top w:val="single" w:sz="4" w:space="0" w:color="auto"/>
              <w:bottom w:val="single" w:sz="4" w:space="0" w:color="auto"/>
            </w:tcBorders>
            <w:shd w:val="clear" w:color="auto" w:fill="FFFFFF"/>
            <w:vAlign w:val="center"/>
          </w:tcPr>
          <w:p w14:paraId="15771F66" w14:textId="77777777" w:rsidR="006B1BC2" w:rsidRDefault="006B1BC2" w:rsidP="00C337C1">
            <w:pPr>
              <w:pStyle w:val="NoSpacing"/>
              <w:spacing w:after="120" w:line="259" w:lineRule="auto"/>
              <w:jc w:val="center"/>
              <w:rPr>
                <w:color w:val="000000" w:themeColor="text1"/>
                <w:sz w:val="15"/>
                <w:szCs w:val="15"/>
              </w:rPr>
            </w:pPr>
            <w:r>
              <w:rPr>
                <w:color w:val="000000" w:themeColor="text1"/>
                <w:sz w:val="15"/>
                <w:szCs w:val="15"/>
              </w:rPr>
              <w:t>Savings</w:t>
            </w:r>
          </w:p>
          <w:p w14:paraId="15FC52B7" w14:textId="77777777" w:rsidR="001622A0" w:rsidRDefault="006B1BC2" w:rsidP="00C337C1">
            <w:pPr>
              <w:pStyle w:val="NoSpacing"/>
              <w:spacing w:after="120" w:line="259" w:lineRule="auto"/>
              <w:jc w:val="center"/>
              <w:rPr>
                <w:color w:val="000000" w:themeColor="text1"/>
                <w:sz w:val="15"/>
                <w:szCs w:val="15"/>
              </w:rPr>
            </w:pPr>
            <w:r>
              <w:rPr>
                <w:color w:val="000000" w:themeColor="text1"/>
                <w:sz w:val="15"/>
                <w:szCs w:val="15"/>
              </w:rPr>
              <w:t>Non-cashable £11.28m</w:t>
            </w:r>
          </w:p>
          <w:p w14:paraId="0BFDF4F9" w14:textId="77777777" w:rsidR="006B1BC2" w:rsidRDefault="006B1BC2" w:rsidP="00C337C1">
            <w:pPr>
              <w:pStyle w:val="NoSpacing"/>
              <w:spacing w:after="120" w:line="259" w:lineRule="auto"/>
              <w:jc w:val="center"/>
              <w:rPr>
                <w:color w:val="000000" w:themeColor="text1"/>
                <w:sz w:val="15"/>
                <w:szCs w:val="15"/>
              </w:rPr>
            </w:pPr>
            <w:r>
              <w:rPr>
                <w:color w:val="000000" w:themeColor="text1"/>
                <w:sz w:val="15"/>
                <w:szCs w:val="15"/>
              </w:rPr>
              <w:t>Cashable - TBC</w:t>
            </w:r>
          </w:p>
          <w:p w14:paraId="28ABBAAB" w14:textId="77777777" w:rsidR="006B1BC2" w:rsidRPr="00542C69" w:rsidRDefault="006B1BC2" w:rsidP="00C337C1">
            <w:pPr>
              <w:pStyle w:val="NoSpacing"/>
              <w:spacing w:after="120" w:line="259" w:lineRule="auto"/>
              <w:jc w:val="center"/>
              <w:rPr>
                <w:color w:val="000000" w:themeColor="text1"/>
                <w:sz w:val="15"/>
                <w:szCs w:val="15"/>
              </w:rPr>
            </w:pPr>
          </w:p>
        </w:tc>
        <w:tc>
          <w:tcPr>
            <w:tcW w:w="897" w:type="dxa"/>
            <w:tcBorders>
              <w:top w:val="single" w:sz="4" w:space="0" w:color="auto"/>
              <w:bottom w:val="single" w:sz="4" w:space="0" w:color="auto"/>
            </w:tcBorders>
            <w:shd w:val="clear" w:color="auto" w:fill="FFC000"/>
          </w:tcPr>
          <w:p w14:paraId="5F24ED2A" w14:textId="77777777" w:rsidR="006B1BC2" w:rsidRDefault="006B1BC2" w:rsidP="00C337C1">
            <w:pPr>
              <w:pStyle w:val="NoSpacing"/>
              <w:spacing w:after="120" w:line="259" w:lineRule="auto"/>
              <w:jc w:val="center"/>
              <w:rPr>
                <w:color w:val="000000" w:themeColor="text1"/>
                <w:sz w:val="15"/>
                <w:szCs w:val="15"/>
              </w:rPr>
            </w:pPr>
          </w:p>
          <w:p w14:paraId="26AB4332" w14:textId="77777777" w:rsidR="006B1BC2" w:rsidRDefault="006B1BC2" w:rsidP="006B1BC2">
            <w:pPr>
              <w:pStyle w:val="NoSpacing"/>
              <w:spacing w:after="120" w:line="259" w:lineRule="auto"/>
              <w:jc w:val="center"/>
              <w:rPr>
                <w:color w:val="000000" w:themeColor="text1"/>
                <w:sz w:val="15"/>
                <w:szCs w:val="15"/>
              </w:rPr>
            </w:pPr>
            <w:r>
              <w:rPr>
                <w:color w:val="000000" w:themeColor="text1"/>
                <w:sz w:val="15"/>
                <w:szCs w:val="15"/>
                <w:highlight w:val="yellow"/>
                <w:shd w:val="clear" w:color="auto" w:fill="FFFFFF" w:themeFill="background1"/>
              </w:rPr>
              <w:t>A</w:t>
            </w:r>
          </w:p>
        </w:tc>
        <w:tc>
          <w:tcPr>
            <w:tcW w:w="1276" w:type="dxa"/>
            <w:tcBorders>
              <w:top w:val="single" w:sz="4" w:space="0" w:color="auto"/>
              <w:bottom w:val="single" w:sz="4" w:space="0" w:color="auto"/>
            </w:tcBorders>
            <w:shd w:val="clear" w:color="auto" w:fill="FFFFFF" w:themeFill="background1"/>
          </w:tcPr>
          <w:p w14:paraId="133D8DF6" w14:textId="77777777" w:rsidR="006B1BC2" w:rsidRDefault="006B1BC2" w:rsidP="00C337C1">
            <w:pPr>
              <w:pStyle w:val="NoSpacing"/>
              <w:spacing w:after="120" w:line="276" w:lineRule="auto"/>
              <w:jc w:val="center"/>
              <w:rPr>
                <w:color w:val="000000" w:themeColor="text1"/>
                <w:sz w:val="15"/>
                <w:szCs w:val="15"/>
              </w:rPr>
            </w:pPr>
          </w:p>
          <w:p w14:paraId="3B7BE412" w14:textId="77777777" w:rsidR="006B1BC2" w:rsidRDefault="006B1BC2" w:rsidP="00C337C1">
            <w:pPr>
              <w:pStyle w:val="NoSpacing"/>
              <w:spacing w:after="120" w:line="276" w:lineRule="auto"/>
              <w:jc w:val="center"/>
              <w:rPr>
                <w:color w:val="000000" w:themeColor="text1"/>
                <w:sz w:val="15"/>
                <w:szCs w:val="15"/>
              </w:rPr>
            </w:pPr>
            <w:r>
              <w:rPr>
                <w:color w:val="000000" w:themeColor="text1"/>
                <w:sz w:val="15"/>
                <w:szCs w:val="15"/>
              </w:rPr>
              <w:t>Benefits</w:t>
            </w:r>
          </w:p>
        </w:tc>
        <w:tc>
          <w:tcPr>
            <w:tcW w:w="1134" w:type="dxa"/>
            <w:tcBorders>
              <w:top w:val="single" w:sz="4" w:space="0" w:color="auto"/>
              <w:bottom w:val="single" w:sz="4" w:space="0" w:color="auto"/>
            </w:tcBorders>
            <w:shd w:val="clear" w:color="auto" w:fill="FFC000"/>
            <w:vAlign w:val="center"/>
          </w:tcPr>
          <w:p w14:paraId="1AE947E1" w14:textId="77777777" w:rsidR="006B1BC2" w:rsidRPr="00542C69" w:rsidRDefault="006B1BC2" w:rsidP="006B1BC2">
            <w:pPr>
              <w:pStyle w:val="NoSpacing"/>
              <w:spacing w:after="120" w:line="259" w:lineRule="auto"/>
              <w:jc w:val="center"/>
              <w:rPr>
                <w:color w:val="000000" w:themeColor="text1"/>
                <w:sz w:val="15"/>
                <w:szCs w:val="15"/>
              </w:rPr>
            </w:pPr>
            <w:r>
              <w:rPr>
                <w:color w:val="000000" w:themeColor="text1"/>
                <w:sz w:val="15"/>
                <w:szCs w:val="15"/>
              </w:rPr>
              <w:t>A</w:t>
            </w:r>
          </w:p>
        </w:tc>
      </w:tr>
    </w:tbl>
    <w:p w14:paraId="34A693CA" w14:textId="77777777" w:rsidR="00596A08" w:rsidRDefault="00596A08" w:rsidP="008F0D43">
      <w:pPr>
        <w:rPr>
          <w:rFonts w:ascii="Arial" w:hAnsi="Arial" w:cs="Arial"/>
          <w:sz w:val="24"/>
          <w:szCs w:val="24"/>
        </w:rPr>
      </w:pPr>
    </w:p>
    <w:p w14:paraId="75807330" w14:textId="77777777" w:rsidR="008F0D43" w:rsidRDefault="008F0D43" w:rsidP="008F0D43">
      <w:pPr>
        <w:rPr>
          <w:rFonts w:ascii="Arial" w:hAnsi="Arial" w:cs="Arial"/>
          <w:sz w:val="24"/>
          <w:szCs w:val="24"/>
        </w:rPr>
      </w:pPr>
      <w:r w:rsidRPr="0001310F">
        <w:rPr>
          <w:rFonts w:ascii="Arial" w:hAnsi="Arial" w:cs="Arial"/>
          <w:sz w:val="24"/>
          <w:szCs w:val="24"/>
        </w:rPr>
        <w:t>Collaborative partnerships and full integration are being explored in all areas of responsibilit</w:t>
      </w:r>
      <w:r>
        <w:rPr>
          <w:rFonts w:ascii="Arial" w:hAnsi="Arial" w:cs="Arial"/>
          <w:sz w:val="24"/>
          <w:szCs w:val="24"/>
        </w:rPr>
        <w:t>y</w:t>
      </w:r>
      <w:r w:rsidRPr="0001310F">
        <w:rPr>
          <w:rFonts w:ascii="Arial" w:hAnsi="Arial" w:cs="Arial"/>
          <w:sz w:val="24"/>
          <w:szCs w:val="24"/>
        </w:rPr>
        <w:t xml:space="preserve"> of both Essex Police and ECFRS where there is the potential for improving economy, efficiency and effectiveness. </w:t>
      </w:r>
    </w:p>
    <w:p w14:paraId="5BD0023B" w14:textId="77777777" w:rsidR="008F0D43" w:rsidRPr="00552390" w:rsidRDefault="008F0D43" w:rsidP="008F0D43">
      <w:pPr>
        <w:rPr>
          <w:rFonts w:ascii="Arial" w:hAnsi="Arial" w:cs="Arial"/>
          <w:sz w:val="24"/>
          <w:szCs w:val="24"/>
        </w:rPr>
      </w:pPr>
      <w:r w:rsidRPr="00552390">
        <w:rPr>
          <w:rFonts w:ascii="Arial" w:hAnsi="Arial" w:cs="Arial"/>
          <w:sz w:val="24"/>
          <w:szCs w:val="24"/>
        </w:rPr>
        <w:t>Recent updates are highlighted below:-</w:t>
      </w:r>
    </w:p>
    <w:p w14:paraId="55F26CC5" w14:textId="77777777" w:rsidR="00092BB3" w:rsidRPr="00552390" w:rsidRDefault="00092BB3" w:rsidP="00092BB3">
      <w:pPr>
        <w:numPr>
          <w:ilvl w:val="0"/>
          <w:numId w:val="28"/>
        </w:numPr>
        <w:rPr>
          <w:rFonts w:ascii="Arial" w:hAnsi="Arial" w:cs="Arial"/>
          <w:sz w:val="24"/>
          <w:szCs w:val="24"/>
        </w:rPr>
      </w:pPr>
      <w:r w:rsidRPr="00552390">
        <w:rPr>
          <w:rFonts w:ascii="Arial" w:hAnsi="Arial" w:cs="Arial"/>
          <w:sz w:val="24"/>
          <w:szCs w:val="24"/>
        </w:rPr>
        <w:lastRenderedPageBreak/>
        <w:t xml:space="preserve">A deep-dive review of the Programme Risk Register is underway with the OPFCC’s Pippa Brent-Isherwood in conjunction with EP (Paul Nagle)/ECFRS (Charles Thomas). The 5x5 model is being adopted to ensure consistency </w:t>
      </w:r>
      <w:r w:rsidR="000A6382" w:rsidRPr="00552390">
        <w:rPr>
          <w:rFonts w:ascii="Arial" w:hAnsi="Arial" w:cs="Arial"/>
          <w:sz w:val="24"/>
          <w:szCs w:val="24"/>
        </w:rPr>
        <w:t xml:space="preserve">of risk scoring </w:t>
      </w:r>
      <w:r w:rsidRPr="00552390">
        <w:rPr>
          <w:rFonts w:ascii="Arial" w:hAnsi="Arial" w:cs="Arial"/>
          <w:sz w:val="24"/>
          <w:szCs w:val="24"/>
        </w:rPr>
        <w:t>with both services and the OPFCC.</w:t>
      </w:r>
    </w:p>
    <w:p w14:paraId="5043AB84" w14:textId="77777777" w:rsidR="00092BB3" w:rsidRPr="00D854A6" w:rsidRDefault="00092BB3" w:rsidP="00092BB3">
      <w:pPr>
        <w:numPr>
          <w:ilvl w:val="0"/>
          <w:numId w:val="28"/>
        </w:numPr>
        <w:rPr>
          <w:rFonts w:ascii="Arial" w:hAnsi="Arial" w:cs="Arial"/>
          <w:sz w:val="24"/>
          <w:szCs w:val="24"/>
        </w:rPr>
      </w:pPr>
      <w:r w:rsidRPr="00D854A6">
        <w:rPr>
          <w:rFonts w:ascii="Arial" w:hAnsi="Arial" w:cs="Arial"/>
          <w:sz w:val="24"/>
          <w:szCs w:val="24"/>
        </w:rPr>
        <w:t>Pippa Brent-Isherwood is undertaking a review of the governance and decision making pathways for the collaboration projects in conjunction with the Collaboration Team.</w:t>
      </w:r>
    </w:p>
    <w:p w14:paraId="4F17BAA6" w14:textId="77777777" w:rsidR="00092BB3" w:rsidRPr="00D854A6" w:rsidRDefault="00092BB3" w:rsidP="00092BB3">
      <w:pPr>
        <w:numPr>
          <w:ilvl w:val="0"/>
          <w:numId w:val="28"/>
        </w:numPr>
        <w:rPr>
          <w:rFonts w:ascii="Arial" w:hAnsi="Arial" w:cs="Arial"/>
          <w:sz w:val="24"/>
          <w:szCs w:val="24"/>
        </w:rPr>
      </w:pPr>
      <w:r w:rsidRPr="00D854A6">
        <w:rPr>
          <w:rFonts w:ascii="Arial" w:hAnsi="Arial" w:cs="Arial"/>
          <w:sz w:val="24"/>
          <w:szCs w:val="24"/>
        </w:rPr>
        <w:t xml:space="preserve">The outcome of the Phase 7 bids for One Public Estate funding has been awarded. Planning will now commence. This relates to the Lexden (Colchester) site owned by ECC, EEAST and ECFRS. This will help inform ongoing collaborative projects exploring shared fleet and specialist training facilities. </w:t>
      </w:r>
    </w:p>
    <w:p w14:paraId="5C604805" w14:textId="60207807" w:rsidR="00092BB3" w:rsidRPr="00D854A6" w:rsidRDefault="00092BB3" w:rsidP="00092BB3">
      <w:pPr>
        <w:numPr>
          <w:ilvl w:val="0"/>
          <w:numId w:val="28"/>
        </w:numPr>
        <w:rPr>
          <w:rFonts w:ascii="Arial" w:hAnsi="Arial" w:cs="Arial"/>
          <w:sz w:val="24"/>
          <w:szCs w:val="24"/>
        </w:rPr>
      </w:pPr>
      <w:r w:rsidRPr="00D854A6">
        <w:rPr>
          <w:rFonts w:ascii="Arial" w:hAnsi="Arial" w:cs="Arial"/>
          <w:sz w:val="24"/>
          <w:szCs w:val="24"/>
        </w:rPr>
        <w:t>Community Safety collaboration to continue to ensure effective attendance at / operation of C</w:t>
      </w:r>
      <w:r w:rsidR="000A6382" w:rsidRPr="00D854A6">
        <w:rPr>
          <w:rFonts w:ascii="Arial" w:hAnsi="Arial" w:cs="Arial"/>
          <w:sz w:val="24"/>
          <w:szCs w:val="24"/>
        </w:rPr>
        <w:t>ommunity Safety Partnerships (CSPs)</w:t>
      </w:r>
      <w:r w:rsidRPr="00D854A6">
        <w:rPr>
          <w:rFonts w:ascii="Arial" w:hAnsi="Arial" w:cs="Arial"/>
          <w:sz w:val="24"/>
          <w:szCs w:val="24"/>
        </w:rPr>
        <w:t xml:space="preserve"> and effective attendance at / operation of the Community Safety</w:t>
      </w:r>
      <w:r w:rsidR="000A6382" w:rsidRPr="00D854A6">
        <w:rPr>
          <w:rFonts w:ascii="Arial" w:hAnsi="Arial" w:cs="Arial"/>
          <w:sz w:val="24"/>
          <w:szCs w:val="24"/>
        </w:rPr>
        <w:t xml:space="preserve"> (CS) </w:t>
      </w:r>
      <w:r w:rsidRPr="00D854A6">
        <w:rPr>
          <w:rFonts w:ascii="Arial" w:hAnsi="Arial" w:cs="Arial"/>
          <w:sz w:val="24"/>
          <w:szCs w:val="24"/>
        </w:rPr>
        <w:t xml:space="preserve">Hubs. This work will provide greater detail on the identification and selection of the 8 x ECFRS staff, including a timeline for them to work as part of the CS hubs. It will consider how the 4 x Community Builders also become integrated. </w:t>
      </w:r>
      <w:r w:rsidR="00D854A6" w:rsidRPr="00D854A6">
        <w:rPr>
          <w:rFonts w:ascii="Arial" w:hAnsi="Arial" w:cs="Arial"/>
          <w:sz w:val="24"/>
          <w:szCs w:val="24"/>
        </w:rPr>
        <w:t xml:space="preserve">The </w:t>
      </w:r>
      <w:r w:rsidRPr="00D854A6">
        <w:rPr>
          <w:rFonts w:ascii="Arial" w:hAnsi="Arial" w:cs="Arial"/>
          <w:sz w:val="24"/>
          <w:szCs w:val="24"/>
        </w:rPr>
        <w:t xml:space="preserve"> Feb 2019 SGB agreed these staff</w:t>
      </w:r>
      <w:r w:rsidR="00D854A6" w:rsidRPr="00D854A6">
        <w:rPr>
          <w:rFonts w:ascii="Arial" w:hAnsi="Arial" w:cs="Arial"/>
          <w:sz w:val="24"/>
          <w:szCs w:val="24"/>
        </w:rPr>
        <w:t xml:space="preserve"> will</w:t>
      </w:r>
      <w:r w:rsidRPr="00D854A6">
        <w:rPr>
          <w:rFonts w:ascii="Arial" w:hAnsi="Arial" w:cs="Arial"/>
          <w:sz w:val="24"/>
          <w:szCs w:val="24"/>
        </w:rPr>
        <w:t xml:space="preserve"> continue to be part of the shared space. This convergence work will also include a deep dive review of youth diversion / engagement work across police and fire and consider options for closer working. This also links into LPSU-led wider </w:t>
      </w:r>
      <w:r w:rsidRPr="00D854A6">
        <w:rPr>
          <w:rFonts w:ascii="Arial" w:hAnsi="Arial" w:cs="Arial"/>
          <w:sz w:val="24"/>
          <w:szCs w:val="24"/>
        </w:rPr>
        <w:lastRenderedPageBreak/>
        <w:t>Youth Justice Team development and its links to the Violence and Vulnerability Unit and the Home Office funding availability for diversion.</w:t>
      </w:r>
    </w:p>
    <w:p w14:paraId="74B7E039" w14:textId="77777777" w:rsidR="00092BB3" w:rsidRPr="00D854A6" w:rsidRDefault="00092BB3" w:rsidP="000A6382">
      <w:pPr>
        <w:numPr>
          <w:ilvl w:val="0"/>
          <w:numId w:val="28"/>
        </w:numPr>
        <w:rPr>
          <w:rFonts w:ascii="Arial" w:hAnsi="Arial" w:cs="Arial"/>
          <w:sz w:val="24"/>
          <w:szCs w:val="24"/>
        </w:rPr>
      </w:pPr>
      <w:r w:rsidRPr="00D854A6">
        <w:rPr>
          <w:rFonts w:ascii="Arial" w:hAnsi="Arial" w:cs="Arial"/>
          <w:sz w:val="24"/>
          <w:szCs w:val="24"/>
        </w:rPr>
        <w:t>Business cases for joint Fleet workshops, IT Convergence, Joint Incident Command vehicle and Increasing Resources in the Dengie are due at SGB in the next three months. The ICT convergence report will be shared with Kent Police and Kent PCC by PFCC Roger Hirst and CC Harrington.</w:t>
      </w:r>
    </w:p>
    <w:p w14:paraId="4D21E6F0" w14:textId="77777777" w:rsidR="008F0D43" w:rsidRPr="00D854A6" w:rsidRDefault="00092BB3" w:rsidP="002B71DC">
      <w:pPr>
        <w:framePr w:h="3631" w:hRule="exact" w:hSpace="180" w:wrap="around" w:vAnchor="text" w:hAnchor="page" w:x="1061" w:y="-839"/>
        <w:numPr>
          <w:ilvl w:val="0"/>
          <w:numId w:val="28"/>
        </w:numPr>
        <w:rPr>
          <w:rFonts w:ascii="Arial" w:hAnsi="Arial" w:cs="Arial"/>
          <w:sz w:val="24"/>
          <w:szCs w:val="24"/>
        </w:rPr>
      </w:pPr>
      <w:r w:rsidRPr="00D854A6">
        <w:rPr>
          <w:rFonts w:ascii="Arial" w:hAnsi="Arial" w:cs="Arial"/>
          <w:sz w:val="24"/>
          <w:szCs w:val="24"/>
        </w:rPr>
        <w:t>Business cases for tactical projects – Arson Prevention, Intelligence Sharing and shared Drone usage are being developed and will be presented to SGB when ready.</w:t>
      </w:r>
    </w:p>
    <w:p w14:paraId="28A56552" w14:textId="77777777" w:rsidR="002B71DC" w:rsidRPr="00D854A6" w:rsidRDefault="002B71DC" w:rsidP="002B71DC">
      <w:pPr>
        <w:framePr w:h="3631" w:hRule="exact" w:hSpace="180" w:wrap="around" w:vAnchor="text" w:hAnchor="page" w:x="1061" w:y="-839"/>
        <w:rPr>
          <w:rFonts w:ascii="Arial" w:hAnsi="Arial" w:cs="Arial"/>
          <w:b/>
          <w:sz w:val="24"/>
          <w:szCs w:val="24"/>
          <w:u w:val="single"/>
        </w:rPr>
      </w:pPr>
    </w:p>
    <w:p w14:paraId="6C2CD659" w14:textId="77777777" w:rsidR="00092BB3" w:rsidRPr="00D854A6" w:rsidRDefault="00092BB3" w:rsidP="002B71DC">
      <w:pPr>
        <w:framePr w:h="3631" w:hRule="exact" w:hSpace="180" w:wrap="around" w:vAnchor="text" w:hAnchor="page" w:x="1061" w:y="-839"/>
        <w:rPr>
          <w:rFonts w:ascii="Arial" w:hAnsi="Arial" w:cs="Arial"/>
          <w:b/>
          <w:sz w:val="24"/>
          <w:szCs w:val="24"/>
          <w:u w:val="single"/>
        </w:rPr>
      </w:pPr>
      <w:r w:rsidRPr="00D854A6">
        <w:rPr>
          <w:rFonts w:ascii="Arial" w:hAnsi="Arial" w:cs="Arial"/>
          <w:b/>
          <w:sz w:val="24"/>
          <w:szCs w:val="24"/>
          <w:u w:val="single"/>
        </w:rPr>
        <w:t>Local crime reduction collaborations e.g. community hubs</w:t>
      </w:r>
    </w:p>
    <w:tbl>
      <w:tblPr>
        <w:tblStyle w:val="TableGrid27"/>
        <w:tblW w:w="9351" w:type="dxa"/>
        <w:tblLook w:val="04A0" w:firstRow="1" w:lastRow="0" w:firstColumn="1" w:lastColumn="0" w:noHBand="0" w:noVBand="1"/>
      </w:tblPr>
      <w:tblGrid>
        <w:gridCol w:w="996"/>
        <w:gridCol w:w="938"/>
        <w:gridCol w:w="1001"/>
        <w:gridCol w:w="1040"/>
        <w:gridCol w:w="1002"/>
        <w:gridCol w:w="1067"/>
        <w:gridCol w:w="897"/>
        <w:gridCol w:w="1276"/>
        <w:gridCol w:w="1134"/>
      </w:tblGrid>
      <w:tr w:rsidR="002B71DC" w:rsidRPr="008A42D5" w14:paraId="2AC7D0F3" w14:textId="77777777" w:rsidTr="002B71DC">
        <w:trPr>
          <w:trHeight w:val="396"/>
        </w:trPr>
        <w:tc>
          <w:tcPr>
            <w:tcW w:w="996" w:type="dxa"/>
            <w:tcBorders>
              <w:top w:val="single" w:sz="12" w:space="0" w:color="auto"/>
              <w:bottom w:val="single" w:sz="12" w:space="0" w:color="auto"/>
            </w:tcBorders>
            <w:shd w:val="clear" w:color="auto" w:fill="92D050"/>
            <w:vAlign w:val="center"/>
          </w:tcPr>
          <w:p w14:paraId="0F281330" w14:textId="77777777" w:rsidR="002B71DC" w:rsidRPr="00D854A6" w:rsidRDefault="002B71DC" w:rsidP="002B71DC">
            <w:pPr>
              <w:framePr w:h="3631" w:hRule="exact" w:hSpace="180" w:wrap="around" w:vAnchor="text" w:hAnchor="page" w:x="1061" w:y="-839"/>
              <w:jc w:val="center"/>
              <w:rPr>
                <w:rFonts w:ascii="Calibri" w:eastAsia="Calibri" w:hAnsi="Calibri" w:cs="Times New Roman"/>
                <w:b/>
                <w:sz w:val="14"/>
                <w:szCs w:val="15"/>
              </w:rPr>
            </w:pPr>
            <w:r w:rsidRPr="00D854A6">
              <w:rPr>
                <w:rFonts w:ascii="Calibri" w:eastAsia="Calibri" w:hAnsi="Calibri" w:cs="Times New Roman"/>
                <w:b/>
                <w:sz w:val="14"/>
                <w:szCs w:val="15"/>
              </w:rPr>
              <w:t>Overall RAG</w:t>
            </w:r>
          </w:p>
          <w:p w14:paraId="0F74DFD9" w14:textId="77777777" w:rsidR="00C337C1" w:rsidRPr="00D854A6" w:rsidRDefault="00C337C1" w:rsidP="002B71DC">
            <w:pPr>
              <w:framePr w:h="3631" w:hRule="exact" w:hSpace="180" w:wrap="around" w:vAnchor="text" w:hAnchor="page" w:x="1061" w:y="-839"/>
              <w:jc w:val="center"/>
              <w:rPr>
                <w:rFonts w:ascii="Calibri" w:eastAsia="Calibri" w:hAnsi="Calibri" w:cs="Times New Roman"/>
                <w:b/>
                <w:sz w:val="14"/>
                <w:szCs w:val="15"/>
              </w:rPr>
            </w:pPr>
            <w:r w:rsidRPr="00D854A6">
              <w:rPr>
                <w:rFonts w:ascii="Calibri" w:eastAsia="Calibri" w:hAnsi="Calibri" w:cs="Times New Roman"/>
                <w:b/>
                <w:sz w:val="14"/>
                <w:szCs w:val="15"/>
              </w:rPr>
              <w:t>Green</w:t>
            </w:r>
          </w:p>
        </w:tc>
        <w:tc>
          <w:tcPr>
            <w:tcW w:w="938" w:type="dxa"/>
            <w:tcBorders>
              <w:top w:val="single" w:sz="4" w:space="0" w:color="auto"/>
              <w:bottom w:val="single" w:sz="4" w:space="0" w:color="auto"/>
            </w:tcBorders>
            <w:shd w:val="clear" w:color="auto" w:fill="FFFFFF"/>
            <w:vAlign w:val="center"/>
          </w:tcPr>
          <w:p w14:paraId="11BC3F48" w14:textId="77777777" w:rsidR="002B71DC" w:rsidRPr="00D854A6" w:rsidRDefault="002B71DC" w:rsidP="002B71DC">
            <w:pPr>
              <w:pStyle w:val="NoSpacing"/>
              <w:framePr w:h="3631" w:hRule="exact" w:hSpace="180" w:wrap="around" w:vAnchor="text" w:hAnchor="page" w:x="1061" w:y="-839"/>
              <w:spacing w:after="120" w:line="259" w:lineRule="auto"/>
              <w:jc w:val="center"/>
              <w:rPr>
                <w:color w:val="000000" w:themeColor="text1"/>
                <w:sz w:val="15"/>
                <w:szCs w:val="15"/>
              </w:rPr>
            </w:pPr>
            <w:r w:rsidRPr="00D854A6">
              <w:rPr>
                <w:color w:val="000000" w:themeColor="text1"/>
                <w:sz w:val="15"/>
                <w:szCs w:val="15"/>
              </w:rPr>
              <w:t>Time</w:t>
            </w:r>
          </w:p>
        </w:tc>
        <w:tc>
          <w:tcPr>
            <w:tcW w:w="1001" w:type="dxa"/>
            <w:tcBorders>
              <w:top w:val="single" w:sz="4" w:space="0" w:color="auto"/>
              <w:bottom w:val="single" w:sz="4" w:space="0" w:color="auto"/>
            </w:tcBorders>
            <w:shd w:val="clear" w:color="auto" w:fill="92D050"/>
            <w:vAlign w:val="center"/>
          </w:tcPr>
          <w:p w14:paraId="7DD47083" w14:textId="77777777" w:rsidR="002B71DC" w:rsidRPr="00834A66" w:rsidRDefault="002B71DC" w:rsidP="002B71DC">
            <w:pPr>
              <w:pStyle w:val="NoSpacing"/>
              <w:framePr w:h="3631" w:hRule="exact" w:hSpace="180" w:wrap="around" w:vAnchor="text" w:hAnchor="page" w:x="1061" w:y="-839"/>
              <w:spacing w:after="120" w:line="259" w:lineRule="auto"/>
              <w:jc w:val="center"/>
              <w:rPr>
                <w:color w:val="000000" w:themeColor="text1"/>
                <w:sz w:val="15"/>
                <w:szCs w:val="15"/>
              </w:rPr>
            </w:pPr>
            <w:r w:rsidRPr="00D854A6">
              <w:rPr>
                <w:color w:val="000000" w:themeColor="text1"/>
                <w:sz w:val="15"/>
                <w:szCs w:val="15"/>
              </w:rPr>
              <w:t>G</w:t>
            </w:r>
          </w:p>
        </w:tc>
        <w:tc>
          <w:tcPr>
            <w:tcW w:w="1040" w:type="dxa"/>
            <w:tcBorders>
              <w:top w:val="single" w:sz="4" w:space="0" w:color="auto"/>
              <w:bottom w:val="single" w:sz="4" w:space="0" w:color="auto"/>
            </w:tcBorders>
            <w:shd w:val="clear" w:color="auto" w:fill="FFFFFF"/>
            <w:vAlign w:val="center"/>
          </w:tcPr>
          <w:p w14:paraId="59ED5D1B" w14:textId="77777777" w:rsidR="002B71DC" w:rsidRPr="00D854A6" w:rsidRDefault="002B71DC" w:rsidP="002B71DC">
            <w:pPr>
              <w:pStyle w:val="NoSpacing"/>
              <w:framePr w:h="3631" w:hRule="exact" w:hSpace="180" w:wrap="around" w:vAnchor="text" w:hAnchor="page" w:x="1061" w:y="-839"/>
              <w:spacing w:after="120" w:line="259" w:lineRule="auto"/>
              <w:jc w:val="center"/>
              <w:rPr>
                <w:color w:val="000000" w:themeColor="text1"/>
                <w:sz w:val="15"/>
                <w:szCs w:val="15"/>
              </w:rPr>
            </w:pPr>
          </w:p>
          <w:p w14:paraId="0219B70B" w14:textId="77777777" w:rsidR="002B71DC" w:rsidRPr="00D854A6" w:rsidRDefault="002B71DC" w:rsidP="002B71DC">
            <w:pPr>
              <w:pStyle w:val="NoSpacing"/>
              <w:framePr w:h="3631" w:hRule="exact" w:hSpace="180" w:wrap="around" w:vAnchor="text" w:hAnchor="page" w:x="1061" w:y="-839"/>
              <w:spacing w:after="120" w:line="259" w:lineRule="auto"/>
              <w:jc w:val="center"/>
              <w:rPr>
                <w:color w:val="000000" w:themeColor="text1"/>
                <w:sz w:val="15"/>
                <w:szCs w:val="15"/>
              </w:rPr>
            </w:pPr>
            <w:r w:rsidRPr="00D854A6">
              <w:rPr>
                <w:color w:val="000000" w:themeColor="text1"/>
                <w:sz w:val="15"/>
                <w:szCs w:val="15"/>
              </w:rPr>
              <w:t>Costs</w:t>
            </w:r>
          </w:p>
          <w:p w14:paraId="2F8FD97E" w14:textId="77777777" w:rsidR="002B71DC" w:rsidRPr="00D854A6" w:rsidRDefault="002B71DC" w:rsidP="00C337C1">
            <w:pPr>
              <w:framePr w:h="3631" w:hRule="exact" w:hSpace="180" w:wrap="around" w:vAnchor="text" w:hAnchor="page" w:x="1061" w:y="-839"/>
              <w:jc w:val="center"/>
              <w:rPr>
                <w:color w:val="000000" w:themeColor="text1"/>
                <w:sz w:val="15"/>
                <w:szCs w:val="15"/>
              </w:rPr>
            </w:pPr>
            <w:r w:rsidRPr="00D854A6">
              <w:rPr>
                <w:rFonts w:ascii="Calibri" w:eastAsia="Calibri" w:hAnsi="Calibri" w:cs="Times New Roman"/>
                <w:noProof/>
                <w:sz w:val="15"/>
                <w:szCs w:val="15"/>
                <w:lang w:eastAsia="en-GB"/>
              </w:rPr>
              <w:t>£ 100k</w:t>
            </w:r>
          </w:p>
          <w:p w14:paraId="3C978EF8" w14:textId="77777777" w:rsidR="002B71DC" w:rsidRPr="00542C69" w:rsidRDefault="002B71DC" w:rsidP="002B71DC">
            <w:pPr>
              <w:pStyle w:val="NoSpacing"/>
              <w:framePr w:h="3631" w:hRule="exact" w:hSpace="180" w:wrap="around" w:vAnchor="text" w:hAnchor="page" w:x="1061" w:y="-839"/>
              <w:spacing w:after="120" w:line="259" w:lineRule="auto"/>
              <w:jc w:val="center"/>
              <w:rPr>
                <w:color w:val="000000" w:themeColor="text1"/>
                <w:sz w:val="15"/>
                <w:szCs w:val="15"/>
              </w:rPr>
            </w:pPr>
          </w:p>
        </w:tc>
        <w:tc>
          <w:tcPr>
            <w:tcW w:w="1002" w:type="dxa"/>
            <w:tcBorders>
              <w:top w:val="single" w:sz="4" w:space="0" w:color="auto"/>
              <w:bottom w:val="single" w:sz="4" w:space="0" w:color="auto"/>
            </w:tcBorders>
            <w:shd w:val="clear" w:color="auto" w:fill="92D050"/>
            <w:vAlign w:val="center"/>
          </w:tcPr>
          <w:p w14:paraId="1D54828F" w14:textId="77777777" w:rsidR="002B71DC" w:rsidRPr="00542C69" w:rsidRDefault="002B71DC" w:rsidP="002B71DC">
            <w:pPr>
              <w:pStyle w:val="NoSpacing"/>
              <w:framePr w:h="3631" w:hRule="exact" w:hSpace="180" w:wrap="around" w:vAnchor="text" w:hAnchor="page" w:x="1061" w:y="-839"/>
              <w:spacing w:after="120" w:line="259" w:lineRule="auto"/>
              <w:jc w:val="center"/>
              <w:rPr>
                <w:color w:val="000000" w:themeColor="text1"/>
                <w:sz w:val="15"/>
                <w:szCs w:val="15"/>
              </w:rPr>
            </w:pPr>
            <w:r>
              <w:rPr>
                <w:color w:val="000000" w:themeColor="text1"/>
                <w:sz w:val="15"/>
                <w:szCs w:val="15"/>
              </w:rPr>
              <w:t>G</w:t>
            </w:r>
          </w:p>
        </w:tc>
        <w:tc>
          <w:tcPr>
            <w:tcW w:w="1067" w:type="dxa"/>
            <w:tcBorders>
              <w:top w:val="single" w:sz="4" w:space="0" w:color="auto"/>
              <w:bottom w:val="single" w:sz="4" w:space="0" w:color="auto"/>
            </w:tcBorders>
            <w:shd w:val="clear" w:color="auto" w:fill="FFFFFF"/>
            <w:vAlign w:val="center"/>
          </w:tcPr>
          <w:p w14:paraId="4E215FD8" w14:textId="77777777" w:rsidR="002B71DC" w:rsidRDefault="002B71DC" w:rsidP="002B71DC">
            <w:pPr>
              <w:pStyle w:val="NoSpacing"/>
              <w:framePr w:h="3631" w:hRule="exact" w:hSpace="180" w:wrap="around" w:vAnchor="text" w:hAnchor="page" w:x="1061" w:y="-839"/>
              <w:spacing w:after="120" w:line="259" w:lineRule="auto"/>
              <w:jc w:val="center"/>
              <w:rPr>
                <w:color w:val="000000" w:themeColor="text1"/>
                <w:sz w:val="15"/>
                <w:szCs w:val="15"/>
              </w:rPr>
            </w:pPr>
          </w:p>
          <w:p w14:paraId="7166CEA3" w14:textId="77777777" w:rsidR="002B71DC" w:rsidRDefault="002B71DC" w:rsidP="002B71DC">
            <w:pPr>
              <w:pStyle w:val="NoSpacing"/>
              <w:framePr w:h="3631" w:hRule="exact" w:hSpace="180" w:wrap="around" w:vAnchor="text" w:hAnchor="page" w:x="1061" w:y="-839"/>
              <w:spacing w:after="120" w:line="259" w:lineRule="auto"/>
              <w:jc w:val="center"/>
              <w:rPr>
                <w:color w:val="000000" w:themeColor="text1"/>
                <w:sz w:val="15"/>
                <w:szCs w:val="15"/>
              </w:rPr>
            </w:pPr>
            <w:r>
              <w:rPr>
                <w:color w:val="000000" w:themeColor="text1"/>
                <w:sz w:val="15"/>
                <w:szCs w:val="15"/>
              </w:rPr>
              <w:t>Savings</w:t>
            </w:r>
          </w:p>
          <w:p w14:paraId="10123602" w14:textId="77777777" w:rsidR="002B71DC" w:rsidRPr="00542C69" w:rsidRDefault="002B71DC" w:rsidP="002B71DC">
            <w:pPr>
              <w:pStyle w:val="NoSpacing"/>
              <w:framePr w:h="3631" w:hRule="exact" w:hSpace="180" w:wrap="around" w:vAnchor="text" w:hAnchor="page" w:x="1061" w:y="-839"/>
              <w:spacing w:after="120" w:line="259" w:lineRule="auto"/>
              <w:jc w:val="center"/>
              <w:rPr>
                <w:color w:val="000000" w:themeColor="text1"/>
                <w:sz w:val="15"/>
                <w:szCs w:val="15"/>
              </w:rPr>
            </w:pPr>
          </w:p>
        </w:tc>
        <w:tc>
          <w:tcPr>
            <w:tcW w:w="897" w:type="dxa"/>
            <w:tcBorders>
              <w:top w:val="single" w:sz="4" w:space="0" w:color="auto"/>
              <w:bottom w:val="single" w:sz="4" w:space="0" w:color="auto"/>
            </w:tcBorders>
            <w:shd w:val="clear" w:color="auto" w:fill="FFFFFF" w:themeFill="background1"/>
          </w:tcPr>
          <w:p w14:paraId="25AEA8B2" w14:textId="77777777" w:rsidR="002B71DC" w:rsidRPr="002B71DC" w:rsidRDefault="002B71DC" w:rsidP="002B71DC">
            <w:pPr>
              <w:pStyle w:val="NoSpacing"/>
              <w:framePr w:h="3631" w:hRule="exact" w:hSpace="180" w:wrap="around" w:vAnchor="text" w:hAnchor="page" w:x="1061" w:y="-839"/>
              <w:spacing w:after="120" w:line="259" w:lineRule="auto"/>
              <w:jc w:val="center"/>
              <w:rPr>
                <w:color w:val="000000" w:themeColor="text1"/>
                <w:sz w:val="15"/>
                <w:szCs w:val="15"/>
              </w:rPr>
            </w:pPr>
          </w:p>
          <w:p w14:paraId="388A7075" w14:textId="77777777" w:rsidR="002B71DC" w:rsidRPr="002B71DC" w:rsidRDefault="002B71DC" w:rsidP="002B71DC">
            <w:pPr>
              <w:pStyle w:val="NoSpacing"/>
              <w:framePr w:h="3631" w:hRule="exact" w:hSpace="180" w:wrap="around" w:vAnchor="text" w:hAnchor="page" w:x="1061" w:y="-839"/>
              <w:spacing w:after="120" w:line="259" w:lineRule="auto"/>
              <w:jc w:val="center"/>
              <w:rPr>
                <w:color w:val="000000" w:themeColor="text1"/>
                <w:sz w:val="15"/>
                <w:szCs w:val="15"/>
                <w:shd w:val="clear" w:color="auto" w:fill="FFFFFF" w:themeFill="background1"/>
              </w:rPr>
            </w:pPr>
            <w:r w:rsidRPr="002B71DC">
              <w:rPr>
                <w:color w:val="000000" w:themeColor="text1"/>
                <w:sz w:val="15"/>
                <w:szCs w:val="15"/>
                <w:shd w:val="clear" w:color="auto" w:fill="FFFFFF" w:themeFill="background1"/>
              </w:rPr>
              <w:t>N/A</w:t>
            </w:r>
          </w:p>
          <w:p w14:paraId="32091065" w14:textId="77777777" w:rsidR="002B71DC" w:rsidRPr="002B71DC" w:rsidRDefault="002B71DC" w:rsidP="002B71DC">
            <w:pPr>
              <w:pStyle w:val="NoSpacing"/>
              <w:framePr w:h="3631" w:hRule="exact" w:hSpace="180" w:wrap="around" w:vAnchor="text" w:hAnchor="page" w:x="1061" w:y="-839"/>
              <w:spacing w:after="120" w:line="259" w:lineRule="auto"/>
              <w:jc w:val="center"/>
              <w:rPr>
                <w:color w:val="000000" w:themeColor="text1"/>
                <w:sz w:val="15"/>
                <w:szCs w:val="15"/>
              </w:rPr>
            </w:pPr>
          </w:p>
        </w:tc>
        <w:tc>
          <w:tcPr>
            <w:tcW w:w="1276" w:type="dxa"/>
            <w:tcBorders>
              <w:top w:val="single" w:sz="4" w:space="0" w:color="auto"/>
              <w:bottom w:val="single" w:sz="4" w:space="0" w:color="auto"/>
            </w:tcBorders>
            <w:shd w:val="clear" w:color="auto" w:fill="FFFFFF" w:themeFill="background1"/>
          </w:tcPr>
          <w:p w14:paraId="20C6CF01" w14:textId="77777777" w:rsidR="002B71DC" w:rsidRDefault="002B71DC" w:rsidP="002B71DC">
            <w:pPr>
              <w:pStyle w:val="NoSpacing"/>
              <w:framePr w:h="3631" w:hRule="exact" w:hSpace="180" w:wrap="around" w:vAnchor="text" w:hAnchor="page" w:x="1061" w:y="-839"/>
              <w:spacing w:after="120" w:line="276" w:lineRule="auto"/>
              <w:jc w:val="center"/>
              <w:rPr>
                <w:color w:val="000000" w:themeColor="text1"/>
                <w:sz w:val="15"/>
                <w:szCs w:val="15"/>
              </w:rPr>
            </w:pPr>
          </w:p>
          <w:p w14:paraId="06002AD0" w14:textId="77777777" w:rsidR="002B71DC" w:rsidRDefault="002B71DC" w:rsidP="002B71DC">
            <w:pPr>
              <w:pStyle w:val="NoSpacing"/>
              <w:framePr w:h="3631" w:hRule="exact" w:hSpace="180" w:wrap="around" w:vAnchor="text" w:hAnchor="page" w:x="1061" w:y="-839"/>
              <w:spacing w:after="120" w:line="276" w:lineRule="auto"/>
              <w:jc w:val="center"/>
              <w:rPr>
                <w:color w:val="000000" w:themeColor="text1"/>
                <w:sz w:val="15"/>
                <w:szCs w:val="15"/>
              </w:rPr>
            </w:pPr>
            <w:r>
              <w:rPr>
                <w:color w:val="000000" w:themeColor="text1"/>
                <w:sz w:val="15"/>
                <w:szCs w:val="15"/>
              </w:rPr>
              <w:t>Benefits</w:t>
            </w:r>
          </w:p>
        </w:tc>
        <w:tc>
          <w:tcPr>
            <w:tcW w:w="1134" w:type="dxa"/>
            <w:tcBorders>
              <w:top w:val="single" w:sz="4" w:space="0" w:color="auto"/>
              <w:bottom w:val="single" w:sz="4" w:space="0" w:color="auto"/>
            </w:tcBorders>
            <w:shd w:val="clear" w:color="auto" w:fill="92D050"/>
            <w:vAlign w:val="center"/>
          </w:tcPr>
          <w:p w14:paraId="4F77320C" w14:textId="77777777" w:rsidR="002B71DC" w:rsidRPr="00542C69" w:rsidRDefault="002B71DC" w:rsidP="002B71DC">
            <w:pPr>
              <w:pStyle w:val="NoSpacing"/>
              <w:framePr w:h="3631" w:hRule="exact" w:hSpace="180" w:wrap="around" w:vAnchor="text" w:hAnchor="page" w:x="1061" w:y="-839"/>
              <w:spacing w:after="120" w:line="259" w:lineRule="auto"/>
              <w:jc w:val="center"/>
              <w:rPr>
                <w:color w:val="000000" w:themeColor="text1"/>
                <w:sz w:val="15"/>
                <w:szCs w:val="15"/>
              </w:rPr>
            </w:pPr>
            <w:r>
              <w:rPr>
                <w:color w:val="000000" w:themeColor="text1"/>
                <w:sz w:val="15"/>
                <w:szCs w:val="15"/>
              </w:rPr>
              <w:t>G</w:t>
            </w:r>
          </w:p>
        </w:tc>
      </w:tr>
    </w:tbl>
    <w:p w14:paraId="4EA7C4E8" w14:textId="77777777" w:rsidR="002B71DC" w:rsidRDefault="002B71DC" w:rsidP="002B71DC">
      <w:pPr>
        <w:framePr w:h="3631" w:hRule="exact" w:hSpace="180" w:wrap="around" w:vAnchor="text" w:hAnchor="page" w:x="1061" w:y="-839"/>
        <w:rPr>
          <w:rFonts w:ascii="Arial" w:hAnsi="Arial" w:cs="Arial"/>
          <w:b/>
          <w:sz w:val="24"/>
          <w:szCs w:val="24"/>
          <w:u w:val="single"/>
        </w:rPr>
      </w:pPr>
    </w:p>
    <w:p w14:paraId="1539CED4" w14:textId="77777777" w:rsidR="002B71DC" w:rsidRDefault="002B71DC" w:rsidP="002B71DC">
      <w:pPr>
        <w:framePr w:h="3631" w:hRule="exact" w:hSpace="180" w:wrap="around" w:vAnchor="text" w:hAnchor="page" w:x="1061" w:y="-839"/>
        <w:rPr>
          <w:rFonts w:ascii="Arial" w:hAnsi="Arial" w:cs="Arial"/>
          <w:b/>
          <w:sz w:val="24"/>
          <w:szCs w:val="24"/>
          <w:u w:val="single"/>
        </w:rPr>
      </w:pPr>
    </w:p>
    <w:p w14:paraId="65C0469F" w14:textId="77777777" w:rsidR="007170A8" w:rsidRPr="00D854A6" w:rsidRDefault="007170A8" w:rsidP="00092BB3">
      <w:pPr>
        <w:rPr>
          <w:rFonts w:ascii="Arial" w:hAnsi="Arial" w:cs="Arial"/>
          <w:sz w:val="24"/>
          <w:szCs w:val="24"/>
        </w:rPr>
      </w:pPr>
      <w:r w:rsidRPr="00D854A6">
        <w:rPr>
          <w:rFonts w:ascii="Arial" w:hAnsi="Arial" w:cs="Arial"/>
          <w:sz w:val="24"/>
          <w:szCs w:val="24"/>
        </w:rPr>
        <w:t>Community Policing Teams (CPTs) and our multi agency partnerships involving local authorities, housing associations, and the NHS provide a local geographical response to policing demand including crime, anti-social behaviour and non-crime incidents.  The Transformation Programme is improving our service to the public through the creation of Community Safety Hubs across the county.</w:t>
      </w:r>
    </w:p>
    <w:p w14:paraId="1C623707" w14:textId="77777777" w:rsidR="00092BB3" w:rsidRPr="00D854A6" w:rsidRDefault="00092BB3" w:rsidP="00092BB3">
      <w:pPr>
        <w:rPr>
          <w:rFonts w:ascii="Arial" w:hAnsi="Arial" w:cs="Arial"/>
          <w:sz w:val="24"/>
          <w:szCs w:val="24"/>
        </w:rPr>
      </w:pPr>
      <w:r w:rsidRPr="00D854A6">
        <w:rPr>
          <w:rFonts w:ascii="Arial" w:hAnsi="Arial" w:cs="Arial"/>
          <w:sz w:val="24"/>
          <w:szCs w:val="24"/>
        </w:rPr>
        <w:t>6 out of 10 Local Policing Districts have implemented Community Safety Hubs. Where agreements are yet to be made there are no co-located hubs, these areas are subject to ongoing dialogue. Nevertheless, those areas benefit from strong, healthy and effective partnership working arrangements within CSPs. With the exception of Harlow, progress is now being made for Hubs to be established in all areas by mid- 2019. Terms of Reference for the hubs have been agreed and circulated to all stakeholders.</w:t>
      </w:r>
    </w:p>
    <w:p w14:paraId="4FCE4EC5" w14:textId="508298CE" w:rsidR="00092BB3" w:rsidRPr="00D854A6" w:rsidRDefault="00D854A6" w:rsidP="00834A66">
      <w:pPr>
        <w:rPr>
          <w:rFonts w:ascii="Arial" w:hAnsi="Arial" w:cs="Arial"/>
          <w:sz w:val="24"/>
          <w:szCs w:val="24"/>
        </w:rPr>
      </w:pPr>
      <w:r>
        <w:rPr>
          <w:rFonts w:ascii="Arial" w:hAnsi="Arial" w:cs="Arial"/>
          <w:sz w:val="24"/>
          <w:szCs w:val="24"/>
        </w:rPr>
        <w:t>Work is on-going</w:t>
      </w:r>
      <w:r w:rsidR="00092BB3" w:rsidRPr="00D854A6">
        <w:rPr>
          <w:rFonts w:ascii="Arial" w:hAnsi="Arial" w:cs="Arial"/>
          <w:sz w:val="24"/>
          <w:szCs w:val="24"/>
        </w:rPr>
        <w:t xml:space="preserve"> to</w:t>
      </w:r>
      <w:r w:rsidR="00B72FDB">
        <w:rPr>
          <w:rFonts w:ascii="Arial" w:hAnsi="Arial" w:cs="Arial"/>
          <w:sz w:val="24"/>
          <w:szCs w:val="24"/>
        </w:rPr>
        <w:t xml:space="preserve"> </w:t>
      </w:r>
      <w:r w:rsidR="00092BB3" w:rsidRPr="00D854A6">
        <w:rPr>
          <w:rFonts w:ascii="Arial" w:hAnsi="Arial" w:cs="Arial"/>
          <w:sz w:val="24"/>
          <w:szCs w:val="24"/>
        </w:rPr>
        <w:t>deliver a single and consistent performance framework for CPTs to measure their contribution</w:t>
      </w:r>
      <w:r w:rsidR="00BF5E23">
        <w:rPr>
          <w:rFonts w:ascii="Arial" w:hAnsi="Arial" w:cs="Arial"/>
          <w:sz w:val="24"/>
          <w:szCs w:val="24"/>
        </w:rPr>
        <w:t>. Another focus is in</w:t>
      </w:r>
      <w:r w:rsidR="00092BB3" w:rsidRPr="00D854A6">
        <w:rPr>
          <w:rFonts w:ascii="Arial" w:hAnsi="Arial" w:cs="Arial"/>
          <w:sz w:val="24"/>
          <w:szCs w:val="24"/>
        </w:rPr>
        <w:t xml:space="preserve">creasing the number of partners embedded within the hubs, e.g. ECFRS are working to establish a </w:t>
      </w:r>
      <w:r w:rsidR="00092BB3" w:rsidRPr="00D854A6">
        <w:rPr>
          <w:rFonts w:ascii="Arial" w:hAnsi="Arial" w:cs="Arial"/>
          <w:sz w:val="24"/>
          <w:szCs w:val="24"/>
        </w:rPr>
        <w:lastRenderedPageBreak/>
        <w:t>presence in each CSH as part of the Fire Collaboration Project.</w:t>
      </w:r>
    </w:p>
    <w:p w14:paraId="38B0BFE5" w14:textId="77777777" w:rsidR="000B5CAC" w:rsidRPr="00C337C1" w:rsidRDefault="00092BB3" w:rsidP="00C337C1">
      <w:pPr>
        <w:rPr>
          <w:rFonts w:ascii="Arial" w:hAnsi="Arial" w:cs="Arial"/>
          <w:b/>
          <w:sz w:val="24"/>
          <w:szCs w:val="24"/>
          <w:u w:val="single"/>
        </w:rPr>
      </w:pPr>
      <w:r w:rsidRPr="00C337C1">
        <w:rPr>
          <w:rFonts w:ascii="Arial" w:hAnsi="Arial" w:cs="Arial"/>
          <w:b/>
          <w:sz w:val="24"/>
          <w:szCs w:val="24"/>
          <w:u w:val="single"/>
        </w:rPr>
        <w:t>External and innovative partnerships:</w:t>
      </w:r>
    </w:p>
    <w:p w14:paraId="6FBE9658" w14:textId="77777777" w:rsidR="000B5CAC" w:rsidRDefault="000B5CAC" w:rsidP="00092BB3">
      <w:pPr>
        <w:pStyle w:val="NoSpacing"/>
        <w:spacing w:line="259" w:lineRule="auto"/>
        <w:rPr>
          <w:rFonts w:cstheme="minorHAnsi"/>
          <w:b/>
          <w:sz w:val="24"/>
          <w:szCs w:val="24"/>
          <w:u w:val="single"/>
        </w:rPr>
      </w:pPr>
    </w:p>
    <w:p w14:paraId="7D9AAC38" w14:textId="77777777" w:rsidR="003E4D9F" w:rsidRPr="002B71DC" w:rsidRDefault="002B71DC" w:rsidP="008F0D43">
      <w:pPr>
        <w:rPr>
          <w:rFonts w:ascii="Arial" w:hAnsi="Arial" w:cs="Arial"/>
          <w:b/>
          <w:sz w:val="24"/>
          <w:szCs w:val="24"/>
          <w:u w:val="single"/>
        </w:rPr>
      </w:pPr>
      <w:r w:rsidRPr="002B71DC">
        <w:rPr>
          <w:rFonts w:ascii="Arial" w:hAnsi="Arial" w:cs="Arial"/>
          <w:b/>
          <w:sz w:val="24"/>
          <w:szCs w:val="24"/>
          <w:u w:val="single"/>
        </w:rPr>
        <w:t>Essex Centre of Data Analytics</w:t>
      </w:r>
      <w:r w:rsidR="00BF4C2F">
        <w:rPr>
          <w:rFonts w:ascii="Arial" w:hAnsi="Arial" w:cs="Arial"/>
          <w:b/>
          <w:sz w:val="24"/>
          <w:szCs w:val="24"/>
          <w:u w:val="single"/>
        </w:rPr>
        <w:t xml:space="preserve"> (Overall RAG – Green)</w:t>
      </w:r>
    </w:p>
    <w:p w14:paraId="31CDE318" w14:textId="77777777" w:rsidR="002B71DC" w:rsidRPr="00D854A6" w:rsidRDefault="002B71DC" w:rsidP="002B71DC">
      <w:pPr>
        <w:rPr>
          <w:rFonts w:ascii="Arial" w:hAnsi="Arial" w:cs="Arial"/>
          <w:sz w:val="24"/>
          <w:szCs w:val="24"/>
        </w:rPr>
      </w:pPr>
      <w:r w:rsidRPr="00D854A6">
        <w:rPr>
          <w:rFonts w:ascii="Arial" w:hAnsi="Arial" w:cs="Arial"/>
          <w:sz w:val="24"/>
          <w:szCs w:val="24"/>
        </w:rPr>
        <w:t xml:space="preserve">Essex Police, ECC and Essex University are now jointly funding an Essex Police based data scientist and head of data and analytics at ECC. Both posts will work across all three organisations. Essex University has recently secured funding to recruit 5 data scientists/analysts to work on the ECDA project. </w:t>
      </w:r>
    </w:p>
    <w:p w14:paraId="428DE836" w14:textId="77777777" w:rsidR="002B71DC" w:rsidRPr="00D854A6" w:rsidRDefault="002B71DC" w:rsidP="002B71DC">
      <w:pPr>
        <w:rPr>
          <w:rFonts w:ascii="Arial" w:hAnsi="Arial" w:cs="Arial"/>
          <w:sz w:val="24"/>
          <w:szCs w:val="24"/>
        </w:rPr>
      </w:pPr>
      <w:r w:rsidRPr="00D854A6">
        <w:rPr>
          <w:rFonts w:ascii="Arial" w:hAnsi="Arial" w:cs="Arial"/>
          <w:sz w:val="24"/>
          <w:szCs w:val="24"/>
        </w:rPr>
        <w:t xml:space="preserve">ECDA are in the process of market testing new data storage and sharing services. The ability to store and share vast quantities of structured, semi structured and unstructured data is an important step to the implementation of ECDA. There are plans in place to procure a service during the next 6 months.   </w:t>
      </w:r>
    </w:p>
    <w:p w14:paraId="286D0F1F" w14:textId="70322005" w:rsidR="00BF4C2F" w:rsidRDefault="00BF4C2F" w:rsidP="002B71DC">
      <w:pPr>
        <w:rPr>
          <w:rFonts w:ascii="Arial" w:hAnsi="Arial" w:cs="Arial"/>
          <w:b/>
          <w:sz w:val="24"/>
          <w:szCs w:val="24"/>
          <w:u w:val="single"/>
        </w:rPr>
      </w:pPr>
    </w:p>
    <w:p w14:paraId="4E0359A6" w14:textId="45CCF4B2" w:rsidR="00F24DA7" w:rsidRDefault="00F24DA7" w:rsidP="002B71DC">
      <w:pPr>
        <w:rPr>
          <w:rFonts w:ascii="Arial" w:hAnsi="Arial" w:cs="Arial"/>
          <w:b/>
          <w:sz w:val="24"/>
          <w:szCs w:val="24"/>
          <w:u w:val="single"/>
        </w:rPr>
      </w:pPr>
    </w:p>
    <w:p w14:paraId="62D43058" w14:textId="77777777" w:rsidR="00F24DA7" w:rsidRPr="00D854A6" w:rsidRDefault="00F24DA7" w:rsidP="002B71DC">
      <w:pPr>
        <w:rPr>
          <w:rFonts w:ascii="Arial" w:hAnsi="Arial" w:cs="Arial"/>
          <w:b/>
          <w:sz w:val="24"/>
          <w:szCs w:val="24"/>
          <w:u w:val="single"/>
        </w:rPr>
      </w:pPr>
    </w:p>
    <w:p w14:paraId="7AE9DFBD" w14:textId="77777777" w:rsidR="002B71DC" w:rsidRPr="00D854A6" w:rsidRDefault="002B71DC" w:rsidP="002B71DC">
      <w:pPr>
        <w:rPr>
          <w:rFonts w:ascii="Arial" w:hAnsi="Arial" w:cs="Arial"/>
          <w:b/>
          <w:sz w:val="24"/>
          <w:szCs w:val="24"/>
          <w:u w:val="single"/>
        </w:rPr>
      </w:pPr>
      <w:r w:rsidRPr="00D854A6">
        <w:rPr>
          <w:rFonts w:ascii="Arial" w:hAnsi="Arial" w:cs="Arial"/>
          <w:b/>
          <w:sz w:val="24"/>
          <w:szCs w:val="24"/>
          <w:u w:val="single"/>
        </w:rPr>
        <w:t xml:space="preserve">Innovative Partnerships – BT Hothouse  </w:t>
      </w:r>
    </w:p>
    <w:tbl>
      <w:tblPr>
        <w:tblStyle w:val="TableGrid27"/>
        <w:tblW w:w="9351" w:type="dxa"/>
        <w:tblLook w:val="04A0" w:firstRow="1" w:lastRow="0" w:firstColumn="1" w:lastColumn="0" w:noHBand="0" w:noVBand="1"/>
      </w:tblPr>
      <w:tblGrid>
        <w:gridCol w:w="996"/>
        <w:gridCol w:w="938"/>
        <w:gridCol w:w="1001"/>
        <w:gridCol w:w="1040"/>
        <w:gridCol w:w="1002"/>
        <w:gridCol w:w="1067"/>
        <w:gridCol w:w="897"/>
        <w:gridCol w:w="1276"/>
        <w:gridCol w:w="1134"/>
      </w:tblGrid>
      <w:tr w:rsidR="000576F1" w:rsidRPr="008A42D5" w14:paraId="2360AA67" w14:textId="77777777" w:rsidTr="000576F1">
        <w:trPr>
          <w:trHeight w:val="396"/>
        </w:trPr>
        <w:tc>
          <w:tcPr>
            <w:tcW w:w="996" w:type="dxa"/>
            <w:tcBorders>
              <w:top w:val="single" w:sz="12" w:space="0" w:color="auto"/>
              <w:bottom w:val="single" w:sz="12" w:space="0" w:color="auto"/>
            </w:tcBorders>
            <w:shd w:val="clear" w:color="auto" w:fill="92D050"/>
            <w:vAlign w:val="center"/>
          </w:tcPr>
          <w:p w14:paraId="793960CD" w14:textId="77777777" w:rsidR="000576F1" w:rsidRPr="00D854A6" w:rsidRDefault="000576F1" w:rsidP="000576F1">
            <w:pPr>
              <w:jc w:val="center"/>
              <w:rPr>
                <w:rFonts w:ascii="Calibri" w:eastAsia="Calibri" w:hAnsi="Calibri" w:cs="Times New Roman"/>
                <w:b/>
                <w:sz w:val="14"/>
                <w:szCs w:val="15"/>
              </w:rPr>
            </w:pPr>
            <w:r w:rsidRPr="00D854A6">
              <w:rPr>
                <w:rFonts w:ascii="Calibri" w:eastAsia="Calibri" w:hAnsi="Calibri" w:cs="Times New Roman"/>
                <w:b/>
                <w:sz w:val="14"/>
                <w:szCs w:val="15"/>
              </w:rPr>
              <w:t>Overall RAG</w:t>
            </w:r>
          </w:p>
          <w:p w14:paraId="29437E27" w14:textId="77777777" w:rsidR="00BF4C2F" w:rsidRPr="008A42D5" w:rsidRDefault="00BF4C2F" w:rsidP="000576F1">
            <w:pPr>
              <w:jc w:val="center"/>
              <w:rPr>
                <w:rFonts w:ascii="Calibri" w:eastAsia="Calibri" w:hAnsi="Calibri" w:cs="Times New Roman"/>
                <w:b/>
                <w:sz w:val="14"/>
                <w:szCs w:val="15"/>
              </w:rPr>
            </w:pPr>
            <w:r>
              <w:rPr>
                <w:rFonts w:ascii="Calibri" w:eastAsia="Calibri" w:hAnsi="Calibri" w:cs="Times New Roman"/>
                <w:b/>
                <w:sz w:val="14"/>
                <w:szCs w:val="15"/>
              </w:rPr>
              <w:t>Green</w:t>
            </w:r>
          </w:p>
        </w:tc>
        <w:tc>
          <w:tcPr>
            <w:tcW w:w="938" w:type="dxa"/>
            <w:tcBorders>
              <w:top w:val="single" w:sz="4" w:space="0" w:color="auto"/>
              <w:bottom w:val="single" w:sz="4" w:space="0" w:color="auto"/>
            </w:tcBorders>
            <w:shd w:val="clear" w:color="auto" w:fill="FFFFFF"/>
            <w:vAlign w:val="center"/>
          </w:tcPr>
          <w:p w14:paraId="1D4B6461" w14:textId="77777777" w:rsidR="000576F1" w:rsidRPr="00542C69" w:rsidRDefault="000576F1" w:rsidP="000576F1">
            <w:pPr>
              <w:pStyle w:val="NoSpacing"/>
              <w:spacing w:after="120" w:line="259" w:lineRule="auto"/>
              <w:jc w:val="center"/>
              <w:rPr>
                <w:color w:val="000000" w:themeColor="text1"/>
                <w:sz w:val="15"/>
                <w:szCs w:val="15"/>
              </w:rPr>
            </w:pPr>
            <w:r>
              <w:rPr>
                <w:color w:val="000000" w:themeColor="text1"/>
                <w:sz w:val="15"/>
                <w:szCs w:val="15"/>
              </w:rPr>
              <w:t>Time</w:t>
            </w:r>
          </w:p>
        </w:tc>
        <w:tc>
          <w:tcPr>
            <w:tcW w:w="1001" w:type="dxa"/>
            <w:tcBorders>
              <w:top w:val="single" w:sz="4" w:space="0" w:color="auto"/>
              <w:bottom w:val="single" w:sz="4" w:space="0" w:color="auto"/>
            </w:tcBorders>
            <w:shd w:val="clear" w:color="auto" w:fill="FFC000"/>
            <w:vAlign w:val="center"/>
          </w:tcPr>
          <w:p w14:paraId="70569847" w14:textId="77777777" w:rsidR="000576F1" w:rsidRPr="002B71DC" w:rsidRDefault="000576F1" w:rsidP="000576F1">
            <w:pPr>
              <w:pStyle w:val="NoSpacing"/>
              <w:spacing w:after="120" w:line="259" w:lineRule="auto"/>
              <w:jc w:val="center"/>
              <w:rPr>
                <w:color w:val="000000" w:themeColor="text1"/>
                <w:sz w:val="15"/>
                <w:szCs w:val="15"/>
                <w:highlight w:val="yellow"/>
              </w:rPr>
            </w:pPr>
            <w:r w:rsidRPr="00BF4C2F">
              <w:rPr>
                <w:color w:val="000000" w:themeColor="text1"/>
                <w:sz w:val="15"/>
                <w:szCs w:val="15"/>
              </w:rPr>
              <w:t>A</w:t>
            </w:r>
          </w:p>
        </w:tc>
        <w:tc>
          <w:tcPr>
            <w:tcW w:w="1040" w:type="dxa"/>
            <w:tcBorders>
              <w:top w:val="single" w:sz="4" w:space="0" w:color="auto"/>
              <w:bottom w:val="single" w:sz="4" w:space="0" w:color="auto"/>
            </w:tcBorders>
            <w:shd w:val="clear" w:color="auto" w:fill="FFFFFF"/>
            <w:vAlign w:val="center"/>
          </w:tcPr>
          <w:p w14:paraId="451CE117" w14:textId="77777777" w:rsidR="000576F1" w:rsidRDefault="000576F1" w:rsidP="000576F1">
            <w:pPr>
              <w:pStyle w:val="NoSpacing"/>
              <w:spacing w:after="120" w:line="259" w:lineRule="auto"/>
              <w:jc w:val="center"/>
              <w:rPr>
                <w:color w:val="000000" w:themeColor="text1"/>
                <w:sz w:val="15"/>
                <w:szCs w:val="15"/>
              </w:rPr>
            </w:pPr>
          </w:p>
          <w:p w14:paraId="7FF40E96" w14:textId="77777777" w:rsidR="000576F1" w:rsidRDefault="000576F1" w:rsidP="000576F1">
            <w:pPr>
              <w:pStyle w:val="NoSpacing"/>
              <w:spacing w:after="120" w:line="259" w:lineRule="auto"/>
              <w:jc w:val="center"/>
              <w:rPr>
                <w:color w:val="000000" w:themeColor="text1"/>
                <w:sz w:val="15"/>
                <w:szCs w:val="15"/>
              </w:rPr>
            </w:pPr>
            <w:r>
              <w:rPr>
                <w:color w:val="000000" w:themeColor="text1"/>
                <w:sz w:val="15"/>
                <w:szCs w:val="15"/>
              </w:rPr>
              <w:t>Costs</w:t>
            </w:r>
          </w:p>
          <w:p w14:paraId="50E08B86" w14:textId="77777777" w:rsidR="000576F1" w:rsidRPr="00542C69" w:rsidRDefault="000576F1" w:rsidP="000576F1">
            <w:pPr>
              <w:rPr>
                <w:color w:val="000000" w:themeColor="text1"/>
                <w:sz w:val="15"/>
                <w:szCs w:val="15"/>
              </w:rPr>
            </w:pPr>
          </w:p>
        </w:tc>
        <w:tc>
          <w:tcPr>
            <w:tcW w:w="1002" w:type="dxa"/>
            <w:tcBorders>
              <w:top w:val="single" w:sz="4" w:space="0" w:color="auto"/>
              <w:bottom w:val="single" w:sz="4" w:space="0" w:color="auto"/>
            </w:tcBorders>
            <w:shd w:val="clear" w:color="auto" w:fill="92D050"/>
            <w:vAlign w:val="center"/>
          </w:tcPr>
          <w:p w14:paraId="51557769" w14:textId="77777777" w:rsidR="000576F1" w:rsidRPr="00542C69" w:rsidRDefault="000576F1" w:rsidP="000576F1">
            <w:pPr>
              <w:pStyle w:val="NoSpacing"/>
              <w:spacing w:after="120" w:line="259" w:lineRule="auto"/>
              <w:jc w:val="center"/>
              <w:rPr>
                <w:color w:val="000000" w:themeColor="text1"/>
                <w:sz w:val="15"/>
                <w:szCs w:val="15"/>
              </w:rPr>
            </w:pPr>
            <w:r>
              <w:rPr>
                <w:color w:val="000000" w:themeColor="text1"/>
                <w:sz w:val="15"/>
                <w:szCs w:val="15"/>
              </w:rPr>
              <w:t>G</w:t>
            </w:r>
          </w:p>
        </w:tc>
        <w:tc>
          <w:tcPr>
            <w:tcW w:w="1067" w:type="dxa"/>
            <w:tcBorders>
              <w:top w:val="single" w:sz="4" w:space="0" w:color="auto"/>
              <w:bottom w:val="single" w:sz="4" w:space="0" w:color="auto"/>
            </w:tcBorders>
            <w:shd w:val="clear" w:color="auto" w:fill="FFFFFF"/>
            <w:vAlign w:val="center"/>
          </w:tcPr>
          <w:p w14:paraId="56D2C7EB" w14:textId="77777777" w:rsidR="000576F1" w:rsidRDefault="000576F1" w:rsidP="000576F1">
            <w:pPr>
              <w:pStyle w:val="NoSpacing"/>
              <w:spacing w:after="120" w:line="259" w:lineRule="auto"/>
              <w:jc w:val="center"/>
              <w:rPr>
                <w:color w:val="000000" w:themeColor="text1"/>
                <w:sz w:val="15"/>
                <w:szCs w:val="15"/>
              </w:rPr>
            </w:pPr>
          </w:p>
          <w:p w14:paraId="6F4C54DD" w14:textId="77777777" w:rsidR="000576F1" w:rsidRDefault="000576F1" w:rsidP="000576F1">
            <w:pPr>
              <w:pStyle w:val="NoSpacing"/>
              <w:spacing w:after="120" w:line="259" w:lineRule="auto"/>
              <w:jc w:val="center"/>
              <w:rPr>
                <w:color w:val="000000" w:themeColor="text1"/>
                <w:sz w:val="15"/>
                <w:szCs w:val="15"/>
              </w:rPr>
            </w:pPr>
            <w:r>
              <w:rPr>
                <w:color w:val="000000" w:themeColor="text1"/>
                <w:sz w:val="15"/>
                <w:szCs w:val="15"/>
              </w:rPr>
              <w:t>Savings</w:t>
            </w:r>
          </w:p>
          <w:p w14:paraId="5E60A1F6" w14:textId="77777777" w:rsidR="000576F1" w:rsidRPr="00542C69" w:rsidRDefault="000576F1" w:rsidP="000576F1">
            <w:pPr>
              <w:pStyle w:val="NoSpacing"/>
              <w:spacing w:after="120" w:line="259" w:lineRule="auto"/>
              <w:jc w:val="center"/>
              <w:rPr>
                <w:color w:val="000000" w:themeColor="text1"/>
                <w:sz w:val="15"/>
                <w:szCs w:val="15"/>
              </w:rPr>
            </w:pPr>
          </w:p>
        </w:tc>
        <w:tc>
          <w:tcPr>
            <w:tcW w:w="897" w:type="dxa"/>
            <w:tcBorders>
              <w:top w:val="single" w:sz="4" w:space="0" w:color="auto"/>
              <w:bottom w:val="single" w:sz="4" w:space="0" w:color="auto"/>
            </w:tcBorders>
            <w:shd w:val="clear" w:color="auto" w:fill="FFFFFF" w:themeFill="background1"/>
          </w:tcPr>
          <w:p w14:paraId="3C3247FD" w14:textId="77777777" w:rsidR="000576F1" w:rsidRPr="002B71DC" w:rsidRDefault="000576F1" w:rsidP="000576F1">
            <w:pPr>
              <w:pStyle w:val="NoSpacing"/>
              <w:spacing w:after="120" w:line="259" w:lineRule="auto"/>
              <w:jc w:val="center"/>
              <w:rPr>
                <w:color w:val="000000" w:themeColor="text1"/>
                <w:sz w:val="15"/>
                <w:szCs w:val="15"/>
              </w:rPr>
            </w:pPr>
          </w:p>
          <w:p w14:paraId="700084C8" w14:textId="77777777" w:rsidR="000576F1" w:rsidRPr="002B71DC" w:rsidRDefault="000576F1" w:rsidP="000576F1">
            <w:pPr>
              <w:pStyle w:val="NoSpacing"/>
              <w:spacing w:after="120" w:line="259" w:lineRule="auto"/>
              <w:jc w:val="center"/>
              <w:rPr>
                <w:color w:val="000000" w:themeColor="text1"/>
                <w:sz w:val="15"/>
                <w:szCs w:val="15"/>
                <w:shd w:val="clear" w:color="auto" w:fill="FFFFFF" w:themeFill="background1"/>
              </w:rPr>
            </w:pPr>
            <w:r w:rsidRPr="002B71DC">
              <w:rPr>
                <w:color w:val="000000" w:themeColor="text1"/>
                <w:sz w:val="15"/>
                <w:szCs w:val="15"/>
                <w:shd w:val="clear" w:color="auto" w:fill="FFFFFF" w:themeFill="background1"/>
              </w:rPr>
              <w:t>N/A</w:t>
            </w:r>
          </w:p>
          <w:p w14:paraId="5EF2DE9F" w14:textId="77777777" w:rsidR="000576F1" w:rsidRPr="002B71DC" w:rsidRDefault="000576F1" w:rsidP="000576F1">
            <w:pPr>
              <w:pStyle w:val="NoSpacing"/>
              <w:spacing w:after="120" w:line="259" w:lineRule="auto"/>
              <w:jc w:val="center"/>
              <w:rPr>
                <w:color w:val="000000" w:themeColor="text1"/>
                <w:sz w:val="15"/>
                <w:szCs w:val="15"/>
              </w:rPr>
            </w:pPr>
          </w:p>
        </w:tc>
        <w:tc>
          <w:tcPr>
            <w:tcW w:w="1276" w:type="dxa"/>
            <w:tcBorders>
              <w:top w:val="single" w:sz="4" w:space="0" w:color="auto"/>
              <w:bottom w:val="single" w:sz="4" w:space="0" w:color="auto"/>
            </w:tcBorders>
            <w:shd w:val="clear" w:color="auto" w:fill="FFFFFF" w:themeFill="background1"/>
          </w:tcPr>
          <w:p w14:paraId="26535E3E" w14:textId="77777777" w:rsidR="000576F1" w:rsidRDefault="000576F1" w:rsidP="000576F1">
            <w:pPr>
              <w:pStyle w:val="NoSpacing"/>
              <w:spacing w:after="120" w:line="276" w:lineRule="auto"/>
              <w:jc w:val="center"/>
              <w:rPr>
                <w:color w:val="000000" w:themeColor="text1"/>
                <w:sz w:val="15"/>
                <w:szCs w:val="15"/>
              </w:rPr>
            </w:pPr>
          </w:p>
          <w:p w14:paraId="67533A40" w14:textId="77777777" w:rsidR="000576F1" w:rsidRDefault="000576F1" w:rsidP="000576F1">
            <w:pPr>
              <w:pStyle w:val="NoSpacing"/>
              <w:spacing w:after="120" w:line="276" w:lineRule="auto"/>
              <w:jc w:val="center"/>
              <w:rPr>
                <w:color w:val="000000" w:themeColor="text1"/>
                <w:sz w:val="15"/>
                <w:szCs w:val="15"/>
              </w:rPr>
            </w:pPr>
            <w:r>
              <w:rPr>
                <w:color w:val="000000" w:themeColor="text1"/>
                <w:sz w:val="15"/>
                <w:szCs w:val="15"/>
              </w:rPr>
              <w:t>Benefits</w:t>
            </w:r>
          </w:p>
        </w:tc>
        <w:tc>
          <w:tcPr>
            <w:tcW w:w="1134" w:type="dxa"/>
            <w:tcBorders>
              <w:top w:val="single" w:sz="4" w:space="0" w:color="auto"/>
              <w:bottom w:val="single" w:sz="4" w:space="0" w:color="auto"/>
            </w:tcBorders>
            <w:shd w:val="clear" w:color="auto" w:fill="92D050"/>
            <w:vAlign w:val="center"/>
          </w:tcPr>
          <w:p w14:paraId="7EEE9F42" w14:textId="77777777" w:rsidR="000576F1" w:rsidRPr="00542C69" w:rsidRDefault="000576F1" w:rsidP="000576F1">
            <w:pPr>
              <w:pStyle w:val="NoSpacing"/>
              <w:spacing w:after="120" w:line="259" w:lineRule="auto"/>
              <w:jc w:val="center"/>
              <w:rPr>
                <w:color w:val="000000" w:themeColor="text1"/>
                <w:sz w:val="15"/>
                <w:szCs w:val="15"/>
              </w:rPr>
            </w:pPr>
            <w:r>
              <w:rPr>
                <w:color w:val="000000" w:themeColor="text1"/>
                <w:sz w:val="15"/>
                <w:szCs w:val="15"/>
              </w:rPr>
              <w:t>G</w:t>
            </w:r>
          </w:p>
        </w:tc>
      </w:tr>
    </w:tbl>
    <w:p w14:paraId="4E75FBF9" w14:textId="77777777" w:rsidR="000576F1" w:rsidRDefault="000576F1" w:rsidP="002B71DC">
      <w:pPr>
        <w:rPr>
          <w:rFonts w:ascii="Arial" w:hAnsi="Arial" w:cs="Arial"/>
          <w:sz w:val="24"/>
          <w:szCs w:val="24"/>
        </w:rPr>
      </w:pPr>
    </w:p>
    <w:p w14:paraId="1F504F08" w14:textId="3D2D03C8" w:rsidR="008F0D43" w:rsidRPr="00D854A6" w:rsidRDefault="002B71DC" w:rsidP="002B71DC">
      <w:pPr>
        <w:rPr>
          <w:rFonts w:ascii="Arial" w:hAnsi="Arial" w:cs="Arial"/>
          <w:sz w:val="24"/>
          <w:szCs w:val="24"/>
        </w:rPr>
      </w:pPr>
      <w:r w:rsidRPr="00D854A6">
        <w:rPr>
          <w:rFonts w:ascii="Arial" w:hAnsi="Arial" w:cs="Arial"/>
          <w:sz w:val="24"/>
          <w:szCs w:val="24"/>
        </w:rPr>
        <w:t xml:space="preserve">  </w:t>
      </w:r>
      <w:r w:rsidR="008F0D43" w:rsidRPr="00D854A6">
        <w:rPr>
          <w:rFonts w:ascii="Arial" w:hAnsi="Arial" w:cs="Arial"/>
          <w:sz w:val="24"/>
          <w:szCs w:val="24"/>
        </w:rPr>
        <w:t xml:space="preserve">In November 2017 Essex Police launched an innovative partnerships initiative to engage with a varied range of cross </w:t>
      </w:r>
      <w:r w:rsidR="008F0D43" w:rsidRPr="00D854A6">
        <w:rPr>
          <w:rFonts w:ascii="Arial" w:hAnsi="Arial" w:cs="Arial"/>
          <w:sz w:val="24"/>
          <w:szCs w:val="24"/>
        </w:rPr>
        <w:lastRenderedPageBreak/>
        <w:t xml:space="preserve">sector partners to help the force work through some of its most complex issues. Partners included technology companies, charities, academia, consultancy firms and other local partners such as councils and Essex Fire and Rescue Service. </w:t>
      </w:r>
    </w:p>
    <w:p w14:paraId="66F4BBFF" w14:textId="77777777" w:rsidR="008F0D43" w:rsidRPr="00D854A6" w:rsidRDefault="008F0D43" w:rsidP="008F0D43">
      <w:pPr>
        <w:rPr>
          <w:rFonts w:ascii="Arial" w:hAnsi="Arial" w:cs="Arial"/>
          <w:sz w:val="24"/>
          <w:szCs w:val="24"/>
        </w:rPr>
      </w:pPr>
      <w:r w:rsidRPr="00D854A6">
        <w:rPr>
          <w:rFonts w:ascii="Arial" w:hAnsi="Arial" w:cs="Arial"/>
          <w:sz w:val="24"/>
          <w:szCs w:val="24"/>
        </w:rPr>
        <w:t xml:space="preserve">Essex Police worked with a charity called The Dot.Com Foundation, Microsoft and children from Holy Cross School in Thurrock to create a digital version of the charities child safe-guarding product, and to extend them to include online harms such as online grooming and bullying and harassment. The product is now going into production as a free product for schools and the Department of Education are looking at a national </w:t>
      </w:r>
      <w:r w:rsidR="00CB5B74" w:rsidRPr="00D854A6">
        <w:rPr>
          <w:rFonts w:ascii="Arial" w:hAnsi="Arial" w:cs="Arial"/>
          <w:sz w:val="24"/>
          <w:szCs w:val="24"/>
        </w:rPr>
        <w:t>rollout</w:t>
      </w:r>
      <w:r w:rsidR="00B80199" w:rsidRPr="00D854A6">
        <w:rPr>
          <w:rFonts w:ascii="Arial" w:hAnsi="Arial" w:cs="Arial"/>
          <w:sz w:val="24"/>
          <w:szCs w:val="24"/>
        </w:rPr>
        <w:t xml:space="preserve"> following a product demo</w:t>
      </w:r>
      <w:r w:rsidR="00CB5B74" w:rsidRPr="00D854A6">
        <w:rPr>
          <w:rFonts w:ascii="Arial" w:hAnsi="Arial" w:cs="Arial"/>
          <w:sz w:val="24"/>
          <w:szCs w:val="24"/>
        </w:rPr>
        <w:t>nstration.</w:t>
      </w:r>
      <w:r w:rsidRPr="00D854A6">
        <w:rPr>
          <w:rFonts w:ascii="Arial" w:hAnsi="Arial" w:cs="Arial"/>
          <w:sz w:val="24"/>
          <w:szCs w:val="24"/>
        </w:rPr>
        <w:t xml:space="preserve"> </w:t>
      </w:r>
    </w:p>
    <w:p w14:paraId="55DD1A86" w14:textId="5603B7D3" w:rsidR="008F0D43" w:rsidRPr="00D854A6" w:rsidRDefault="008F0D43" w:rsidP="008F0D43">
      <w:r w:rsidRPr="00D854A6">
        <w:rPr>
          <w:rFonts w:ascii="Arial" w:hAnsi="Arial" w:cs="Arial"/>
          <w:sz w:val="24"/>
          <w:szCs w:val="24"/>
        </w:rPr>
        <w:t xml:space="preserve">A second charity, Safe to Net, are hoping to use Essex Police data to help enhance the algorithms behind their </w:t>
      </w:r>
      <w:r w:rsidRPr="00D854A6">
        <w:rPr>
          <w:rStyle w:val="st"/>
          <w:rFonts w:ascii="Arial" w:hAnsi="Arial" w:cs="Arial"/>
          <w:sz w:val="24"/>
          <w:szCs w:val="24"/>
        </w:rPr>
        <w:t>intelligent app that analyses online behaviour to identify concerns, filter risk and provide advice and guidance in real-time to children.</w:t>
      </w:r>
      <w:r w:rsidR="00CB5B74" w:rsidRPr="00D854A6">
        <w:rPr>
          <w:rStyle w:val="st"/>
          <w:rFonts w:ascii="Arial" w:hAnsi="Arial" w:cs="Arial"/>
          <w:sz w:val="24"/>
          <w:szCs w:val="24"/>
        </w:rPr>
        <w:t xml:space="preserve"> A re-arranged stakeholder meeting to progress negotiations, including placing one of their analysts in Essex Police to support this, will be scheduled in the next period.</w:t>
      </w:r>
      <w:r w:rsidRPr="00D854A6">
        <w:rPr>
          <w:rStyle w:val="st"/>
          <w:rFonts w:ascii="Arial" w:hAnsi="Arial" w:cs="Arial"/>
          <w:sz w:val="24"/>
          <w:szCs w:val="24"/>
        </w:rPr>
        <w:t xml:space="preserve"> </w:t>
      </w:r>
    </w:p>
    <w:p w14:paraId="1E4F6E4F" w14:textId="77777777" w:rsidR="008F0D43" w:rsidRPr="00D854A6" w:rsidRDefault="008F0D43" w:rsidP="008F0D43">
      <w:r w:rsidRPr="00D854A6">
        <w:rPr>
          <w:rFonts w:ascii="Arial" w:hAnsi="Arial" w:cs="Arial"/>
          <w:sz w:val="24"/>
          <w:szCs w:val="24"/>
        </w:rPr>
        <w:t xml:space="preserve">Essex Police is now working with BT, Accenture and Thought Spot on a proof of value pilot to use data analytics and artificial intelligence to help us identify our highest risk outstanding suspects. In the long term, it is hoped that this type of technology will provide predictive analytics as well as user friendly reporting and analysis of business intelligence to enable decision-making based on data insights. In addition, work is being scoped with Microsoft to undertake a </w:t>
      </w:r>
      <w:r w:rsidRPr="00D854A6">
        <w:rPr>
          <w:rFonts w:ascii="Arial" w:hAnsi="Arial" w:cs="Arial"/>
          <w:sz w:val="24"/>
          <w:szCs w:val="24"/>
        </w:rPr>
        <w:lastRenderedPageBreak/>
        <w:t xml:space="preserve">second proof of concept that will allow the force to gain insights into its demand profile using internal and open source data. Essex University is currently looking at demand on the front line to add a further tactical layer to the data strategy and information audit already completed. Once this is completed, discussions will determine the next steps in applying the strategy to the force and setting out the data roadmap to put data at the heart of the force. </w:t>
      </w:r>
    </w:p>
    <w:p w14:paraId="68478831" w14:textId="77777777" w:rsidR="008F0D43" w:rsidRPr="00D854A6" w:rsidRDefault="008F0D43" w:rsidP="008F0D43">
      <w:r w:rsidRPr="00D854A6">
        <w:rPr>
          <w:rFonts w:ascii="Arial" w:hAnsi="Arial" w:cs="Arial"/>
          <w:sz w:val="24"/>
          <w:szCs w:val="24"/>
        </w:rPr>
        <w:t>Planning is now underway for ‘hothouse’ 2019/2020 that will include both existing and new partners working on a different problem set. A key area to be explored as part of the development of the second iteration of the initiative is the sustainability of the model</w:t>
      </w:r>
      <w:r w:rsidR="00CB5B74" w:rsidRPr="00D854A6">
        <w:rPr>
          <w:rFonts w:ascii="Arial" w:hAnsi="Arial" w:cs="Arial"/>
          <w:sz w:val="24"/>
          <w:szCs w:val="24"/>
        </w:rPr>
        <w:t xml:space="preserve">. </w:t>
      </w:r>
      <w:r w:rsidR="00B80199" w:rsidRPr="00D854A6">
        <w:rPr>
          <w:rFonts w:ascii="Arial" w:hAnsi="Arial" w:cs="Arial"/>
          <w:sz w:val="24"/>
          <w:szCs w:val="24"/>
        </w:rPr>
        <w:t>The Hot House event is planned for October 2019. A planning meeting for external partners is to be scheduled for May 2019.</w:t>
      </w:r>
      <w:r w:rsidRPr="00D854A6">
        <w:rPr>
          <w:rFonts w:ascii="Arial" w:hAnsi="Arial" w:cs="Arial"/>
          <w:sz w:val="24"/>
          <w:szCs w:val="24"/>
        </w:rPr>
        <w:t xml:space="preserve"> </w:t>
      </w:r>
    </w:p>
    <w:p w14:paraId="1B40A22F" w14:textId="77777777" w:rsidR="008F0D43" w:rsidRPr="00D854A6" w:rsidRDefault="008F0D43" w:rsidP="008F0D43">
      <w:pPr>
        <w:rPr>
          <w:rFonts w:ascii="Arial" w:hAnsi="Arial" w:cs="Arial"/>
          <w:b/>
          <w:sz w:val="24"/>
          <w:szCs w:val="24"/>
          <w:u w:val="single"/>
        </w:rPr>
      </w:pPr>
      <w:r w:rsidRPr="00D854A6">
        <w:rPr>
          <w:rFonts w:ascii="Arial" w:hAnsi="Arial" w:cs="Arial"/>
          <w:b/>
          <w:sz w:val="24"/>
          <w:szCs w:val="24"/>
          <w:u w:val="single"/>
        </w:rPr>
        <w:t>Anglia Ruskin University (ARU)</w:t>
      </w:r>
    </w:p>
    <w:p w14:paraId="199AAB82" w14:textId="77777777" w:rsidR="003E4D9F" w:rsidRPr="00D854A6" w:rsidRDefault="003E4D9F" w:rsidP="003F231E">
      <w:pPr>
        <w:rPr>
          <w:rFonts w:ascii="Arial" w:hAnsi="Arial" w:cs="Arial"/>
          <w:sz w:val="24"/>
          <w:szCs w:val="24"/>
          <w:u w:val="single"/>
        </w:rPr>
      </w:pPr>
    </w:p>
    <w:p w14:paraId="5DB26A2C" w14:textId="77777777" w:rsidR="003F231E" w:rsidRPr="00D854A6" w:rsidRDefault="008F0D43" w:rsidP="003F231E">
      <w:pPr>
        <w:rPr>
          <w:color w:val="1F497D"/>
        </w:rPr>
      </w:pPr>
      <w:r w:rsidRPr="00D854A6">
        <w:rPr>
          <w:rFonts w:ascii="Arial" w:hAnsi="Arial" w:cs="Arial"/>
          <w:sz w:val="24"/>
          <w:szCs w:val="24"/>
          <w:u w:val="single"/>
        </w:rPr>
        <w:t xml:space="preserve">Domestic Abuse Victims Project - </w:t>
      </w:r>
      <w:r w:rsidRPr="00D854A6">
        <w:rPr>
          <w:rFonts w:ascii="Arial" w:hAnsi="Arial" w:cs="Arial"/>
          <w:sz w:val="24"/>
          <w:szCs w:val="24"/>
        </w:rPr>
        <w:t xml:space="preserve">This 12 month project, commissioned by the OPFCC is being undertaken by Anglia Ruskin.  </w:t>
      </w:r>
      <w:r w:rsidR="00BF4C2F" w:rsidRPr="00D854A6">
        <w:rPr>
          <w:rFonts w:ascii="Arial" w:hAnsi="Arial" w:cs="Arial"/>
          <w:sz w:val="24"/>
          <w:szCs w:val="24"/>
        </w:rPr>
        <w:t>(Overall RAG – Green)</w:t>
      </w:r>
    </w:p>
    <w:p w14:paraId="20A012EC" w14:textId="77777777" w:rsidR="008F0D43" w:rsidRDefault="008F0D43" w:rsidP="008F0D43">
      <w:pPr>
        <w:rPr>
          <w:rFonts w:ascii="Calibri" w:hAnsi="Calibri" w:cs="Calibri"/>
          <w:color w:val="000000"/>
          <w:shd w:val="clear" w:color="auto" w:fill="FFFFFF"/>
          <w:lang w:eastAsia="en-GB"/>
        </w:rPr>
      </w:pPr>
      <w:r>
        <w:rPr>
          <w:rFonts w:ascii="Arial" w:hAnsi="Arial" w:cs="Arial"/>
          <w:sz w:val="24"/>
          <w:szCs w:val="24"/>
        </w:rPr>
        <w:t xml:space="preserve">The focus of the research project is to understand reasons for DA victim non-cooperation and whether enforced separation increases the risk against some DA victims. It will research understanding around what is a good outcome for a victim of domestic abuse, and how police can identify and define such, in particular with regards to repeat victims.  Do traditional police tactics keep DA parties apart either by DVPN (Domestic Violence Protection Notice), bail conditions or restraining orders, or do these perversely increase </w:t>
      </w:r>
      <w:r>
        <w:rPr>
          <w:rFonts w:ascii="Arial" w:hAnsi="Arial" w:cs="Arial"/>
          <w:sz w:val="24"/>
          <w:szCs w:val="24"/>
        </w:rPr>
        <w:lastRenderedPageBreak/>
        <w:t xml:space="preserve">the risk depending on support network and demographics.   The research will also look at how effective is this issuing of DVPN/DVPO (Domestic Violence Protection Orders).  Is there evidence to suggest this enhances victims safeguarding and increases the probability of a victim continuing to support a case? Or does the effectiveness of DVPN/O rely solely upon the support of a victim, and if the victim is unsupportive how effective does it become. </w:t>
      </w:r>
    </w:p>
    <w:p w14:paraId="3802A1A8" w14:textId="77777777" w:rsidR="003F231E" w:rsidRPr="003F231E" w:rsidRDefault="003F231E" w:rsidP="003F231E">
      <w:pPr>
        <w:rPr>
          <w:rFonts w:ascii="Arial" w:hAnsi="Arial" w:cs="Arial"/>
          <w:sz w:val="24"/>
          <w:szCs w:val="24"/>
        </w:rPr>
      </w:pPr>
      <w:r w:rsidRPr="003F231E">
        <w:rPr>
          <w:rFonts w:ascii="Arial" w:hAnsi="Arial" w:cs="Arial"/>
          <w:sz w:val="24"/>
          <w:szCs w:val="24"/>
        </w:rPr>
        <w:t>Essex Police and ARU will be entering into a data processing agreement enabling DVPN/DVPO data to be shared for ARU to complete the project. A completion deadline of 30th April 2019 has been confirmed.</w:t>
      </w:r>
    </w:p>
    <w:p w14:paraId="58006D2A" w14:textId="77777777" w:rsidR="00BF4C2F" w:rsidRDefault="008F0D43" w:rsidP="008F0D43">
      <w:pPr>
        <w:rPr>
          <w:rFonts w:ascii="Arial" w:hAnsi="Arial" w:cs="Arial"/>
          <w:sz w:val="24"/>
          <w:szCs w:val="24"/>
          <w:u w:val="single"/>
        </w:rPr>
      </w:pPr>
      <w:r w:rsidRPr="00AD1326">
        <w:rPr>
          <w:rFonts w:ascii="Arial" w:hAnsi="Arial" w:cs="Arial"/>
          <w:sz w:val="24"/>
          <w:szCs w:val="24"/>
          <w:u w:val="single"/>
        </w:rPr>
        <w:t>Restoring Public Confidence through the delivery of improved Community Policing</w:t>
      </w:r>
      <w:r>
        <w:rPr>
          <w:rFonts w:ascii="Arial" w:hAnsi="Arial" w:cs="Arial"/>
          <w:sz w:val="24"/>
          <w:szCs w:val="24"/>
          <w:u w:val="single"/>
        </w:rPr>
        <w:t xml:space="preserve"> </w:t>
      </w:r>
      <w:r w:rsidR="00BF4C2F">
        <w:rPr>
          <w:rFonts w:ascii="Arial" w:hAnsi="Arial" w:cs="Arial"/>
          <w:sz w:val="24"/>
          <w:szCs w:val="24"/>
          <w:u w:val="single"/>
        </w:rPr>
        <w:t xml:space="preserve">- (Overall RAG – Green) </w:t>
      </w:r>
    </w:p>
    <w:p w14:paraId="2368DADF" w14:textId="77777777" w:rsidR="008F0D43" w:rsidRPr="00AD1326" w:rsidRDefault="008F0D43" w:rsidP="008F0D43">
      <w:pPr>
        <w:rPr>
          <w:rFonts w:cs="Arial"/>
          <w:szCs w:val="24"/>
        </w:rPr>
      </w:pPr>
      <w:r w:rsidRPr="00AD1326">
        <w:rPr>
          <w:rFonts w:ascii="Arial" w:hAnsi="Arial" w:cs="Arial"/>
          <w:sz w:val="24"/>
          <w:szCs w:val="24"/>
        </w:rPr>
        <w:t>This 12 month project, commissioned by the OPFCC, is due to completed at the end of March 2019.The main outcome from the research will be a report on community policing in Essex which contains a solid understanding of how community</w:t>
      </w:r>
      <w:r>
        <w:rPr>
          <w:rFonts w:ascii="Arial" w:hAnsi="Arial" w:cs="Arial"/>
          <w:sz w:val="24"/>
          <w:szCs w:val="24"/>
        </w:rPr>
        <w:t xml:space="preserve"> policing is undertaken</w:t>
      </w:r>
      <w:r w:rsidRPr="00AD1326">
        <w:rPr>
          <w:rFonts w:ascii="Arial" w:hAnsi="Arial" w:cs="Arial"/>
          <w:sz w:val="24"/>
          <w:szCs w:val="24"/>
        </w:rPr>
        <w:t>. This will include content analysis of publicly available information, and analysis of Essex Police data</w:t>
      </w:r>
      <w:r>
        <w:rPr>
          <w:rFonts w:ascii="Arial" w:hAnsi="Arial" w:cs="Arial"/>
          <w:sz w:val="24"/>
          <w:szCs w:val="24"/>
        </w:rPr>
        <w:t>.</w:t>
      </w:r>
    </w:p>
    <w:p w14:paraId="08A16519" w14:textId="77777777" w:rsidR="008F0D43" w:rsidRDefault="008F0D43" w:rsidP="008F0D43">
      <w:pPr>
        <w:pStyle w:val="NoSpacing"/>
        <w:rPr>
          <w:rFonts w:ascii="Arial" w:hAnsi="Arial" w:cs="Arial"/>
          <w:sz w:val="24"/>
          <w:szCs w:val="24"/>
        </w:rPr>
      </w:pPr>
      <w:r w:rsidRPr="00A97886">
        <w:rPr>
          <w:rFonts w:ascii="Arial" w:hAnsi="Arial" w:cs="Arial"/>
          <w:sz w:val="24"/>
          <w:szCs w:val="24"/>
        </w:rPr>
        <w:t xml:space="preserve">The Head of Public Engagement and Customer Service has met with the ARU research lead and shared the </w:t>
      </w:r>
      <w:r>
        <w:rPr>
          <w:rFonts w:ascii="Arial" w:hAnsi="Arial" w:cs="Arial"/>
          <w:sz w:val="24"/>
          <w:szCs w:val="24"/>
        </w:rPr>
        <w:t>Essex Police</w:t>
      </w:r>
      <w:r w:rsidRPr="00A97886">
        <w:rPr>
          <w:rFonts w:ascii="Arial" w:hAnsi="Arial" w:cs="Arial"/>
          <w:sz w:val="24"/>
          <w:szCs w:val="24"/>
        </w:rPr>
        <w:t xml:space="preserve"> Public Engagement Strategy, local plans and public perception survey results and discussed the key areas for the project and focus groups. The public engagement team are supporting ARU during the research and have already facilitated the request from ARU to conduct focus groups with district commanders and community policing teams from the Southend and Uttlesford District Policing Areas. The final report is due at the end of March 2019, but early findings </w:t>
      </w:r>
      <w:r w:rsidRPr="00A97886">
        <w:rPr>
          <w:rFonts w:ascii="Arial" w:hAnsi="Arial" w:cs="Arial"/>
          <w:sz w:val="24"/>
          <w:szCs w:val="24"/>
        </w:rPr>
        <w:lastRenderedPageBreak/>
        <w:t>from the focus group include the capacity of the Community policing teams to fulfil local engagement alongside their responsibilities for investigating Hate Crime.</w:t>
      </w:r>
    </w:p>
    <w:p w14:paraId="32B01985" w14:textId="77777777" w:rsidR="00C34F59" w:rsidRDefault="00C34F59" w:rsidP="008F0D43">
      <w:pPr>
        <w:pStyle w:val="NoSpacing"/>
        <w:rPr>
          <w:rFonts w:ascii="Arial" w:hAnsi="Arial" w:cs="Arial"/>
          <w:sz w:val="24"/>
          <w:szCs w:val="24"/>
        </w:rPr>
      </w:pPr>
    </w:p>
    <w:p w14:paraId="28CFC7F4" w14:textId="77777777" w:rsidR="00C34F59" w:rsidRPr="00C34F59" w:rsidRDefault="00C34F59" w:rsidP="00C34F59">
      <w:pPr>
        <w:pStyle w:val="NoSpacing"/>
        <w:rPr>
          <w:rFonts w:ascii="Arial" w:hAnsi="Arial" w:cs="Arial"/>
          <w:sz w:val="24"/>
          <w:szCs w:val="24"/>
        </w:rPr>
      </w:pPr>
      <w:r w:rsidRPr="00C34F59">
        <w:rPr>
          <w:rFonts w:ascii="Arial" w:hAnsi="Arial" w:cs="Arial"/>
          <w:sz w:val="24"/>
          <w:szCs w:val="24"/>
        </w:rPr>
        <w:t>We have been informed that the findings and report have been sent to the OPFCC. EP has received a copy of the Executive summary.</w:t>
      </w:r>
    </w:p>
    <w:p w14:paraId="46369DCD" w14:textId="77777777" w:rsidR="00C34F59" w:rsidRDefault="00C34F59" w:rsidP="00C34F59">
      <w:pPr>
        <w:pStyle w:val="NoSpacing"/>
        <w:rPr>
          <w:rFonts w:ascii="Arial" w:hAnsi="Arial" w:cs="Arial"/>
          <w:sz w:val="24"/>
          <w:szCs w:val="24"/>
        </w:rPr>
      </w:pPr>
      <w:r w:rsidRPr="00C34F59">
        <w:rPr>
          <w:rFonts w:ascii="Arial" w:hAnsi="Arial" w:cs="Arial"/>
          <w:sz w:val="24"/>
          <w:szCs w:val="24"/>
        </w:rPr>
        <w:t>The findings of the focus groups were as follows:</w:t>
      </w:r>
    </w:p>
    <w:p w14:paraId="3850AA39" w14:textId="77777777" w:rsidR="00575165" w:rsidRPr="00C34F59" w:rsidRDefault="00575165" w:rsidP="00C34F59">
      <w:pPr>
        <w:pStyle w:val="NoSpacing"/>
        <w:rPr>
          <w:rFonts w:ascii="Arial" w:hAnsi="Arial" w:cs="Arial"/>
          <w:sz w:val="24"/>
          <w:szCs w:val="24"/>
        </w:rPr>
      </w:pPr>
    </w:p>
    <w:p w14:paraId="099F2401" w14:textId="77777777" w:rsidR="00C34F59" w:rsidRPr="00C34F59" w:rsidRDefault="00C34F59" w:rsidP="00834A66">
      <w:pPr>
        <w:pStyle w:val="NoSpacing"/>
        <w:ind w:left="720" w:hanging="720"/>
        <w:rPr>
          <w:rFonts w:ascii="Arial" w:hAnsi="Arial" w:cs="Arial"/>
          <w:sz w:val="24"/>
          <w:szCs w:val="24"/>
        </w:rPr>
      </w:pPr>
      <w:r w:rsidRPr="00C34F59">
        <w:rPr>
          <w:rFonts w:ascii="Arial" w:hAnsi="Arial" w:cs="Arial"/>
          <w:sz w:val="24"/>
          <w:szCs w:val="24"/>
        </w:rPr>
        <w:t>•</w:t>
      </w:r>
      <w:r w:rsidRPr="00C34F59">
        <w:rPr>
          <w:rFonts w:ascii="Arial" w:hAnsi="Arial" w:cs="Arial"/>
          <w:sz w:val="24"/>
          <w:szCs w:val="24"/>
        </w:rPr>
        <w:tab/>
        <w:t>Strong partnerships with other agencies: many police officer respondents spoke warmly</w:t>
      </w:r>
      <w:r w:rsidR="00575165">
        <w:rPr>
          <w:rFonts w:ascii="Arial" w:hAnsi="Arial" w:cs="Arial"/>
          <w:sz w:val="24"/>
          <w:szCs w:val="24"/>
        </w:rPr>
        <w:t xml:space="preserve"> </w:t>
      </w:r>
      <w:r w:rsidRPr="00C34F59">
        <w:rPr>
          <w:rFonts w:ascii="Arial" w:hAnsi="Arial" w:cs="Arial"/>
          <w:sz w:val="24"/>
          <w:szCs w:val="24"/>
        </w:rPr>
        <w:t>about the strength and benefits of the relationships that they had built with other agencies,</w:t>
      </w:r>
      <w:r w:rsidR="00575165">
        <w:rPr>
          <w:rFonts w:ascii="Arial" w:hAnsi="Arial" w:cs="Arial"/>
          <w:sz w:val="24"/>
          <w:szCs w:val="24"/>
        </w:rPr>
        <w:t xml:space="preserve"> </w:t>
      </w:r>
      <w:r w:rsidRPr="00C34F59">
        <w:rPr>
          <w:rFonts w:ascii="Arial" w:hAnsi="Arial" w:cs="Arial"/>
          <w:sz w:val="24"/>
          <w:szCs w:val="24"/>
        </w:rPr>
        <w:t>especially those of the local council. Co-location had clearly created advantages for the maintenance of these relationships.</w:t>
      </w:r>
    </w:p>
    <w:p w14:paraId="3934DEEE" w14:textId="77777777" w:rsidR="00C34F59" w:rsidRDefault="00C34F59" w:rsidP="00834A66">
      <w:pPr>
        <w:pStyle w:val="NoSpacing"/>
        <w:ind w:left="720" w:hanging="720"/>
        <w:rPr>
          <w:rFonts w:ascii="Arial" w:hAnsi="Arial" w:cs="Arial"/>
          <w:sz w:val="24"/>
          <w:szCs w:val="24"/>
        </w:rPr>
      </w:pPr>
      <w:r w:rsidRPr="00C34F59">
        <w:rPr>
          <w:rFonts w:ascii="Arial" w:hAnsi="Arial" w:cs="Arial"/>
          <w:sz w:val="24"/>
          <w:szCs w:val="24"/>
        </w:rPr>
        <w:t>•</w:t>
      </w:r>
      <w:r w:rsidRPr="00C34F59">
        <w:rPr>
          <w:rFonts w:ascii="Arial" w:hAnsi="Arial" w:cs="Arial"/>
          <w:sz w:val="24"/>
          <w:szCs w:val="24"/>
        </w:rPr>
        <w:tab/>
        <w:t>Experienced and dedicated community policing teams with good local knowledge: officers they struggled at times to find the time to maintain this knowledge. Residents spoke very highly of the local officers they knew by name.</w:t>
      </w:r>
    </w:p>
    <w:p w14:paraId="3C591C84" w14:textId="77777777" w:rsidR="00575165" w:rsidRPr="00C34F59" w:rsidRDefault="00575165" w:rsidP="00834A66">
      <w:pPr>
        <w:pStyle w:val="NoSpacing"/>
        <w:ind w:left="720" w:hanging="720"/>
        <w:rPr>
          <w:rFonts w:ascii="Arial" w:hAnsi="Arial" w:cs="Arial"/>
          <w:sz w:val="24"/>
          <w:szCs w:val="24"/>
        </w:rPr>
      </w:pPr>
    </w:p>
    <w:p w14:paraId="41A7B571" w14:textId="77777777" w:rsidR="00C34F59" w:rsidRDefault="00C34F59" w:rsidP="00834A66">
      <w:pPr>
        <w:pStyle w:val="NoSpacing"/>
        <w:ind w:left="720" w:hanging="720"/>
        <w:rPr>
          <w:rFonts w:ascii="Arial" w:hAnsi="Arial" w:cs="Arial"/>
          <w:sz w:val="24"/>
          <w:szCs w:val="24"/>
        </w:rPr>
      </w:pPr>
      <w:r w:rsidRPr="00C34F59">
        <w:rPr>
          <w:rFonts w:ascii="Arial" w:hAnsi="Arial" w:cs="Arial"/>
          <w:sz w:val="24"/>
          <w:szCs w:val="24"/>
        </w:rPr>
        <w:t>•</w:t>
      </w:r>
      <w:r w:rsidRPr="00C34F59">
        <w:rPr>
          <w:rFonts w:ascii="Arial" w:hAnsi="Arial" w:cs="Arial"/>
          <w:sz w:val="24"/>
          <w:szCs w:val="24"/>
        </w:rPr>
        <w:tab/>
        <w:t>Commitment to facilitating a range of community engagement activities, including social media: officers were happy to use a range of methods for engaging the public, and were effective in doing so, when other demands allowed.</w:t>
      </w:r>
    </w:p>
    <w:p w14:paraId="59E88073" w14:textId="77777777" w:rsidR="00C34F59" w:rsidRPr="00C34F59" w:rsidRDefault="00C34F59" w:rsidP="00C34F59">
      <w:pPr>
        <w:pStyle w:val="NoSpacing"/>
        <w:rPr>
          <w:rFonts w:ascii="Arial" w:hAnsi="Arial" w:cs="Arial"/>
          <w:sz w:val="24"/>
          <w:szCs w:val="24"/>
        </w:rPr>
      </w:pPr>
    </w:p>
    <w:p w14:paraId="479491CB" w14:textId="77777777" w:rsidR="00C34F59" w:rsidRDefault="00C34F59" w:rsidP="00834A66">
      <w:pPr>
        <w:pStyle w:val="NoSpacing"/>
        <w:ind w:left="720" w:hanging="720"/>
        <w:rPr>
          <w:rFonts w:ascii="Arial" w:hAnsi="Arial" w:cs="Arial"/>
          <w:sz w:val="24"/>
          <w:szCs w:val="24"/>
        </w:rPr>
      </w:pPr>
      <w:r w:rsidRPr="00C34F59">
        <w:rPr>
          <w:rFonts w:ascii="Arial" w:hAnsi="Arial" w:cs="Arial"/>
          <w:sz w:val="24"/>
          <w:szCs w:val="24"/>
        </w:rPr>
        <w:t>•</w:t>
      </w:r>
      <w:r w:rsidRPr="00C34F59">
        <w:rPr>
          <w:rFonts w:ascii="Arial" w:hAnsi="Arial" w:cs="Arial"/>
          <w:sz w:val="24"/>
          <w:szCs w:val="24"/>
        </w:rPr>
        <w:tab/>
        <w:t>Integration of special constables and volunteers: Special Constables were well-integrated</w:t>
      </w:r>
      <w:r w:rsidR="000B5CAC">
        <w:rPr>
          <w:rFonts w:ascii="Arial" w:hAnsi="Arial" w:cs="Arial"/>
          <w:sz w:val="24"/>
          <w:szCs w:val="24"/>
        </w:rPr>
        <w:t xml:space="preserve"> </w:t>
      </w:r>
      <w:r w:rsidRPr="00C34F59">
        <w:rPr>
          <w:rFonts w:ascii="Arial" w:hAnsi="Arial" w:cs="Arial"/>
          <w:sz w:val="24"/>
          <w:szCs w:val="24"/>
        </w:rPr>
        <w:t>with regular officers and in some areas were given the opportunity to develop ‘ownership’</w:t>
      </w:r>
      <w:r w:rsidR="000B5CAC">
        <w:rPr>
          <w:rFonts w:ascii="Arial" w:hAnsi="Arial" w:cs="Arial"/>
          <w:sz w:val="24"/>
          <w:szCs w:val="24"/>
        </w:rPr>
        <w:t xml:space="preserve"> </w:t>
      </w:r>
      <w:r w:rsidRPr="00C34F59">
        <w:rPr>
          <w:rFonts w:ascii="Arial" w:hAnsi="Arial" w:cs="Arial"/>
          <w:sz w:val="24"/>
          <w:szCs w:val="24"/>
        </w:rPr>
        <w:t>over the areas they policed. The ‘Active Citizen’ programme was also widely spoken highly of.</w:t>
      </w:r>
    </w:p>
    <w:p w14:paraId="29AA06AB" w14:textId="77777777" w:rsidR="00575165" w:rsidRPr="00C34F59" w:rsidRDefault="00575165" w:rsidP="00C34F59">
      <w:pPr>
        <w:pStyle w:val="NoSpacing"/>
        <w:rPr>
          <w:rFonts w:ascii="Arial" w:hAnsi="Arial" w:cs="Arial"/>
          <w:sz w:val="24"/>
          <w:szCs w:val="24"/>
        </w:rPr>
      </w:pPr>
    </w:p>
    <w:p w14:paraId="7ACE9380" w14:textId="77777777" w:rsidR="00C34F59" w:rsidRPr="00C34F59" w:rsidRDefault="00C34F59" w:rsidP="00C34F59">
      <w:pPr>
        <w:pStyle w:val="NoSpacing"/>
        <w:rPr>
          <w:rFonts w:ascii="Arial" w:hAnsi="Arial" w:cs="Arial"/>
          <w:sz w:val="24"/>
          <w:szCs w:val="24"/>
        </w:rPr>
      </w:pPr>
    </w:p>
    <w:p w14:paraId="61FD9D58" w14:textId="77777777" w:rsidR="00BF4C2F" w:rsidRDefault="008F0D43" w:rsidP="008F0D43">
      <w:pPr>
        <w:rPr>
          <w:rFonts w:ascii="Arial" w:hAnsi="Arial" w:cs="Arial"/>
          <w:sz w:val="24"/>
          <w:szCs w:val="24"/>
          <w:u w:val="single"/>
        </w:rPr>
      </w:pPr>
      <w:r w:rsidRPr="00A97886">
        <w:rPr>
          <w:rFonts w:ascii="Arial" w:hAnsi="Arial" w:cs="Arial"/>
          <w:sz w:val="24"/>
          <w:szCs w:val="24"/>
          <w:u w:val="single"/>
        </w:rPr>
        <w:t xml:space="preserve">Optimisation of Police and Public Engagement </w:t>
      </w:r>
      <w:r w:rsidR="00BF4C2F">
        <w:rPr>
          <w:rFonts w:ascii="Arial" w:hAnsi="Arial" w:cs="Arial"/>
          <w:sz w:val="24"/>
          <w:szCs w:val="24"/>
          <w:u w:val="single"/>
        </w:rPr>
        <w:t>–</w:t>
      </w:r>
      <w:r w:rsidRPr="00A97886">
        <w:rPr>
          <w:rFonts w:ascii="Arial" w:hAnsi="Arial" w:cs="Arial"/>
          <w:sz w:val="24"/>
          <w:szCs w:val="24"/>
          <w:u w:val="single"/>
        </w:rPr>
        <w:t xml:space="preserve"> </w:t>
      </w:r>
      <w:r w:rsidR="00BF4C2F">
        <w:rPr>
          <w:rFonts w:ascii="Arial" w:hAnsi="Arial" w:cs="Arial"/>
          <w:sz w:val="24"/>
          <w:szCs w:val="24"/>
          <w:u w:val="single"/>
        </w:rPr>
        <w:t xml:space="preserve">(Overall RAG – Amber) </w:t>
      </w:r>
    </w:p>
    <w:p w14:paraId="598A1EF2" w14:textId="77777777" w:rsidR="008F0D43" w:rsidRPr="00A97886" w:rsidRDefault="008F0D43" w:rsidP="008F0D43">
      <w:pPr>
        <w:rPr>
          <w:rFonts w:ascii="Arial" w:hAnsi="Arial" w:cs="Arial"/>
          <w:sz w:val="24"/>
          <w:szCs w:val="24"/>
        </w:rPr>
      </w:pPr>
      <w:r w:rsidRPr="00A97886">
        <w:rPr>
          <w:rFonts w:ascii="Arial" w:hAnsi="Arial" w:cs="Arial"/>
          <w:sz w:val="24"/>
          <w:szCs w:val="24"/>
        </w:rPr>
        <w:lastRenderedPageBreak/>
        <w:t xml:space="preserve">This project is funded by an external grant achieved by ARU and is a follow up to the research project in 2014/15 – Optimisation of Police and Public Engagement. This project will test and implement specific Social Media communications aimed at improving Essex Police’s public confidence based on the findings of the 2015 Essex Police survey. </w:t>
      </w:r>
    </w:p>
    <w:p w14:paraId="22D20BEC" w14:textId="77777777" w:rsidR="008F0D43" w:rsidRDefault="008F0D43" w:rsidP="008F0D43">
      <w:pPr>
        <w:pStyle w:val="NoSpacing"/>
        <w:rPr>
          <w:rFonts w:ascii="Arial" w:hAnsi="Arial" w:cs="Arial"/>
          <w:sz w:val="24"/>
          <w:szCs w:val="24"/>
        </w:rPr>
      </w:pPr>
      <w:r w:rsidRPr="00A97886">
        <w:rPr>
          <w:rFonts w:ascii="Arial" w:hAnsi="Arial" w:cs="Arial"/>
          <w:sz w:val="24"/>
          <w:szCs w:val="24"/>
        </w:rPr>
        <w:t>ARU launched their survey as part of this project in August 2018.   Essex Police has supported the promotion of this survey using social media channels to increase its reach and completion.  Unfortunately, over the summer period, whilst the public reach was very high, the completion rate was lower than expected.  This resulted in some adjustment to the survey and a series of targeted postings to increase public uptake.   ARU research team would like to achieve at least 500 completed responses from members of the public to validate its research</w:t>
      </w:r>
      <w:r w:rsidR="00C34F59">
        <w:rPr>
          <w:rFonts w:ascii="Arial" w:hAnsi="Arial" w:cs="Arial"/>
          <w:sz w:val="24"/>
          <w:szCs w:val="24"/>
        </w:rPr>
        <w:t>.</w:t>
      </w:r>
    </w:p>
    <w:p w14:paraId="6F2026B0" w14:textId="77777777" w:rsidR="008F0D43" w:rsidRDefault="008F0D43" w:rsidP="008F0D43">
      <w:pPr>
        <w:pStyle w:val="NoSpacing"/>
        <w:rPr>
          <w:rFonts w:ascii="Arial" w:hAnsi="Arial" w:cs="Arial"/>
          <w:sz w:val="24"/>
          <w:szCs w:val="24"/>
        </w:rPr>
      </w:pPr>
    </w:p>
    <w:p w14:paraId="3F79127E" w14:textId="77777777" w:rsidR="00C34F59" w:rsidRPr="00C34F59" w:rsidRDefault="00C34F59" w:rsidP="00C34F59">
      <w:pPr>
        <w:pStyle w:val="NoSpacing"/>
        <w:rPr>
          <w:rFonts w:ascii="Arial" w:hAnsi="Arial" w:cs="Arial"/>
          <w:sz w:val="24"/>
          <w:szCs w:val="24"/>
        </w:rPr>
      </w:pPr>
      <w:r w:rsidRPr="00C34F59">
        <w:rPr>
          <w:rFonts w:ascii="Arial" w:hAnsi="Arial" w:cs="Arial"/>
          <w:sz w:val="24"/>
          <w:szCs w:val="24"/>
        </w:rPr>
        <w:t xml:space="preserve">ARU report that despite a push on social media channels to increase participation, completed surveys are still under 300.  Essex Police will continue to promote the survey using their social media channels to help boot participation levels.  The project remains on track and ARU aim to complete their report by June 2019.  </w:t>
      </w:r>
    </w:p>
    <w:p w14:paraId="22C73CA0" w14:textId="77777777" w:rsidR="00C34F59" w:rsidRDefault="00C34F59" w:rsidP="008F0D43">
      <w:pPr>
        <w:pStyle w:val="NoSpacing"/>
        <w:rPr>
          <w:rFonts w:ascii="Arial" w:hAnsi="Arial" w:cs="Arial"/>
          <w:sz w:val="24"/>
          <w:szCs w:val="24"/>
        </w:rPr>
      </w:pPr>
    </w:p>
    <w:p w14:paraId="506D793A" w14:textId="77777777" w:rsidR="00C34F59" w:rsidRDefault="00C34F59" w:rsidP="008F0D43">
      <w:pPr>
        <w:pStyle w:val="NoSpacing"/>
        <w:rPr>
          <w:rFonts w:ascii="Arial" w:hAnsi="Arial" w:cs="Arial"/>
          <w:sz w:val="24"/>
          <w:szCs w:val="24"/>
        </w:rPr>
      </w:pPr>
    </w:p>
    <w:p w14:paraId="12D07B44" w14:textId="77777777" w:rsidR="008F0D43" w:rsidRPr="001A674B" w:rsidRDefault="008F0D43" w:rsidP="008F0D43">
      <w:pPr>
        <w:rPr>
          <w:rFonts w:ascii="Arial" w:hAnsi="Arial" w:cs="Arial"/>
          <w:b/>
          <w:sz w:val="24"/>
          <w:szCs w:val="24"/>
          <w:u w:val="single"/>
        </w:rPr>
      </w:pPr>
      <w:r w:rsidRPr="001A674B">
        <w:rPr>
          <w:rFonts w:ascii="Arial" w:hAnsi="Arial" w:cs="Arial"/>
          <w:b/>
          <w:sz w:val="24"/>
          <w:szCs w:val="24"/>
          <w:u w:val="single"/>
        </w:rPr>
        <w:t>Cyber Specials and Volunteers</w:t>
      </w:r>
      <w:r w:rsidR="00C337C1">
        <w:rPr>
          <w:rFonts w:ascii="Arial" w:hAnsi="Arial" w:cs="Arial"/>
          <w:b/>
          <w:sz w:val="24"/>
          <w:szCs w:val="24"/>
          <w:u w:val="single"/>
        </w:rPr>
        <w:t xml:space="preserve"> </w:t>
      </w:r>
      <w:r w:rsidR="00BF4C2F">
        <w:rPr>
          <w:rFonts w:ascii="Arial" w:hAnsi="Arial" w:cs="Arial"/>
          <w:b/>
          <w:sz w:val="24"/>
          <w:szCs w:val="24"/>
          <w:u w:val="single"/>
        </w:rPr>
        <w:t>– (Overall RAG – Green)</w:t>
      </w:r>
    </w:p>
    <w:p w14:paraId="6315A755" w14:textId="77777777" w:rsidR="008F0D43" w:rsidRDefault="008F0D43" w:rsidP="008F0D43">
      <w:pPr>
        <w:rPr>
          <w:rFonts w:ascii="Arial" w:hAnsi="Arial" w:cs="Arial"/>
          <w:sz w:val="24"/>
          <w:szCs w:val="24"/>
        </w:rPr>
      </w:pPr>
      <w:r w:rsidRPr="001A674B">
        <w:rPr>
          <w:rFonts w:ascii="Arial" w:hAnsi="Arial" w:cs="Arial"/>
          <w:sz w:val="24"/>
          <w:szCs w:val="24"/>
        </w:rPr>
        <w:t xml:space="preserve">In May 2018 Essex Police launched its Cyber Specials and Volunteers Scheme, looking to attract talent from local businesses and organisations interested in working in digital capabilities in the force such as Internet Investigation and Intelligence, Cyber and Big Data Analytics. The scheme as launched at Anglia Ruskin University (one of our ‘hothouse’ partners) and resulted in over 70 applications from people </w:t>
      </w:r>
      <w:r w:rsidRPr="001A674B">
        <w:rPr>
          <w:rFonts w:ascii="Arial" w:hAnsi="Arial" w:cs="Arial"/>
          <w:sz w:val="24"/>
          <w:szCs w:val="24"/>
        </w:rPr>
        <w:lastRenderedPageBreak/>
        <w:t xml:space="preserve">interested in working with Essex Police, mostly as a volunteer. Work continues to match the applicants to opportunities and developments include the creation of a forum to engage with the applicants and the wider Cyber business community following a model developed by Northamptonshire Police and Crime Commissioner. </w:t>
      </w:r>
      <w:r w:rsidR="00FD162D">
        <w:rPr>
          <w:rFonts w:ascii="Arial" w:hAnsi="Arial" w:cs="Arial"/>
          <w:sz w:val="24"/>
          <w:szCs w:val="24"/>
        </w:rPr>
        <w:t>Priority is being given to the Cyber Protect Volunteers.</w:t>
      </w:r>
    </w:p>
    <w:p w14:paraId="50C15A98" w14:textId="77777777" w:rsidR="00FD162D" w:rsidRPr="00FD162D" w:rsidRDefault="008F0D43" w:rsidP="00FD162D">
      <w:pPr>
        <w:rPr>
          <w:rFonts w:ascii="Arial" w:hAnsi="Arial" w:cs="Arial"/>
          <w:sz w:val="24"/>
          <w:szCs w:val="24"/>
        </w:rPr>
      </w:pPr>
      <w:r>
        <w:rPr>
          <w:rFonts w:ascii="Arial" w:hAnsi="Arial" w:cs="Arial"/>
          <w:sz w:val="24"/>
          <w:szCs w:val="24"/>
        </w:rPr>
        <w:t xml:space="preserve">Some of the volunteers have started in Serious Crime Directorate and we have now matched some of the other volunteers to more of the roles we have available. The Northants platform will allow us to utilise the volunteers in a much more dynamic way in real time as issues and problems arise. </w:t>
      </w:r>
      <w:r w:rsidR="00FD162D">
        <w:rPr>
          <w:rFonts w:ascii="Arial" w:hAnsi="Arial" w:cs="Arial"/>
          <w:sz w:val="24"/>
          <w:szCs w:val="24"/>
        </w:rPr>
        <w:t xml:space="preserve">The Cyber Specials </w:t>
      </w:r>
      <w:r w:rsidR="00FD162D" w:rsidRPr="00FD162D">
        <w:rPr>
          <w:rFonts w:ascii="Arial" w:hAnsi="Arial" w:cs="Arial"/>
          <w:sz w:val="24"/>
          <w:szCs w:val="24"/>
        </w:rPr>
        <w:t xml:space="preserve">CV module </w:t>
      </w:r>
      <w:r w:rsidR="00FD162D">
        <w:rPr>
          <w:rFonts w:ascii="Arial" w:hAnsi="Arial" w:cs="Arial"/>
          <w:sz w:val="24"/>
          <w:szCs w:val="24"/>
        </w:rPr>
        <w:t xml:space="preserve">has been </w:t>
      </w:r>
      <w:r w:rsidR="00FD162D" w:rsidRPr="00FD162D">
        <w:rPr>
          <w:rFonts w:ascii="Arial" w:hAnsi="Arial" w:cs="Arial"/>
          <w:sz w:val="24"/>
          <w:szCs w:val="24"/>
        </w:rPr>
        <w:t>activated</w:t>
      </w:r>
      <w:r w:rsidR="00FD162D">
        <w:rPr>
          <w:rFonts w:ascii="Arial" w:hAnsi="Arial" w:cs="Arial"/>
          <w:sz w:val="24"/>
          <w:szCs w:val="24"/>
        </w:rPr>
        <w:t xml:space="preserve"> on Duty Sheet </w:t>
      </w:r>
      <w:r w:rsidR="00FD162D" w:rsidRPr="00FD162D">
        <w:rPr>
          <w:rFonts w:ascii="Arial" w:hAnsi="Arial" w:cs="Arial"/>
          <w:sz w:val="24"/>
          <w:szCs w:val="24"/>
        </w:rPr>
        <w:t>and 7</w:t>
      </w:r>
      <w:r w:rsidR="00FD162D">
        <w:rPr>
          <w:rFonts w:ascii="Arial" w:hAnsi="Arial" w:cs="Arial"/>
          <w:sz w:val="24"/>
          <w:szCs w:val="24"/>
        </w:rPr>
        <w:t xml:space="preserve"> </w:t>
      </w:r>
      <w:r w:rsidR="00FD162D" w:rsidRPr="00FD162D">
        <w:rPr>
          <w:rFonts w:ascii="Arial" w:hAnsi="Arial" w:cs="Arial"/>
          <w:sz w:val="24"/>
          <w:szCs w:val="24"/>
        </w:rPr>
        <w:t xml:space="preserve">Specials have updated with their digital skills. </w:t>
      </w:r>
      <w:r w:rsidR="00FD162D">
        <w:rPr>
          <w:rFonts w:ascii="Arial" w:hAnsi="Arial" w:cs="Arial"/>
          <w:sz w:val="24"/>
          <w:szCs w:val="24"/>
        </w:rPr>
        <w:t xml:space="preserve">For example a Special Constable who </w:t>
      </w:r>
      <w:r w:rsidR="00FD162D" w:rsidRPr="00FD162D">
        <w:rPr>
          <w:rFonts w:ascii="Arial" w:hAnsi="Arial" w:cs="Arial"/>
          <w:sz w:val="24"/>
          <w:szCs w:val="24"/>
        </w:rPr>
        <w:t xml:space="preserve">works in Cyber Security has </w:t>
      </w:r>
      <w:r w:rsidR="00FD162D">
        <w:rPr>
          <w:rFonts w:ascii="Arial" w:hAnsi="Arial" w:cs="Arial"/>
          <w:sz w:val="24"/>
          <w:szCs w:val="24"/>
        </w:rPr>
        <w:t xml:space="preserve">been identified and has </w:t>
      </w:r>
      <w:r w:rsidR="00FD162D" w:rsidRPr="00FD162D">
        <w:rPr>
          <w:rFonts w:ascii="Arial" w:hAnsi="Arial" w:cs="Arial"/>
          <w:sz w:val="24"/>
          <w:szCs w:val="24"/>
        </w:rPr>
        <w:t>engaged with the Cyber Team. He will work attachments with the team where required.</w:t>
      </w:r>
    </w:p>
    <w:p w14:paraId="24BD5695" w14:textId="77777777" w:rsidR="008F0D43" w:rsidRDefault="008F0D43" w:rsidP="008F0D43">
      <w:pPr>
        <w:rPr>
          <w:rFonts w:ascii="Arial" w:hAnsi="Arial" w:cs="Arial"/>
          <w:b/>
          <w:sz w:val="24"/>
          <w:szCs w:val="24"/>
          <w:u w:val="single"/>
        </w:rPr>
      </w:pPr>
      <w:r w:rsidRPr="0031562F">
        <w:rPr>
          <w:rFonts w:ascii="Arial" w:hAnsi="Arial" w:cs="Arial"/>
          <w:b/>
          <w:sz w:val="24"/>
          <w:szCs w:val="24"/>
          <w:u w:val="single"/>
        </w:rPr>
        <w:t xml:space="preserve">Durham University </w:t>
      </w:r>
      <w:r w:rsidR="00BF4C2F">
        <w:rPr>
          <w:rFonts w:ascii="Arial" w:hAnsi="Arial" w:cs="Arial"/>
          <w:b/>
          <w:sz w:val="24"/>
          <w:szCs w:val="24"/>
          <w:u w:val="single"/>
        </w:rPr>
        <w:t>- (Overall RAG – Green)</w:t>
      </w:r>
    </w:p>
    <w:p w14:paraId="0EAF520C" w14:textId="77777777" w:rsidR="008F0D43" w:rsidRPr="0031562F" w:rsidRDefault="008F0D43" w:rsidP="008F0D43">
      <w:pPr>
        <w:rPr>
          <w:rFonts w:ascii="Arial" w:hAnsi="Arial" w:cs="Arial"/>
          <w:sz w:val="24"/>
          <w:szCs w:val="24"/>
        </w:rPr>
      </w:pPr>
      <w:r w:rsidRPr="0031562F">
        <w:rPr>
          <w:rFonts w:ascii="Arial" w:hAnsi="Arial" w:cs="Arial"/>
          <w:sz w:val="24"/>
          <w:szCs w:val="24"/>
        </w:rPr>
        <w:t xml:space="preserve">Essex Police is continuing to work with Durham University to learn more about our organisational culture and to track the key measures (Public Service Motivation, </w:t>
      </w:r>
      <w:r>
        <w:rPr>
          <w:rFonts w:ascii="Arial" w:hAnsi="Arial" w:cs="Arial"/>
          <w:sz w:val="24"/>
          <w:szCs w:val="24"/>
        </w:rPr>
        <w:t>O</w:t>
      </w:r>
      <w:r w:rsidRPr="0031562F">
        <w:rPr>
          <w:rFonts w:ascii="Arial" w:hAnsi="Arial" w:cs="Arial"/>
          <w:sz w:val="24"/>
          <w:szCs w:val="24"/>
        </w:rPr>
        <w:t>rganisational Fairness, Perceived Organisational Support, Organisational Pride, Leadership Style, Job Satisfaction, Staff Engagement and Barriers</w:t>
      </w:r>
      <w:r>
        <w:rPr>
          <w:rFonts w:ascii="Arial" w:hAnsi="Arial" w:cs="Arial"/>
          <w:sz w:val="24"/>
          <w:szCs w:val="24"/>
        </w:rPr>
        <w:t>)</w:t>
      </w:r>
      <w:r w:rsidRPr="0031562F">
        <w:rPr>
          <w:rFonts w:ascii="Arial" w:hAnsi="Arial" w:cs="Arial"/>
          <w:sz w:val="24"/>
          <w:szCs w:val="24"/>
        </w:rPr>
        <w:t xml:space="preserve"> to doing a job well.</w:t>
      </w:r>
    </w:p>
    <w:p w14:paraId="76EB4782" w14:textId="77777777" w:rsidR="00BF62AD" w:rsidRPr="00BF62AD" w:rsidRDefault="008F0D43" w:rsidP="00BF62AD">
      <w:pPr>
        <w:rPr>
          <w:rFonts w:ascii="Arial" w:hAnsi="Arial" w:cs="Arial"/>
          <w:sz w:val="24"/>
          <w:szCs w:val="24"/>
        </w:rPr>
      </w:pPr>
      <w:r w:rsidRPr="00A97886">
        <w:rPr>
          <w:rFonts w:ascii="Arial" w:hAnsi="Arial" w:cs="Arial"/>
          <w:sz w:val="24"/>
          <w:szCs w:val="24"/>
        </w:rPr>
        <w:t xml:space="preserve">The pulse survey </w:t>
      </w:r>
      <w:r>
        <w:rPr>
          <w:rFonts w:ascii="Arial" w:hAnsi="Arial" w:cs="Arial"/>
          <w:sz w:val="24"/>
          <w:szCs w:val="24"/>
        </w:rPr>
        <w:t xml:space="preserve">originally planned for April 2019 will </w:t>
      </w:r>
      <w:r w:rsidR="00AB4D63">
        <w:rPr>
          <w:rFonts w:ascii="Arial" w:hAnsi="Arial" w:cs="Arial"/>
          <w:sz w:val="24"/>
          <w:szCs w:val="24"/>
        </w:rPr>
        <w:t>now</w:t>
      </w:r>
      <w:r w:rsidR="00AB4D63" w:rsidRPr="00A97886">
        <w:rPr>
          <w:rFonts w:ascii="Arial" w:hAnsi="Arial" w:cs="Arial"/>
          <w:sz w:val="24"/>
          <w:szCs w:val="24"/>
        </w:rPr>
        <w:t xml:space="preserve"> take</w:t>
      </w:r>
      <w:r w:rsidRPr="00A97886">
        <w:rPr>
          <w:rFonts w:ascii="Arial" w:hAnsi="Arial" w:cs="Arial"/>
          <w:sz w:val="24"/>
          <w:szCs w:val="24"/>
        </w:rPr>
        <w:t xml:space="preserve"> place in June 2019 to allow time for </w:t>
      </w:r>
      <w:r>
        <w:rPr>
          <w:rFonts w:ascii="Arial" w:hAnsi="Arial" w:cs="Arial"/>
          <w:sz w:val="24"/>
          <w:szCs w:val="24"/>
        </w:rPr>
        <w:t xml:space="preserve">the </w:t>
      </w:r>
      <w:r w:rsidRPr="00A97886">
        <w:rPr>
          <w:rFonts w:ascii="Arial" w:hAnsi="Arial" w:cs="Arial"/>
          <w:sz w:val="24"/>
          <w:szCs w:val="24"/>
        </w:rPr>
        <w:t>Force to resolve issues identified during the staff survey and the Chief Constable</w:t>
      </w:r>
      <w:r>
        <w:rPr>
          <w:rFonts w:ascii="Arial" w:hAnsi="Arial" w:cs="Arial"/>
          <w:sz w:val="24"/>
          <w:szCs w:val="24"/>
        </w:rPr>
        <w:t>’s</w:t>
      </w:r>
      <w:r w:rsidRPr="00A97886">
        <w:rPr>
          <w:rFonts w:ascii="Arial" w:hAnsi="Arial" w:cs="Arial"/>
          <w:sz w:val="24"/>
          <w:szCs w:val="24"/>
        </w:rPr>
        <w:t xml:space="preserve"> 5.5k conversations with a small investment from the approved Operational Transformation bid (£100k). </w:t>
      </w:r>
    </w:p>
    <w:p w14:paraId="3B234C6C" w14:textId="77777777" w:rsidR="00BF62AD" w:rsidRPr="00BF62AD" w:rsidRDefault="00BF62AD" w:rsidP="00BF62AD">
      <w:pPr>
        <w:rPr>
          <w:rFonts w:ascii="Arial" w:hAnsi="Arial" w:cs="Arial"/>
          <w:sz w:val="24"/>
          <w:szCs w:val="24"/>
        </w:rPr>
      </w:pPr>
      <w:r w:rsidRPr="00BF62AD">
        <w:rPr>
          <w:rFonts w:ascii="Arial" w:hAnsi="Arial" w:cs="Arial"/>
          <w:sz w:val="24"/>
          <w:szCs w:val="24"/>
        </w:rPr>
        <w:lastRenderedPageBreak/>
        <w:t>The process ensures that local issues can be locally identified, owned and resolved with effective mechanisms in place to ensure expenditure meets the requirements of the fund and do not conflict with any other activity within the Force. Final arrangements are now in place with Durham University and an internal communication plan is being developed to support the survey which will take place at the end of June 2019.</w:t>
      </w:r>
    </w:p>
    <w:p w14:paraId="5437B15C" w14:textId="77777777" w:rsidR="00BF62AD" w:rsidRPr="00BF62AD" w:rsidRDefault="00BF62AD" w:rsidP="00BF62AD">
      <w:pPr>
        <w:rPr>
          <w:rFonts w:ascii="Arial" w:hAnsi="Arial" w:cs="Arial"/>
          <w:sz w:val="24"/>
          <w:szCs w:val="24"/>
        </w:rPr>
      </w:pPr>
      <w:r w:rsidRPr="00BF62AD">
        <w:rPr>
          <w:rFonts w:ascii="Arial" w:hAnsi="Arial" w:cs="Arial"/>
          <w:sz w:val="24"/>
          <w:szCs w:val="24"/>
        </w:rPr>
        <w:t>The results will inform the work of the DCC led Staff Engagement and Steering Group (SESG).</w:t>
      </w:r>
    </w:p>
    <w:p w14:paraId="779C065D" w14:textId="77777777" w:rsidR="008F0D43" w:rsidRPr="00A97886" w:rsidRDefault="008F0D43" w:rsidP="008F0D43">
      <w:pPr>
        <w:rPr>
          <w:rFonts w:ascii="Arial" w:hAnsi="Arial" w:cs="Arial"/>
          <w:sz w:val="24"/>
          <w:szCs w:val="24"/>
        </w:rPr>
      </w:pPr>
      <w:r w:rsidRPr="00A97886">
        <w:rPr>
          <w:rFonts w:ascii="Arial" w:hAnsi="Arial" w:cs="Arial"/>
          <w:sz w:val="24"/>
          <w:szCs w:val="24"/>
        </w:rPr>
        <w:t>The process for managing the Operational Transformation Bid and measuring benefits has been approved by the Staff Engagement Steering Group on the 3</w:t>
      </w:r>
      <w:r w:rsidRPr="00A97886">
        <w:rPr>
          <w:rFonts w:ascii="Arial" w:hAnsi="Arial" w:cs="Arial"/>
          <w:sz w:val="24"/>
          <w:szCs w:val="24"/>
          <w:vertAlign w:val="superscript"/>
        </w:rPr>
        <w:t>rd</w:t>
      </w:r>
      <w:r w:rsidRPr="00A97886">
        <w:rPr>
          <w:rFonts w:ascii="Arial" w:hAnsi="Arial" w:cs="Arial"/>
          <w:sz w:val="24"/>
          <w:szCs w:val="24"/>
        </w:rPr>
        <w:t xml:space="preserve"> December. The process ensures that local issues can be locally identified, owned and resolved with effective mechanisms in place to ensure expenditure meets the requirements of the fund and do not conflict with any other activity within the Force.</w:t>
      </w:r>
    </w:p>
    <w:p w14:paraId="37AD05DD" w14:textId="77777777" w:rsidR="008F0D43" w:rsidRPr="00F12993" w:rsidRDefault="008F0D43" w:rsidP="008F0D43">
      <w:pPr>
        <w:pStyle w:val="NoSpacing"/>
        <w:rPr>
          <w:rFonts w:ascii="Arial" w:hAnsi="Arial" w:cs="Arial"/>
          <w:sz w:val="24"/>
          <w:szCs w:val="24"/>
        </w:rPr>
      </w:pPr>
      <w:r w:rsidRPr="00A97886">
        <w:rPr>
          <w:rFonts w:ascii="Arial" w:hAnsi="Arial" w:cs="Arial"/>
          <w:sz w:val="24"/>
          <w:szCs w:val="24"/>
        </w:rPr>
        <w:t>The results will inform the work of the DCC led Staff Engagement and Steering Group (SESG).</w:t>
      </w:r>
    </w:p>
    <w:p w14:paraId="03C6AE4E" w14:textId="77777777" w:rsidR="008F0D43" w:rsidRDefault="008F0D43" w:rsidP="008F0D43">
      <w:pPr>
        <w:tabs>
          <w:tab w:val="left" w:pos="1843"/>
        </w:tabs>
        <w:spacing w:after="0" w:line="259" w:lineRule="auto"/>
        <w:contextualSpacing/>
        <w:rPr>
          <w:rFonts w:ascii="Arial" w:eastAsia="Times New Roman" w:hAnsi="Arial" w:cs="Arial"/>
          <w:sz w:val="24"/>
          <w:szCs w:val="24"/>
          <w:lang w:eastAsia="en-GB"/>
        </w:rPr>
      </w:pPr>
    </w:p>
    <w:p w14:paraId="78199098" w14:textId="77777777" w:rsidR="008F0D43" w:rsidRDefault="008F0D43" w:rsidP="006D07B8">
      <w:pPr>
        <w:pStyle w:val="NoSpacing"/>
        <w:spacing w:line="259" w:lineRule="auto"/>
        <w:rPr>
          <w:rFonts w:ascii="Arial" w:hAnsi="Arial" w:cs="Arial"/>
          <w:b/>
          <w:sz w:val="24"/>
          <w:szCs w:val="24"/>
          <w:u w:val="single"/>
        </w:rPr>
      </w:pPr>
    </w:p>
    <w:p w14:paraId="07CD0225" w14:textId="77777777" w:rsidR="00A85689" w:rsidRPr="00D1739B" w:rsidRDefault="00A85689" w:rsidP="006D07B8">
      <w:pPr>
        <w:pStyle w:val="NoSpacing"/>
        <w:spacing w:line="259" w:lineRule="auto"/>
        <w:ind w:left="709"/>
        <w:rPr>
          <w:rFonts w:ascii="Arial" w:hAnsi="Arial" w:cs="Arial"/>
          <w:b/>
          <w:sz w:val="24"/>
          <w:szCs w:val="24"/>
          <w:u w:val="single"/>
        </w:rPr>
      </w:pPr>
    </w:p>
    <w:p w14:paraId="5ED800B5" w14:textId="77777777" w:rsidR="00632783" w:rsidRPr="00D1739B" w:rsidRDefault="00632783" w:rsidP="006D07B8">
      <w:pPr>
        <w:pStyle w:val="NoSpacing"/>
        <w:spacing w:line="259" w:lineRule="auto"/>
        <w:ind w:left="720"/>
        <w:rPr>
          <w:rFonts w:ascii="Arial" w:hAnsi="Arial" w:cs="Arial"/>
          <w:sz w:val="24"/>
          <w:szCs w:val="24"/>
        </w:rPr>
      </w:pPr>
    </w:p>
    <w:p w14:paraId="1FA01398" w14:textId="77777777" w:rsidR="00121A7F" w:rsidRPr="00D1739B" w:rsidRDefault="00E92E89" w:rsidP="006D07B8">
      <w:pPr>
        <w:pStyle w:val="NoSpacing"/>
        <w:spacing w:line="259" w:lineRule="auto"/>
        <w:rPr>
          <w:rFonts w:ascii="Arial" w:hAnsi="Arial" w:cs="Arial"/>
          <w:b/>
          <w:sz w:val="24"/>
          <w:szCs w:val="24"/>
          <w:u w:val="single"/>
        </w:rPr>
      </w:pPr>
      <w:r w:rsidRPr="00D1739B">
        <w:rPr>
          <w:rFonts w:ascii="Arial" w:hAnsi="Arial" w:cs="Arial"/>
          <w:b/>
          <w:sz w:val="24"/>
          <w:szCs w:val="24"/>
        </w:rPr>
        <w:t>6</w:t>
      </w:r>
      <w:r w:rsidR="00665862" w:rsidRPr="00D1739B">
        <w:rPr>
          <w:rFonts w:ascii="Arial" w:hAnsi="Arial" w:cs="Arial"/>
          <w:b/>
          <w:sz w:val="24"/>
          <w:szCs w:val="24"/>
        </w:rPr>
        <w:t>.0</w:t>
      </w:r>
      <w:r w:rsidR="00665862" w:rsidRPr="00D1739B">
        <w:rPr>
          <w:rFonts w:ascii="Arial" w:hAnsi="Arial" w:cs="Arial"/>
          <w:b/>
          <w:sz w:val="24"/>
          <w:szCs w:val="24"/>
        </w:rPr>
        <w:tab/>
      </w:r>
      <w:r w:rsidR="003832F7" w:rsidRPr="00D1739B">
        <w:rPr>
          <w:rFonts w:ascii="Arial" w:hAnsi="Arial" w:cs="Arial"/>
          <w:b/>
          <w:sz w:val="24"/>
          <w:szCs w:val="24"/>
          <w:u w:val="single"/>
        </w:rPr>
        <w:t>I</w:t>
      </w:r>
      <w:r w:rsidR="001D5222" w:rsidRPr="00D1739B">
        <w:rPr>
          <w:rFonts w:ascii="Arial" w:hAnsi="Arial" w:cs="Arial"/>
          <w:b/>
          <w:sz w:val="24"/>
          <w:szCs w:val="24"/>
          <w:u w:val="single"/>
        </w:rPr>
        <w:t>mplications (Issues)</w:t>
      </w:r>
    </w:p>
    <w:p w14:paraId="5B1C8103" w14:textId="77777777" w:rsidR="00121A7F" w:rsidRPr="00D1739B" w:rsidRDefault="00121A7F" w:rsidP="006D07B8">
      <w:pPr>
        <w:pStyle w:val="NoSpacing"/>
        <w:spacing w:line="259" w:lineRule="auto"/>
        <w:ind w:left="720"/>
        <w:rPr>
          <w:rFonts w:ascii="Arial" w:hAnsi="Arial" w:cs="Arial"/>
          <w:sz w:val="24"/>
          <w:szCs w:val="24"/>
        </w:rPr>
      </w:pPr>
    </w:p>
    <w:p w14:paraId="6F8E4546" w14:textId="77777777" w:rsidR="00600745" w:rsidRPr="00D1739B" w:rsidRDefault="00632783" w:rsidP="006D07B8">
      <w:pPr>
        <w:pStyle w:val="NoSpacing"/>
        <w:spacing w:line="259" w:lineRule="auto"/>
        <w:ind w:left="720"/>
        <w:rPr>
          <w:rFonts w:ascii="Arial" w:hAnsi="Arial" w:cs="Arial"/>
          <w:sz w:val="24"/>
          <w:szCs w:val="24"/>
        </w:rPr>
      </w:pPr>
      <w:r w:rsidRPr="00D1739B">
        <w:rPr>
          <w:rFonts w:ascii="Arial" w:hAnsi="Arial" w:cs="Arial"/>
          <w:sz w:val="24"/>
          <w:szCs w:val="24"/>
        </w:rPr>
        <w:t>None noted at this time.</w:t>
      </w:r>
    </w:p>
    <w:p w14:paraId="400491EE" w14:textId="77777777" w:rsidR="00573FD9" w:rsidRPr="00D1739B" w:rsidRDefault="00573FD9" w:rsidP="006D07B8">
      <w:pPr>
        <w:pStyle w:val="NoSpacing"/>
        <w:spacing w:line="259" w:lineRule="auto"/>
        <w:ind w:left="720"/>
        <w:rPr>
          <w:rFonts w:ascii="Arial" w:hAnsi="Arial" w:cs="Arial"/>
          <w:sz w:val="24"/>
          <w:szCs w:val="24"/>
        </w:rPr>
      </w:pPr>
    </w:p>
    <w:p w14:paraId="0A5F28E9" w14:textId="77777777" w:rsidR="00411145" w:rsidRPr="00D1739B" w:rsidRDefault="00E92E89" w:rsidP="006D07B8">
      <w:pPr>
        <w:pStyle w:val="NoSpacing"/>
        <w:spacing w:line="259" w:lineRule="auto"/>
        <w:ind w:left="709" w:hanging="709"/>
        <w:rPr>
          <w:rFonts w:ascii="Arial" w:hAnsi="Arial" w:cs="Arial"/>
          <w:b/>
          <w:sz w:val="24"/>
          <w:szCs w:val="24"/>
        </w:rPr>
      </w:pPr>
      <w:r w:rsidRPr="00D1739B">
        <w:rPr>
          <w:rFonts w:ascii="Arial" w:hAnsi="Arial" w:cs="Arial"/>
          <w:b/>
          <w:sz w:val="24"/>
          <w:szCs w:val="24"/>
        </w:rPr>
        <w:t>6.1</w:t>
      </w:r>
      <w:r w:rsidR="00652B9C" w:rsidRPr="00D1739B">
        <w:rPr>
          <w:rFonts w:ascii="Arial" w:hAnsi="Arial" w:cs="Arial"/>
          <w:b/>
          <w:sz w:val="24"/>
          <w:szCs w:val="24"/>
        </w:rPr>
        <w:tab/>
      </w:r>
      <w:r w:rsidR="00411145" w:rsidRPr="00D1739B">
        <w:rPr>
          <w:rFonts w:ascii="Arial" w:hAnsi="Arial" w:cs="Arial"/>
          <w:b/>
          <w:sz w:val="24"/>
          <w:szCs w:val="24"/>
          <w:u w:val="single"/>
        </w:rPr>
        <w:t>Links to Police and Crime Plan Priorities</w:t>
      </w:r>
    </w:p>
    <w:p w14:paraId="7FB13720" w14:textId="77777777" w:rsidR="00411145" w:rsidRPr="00D1739B" w:rsidRDefault="00411145" w:rsidP="006D07B8">
      <w:pPr>
        <w:pStyle w:val="NoSpacing"/>
        <w:spacing w:line="259" w:lineRule="auto"/>
        <w:ind w:left="1418" w:hanging="709"/>
        <w:rPr>
          <w:rFonts w:ascii="Arial" w:hAnsi="Arial" w:cs="Arial"/>
          <w:b/>
          <w:sz w:val="24"/>
          <w:szCs w:val="24"/>
        </w:rPr>
      </w:pPr>
    </w:p>
    <w:p w14:paraId="4C9CC793" w14:textId="77777777" w:rsidR="00411145" w:rsidRPr="00D1739B" w:rsidRDefault="00600745" w:rsidP="006D07B8">
      <w:pPr>
        <w:pStyle w:val="NoSpacing"/>
        <w:spacing w:line="259" w:lineRule="auto"/>
        <w:ind w:left="709"/>
        <w:rPr>
          <w:rFonts w:ascii="Arial" w:hAnsi="Arial" w:cs="Arial"/>
          <w:sz w:val="24"/>
          <w:szCs w:val="24"/>
        </w:rPr>
      </w:pPr>
      <w:r w:rsidRPr="00D1739B">
        <w:rPr>
          <w:rFonts w:ascii="Arial" w:hAnsi="Arial" w:cs="Arial"/>
          <w:sz w:val="24"/>
          <w:szCs w:val="24"/>
        </w:rPr>
        <w:lastRenderedPageBreak/>
        <w:t>Collaboration is embedded within the force across all areas, both strategically and at local level. It encompasses all of the seven priorities of the Police and Crime Plan:</w:t>
      </w:r>
    </w:p>
    <w:p w14:paraId="35A14378" w14:textId="77777777" w:rsidR="004D4EF7" w:rsidRPr="00D1739B" w:rsidRDefault="004D4EF7" w:rsidP="006D07B8">
      <w:pPr>
        <w:pStyle w:val="NoSpacing"/>
        <w:spacing w:line="259" w:lineRule="auto"/>
        <w:ind w:left="709"/>
        <w:rPr>
          <w:rFonts w:ascii="Arial" w:hAnsi="Arial" w:cs="Arial"/>
          <w:sz w:val="24"/>
          <w:szCs w:val="24"/>
        </w:rPr>
      </w:pPr>
    </w:p>
    <w:p w14:paraId="06A6301C" w14:textId="77777777" w:rsidR="004D4EF7" w:rsidRPr="00D1739B" w:rsidRDefault="00741256" w:rsidP="00AF0D6A">
      <w:pPr>
        <w:pStyle w:val="ListParagraph"/>
        <w:numPr>
          <w:ilvl w:val="0"/>
          <w:numId w:val="20"/>
        </w:numPr>
        <w:spacing w:before="0" w:beforeAutospacing="0" w:after="0" w:afterAutospacing="0" w:line="259" w:lineRule="auto"/>
        <w:ind w:hanging="357"/>
        <w:contextualSpacing w:val="0"/>
        <w:rPr>
          <w:rFonts w:cs="Arial"/>
          <w:szCs w:val="24"/>
        </w:rPr>
      </w:pPr>
      <w:hyperlink r:id="rId7" w:history="1">
        <w:r w:rsidR="004D4EF7" w:rsidRPr="00D1739B">
          <w:rPr>
            <w:rStyle w:val="Hyperlink"/>
            <w:rFonts w:cs="Arial"/>
            <w:color w:val="auto"/>
            <w:szCs w:val="24"/>
            <w:u w:val="none"/>
          </w:rPr>
          <w:t>More Local, visible and accessible policing</w:t>
        </w:r>
      </w:hyperlink>
    </w:p>
    <w:p w14:paraId="309049A9" w14:textId="77777777" w:rsidR="004D4EF7" w:rsidRPr="00D1739B" w:rsidRDefault="00741256" w:rsidP="00AF0D6A">
      <w:pPr>
        <w:pStyle w:val="ListParagraph"/>
        <w:numPr>
          <w:ilvl w:val="0"/>
          <w:numId w:val="20"/>
        </w:numPr>
        <w:spacing w:before="0" w:beforeAutospacing="0" w:after="0" w:afterAutospacing="0" w:line="259" w:lineRule="auto"/>
        <w:ind w:hanging="357"/>
        <w:contextualSpacing w:val="0"/>
        <w:rPr>
          <w:rFonts w:cs="Arial"/>
          <w:szCs w:val="24"/>
        </w:rPr>
      </w:pPr>
      <w:hyperlink r:id="rId8" w:history="1">
        <w:r w:rsidR="004D4EF7" w:rsidRPr="00D1739B">
          <w:rPr>
            <w:rStyle w:val="Hyperlink"/>
            <w:rFonts w:cs="Arial"/>
            <w:color w:val="auto"/>
            <w:szCs w:val="24"/>
            <w:u w:val="none"/>
          </w:rPr>
          <w:t>Crack down on anti-social behaviour</w:t>
        </w:r>
      </w:hyperlink>
    </w:p>
    <w:p w14:paraId="2A66A7AC" w14:textId="77777777" w:rsidR="004D4EF7" w:rsidRPr="00D1739B" w:rsidRDefault="00741256" w:rsidP="00AF0D6A">
      <w:pPr>
        <w:pStyle w:val="ListParagraph"/>
        <w:numPr>
          <w:ilvl w:val="0"/>
          <w:numId w:val="20"/>
        </w:numPr>
        <w:spacing w:before="0" w:beforeAutospacing="0" w:after="0" w:afterAutospacing="0" w:line="259" w:lineRule="auto"/>
        <w:ind w:hanging="357"/>
        <w:contextualSpacing w:val="0"/>
        <w:rPr>
          <w:rFonts w:cs="Arial"/>
          <w:szCs w:val="24"/>
        </w:rPr>
      </w:pPr>
      <w:hyperlink r:id="rId9" w:history="1">
        <w:r w:rsidR="004D4EF7" w:rsidRPr="00D1739B">
          <w:rPr>
            <w:rStyle w:val="Hyperlink"/>
            <w:rFonts w:cs="Arial"/>
            <w:color w:val="auto"/>
            <w:szCs w:val="24"/>
            <w:u w:val="none"/>
          </w:rPr>
          <w:t>Breaking the cycle of domestic abuse</w:t>
        </w:r>
      </w:hyperlink>
    </w:p>
    <w:p w14:paraId="3F3B2BB4" w14:textId="77777777" w:rsidR="004D4EF7" w:rsidRPr="00D1739B" w:rsidRDefault="00741256" w:rsidP="00AF0D6A">
      <w:pPr>
        <w:pStyle w:val="ListParagraph"/>
        <w:numPr>
          <w:ilvl w:val="0"/>
          <w:numId w:val="20"/>
        </w:numPr>
        <w:spacing w:before="0" w:beforeAutospacing="0" w:after="0" w:afterAutospacing="0" w:line="259" w:lineRule="auto"/>
        <w:ind w:hanging="357"/>
        <w:contextualSpacing w:val="0"/>
        <w:rPr>
          <w:rFonts w:cs="Arial"/>
          <w:szCs w:val="24"/>
        </w:rPr>
      </w:pPr>
      <w:hyperlink r:id="rId10" w:history="1">
        <w:r w:rsidR="004D4EF7" w:rsidRPr="00D1739B">
          <w:rPr>
            <w:rStyle w:val="Hyperlink"/>
            <w:rFonts w:cs="Arial"/>
            <w:color w:val="auto"/>
            <w:szCs w:val="24"/>
            <w:u w:val="none"/>
          </w:rPr>
          <w:t xml:space="preserve">Reverse the trend in serious violence </w:t>
        </w:r>
      </w:hyperlink>
    </w:p>
    <w:p w14:paraId="5C087766" w14:textId="77777777" w:rsidR="004D4EF7" w:rsidRPr="00D1739B" w:rsidRDefault="00741256" w:rsidP="00AF0D6A">
      <w:pPr>
        <w:pStyle w:val="ListParagraph"/>
        <w:numPr>
          <w:ilvl w:val="0"/>
          <w:numId w:val="20"/>
        </w:numPr>
        <w:spacing w:before="0" w:beforeAutospacing="0" w:after="0" w:afterAutospacing="0" w:line="259" w:lineRule="auto"/>
        <w:ind w:hanging="357"/>
        <w:contextualSpacing w:val="0"/>
        <w:rPr>
          <w:rFonts w:cs="Arial"/>
          <w:szCs w:val="24"/>
        </w:rPr>
      </w:pPr>
      <w:hyperlink r:id="rId11" w:history="1">
        <w:r w:rsidR="004D4EF7" w:rsidRPr="00D1739B">
          <w:rPr>
            <w:rStyle w:val="Hyperlink"/>
            <w:rFonts w:cs="Arial"/>
            <w:color w:val="auto"/>
            <w:szCs w:val="24"/>
            <w:u w:val="none"/>
          </w:rPr>
          <w:t>Tackle gangs and organised crime</w:t>
        </w:r>
      </w:hyperlink>
    </w:p>
    <w:p w14:paraId="4BD96A2E" w14:textId="77777777" w:rsidR="004D4EF7" w:rsidRPr="00D1739B" w:rsidRDefault="00741256" w:rsidP="00AF0D6A">
      <w:pPr>
        <w:pStyle w:val="ListParagraph"/>
        <w:numPr>
          <w:ilvl w:val="0"/>
          <w:numId w:val="20"/>
        </w:numPr>
        <w:spacing w:before="0" w:beforeAutospacing="0" w:after="0" w:afterAutospacing="0" w:line="259" w:lineRule="auto"/>
        <w:ind w:hanging="357"/>
        <w:contextualSpacing w:val="0"/>
        <w:rPr>
          <w:rFonts w:cs="Arial"/>
          <w:szCs w:val="24"/>
        </w:rPr>
      </w:pPr>
      <w:hyperlink r:id="rId12" w:history="1">
        <w:r w:rsidR="004D4EF7" w:rsidRPr="00D1739B">
          <w:rPr>
            <w:rStyle w:val="Hyperlink"/>
            <w:rFonts w:cs="Arial"/>
            <w:color w:val="auto"/>
            <w:szCs w:val="24"/>
            <w:u w:val="none"/>
          </w:rPr>
          <w:t>Protecting children and vulnerable people</w:t>
        </w:r>
      </w:hyperlink>
    </w:p>
    <w:p w14:paraId="6ECB56A7" w14:textId="77777777" w:rsidR="00411145" w:rsidRDefault="00741256" w:rsidP="00AF0D6A">
      <w:pPr>
        <w:pStyle w:val="ListParagraph"/>
        <w:numPr>
          <w:ilvl w:val="0"/>
          <w:numId w:val="20"/>
        </w:numPr>
        <w:spacing w:before="0" w:beforeAutospacing="0" w:after="0" w:afterAutospacing="0" w:line="259" w:lineRule="auto"/>
        <w:ind w:hanging="357"/>
        <w:contextualSpacing w:val="0"/>
        <w:rPr>
          <w:rStyle w:val="Hyperlink"/>
          <w:rFonts w:cs="Arial"/>
          <w:color w:val="auto"/>
          <w:szCs w:val="24"/>
          <w:u w:val="none"/>
        </w:rPr>
      </w:pPr>
      <w:hyperlink r:id="rId13" w:history="1">
        <w:r w:rsidR="004D4EF7" w:rsidRPr="00D1739B">
          <w:rPr>
            <w:rStyle w:val="Hyperlink"/>
            <w:rFonts w:cs="Arial"/>
            <w:color w:val="auto"/>
            <w:szCs w:val="24"/>
            <w:u w:val="none"/>
          </w:rPr>
          <w:t>Improve safety on our roads</w:t>
        </w:r>
      </w:hyperlink>
    </w:p>
    <w:p w14:paraId="09C82CBF" w14:textId="77777777" w:rsidR="006D07B8" w:rsidRPr="00D1739B" w:rsidRDefault="006D07B8" w:rsidP="006D07B8">
      <w:pPr>
        <w:pStyle w:val="ListParagraph"/>
        <w:spacing w:before="0" w:beforeAutospacing="0" w:after="0" w:afterAutospacing="0" w:line="259" w:lineRule="auto"/>
        <w:ind w:left="1429"/>
        <w:rPr>
          <w:rFonts w:cs="Arial"/>
          <w:szCs w:val="24"/>
        </w:rPr>
      </w:pPr>
    </w:p>
    <w:p w14:paraId="5F695A66" w14:textId="77777777" w:rsidR="00411145" w:rsidRPr="00D1739B" w:rsidRDefault="00411145" w:rsidP="006D07B8">
      <w:pPr>
        <w:pStyle w:val="NoSpacing"/>
        <w:spacing w:line="259" w:lineRule="auto"/>
        <w:rPr>
          <w:rFonts w:ascii="Arial" w:hAnsi="Arial" w:cs="Arial"/>
          <w:b/>
          <w:sz w:val="24"/>
          <w:szCs w:val="24"/>
          <w:u w:val="single"/>
        </w:rPr>
      </w:pPr>
      <w:r w:rsidRPr="00D1739B">
        <w:rPr>
          <w:rFonts w:ascii="Arial" w:hAnsi="Arial" w:cs="Arial"/>
          <w:b/>
          <w:sz w:val="24"/>
          <w:szCs w:val="24"/>
        </w:rPr>
        <w:t>6.2</w:t>
      </w:r>
      <w:r w:rsidRPr="00D1739B">
        <w:rPr>
          <w:rFonts w:ascii="Arial" w:hAnsi="Arial" w:cs="Arial"/>
          <w:b/>
          <w:sz w:val="24"/>
          <w:szCs w:val="24"/>
        </w:rPr>
        <w:tab/>
      </w:r>
      <w:r w:rsidRPr="00D1739B">
        <w:rPr>
          <w:rFonts w:ascii="Arial" w:hAnsi="Arial" w:cs="Arial"/>
          <w:b/>
          <w:sz w:val="24"/>
          <w:szCs w:val="24"/>
          <w:u w:val="single"/>
        </w:rPr>
        <w:t>Demand</w:t>
      </w:r>
    </w:p>
    <w:p w14:paraId="67BDF20A" w14:textId="77777777" w:rsidR="00257136" w:rsidRPr="005A08F5" w:rsidRDefault="004D4EF7" w:rsidP="005A08F5">
      <w:pPr>
        <w:pStyle w:val="NoSpacing"/>
        <w:ind w:left="720"/>
        <w:rPr>
          <w:rFonts w:ascii="Arial" w:hAnsi="Arial" w:cs="Arial"/>
          <w:sz w:val="24"/>
          <w:szCs w:val="24"/>
        </w:rPr>
      </w:pPr>
      <w:r w:rsidRPr="00D1739B">
        <w:rPr>
          <w:rFonts w:ascii="Arial" w:hAnsi="Arial" w:cs="Arial"/>
          <w:sz w:val="24"/>
          <w:szCs w:val="24"/>
        </w:rPr>
        <w:br/>
      </w:r>
      <w:r w:rsidR="00600745" w:rsidRPr="005A08F5">
        <w:rPr>
          <w:rFonts w:ascii="Arial" w:hAnsi="Arial" w:cs="Arial"/>
          <w:sz w:val="24"/>
          <w:szCs w:val="24"/>
        </w:rPr>
        <w:t>The</w:t>
      </w:r>
      <w:r w:rsidR="00411145" w:rsidRPr="005A08F5">
        <w:rPr>
          <w:rFonts w:ascii="Arial" w:hAnsi="Arial" w:cs="Arial"/>
          <w:sz w:val="24"/>
          <w:szCs w:val="24"/>
        </w:rPr>
        <w:t xml:space="preserve"> </w:t>
      </w:r>
      <w:r w:rsidR="00BB6DF4" w:rsidRPr="005A08F5">
        <w:rPr>
          <w:rFonts w:ascii="Arial" w:hAnsi="Arial" w:cs="Arial"/>
          <w:sz w:val="24"/>
          <w:szCs w:val="24"/>
        </w:rPr>
        <w:t xml:space="preserve">Essex Demand review informed by the work of PA Consulting highlighted the growing demand on Police Resources. Effective collaboration can assist greatly by improving the economy, efficiency and effectiveness of the force, and working effectively with partners in responding to the </w:t>
      </w:r>
      <w:r w:rsidR="0007605A" w:rsidRPr="005A08F5">
        <w:rPr>
          <w:rFonts w:ascii="Arial" w:hAnsi="Arial" w:cs="Arial"/>
          <w:sz w:val="24"/>
          <w:szCs w:val="24"/>
        </w:rPr>
        <w:t xml:space="preserve">Policing and safety </w:t>
      </w:r>
      <w:r w:rsidR="00BB6DF4" w:rsidRPr="005A08F5">
        <w:rPr>
          <w:rFonts w:ascii="Arial" w:hAnsi="Arial" w:cs="Arial"/>
          <w:sz w:val="24"/>
          <w:szCs w:val="24"/>
        </w:rPr>
        <w:t>needs</w:t>
      </w:r>
      <w:r w:rsidR="0007605A" w:rsidRPr="005A08F5">
        <w:rPr>
          <w:rFonts w:ascii="Arial" w:hAnsi="Arial" w:cs="Arial"/>
          <w:sz w:val="24"/>
          <w:szCs w:val="24"/>
        </w:rPr>
        <w:t xml:space="preserve"> and concerns </w:t>
      </w:r>
      <w:r w:rsidR="00BB6DF4" w:rsidRPr="005A08F5">
        <w:rPr>
          <w:rFonts w:ascii="Arial" w:hAnsi="Arial" w:cs="Arial"/>
          <w:sz w:val="24"/>
          <w:szCs w:val="24"/>
        </w:rPr>
        <w:t>of</w:t>
      </w:r>
      <w:r w:rsidR="0007605A" w:rsidRPr="005A08F5">
        <w:rPr>
          <w:rFonts w:ascii="Arial" w:hAnsi="Arial" w:cs="Arial"/>
          <w:sz w:val="24"/>
          <w:szCs w:val="24"/>
        </w:rPr>
        <w:t xml:space="preserve"> Essex Citizens and communities. </w:t>
      </w:r>
    </w:p>
    <w:p w14:paraId="7CFB548D" w14:textId="77777777" w:rsidR="00257136" w:rsidRDefault="00257136" w:rsidP="00257136">
      <w:pPr>
        <w:pStyle w:val="NoSpacing"/>
        <w:spacing w:line="259" w:lineRule="auto"/>
        <w:ind w:left="720"/>
        <w:rPr>
          <w:rFonts w:ascii="Arial" w:hAnsi="Arial" w:cs="Arial"/>
          <w:sz w:val="24"/>
          <w:szCs w:val="24"/>
        </w:rPr>
      </w:pPr>
    </w:p>
    <w:p w14:paraId="50E7AD24" w14:textId="77777777" w:rsidR="005A08F5" w:rsidRPr="00BA3EA8" w:rsidRDefault="005A08F5" w:rsidP="005A08F5">
      <w:pPr>
        <w:pStyle w:val="NoSpacing"/>
        <w:ind w:left="720"/>
        <w:rPr>
          <w:rFonts w:ascii="Arial" w:hAnsi="Arial" w:cs="Arial"/>
          <w:sz w:val="24"/>
          <w:szCs w:val="24"/>
        </w:rPr>
      </w:pPr>
      <w:r w:rsidRPr="00BA3EA8">
        <w:rPr>
          <w:rFonts w:ascii="Arial" w:hAnsi="Arial" w:cs="Arial"/>
          <w:sz w:val="24"/>
          <w:szCs w:val="24"/>
        </w:rPr>
        <w:t>More recent work completed in Nov</w:t>
      </w:r>
      <w:r>
        <w:rPr>
          <w:rFonts w:ascii="Arial" w:hAnsi="Arial" w:cs="Arial"/>
          <w:sz w:val="24"/>
          <w:szCs w:val="24"/>
        </w:rPr>
        <w:t>ember</w:t>
      </w:r>
      <w:r w:rsidRPr="00BA3EA8">
        <w:rPr>
          <w:rFonts w:ascii="Arial" w:hAnsi="Arial" w:cs="Arial"/>
          <w:sz w:val="24"/>
          <w:szCs w:val="24"/>
        </w:rPr>
        <w:t xml:space="preserve"> 2018 by Essex Police Performance Analysis Unit </w:t>
      </w:r>
      <w:r>
        <w:rPr>
          <w:rFonts w:ascii="Arial" w:hAnsi="Arial" w:cs="Arial"/>
          <w:sz w:val="24"/>
          <w:szCs w:val="24"/>
        </w:rPr>
        <w:t xml:space="preserve">(PAU) </w:t>
      </w:r>
      <w:r w:rsidRPr="00BA3EA8">
        <w:rPr>
          <w:rFonts w:ascii="Arial" w:hAnsi="Arial" w:cs="Arial"/>
          <w:sz w:val="24"/>
          <w:szCs w:val="24"/>
        </w:rPr>
        <w:t xml:space="preserve">has </w:t>
      </w:r>
      <w:r>
        <w:rPr>
          <w:rFonts w:ascii="Arial" w:hAnsi="Arial" w:cs="Arial"/>
          <w:sz w:val="24"/>
          <w:szCs w:val="24"/>
        </w:rPr>
        <w:t>further enhanced</w:t>
      </w:r>
      <w:r w:rsidRPr="00BA3EA8">
        <w:rPr>
          <w:rFonts w:ascii="Arial" w:hAnsi="Arial" w:cs="Arial"/>
          <w:sz w:val="24"/>
          <w:szCs w:val="24"/>
        </w:rPr>
        <w:t xml:space="preserve"> the severe/complex demand analysis and extends the forecast to 2020/21. The additional analysis is based on data up to October 2018 and includes a more sensitive forecasting methodology, incorporating seasonal and trend variations that occur during a year.</w:t>
      </w:r>
    </w:p>
    <w:p w14:paraId="62EA2B19" w14:textId="77777777" w:rsidR="005A08F5" w:rsidRPr="00BA3EA8" w:rsidRDefault="005A08F5" w:rsidP="005A08F5">
      <w:pPr>
        <w:pStyle w:val="NoSpacing"/>
        <w:ind w:left="720"/>
        <w:rPr>
          <w:rFonts w:ascii="Arial" w:hAnsi="Arial" w:cs="Arial"/>
          <w:sz w:val="24"/>
          <w:szCs w:val="24"/>
        </w:rPr>
      </w:pPr>
    </w:p>
    <w:p w14:paraId="4C8442EF" w14:textId="77777777" w:rsidR="005A08F5" w:rsidRPr="00BA3EA8" w:rsidRDefault="005A08F5" w:rsidP="005A08F5">
      <w:pPr>
        <w:pStyle w:val="NoSpacing"/>
        <w:ind w:left="720"/>
        <w:rPr>
          <w:rFonts w:ascii="Arial" w:hAnsi="Arial" w:cs="Arial"/>
          <w:sz w:val="24"/>
          <w:szCs w:val="24"/>
        </w:rPr>
      </w:pPr>
      <w:r>
        <w:rPr>
          <w:rFonts w:ascii="Arial" w:hAnsi="Arial" w:cs="Arial"/>
          <w:sz w:val="24"/>
          <w:szCs w:val="24"/>
        </w:rPr>
        <w:t>The conclusion fro</w:t>
      </w:r>
      <w:r w:rsidRPr="00BA3EA8">
        <w:rPr>
          <w:rFonts w:ascii="Arial" w:hAnsi="Arial" w:cs="Arial"/>
          <w:sz w:val="24"/>
          <w:szCs w:val="24"/>
        </w:rPr>
        <w:t xml:space="preserve">m this work is that more severe/complex demand will continue to increase but at </w:t>
      </w:r>
      <w:r w:rsidRPr="00BA3EA8">
        <w:rPr>
          <w:rFonts w:ascii="Arial" w:hAnsi="Arial" w:cs="Arial"/>
          <w:sz w:val="24"/>
          <w:szCs w:val="24"/>
        </w:rPr>
        <w:lastRenderedPageBreak/>
        <w:t>a</w:t>
      </w:r>
      <w:r>
        <w:rPr>
          <w:rFonts w:ascii="Arial" w:hAnsi="Arial" w:cs="Arial"/>
          <w:sz w:val="24"/>
          <w:szCs w:val="24"/>
        </w:rPr>
        <w:t xml:space="preserve"> significantly</w:t>
      </w:r>
      <w:r w:rsidRPr="00BA3EA8">
        <w:rPr>
          <w:rFonts w:ascii="Arial" w:hAnsi="Arial" w:cs="Arial"/>
          <w:sz w:val="24"/>
          <w:szCs w:val="24"/>
        </w:rPr>
        <w:t xml:space="preserve"> higher rate than previously expected, meaning that officers and staff will be spending even more time dealing with this type of demand.   </w:t>
      </w:r>
    </w:p>
    <w:p w14:paraId="0908B766" w14:textId="77777777" w:rsidR="006D1555" w:rsidRDefault="006D1555" w:rsidP="006D07B8">
      <w:pPr>
        <w:pStyle w:val="NoSpacing"/>
        <w:spacing w:line="259" w:lineRule="auto"/>
        <w:ind w:left="709"/>
        <w:rPr>
          <w:rFonts w:ascii="Arial" w:hAnsi="Arial" w:cs="Arial"/>
          <w:sz w:val="24"/>
          <w:szCs w:val="24"/>
        </w:rPr>
      </w:pPr>
    </w:p>
    <w:p w14:paraId="2E707F19" w14:textId="77777777" w:rsidR="00D00F2A" w:rsidRPr="00D1739B" w:rsidRDefault="00D00F2A" w:rsidP="006D07B8">
      <w:pPr>
        <w:pStyle w:val="NoSpacing"/>
        <w:spacing w:line="259" w:lineRule="auto"/>
        <w:ind w:left="709"/>
        <w:rPr>
          <w:rFonts w:ascii="Arial" w:hAnsi="Arial" w:cs="Arial"/>
          <w:sz w:val="24"/>
          <w:szCs w:val="24"/>
        </w:rPr>
      </w:pPr>
    </w:p>
    <w:p w14:paraId="2CC8C105" w14:textId="77777777" w:rsidR="00121A7F" w:rsidRPr="00D1739B" w:rsidRDefault="00411145" w:rsidP="006D07B8">
      <w:pPr>
        <w:pStyle w:val="NoSpacing"/>
        <w:spacing w:line="259" w:lineRule="auto"/>
        <w:ind w:left="709" w:hanging="709"/>
        <w:rPr>
          <w:rFonts w:ascii="Arial" w:hAnsi="Arial" w:cs="Arial"/>
          <w:b/>
          <w:sz w:val="24"/>
          <w:szCs w:val="24"/>
          <w:u w:val="single"/>
        </w:rPr>
      </w:pPr>
      <w:r w:rsidRPr="00D1739B">
        <w:rPr>
          <w:rFonts w:ascii="Arial" w:hAnsi="Arial" w:cs="Arial"/>
          <w:b/>
          <w:sz w:val="24"/>
          <w:szCs w:val="24"/>
        </w:rPr>
        <w:t>6.3</w:t>
      </w:r>
      <w:r w:rsidRPr="00D1739B">
        <w:rPr>
          <w:rFonts w:ascii="Arial" w:hAnsi="Arial" w:cs="Arial"/>
          <w:b/>
          <w:sz w:val="24"/>
          <w:szCs w:val="24"/>
        </w:rPr>
        <w:tab/>
      </w:r>
      <w:r w:rsidR="006279AB" w:rsidRPr="00D1739B">
        <w:rPr>
          <w:rFonts w:ascii="Arial" w:hAnsi="Arial" w:cs="Arial"/>
          <w:b/>
          <w:sz w:val="24"/>
          <w:szCs w:val="24"/>
          <w:u w:val="single"/>
        </w:rPr>
        <w:t>Risks</w:t>
      </w:r>
      <w:r w:rsidR="00D8103E" w:rsidRPr="00D1739B">
        <w:rPr>
          <w:rFonts w:ascii="Arial" w:hAnsi="Arial" w:cs="Arial"/>
          <w:b/>
          <w:sz w:val="24"/>
          <w:szCs w:val="24"/>
          <w:u w:val="single"/>
        </w:rPr>
        <w:t>/Mitigation</w:t>
      </w:r>
    </w:p>
    <w:p w14:paraId="2CA1959D" w14:textId="77777777" w:rsidR="00121A7F" w:rsidRPr="00D1739B" w:rsidRDefault="00121A7F" w:rsidP="006D07B8">
      <w:pPr>
        <w:pStyle w:val="NoSpacing"/>
        <w:spacing w:line="259" w:lineRule="auto"/>
        <w:ind w:left="720"/>
        <w:rPr>
          <w:rFonts w:ascii="Arial" w:hAnsi="Arial" w:cs="Arial"/>
          <w:sz w:val="24"/>
          <w:szCs w:val="24"/>
        </w:rPr>
      </w:pPr>
    </w:p>
    <w:p w14:paraId="4DF575BC" w14:textId="77777777" w:rsidR="00121A7F" w:rsidRPr="00D1739B" w:rsidRDefault="004D1BC0" w:rsidP="006D07B8">
      <w:pPr>
        <w:spacing w:after="0" w:line="259" w:lineRule="auto"/>
        <w:ind w:left="709"/>
        <w:contextualSpacing/>
        <w:rPr>
          <w:rFonts w:ascii="Arial" w:hAnsi="Arial" w:cs="Arial"/>
          <w:sz w:val="24"/>
        </w:rPr>
      </w:pPr>
      <w:r w:rsidRPr="00D1739B">
        <w:rPr>
          <w:rFonts w:ascii="Arial" w:hAnsi="Arial" w:cs="Arial"/>
          <w:sz w:val="24"/>
        </w:rPr>
        <w:t>Not applicable – no strategic risks identified at this time.</w:t>
      </w:r>
    </w:p>
    <w:p w14:paraId="5CB294FF" w14:textId="77777777" w:rsidR="0030288C" w:rsidRPr="00D1739B" w:rsidRDefault="0030288C" w:rsidP="006D07B8">
      <w:pPr>
        <w:pStyle w:val="NoSpacing"/>
        <w:spacing w:line="259" w:lineRule="auto"/>
        <w:ind w:left="720"/>
        <w:rPr>
          <w:rFonts w:ascii="Arial" w:hAnsi="Arial" w:cs="Arial"/>
          <w:sz w:val="24"/>
          <w:szCs w:val="24"/>
        </w:rPr>
      </w:pPr>
    </w:p>
    <w:p w14:paraId="4A0AE376" w14:textId="77777777" w:rsidR="003832F7" w:rsidRPr="00D1739B" w:rsidRDefault="00411145" w:rsidP="006D07B8">
      <w:pPr>
        <w:pStyle w:val="NoSpacing"/>
        <w:spacing w:line="259" w:lineRule="auto"/>
        <w:rPr>
          <w:rFonts w:ascii="Arial" w:hAnsi="Arial" w:cs="Arial"/>
          <w:b/>
          <w:sz w:val="24"/>
          <w:szCs w:val="24"/>
          <w:u w:val="single"/>
        </w:rPr>
      </w:pPr>
      <w:r w:rsidRPr="00D1739B">
        <w:rPr>
          <w:rFonts w:ascii="Arial" w:hAnsi="Arial" w:cs="Arial"/>
          <w:b/>
          <w:sz w:val="24"/>
          <w:szCs w:val="24"/>
        </w:rPr>
        <w:t>6.4</w:t>
      </w:r>
      <w:r w:rsidR="00665862" w:rsidRPr="00D1739B">
        <w:rPr>
          <w:rFonts w:ascii="Arial" w:hAnsi="Arial" w:cs="Arial"/>
          <w:b/>
          <w:sz w:val="24"/>
          <w:szCs w:val="24"/>
        </w:rPr>
        <w:tab/>
      </w:r>
      <w:r w:rsidR="003832F7" w:rsidRPr="00D1739B">
        <w:rPr>
          <w:rFonts w:ascii="Arial" w:hAnsi="Arial" w:cs="Arial"/>
          <w:b/>
          <w:sz w:val="24"/>
          <w:szCs w:val="24"/>
          <w:u w:val="single"/>
        </w:rPr>
        <w:t>Equality and/or Human Rights</w:t>
      </w:r>
      <w:r w:rsidR="00652B9C" w:rsidRPr="00D1739B">
        <w:rPr>
          <w:rFonts w:ascii="Arial" w:hAnsi="Arial" w:cs="Arial"/>
          <w:b/>
          <w:sz w:val="24"/>
          <w:szCs w:val="24"/>
          <w:u w:val="single"/>
        </w:rPr>
        <w:t xml:space="preserve"> Implications </w:t>
      </w:r>
    </w:p>
    <w:p w14:paraId="1EC50421" w14:textId="77777777" w:rsidR="003832F7" w:rsidRPr="00D1739B" w:rsidRDefault="003832F7" w:rsidP="006D07B8">
      <w:pPr>
        <w:pStyle w:val="NoSpacing"/>
        <w:spacing w:line="259" w:lineRule="auto"/>
        <w:ind w:left="709"/>
        <w:rPr>
          <w:rFonts w:ascii="Arial" w:hAnsi="Arial" w:cs="Arial"/>
          <w:sz w:val="24"/>
          <w:szCs w:val="24"/>
        </w:rPr>
      </w:pPr>
    </w:p>
    <w:p w14:paraId="073C2CCD" w14:textId="77777777" w:rsidR="001D5222" w:rsidRPr="00D1739B" w:rsidRDefault="00D1739B" w:rsidP="006D07B8">
      <w:pPr>
        <w:spacing w:after="0" w:line="259" w:lineRule="auto"/>
        <w:ind w:left="709"/>
        <w:contextualSpacing/>
        <w:rPr>
          <w:rFonts w:ascii="Arial" w:hAnsi="Arial" w:cs="Arial"/>
          <w:b/>
          <w:sz w:val="24"/>
          <w:szCs w:val="24"/>
        </w:rPr>
      </w:pPr>
      <w:r w:rsidRPr="00D1739B">
        <w:rPr>
          <w:rFonts w:ascii="Arial" w:hAnsi="Arial" w:cs="Arial"/>
          <w:sz w:val="24"/>
        </w:rPr>
        <w:t>Sustaining and pursuit of collaboration opportunities draws upon staff and expertise in a wide range of operational and change focused areas. The design and implementation of change, and the skills necessary to manage change in the workplace are well established</w:t>
      </w:r>
      <w:r w:rsidR="0007605A">
        <w:rPr>
          <w:rFonts w:ascii="Arial" w:hAnsi="Arial" w:cs="Arial"/>
          <w:sz w:val="24"/>
        </w:rPr>
        <w:t>.</w:t>
      </w:r>
      <w:r w:rsidRPr="00D1739B">
        <w:rPr>
          <w:rFonts w:ascii="Arial" w:hAnsi="Arial" w:cs="Arial"/>
          <w:sz w:val="24"/>
        </w:rPr>
        <w:t xml:space="preserve"> Strong support mechanisms are in place for staff and officers. The unions and Essex Police Federation have been actively engaged at a very early stage where collaboration developments are being considered and designed</w:t>
      </w:r>
      <w:r w:rsidR="00516C1E" w:rsidRPr="00D1739B">
        <w:rPr>
          <w:rFonts w:ascii="Arial" w:hAnsi="Arial" w:cs="Arial"/>
          <w:sz w:val="24"/>
        </w:rPr>
        <w:t>.</w:t>
      </w:r>
      <w:r w:rsidR="00516C1E" w:rsidRPr="00D1739B">
        <w:rPr>
          <w:rFonts w:ascii="Arial" w:hAnsi="Arial" w:cs="Arial"/>
          <w:sz w:val="24"/>
        </w:rPr>
        <w:br/>
      </w:r>
    </w:p>
    <w:p w14:paraId="2A8F5A8A" w14:textId="77777777" w:rsidR="00516C1E" w:rsidRPr="00D1739B" w:rsidRDefault="00411145" w:rsidP="006D07B8">
      <w:pPr>
        <w:pStyle w:val="NoSpacing"/>
        <w:spacing w:line="259" w:lineRule="auto"/>
        <w:rPr>
          <w:rFonts w:ascii="Arial" w:hAnsi="Arial" w:cs="Arial"/>
          <w:b/>
          <w:sz w:val="24"/>
          <w:szCs w:val="24"/>
        </w:rPr>
      </w:pPr>
      <w:r w:rsidRPr="00D1739B">
        <w:rPr>
          <w:rFonts w:ascii="Arial" w:hAnsi="Arial" w:cs="Arial"/>
          <w:b/>
          <w:sz w:val="24"/>
          <w:szCs w:val="24"/>
        </w:rPr>
        <w:t>6.5</w:t>
      </w:r>
      <w:r w:rsidR="00E92E89" w:rsidRPr="00D1739B">
        <w:rPr>
          <w:rFonts w:ascii="Arial" w:hAnsi="Arial" w:cs="Arial"/>
          <w:b/>
          <w:sz w:val="24"/>
          <w:szCs w:val="24"/>
        </w:rPr>
        <w:tab/>
      </w:r>
      <w:r w:rsidR="00E92E89" w:rsidRPr="00D1739B">
        <w:rPr>
          <w:rFonts w:ascii="Arial" w:hAnsi="Arial" w:cs="Arial"/>
          <w:b/>
          <w:sz w:val="24"/>
          <w:szCs w:val="24"/>
          <w:u w:val="single"/>
        </w:rPr>
        <w:t>Health and</w:t>
      </w:r>
      <w:r w:rsidR="00652B9C" w:rsidRPr="00D1739B">
        <w:rPr>
          <w:rFonts w:ascii="Arial" w:hAnsi="Arial" w:cs="Arial"/>
          <w:b/>
          <w:sz w:val="24"/>
          <w:szCs w:val="24"/>
          <w:u w:val="single"/>
        </w:rPr>
        <w:t xml:space="preserve"> Safety Implications</w:t>
      </w:r>
      <w:r w:rsidR="00652B9C" w:rsidRPr="00D1739B">
        <w:rPr>
          <w:rFonts w:ascii="Arial" w:hAnsi="Arial" w:cs="Arial"/>
          <w:b/>
          <w:sz w:val="24"/>
          <w:szCs w:val="24"/>
        </w:rPr>
        <w:t xml:space="preserve"> </w:t>
      </w:r>
      <w:r w:rsidR="00516C1E" w:rsidRPr="00D1739B">
        <w:rPr>
          <w:rFonts w:ascii="Arial" w:hAnsi="Arial" w:cs="Arial"/>
          <w:b/>
          <w:sz w:val="24"/>
          <w:szCs w:val="24"/>
        </w:rPr>
        <w:br/>
      </w:r>
    </w:p>
    <w:p w14:paraId="58911E19" w14:textId="77777777" w:rsidR="008C2A7E" w:rsidRPr="00D1739B" w:rsidRDefault="00516C1E" w:rsidP="006D07B8">
      <w:pPr>
        <w:pStyle w:val="NoSpacing"/>
        <w:spacing w:line="259" w:lineRule="auto"/>
        <w:rPr>
          <w:rFonts w:ascii="Arial" w:hAnsi="Arial" w:cs="Arial"/>
          <w:sz w:val="24"/>
          <w:szCs w:val="24"/>
        </w:rPr>
      </w:pPr>
      <w:r w:rsidRPr="00D1739B">
        <w:rPr>
          <w:rFonts w:ascii="Arial" w:hAnsi="Arial" w:cs="Arial"/>
          <w:b/>
          <w:sz w:val="24"/>
          <w:szCs w:val="24"/>
        </w:rPr>
        <w:tab/>
      </w:r>
      <w:r w:rsidRPr="00D1739B">
        <w:rPr>
          <w:rFonts w:ascii="Arial" w:hAnsi="Arial" w:cs="Arial"/>
          <w:sz w:val="24"/>
          <w:szCs w:val="24"/>
        </w:rPr>
        <w:t>No specific Health an</w:t>
      </w:r>
      <w:r w:rsidR="008C2A7E" w:rsidRPr="00D1739B">
        <w:rPr>
          <w:rFonts w:ascii="Arial" w:hAnsi="Arial" w:cs="Arial"/>
          <w:sz w:val="24"/>
          <w:szCs w:val="24"/>
        </w:rPr>
        <w:t>d Safety implications are noted.</w:t>
      </w:r>
    </w:p>
    <w:p w14:paraId="523C873D" w14:textId="77777777" w:rsidR="008C2A7E" w:rsidRPr="00D1739B" w:rsidRDefault="008C2A7E" w:rsidP="006D07B8">
      <w:pPr>
        <w:pStyle w:val="NoSpacing"/>
        <w:spacing w:line="259" w:lineRule="auto"/>
        <w:ind w:firstLine="709"/>
        <w:rPr>
          <w:rFonts w:ascii="Arial" w:hAnsi="Arial" w:cs="Arial"/>
          <w:sz w:val="24"/>
          <w:szCs w:val="24"/>
        </w:rPr>
      </w:pPr>
    </w:p>
    <w:p w14:paraId="771D070C" w14:textId="77777777" w:rsidR="00516C1E" w:rsidRPr="00D1739B" w:rsidRDefault="00516C1E" w:rsidP="006D07B8">
      <w:pPr>
        <w:pStyle w:val="NoSpacing"/>
        <w:spacing w:line="259" w:lineRule="auto"/>
        <w:ind w:firstLine="709"/>
        <w:rPr>
          <w:rFonts w:ascii="Arial" w:hAnsi="Arial" w:cs="Arial"/>
          <w:sz w:val="24"/>
          <w:szCs w:val="24"/>
        </w:rPr>
      </w:pPr>
      <w:r w:rsidRPr="00D1739B">
        <w:rPr>
          <w:rFonts w:ascii="Arial" w:hAnsi="Arial" w:cs="Arial"/>
          <w:sz w:val="24"/>
          <w:szCs w:val="24"/>
        </w:rPr>
        <w:t>Please refer to point 6.4 in which this would be covered.</w:t>
      </w:r>
    </w:p>
    <w:p w14:paraId="2FA45A09" w14:textId="77777777" w:rsidR="003832F7" w:rsidRPr="00D1739B" w:rsidRDefault="003832F7" w:rsidP="006D07B8">
      <w:pPr>
        <w:pStyle w:val="NoSpacing"/>
        <w:spacing w:line="259" w:lineRule="auto"/>
        <w:ind w:left="709"/>
        <w:rPr>
          <w:rFonts w:ascii="Arial" w:hAnsi="Arial" w:cs="Arial"/>
          <w:b/>
          <w:sz w:val="24"/>
          <w:szCs w:val="24"/>
        </w:rPr>
      </w:pPr>
    </w:p>
    <w:p w14:paraId="4F1EDCB7" w14:textId="77777777" w:rsidR="003832F7" w:rsidRPr="00D1739B" w:rsidRDefault="00E92E89" w:rsidP="006D07B8">
      <w:pPr>
        <w:pStyle w:val="NoSpacing"/>
        <w:spacing w:line="259" w:lineRule="auto"/>
        <w:ind w:left="709" w:hanging="709"/>
        <w:rPr>
          <w:rFonts w:ascii="Arial" w:hAnsi="Arial" w:cs="Arial"/>
          <w:b/>
          <w:sz w:val="24"/>
          <w:szCs w:val="24"/>
          <w:u w:val="single"/>
        </w:rPr>
      </w:pPr>
      <w:r w:rsidRPr="00D1739B">
        <w:rPr>
          <w:rFonts w:ascii="Arial" w:hAnsi="Arial" w:cs="Arial"/>
          <w:b/>
          <w:sz w:val="24"/>
          <w:szCs w:val="24"/>
        </w:rPr>
        <w:t>7.0</w:t>
      </w:r>
      <w:r w:rsidR="00665862" w:rsidRPr="00D1739B">
        <w:rPr>
          <w:rFonts w:ascii="Arial" w:hAnsi="Arial" w:cs="Arial"/>
          <w:b/>
          <w:sz w:val="24"/>
          <w:szCs w:val="24"/>
        </w:rPr>
        <w:tab/>
      </w:r>
      <w:r w:rsidR="00665862" w:rsidRPr="00D1739B">
        <w:rPr>
          <w:rFonts w:ascii="Arial" w:hAnsi="Arial" w:cs="Arial"/>
          <w:b/>
          <w:sz w:val="24"/>
          <w:szCs w:val="24"/>
          <w:u w:val="single"/>
        </w:rPr>
        <w:t>Consultation/Engagement</w:t>
      </w:r>
    </w:p>
    <w:p w14:paraId="6E064353" w14:textId="77777777" w:rsidR="009F3263" w:rsidRPr="00D1739B" w:rsidRDefault="009F3263" w:rsidP="006D07B8">
      <w:pPr>
        <w:pStyle w:val="NoSpacing"/>
        <w:spacing w:line="259" w:lineRule="auto"/>
        <w:ind w:left="709"/>
        <w:rPr>
          <w:rFonts w:ascii="Arial" w:hAnsi="Arial" w:cs="Arial"/>
          <w:b/>
          <w:sz w:val="24"/>
          <w:szCs w:val="24"/>
        </w:rPr>
      </w:pPr>
    </w:p>
    <w:p w14:paraId="0151C81C" w14:textId="77777777" w:rsidR="004D4EF7" w:rsidRPr="00D1739B" w:rsidRDefault="004D4EF7" w:rsidP="006D07B8">
      <w:pPr>
        <w:pStyle w:val="NoSpacing"/>
        <w:spacing w:line="259" w:lineRule="auto"/>
        <w:ind w:left="709"/>
        <w:rPr>
          <w:rFonts w:ascii="Arial" w:hAnsi="Arial" w:cs="Arial"/>
          <w:sz w:val="24"/>
          <w:szCs w:val="24"/>
        </w:rPr>
      </w:pPr>
      <w:r w:rsidRPr="00D1739B">
        <w:rPr>
          <w:rFonts w:ascii="Arial" w:hAnsi="Arial" w:cs="Arial"/>
          <w:sz w:val="24"/>
          <w:szCs w:val="24"/>
        </w:rPr>
        <w:t>Mark Johnson</w:t>
      </w:r>
    </w:p>
    <w:p w14:paraId="39767E83" w14:textId="77777777" w:rsidR="004D1BC0" w:rsidRDefault="0007605A" w:rsidP="006D07B8">
      <w:pPr>
        <w:pStyle w:val="NoSpacing"/>
        <w:spacing w:line="259" w:lineRule="auto"/>
        <w:ind w:left="709"/>
        <w:rPr>
          <w:rFonts w:ascii="Arial" w:hAnsi="Arial" w:cs="Arial"/>
          <w:sz w:val="24"/>
          <w:szCs w:val="24"/>
        </w:rPr>
      </w:pPr>
      <w:r>
        <w:rPr>
          <w:rFonts w:ascii="Arial" w:hAnsi="Arial" w:cs="Arial"/>
          <w:sz w:val="24"/>
          <w:szCs w:val="24"/>
        </w:rPr>
        <w:t>Jen Housego</w:t>
      </w:r>
    </w:p>
    <w:p w14:paraId="11E0451B" w14:textId="77777777" w:rsidR="0007605A" w:rsidRPr="00D1739B" w:rsidRDefault="0007605A" w:rsidP="006D07B8">
      <w:pPr>
        <w:pStyle w:val="NoSpacing"/>
        <w:spacing w:line="259" w:lineRule="auto"/>
        <w:ind w:left="709"/>
        <w:rPr>
          <w:rFonts w:ascii="Arial" w:hAnsi="Arial" w:cs="Arial"/>
          <w:sz w:val="24"/>
          <w:szCs w:val="24"/>
        </w:rPr>
      </w:pPr>
      <w:r>
        <w:rPr>
          <w:rFonts w:ascii="Arial" w:hAnsi="Arial" w:cs="Arial"/>
          <w:sz w:val="24"/>
          <w:szCs w:val="24"/>
        </w:rPr>
        <w:lastRenderedPageBreak/>
        <w:t>Claire Heath</w:t>
      </w:r>
    </w:p>
    <w:p w14:paraId="63C7CFC2" w14:textId="77777777" w:rsidR="00663C2D" w:rsidRPr="00D1739B" w:rsidRDefault="00663C2D" w:rsidP="006D07B8">
      <w:pPr>
        <w:pStyle w:val="NoSpacing"/>
        <w:spacing w:line="259" w:lineRule="auto"/>
        <w:ind w:left="709"/>
        <w:rPr>
          <w:rFonts w:ascii="Arial" w:hAnsi="Arial" w:cs="Arial"/>
          <w:sz w:val="24"/>
          <w:szCs w:val="24"/>
        </w:rPr>
      </w:pPr>
    </w:p>
    <w:p w14:paraId="037A331A" w14:textId="77777777" w:rsidR="007D3E9B" w:rsidRPr="00D1739B" w:rsidRDefault="00E92E89" w:rsidP="006D07B8">
      <w:pPr>
        <w:pStyle w:val="NoSpacing"/>
        <w:spacing w:line="259" w:lineRule="auto"/>
        <w:ind w:left="720" w:hanging="720"/>
        <w:rPr>
          <w:rFonts w:ascii="Arial" w:hAnsi="Arial" w:cs="Arial"/>
          <w:b/>
          <w:sz w:val="24"/>
          <w:szCs w:val="24"/>
          <w:u w:val="single"/>
        </w:rPr>
      </w:pPr>
      <w:r w:rsidRPr="00D1739B">
        <w:rPr>
          <w:rFonts w:ascii="Arial" w:hAnsi="Arial" w:cs="Arial"/>
          <w:b/>
          <w:sz w:val="24"/>
          <w:szCs w:val="24"/>
        </w:rPr>
        <w:t>8.0</w:t>
      </w:r>
      <w:r w:rsidR="003832F7" w:rsidRPr="00D1739B">
        <w:rPr>
          <w:rFonts w:ascii="Arial" w:hAnsi="Arial" w:cs="Arial"/>
          <w:b/>
          <w:sz w:val="24"/>
          <w:szCs w:val="24"/>
        </w:rPr>
        <w:tab/>
      </w:r>
      <w:r w:rsidR="00450311">
        <w:rPr>
          <w:rFonts w:ascii="Arial" w:hAnsi="Arial" w:cs="Arial"/>
          <w:b/>
          <w:sz w:val="24"/>
          <w:szCs w:val="24"/>
          <w:u w:val="single"/>
        </w:rPr>
        <w:t>Area</w:t>
      </w:r>
      <w:r w:rsidR="007D3E9B" w:rsidRPr="00D1739B">
        <w:rPr>
          <w:rFonts w:ascii="Arial" w:hAnsi="Arial" w:cs="Arial"/>
          <w:b/>
          <w:sz w:val="24"/>
          <w:szCs w:val="24"/>
          <w:u w:val="single"/>
        </w:rPr>
        <w:t>s for Improvement</w:t>
      </w:r>
    </w:p>
    <w:p w14:paraId="020715F6" w14:textId="77777777" w:rsidR="007D3E9B" w:rsidRPr="00D1739B" w:rsidRDefault="007D3E9B" w:rsidP="006D07B8">
      <w:pPr>
        <w:pStyle w:val="NoSpacing"/>
        <w:spacing w:line="259" w:lineRule="auto"/>
        <w:ind w:left="720"/>
        <w:rPr>
          <w:rFonts w:ascii="Arial" w:hAnsi="Arial" w:cs="Arial"/>
          <w:sz w:val="24"/>
          <w:szCs w:val="24"/>
        </w:rPr>
      </w:pPr>
    </w:p>
    <w:p w14:paraId="64E2239B" w14:textId="77777777" w:rsidR="007D3E9B" w:rsidRPr="00D1739B" w:rsidRDefault="004D1BC0" w:rsidP="006D07B8">
      <w:pPr>
        <w:pStyle w:val="NoSpacing"/>
        <w:spacing w:line="259" w:lineRule="auto"/>
        <w:ind w:left="720"/>
        <w:rPr>
          <w:rFonts w:ascii="Arial" w:hAnsi="Arial" w:cs="Arial"/>
          <w:sz w:val="24"/>
          <w:szCs w:val="24"/>
        </w:rPr>
      </w:pPr>
      <w:r w:rsidRPr="00D1739B">
        <w:rPr>
          <w:rFonts w:ascii="Arial" w:hAnsi="Arial" w:cs="Arial"/>
          <w:sz w:val="24"/>
          <w:szCs w:val="24"/>
        </w:rPr>
        <w:t>No AFIs relating to Collaboration</w:t>
      </w:r>
      <w:r w:rsidR="008C2A7E" w:rsidRPr="00D1739B">
        <w:rPr>
          <w:rFonts w:ascii="Arial" w:hAnsi="Arial" w:cs="Arial"/>
          <w:sz w:val="24"/>
          <w:szCs w:val="24"/>
        </w:rPr>
        <w:t xml:space="preserve"> at this current time</w:t>
      </w:r>
      <w:r w:rsidRPr="00D1739B">
        <w:rPr>
          <w:rFonts w:ascii="Arial" w:hAnsi="Arial" w:cs="Arial"/>
          <w:sz w:val="24"/>
          <w:szCs w:val="24"/>
        </w:rPr>
        <w:t>.</w:t>
      </w:r>
    </w:p>
    <w:p w14:paraId="527CD5B7" w14:textId="77777777" w:rsidR="007D3E9B" w:rsidRPr="00D1739B" w:rsidRDefault="007D3E9B" w:rsidP="006D07B8">
      <w:pPr>
        <w:pStyle w:val="NoSpacing"/>
        <w:spacing w:line="259" w:lineRule="auto"/>
        <w:ind w:left="709"/>
        <w:rPr>
          <w:rFonts w:ascii="Arial" w:hAnsi="Arial" w:cs="Arial"/>
          <w:sz w:val="24"/>
          <w:szCs w:val="24"/>
        </w:rPr>
      </w:pPr>
    </w:p>
    <w:p w14:paraId="1A1FA73F" w14:textId="77777777" w:rsidR="00017D7D" w:rsidRPr="00D1739B" w:rsidRDefault="00E92E89" w:rsidP="006D07B8">
      <w:pPr>
        <w:pStyle w:val="NoSpacing"/>
        <w:spacing w:line="259" w:lineRule="auto"/>
        <w:rPr>
          <w:rFonts w:ascii="Arial" w:hAnsi="Arial" w:cs="Arial"/>
          <w:b/>
          <w:sz w:val="24"/>
          <w:szCs w:val="24"/>
          <w:u w:val="single"/>
        </w:rPr>
      </w:pPr>
      <w:r w:rsidRPr="00D1739B">
        <w:rPr>
          <w:rFonts w:ascii="Arial" w:hAnsi="Arial" w:cs="Arial"/>
          <w:b/>
          <w:sz w:val="24"/>
          <w:szCs w:val="24"/>
        </w:rPr>
        <w:t>9.0</w:t>
      </w:r>
      <w:r w:rsidR="007D3E9B" w:rsidRPr="00D1739B">
        <w:rPr>
          <w:rFonts w:ascii="Arial" w:hAnsi="Arial" w:cs="Arial"/>
          <w:b/>
          <w:sz w:val="24"/>
          <w:szCs w:val="24"/>
        </w:rPr>
        <w:tab/>
      </w:r>
      <w:r w:rsidR="007D3E9B" w:rsidRPr="00D1739B">
        <w:rPr>
          <w:rFonts w:ascii="Arial" w:hAnsi="Arial" w:cs="Arial"/>
          <w:b/>
          <w:sz w:val="24"/>
          <w:szCs w:val="24"/>
          <w:u w:val="single"/>
        </w:rPr>
        <w:t>Future Work/Development</w:t>
      </w:r>
      <w:r w:rsidR="004A55EC" w:rsidRPr="00D1739B">
        <w:rPr>
          <w:rFonts w:ascii="Arial" w:hAnsi="Arial" w:cs="Arial"/>
          <w:b/>
          <w:sz w:val="24"/>
          <w:szCs w:val="24"/>
          <w:u w:val="single"/>
        </w:rPr>
        <w:t xml:space="preserve"> and Expected Outcome</w:t>
      </w:r>
    </w:p>
    <w:p w14:paraId="4B5FE697" w14:textId="77777777" w:rsidR="007D3E9B" w:rsidRPr="00D1739B" w:rsidRDefault="007D3E9B" w:rsidP="006D07B8">
      <w:pPr>
        <w:pStyle w:val="NoSpacing"/>
        <w:spacing w:line="259" w:lineRule="auto"/>
        <w:ind w:left="720"/>
        <w:rPr>
          <w:rFonts w:ascii="Arial" w:hAnsi="Arial" w:cs="Arial"/>
          <w:sz w:val="24"/>
          <w:szCs w:val="24"/>
        </w:rPr>
      </w:pPr>
    </w:p>
    <w:p w14:paraId="391E0C5E" w14:textId="77777777" w:rsidR="001973CB" w:rsidRPr="00D1739B" w:rsidRDefault="004D1BC0" w:rsidP="00733052">
      <w:pPr>
        <w:pStyle w:val="NoSpacing"/>
        <w:spacing w:line="259" w:lineRule="auto"/>
        <w:ind w:left="720"/>
        <w:rPr>
          <w:rFonts w:ascii="Arial" w:hAnsi="Arial" w:cs="Arial"/>
          <w:sz w:val="24"/>
          <w:szCs w:val="24"/>
        </w:rPr>
      </w:pPr>
      <w:r w:rsidRPr="00D1739B">
        <w:rPr>
          <w:rFonts w:ascii="Arial" w:hAnsi="Arial" w:cs="Arial"/>
          <w:sz w:val="24"/>
          <w:szCs w:val="24"/>
        </w:rPr>
        <w:t>Whilst collaboration is fully embedded as a working principle for Essex Police, there will be continued evaluation of potential collaborative working possibilities to improve efficiencies and effectiveness regarding policing within the county of Essex.</w:t>
      </w:r>
      <w:r w:rsidR="00733052">
        <w:rPr>
          <w:rFonts w:ascii="Arial" w:hAnsi="Arial" w:cs="Arial"/>
          <w:sz w:val="24"/>
          <w:szCs w:val="24"/>
        </w:rPr>
        <w:t xml:space="preserve"> The next quarterly update report on collaboration will be provided to the </w:t>
      </w:r>
      <w:r w:rsidR="00E543B9">
        <w:rPr>
          <w:rFonts w:ascii="Arial" w:hAnsi="Arial" w:cs="Arial"/>
          <w:sz w:val="24"/>
          <w:szCs w:val="24"/>
        </w:rPr>
        <w:t>2</w:t>
      </w:r>
      <w:r w:rsidR="00867715">
        <w:rPr>
          <w:rFonts w:ascii="Arial" w:hAnsi="Arial" w:cs="Arial"/>
          <w:sz w:val="24"/>
          <w:szCs w:val="24"/>
        </w:rPr>
        <w:t>7</w:t>
      </w:r>
      <w:r w:rsidR="00E543B9" w:rsidRPr="00E543B9">
        <w:rPr>
          <w:rFonts w:ascii="Arial" w:hAnsi="Arial" w:cs="Arial"/>
          <w:sz w:val="24"/>
          <w:szCs w:val="24"/>
          <w:vertAlign w:val="superscript"/>
        </w:rPr>
        <w:t>th</w:t>
      </w:r>
      <w:r w:rsidR="00E543B9">
        <w:rPr>
          <w:rFonts w:ascii="Arial" w:hAnsi="Arial" w:cs="Arial"/>
          <w:sz w:val="24"/>
          <w:szCs w:val="24"/>
        </w:rPr>
        <w:t xml:space="preserve"> </w:t>
      </w:r>
      <w:r w:rsidR="00867715">
        <w:rPr>
          <w:rFonts w:ascii="Arial" w:hAnsi="Arial" w:cs="Arial"/>
          <w:sz w:val="24"/>
          <w:szCs w:val="24"/>
        </w:rPr>
        <w:t xml:space="preserve">June </w:t>
      </w:r>
      <w:r w:rsidR="00E543B9">
        <w:rPr>
          <w:rFonts w:ascii="Arial" w:hAnsi="Arial" w:cs="Arial"/>
          <w:sz w:val="24"/>
          <w:szCs w:val="24"/>
        </w:rPr>
        <w:t>2019</w:t>
      </w:r>
      <w:r w:rsidR="00733052">
        <w:rPr>
          <w:rFonts w:ascii="Arial" w:hAnsi="Arial" w:cs="Arial"/>
          <w:sz w:val="24"/>
          <w:szCs w:val="24"/>
        </w:rPr>
        <w:t xml:space="preserve"> P&amp;R Scrutiny Board.</w:t>
      </w:r>
      <w:r w:rsidR="00733052" w:rsidRPr="00D1739B">
        <w:rPr>
          <w:rFonts w:ascii="Arial" w:hAnsi="Arial" w:cs="Arial"/>
          <w:sz w:val="24"/>
          <w:szCs w:val="24"/>
        </w:rPr>
        <w:t xml:space="preserve"> </w:t>
      </w:r>
    </w:p>
    <w:p w14:paraId="50CD4000" w14:textId="77777777" w:rsidR="00733052" w:rsidRDefault="00733052" w:rsidP="006D07B8">
      <w:pPr>
        <w:pStyle w:val="NoSpacing"/>
        <w:spacing w:line="259" w:lineRule="auto"/>
        <w:ind w:left="720"/>
        <w:rPr>
          <w:rFonts w:ascii="Arial" w:hAnsi="Arial" w:cs="Arial"/>
          <w:sz w:val="24"/>
          <w:szCs w:val="24"/>
        </w:rPr>
      </w:pPr>
    </w:p>
    <w:p w14:paraId="6D1D0F46" w14:textId="77777777" w:rsidR="00665862" w:rsidRDefault="00733052" w:rsidP="006D07B8">
      <w:pPr>
        <w:pStyle w:val="NoSpacing"/>
        <w:spacing w:line="259" w:lineRule="auto"/>
        <w:ind w:left="720"/>
        <w:rPr>
          <w:rFonts w:ascii="Arial" w:hAnsi="Arial" w:cs="Arial"/>
          <w:sz w:val="24"/>
          <w:szCs w:val="24"/>
        </w:rPr>
      </w:pPr>
      <w:r w:rsidRPr="005A08F5">
        <w:rPr>
          <w:rFonts w:ascii="Arial" w:hAnsi="Arial" w:cs="Arial"/>
          <w:sz w:val="24"/>
          <w:szCs w:val="24"/>
        </w:rPr>
        <w:t>T</w:t>
      </w:r>
      <w:r w:rsidR="00D1739B" w:rsidRPr="005A08F5">
        <w:rPr>
          <w:rFonts w:ascii="Arial" w:hAnsi="Arial" w:cs="Arial"/>
          <w:sz w:val="24"/>
          <w:szCs w:val="24"/>
        </w:rPr>
        <w:t xml:space="preserve">he National Specialist Capabilities Review </w:t>
      </w:r>
      <w:r w:rsidRPr="005A08F5">
        <w:rPr>
          <w:rFonts w:ascii="Arial" w:hAnsi="Arial" w:cs="Arial"/>
          <w:sz w:val="24"/>
          <w:szCs w:val="24"/>
        </w:rPr>
        <w:t>continues</w:t>
      </w:r>
      <w:r w:rsidR="00D1739B" w:rsidRPr="005A08F5">
        <w:rPr>
          <w:rFonts w:ascii="Arial" w:hAnsi="Arial" w:cs="Arial"/>
          <w:sz w:val="24"/>
          <w:szCs w:val="24"/>
        </w:rPr>
        <w:t>, which is looking at how specialist policing capabilities could be considered</w:t>
      </w:r>
      <w:r w:rsidR="00450311" w:rsidRPr="005A08F5">
        <w:rPr>
          <w:rFonts w:ascii="Arial" w:hAnsi="Arial" w:cs="Arial"/>
          <w:sz w:val="24"/>
          <w:szCs w:val="24"/>
        </w:rPr>
        <w:t xml:space="preserve"> and coordinated</w:t>
      </w:r>
      <w:r w:rsidR="00D1739B" w:rsidRPr="005A08F5">
        <w:rPr>
          <w:rFonts w:ascii="Arial" w:hAnsi="Arial" w:cs="Arial"/>
          <w:sz w:val="24"/>
          <w:szCs w:val="24"/>
        </w:rPr>
        <w:t xml:space="preserve"> across the forces to adapt to modern policing challenges and threats to better protect the public. The capability areas being reviewed are armed policing, cyber-dependent crime, major investigations, open source, intelligence (receipt assessment and analysis), roads policing, (collision investigations and intelligence), Tactical Support Unit (TSU), surveillance and forensics.</w:t>
      </w:r>
      <w:r w:rsidRPr="005A08F5">
        <w:rPr>
          <w:rFonts w:ascii="Arial" w:hAnsi="Arial" w:cs="Arial"/>
          <w:sz w:val="24"/>
          <w:szCs w:val="24"/>
        </w:rPr>
        <w:t xml:space="preserve"> Updates will be provided as this develops.</w:t>
      </w:r>
    </w:p>
    <w:p w14:paraId="0EDFD104" w14:textId="77777777" w:rsidR="008F0D43" w:rsidRDefault="008F0D43" w:rsidP="006D07B8">
      <w:pPr>
        <w:pStyle w:val="NoSpacing"/>
        <w:spacing w:line="259" w:lineRule="auto"/>
        <w:ind w:left="720"/>
        <w:rPr>
          <w:rFonts w:ascii="Arial" w:hAnsi="Arial" w:cs="Arial"/>
          <w:sz w:val="24"/>
          <w:szCs w:val="24"/>
        </w:rPr>
      </w:pPr>
    </w:p>
    <w:p w14:paraId="3B623F2D" w14:textId="77777777" w:rsidR="008F0D43" w:rsidRDefault="008F0D43" w:rsidP="006D07B8">
      <w:pPr>
        <w:pStyle w:val="NoSpacing"/>
        <w:spacing w:line="259" w:lineRule="auto"/>
        <w:ind w:left="720"/>
        <w:rPr>
          <w:rFonts w:ascii="Arial" w:hAnsi="Arial" w:cs="Arial"/>
          <w:sz w:val="24"/>
          <w:szCs w:val="24"/>
        </w:rPr>
      </w:pPr>
    </w:p>
    <w:p w14:paraId="431E6815" w14:textId="77777777" w:rsidR="00D1739B" w:rsidRPr="00D1739B" w:rsidRDefault="00D1739B" w:rsidP="006D07B8">
      <w:pPr>
        <w:pStyle w:val="NoSpacing"/>
        <w:spacing w:line="259" w:lineRule="auto"/>
        <w:ind w:left="720"/>
        <w:rPr>
          <w:rFonts w:ascii="Arial" w:hAnsi="Arial" w:cs="Arial"/>
          <w:sz w:val="24"/>
          <w:szCs w:val="24"/>
        </w:rPr>
      </w:pPr>
    </w:p>
    <w:p w14:paraId="1390B54C" w14:textId="77777777" w:rsidR="008A42D5" w:rsidRDefault="008A42D5" w:rsidP="006D07B8">
      <w:pPr>
        <w:pStyle w:val="NoSpacing"/>
        <w:spacing w:line="259" w:lineRule="auto"/>
        <w:ind w:left="720"/>
        <w:rPr>
          <w:rFonts w:ascii="Arial" w:hAnsi="Arial" w:cs="Arial"/>
          <w:sz w:val="24"/>
          <w:szCs w:val="24"/>
        </w:rPr>
      </w:pPr>
    </w:p>
    <w:p w14:paraId="3187D77D" w14:textId="77777777" w:rsidR="00FE52AD" w:rsidRDefault="00FE52AD" w:rsidP="00BF4C2F">
      <w:pPr>
        <w:spacing w:after="0" w:line="360" w:lineRule="auto"/>
        <w:jc w:val="both"/>
        <w:rPr>
          <w:b/>
          <w:u w:val="single"/>
        </w:rPr>
      </w:pPr>
    </w:p>
    <w:sectPr w:rsidR="00FE52AD" w:rsidSect="00BF4C2F">
      <w:headerReference w:type="default" r:id="rId14"/>
      <w:footerReference w:type="default" r:id="rId15"/>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CB3B7" w14:textId="77777777" w:rsidR="00855D08" w:rsidRDefault="00855D08" w:rsidP="00121A7F">
      <w:pPr>
        <w:spacing w:after="0" w:line="240" w:lineRule="auto"/>
      </w:pPr>
      <w:r>
        <w:separator/>
      </w:r>
    </w:p>
  </w:endnote>
  <w:endnote w:type="continuationSeparator" w:id="0">
    <w:p w14:paraId="2CF45AFC" w14:textId="77777777" w:rsidR="00855D08" w:rsidRDefault="00855D08"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14:paraId="463E13AE" w14:textId="77777777" w:rsidR="00C337C1" w:rsidRDefault="00C337C1" w:rsidP="004F62BB">
            <w:pPr>
              <w:pStyle w:val="Footer"/>
              <w:jc w:val="center"/>
            </w:pPr>
          </w:p>
          <w:p w14:paraId="5685E4FC" w14:textId="77777777" w:rsidR="00C337C1" w:rsidRPr="004F62BB" w:rsidRDefault="00C337C1"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14:paraId="69AE6B2A" w14:textId="77777777" w:rsidR="00C337C1" w:rsidRPr="006279AB" w:rsidRDefault="00C337C1" w:rsidP="004F62BB">
            <w:pPr>
              <w:pStyle w:val="Footer"/>
              <w:jc w:val="center"/>
              <w:rPr>
                <w:rFonts w:ascii="Arial" w:hAnsi="Arial" w:cs="Arial"/>
                <w:sz w:val="20"/>
                <w:szCs w:val="20"/>
              </w:rPr>
            </w:pPr>
          </w:p>
          <w:p w14:paraId="63521F5E" w14:textId="650A92C1" w:rsidR="00C337C1" w:rsidRDefault="00C337C1">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741256">
              <w:rPr>
                <w:rFonts w:ascii="Arial" w:hAnsi="Arial" w:cs="Arial"/>
                <w:bCs/>
                <w:noProof/>
                <w:sz w:val="20"/>
                <w:szCs w:val="20"/>
              </w:rPr>
              <w:t>1</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741256">
              <w:rPr>
                <w:rFonts w:ascii="Arial" w:hAnsi="Arial" w:cs="Arial"/>
                <w:bCs/>
                <w:noProof/>
                <w:sz w:val="20"/>
                <w:szCs w:val="20"/>
              </w:rPr>
              <w:t>14</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52268" w14:textId="77777777" w:rsidR="00855D08" w:rsidRDefault="00855D08" w:rsidP="00121A7F">
      <w:pPr>
        <w:spacing w:after="0" w:line="240" w:lineRule="auto"/>
      </w:pPr>
      <w:r>
        <w:separator/>
      </w:r>
    </w:p>
  </w:footnote>
  <w:footnote w:type="continuationSeparator" w:id="0">
    <w:p w14:paraId="2C911232" w14:textId="77777777" w:rsidR="00855D08" w:rsidRDefault="00855D08" w:rsidP="0012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98625" w14:textId="77777777" w:rsidR="00C337C1" w:rsidRDefault="00C337C1" w:rsidP="004F62BB">
    <w:pPr>
      <w:pStyle w:val="Header"/>
      <w:jc w:val="center"/>
      <w:rPr>
        <w:rFonts w:ascii="Arial" w:hAnsi="Arial" w:cs="Arial"/>
        <w:sz w:val="20"/>
      </w:rPr>
    </w:pPr>
    <w:r>
      <w:rPr>
        <w:rFonts w:ascii="Arial" w:hAnsi="Arial" w:cs="Arial"/>
        <w:sz w:val="20"/>
      </w:rPr>
      <w:t>OFFICIAL</w:t>
    </w:r>
  </w:p>
  <w:p w14:paraId="093C2857" w14:textId="77777777" w:rsidR="00C337C1" w:rsidRPr="006279AB" w:rsidRDefault="00C337C1"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48E2"/>
    <w:multiLevelType w:val="hybridMultilevel"/>
    <w:tmpl w:val="FA624E52"/>
    <w:lvl w:ilvl="0" w:tplc="3314D19C">
      <w:start w:val="1"/>
      <w:numFmt w:val="lowerRoman"/>
      <w:lvlText w:val="%1."/>
      <w:lvlJc w:val="left"/>
      <w:pPr>
        <w:ind w:left="1440" w:hanging="72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826AC4"/>
    <w:multiLevelType w:val="hybridMultilevel"/>
    <w:tmpl w:val="72D00590"/>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6853B89"/>
    <w:multiLevelType w:val="hybridMultilevel"/>
    <w:tmpl w:val="8FBC8566"/>
    <w:lvl w:ilvl="0" w:tplc="4498DF98">
      <w:start w:val="1"/>
      <w:numFmt w:val="bullet"/>
      <w:lvlText w:val=""/>
      <w:lvlJc w:val="left"/>
      <w:pPr>
        <w:ind w:left="360" w:hanging="360"/>
      </w:pPr>
      <w:rPr>
        <w:rFonts w:ascii="Wingdings" w:hAnsi="Wingdings" w:hint="default"/>
        <w:b/>
        <w:color w:val="auto"/>
        <w:sz w:val="32"/>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07D240FD"/>
    <w:multiLevelType w:val="hybridMultilevel"/>
    <w:tmpl w:val="3E2C837A"/>
    <w:lvl w:ilvl="0" w:tplc="32684A48">
      <w:start w:val="6"/>
      <w:numFmt w:val="decimal"/>
      <w:lvlText w:val="%1."/>
      <w:lvlJc w:val="left"/>
      <w:pPr>
        <w:ind w:left="1834" w:hanging="360"/>
      </w:pPr>
      <w:rPr>
        <w:rFonts w:hint="default"/>
      </w:rPr>
    </w:lvl>
    <w:lvl w:ilvl="1" w:tplc="08090019" w:tentative="1">
      <w:start w:val="1"/>
      <w:numFmt w:val="lowerLetter"/>
      <w:lvlText w:val="%2."/>
      <w:lvlJc w:val="left"/>
      <w:pPr>
        <w:ind w:left="2554" w:hanging="360"/>
      </w:pPr>
    </w:lvl>
    <w:lvl w:ilvl="2" w:tplc="0809001B" w:tentative="1">
      <w:start w:val="1"/>
      <w:numFmt w:val="lowerRoman"/>
      <w:lvlText w:val="%3."/>
      <w:lvlJc w:val="right"/>
      <w:pPr>
        <w:ind w:left="3274" w:hanging="180"/>
      </w:pPr>
    </w:lvl>
    <w:lvl w:ilvl="3" w:tplc="0809000F" w:tentative="1">
      <w:start w:val="1"/>
      <w:numFmt w:val="decimal"/>
      <w:lvlText w:val="%4."/>
      <w:lvlJc w:val="left"/>
      <w:pPr>
        <w:ind w:left="3994" w:hanging="360"/>
      </w:pPr>
    </w:lvl>
    <w:lvl w:ilvl="4" w:tplc="08090019" w:tentative="1">
      <w:start w:val="1"/>
      <w:numFmt w:val="lowerLetter"/>
      <w:lvlText w:val="%5."/>
      <w:lvlJc w:val="left"/>
      <w:pPr>
        <w:ind w:left="4714" w:hanging="360"/>
      </w:pPr>
    </w:lvl>
    <w:lvl w:ilvl="5" w:tplc="0809001B" w:tentative="1">
      <w:start w:val="1"/>
      <w:numFmt w:val="lowerRoman"/>
      <w:lvlText w:val="%6."/>
      <w:lvlJc w:val="right"/>
      <w:pPr>
        <w:ind w:left="5434" w:hanging="180"/>
      </w:pPr>
    </w:lvl>
    <w:lvl w:ilvl="6" w:tplc="0809000F" w:tentative="1">
      <w:start w:val="1"/>
      <w:numFmt w:val="decimal"/>
      <w:lvlText w:val="%7."/>
      <w:lvlJc w:val="left"/>
      <w:pPr>
        <w:ind w:left="6154" w:hanging="360"/>
      </w:pPr>
    </w:lvl>
    <w:lvl w:ilvl="7" w:tplc="08090019" w:tentative="1">
      <w:start w:val="1"/>
      <w:numFmt w:val="lowerLetter"/>
      <w:lvlText w:val="%8."/>
      <w:lvlJc w:val="left"/>
      <w:pPr>
        <w:ind w:left="6874" w:hanging="360"/>
      </w:pPr>
    </w:lvl>
    <w:lvl w:ilvl="8" w:tplc="0809001B" w:tentative="1">
      <w:start w:val="1"/>
      <w:numFmt w:val="lowerRoman"/>
      <w:lvlText w:val="%9."/>
      <w:lvlJc w:val="right"/>
      <w:pPr>
        <w:ind w:left="7594" w:hanging="180"/>
      </w:pPr>
    </w:lvl>
  </w:abstractNum>
  <w:abstractNum w:abstractNumId="4" w15:restartNumberingAfterBreak="0">
    <w:nsid w:val="0CE01AA1"/>
    <w:multiLevelType w:val="hybridMultilevel"/>
    <w:tmpl w:val="2B12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0175C"/>
    <w:multiLevelType w:val="hybridMultilevel"/>
    <w:tmpl w:val="D1E6F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CC4353"/>
    <w:multiLevelType w:val="hybridMultilevel"/>
    <w:tmpl w:val="2FAE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E121F"/>
    <w:multiLevelType w:val="hybridMultilevel"/>
    <w:tmpl w:val="B0BE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9"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0" w15:restartNumberingAfterBreak="0">
    <w:nsid w:val="1FC9262A"/>
    <w:multiLevelType w:val="hybridMultilevel"/>
    <w:tmpl w:val="BF4A283A"/>
    <w:lvl w:ilvl="0" w:tplc="0809001B">
      <w:start w:val="1"/>
      <w:numFmt w:val="lowerRoman"/>
      <w:lvlText w:val="%1."/>
      <w:lvlJc w:val="righ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21AE5240"/>
    <w:multiLevelType w:val="hybridMultilevel"/>
    <w:tmpl w:val="54B4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50325F"/>
    <w:multiLevelType w:val="hybridMultilevel"/>
    <w:tmpl w:val="50C610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6CF0E56"/>
    <w:multiLevelType w:val="hybridMultilevel"/>
    <w:tmpl w:val="64766456"/>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32837CFD"/>
    <w:multiLevelType w:val="hybridMultilevel"/>
    <w:tmpl w:val="9F3A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4F1490"/>
    <w:multiLevelType w:val="hybridMultilevel"/>
    <w:tmpl w:val="320EC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19"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906918"/>
    <w:multiLevelType w:val="hybridMultilevel"/>
    <w:tmpl w:val="7F98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B90362"/>
    <w:multiLevelType w:val="hybridMultilevel"/>
    <w:tmpl w:val="F04A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2D27F4"/>
    <w:multiLevelType w:val="hybridMultilevel"/>
    <w:tmpl w:val="C994A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0F6425"/>
    <w:multiLevelType w:val="hybridMultilevel"/>
    <w:tmpl w:val="995A97C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4" w15:restartNumberingAfterBreak="0">
    <w:nsid w:val="593164C2"/>
    <w:multiLevelType w:val="multilevel"/>
    <w:tmpl w:val="E076B8CA"/>
    <w:lvl w:ilvl="0">
      <w:start w:val="1"/>
      <w:numFmt w:val="lowerRoman"/>
      <w:lvlText w:val="%1."/>
      <w:lvlJc w:val="left"/>
      <w:pPr>
        <w:ind w:left="1440" w:hanging="720"/>
      </w:pPr>
      <w:rPr>
        <w:rFonts w:hint="default"/>
        <w:b w:val="0"/>
        <w:u w:val="none"/>
      </w:rPr>
    </w:lvl>
    <w:lvl w:ilvl="1">
      <w:start w:val="1"/>
      <w:numFmt w:val="lowerLetter"/>
      <w:lvlText w:val="%2."/>
      <w:lvlJc w:val="left"/>
      <w:pPr>
        <w:ind w:left="1800" w:hanging="360"/>
      </w:pPr>
      <w:rPr>
        <w:b w:val="0"/>
      </w:rPr>
    </w:lvl>
    <w:lvl w:ilvl="2">
      <w:start w:val="1"/>
      <w:numFmt w:val="lowerRoman"/>
      <w:lvlText w:val="%3."/>
      <w:lvlJc w:val="right"/>
      <w:pPr>
        <w:ind w:left="2520" w:hanging="180"/>
      </w:pPr>
      <w:rPr>
        <w:sz w:val="24"/>
        <w:szCs w:val="24"/>
      </w:rPr>
    </w:lvl>
    <w:lvl w:ilvl="3">
      <w:start w:val="1"/>
      <w:numFmt w:val="lowerRoman"/>
      <w:lvlText w:val="%4)"/>
      <w:lvlJc w:val="left"/>
      <w:pPr>
        <w:ind w:left="3600" w:hanging="720"/>
      </w:pPr>
      <w:rPr>
        <w:rFonts w:hint="default"/>
      </w:rPr>
    </w:lvl>
    <w:lvl w:ilvl="4">
      <w:start w:val="10"/>
      <w:numFmt w:val="decimal"/>
      <w:lvlText w:val="%5"/>
      <w:lvlJc w:val="left"/>
      <w:pPr>
        <w:ind w:left="3960" w:hanging="360"/>
      </w:pPr>
      <w:rPr>
        <w:rFonts w:asciiTheme="minorHAnsi" w:hAnsiTheme="minorHAnsi" w:cstheme="minorBidi" w:hint="default"/>
        <w:color w:val="000000" w:themeColor="text1"/>
      </w:rPr>
    </w:lvl>
    <w:lvl w:ilvl="5">
      <w:start w:val="2"/>
      <w:numFmt w:val="decimal"/>
      <w:lvlText w:val="%6."/>
      <w:lvlJc w:val="left"/>
      <w:pPr>
        <w:ind w:left="4860" w:hanging="360"/>
      </w:pPr>
      <w:rPr>
        <w:rFonts w:hint="default"/>
      </w:r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15:restartNumberingAfterBreak="0">
    <w:nsid w:val="5F661C4A"/>
    <w:multiLevelType w:val="multilevel"/>
    <w:tmpl w:val="FBF4623A"/>
    <w:lvl w:ilvl="0">
      <w:start w:val="1"/>
      <w:numFmt w:val="lowerLetter"/>
      <w:lvlText w:val="%1."/>
      <w:lvlJc w:val="left"/>
      <w:pPr>
        <w:ind w:left="1474" w:hanging="34"/>
      </w:pPr>
      <w:rPr>
        <w:rFonts w:hint="default"/>
        <w:b w:val="0"/>
        <w:u w:val="none"/>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6" w15:restartNumberingAfterBreak="0">
    <w:nsid w:val="63323B3E"/>
    <w:multiLevelType w:val="hybridMultilevel"/>
    <w:tmpl w:val="DB6A1C1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3660F88"/>
    <w:multiLevelType w:val="multilevel"/>
    <w:tmpl w:val="FBF4623A"/>
    <w:lvl w:ilvl="0">
      <w:start w:val="1"/>
      <w:numFmt w:val="lowerLetter"/>
      <w:lvlText w:val="%1."/>
      <w:lvlJc w:val="left"/>
      <w:pPr>
        <w:ind w:left="1474" w:hanging="34"/>
      </w:pPr>
      <w:rPr>
        <w:rFonts w:hint="default"/>
        <w:b w:val="0"/>
        <w:u w:val="none"/>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8" w15:restartNumberingAfterBreak="0">
    <w:nsid w:val="66AD4A8D"/>
    <w:multiLevelType w:val="multilevel"/>
    <w:tmpl w:val="FBF4623A"/>
    <w:lvl w:ilvl="0">
      <w:start w:val="1"/>
      <w:numFmt w:val="lowerLetter"/>
      <w:lvlText w:val="%1."/>
      <w:lvlJc w:val="left"/>
      <w:pPr>
        <w:ind w:left="1474" w:hanging="34"/>
      </w:pPr>
      <w:rPr>
        <w:rFonts w:hint="default"/>
        <w:b w:val="0"/>
        <w:u w:val="none"/>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9" w15:restartNumberingAfterBreak="0">
    <w:nsid w:val="683931CC"/>
    <w:multiLevelType w:val="hybridMultilevel"/>
    <w:tmpl w:val="4BE62954"/>
    <w:lvl w:ilvl="0" w:tplc="CA689F12">
      <w:start w:val="1"/>
      <w:numFmt w:val="lowerRoman"/>
      <w:lvlText w:val="%1."/>
      <w:lvlJc w:val="righ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1"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78253F"/>
    <w:multiLevelType w:val="hybridMultilevel"/>
    <w:tmpl w:val="4C92DA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AC604D"/>
    <w:multiLevelType w:val="hybridMultilevel"/>
    <w:tmpl w:val="BB60F77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6403F08"/>
    <w:multiLevelType w:val="hybridMultilevel"/>
    <w:tmpl w:val="292CD3F0"/>
    <w:lvl w:ilvl="0" w:tplc="650009E6">
      <w:start w:val="5"/>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89F4291"/>
    <w:multiLevelType w:val="multilevel"/>
    <w:tmpl w:val="FBF4623A"/>
    <w:lvl w:ilvl="0">
      <w:start w:val="1"/>
      <w:numFmt w:val="lowerLetter"/>
      <w:lvlText w:val="%1."/>
      <w:lvlJc w:val="left"/>
      <w:pPr>
        <w:ind w:left="1474" w:hanging="34"/>
      </w:pPr>
      <w:rPr>
        <w:rFonts w:hint="default"/>
        <w:b w:val="0"/>
        <w:u w:val="none"/>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6" w15:restartNumberingAfterBreak="0">
    <w:nsid w:val="7A9323F5"/>
    <w:multiLevelType w:val="hybridMultilevel"/>
    <w:tmpl w:val="3BD8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C21FF8"/>
    <w:multiLevelType w:val="hybridMultilevel"/>
    <w:tmpl w:val="EFD688AA"/>
    <w:lvl w:ilvl="0" w:tplc="6E20263E">
      <w:start w:val="1"/>
      <w:numFmt w:val="decimal"/>
      <w:lvlText w:val="%1."/>
      <w:lvlJc w:val="left"/>
      <w:pPr>
        <w:ind w:left="720" w:hanging="360"/>
      </w:pPr>
      <w:rPr>
        <w:rFonts w:asciiTheme="minorHAnsi" w:hAnsiTheme="minorHAnsi" w:cstheme="minorHAnsi"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9"/>
  </w:num>
  <w:num w:numId="3">
    <w:abstractNumId w:val="14"/>
  </w:num>
  <w:num w:numId="4">
    <w:abstractNumId w:val="30"/>
  </w:num>
  <w:num w:numId="5">
    <w:abstractNumId w:val="8"/>
  </w:num>
  <w:num w:numId="6">
    <w:abstractNumId w:val="31"/>
  </w:num>
  <w:num w:numId="7">
    <w:abstractNumId w:val="12"/>
  </w:num>
  <w:num w:numId="8">
    <w:abstractNumId w:val="18"/>
  </w:num>
  <w:num w:numId="9">
    <w:abstractNumId w:val="6"/>
  </w:num>
  <w:num w:numId="10">
    <w:abstractNumId w:val="16"/>
  </w:num>
  <w:num w:numId="11">
    <w:abstractNumId w:val="0"/>
  </w:num>
  <w:num w:numId="12">
    <w:abstractNumId w:val="24"/>
  </w:num>
  <w:num w:numId="13">
    <w:abstractNumId w:val="37"/>
  </w:num>
  <w:num w:numId="14">
    <w:abstractNumId w:val="29"/>
  </w:num>
  <w:num w:numId="15">
    <w:abstractNumId w:val="33"/>
  </w:num>
  <w:num w:numId="16">
    <w:abstractNumId w:val="7"/>
  </w:num>
  <w:num w:numId="17">
    <w:abstractNumId w:val="28"/>
  </w:num>
  <w:num w:numId="18">
    <w:abstractNumId w:val="26"/>
  </w:num>
  <w:num w:numId="19">
    <w:abstractNumId w:val="10"/>
  </w:num>
  <w:num w:numId="20">
    <w:abstractNumId w:val="15"/>
  </w:num>
  <w:num w:numId="21">
    <w:abstractNumId w:val="32"/>
  </w:num>
  <w:num w:numId="22">
    <w:abstractNumId w:val="13"/>
  </w:num>
  <w:num w:numId="23">
    <w:abstractNumId w:val="21"/>
  </w:num>
  <w:num w:numId="24">
    <w:abstractNumId w:val="27"/>
  </w:num>
  <w:num w:numId="25">
    <w:abstractNumId w:val="17"/>
  </w:num>
  <w:num w:numId="26">
    <w:abstractNumId w:val="5"/>
  </w:num>
  <w:num w:numId="27">
    <w:abstractNumId w:val="22"/>
  </w:num>
  <w:num w:numId="28">
    <w:abstractNumId w:val="4"/>
  </w:num>
  <w:num w:numId="29">
    <w:abstractNumId w:val="1"/>
  </w:num>
  <w:num w:numId="30">
    <w:abstractNumId w:val="23"/>
  </w:num>
  <w:num w:numId="31">
    <w:abstractNumId w:val="2"/>
  </w:num>
  <w:num w:numId="32">
    <w:abstractNumId w:val="34"/>
  </w:num>
  <w:num w:numId="33">
    <w:abstractNumId w:val="25"/>
  </w:num>
  <w:num w:numId="34">
    <w:abstractNumId w:val="35"/>
  </w:num>
  <w:num w:numId="35">
    <w:abstractNumId w:val="3"/>
  </w:num>
  <w:num w:numId="36">
    <w:abstractNumId w:val="36"/>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1310F"/>
    <w:rsid w:val="00017D7D"/>
    <w:rsid w:val="00022422"/>
    <w:rsid w:val="00027D5B"/>
    <w:rsid w:val="00031174"/>
    <w:rsid w:val="00046E42"/>
    <w:rsid w:val="000576F1"/>
    <w:rsid w:val="00067D4E"/>
    <w:rsid w:val="0007605A"/>
    <w:rsid w:val="00076366"/>
    <w:rsid w:val="00076371"/>
    <w:rsid w:val="00092BB3"/>
    <w:rsid w:val="000933D1"/>
    <w:rsid w:val="000A6382"/>
    <w:rsid w:val="000B5CAC"/>
    <w:rsid w:val="000C23C3"/>
    <w:rsid w:val="000F6C96"/>
    <w:rsid w:val="000F7453"/>
    <w:rsid w:val="00102305"/>
    <w:rsid w:val="00121849"/>
    <w:rsid w:val="00121A7F"/>
    <w:rsid w:val="00157862"/>
    <w:rsid w:val="001622A0"/>
    <w:rsid w:val="00176135"/>
    <w:rsid w:val="00177E60"/>
    <w:rsid w:val="00182A62"/>
    <w:rsid w:val="001900E9"/>
    <w:rsid w:val="0019351C"/>
    <w:rsid w:val="001973CB"/>
    <w:rsid w:val="001A2EDD"/>
    <w:rsid w:val="001A34F1"/>
    <w:rsid w:val="001A674B"/>
    <w:rsid w:val="001D5222"/>
    <w:rsid w:val="001D7622"/>
    <w:rsid w:val="001E2DAF"/>
    <w:rsid w:val="00201D99"/>
    <w:rsid w:val="00234BCF"/>
    <w:rsid w:val="00237DF0"/>
    <w:rsid w:val="00243C35"/>
    <w:rsid w:val="00244F22"/>
    <w:rsid w:val="00253C74"/>
    <w:rsid w:val="00257136"/>
    <w:rsid w:val="00257E8C"/>
    <w:rsid w:val="00260167"/>
    <w:rsid w:val="00260915"/>
    <w:rsid w:val="002630B3"/>
    <w:rsid w:val="0026513A"/>
    <w:rsid w:val="00265F1A"/>
    <w:rsid w:val="00272BCC"/>
    <w:rsid w:val="00290C5B"/>
    <w:rsid w:val="00297867"/>
    <w:rsid w:val="002B71DC"/>
    <w:rsid w:val="002C24E3"/>
    <w:rsid w:val="002D181D"/>
    <w:rsid w:val="002E46DF"/>
    <w:rsid w:val="0030288C"/>
    <w:rsid w:val="0031562F"/>
    <w:rsid w:val="00341CCF"/>
    <w:rsid w:val="0034427F"/>
    <w:rsid w:val="003467EE"/>
    <w:rsid w:val="00357A19"/>
    <w:rsid w:val="003626B2"/>
    <w:rsid w:val="00372434"/>
    <w:rsid w:val="00376772"/>
    <w:rsid w:val="003832F7"/>
    <w:rsid w:val="0038717A"/>
    <w:rsid w:val="003A0F89"/>
    <w:rsid w:val="003B54D3"/>
    <w:rsid w:val="003C5AAC"/>
    <w:rsid w:val="003D35D1"/>
    <w:rsid w:val="003E4A8E"/>
    <w:rsid w:val="003E4D9F"/>
    <w:rsid w:val="003E7D17"/>
    <w:rsid w:val="003F231E"/>
    <w:rsid w:val="003F7C58"/>
    <w:rsid w:val="0041002E"/>
    <w:rsid w:val="00411145"/>
    <w:rsid w:val="00415A94"/>
    <w:rsid w:val="00422583"/>
    <w:rsid w:val="0042451E"/>
    <w:rsid w:val="00432078"/>
    <w:rsid w:val="00443C37"/>
    <w:rsid w:val="00450311"/>
    <w:rsid w:val="00450A41"/>
    <w:rsid w:val="004560A3"/>
    <w:rsid w:val="004635F1"/>
    <w:rsid w:val="00470B33"/>
    <w:rsid w:val="004816AD"/>
    <w:rsid w:val="00481761"/>
    <w:rsid w:val="00485299"/>
    <w:rsid w:val="004A0879"/>
    <w:rsid w:val="004A55EC"/>
    <w:rsid w:val="004B41C3"/>
    <w:rsid w:val="004B6C99"/>
    <w:rsid w:val="004B6F93"/>
    <w:rsid w:val="004B78F9"/>
    <w:rsid w:val="004D06D7"/>
    <w:rsid w:val="004D1BC0"/>
    <w:rsid w:val="004D1DF5"/>
    <w:rsid w:val="004D4EF7"/>
    <w:rsid w:val="004D705C"/>
    <w:rsid w:val="004E7011"/>
    <w:rsid w:val="004F62BB"/>
    <w:rsid w:val="00516C1E"/>
    <w:rsid w:val="00517DD2"/>
    <w:rsid w:val="00522DA1"/>
    <w:rsid w:val="00523007"/>
    <w:rsid w:val="00542C69"/>
    <w:rsid w:val="00552390"/>
    <w:rsid w:val="00553D15"/>
    <w:rsid w:val="00570530"/>
    <w:rsid w:val="00573FD9"/>
    <w:rsid w:val="00574954"/>
    <w:rsid w:val="00575165"/>
    <w:rsid w:val="005753B2"/>
    <w:rsid w:val="00583860"/>
    <w:rsid w:val="00584412"/>
    <w:rsid w:val="005856C4"/>
    <w:rsid w:val="00586C3D"/>
    <w:rsid w:val="00591EB9"/>
    <w:rsid w:val="00593374"/>
    <w:rsid w:val="00596A08"/>
    <w:rsid w:val="005A08F5"/>
    <w:rsid w:val="005A7360"/>
    <w:rsid w:val="005B07FD"/>
    <w:rsid w:val="005B3924"/>
    <w:rsid w:val="005C0EA4"/>
    <w:rsid w:val="005C1F52"/>
    <w:rsid w:val="005D2800"/>
    <w:rsid w:val="005E09EB"/>
    <w:rsid w:val="005E6EB2"/>
    <w:rsid w:val="00600745"/>
    <w:rsid w:val="00615F4E"/>
    <w:rsid w:val="006279AB"/>
    <w:rsid w:val="0063208F"/>
    <w:rsid w:val="00632783"/>
    <w:rsid w:val="00633705"/>
    <w:rsid w:val="00652B9C"/>
    <w:rsid w:val="00656F5B"/>
    <w:rsid w:val="00663C2D"/>
    <w:rsid w:val="00665862"/>
    <w:rsid w:val="006676F7"/>
    <w:rsid w:val="006734B6"/>
    <w:rsid w:val="006772DB"/>
    <w:rsid w:val="00677C23"/>
    <w:rsid w:val="006857FE"/>
    <w:rsid w:val="006B1BC2"/>
    <w:rsid w:val="006D07B8"/>
    <w:rsid w:val="006D1555"/>
    <w:rsid w:val="006F271A"/>
    <w:rsid w:val="00702068"/>
    <w:rsid w:val="00706A88"/>
    <w:rsid w:val="007101FC"/>
    <w:rsid w:val="007170A8"/>
    <w:rsid w:val="007222D9"/>
    <w:rsid w:val="00733052"/>
    <w:rsid w:val="00734BD4"/>
    <w:rsid w:val="007408B4"/>
    <w:rsid w:val="00741256"/>
    <w:rsid w:val="007424E1"/>
    <w:rsid w:val="007427EA"/>
    <w:rsid w:val="00752ABA"/>
    <w:rsid w:val="0075534B"/>
    <w:rsid w:val="00761487"/>
    <w:rsid w:val="00761D93"/>
    <w:rsid w:val="00762B53"/>
    <w:rsid w:val="00773654"/>
    <w:rsid w:val="007A4CFA"/>
    <w:rsid w:val="007A7C60"/>
    <w:rsid w:val="007C46A1"/>
    <w:rsid w:val="007D1F7F"/>
    <w:rsid w:val="007D3E9B"/>
    <w:rsid w:val="007E062F"/>
    <w:rsid w:val="007F244C"/>
    <w:rsid w:val="008046F9"/>
    <w:rsid w:val="008048AC"/>
    <w:rsid w:val="00826CA1"/>
    <w:rsid w:val="0083121D"/>
    <w:rsid w:val="008341F6"/>
    <w:rsid w:val="00834A66"/>
    <w:rsid w:val="00841A12"/>
    <w:rsid w:val="008478AB"/>
    <w:rsid w:val="00855D08"/>
    <w:rsid w:val="00856394"/>
    <w:rsid w:val="00861B24"/>
    <w:rsid w:val="00867715"/>
    <w:rsid w:val="00872D51"/>
    <w:rsid w:val="00894205"/>
    <w:rsid w:val="008A42D5"/>
    <w:rsid w:val="008A67E5"/>
    <w:rsid w:val="008B19D3"/>
    <w:rsid w:val="008B52B0"/>
    <w:rsid w:val="008C29C2"/>
    <w:rsid w:val="008C2A7E"/>
    <w:rsid w:val="008E522B"/>
    <w:rsid w:val="008E66A6"/>
    <w:rsid w:val="008F0D43"/>
    <w:rsid w:val="008F0FC5"/>
    <w:rsid w:val="008F5EAA"/>
    <w:rsid w:val="009047F9"/>
    <w:rsid w:val="00932B10"/>
    <w:rsid w:val="00956073"/>
    <w:rsid w:val="00977757"/>
    <w:rsid w:val="009837C1"/>
    <w:rsid w:val="009B687D"/>
    <w:rsid w:val="009C1B53"/>
    <w:rsid w:val="009C1C85"/>
    <w:rsid w:val="009E6177"/>
    <w:rsid w:val="009F3263"/>
    <w:rsid w:val="00A11310"/>
    <w:rsid w:val="00A13D88"/>
    <w:rsid w:val="00A23D1B"/>
    <w:rsid w:val="00A40D65"/>
    <w:rsid w:val="00A427B3"/>
    <w:rsid w:val="00A57D37"/>
    <w:rsid w:val="00A71625"/>
    <w:rsid w:val="00A76944"/>
    <w:rsid w:val="00A85689"/>
    <w:rsid w:val="00A97886"/>
    <w:rsid w:val="00AB1FBF"/>
    <w:rsid w:val="00AB4D63"/>
    <w:rsid w:val="00AC1ABD"/>
    <w:rsid w:val="00AC666F"/>
    <w:rsid w:val="00AD1326"/>
    <w:rsid w:val="00AE266D"/>
    <w:rsid w:val="00AE4AFB"/>
    <w:rsid w:val="00AF0D6A"/>
    <w:rsid w:val="00B61749"/>
    <w:rsid w:val="00B66C9F"/>
    <w:rsid w:val="00B71060"/>
    <w:rsid w:val="00B72FDB"/>
    <w:rsid w:val="00B7641C"/>
    <w:rsid w:val="00B80199"/>
    <w:rsid w:val="00B8036A"/>
    <w:rsid w:val="00B8282D"/>
    <w:rsid w:val="00B9328F"/>
    <w:rsid w:val="00B93490"/>
    <w:rsid w:val="00BB105B"/>
    <w:rsid w:val="00BB6DF4"/>
    <w:rsid w:val="00BC6F2F"/>
    <w:rsid w:val="00BD6870"/>
    <w:rsid w:val="00BE619D"/>
    <w:rsid w:val="00BF4C2F"/>
    <w:rsid w:val="00BF5E23"/>
    <w:rsid w:val="00BF62AD"/>
    <w:rsid w:val="00C072EA"/>
    <w:rsid w:val="00C1201E"/>
    <w:rsid w:val="00C13B79"/>
    <w:rsid w:val="00C16E98"/>
    <w:rsid w:val="00C25B2C"/>
    <w:rsid w:val="00C337C1"/>
    <w:rsid w:val="00C34F59"/>
    <w:rsid w:val="00C41136"/>
    <w:rsid w:val="00C4243D"/>
    <w:rsid w:val="00C44588"/>
    <w:rsid w:val="00C44E4F"/>
    <w:rsid w:val="00C54264"/>
    <w:rsid w:val="00C654B8"/>
    <w:rsid w:val="00C733F4"/>
    <w:rsid w:val="00C73631"/>
    <w:rsid w:val="00C76770"/>
    <w:rsid w:val="00C768C0"/>
    <w:rsid w:val="00C83A6D"/>
    <w:rsid w:val="00CA681E"/>
    <w:rsid w:val="00CB2315"/>
    <w:rsid w:val="00CB5B74"/>
    <w:rsid w:val="00CC50F9"/>
    <w:rsid w:val="00CD7A90"/>
    <w:rsid w:val="00CF3CC0"/>
    <w:rsid w:val="00D00F2A"/>
    <w:rsid w:val="00D1739B"/>
    <w:rsid w:val="00D459B2"/>
    <w:rsid w:val="00D467C2"/>
    <w:rsid w:val="00D6469E"/>
    <w:rsid w:val="00D8103E"/>
    <w:rsid w:val="00D854A6"/>
    <w:rsid w:val="00D8742B"/>
    <w:rsid w:val="00D876CF"/>
    <w:rsid w:val="00DA400B"/>
    <w:rsid w:val="00DA5482"/>
    <w:rsid w:val="00DA6562"/>
    <w:rsid w:val="00DC1065"/>
    <w:rsid w:val="00DC6F8C"/>
    <w:rsid w:val="00DE144B"/>
    <w:rsid w:val="00DE544E"/>
    <w:rsid w:val="00DE5EA0"/>
    <w:rsid w:val="00E43B6E"/>
    <w:rsid w:val="00E5304F"/>
    <w:rsid w:val="00E543B9"/>
    <w:rsid w:val="00E57CFF"/>
    <w:rsid w:val="00E678B8"/>
    <w:rsid w:val="00E80BC6"/>
    <w:rsid w:val="00E86BC9"/>
    <w:rsid w:val="00E92E89"/>
    <w:rsid w:val="00EA4192"/>
    <w:rsid w:val="00EA7D1B"/>
    <w:rsid w:val="00EB695B"/>
    <w:rsid w:val="00ED5F0C"/>
    <w:rsid w:val="00EE1457"/>
    <w:rsid w:val="00EE429F"/>
    <w:rsid w:val="00F014D7"/>
    <w:rsid w:val="00F07F25"/>
    <w:rsid w:val="00F12993"/>
    <w:rsid w:val="00F24DA7"/>
    <w:rsid w:val="00F256B6"/>
    <w:rsid w:val="00F304D3"/>
    <w:rsid w:val="00F4104F"/>
    <w:rsid w:val="00F44851"/>
    <w:rsid w:val="00F670A3"/>
    <w:rsid w:val="00F8629D"/>
    <w:rsid w:val="00FB268D"/>
    <w:rsid w:val="00FC22D8"/>
    <w:rsid w:val="00FD162D"/>
    <w:rsid w:val="00FD77E7"/>
    <w:rsid w:val="00FE52AD"/>
    <w:rsid w:val="00FF0EF2"/>
    <w:rsid w:val="00FF7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41F06D"/>
  <w15:docId w15:val="{5D29EEA7-7247-44F6-93FE-00363C60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paragraph" w:styleId="Title">
    <w:name w:val="Title"/>
    <w:basedOn w:val="Normal"/>
    <w:next w:val="Normal"/>
    <w:link w:val="TitleChar"/>
    <w:uiPriority w:val="10"/>
    <w:qFormat/>
    <w:rsid w:val="00516C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C1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41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136"/>
    <w:rPr>
      <w:rFonts w:ascii="Segoe UI" w:hAnsi="Segoe UI" w:cs="Segoe UI"/>
      <w:sz w:val="18"/>
      <w:szCs w:val="18"/>
    </w:rPr>
  </w:style>
  <w:style w:type="character" w:styleId="CommentReference">
    <w:name w:val="annotation reference"/>
    <w:basedOn w:val="DefaultParagraphFont"/>
    <w:uiPriority w:val="99"/>
    <w:semiHidden/>
    <w:unhideWhenUsed/>
    <w:rsid w:val="00243C35"/>
    <w:rPr>
      <w:sz w:val="16"/>
      <w:szCs w:val="16"/>
    </w:rPr>
  </w:style>
  <w:style w:type="paragraph" w:styleId="CommentText">
    <w:name w:val="annotation text"/>
    <w:basedOn w:val="Normal"/>
    <w:link w:val="CommentTextChar"/>
    <w:uiPriority w:val="99"/>
    <w:semiHidden/>
    <w:unhideWhenUsed/>
    <w:rsid w:val="00243C35"/>
    <w:pPr>
      <w:spacing w:line="240" w:lineRule="auto"/>
    </w:pPr>
    <w:rPr>
      <w:sz w:val="20"/>
      <w:szCs w:val="20"/>
    </w:rPr>
  </w:style>
  <w:style w:type="character" w:customStyle="1" w:styleId="CommentTextChar">
    <w:name w:val="Comment Text Char"/>
    <w:basedOn w:val="DefaultParagraphFont"/>
    <w:link w:val="CommentText"/>
    <w:uiPriority w:val="99"/>
    <w:semiHidden/>
    <w:rsid w:val="00243C35"/>
    <w:rPr>
      <w:sz w:val="20"/>
      <w:szCs w:val="20"/>
    </w:rPr>
  </w:style>
  <w:style w:type="paragraph" w:styleId="CommentSubject">
    <w:name w:val="annotation subject"/>
    <w:basedOn w:val="CommentText"/>
    <w:next w:val="CommentText"/>
    <w:link w:val="CommentSubjectChar"/>
    <w:uiPriority w:val="99"/>
    <w:semiHidden/>
    <w:unhideWhenUsed/>
    <w:rsid w:val="00243C35"/>
    <w:rPr>
      <w:b/>
      <w:bCs/>
    </w:rPr>
  </w:style>
  <w:style w:type="character" w:customStyle="1" w:styleId="CommentSubjectChar">
    <w:name w:val="Comment Subject Char"/>
    <w:basedOn w:val="CommentTextChar"/>
    <w:link w:val="CommentSubject"/>
    <w:uiPriority w:val="99"/>
    <w:semiHidden/>
    <w:rsid w:val="00243C35"/>
    <w:rPr>
      <w:b/>
      <w:bCs/>
      <w:sz w:val="20"/>
      <w:szCs w:val="20"/>
    </w:rPr>
  </w:style>
  <w:style w:type="paragraph" w:customStyle="1" w:styleId="Default">
    <w:name w:val="Default"/>
    <w:rsid w:val="0001310F"/>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DefaultParagraphFont"/>
    <w:rsid w:val="00F12993"/>
  </w:style>
  <w:style w:type="table" w:customStyle="1" w:styleId="TableGrid27">
    <w:name w:val="Table Grid27"/>
    <w:basedOn w:val="TableNormal"/>
    <w:next w:val="TableGrid"/>
    <w:uiPriority w:val="59"/>
    <w:rsid w:val="008A4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834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5">
    <w:name w:val="Table Grid1415"/>
    <w:basedOn w:val="TableNormal"/>
    <w:next w:val="TableGrid"/>
    <w:uiPriority w:val="59"/>
    <w:rsid w:val="00596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6202">
      <w:bodyDiv w:val="1"/>
      <w:marLeft w:val="0"/>
      <w:marRight w:val="0"/>
      <w:marTop w:val="0"/>
      <w:marBottom w:val="0"/>
      <w:divBdr>
        <w:top w:val="none" w:sz="0" w:space="0" w:color="auto"/>
        <w:left w:val="none" w:sz="0" w:space="0" w:color="auto"/>
        <w:bottom w:val="none" w:sz="0" w:space="0" w:color="auto"/>
        <w:right w:val="none" w:sz="0" w:space="0" w:color="auto"/>
      </w:divBdr>
    </w:div>
    <w:div w:id="175536054">
      <w:bodyDiv w:val="1"/>
      <w:marLeft w:val="0"/>
      <w:marRight w:val="0"/>
      <w:marTop w:val="0"/>
      <w:marBottom w:val="0"/>
      <w:divBdr>
        <w:top w:val="none" w:sz="0" w:space="0" w:color="auto"/>
        <w:left w:val="none" w:sz="0" w:space="0" w:color="auto"/>
        <w:bottom w:val="none" w:sz="0" w:space="0" w:color="auto"/>
        <w:right w:val="none" w:sz="0" w:space="0" w:color="auto"/>
      </w:divBdr>
    </w:div>
    <w:div w:id="278338977">
      <w:bodyDiv w:val="1"/>
      <w:marLeft w:val="0"/>
      <w:marRight w:val="0"/>
      <w:marTop w:val="0"/>
      <w:marBottom w:val="0"/>
      <w:divBdr>
        <w:top w:val="none" w:sz="0" w:space="0" w:color="auto"/>
        <w:left w:val="none" w:sz="0" w:space="0" w:color="auto"/>
        <w:bottom w:val="none" w:sz="0" w:space="0" w:color="auto"/>
        <w:right w:val="none" w:sz="0" w:space="0" w:color="auto"/>
      </w:divBdr>
    </w:div>
    <w:div w:id="463667222">
      <w:bodyDiv w:val="1"/>
      <w:marLeft w:val="0"/>
      <w:marRight w:val="0"/>
      <w:marTop w:val="0"/>
      <w:marBottom w:val="0"/>
      <w:divBdr>
        <w:top w:val="none" w:sz="0" w:space="0" w:color="auto"/>
        <w:left w:val="none" w:sz="0" w:space="0" w:color="auto"/>
        <w:bottom w:val="none" w:sz="0" w:space="0" w:color="auto"/>
        <w:right w:val="none" w:sz="0" w:space="0" w:color="auto"/>
      </w:divBdr>
    </w:div>
    <w:div w:id="474688067">
      <w:bodyDiv w:val="1"/>
      <w:marLeft w:val="0"/>
      <w:marRight w:val="0"/>
      <w:marTop w:val="0"/>
      <w:marBottom w:val="0"/>
      <w:divBdr>
        <w:top w:val="none" w:sz="0" w:space="0" w:color="auto"/>
        <w:left w:val="none" w:sz="0" w:space="0" w:color="auto"/>
        <w:bottom w:val="none" w:sz="0" w:space="0" w:color="auto"/>
        <w:right w:val="none" w:sz="0" w:space="0" w:color="auto"/>
      </w:divBdr>
    </w:div>
    <w:div w:id="488600165">
      <w:bodyDiv w:val="1"/>
      <w:marLeft w:val="0"/>
      <w:marRight w:val="0"/>
      <w:marTop w:val="0"/>
      <w:marBottom w:val="0"/>
      <w:divBdr>
        <w:top w:val="none" w:sz="0" w:space="0" w:color="auto"/>
        <w:left w:val="none" w:sz="0" w:space="0" w:color="auto"/>
        <w:bottom w:val="none" w:sz="0" w:space="0" w:color="auto"/>
        <w:right w:val="none" w:sz="0" w:space="0" w:color="auto"/>
      </w:divBdr>
    </w:div>
    <w:div w:id="507790270">
      <w:bodyDiv w:val="1"/>
      <w:marLeft w:val="0"/>
      <w:marRight w:val="0"/>
      <w:marTop w:val="0"/>
      <w:marBottom w:val="0"/>
      <w:divBdr>
        <w:top w:val="none" w:sz="0" w:space="0" w:color="auto"/>
        <w:left w:val="none" w:sz="0" w:space="0" w:color="auto"/>
        <w:bottom w:val="none" w:sz="0" w:space="0" w:color="auto"/>
        <w:right w:val="none" w:sz="0" w:space="0" w:color="auto"/>
      </w:divBdr>
    </w:div>
    <w:div w:id="552351377">
      <w:bodyDiv w:val="1"/>
      <w:marLeft w:val="0"/>
      <w:marRight w:val="0"/>
      <w:marTop w:val="0"/>
      <w:marBottom w:val="0"/>
      <w:divBdr>
        <w:top w:val="none" w:sz="0" w:space="0" w:color="auto"/>
        <w:left w:val="none" w:sz="0" w:space="0" w:color="auto"/>
        <w:bottom w:val="none" w:sz="0" w:space="0" w:color="auto"/>
        <w:right w:val="none" w:sz="0" w:space="0" w:color="auto"/>
      </w:divBdr>
    </w:div>
    <w:div w:id="559903629">
      <w:bodyDiv w:val="1"/>
      <w:marLeft w:val="0"/>
      <w:marRight w:val="0"/>
      <w:marTop w:val="0"/>
      <w:marBottom w:val="0"/>
      <w:divBdr>
        <w:top w:val="none" w:sz="0" w:space="0" w:color="auto"/>
        <w:left w:val="none" w:sz="0" w:space="0" w:color="auto"/>
        <w:bottom w:val="none" w:sz="0" w:space="0" w:color="auto"/>
        <w:right w:val="none" w:sz="0" w:space="0" w:color="auto"/>
      </w:divBdr>
    </w:div>
    <w:div w:id="579216430">
      <w:bodyDiv w:val="1"/>
      <w:marLeft w:val="0"/>
      <w:marRight w:val="0"/>
      <w:marTop w:val="0"/>
      <w:marBottom w:val="0"/>
      <w:divBdr>
        <w:top w:val="none" w:sz="0" w:space="0" w:color="auto"/>
        <w:left w:val="none" w:sz="0" w:space="0" w:color="auto"/>
        <w:bottom w:val="none" w:sz="0" w:space="0" w:color="auto"/>
        <w:right w:val="none" w:sz="0" w:space="0" w:color="auto"/>
      </w:divBdr>
    </w:div>
    <w:div w:id="809522343">
      <w:bodyDiv w:val="1"/>
      <w:marLeft w:val="0"/>
      <w:marRight w:val="0"/>
      <w:marTop w:val="0"/>
      <w:marBottom w:val="0"/>
      <w:divBdr>
        <w:top w:val="none" w:sz="0" w:space="0" w:color="auto"/>
        <w:left w:val="none" w:sz="0" w:space="0" w:color="auto"/>
        <w:bottom w:val="none" w:sz="0" w:space="0" w:color="auto"/>
        <w:right w:val="none" w:sz="0" w:space="0" w:color="auto"/>
      </w:divBdr>
    </w:div>
    <w:div w:id="864711503">
      <w:bodyDiv w:val="1"/>
      <w:marLeft w:val="0"/>
      <w:marRight w:val="0"/>
      <w:marTop w:val="0"/>
      <w:marBottom w:val="0"/>
      <w:divBdr>
        <w:top w:val="none" w:sz="0" w:space="0" w:color="auto"/>
        <w:left w:val="none" w:sz="0" w:space="0" w:color="auto"/>
        <w:bottom w:val="none" w:sz="0" w:space="0" w:color="auto"/>
        <w:right w:val="none" w:sz="0" w:space="0" w:color="auto"/>
      </w:divBdr>
    </w:div>
    <w:div w:id="920412831">
      <w:bodyDiv w:val="1"/>
      <w:marLeft w:val="0"/>
      <w:marRight w:val="0"/>
      <w:marTop w:val="0"/>
      <w:marBottom w:val="0"/>
      <w:divBdr>
        <w:top w:val="none" w:sz="0" w:space="0" w:color="auto"/>
        <w:left w:val="none" w:sz="0" w:space="0" w:color="auto"/>
        <w:bottom w:val="none" w:sz="0" w:space="0" w:color="auto"/>
        <w:right w:val="none" w:sz="0" w:space="0" w:color="auto"/>
      </w:divBdr>
    </w:div>
    <w:div w:id="1025446730">
      <w:bodyDiv w:val="1"/>
      <w:marLeft w:val="0"/>
      <w:marRight w:val="0"/>
      <w:marTop w:val="0"/>
      <w:marBottom w:val="0"/>
      <w:divBdr>
        <w:top w:val="none" w:sz="0" w:space="0" w:color="auto"/>
        <w:left w:val="none" w:sz="0" w:space="0" w:color="auto"/>
        <w:bottom w:val="none" w:sz="0" w:space="0" w:color="auto"/>
        <w:right w:val="none" w:sz="0" w:space="0" w:color="auto"/>
      </w:divBdr>
    </w:div>
    <w:div w:id="1210848021">
      <w:bodyDiv w:val="1"/>
      <w:marLeft w:val="0"/>
      <w:marRight w:val="0"/>
      <w:marTop w:val="0"/>
      <w:marBottom w:val="0"/>
      <w:divBdr>
        <w:top w:val="none" w:sz="0" w:space="0" w:color="auto"/>
        <w:left w:val="none" w:sz="0" w:space="0" w:color="auto"/>
        <w:bottom w:val="none" w:sz="0" w:space="0" w:color="auto"/>
        <w:right w:val="none" w:sz="0" w:space="0" w:color="auto"/>
      </w:divBdr>
    </w:div>
    <w:div w:id="1501431585">
      <w:bodyDiv w:val="1"/>
      <w:marLeft w:val="0"/>
      <w:marRight w:val="0"/>
      <w:marTop w:val="0"/>
      <w:marBottom w:val="0"/>
      <w:divBdr>
        <w:top w:val="none" w:sz="0" w:space="0" w:color="auto"/>
        <w:left w:val="none" w:sz="0" w:space="0" w:color="auto"/>
        <w:bottom w:val="none" w:sz="0" w:space="0" w:color="auto"/>
        <w:right w:val="none" w:sz="0" w:space="0" w:color="auto"/>
      </w:divBdr>
    </w:div>
    <w:div w:id="1528174682">
      <w:bodyDiv w:val="1"/>
      <w:marLeft w:val="0"/>
      <w:marRight w:val="0"/>
      <w:marTop w:val="0"/>
      <w:marBottom w:val="0"/>
      <w:divBdr>
        <w:top w:val="none" w:sz="0" w:space="0" w:color="auto"/>
        <w:left w:val="none" w:sz="0" w:space="0" w:color="auto"/>
        <w:bottom w:val="none" w:sz="0" w:space="0" w:color="auto"/>
        <w:right w:val="none" w:sz="0" w:space="0" w:color="auto"/>
      </w:divBdr>
    </w:div>
    <w:div w:id="1634017412">
      <w:bodyDiv w:val="1"/>
      <w:marLeft w:val="0"/>
      <w:marRight w:val="0"/>
      <w:marTop w:val="0"/>
      <w:marBottom w:val="0"/>
      <w:divBdr>
        <w:top w:val="none" w:sz="0" w:space="0" w:color="auto"/>
        <w:left w:val="none" w:sz="0" w:space="0" w:color="auto"/>
        <w:bottom w:val="none" w:sz="0" w:space="0" w:color="auto"/>
        <w:right w:val="none" w:sz="0" w:space="0" w:color="auto"/>
      </w:divBdr>
    </w:div>
    <w:div w:id="1725711798">
      <w:bodyDiv w:val="1"/>
      <w:marLeft w:val="0"/>
      <w:marRight w:val="0"/>
      <w:marTop w:val="0"/>
      <w:marBottom w:val="0"/>
      <w:divBdr>
        <w:top w:val="none" w:sz="0" w:space="0" w:color="auto"/>
        <w:left w:val="none" w:sz="0" w:space="0" w:color="auto"/>
        <w:bottom w:val="none" w:sz="0" w:space="0" w:color="auto"/>
        <w:right w:val="none" w:sz="0" w:space="0" w:color="auto"/>
      </w:divBdr>
    </w:div>
    <w:div w:id="1775131066">
      <w:bodyDiv w:val="1"/>
      <w:marLeft w:val="0"/>
      <w:marRight w:val="0"/>
      <w:marTop w:val="0"/>
      <w:marBottom w:val="0"/>
      <w:divBdr>
        <w:top w:val="none" w:sz="0" w:space="0" w:color="auto"/>
        <w:left w:val="none" w:sz="0" w:space="0" w:color="auto"/>
        <w:bottom w:val="none" w:sz="0" w:space="0" w:color="auto"/>
        <w:right w:val="none" w:sz="0" w:space="0" w:color="auto"/>
      </w:divBdr>
    </w:div>
    <w:div w:id="1810004458">
      <w:bodyDiv w:val="1"/>
      <w:marLeft w:val="0"/>
      <w:marRight w:val="0"/>
      <w:marTop w:val="0"/>
      <w:marBottom w:val="0"/>
      <w:divBdr>
        <w:top w:val="none" w:sz="0" w:space="0" w:color="auto"/>
        <w:left w:val="none" w:sz="0" w:space="0" w:color="auto"/>
        <w:bottom w:val="none" w:sz="0" w:space="0" w:color="auto"/>
        <w:right w:val="none" w:sz="0" w:space="0" w:color="auto"/>
      </w:divBdr>
    </w:div>
    <w:div w:id="1829979873">
      <w:bodyDiv w:val="1"/>
      <w:marLeft w:val="0"/>
      <w:marRight w:val="0"/>
      <w:marTop w:val="0"/>
      <w:marBottom w:val="0"/>
      <w:divBdr>
        <w:top w:val="none" w:sz="0" w:space="0" w:color="auto"/>
        <w:left w:val="none" w:sz="0" w:space="0" w:color="auto"/>
        <w:bottom w:val="none" w:sz="0" w:space="0" w:color="auto"/>
        <w:right w:val="none" w:sz="0" w:space="0" w:color="auto"/>
      </w:divBdr>
    </w:div>
    <w:div w:id="1861628554">
      <w:bodyDiv w:val="1"/>
      <w:marLeft w:val="0"/>
      <w:marRight w:val="0"/>
      <w:marTop w:val="0"/>
      <w:marBottom w:val="0"/>
      <w:divBdr>
        <w:top w:val="none" w:sz="0" w:space="0" w:color="auto"/>
        <w:left w:val="none" w:sz="0" w:space="0" w:color="auto"/>
        <w:bottom w:val="none" w:sz="0" w:space="0" w:color="auto"/>
        <w:right w:val="none" w:sz="0" w:space="0" w:color="auto"/>
      </w:divBdr>
    </w:div>
    <w:div w:id="1903562754">
      <w:bodyDiv w:val="1"/>
      <w:marLeft w:val="0"/>
      <w:marRight w:val="0"/>
      <w:marTop w:val="0"/>
      <w:marBottom w:val="0"/>
      <w:divBdr>
        <w:top w:val="none" w:sz="0" w:space="0" w:color="auto"/>
        <w:left w:val="none" w:sz="0" w:space="0" w:color="auto"/>
        <w:bottom w:val="none" w:sz="0" w:space="0" w:color="auto"/>
        <w:right w:val="none" w:sz="0" w:space="0" w:color="auto"/>
      </w:divBdr>
    </w:div>
    <w:div w:id="1910265632">
      <w:bodyDiv w:val="1"/>
      <w:marLeft w:val="0"/>
      <w:marRight w:val="0"/>
      <w:marTop w:val="0"/>
      <w:marBottom w:val="0"/>
      <w:divBdr>
        <w:top w:val="none" w:sz="0" w:space="0" w:color="auto"/>
        <w:left w:val="none" w:sz="0" w:space="0" w:color="auto"/>
        <w:bottom w:val="none" w:sz="0" w:space="0" w:color="auto"/>
        <w:right w:val="none" w:sz="0" w:space="0" w:color="auto"/>
      </w:divBdr>
    </w:div>
    <w:div w:id="208182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sex.pfcc.police.uk/police-and-crime-plan/crack-anti-social-behaviour/" TargetMode="External"/><Relationship Id="rId13" Type="http://schemas.openxmlformats.org/officeDocument/2006/relationships/hyperlink" Target="https://www.essex.pfcc.police.uk/police-and-crime-plan/improve-safety-roads/" TargetMode="External"/><Relationship Id="rId3" Type="http://schemas.openxmlformats.org/officeDocument/2006/relationships/settings" Target="settings.xml"/><Relationship Id="rId7" Type="http://schemas.openxmlformats.org/officeDocument/2006/relationships/hyperlink" Target="https://www.essex.pfcc.police.uk/police-and-crime-plan/local-visible-accessible-policing/" TargetMode="External"/><Relationship Id="rId12" Type="http://schemas.openxmlformats.org/officeDocument/2006/relationships/hyperlink" Target="https://www.essex.pfcc.police.uk/what-we-are-doing/police-and-crime-plan/protecting-children-vulnerable-people-har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sex.pfcc.police.uk/police-and-crime-plan/tackle-gangs-organised-cri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ssex.pfcc.police.uk/police-and-crime-plan/breaking-cycle-domestic-abuse/" TargetMode="External"/><Relationship Id="rId4" Type="http://schemas.openxmlformats.org/officeDocument/2006/relationships/webSettings" Target="webSettings.xml"/><Relationship Id="rId9" Type="http://schemas.openxmlformats.org/officeDocument/2006/relationships/hyperlink" Target="https://www.essex.pfcc.police.uk/police-and-crime-plan/breaking-cycle-domestic-abuse/%20%E2%80%8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4563</Words>
  <Characters>26010</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30512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Fry</dc:creator>
  <cp:lastModifiedBy>Anna Hook 42078328</cp:lastModifiedBy>
  <cp:revision>2</cp:revision>
  <cp:lastPrinted>2018-12-11T11:37:00Z</cp:lastPrinted>
  <dcterms:created xsi:type="dcterms:W3CDTF">2019-03-21T10:25:00Z</dcterms:created>
  <dcterms:modified xsi:type="dcterms:W3CDTF">2019-03-21T10:25:00Z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