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13" w:rsidRDefault="00D03613" w:rsidP="00615853">
      <w:pPr>
        <w:spacing w:after="200" w:line="276" w:lineRule="auto"/>
        <w:rPr>
          <w:rFonts w:ascii="Calibri" w:hAnsi="Calibri" w:cs="Calibri"/>
          <w:b/>
          <w:noProof/>
          <w:sz w:val="24"/>
        </w:rPr>
      </w:pPr>
      <w:bookmarkStart w:id="0" w:name="_Toc424893992"/>
      <w:bookmarkStart w:id="1" w:name="_Toc424896271"/>
      <w:bookmarkStart w:id="2" w:name="_Toc431290606"/>
      <w:bookmarkStart w:id="3" w:name="_Toc432146302"/>
      <w:bookmarkStart w:id="4" w:name="_Toc432146390"/>
      <w:bookmarkStart w:id="5" w:name="_Toc432158487"/>
      <w:bookmarkStart w:id="6" w:name="_Toc440901931"/>
      <w:bookmarkStart w:id="7" w:name="_Toc445373701"/>
      <w:bookmarkStart w:id="8" w:name="_Toc450572663"/>
    </w:p>
    <w:p w:rsidR="00615853" w:rsidRPr="00250200" w:rsidRDefault="00615853" w:rsidP="00615853">
      <w:pPr>
        <w:spacing w:line="240" w:lineRule="auto"/>
        <w:ind w:left="1440"/>
        <w:rPr>
          <w:rFonts w:cs="Arial"/>
          <w:b/>
          <w:sz w:val="24"/>
        </w:rPr>
      </w:pPr>
      <w:r w:rsidRPr="00250200">
        <w:rPr>
          <w:rFonts w:cs="Arial"/>
          <w:b/>
          <w:sz w:val="24"/>
        </w:rPr>
        <w:t>Performance and Resources Scrutiny Programme 2018/2019</w:t>
      </w:r>
    </w:p>
    <w:p w:rsidR="00615853" w:rsidRPr="00250200" w:rsidRDefault="00615853" w:rsidP="00615853">
      <w:pPr>
        <w:spacing w:line="240" w:lineRule="auto"/>
        <w:jc w:val="center"/>
        <w:rPr>
          <w:rFonts w:cs="Arial"/>
          <w:b/>
          <w:sz w:val="24"/>
        </w:rPr>
      </w:pPr>
    </w:p>
    <w:p w:rsidR="00615853" w:rsidRPr="00250200" w:rsidRDefault="00615853" w:rsidP="00615853">
      <w:pPr>
        <w:spacing w:line="240" w:lineRule="auto"/>
        <w:jc w:val="center"/>
        <w:rPr>
          <w:rFonts w:cs="Arial"/>
          <w:b/>
          <w:sz w:val="24"/>
        </w:rPr>
      </w:pPr>
      <w:r w:rsidRPr="00250200">
        <w:rPr>
          <w:rFonts w:cs="Arial"/>
          <w:b/>
          <w:sz w:val="24"/>
        </w:rPr>
        <w:t>Report to: the Office of the Police, Fire and Crime Commissioner for Essex</w:t>
      </w:r>
    </w:p>
    <w:p w:rsidR="00615853" w:rsidRPr="00250200" w:rsidRDefault="00615853" w:rsidP="00615853">
      <w:pPr>
        <w:spacing w:line="240" w:lineRule="auto"/>
        <w:jc w:val="center"/>
        <w:rPr>
          <w:rFonts w:cs="Arial"/>
          <w:b/>
          <w:sz w:val="24"/>
        </w:rPr>
      </w:pPr>
    </w:p>
    <w:p w:rsidR="00615853" w:rsidRPr="00250200" w:rsidRDefault="00615853" w:rsidP="00615853">
      <w:pPr>
        <w:spacing w:line="240" w:lineRule="auto"/>
        <w:jc w:val="center"/>
        <w:rPr>
          <w:rFonts w:cs="Arial"/>
          <w:b/>
          <w:sz w:val="24"/>
        </w:rPr>
      </w:pPr>
    </w:p>
    <w:tbl>
      <w:tblPr>
        <w:tblStyle w:val="TableGrid"/>
        <w:tblW w:w="0" w:type="auto"/>
        <w:tblInd w:w="817" w:type="dxa"/>
        <w:tblLook w:val="04A0" w:firstRow="1" w:lastRow="0" w:firstColumn="1" w:lastColumn="0" w:noHBand="0" w:noVBand="1"/>
      </w:tblPr>
      <w:tblGrid>
        <w:gridCol w:w="3260"/>
        <w:gridCol w:w="5103"/>
      </w:tblGrid>
      <w:tr w:rsidR="00615853" w:rsidRPr="00250200" w:rsidTr="00615853">
        <w:tc>
          <w:tcPr>
            <w:tcW w:w="3260" w:type="dxa"/>
            <w:tcBorders>
              <w:top w:val="single" w:sz="4" w:space="0" w:color="auto"/>
              <w:left w:val="single" w:sz="4" w:space="0" w:color="auto"/>
              <w:bottom w:val="single" w:sz="4" w:space="0" w:color="auto"/>
              <w:right w:val="single" w:sz="4" w:space="0" w:color="auto"/>
            </w:tcBorders>
            <w:hideMark/>
          </w:tcPr>
          <w:p w:rsidR="00615853" w:rsidRPr="00250200" w:rsidRDefault="00615853" w:rsidP="00615853">
            <w:pPr>
              <w:spacing w:line="480" w:lineRule="auto"/>
              <w:rPr>
                <w:rFonts w:cs="Arial"/>
                <w:b/>
                <w:sz w:val="24"/>
              </w:rPr>
            </w:pPr>
            <w:r w:rsidRPr="00250200">
              <w:rPr>
                <w:rFonts w:cs="Arial"/>
                <w:b/>
                <w:sz w:val="24"/>
              </w:rPr>
              <w:t>Title of Report:</w:t>
            </w:r>
          </w:p>
        </w:tc>
        <w:tc>
          <w:tcPr>
            <w:tcW w:w="5103" w:type="dxa"/>
            <w:tcBorders>
              <w:top w:val="single" w:sz="4" w:space="0" w:color="auto"/>
              <w:left w:val="single" w:sz="4" w:space="0" w:color="auto"/>
              <w:bottom w:val="single" w:sz="4" w:space="0" w:color="auto"/>
              <w:right w:val="single" w:sz="4" w:space="0" w:color="auto"/>
            </w:tcBorders>
            <w:hideMark/>
          </w:tcPr>
          <w:p w:rsidR="00615853" w:rsidRPr="00250200" w:rsidRDefault="00615853" w:rsidP="00615853">
            <w:pPr>
              <w:rPr>
                <w:rFonts w:cs="Arial"/>
                <w:b/>
                <w:sz w:val="24"/>
              </w:rPr>
            </w:pPr>
            <w:r w:rsidRPr="00615853">
              <w:rPr>
                <w:rFonts w:cs="Arial"/>
                <w:b/>
                <w:sz w:val="24"/>
              </w:rPr>
              <w:t xml:space="preserve">Treasury Management Outturn </w:t>
            </w:r>
            <w:r w:rsidRPr="00250200">
              <w:rPr>
                <w:rFonts w:cs="Arial"/>
                <w:b/>
                <w:sz w:val="24"/>
              </w:rPr>
              <w:t>2018/19</w:t>
            </w:r>
          </w:p>
        </w:tc>
      </w:tr>
      <w:tr w:rsidR="00615853" w:rsidRPr="00250200" w:rsidTr="00615853">
        <w:tc>
          <w:tcPr>
            <w:tcW w:w="3260" w:type="dxa"/>
            <w:tcBorders>
              <w:top w:val="single" w:sz="4" w:space="0" w:color="auto"/>
              <w:left w:val="single" w:sz="4" w:space="0" w:color="auto"/>
              <w:bottom w:val="single" w:sz="4" w:space="0" w:color="auto"/>
              <w:right w:val="single" w:sz="4" w:space="0" w:color="auto"/>
            </w:tcBorders>
            <w:hideMark/>
          </w:tcPr>
          <w:p w:rsidR="00615853" w:rsidRPr="00250200" w:rsidRDefault="00615853" w:rsidP="00615853">
            <w:pPr>
              <w:spacing w:line="480" w:lineRule="auto"/>
              <w:rPr>
                <w:rFonts w:cs="Arial"/>
                <w:b/>
                <w:sz w:val="24"/>
              </w:rPr>
            </w:pPr>
            <w:r w:rsidRPr="00250200">
              <w:rPr>
                <w:rFonts w:cs="Arial"/>
                <w:b/>
                <w:color w:val="0070C0"/>
                <w:sz w:val="24"/>
              </w:rPr>
              <w:t>Agenda Number:</w:t>
            </w:r>
          </w:p>
        </w:tc>
        <w:tc>
          <w:tcPr>
            <w:tcW w:w="5103" w:type="dxa"/>
            <w:tcBorders>
              <w:top w:val="single" w:sz="4" w:space="0" w:color="auto"/>
              <w:left w:val="single" w:sz="4" w:space="0" w:color="auto"/>
              <w:bottom w:val="single" w:sz="4" w:space="0" w:color="auto"/>
              <w:right w:val="single" w:sz="4" w:space="0" w:color="auto"/>
            </w:tcBorders>
            <w:hideMark/>
          </w:tcPr>
          <w:p w:rsidR="00615853" w:rsidRPr="00250200" w:rsidRDefault="003E5296" w:rsidP="00615853">
            <w:pPr>
              <w:spacing w:line="480" w:lineRule="auto"/>
              <w:rPr>
                <w:rFonts w:cs="Arial"/>
                <w:b/>
                <w:sz w:val="24"/>
              </w:rPr>
            </w:pPr>
            <w:r>
              <w:rPr>
                <w:rFonts w:cs="Arial"/>
                <w:b/>
                <w:color w:val="0070C0"/>
                <w:sz w:val="24"/>
              </w:rPr>
              <w:t>12.iii</w:t>
            </w:r>
          </w:p>
        </w:tc>
      </w:tr>
      <w:tr w:rsidR="00615853" w:rsidRPr="00250200" w:rsidTr="00615853">
        <w:tc>
          <w:tcPr>
            <w:tcW w:w="3260" w:type="dxa"/>
            <w:tcBorders>
              <w:top w:val="single" w:sz="4" w:space="0" w:color="auto"/>
              <w:left w:val="single" w:sz="4" w:space="0" w:color="auto"/>
              <w:bottom w:val="single" w:sz="4" w:space="0" w:color="auto"/>
              <w:right w:val="single" w:sz="4" w:space="0" w:color="auto"/>
            </w:tcBorders>
            <w:hideMark/>
          </w:tcPr>
          <w:p w:rsidR="00615853" w:rsidRPr="00250200" w:rsidRDefault="00615853" w:rsidP="00615853">
            <w:pPr>
              <w:spacing w:line="480" w:lineRule="auto"/>
              <w:rPr>
                <w:rFonts w:cs="Arial"/>
                <w:b/>
                <w:sz w:val="24"/>
              </w:rPr>
            </w:pPr>
            <w:r w:rsidRPr="00250200">
              <w:rPr>
                <w:rFonts w:cs="Arial"/>
                <w:b/>
                <w:sz w:val="24"/>
              </w:rPr>
              <w:t>Chief Officer</w:t>
            </w:r>
          </w:p>
        </w:tc>
        <w:tc>
          <w:tcPr>
            <w:tcW w:w="5103" w:type="dxa"/>
            <w:tcBorders>
              <w:top w:val="single" w:sz="4" w:space="0" w:color="auto"/>
              <w:left w:val="single" w:sz="4" w:space="0" w:color="auto"/>
              <w:bottom w:val="single" w:sz="4" w:space="0" w:color="auto"/>
              <w:right w:val="single" w:sz="4" w:space="0" w:color="auto"/>
            </w:tcBorders>
            <w:hideMark/>
          </w:tcPr>
          <w:p w:rsidR="00615853" w:rsidRPr="00250200" w:rsidRDefault="00615853" w:rsidP="00615853">
            <w:pPr>
              <w:rPr>
                <w:rFonts w:cs="Arial"/>
                <w:b/>
                <w:sz w:val="24"/>
              </w:rPr>
            </w:pPr>
            <w:r w:rsidRPr="00615853">
              <w:rPr>
                <w:rFonts w:cs="Arial"/>
                <w:b/>
                <w:sz w:val="24"/>
              </w:rPr>
              <w:t>Abbey Gough, Acting Treasurer</w:t>
            </w:r>
          </w:p>
        </w:tc>
      </w:tr>
      <w:tr w:rsidR="00615853" w:rsidRPr="00250200" w:rsidTr="00615853">
        <w:tc>
          <w:tcPr>
            <w:tcW w:w="3260" w:type="dxa"/>
            <w:tcBorders>
              <w:top w:val="single" w:sz="4" w:space="0" w:color="auto"/>
              <w:left w:val="single" w:sz="4" w:space="0" w:color="auto"/>
              <w:bottom w:val="single" w:sz="4" w:space="0" w:color="auto"/>
              <w:right w:val="single" w:sz="4" w:space="0" w:color="auto"/>
            </w:tcBorders>
            <w:hideMark/>
          </w:tcPr>
          <w:p w:rsidR="00615853" w:rsidRPr="00250200" w:rsidRDefault="00615853" w:rsidP="00615853">
            <w:pPr>
              <w:spacing w:line="480" w:lineRule="auto"/>
              <w:rPr>
                <w:rFonts w:cs="Arial"/>
                <w:b/>
                <w:sz w:val="24"/>
              </w:rPr>
            </w:pPr>
            <w:r w:rsidRPr="00250200">
              <w:rPr>
                <w:rFonts w:cs="Arial"/>
                <w:b/>
                <w:sz w:val="24"/>
              </w:rPr>
              <w:t>Date Paper was Written</w:t>
            </w:r>
          </w:p>
        </w:tc>
        <w:tc>
          <w:tcPr>
            <w:tcW w:w="5103" w:type="dxa"/>
            <w:tcBorders>
              <w:top w:val="single" w:sz="4" w:space="0" w:color="auto"/>
              <w:left w:val="single" w:sz="4" w:space="0" w:color="auto"/>
              <w:bottom w:val="single" w:sz="4" w:space="0" w:color="auto"/>
              <w:right w:val="single" w:sz="4" w:space="0" w:color="auto"/>
            </w:tcBorders>
            <w:hideMark/>
          </w:tcPr>
          <w:p w:rsidR="00615853" w:rsidRPr="00250200" w:rsidRDefault="00615853" w:rsidP="00615853">
            <w:pPr>
              <w:spacing w:line="480" w:lineRule="auto"/>
              <w:rPr>
                <w:rFonts w:cs="Arial"/>
                <w:b/>
                <w:sz w:val="24"/>
              </w:rPr>
            </w:pPr>
            <w:r w:rsidRPr="00250200">
              <w:rPr>
                <w:rFonts w:cs="Arial"/>
                <w:b/>
                <w:sz w:val="24"/>
              </w:rPr>
              <w:t>17</w:t>
            </w:r>
            <w:r w:rsidRPr="00250200">
              <w:rPr>
                <w:rFonts w:cs="Arial"/>
                <w:b/>
                <w:sz w:val="24"/>
                <w:vertAlign w:val="superscript"/>
              </w:rPr>
              <w:t>th</w:t>
            </w:r>
            <w:r w:rsidRPr="00250200">
              <w:rPr>
                <w:rFonts w:cs="Arial"/>
                <w:b/>
                <w:sz w:val="24"/>
              </w:rPr>
              <w:t xml:space="preserve"> May 2019</w:t>
            </w:r>
          </w:p>
        </w:tc>
      </w:tr>
      <w:tr w:rsidR="00615853" w:rsidRPr="00250200" w:rsidTr="00615853">
        <w:tc>
          <w:tcPr>
            <w:tcW w:w="3260" w:type="dxa"/>
            <w:tcBorders>
              <w:top w:val="single" w:sz="4" w:space="0" w:color="auto"/>
              <w:left w:val="single" w:sz="4" w:space="0" w:color="auto"/>
              <w:bottom w:val="single" w:sz="4" w:space="0" w:color="auto"/>
              <w:right w:val="single" w:sz="4" w:space="0" w:color="auto"/>
            </w:tcBorders>
            <w:hideMark/>
          </w:tcPr>
          <w:p w:rsidR="00615853" w:rsidRPr="00250200" w:rsidRDefault="00615853" w:rsidP="00615853">
            <w:pPr>
              <w:spacing w:line="480" w:lineRule="auto"/>
              <w:rPr>
                <w:rFonts w:cs="Arial"/>
                <w:b/>
                <w:sz w:val="24"/>
              </w:rPr>
            </w:pPr>
            <w:r w:rsidRPr="00250200">
              <w:rPr>
                <w:rFonts w:cs="Arial"/>
                <w:b/>
                <w:sz w:val="24"/>
              </w:rPr>
              <w:t>Version Number</w:t>
            </w:r>
          </w:p>
        </w:tc>
        <w:tc>
          <w:tcPr>
            <w:tcW w:w="5103" w:type="dxa"/>
            <w:tcBorders>
              <w:top w:val="single" w:sz="4" w:space="0" w:color="auto"/>
              <w:left w:val="single" w:sz="4" w:space="0" w:color="auto"/>
              <w:bottom w:val="single" w:sz="4" w:space="0" w:color="auto"/>
              <w:right w:val="single" w:sz="4" w:space="0" w:color="auto"/>
            </w:tcBorders>
            <w:hideMark/>
          </w:tcPr>
          <w:p w:rsidR="00615853" w:rsidRPr="00250200" w:rsidRDefault="00615853" w:rsidP="00615853">
            <w:pPr>
              <w:spacing w:line="480" w:lineRule="auto"/>
              <w:rPr>
                <w:rFonts w:cs="Arial"/>
                <w:b/>
                <w:sz w:val="24"/>
              </w:rPr>
            </w:pPr>
            <w:r w:rsidRPr="00250200">
              <w:rPr>
                <w:rFonts w:cs="Arial"/>
                <w:b/>
                <w:sz w:val="24"/>
              </w:rPr>
              <w:t>Version 1</w:t>
            </w:r>
          </w:p>
        </w:tc>
      </w:tr>
      <w:tr w:rsidR="00615853" w:rsidRPr="00250200" w:rsidTr="00615853">
        <w:tc>
          <w:tcPr>
            <w:tcW w:w="3260" w:type="dxa"/>
            <w:tcBorders>
              <w:top w:val="single" w:sz="4" w:space="0" w:color="auto"/>
              <w:left w:val="single" w:sz="4" w:space="0" w:color="auto"/>
              <w:bottom w:val="single" w:sz="4" w:space="0" w:color="auto"/>
              <w:right w:val="single" w:sz="4" w:space="0" w:color="auto"/>
            </w:tcBorders>
            <w:hideMark/>
          </w:tcPr>
          <w:p w:rsidR="00615853" w:rsidRPr="00250200" w:rsidRDefault="00615853" w:rsidP="00615853">
            <w:pPr>
              <w:spacing w:line="480" w:lineRule="auto"/>
              <w:rPr>
                <w:rFonts w:cs="Arial"/>
                <w:b/>
                <w:sz w:val="24"/>
              </w:rPr>
            </w:pPr>
            <w:r w:rsidRPr="00250200">
              <w:rPr>
                <w:rFonts w:cs="Arial"/>
                <w:b/>
                <w:sz w:val="24"/>
              </w:rPr>
              <w:t xml:space="preserve">Report from: </w:t>
            </w:r>
          </w:p>
        </w:tc>
        <w:tc>
          <w:tcPr>
            <w:tcW w:w="5103" w:type="dxa"/>
            <w:tcBorders>
              <w:top w:val="single" w:sz="4" w:space="0" w:color="auto"/>
              <w:left w:val="single" w:sz="4" w:space="0" w:color="auto"/>
              <w:bottom w:val="single" w:sz="4" w:space="0" w:color="auto"/>
              <w:right w:val="single" w:sz="4" w:space="0" w:color="auto"/>
            </w:tcBorders>
            <w:hideMark/>
          </w:tcPr>
          <w:p w:rsidR="00615853" w:rsidRPr="00250200" w:rsidRDefault="00615853" w:rsidP="00615853">
            <w:pPr>
              <w:spacing w:line="480" w:lineRule="auto"/>
              <w:rPr>
                <w:rFonts w:cs="Arial"/>
                <w:b/>
                <w:sz w:val="24"/>
              </w:rPr>
            </w:pPr>
            <w:r w:rsidRPr="00250200">
              <w:rPr>
                <w:rFonts w:cs="Arial"/>
                <w:b/>
                <w:sz w:val="24"/>
              </w:rPr>
              <w:t>Essex Police: Corporate Finance</w:t>
            </w:r>
          </w:p>
        </w:tc>
      </w:tr>
      <w:tr w:rsidR="00615853" w:rsidRPr="00250200" w:rsidTr="00615853">
        <w:tc>
          <w:tcPr>
            <w:tcW w:w="3260" w:type="dxa"/>
            <w:tcBorders>
              <w:top w:val="single" w:sz="4" w:space="0" w:color="auto"/>
              <w:left w:val="single" w:sz="4" w:space="0" w:color="auto"/>
              <w:bottom w:val="single" w:sz="4" w:space="0" w:color="auto"/>
              <w:right w:val="single" w:sz="4" w:space="0" w:color="auto"/>
            </w:tcBorders>
            <w:hideMark/>
          </w:tcPr>
          <w:p w:rsidR="00615853" w:rsidRPr="00250200" w:rsidRDefault="00615853" w:rsidP="00615853">
            <w:pPr>
              <w:spacing w:line="480" w:lineRule="auto"/>
              <w:rPr>
                <w:rFonts w:cs="Arial"/>
                <w:b/>
                <w:sz w:val="24"/>
              </w:rPr>
            </w:pPr>
            <w:r w:rsidRPr="00250200">
              <w:rPr>
                <w:rFonts w:cs="Arial"/>
                <w:b/>
                <w:sz w:val="24"/>
              </w:rPr>
              <w:t>Date of Meeting:</w:t>
            </w:r>
          </w:p>
        </w:tc>
        <w:tc>
          <w:tcPr>
            <w:tcW w:w="5103" w:type="dxa"/>
            <w:tcBorders>
              <w:top w:val="single" w:sz="4" w:space="0" w:color="auto"/>
              <w:left w:val="single" w:sz="4" w:space="0" w:color="auto"/>
              <w:bottom w:val="single" w:sz="4" w:space="0" w:color="auto"/>
              <w:right w:val="single" w:sz="4" w:space="0" w:color="auto"/>
            </w:tcBorders>
            <w:hideMark/>
          </w:tcPr>
          <w:p w:rsidR="00615853" w:rsidRPr="00250200" w:rsidRDefault="00615853" w:rsidP="00615853">
            <w:pPr>
              <w:spacing w:line="480" w:lineRule="auto"/>
              <w:rPr>
                <w:rFonts w:cs="Arial"/>
                <w:b/>
                <w:sz w:val="24"/>
              </w:rPr>
            </w:pPr>
            <w:r w:rsidRPr="00250200">
              <w:rPr>
                <w:rFonts w:cs="Arial"/>
                <w:b/>
                <w:sz w:val="24"/>
              </w:rPr>
              <w:t>23</w:t>
            </w:r>
            <w:r w:rsidRPr="00250200">
              <w:rPr>
                <w:rFonts w:cs="Arial"/>
                <w:b/>
                <w:sz w:val="24"/>
                <w:vertAlign w:val="superscript"/>
              </w:rPr>
              <w:t>rd</w:t>
            </w:r>
            <w:r w:rsidRPr="00250200">
              <w:rPr>
                <w:rFonts w:cs="Arial"/>
                <w:b/>
                <w:sz w:val="24"/>
              </w:rPr>
              <w:t xml:space="preserve"> May 2019</w:t>
            </w:r>
          </w:p>
        </w:tc>
      </w:tr>
      <w:tr w:rsidR="00615853" w:rsidRPr="00250200" w:rsidTr="00615853">
        <w:tc>
          <w:tcPr>
            <w:tcW w:w="3260" w:type="dxa"/>
            <w:tcBorders>
              <w:top w:val="single" w:sz="4" w:space="0" w:color="auto"/>
              <w:left w:val="single" w:sz="4" w:space="0" w:color="auto"/>
              <w:bottom w:val="single" w:sz="4" w:space="0" w:color="auto"/>
              <w:right w:val="single" w:sz="4" w:space="0" w:color="auto"/>
            </w:tcBorders>
            <w:hideMark/>
          </w:tcPr>
          <w:p w:rsidR="00615853" w:rsidRPr="00250200" w:rsidRDefault="00615853" w:rsidP="00615853">
            <w:pPr>
              <w:jc w:val="left"/>
              <w:rPr>
                <w:rFonts w:cs="Arial"/>
                <w:b/>
                <w:sz w:val="24"/>
              </w:rPr>
            </w:pPr>
            <w:r w:rsidRPr="00250200">
              <w:rPr>
                <w:rFonts w:cs="Arial"/>
                <w:b/>
                <w:sz w:val="24"/>
              </w:rPr>
              <w:t>Author on behalf of Chief Officer:</w:t>
            </w:r>
          </w:p>
        </w:tc>
        <w:tc>
          <w:tcPr>
            <w:tcW w:w="5103" w:type="dxa"/>
            <w:tcBorders>
              <w:top w:val="single" w:sz="4" w:space="0" w:color="auto"/>
              <w:left w:val="single" w:sz="4" w:space="0" w:color="auto"/>
              <w:bottom w:val="single" w:sz="4" w:space="0" w:color="auto"/>
              <w:right w:val="single" w:sz="4" w:space="0" w:color="auto"/>
            </w:tcBorders>
            <w:hideMark/>
          </w:tcPr>
          <w:p w:rsidR="00615853" w:rsidRPr="00250200" w:rsidRDefault="00615853" w:rsidP="00615853">
            <w:pPr>
              <w:spacing w:line="240" w:lineRule="auto"/>
              <w:jc w:val="left"/>
              <w:rPr>
                <w:rFonts w:cs="Arial"/>
                <w:b/>
                <w:sz w:val="24"/>
              </w:rPr>
            </w:pPr>
            <w:r w:rsidRPr="00615853">
              <w:rPr>
                <w:rFonts w:cs="Arial"/>
                <w:b/>
                <w:sz w:val="24"/>
              </w:rPr>
              <w:t>Matthew Tokley, Corporate Accounting Manager</w:t>
            </w:r>
          </w:p>
          <w:p w:rsidR="00615853" w:rsidRPr="00250200" w:rsidRDefault="00615853" w:rsidP="00615853">
            <w:pPr>
              <w:spacing w:line="240" w:lineRule="auto"/>
              <w:rPr>
                <w:rFonts w:cs="Arial"/>
                <w:b/>
                <w:sz w:val="24"/>
              </w:rPr>
            </w:pPr>
          </w:p>
          <w:p w:rsidR="00615853" w:rsidRPr="00250200" w:rsidRDefault="00615853" w:rsidP="00615853">
            <w:pPr>
              <w:spacing w:line="240" w:lineRule="auto"/>
              <w:rPr>
                <w:rFonts w:cs="Arial"/>
                <w:b/>
                <w:sz w:val="24"/>
              </w:rPr>
            </w:pPr>
          </w:p>
        </w:tc>
      </w:tr>
      <w:tr w:rsidR="00615853" w:rsidRPr="00250200" w:rsidTr="00615853">
        <w:tc>
          <w:tcPr>
            <w:tcW w:w="3260" w:type="dxa"/>
            <w:tcBorders>
              <w:top w:val="single" w:sz="4" w:space="0" w:color="auto"/>
              <w:left w:val="single" w:sz="4" w:space="0" w:color="auto"/>
              <w:bottom w:val="single" w:sz="4" w:space="0" w:color="auto"/>
              <w:right w:val="single" w:sz="4" w:space="0" w:color="auto"/>
            </w:tcBorders>
            <w:hideMark/>
          </w:tcPr>
          <w:p w:rsidR="00615853" w:rsidRPr="00250200" w:rsidRDefault="00615853" w:rsidP="00615853">
            <w:pPr>
              <w:spacing w:line="480" w:lineRule="auto"/>
              <w:rPr>
                <w:rFonts w:cs="Arial"/>
                <w:b/>
                <w:sz w:val="24"/>
              </w:rPr>
            </w:pPr>
            <w:r w:rsidRPr="00250200">
              <w:rPr>
                <w:rFonts w:cs="Arial"/>
                <w:b/>
                <w:color w:val="0070C0"/>
                <w:sz w:val="24"/>
              </w:rPr>
              <w:t>Date of Approval:</w:t>
            </w:r>
          </w:p>
        </w:tc>
        <w:tc>
          <w:tcPr>
            <w:tcW w:w="5103" w:type="dxa"/>
            <w:tcBorders>
              <w:top w:val="single" w:sz="4" w:space="0" w:color="auto"/>
              <w:left w:val="single" w:sz="4" w:space="0" w:color="auto"/>
              <w:bottom w:val="single" w:sz="4" w:space="0" w:color="auto"/>
              <w:right w:val="single" w:sz="4" w:space="0" w:color="auto"/>
            </w:tcBorders>
          </w:tcPr>
          <w:p w:rsidR="00615853" w:rsidRPr="00250200" w:rsidRDefault="003E5296" w:rsidP="00615853">
            <w:pPr>
              <w:spacing w:line="480" w:lineRule="auto"/>
              <w:rPr>
                <w:rFonts w:cs="Arial"/>
                <w:b/>
                <w:sz w:val="24"/>
              </w:rPr>
            </w:pPr>
            <w:r>
              <w:rPr>
                <w:rFonts w:cs="Arial"/>
                <w:b/>
                <w:color w:val="0070C0"/>
                <w:sz w:val="24"/>
              </w:rPr>
              <w:t>17/05/2019</w:t>
            </w:r>
            <w:bookmarkStart w:id="9" w:name="_GoBack"/>
            <w:bookmarkEnd w:id="9"/>
          </w:p>
        </w:tc>
      </w:tr>
    </w:tbl>
    <w:p w:rsidR="00615853" w:rsidRPr="00250200" w:rsidRDefault="00615853" w:rsidP="00615853">
      <w:pPr>
        <w:spacing w:line="240" w:lineRule="auto"/>
        <w:jc w:val="left"/>
        <w:rPr>
          <w:rFonts w:eastAsiaTheme="minorHAnsi" w:cs="Arial"/>
          <w:sz w:val="24"/>
          <w:lang w:eastAsia="en-US"/>
        </w:rPr>
      </w:pPr>
    </w:p>
    <w:p w:rsidR="00615853" w:rsidRPr="00250200" w:rsidRDefault="00615853" w:rsidP="00615853">
      <w:pPr>
        <w:numPr>
          <w:ilvl w:val="0"/>
          <w:numId w:val="5"/>
        </w:numPr>
        <w:spacing w:line="240" w:lineRule="auto"/>
        <w:jc w:val="left"/>
        <w:rPr>
          <w:rFonts w:eastAsiaTheme="minorHAnsi" w:cs="Arial"/>
          <w:b/>
          <w:sz w:val="24"/>
          <w:u w:val="single"/>
          <w:lang w:eastAsia="en-US"/>
        </w:rPr>
      </w:pPr>
      <w:r w:rsidRPr="00250200">
        <w:rPr>
          <w:rFonts w:eastAsiaTheme="minorHAnsi" w:cs="Arial"/>
          <w:b/>
          <w:sz w:val="24"/>
          <w:u w:val="single"/>
          <w:lang w:eastAsia="en-US"/>
        </w:rPr>
        <w:t>Purpose of Report</w:t>
      </w:r>
    </w:p>
    <w:p w:rsidR="00615853" w:rsidRPr="00250200" w:rsidRDefault="00615853" w:rsidP="00615853">
      <w:pPr>
        <w:spacing w:line="240" w:lineRule="auto"/>
        <w:ind w:left="720"/>
        <w:jc w:val="left"/>
        <w:rPr>
          <w:rFonts w:eastAsiaTheme="minorHAnsi" w:cs="Arial"/>
          <w:b/>
          <w:sz w:val="24"/>
          <w:u w:val="single"/>
          <w:lang w:eastAsia="en-US"/>
        </w:rPr>
      </w:pPr>
    </w:p>
    <w:p w:rsidR="00615853" w:rsidRPr="00250200" w:rsidRDefault="00615853" w:rsidP="00615853">
      <w:pPr>
        <w:numPr>
          <w:ilvl w:val="1"/>
          <w:numId w:val="5"/>
        </w:numPr>
        <w:spacing w:line="240" w:lineRule="auto"/>
        <w:ind w:left="709"/>
        <w:jc w:val="left"/>
        <w:rPr>
          <w:rFonts w:eastAsiaTheme="minorHAnsi" w:cs="Arial"/>
          <w:sz w:val="24"/>
          <w:lang w:eastAsia="en-US"/>
        </w:rPr>
      </w:pPr>
      <w:r>
        <w:rPr>
          <w:rFonts w:cs="Arial"/>
          <w:sz w:val="24"/>
        </w:rPr>
        <w:t>To present treasury management activities performed during 2018/19.</w:t>
      </w:r>
    </w:p>
    <w:p w:rsidR="00615853" w:rsidRPr="00250200" w:rsidRDefault="00615853" w:rsidP="00615853">
      <w:pPr>
        <w:spacing w:line="240" w:lineRule="auto"/>
        <w:ind w:left="720"/>
        <w:jc w:val="left"/>
        <w:rPr>
          <w:rFonts w:eastAsiaTheme="minorHAnsi" w:cs="Arial"/>
          <w:sz w:val="24"/>
          <w:lang w:eastAsia="en-US"/>
        </w:rPr>
      </w:pPr>
    </w:p>
    <w:p w:rsidR="00615853" w:rsidRPr="00250200" w:rsidRDefault="00615853" w:rsidP="00615853">
      <w:pPr>
        <w:numPr>
          <w:ilvl w:val="0"/>
          <w:numId w:val="5"/>
        </w:numPr>
        <w:spacing w:line="240" w:lineRule="auto"/>
        <w:jc w:val="left"/>
        <w:rPr>
          <w:rFonts w:eastAsiaTheme="minorHAnsi" w:cs="Arial"/>
          <w:b/>
          <w:sz w:val="24"/>
          <w:u w:val="single"/>
          <w:lang w:eastAsia="en-US"/>
        </w:rPr>
      </w:pPr>
      <w:r w:rsidRPr="00250200">
        <w:rPr>
          <w:rFonts w:eastAsiaTheme="minorHAnsi" w:cs="Arial"/>
          <w:b/>
          <w:sz w:val="24"/>
          <w:u w:val="single"/>
          <w:lang w:eastAsia="en-US"/>
        </w:rPr>
        <w:t>Recommendations</w:t>
      </w:r>
    </w:p>
    <w:p w:rsidR="00615853" w:rsidRPr="00250200" w:rsidRDefault="00615853" w:rsidP="00615853">
      <w:pPr>
        <w:spacing w:line="240" w:lineRule="auto"/>
        <w:ind w:left="720"/>
        <w:jc w:val="left"/>
        <w:rPr>
          <w:rFonts w:eastAsiaTheme="minorHAnsi" w:cs="Arial"/>
          <w:b/>
          <w:sz w:val="24"/>
          <w:u w:val="single"/>
          <w:lang w:eastAsia="en-US"/>
        </w:rPr>
      </w:pPr>
    </w:p>
    <w:p w:rsidR="00615853" w:rsidRPr="00615853" w:rsidRDefault="00615853" w:rsidP="00615853">
      <w:pPr>
        <w:numPr>
          <w:ilvl w:val="1"/>
          <w:numId w:val="5"/>
        </w:numPr>
        <w:spacing w:line="240" w:lineRule="auto"/>
        <w:jc w:val="left"/>
        <w:rPr>
          <w:rFonts w:eastAsiaTheme="minorHAnsi" w:cs="Arial"/>
          <w:sz w:val="24"/>
          <w:lang w:eastAsia="en-US"/>
        </w:rPr>
      </w:pPr>
      <w:r>
        <w:rPr>
          <w:rFonts w:cs="Arial"/>
          <w:sz w:val="24"/>
        </w:rPr>
        <w:t>The PFCC is recommended to note the activities and performance for 2018/19.</w:t>
      </w:r>
    </w:p>
    <w:p w:rsidR="00615853" w:rsidRPr="00250200" w:rsidRDefault="00615853" w:rsidP="00615853">
      <w:pPr>
        <w:spacing w:line="240" w:lineRule="auto"/>
        <w:ind w:left="720"/>
        <w:jc w:val="left"/>
        <w:rPr>
          <w:rFonts w:eastAsiaTheme="minorHAnsi" w:cs="Arial"/>
          <w:sz w:val="24"/>
          <w:lang w:eastAsia="en-US"/>
        </w:rPr>
      </w:pPr>
    </w:p>
    <w:p w:rsidR="00615853" w:rsidRDefault="00615853" w:rsidP="00615853">
      <w:pPr>
        <w:numPr>
          <w:ilvl w:val="0"/>
          <w:numId w:val="5"/>
        </w:numPr>
        <w:spacing w:line="240" w:lineRule="auto"/>
        <w:jc w:val="left"/>
        <w:rPr>
          <w:rFonts w:eastAsiaTheme="minorHAnsi" w:cs="Arial"/>
          <w:b/>
          <w:sz w:val="24"/>
          <w:u w:val="single"/>
          <w:lang w:eastAsia="en-US"/>
        </w:rPr>
      </w:pPr>
      <w:r w:rsidRPr="00250200">
        <w:rPr>
          <w:rFonts w:eastAsiaTheme="minorHAnsi" w:cs="Arial"/>
          <w:b/>
          <w:sz w:val="24"/>
          <w:u w:val="single"/>
          <w:lang w:eastAsia="en-US"/>
        </w:rPr>
        <w:t>Executive Summary</w:t>
      </w:r>
    </w:p>
    <w:p w:rsidR="00615853" w:rsidRDefault="00615853" w:rsidP="00615853">
      <w:pPr>
        <w:spacing w:line="240" w:lineRule="auto"/>
        <w:jc w:val="left"/>
        <w:rPr>
          <w:rFonts w:eastAsiaTheme="minorHAnsi" w:cs="Arial"/>
          <w:b/>
          <w:sz w:val="24"/>
          <w:u w:val="single"/>
          <w:lang w:eastAsia="en-US"/>
        </w:rPr>
      </w:pPr>
    </w:p>
    <w:p w:rsidR="00615853" w:rsidRPr="00615853" w:rsidRDefault="00615853" w:rsidP="00615853">
      <w:pPr>
        <w:pStyle w:val="ListParagraph"/>
        <w:numPr>
          <w:ilvl w:val="1"/>
          <w:numId w:val="5"/>
        </w:numPr>
        <w:spacing w:line="240" w:lineRule="auto"/>
        <w:jc w:val="left"/>
        <w:rPr>
          <w:rFonts w:eastAsiaTheme="minorHAnsi" w:cs="Arial"/>
          <w:b/>
          <w:sz w:val="24"/>
          <w:u w:val="single"/>
          <w:lang w:eastAsia="en-US"/>
        </w:rPr>
      </w:pPr>
      <w:r>
        <w:rPr>
          <w:rFonts w:cs="Arial"/>
          <w:sz w:val="24"/>
        </w:rPr>
        <w:lastRenderedPageBreak/>
        <w:t>This report provides an overview for how the PFCC’s cash balances have been managed during 2018/19, and what investments and borrowings (where applicable) were undertaken during the year.</w:t>
      </w:r>
    </w:p>
    <w:p w:rsidR="00615853" w:rsidRPr="00250200" w:rsidRDefault="00615853" w:rsidP="00615853">
      <w:pPr>
        <w:pStyle w:val="ListParagraph"/>
        <w:spacing w:line="240" w:lineRule="auto"/>
        <w:jc w:val="left"/>
        <w:rPr>
          <w:rFonts w:eastAsiaTheme="minorHAnsi" w:cs="Arial"/>
          <w:b/>
          <w:sz w:val="24"/>
          <w:u w:val="single"/>
          <w:lang w:eastAsia="en-US"/>
        </w:rPr>
      </w:pPr>
      <w:r w:rsidRPr="00250200">
        <w:rPr>
          <w:rFonts w:eastAsiaTheme="minorHAnsi" w:cs="Arial"/>
          <w:b/>
          <w:sz w:val="24"/>
          <w:u w:val="single"/>
          <w:lang w:eastAsia="en-US"/>
        </w:rPr>
        <w:t xml:space="preserve"> </w:t>
      </w:r>
    </w:p>
    <w:p w:rsidR="00615853" w:rsidRPr="00250200" w:rsidRDefault="00615853" w:rsidP="00615853">
      <w:pPr>
        <w:numPr>
          <w:ilvl w:val="1"/>
          <w:numId w:val="5"/>
        </w:numPr>
        <w:spacing w:line="240" w:lineRule="auto"/>
        <w:jc w:val="left"/>
        <w:rPr>
          <w:rFonts w:eastAsiaTheme="minorHAnsi" w:cs="Arial"/>
          <w:sz w:val="24"/>
          <w:u w:val="single"/>
          <w:lang w:eastAsia="en-US"/>
        </w:rPr>
      </w:pPr>
      <w:r>
        <w:rPr>
          <w:rFonts w:eastAsiaTheme="minorHAnsi" w:cs="Arial"/>
          <w:sz w:val="24"/>
          <w:lang w:eastAsia="en-US"/>
        </w:rPr>
        <w:t xml:space="preserve">Section 3 of the main report sets out the treasury management performance in the year, whilst sections 4 and 5 refer to compliance in respect of the Treasury Management Strategy and </w:t>
      </w:r>
      <w:r w:rsidR="00295AF2">
        <w:rPr>
          <w:rFonts w:eastAsiaTheme="minorHAnsi" w:cs="Arial"/>
          <w:sz w:val="24"/>
          <w:lang w:eastAsia="en-US"/>
        </w:rPr>
        <w:t>statutory treasury management indicators. Supporting detail for the year-end investments position in shown in appendices A &amp; B.</w:t>
      </w:r>
    </w:p>
    <w:p w:rsidR="00615853" w:rsidRPr="00250200" w:rsidRDefault="00615853" w:rsidP="00615853">
      <w:pPr>
        <w:spacing w:line="240" w:lineRule="auto"/>
        <w:jc w:val="left"/>
        <w:rPr>
          <w:rFonts w:eastAsiaTheme="minorHAnsi" w:cs="Arial"/>
          <w:b/>
          <w:sz w:val="24"/>
          <w:lang w:eastAsia="en-US"/>
        </w:rPr>
      </w:pPr>
    </w:p>
    <w:p w:rsidR="00615853" w:rsidRPr="00250200" w:rsidRDefault="00615853" w:rsidP="00615853">
      <w:pPr>
        <w:numPr>
          <w:ilvl w:val="0"/>
          <w:numId w:val="5"/>
        </w:numPr>
        <w:spacing w:line="240" w:lineRule="auto"/>
        <w:jc w:val="left"/>
        <w:rPr>
          <w:rFonts w:eastAsiaTheme="minorHAnsi" w:cs="Arial"/>
          <w:b/>
          <w:sz w:val="24"/>
          <w:u w:val="single"/>
          <w:lang w:eastAsia="en-US"/>
        </w:rPr>
      </w:pPr>
      <w:r w:rsidRPr="00250200">
        <w:rPr>
          <w:rFonts w:eastAsiaTheme="minorHAnsi" w:cs="Arial"/>
          <w:b/>
          <w:sz w:val="24"/>
          <w:u w:val="single"/>
          <w:lang w:eastAsia="en-US"/>
        </w:rPr>
        <w:t xml:space="preserve">Introduction/Background </w:t>
      </w:r>
    </w:p>
    <w:p w:rsidR="00615853" w:rsidRPr="00250200" w:rsidRDefault="00615853" w:rsidP="00615853">
      <w:pPr>
        <w:spacing w:line="240" w:lineRule="auto"/>
        <w:ind w:left="720"/>
        <w:jc w:val="left"/>
        <w:rPr>
          <w:rFonts w:eastAsiaTheme="minorHAnsi" w:cs="Arial"/>
          <w:sz w:val="24"/>
          <w:u w:val="single"/>
          <w:lang w:eastAsia="en-US"/>
        </w:rPr>
      </w:pPr>
    </w:p>
    <w:p w:rsidR="00615853" w:rsidRPr="00250200" w:rsidRDefault="00295AF2" w:rsidP="00615853">
      <w:pPr>
        <w:numPr>
          <w:ilvl w:val="1"/>
          <w:numId w:val="4"/>
        </w:numPr>
        <w:spacing w:line="240" w:lineRule="auto"/>
        <w:ind w:left="709"/>
        <w:jc w:val="left"/>
        <w:rPr>
          <w:rFonts w:eastAsiaTheme="minorHAnsi" w:cs="Arial"/>
          <w:sz w:val="24"/>
          <w:u w:val="single"/>
          <w:lang w:eastAsia="en-US"/>
        </w:rPr>
      </w:pPr>
      <w:r>
        <w:rPr>
          <w:rFonts w:eastAsiaTheme="minorHAnsi" w:cs="Arial"/>
          <w:sz w:val="24"/>
          <w:lang w:eastAsia="en-US"/>
        </w:rPr>
        <w:t>The background and statutory requirements for this paper are detailed within Section 1.0 of the main report</w:t>
      </w:r>
      <w:r w:rsidR="00615853" w:rsidRPr="00250200">
        <w:rPr>
          <w:rFonts w:eastAsiaTheme="minorHAnsi" w:cs="Arial"/>
          <w:sz w:val="24"/>
          <w:lang w:eastAsia="en-US"/>
        </w:rPr>
        <w:t>.</w:t>
      </w:r>
    </w:p>
    <w:p w:rsidR="00615853" w:rsidRPr="00250200" w:rsidRDefault="00615853" w:rsidP="00615853">
      <w:pPr>
        <w:spacing w:line="240" w:lineRule="auto"/>
        <w:jc w:val="left"/>
        <w:rPr>
          <w:rFonts w:eastAsiaTheme="minorHAnsi" w:cs="Arial"/>
          <w:sz w:val="24"/>
          <w:lang w:eastAsia="en-US"/>
        </w:rPr>
      </w:pPr>
    </w:p>
    <w:p w:rsidR="00615853" w:rsidRPr="00250200" w:rsidRDefault="00615853" w:rsidP="00615853">
      <w:pPr>
        <w:numPr>
          <w:ilvl w:val="0"/>
          <w:numId w:val="5"/>
        </w:numPr>
        <w:spacing w:line="240" w:lineRule="auto"/>
        <w:jc w:val="left"/>
        <w:rPr>
          <w:rFonts w:eastAsiaTheme="minorHAnsi" w:cs="Arial"/>
          <w:b/>
          <w:sz w:val="24"/>
          <w:u w:val="single"/>
          <w:lang w:eastAsia="en-US"/>
        </w:rPr>
      </w:pPr>
      <w:r w:rsidRPr="00250200">
        <w:rPr>
          <w:rFonts w:eastAsiaTheme="minorHAnsi" w:cs="Arial"/>
          <w:b/>
          <w:sz w:val="24"/>
          <w:u w:val="single"/>
          <w:lang w:eastAsia="en-US"/>
        </w:rPr>
        <w:t>Current Work and Performance</w:t>
      </w:r>
    </w:p>
    <w:p w:rsidR="00615853" w:rsidRPr="00250200" w:rsidRDefault="00615853" w:rsidP="00615853">
      <w:pPr>
        <w:spacing w:line="240" w:lineRule="auto"/>
        <w:jc w:val="left"/>
        <w:rPr>
          <w:rFonts w:eastAsiaTheme="minorHAnsi" w:cs="Arial"/>
          <w:b/>
          <w:sz w:val="24"/>
          <w:u w:val="single"/>
          <w:lang w:eastAsia="en-US"/>
        </w:rPr>
      </w:pPr>
    </w:p>
    <w:p w:rsidR="00615853" w:rsidRPr="00295AF2" w:rsidRDefault="00295AF2" w:rsidP="00976873">
      <w:pPr>
        <w:numPr>
          <w:ilvl w:val="1"/>
          <w:numId w:val="4"/>
        </w:numPr>
        <w:spacing w:line="240" w:lineRule="auto"/>
        <w:ind w:left="709"/>
        <w:jc w:val="left"/>
        <w:rPr>
          <w:rFonts w:eastAsiaTheme="minorHAnsi" w:cs="Arial"/>
          <w:sz w:val="24"/>
          <w:lang w:eastAsia="en-US"/>
        </w:rPr>
      </w:pPr>
      <w:r w:rsidRPr="00295AF2">
        <w:rPr>
          <w:rFonts w:cs="Arial"/>
          <w:sz w:val="24"/>
        </w:rPr>
        <w:t xml:space="preserve">The 2018/19 performance is set out in this report. In respect of 2019/20 the proposed </w:t>
      </w:r>
      <w:r w:rsidRPr="00295AF2">
        <w:rPr>
          <w:rFonts w:cs="Arial"/>
          <w:sz w:val="24"/>
        </w:rPr>
        <w:tab/>
        <w:t xml:space="preserve">approach and expected cash position is set out in the Treasury Management Strategy </w:t>
      </w:r>
      <w:r w:rsidRPr="00295AF2">
        <w:rPr>
          <w:rFonts w:cs="Arial"/>
          <w:sz w:val="24"/>
        </w:rPr>
        <w:tab/>
        <w:t xml:space="preserve">document, as previously </w:t>
      </w:r>
      <w:r>
        <w:rPr>
          <w:rFonts w:cs="Arial"/>
          <w:sz w:val="24"/>
        </w:rPr>
        <w:t>approved by</w:t>
      </w:r>
      <w:r w:rsidRPr="00295AF2">
        <w:rPr>
          <w:rFonts w:cs="Arial"/>
          <w:sz w:val="24"/>
        </w:rPr>
        <w:t xml:space="preserve"> this </w:t>
      </w:r>
      <w:r>
        <w:rPr>
          <w:rFonts w:cs="Arial"/>
          <w:sz w:val="24"/>
        </w:rPr>
        <w:t>board.</w:t>
      </w:r>
      <w:r>
        <w:rPr>
          <w:rFonts w:cs="Arial"/>
          <w:sz w:val="24"/>
        </w:rPr>
        <w:br/>
      </w:r>
    </w:p>
    <w:p w:rsidR="00615853" w:rsidRPr="00250200" w:rsidRDefault="00615853" w:rsidP="00615853">
      <w:pPr>
        <w:numPr>
          <w:ilvl w:val="0"/>
          <w:numId w:val="5"/>
        </w:numPr>
        <w:spacing w:line="240" w:lineRule="auto"/>
        <w:jc w:val="left"/>
        <w:rPr>
          <w:rFonts w:eastAsiaTheme="minorHAnsi" w:cs="Arial"/>
          <w:b/>
          <w:sz w:val="24"/>
          <w:u w:val="single"/>
          <w:lang w:eastAsia="en-US"/>
        </w:rPr>
      </w:pPr>
      <w:r w:rsidRPr="00250200">
        <w:rPr>
          <w:rFonts w:eastAsiaTheme="minorHAnsi" w:cs="Arial"/>
          <w:b/>
          <w:sz w:val="24"/>
          <w:u w:val="single"/>
          <w:lang w:eastAsia="en-US"/>
        </w:rPr>
        <w:t>Implications (Issues)</w:t>
      </w:r>
    </w:p>
    <w:p w:rsidR="00615853" w:rsidRPr="00250200" w:rsidRDefault="00615853" w:rsidP="00615853">
      <w:pPr>
        <w:spacing w:line="240" w:lineRule="auto"/>
        <w:ind w:left="720"/>
        <w:jc w:val="left"/>
        <w:rPr>
          <w:rFonts w:eastAsiaTheme="minorHAnsi" w:cs="Arial"/>
          <w:b/>
          <w:u w:val="single"/>
          <w:lang w:eastAsia="en-US"/>
        </w:rPr>
      </w:pPr>
    </w:p>
    <w:p w:rsidR="00295AF2" w:rsidRPr="00295AF2" w:rsidRDefault="00295AF2" w:rsidP="00295AF2">
      <w:pPr>
        <w:numPr>
          <w:ilvl w:val="1"/>
          <w:numId w:val="5"/>
        </w:numPr>
        <w:spacing w:line="240" w:lineRule="auto"/>
        <w:ind w:left="709"/>
        <w:jc w:val="left"/>
        <w:rPr>
          <w:rFonts w:eastAsiaTheme="minorHAnsi" w:cs="Arial"/>
          <w:b/>
          <w:sz w:val="24"/>
          <w:u w:val="single"/>
          <w:lang w:eastAsia="en-US"/>
        </w:rPr>
      </w:pPr>
      <w:r w:rsidRPr="00295AF2">
        <w:rPr>
          <w:rFonts w:cs="Arial"/>
          <w:sz w:val="24"/>
        </w:rPr>
        <w:t>Financial implications are considered within the main body of this report</w:t>
      </w:r>
      <w:r w:rsidRPr="00295AF2">
        <w:rPr>
          <w:rFonts w:eastAsiaTheme="minorHAnsi" w:cs="Arial"/>
          <w:sz w:val="24"/>
          <w:lang w:eastAsia="en-US"/>
        </w:rPr>
        <w:t>.</w:t>
      </w:r>
      <w:r>
        <w:rPr>
          <w:rFonts w:eastAsiaTheme="minorHAnsi" w:cs="Arial"/>
          <w:sz w:val="24"/>
          <w:lang w:eastAsia="en-US"/>
        </w:rPr>
        <w:br/>
      </w:r>
    </w:p>
    <w:p w:rsidR="00615853" w:rsidRPr="00250200" w:rsidRDefault="00615853" w:rsidP="00615853">
      <w:pPr>
        <w:numPr>
          <w:ilvl w:val="0"/>
          <w:numId w:val="5"/>
        </w:numPr>
        <w:spacing w:line="240" w:lineRule="auto"/>
        <w:jc w:val="left"/>
        <w:rPr>
          <w:rFonts w:eastAsiaTheme="minorHAnsi" w:cs="Arial"/>
          <w:b/>
          <w:sz w:val="24"/>
          <w:u w:val="single"/>
          <w:lang w:eastAsia="en-US"/>
        </w:rPr>
      </w:pPr>
      <w:r w:rsidRPr="00250200">
        <w:rPr>
          <w:rFonts w:eastAsiaTheme="minorHAnsi" w:cs="Arial"/>
          <w:b/>
          <w:sz w:val="24"/>
          <w:u w:val="single"/>
          <w:lang w:eastAsia="en-US"/>
        </w:rPr>
        <w:t>Links to Police and Crime Plan Priorities</w:t>
      </w:r>
    </w:p>
    <w:p w:rsidR="00615853" w:rsidRPr="00250200" w:rsidRDefault="00615853" w:rsidP="00615853">
      <w:pPr>
        <w:spacing w:line="240" w:lineRule="auto"/>
        <w:ind w:left="720"/>
        <w:jc w:val="left"/>
        <w:rPr>
          <w:rFonts w:eastAsiaTheme="minorHAnsi" w:cs="Arial"/>
          <w:b/>
          <w:u w:val="single"/>
          <w:lang w:eastAsia="en-US"/>
        </w:rPr>
      </w:pPr>
    </w:p>
    <w:p w:rsidR="00615853" w:rsidRPr="00250200" w:rsidRDefault="00615853" w:rsidP="00615853">
      <w:pPr>
        <w:numPr>
          <w:ilvl w:val="1"/>
          <w:numId w:val="5"/>
        </w:numPr>
        <w:spacing w:line="240" w:lineRule="auto"/>
        <w:ind w:left="709"/>
        <w:jc w:val="left"/>
        <w:rPr>
          <w:rFonts w:eastAsiaTheme="minorHAnsi" w:cs="Arial"/>
          <w:sz w:val="24"/>
          <w:u w:val="single"/>
          <w:lang w:eastAsia="en-US"/>
        </w:rPr>
      </w:pPr>
      <w:r w:rsidRPr="00250200">
        <w:rPr>
          <w:rFonts w:eastAsiaTheme="minorHAnsi" w:cs="Arial"/>
          <w:sz w:val="24"/>
          <w:lang w:eastAsia="en-US"/>
        </w:rPr>
        <w:t xml:space="preserve">The Force budget </w:t>
      </w:r>
      <w:r w:rsidR="00295AF2">
        <w:rPr>
          <w:rFonts w:eastAsiaTheme="minorHAnsi" w:cs="Arial"/>
          <w:sz w:val="24"/>
          <w:lang w:eastAsia="en-US"/>
        </w:rPr>
        <w:t>and cash resources are</w:t>
      </w:r>
      <w:r w:rsidRPr="00250200">
        <w:rPr>
          <w:rFonts w:eastAsiaTheme="minorHAnsi" w:cs="Arial"/>
          <w:sz w:val="24"/>
          <w:lang w:eastAsia="en-US"/>
        </w:rPr>
        <w:t xml:space="preserve"> used to help meet the priorities of the Police and Crime plan.</w:t>
      </w:r>
    </w:p>
    <w:p w:rsidR="00615853" w:rsidRPr="00250200" w:rsidRDefault="00615853" w:rsidP="00615853">
      <w:pPr>
        <w:spacing w:line="240" w:lineRule="auto"/>
        <w:ind w:left="709"/>
        <w:jc w:val="left"/>
        <w:rPr>
          <w:rFonts w:eastAsiaTheme="minorHAnsi" w:cs="Arial"/>
          <w:sz w:val="24"/>
          <w:lang w:eastAsia="en-US"/>
        </w:rPr>
      </w:pPr>
    </w:p>
    <w:p w:rsidR="00615853" w:rsidRPr="00250200" w:rsidRDefault="00615853" w:rsidP="00615853">
      <w:pPr>
        <w:numPr>
          <w:ilvl w:val="0"/>
          <w:numId w:val="5"/>
        </w:numPr>
        <w:spacing w:line="240" w:lineRule="auto"/>
        <w:jc w:val="left"/>
        <w:rPr>
          <w:rFonts w:eastAsiaTheme="minorHAnsi" w:cs="Arial"/>
          <w:b/>
          <w:sz w:val="24"/>
          <w:u w:val="single"/>
          <w:lang w:eastAsia="en-US"/>
        </w:rPr>
      </w:pPr>
      <w:r w:rsidRPr="00250200">
        <w:rPr>
          <w:rFonts w:eastAsiaTheme="minorHAnsi" w:cs="Arial"/>
          <w:b/>
          <w:sz w:val="24"/>
          <w:u w:val="single"/>
          <w:lang w:eastAsia="en-US"/>
        </w:rPr>
        <w:t>Demand</w:t>
      </w:r>
    </w:p>
    <w:p w:rsidR="00615853" w:rsidRPr="00250200" w:rsidRDefault="00615853" w:rsidP="00615853">
      <w:pPr>
        <w:spacing w:line="240" w:lineRule="auto"/>
        <w:ind w:left="720"/>
        <w:jc w:val="left"/>
        <w:rPr>
          <w:rFonts w:eastAsiaTheme="minorHAnsi" w:cs="Arial"/>
          <w:b/>
          <w:u w:val="single"/>
          <w:lang w:eastAsia="en-US"/>
        </w:rPr>
      </w:pPr>
    </w:p>
    <w:p w:rsidR="00615853" w:rsidRPr="00250200" w:rsidRDefault="00615853" w:rsidP="00615853">
      <w:pPr>
        <w:numPr>
          <w:ilvl w:val="1"/>
          <w:numId w:val="5"/>
        </w:numPr>
        <w:spacing w:line="240" w:lineRule="auto"/>
        <w:ind w:left="709"/>
        <w:jc w:val="left"/>
        <w:rPr>
          <w:rFonts w:eastAsiaTheme="minorHAnsi" w:cs="Arial"/>
          <w:sz w:val="24"/>
          <w:u w:val="single"/>
          <w:lang w:eastAsia="en-US"/>
        </w:rPr>
      </w:pPr>
      <w:r w:rsidRPr="00250200">
        <w:rPr>
          <w:rFonts w:eastAsiaTheme="minorHAnsi" w:cs="Arial"/>
          <w:sz w:val="24"/>
          <w:lang w:eastAsia="en-US"/>
        </w:rPr>
        <w:t>The Force budget is reviewed and re-allocated within virement rules to match demand e.g.</w:t>
      </w:r>
      <w:r w:rsidR="00295AF2">
        <w:rPr>
          <w:rFonts w:eastAsiaTheme="minorHAnsi" w:cs="Arial"/>
          <w:sz w:val="24"/>
          <w:lang w:eastAsia="en-US"/>
        </w:rPr>
        <w:t xml:space="preserve"> overtime funded by vacancies. The OPFCC’s cash resources support the underlying demand for this process.</w:t>
      </w:r>
    </w:p>
    <w:p w:rsidR="00615853" w:rsidRPr="00250200" w:rsidRDefault="00615853" w:rsidP="00615853">
      <w:pPr>
        <w:spacing w:line="240" w:lineRule="auto"/>
        <w:ind w:left="1418" w:hanging="709"/>
        <w:jc w:val="left"/>
        <w:rPr>
          <w:rFonts w:eastAsiaTheme="minorHAnsi" w:cs="Arial"/>
          <w:b/>
          <w:sz w:val="24"/>
          <w:lang w:eastAsia="en-US"/>
        </w:rPr>
      </w:pPr>
    </w:p>
    <w:p w:rsidR="00615853" w:rsidRDefault="00615853" w:rsidP="00615853">
      <w:pPr>
        <w:numPr>
          <w:ilvl w:val="0"/>
          <w:numId w:val="5"/>
        </w:numPr>
        <w:spacing w:line="240" w:lineRule="auto"/>
        <w:jc w:val="left"/>
        <w:rPr>
          <w:rFonts w:eastAsiaTheme="minorHAnsi" w:cs="Arial"/>
          <w:b/>
          <w:sz w:val="24"/>
          <w:u w:val="single"/>
          <w:lang w:eastAsia="en-US"/>
        </w:rPr>
      </w:pPr>
      <w:r w:rsidRPr="00250200">
        <w:rPr>
          <w:rFonts w:eastAsiaTheme="minorHAnsi" w:cs="Arial"/>
          <w:b/>
          <w:sz w:val="24"/>
          <w:u w:val="single"/>
          <w:lang w:eastAsia="en-US"/>
        </w:rPr>
        <w:t>Risks/Mitigation</w:t>
      </w:r>
    </w:p>
    <w:p w:rsidR="00295AF2" w:rsidRPr="00295AF2" w:rsidRDefault="00295AF2" w:rsidP="00295AF2">
      <w:pPr>
        <w:spacing w:line="240" w:lineRule="auto"/>
        <w:jc w:val="left"/>
        <w:rPr>
          <w:rFonts w:eastAsiaTheme="minorHAnsi" w:cs="Arial"/>
          <w:sz w:val="24"/>
          <w:lang w:eastAsia="en-US"/>
        </w:rPr>
      </w:pPr>
    </w:p>
    <w:p w:rsidR="00295AF2" w:rsidRPr="00295AF2" w:rsidRDefault="00295AF2" w:rsidP="00295AF2">
      <w:pPr>
        <w:pStyle w:val="ListParagraph"/>
        <w:numPr>
          <w:ilvl w:val="1"/>
          <w:numId w:val="5"/>
        </w:numPr>
        <w:spacing w:line="240" w:lineRule="auto"/>
        <w:jc w:val="left"/>
        <w:rPr>
          <w:rFonts w:eastAsiaTheme="minorHAnsi" w:cs="Arial"/>
          <w:sz w:val="24"/>
          <w:lang w:eastAsia="en-US"/>
        </w:rPr>
      </w:pPr>
      <w:r w:rsidRPr="00295AF2">
        <w:rPr>
          <w:rFonts w:eastAsiaTheme="minorHAnsi" w:cs="Arial"/>
          <w:sz w:val="24"/>
          <w:lang w:eastAsia="en-US"/>
        </w:rPr>
        <w:lastRenderedPageBreak/>
        <w:t>Both the CIPFA Code and government guidance require the force to invest its funds prudently, and to have regard to the security and liquidity of its investments before seeking the highest rate of return, or yield.  The</w:t>
      </w:r>
      <w:r>
        <w:rPr>
          <w:rFonts w:eastAsiaTheme="minorHAnsi" w:cs="Arial"/>
          <w:sz w:val="24"/>
          <w:lang w:eastAsia="en-US"/>
        </w:rPr>
        <w:t xml:space="preserve"> OPFCC</w:t>
      </w:r>
      <w:r w:rsidRPr="00295AF2">
        <w:rPr>
          <w:rFonts w:eastAsiaTheme="minorHAnsi" w:cs="Arial"/>
          <w:sz w:val="24"/>
          <w:lang w:eastAsia="en-US"/>
        </w:rPr>
        <w:t xml:space="preserve"> objective when investing money is to strike an appropriate balance between risk and return, minimising the risk of incurring losses from defaults and the risk of receiving unsuitably low investment income.</w:t>
      </w:r>
    </w:p>
    <w:p w:rsidR="00615853" w:rsidRPr="00250200" w:rsidRDefault="00615853" w:rsidP="00615853">
      <w:pPr>
        <w:spacing w:line="240" w:lineRule="auto"/>
        <w:ind w:left="720"/>
        <w:jc w:val="left"/>
        <w:rPr>
          <w:rFonts w:eastAsiaTheme="minorHAnsi" w:cs="Arial"/>
          <w:b/>
          <w:u w:val="single"/>
          <w:lang w:eastAsia="en-US"/>
        </w:rPr>
      </w:pPr>
    </w:p>
    <w:p w:rsidR="00615853" w:rsidRPr="00250200" w:rsidRDefault="00295AF2" w:rsidP="00295AF2">
      <w:pPr>
        <w:spacing w:line="240" w:lineRule="auto"/>
        <w:jc w:val="left"/>
        <w:rPr>
          <w:rFonts w:eastAsiaTheme="minorHAnsi" w:cs="Arial"/>
          <w:sz w:val="24"/>
          <w:lang w:eastAsia="en-US"/>
        </w:rPr>
      </w:pPr>
      <w:r>
        <w:rPr>
          <w:rFonts w:eastAsiaTheme="minorHAnsi" w:cs="Arial"/>
          <w:sz w:val="24"/>
          <w:lang w:eastAsia="en-US"/>
        </w:rPr>
        <w:t>9.2</w:t>
      </w:r>
      <w:r>
        <w:rPr>
          <w:rFonts w:eastAsiaTheme="minorHAnsi" w:cs="Arial"/>
          <w:sz w:val="24"/>
          <w:lang w:eastAsia="en-US"/>
        </w:rPr>
        <w:tab/>
      </w:r>
      <w:r w:rsidR="00615853" w:rsidRPr="00250200">
        <w:rPr>
          <w:rFonts w:eastAsiaTheme="minorHAnsi" w:cs="Arial"/>
          <w:sz w:val="24"/>
          <w:lang w:eastAsia="en-US"/>
        </w:rPr>
        <w:t>Risk Register URN 452 - Short and Long Term Capital Finance.</w:t>
      </w:r>
    </w:p>
    <w:p w:rsidR="00615853" w:rsidRPr="00250200" w:rsidRDefault="00615853" w:rsidP="00615853">
      <w:pPr>
        <w:spacing w:line="240" w:lineRule="auto"/>
        <w:ind w:left="720"/>
        <w:jc w:val="left"/>
        <w:rPr>
          <w:rFonts w:eastAsiaTheme="minorHAnsi" w:cs="Arial"/>
          <w:sz w:val="24"/>
          <w:lang w:eastAsia="en-US"/>
        </w:rPr>
      </w:pPr>
    </w:p>
    <w:p w:rsidR="00615853" w:rsidRPr="00250200" w:rsidRDefault="00615853" w:rsidP="00615853">
      <w:pPr>
        <w:numPr>
          <w:ilvl w:val="0"/>
          <w:numId w:val="5"/>
        </w:numPr>
        <w:spacing w:line="240" w:lineRule="auto"/>
        <w:jc w:val="left"/>
        <w:rPr>
          <w:rFonts w:eastAsiaTheme="minorHAnsi" w:cs="Arial"/>
          <w:b/>
          <w:sz w:val="24"/>
          <w:u w:val="single"/>
          <w:lang w:eastAsia="en-US"/>
        </w:rPr>
      </w:pPr>
      <w:r w:rsidRPr="00250200">
        <w:rPr>
          <w:rFonts w:eastAsiaTheme="minorHAnsi" w:cs="Arial"/>
          <w:b/>
          <w:sz w:val="24"/>
          <w:u w:val="single"/>
          <w:lang w:eastAsia="en-US"/>
        </w:rPr>
        <w:t xml:space="preserve">Equality and/or Human Rights Implications </w:t>
      </w:r>
    </w:p>
    <w:p w:rsidR="00615853" w:rsidRPr="00250200" w:rsidRDefault="00615853" w:rsidP="00615853">
      <w:pPr>
        <w:spacing w:line="240" w:lineRule="auto"/>
        <w:ind w:left="709"/>
        <w:jc w:val="left"/>
        <w:rPr>
          <w:rFonts w:eastAsiaTheme="minorHAnsi" w:cs="Arial"/>
          <w:lang w:eastAsia="en-US"/>
        </w:rPr>
      </w:pPr>
    </w:p>
    <w:p w:rsidR="00615853" w:rsidRPr="00250200" w:rsidRDefault="00DB3D47" w:rsidP="00DB3D47">
      <w:pPr>
        <w:spacing w:line="240" w:lineRule="auto"/>
        <w:jc w:val="left"/>
        <w:rPr>
          <w:rFonts w:eastAsiaTheme="minorHAnsi" w:cs="Arial"/>
          <w:sz w:val="24"/>
          <w:lang w:eastAsia="en-US"/>
        </w:rPr>
      </w:pPr>
      <w:r>
        <w:rPr>
          <w:rFonts w:eastAsiaTheme="minorHAnsi" w:cs="Arial"/>
          <w:sz w:val="24"/>
          <w:lang w:eastAsia="en-US"/>
        </w:rPr>
        <w:t>10.1</w:t>
      </w:r>
      <w:r>
        <w:rPr>
          <w:rFonts w:eastAsiaTheme="minorHAnsi" w:cs="Arial"/>
          <w:sz w:val="24"/>
          <w:lang w:eastAsia="en-US"/>
        </w:rPr>
        <w:tab/>
      </w:r>
      <w:r w:rsidR="00615853" w:rsidRPr="00250200">
        <w:rPr>
          <w:rFonts w:eastAsiaTheme="minorHAnsi" w:cs="Arial"/>
          <w:sz w:val="24"/>
          <w:lang w:eastAsia="en-US"/>
        </w:rPr>
        <w:t>N/A</w:t>
      </w:r>
    </w:p>
    <w:p w:rsidR="00615853" w:rsidRPr="00250200" w:rsidRDefault="00615853" w:rsidP="00615853">
      <w:pPr>
        <w:spacing w:line="240" w:lineRule="auto"/>
        <w:jc w:val="left"/>
        <w:rPr>
          <w:rFonts w:eastAsiaTheme="minorHAnsi" w:cs="Arial"/>
          <w:b/>
          <w:sz w:val="24"/>
          <w:lang w:eastAsia="en-US"/>
        </w:rPr>
      </w:pPr>
    </w:p>
    <w:p w:rsidR="00615853" w:rsidRPr="00250200" w:rsidRDefault="00615853" w:rsidP="00615853">
      <w:pPr>
        <w:numPr>
          <w:ilvl w:val="0"/>
          <w:numId w:val="5"/>
        </w:numPr>
        <w:spacing w:line="240" w:lineRule="auto"/>
        <w:jc w:val="left"/>
        <w:rPr>
          <w:rFonts w:eastAsiaTheme="minorHAnsi" w:cs="Arial"/>
          <w:b/>
          <w:sz w:val="24"/>
          <w:u w:val="single"/>
          <w:lang w:eastAsia="en-US"/>
        </w:rPr>
      </w:pPr>
      <w:r w:rsidRPr="00250200">
        <w:rPr>
          <w:rFonts w:eastAsiaTheme="minorHAnsi" w:cs="Arial"/>
          <w:b/>
          <w:sz w:val="24"/>
          <w:u w:val="single"/>
          <w:lang w:eastAsia="en-US"/>
        </w:rPr>
        <w:t>Health and Safety Implications</w:t>
      </w:r>
    </w:p>
    <w:p w:rsidR="00615853" w:rsidRPr="00250200" w:rsidRDefault="00615853" w:rsidP="00615853">
      <w:pPr>
        <w:spacing w:line="240" w:lineRule="auto"/>
        <w:ind w:left="720"/>
        <w:jc w:val="left"/>
        <w:rPr>
          <w:rFonts w:eastAsiaTheme="minorHAnsi" w:cs="Arial"/>
          <w:b/>
          <w:u w:val="single"/>
          <w:lang w:eastAsia="en-US"/>
        </w:rPr>
      </w:pPr>
    </w:p>
    <w:p w:rsidR="00615853" w:rsidRPr="00250200" w:rsidRDefault="00DB3D47" w:rsidP="00DB3D47">
      <w:pPr>
        <w:spacing w:line="240" w:lineRule="auto"/>
        <w:jc w:val="left"/>
        <w:rPr>
          <w:rFonts w:eastAsiaTheme="minorHAnsi" w:cs="Arial"/>
          <w:sz w:val="24"/>
          <w:lang w:eastAsia="en-US"/>
        </w:rPr>
      </w:pPr>
      <w:r>
        <w:rPr>
          <w:rFonts w:eastAsiaTheme="minorHAnsi" w:cs="Arial"/>
          <w:sz w:val="24"/>
          <w:lang w:eastAsia="en-US"/>
        </w:rPr>
        <w:t>11.1</w:t>
      </w:r>
      <w:r>
        <w:rPr>
          <w:rFonts w:eastAsiaTheme="minorHAnsi" w:cs="Arial"/>
          <w:sz w:val="24"/>
          <w:lang w:eastAsia="en-US"/>
        </w:rPr>
        <w:tab/>
      </w:r>
      <w:r w:rsidR="00615853" w:rsidRPr="00250200">
        <w:rPr>
          <w:rFonts w:eastAsiaTheme="minorHAnsi" w:cs="Arial"/>
          <w:sz w:val="24"/>
          <w:lang w:eastAsia="en-US"/>
        </w:rPr>
        <w:t>N/A</w:t>
      </w:r>
    </w:p>
    <w:p w:rsidR="00615853" w:rsidRPr="00250200" w:rsidRDefault="00615853" w:rsidP="00615853">
      <w:pPr>
        <w:spacing w:line="240" w:lineRule="auto"/>
        <w:ind w:left="709"/>
        <w:jc w:val="left"/>
        <w:rPr>
          <w:rFonts w:eastAsiaTheme="minorHAnsi" w:cs="Arial"/>
          <w:b/>
          <w:sz w:val="24"/>
          <w:lang w:eastAsia="en-US"/>
        </w:rPr>
      </w:pPr>
    </w:p>
    <w:p w:rsidR="00615853" w:rsidRPr="00250200" w:rsidRDefault="00615853" w:rsidP="00615853">
      <w:pPr>
        <w:numPr>
          <w:ilvl w:val="0"/>
          <w:numId w:val="5"/>
        </w:numPr>
        <w:spacing w:line="240" w:lineRule="auto"/>
        <w:jc w:val="left"/>
        <w:rPr>
          <w:rFonts w:eastAsiaTheme="minorHAnsi" w:cs="Arial"/>
          <w:b/>
          <w:sz w:val="24"/>
          <w:u w:val="single"/>
          <w:lang w:eastAsia="en-US"/>
        </w:rPr>
      </w:pPr>
      <w:r w:rsidRPr="00250200">
        <w:rPr>
          <w:rFonts w:eastAsiaTheme="minorHAnsi" w:cs="Arial"/>
          <w:b/>
          <w:sz w:val="24"/>
          <w:u w:val="single"/>
          <w:lang w:eastAsia="en-US"/>
        </w:rPr>
        <w:t>Consultation/Engagement</w:t>
      </w:r>
    </w:p>
    <w:p w:rsidR="00615853" w:rsidRPr="00250200" w:rsidRDefault="00DB3D47" w:rsidP="00DB3D47">
      <w:pPr>
        <w:spacing w:line="240" w:lineRule="auto"/>
        <w:jc w:val="left"/>
        <w:rPr>
          <w:rFonts w:eastAsiaTheme="minorHAnsi" w:cs="Arial"/>
          <w:sz w:val="24"/>
          <w:lang w:eastAsia="en-US"/>
        </w:rPr>
      </w:pPr>
      <w:r>
        <w:rPr>
          <w:rFonts w:eastAsiaTheme="minorHAnsi" w:cs="Arial"/>
          <w:b/>
          <w:u w:val="single"/>
          <w:lang w:eastAsia="en-US"/>
        </w:rPr>
        <w:br/>
      </w:r>
      <w:r>
        <w:rPr>
          <w:rFonts w:eastAsiaTheme="minorHAnsi" w:cs="Arial"/>
          <w:sz w:val="24"/>
          <w:lang w:eastAsia="en-US"/>
        </w:rPr>
        <w:t>12.1</w:t>
      </w:r>
      <w:r>
        <w:rPr>
          <w:rFonts w:eastAsiaTheme="minorHAnsi" w:cs="Arial"/>
          <w:sz w:val="24"/>
          <w:lang w:eastAsia="en-US"/>
        </w:rPr>
        <w:tab/>
      </w:r>
      <w:r>
        <w:rPr>
          <w:rFonts w:cs="Arial"/>
          <w:sz w:val="24"/>
        </w:rPr>
        <w:t xml:space="preserve">The paper has been prepared in consultation with Arlingclose, the OPFCC’s treasury </w:t>
      </w:r>
      <w:r>
        <w:rPr>
          <w:rFonts w:cs="Arial"/>
          <w:sz w:val="24"/>
        </w:rPr>
        <w:tab/>
      </w:r>
      <w:r>
        <w:rPr>
          <w:rFonts w:cs="Arial"/>
          <w:sz w:val="24"/>
        </w:rPr>
        <w:tab/>
        <w:t>management advisers.</w:t>
      </w:r>
      <w:r>
        <w:rPr>
          <w:rFonts w:eastAsiaTheme="minorHAnsi" w:cs="Arial"/>
          <w:sz w:val="24"/>
          <w:lang w:eastAsia="en-US"/>
        </w:rPr>
        <w:tab/>
      </w:r>
      <w:r>
        <w:rPr>
          <w:rFonts w:eastAsiaTheme="minorHAnsi" w:cs="Arial"/>
          <w:sz w:val="24"/>
          <w:lang w:eastAsia="en-US"/>
        </w:rPr>
        <w:br/>
      </w:r>
    </w:p>
    <w:p w:rsidR="00615853" w:rsidRPr="00250200" w:rsidRDefault="00615853" w:rsidP="00615853">
      <w:pPr>
        <w:numPr>
          <w:ilvl w:val="0"/>
          <w:numId w:val="5"/>
        </w:numPr>
        <w:spacing w:line="240" w:lineRule="auto"/>
        <w:jc w:val="left"/>
        <w:rPr>
          <w:rFonts w:eastAsiaTheme="minorHAnsi" w:cs="Arial"/>
          <w:b/>
          <w:sz w:val="24"/>
          <w:u w:val="single"/>
          <w:lang w:eastAsia="en-US"/>
        </w:rPr>
      </w:pPr>
      <w:r w:rsidRPr="00250200">
        <w:rPr>
          <w:rFonts w:eastAsiaTheme="minorHAnsi" w:cs="Arial"/>
          <w:b/>
          <w:sz w:val="24"/>
          <w:u w:val="single"/>
          <w:lang w:eastAsia="en-US"/>
        </w:rPr>
        <w:t>Actions for Improvement</w:t>
      </w:r>
    </w:p>
    <w:p w:rsidR="00615853" w:rsidRPr="00250200" w:rsidRDefault="00615853" w:rsidP="00615853">
      <w:pPr>
        <w:spacing w:line="240" w:lineRule="auto"/>
        <w:ind w:left="720"/>
        <w:jc w:val="left"/>
        <w:rPr>
          <w:rFonts w:eastAsiaTheme="minorHAnsi" w:cs="Arial"/>
          <w:sz w:val="24"/>
          <w:lang w:eastAsia="en-US"/>
        </w:rPr>
      </w:pPr>
    </w:p>
    <w:p w:rsidR="00615853" w:rsidRPr="00250200" w:rsidRDefault="00DB3D47" w:rsidP="00DB3D47">
      <w:pPr>
        <w:spacing w:line="240" w:lineRule="auto"/>
        <w:jc w:val="left"/>
        <w:rPr>
          <w:rFonts w:eastAsiaTheme="minorHAnsi" w:cs="Arial"/>
          <w:sz w:val="24"/>
          <w:lang w:eastAsia="en-US"/>
        </w:rPr>
      </w:pPr>
      <w:r>
        <w:rPr>
          <w:rFonts w:cs="Arial"/>
          <w:sz w:val="24"/>
        </w:rPr>
        <w:t>13.1</w:t>
      </w:r>
      <w:r>
        <w:rPr>
          <w:rFonts w:cs="Arial"/>
          <w:sz w:val="24"/>
        </w:rPr>
        <w:tab/>
        <w:t>These are fully considered within the main body of this report.</w:t>
      </w:r>
    </w:p>
    <w:p w:rsidR="00615853" w:rsidRPr="00250200" w:rsidRDefault="00615853" w:rsidP="00615853">
      <w:pPr>
        <w:spacing w:line="240" w:lineRule="auto"/>
        <w:ind w:left="720"/>
        <w:jc w:val="left"/>
        <w:rPr>
          <w:rFonts w:eastAsiaTheme="minorHAnsi" w:cs="Arial"/>
          <w:sz w:val="24"/>
          <w:lang w:eastAsia="en-US"/>
        </w:rPr>
      </w:pPr>
    </w:p>
    <w:p w:rsidR="00615853" w:rsidRPr="00250200" w:rsidRDefault="00615853" w:rsidP="00615853">
      <w:pPr>
        <w:spacing w:line="240" w:lineRule="auto"/>
        <w:ind w:left="720"/>
        <w:jc w:val="left"/>
        <w:rPr>
          <w:rFonts w:eastAsiaTheme="minorHAnsi" w:cs="Arial"/>
          <w:sz w:val="24"/>
          <w:lang w:eastAsia="en-US"/>
        </w:rPr>
      </w:pPr>
    </w:p>
    <w:p w:rsidR="00615853" w:rsidRPr="00250200" w:rsidRDefault="00615853" w:rsidP="00615853">
      <w:pPr>
        <w:spacing w:line="240" w:lineRule="auto"/>
        <w:ind w:left="720"/>
        <w:jc w:val="left"/>
        <w:rPr>
          <w:rFonts w:eastAsiaTheme="minorHAnsi" w:cs="Arial"/>
          <w:sz w:val="24"/>
          <w:lang w:eastAsia="en-US"/>
        </w:rPr>
      </w:pPr>
    </w:p>
    <w:p w:rsidR="00615853" w:rsidRPr="00250200" w:rsidRDefault="00615853" w:rsidP="00615853">
      <w:pPr>
        <w:spacing w:line="240" w:lineRule="auto"/>
        <w:ind w:left="720"/>
        <w:jc w:val="left"/>
        <w:rPr>
          <w:rFonts w:eastAsiaTheme="minorHAnsi" w:cs="Arial"/>
          <w:sz w:val="24"/>
          <w:lang w:eastAsia="en-US"/>
        </w:rPr>
      </w:pPr>
    </w:p>
    <w:p w:rsidR="00615853" w:rsidRPr="00250200" w:rsidRDefault="00615853" w:rsidP="00615853">
      <w:pPr>
        <w:spacing w:line="240" w:lineRule="auto"/>
        <w:ind w:left="720"/>
        <w:jc w:val="left"/>
        <w:rPr>
          <w:rFonts w:eastAsiaTheme="minorHAnsi" w:cs="Arial"/>
          <w:sz w:val="24"/>
          <w:lang w:eastAsia="en-US"/>
        </w:rPr>
      </w:pPr>
    </w:p>
    <w:p w:rsidR="00615853" w:rsidRPr="00250200" w:rsidRDefault="00615853" w:rsidP="00615853">
      <w:pPr>
        <w:numPr>
          <w:ilvl w:val="0"/>
          <w:numId w:val="5"/>
        </w:numPr>
        <w:spacing w:line="240" w:lineRule="auto"/>
        <w:jc w:val="left"/>
        <w:rPr>
          <w:rFonts w:eastAsiaTheme="minorHAnsi" w:cs="Arial"/>
          <w:b/>
          <w:sz w:val="24"/>
          <w:u w:val="single"/>
          <w:lang w:eastAsia="en-US"/>
        </w:rPr>
      </w:pPr>
      <w:r w:rsidRPr="00250200">
        <w:rPr>
          <w:rFonts w:eastAsiaTheme="minorHAnsi" w:cs="Arial"/>
          <w:b/>
          <w:sz w:val="24"/>
          <w:u w:val="single"/>
          <w:lang w:eastAsia="en-US"/>
        </w:rPr>
        <w:t>Future Work/Development and Expected Outcome</w:t>
      </w:r>
    </w:p>
    <w:p w:rsidR="00615853" w:rsidRPr="00250200" w:rsidRDefault="00615853" w:rsidP="00615853">
      <w:pPr>
        <w:spacing w:line="240" w:lineRule="auto"/>
        <w:ind w:left="720"/>
        <w:jc w:val="left"/>
        <w:rPr>
          <w:rFonts w:eastAsiaTheme="minorHAnsi" w:cs="Arial"/>
          <w:b/>
          <w:sz w:val="24"/>
          <w:u w:val="single"/>
          <w:lang w:eastAsia="en-US"/>
        </w:rPr>
      </w:pPr>
    </w:p>
    <w:p w:rsidR="00615853" w:rsidRPr="00DB3D47" w:rsidRDefault="00DB3D47" w:rsidP="00B43F48">
      <w:pPr>
        <w:numPr>
          <w:ilvl w:val="1"/>
          <w:numId w:val="5"/>
        </w:numPr>
        <w:spacing w:line="240" w:lineRule="auto"/>
        <w:ind w:left="709"/>
        <w:jc w:val="left"/>
        <w:rPr>
          <w:rFonts w:eastAsiaTheme="minorHAnsi" w:cs="Arial"/>
          <w:sz w:val="24"/>
          <w:lang w:eastAsia="en-US"/>
        </w:rPr>
      </w:pPr>
      <w:r>
        <w:rPr>
          <w:rFonts w:cs="Arial"/>
          <w:sz w:val="24"/>
        </w:rPr>
        <w:t>The performance against the 2019/20</w:t>
      </w:r>
      <w:r w:rsidRPr="00DB3D47">
        <w:rPr>
          <w:rFonts w:cs="Arial"/>
          <w:sz w:val="24"/>
        </w:rPr>
        <w:t xml:space="preserve"> Treasury Manage</w:t>
      </w:r>
      <w:r>
        <w:rPr>
          <w:rFonts w:cs="Arial"/>
          <w:sz w:val="24"/>
        </w:rPr>
        <w:t>ment Strategy will be reviewed as the year progresses with a half y</w:t>
      </w:r>
      <w:r w:rsidRPr="00DB3D47">
        <w:rPr>
          <w:rFonts w:cs="Arial"/>
          <w:sz w:val="24"/>
        </w:rPr>
        <w:t xml:space="preserve">ear </w:t>
      </w:r>
      <w:r>
        <w:rPr>
          <w:rFonts w:cs="Arial"/>
          <w:sz w:val="24"/>
        </w:rPr>
        <w:t>o</w:t>
      </w:r>
      <w:r w:rsidRPr="00DB3D47">
        <w:rPr>
          <w:rFonts w:cs="Arial"/>
          <w:sz w:val="24"/>
        </w:rPr>
        <w:t>utturn repo</w:t>
      </w:r>
      <w:r>
        <w:rPr>
          <w:rFonts w:cs="Arial"/>
          <w:sz w:val="24"/>
        </w:rPr>
        <w:t xml:space="preserve">rt produced. The impact of any </w:t>
      </w:r>
      <w:r w:rsidRPr="00DB3D47">
        <w:rPr>
          <w:rFonts w:cs="Arial"/>
          <w:sz w:val="24"/>
        </w:rPr>
        <w:t>material issues, whether related to the internal or external context,</w:t>
      </w:r>
      <w:r>
        <w:rPr>
          <w:rFonts w:cs="Arial"/>
          <w:sz w:val="24"/>
        </w:rPr>
        <w:t xml:space="preserve"> will be considered for </w:t>
      </w:r>
      <w:r w:rsidRPr="00DB3D47">
        <w:rPr>
          <w:rFonts w:cs="Arial"/>
          <w:sz w:val="24"/>
        </w:rPr>
        <w:t>inclusion and/or amendment with</w:t>
      </w:r>
      <w:r>
        <w:rPr>
          <w:rFonts w:cs="Arial"/>
          <w:sz w:val="24"/>
        </w:rPr>
        <w:t>in the 2020/21</w:t>
      </w:r>
      <w:r w:rsidRPr="00DB3D47">
        <w:rPr>
          <w:rFonts w:cs="Arial"/>
          <w:sz w:val="24"/>
        </w:rPr>
        <w:t xml:space="preserve"> Treasury Management Strategy.</w:t>
      </w:r>
      <w:r w:rsidR="00615853" w:rsidRPr="00DB3D47">
        <w:rPr>
          <w:rFonts w:eastAsiaTheme="minorHAnsi" w:cs="Arial"/>
          <w:sz w:val="24"/>
          <w:lang w:eastAsia="en-US"/>
        </w:rPr>
        <w:t xml:space="preserve"> </w:t>
      </w:r>
    </w:p>
    <w:p w:rsidR="00615853" w:rsidRPr="00250200" w:rsidRDefault="00615853" w:rsidP="00615853">
      <w:pPr>
        <w:spacing w:line="240" w:lineRule="auto"/>
        <w:ind w:left="720"/>
        <w:jc w:val="left"/>
        <w:rPr>
          <w:rFonts w:eastAsiaTheme="minorHAnsi" w:cs="Arial"/>
          <w:sz w:val="24"/>
          <w:lang w:eastAsia="en-US"/>
        </w:rPr>
      </w:pPr>
    </w:p>
    <w:p w:rsidR="00615853" w:rsidRPr="00250200" w:rsidRDefault="00615853" w:rsidP="00615853">
      <w:pPr>
        <w:numPr>
          <w:ilvl w:val="0"/>
          <w:numId w:val="5"/>
        </w:numPr>
        <w:spacing w:line="240" w:lineRule="auto"/>
        <w:jc w:val="left"/>
        <w:rPr>
          <w:rFonts w:eastAsiaTheme="minorHAnsi" w:cs="Arial"/>
          <w:b/>
          <w:sz w:val="24"/>
          <w:u w:val="single"/>
          <w:lang w:eastAsia="en-US"/>
        </w:rPr>
      </w:pPr>
      <w:r w:rsidRPr="00250200">
        <w:rPr>
          <w:rFonts w:eastAsiaTheme="minorHAnsi" w:cs="Arial"/>
          <w:b/>
          <w:sz w:val="24"/>
          <w:u w:val="single"/>
          <w:lang w:eastAsia="en-US"/>
        </w:rPr>
        <w:lastRenderedPageBreak/>
        <w:t>Decisions Required by the Police, Fire and Crime Commissioner</w:t>
      </w:r>
    </w:p>
    <w:p w:rsidR="00615853" w:rsidRPr="00250200" w:rsidRDefault="00615853" w:rsidP="00615853">
      <w:pPr>
        <w:spacing w:line="240" w:lineRule="auto"/>
        <w:ind w:left="720"/>
        <w:jc w:val="left"/>
        <w:rPr>
          <w:rFonts w:eastAsiaTheme="minorHAnsi" w:cs="Arial"/>
          <w:b/>
          <w:sz w:val="24"/>
          <w:u w:val="single"/>
          <w:lang w:eastAsia="en-US"/>
        </w:rPr>
      </w:pPr>
    </w:p>
    <w:p w:rsidR="00C53486" w:rsidRDefault="00DB3D47" w:rsidP="000714CD">
      <w:pPr>
        <w:outlineLvl w:val="0"/>
        <w:rPr>
          <w:rFonts w:ascii="Tahoma" w:hAnsi="Tahoma" w:cs="Tahoma"/>
          <w:b/>
        </w:rPr>
        <w:sectPr w:rsidR="00C53486" w:rsidSect="009E6C5A">
          <w:headerReference w:type="default" r:id="rId8"/>
          <w:footerReference w:type="default" r:id="rId9"/>
          <w:pgSz w:w="11906" w:h="16838"/>
          <w:pgMar w:top="1135" w:right="707" w:bottom="1440" w:left="851" w:header="708" w:footer="708" w:gutter="0"/>
          <w:cols w:space="708"/>
          <w:docGrid w:linePitch="360"/>
        </w:sectPr>
      </w:pPr>
      <w:r>
        <w:rPr>
          <w:rFonts w:eastAsiaTheme="minorHAnsi" w:cs="Arial"/>
          <w:sz w:val="24"/>
          <w:lang w:eastAsia="en-US"/>
        </w:rPr>
        <w:t>15.1</w:t>
      </w:r>
      <w:r>
        <w:rPr>
          <w:rFonts w:eastAsiaTheme="minorHAnsi" w:cs="Arial"/>
          <w:sz w:val="24"/>
          <w:lang w:eastAsia="en-US"/>
        </w:rPr>
        <w:tab/>
      </w:r>
      <w:r>
        <w:rPr>
          <w:rFonts w:cs="Arial"/>
          <w:sz w:val="24"/>
        </w:rPr>
        <w:t>Please see recommendations section.</w:t>
      </w:r>
    </w:p>
    <w:bookmarkEnd w:id="0"/>
    <w:bookmarkEnd w:id="1"/>
    <w:bookmarkEnd w:id="2"/>
    <w:bookmarkEnd w:id="3"/>
    <w:bookmarkEnd w:id="4"/>
    <w:bookmarkEnd w:id="5"/>
    <w:bookmarkEnd w:id="6"/>
    <w:bookmarkEnd w:id="7"/>
    <w:bookmarkEnd w:id="8"/>
    <w:p w:rsidR="00856EDE" w:rsidRDefault="00856EDE" w:rsidP="00C23FA5">
      <w:pPr>
        <w:ind w:right="-643"/>
        <w:jc w:val="left"/>
      </w:pPr>
    </w:p>
    <w:p w:rsidR="00BE0F80" w:rsidRPr="00BE0F80" w:rsidRDefault="00BE0F80" w:rsidP="00BE0F80">
      <w:pPr>
        <w:widowControl w:val="0"/>
        <w:jc w:val="center"/>
        <w:rPr>
          <w:rFonts w:cs="Arial"/>
          <w:b/>
          <w:sz w:val="24"/>
        </w:rPr>
      </w:pPr>
      <w:r w:rsidRPr="00BE0F80">
        <w:rPr>
          <w:rFonts w:cs="Arial"/>
          <w:b/>
          <w:sz w:val="24"/>
        </w:rPr>
        <w:t xml:space="preserve">Treasury Management </w:t>
      </w:r>
      <w:r>
        <w:rPr>
          <w:rFonts w:cs="Arial"/>
          <w:b/>
          <w:sz w:val="24"/>
        </w:rPr>
        <w:t>Outturn 2018/19</w:t>
      </w:r>
    </w:p>
    <w:p w:rsidR="00BE0F80" w:rsidRPr="00D21961" w:rsidRDefault="00BE0F80" w:rsidP="00BE0F80">
      <w:pPr>
        <w:widowControl w:val="0"/>
        <w:rPr>
          <w:rFonts w:cs="Arial"/>
          <w:sz w:val="24"/>
        </w:rPr>
      </w:pPr>
      <w:r>
        <w:rPr>
          <w:rFonts w:cs="Arial"/>
        </w:rPr>
        <w:br/>
      </w:r>
      <w:r w:rsidRPr="00D21961">
        <w:rPr>
          <w:rFonts w:cs="Arial"/>
          <w:b/>
          <w:sz w:val="24"/>
        </w:rPr>
        <w:t>1.0</w:t>
      </w:r>
      <w:r w:rsidRPr="00D21961">
        <w:rPr>
          <w:rFonts w:cs="Arial"/>
          <w:b/>
          <w:sz w:val="24"/>
        </w:rPr>
        <w:tab/>
      </w:r>
      <w:r w:rsidRPr="00D21961">
        <w:rPr>
          <w:rFonts w:cs="Arial"/>
          <w:b/>
          <w:sz w:val="24"/>
          <w:u w:val="single"/>
        </w:rPr>
        <w:t>Introduction</w:t>
      </w:r>
    </w:p>
    <w:p w:rsidR="00D21961" w:rsidRDefault="00BE0F80" w:rsidP="00D21961">
      <w:pPr>
        <w:widowControl w:val="0"/>
        <w:spacing w:line="240" w:lineRule="auto"/>
        <w:jc w:val="left"/>
        <w:rPr>
          <w:rFonts w:eastAsia="Calibri" w:cs="Arial"/>
          <w:sz w:val="24"/>
          <w:lang w:eastAsia="en-US"/>
        </w:rPr>
      </w:pPr>
      <w:r w:rsidRPr="00BE0F80">
        <w:rPr>
          <w:rFonts w:cs="Arial"/>
          <w:sz w:val="24"/>
        </w:rPr>
        <w:t>1.1</w:t>
      </w:r>
      <w:r w:rsidRPr="00BE0F80">
        <w:rPr>
          <w:rFonts w:cs="Arial"/>
          <w:sz w:val="24"/>
        </w:rPr>
        <w:tab/>
      </w:r>
      <w:r w:rsidR="00D21961">
        <w:rPr>
          <w:rFonts w:eastAsia="Calibri" w:cs="Arial"/>
          <w:sz w:val="24"/>
          <w:lang w:eastAsia="en-US"/>
        </w:rPr>
        <w:t xml:space="preserve">During 2018/19 the OPFCC has adopted the </w:t>
      </w:r>
      <w:r w:rsidR="00D21961" w:rsidRPr="00D21961">
        <w:rPr>
          <w:rFonts w:eastAsia="Calibri" w:cs="Arial"/>
          <w:sz w:val="24"/>
          <w:lang w:eastAsia="en-US"/>
        </w:rPr>
        <w:t xml:space="preserve">Chartered Institute of Public Finance and </w:t>
      </w:r>
      <w:r w:rsidR="00D21961">
        <w:rPr>
          <w:rFonts w:eastAsia="Calibri" w:cs="Arial"/>
          <w:sz w:val="24"/>
          <w:lang w:eastAsia="en-US"/>
        </w:rPr>
        <w:tab/>
      </w:r>
      <w:r w:rsidR="00D21961" w:rsidRPr="00D21961">
        <w:rPr>
          <w:rFonts w:eastAsia="Calibri" w:cs="Arial"/>
          <w:sz w:val="24"/>
          <w:lang w:eastAsia="en-US"/>
        </w:rPr>
        <w:t xml:space="preserve">Accountancy’s </w:t>
      </w:r>
      <w:r w:rsidR="00D21961" w:rsidRPr="00CA3202">
        <w:rPr>
          <w:rFonts w:eastAsia="Calibri" w:cs="Arial"/>
          <w:i/>
          <w:sz w:val="24"/>
          <w:lang w:eastAsia="en-US"/>
        </w:rPr>
        <w:t xml:space="preserve">Treasury Management in the Public Services: Code of Practice 2017 </w:t>
      </w:r>
      <w:r w:rsidR="00D21961" w:rsidRPr="00CA3202">
        <w:rPr>
          <w:rFonts w:eastAsia="Calibri" w:cs="Arial"/>
          <w:i/>
          <w:sz w:val="24"/>
          <w:lang w:eastAsia="en-US"/>
        </w:rPr>
        <w:tab/>
        <w:t>Edition</w:t>
      </w:r>
      <w:r w:rsidR="00D21961" w:rsidRPr="00D21961">
        <w:rPr>
          <w:rFonts w:eastAsia="Calibri" w:cs="Arial"/>
          <w:sz w:val="24"/>
          <w:lang w:eastAsia="en-US"/>
        </w:rPr>
        <w:t xml:space="preserve"> (the CIPFA Code) which requires the </w:t>
      </w:r>
      <w:r w:rsidR="00D21961">
        <w:rPr>
          <w:rFonts w:eastAsia="Calibri" w:cs="Arial"/>
          <w:sz w:val="24"/>
          <w:lang w:eastAsia="en-US"/>
        </w:rPr>
        <w:t xml:space="preserve">PFCC </w:t>
      </w:r>
      <w:r w:rsidR="00D21961" w:rsidRPr="00D21961">
        <w:rPr>
          <w:rFonts w:eastAsia="Calibri" w:cs="Arial"/>
          <w:sz w:val="24"/>
          <w:lang w:eastAsia="en-US"/>
        </w:rPr>
        <w:t xml:space="preserve">to approve a treasury management </w:t>
      </w:r>
      <w:r w:rsidR="00D21961">
        <w:rPr>
          <w:rFonts w:eastAsia="Calibri" w:cs="Arial"/>
          <w:sz w:val="24"/>
          <w:lang w:eastAsia="en-US"/>
        </w:rPr>
        <w:tab/>
      </w:r>
      <w:r w:rsidR="00D21961" w:rsidRPr="00D21961">
        <w:rPr>
          <w:rFonts w:eastAsia="Calibri" w:cs="Arial"/>
          <w:sz w:val="24"/>
          <w:lang w:eastAsia="en-US"/>
        </w:rPr>
        <w:t>strategy before the start of each financial year</w:t>
      </w:r>
      <w:r w:rsidR="00D21961">
        <w:rPr>
          <w:rFonts w:eastAsia="Calibri" w:cs="Arial"/>
          <w:sz w:val="24"/>
          <w:lang w:eastAsia="en-US"/>
        </w:rPr>
        <w:t xml:space="preserve"> as well as an</w:t>
      </w:r>
      <w:r w:rsidR="00D21961" w:rsidRPr="00D21961">
        <w:rPr>
          <w:rFonts w:eastAsia="Calibri" w:cs="Arial"/>
          <w:sz w:val="24"/>
          <w:lang w:eastAsia="en-US"/>
        </w:rPr>
        <w:t xml:space="preserve"> annual treasury </w:t>
      </w:r>
      <w:r w:rsidR="00CA3202">
        <w:rPr>
          <w:rFonts w:eastAsia="Calibri" w:cs="Arial"/>
          <w:sz w:val="24"/>
          <w:lang w:eastAsia="en-US"/>
        </w:rPr>
        <w:tab/>
        <w:t xml:space="preserve">management </w:t>
      </w:r>
      <w:r w:rsidR="00D21961" w:rsidRPr="00D21961">
        <w:rPr>
          <w:rFonts w:eastAsia="Calibri" w:cs="Arial"/>
          <w:sz w:val="24"/>
          <w:lang w:eastAsia="en-US"/>
        </w:rPr>
        <w:t>outturn report. T</w:t>
      </w:r>
      <w:r w:rsidR="00CA3202">
        <w:rPr>
          <w:rFonts w:eastAsia="Calibri" w:cs="Arial"/>
          <w:sz w:val="24"/>
          <w:lang w:eastAsia="en-US"/>
        </w:rPr>
        <w:t>his report fulfils the OPFCC</w:t>
      </w:r>
      <w:r w:rsidR="00D21961" w:rsidRPr="00D21961">
        <w:rPr>
          <w:rFonts w:eastAsia="Calibri" w:cs="Arial"/>
          <w:sz w:val="24"/>
          <w:lang w:eastAsia="en-US"/>
        </w:rPr>
        <w:t xml:space="preserve">’s legal obligation under the </w:t>
      </w:r>
      <w:r w:rsidR="00CA3202">
        <w:rPr>
          <w:rFonts w:eastAsia="Calibri" w:cs="Arial"/>
          <w:sz w:val="24"/>
          <w:lang w:eastAsia="en-US"/>
        </w:rPr>
        <w:tab/>
      </w:r>
      <w:r w:rsidR="00D21961" w:rsidRPr="00D21961">
        <w:rPr>
          <w:rFonts w:eastAsia="Calibri" w:cs="Arial"/>
          <w:sz w:val="24"/>
          <w:lang w:eastAsia="en-US"/>
        </w:rPr>
        <w:t>Local Government Act 2003 to have regard</w:t>
      </w:r>
      <w:r w:rsidR="00D21961">
        <w:rPr>
          <w:rFonts w:eastAsia="Calibri" w:cs="Arial"/>
          <w:sz w:val="24"/>
          <w:lang w:eastAsia="en-US"/>
        </w:rPr>
        <w:t xml:space="preserve"> </w:t>
      </w:r>
      <w:r w:rsidR="00D21961" w:rsidRPr="00D21961">
        <w:rPr>
          <w:rFonts w:eastAsia="Calibri" w:cs="Arial"/>
          <w:sz w:val="24"/>
          <w:lang w:eastAsia="en-US"/>
        </w:rPr>
        <w:t>to the CIPFA Code.</w:t>
      </w:r>
    </w:p>
    <w:p w:rsidR="00BE0F80" w:rsidRPr="007D3E9B" w:rsidRDefault="00D21961" w:rsidP="00FC7B7F">
      <w:pPr>
        <w:widowControl w:val="0"/>
        <w:spacing w:line="240" w:lineRule="auto"/>
        <w:jc w:val="left"/>
        <w:rPr>
          <w:rFonts w:cs="Arial"/>
        </w:rPr>
      </w:pPr>
      <w:r>
        <w:rPr>
          <w:rFonts w:eastAsia="Calibri" w:cs="Arial"/>
          <w:sz w:val="24"/>
          <w:lang w:eastAsia="en-US"/>
        </w:rPr>
        <w:br/>
      </w:r>
      <w:r w:rsidR="00BE0F80">
        <w:rPr>
          <w:rFonts w:cs="Arial"/>
          <w:sz w:val="24"/>
        </w:rPr>
        <w:t>1.2</w:t>
      </w:r>
      <w:r w:rsidR="00BE0F80">
        <w:rPr>
          <w:rFonts w:cs="Arial"/>
          <w:sz w:val="24"/>
        </w:rPr>
        <w:tab/>
      </w:r>
      <w:r>
        <w:rPr>
          <w:rFonts w:cs="Arial"/>
          <w:sz w:val="24"/>
        </w:rPr>
        <w:t xml:space="preserve">The OPFCC’s treasury management strategy for 2018/19 was formally approved on the </w:t>
      </w:r>
      <w:r>
        <w:rPr>
          <w:rFonts w:cs="Arial"/>
          <w:sz w:val="24"/>
        </w:rPr>
        <w:tab/>
        <w:t>17</w:t>
      </w:r>
      <w:r w:rsidRPr="00D21961">
        <w:rPr>
          <w:rFonts w:cs="Arial"/>
          <w:sz w:val="24"/>
          <w:vertAlign w:val="superscript"/>
        </w:rPr>
        <w:t>th</w:t>
      </w:r>
      <w:r>
        <w:rPr>
          <w:rFonts w:cs="Arial"/>
          <w:sz w:val="24"/>
        </w:rPr>
        <w:t xml:space="preserve"> April 2018, having originally been presented at the Performance and Resources </w:t>
      </w:r>
      <w:r>
        <w:rPr>
          <w:rFonts w:cs="Arial"/>
          <w:sz w:val="24"/>
        </w:rPr>
        <w:tab/>
        <w:t>Board on the 2</w:t>
      </w:r>
      <w:r w:rsidRPr="00D21961">
        <w:rPr>
          <w:rFonts w:cs="Arial"/>
          <w:sz w:val="24"/>
          <w:vertAlign w:val="superscript"/>
        </w:rPr>
        <w:t>nd</w:t>
      </w:r>
      <w:r>
        <w:rPr>
          <w:rFonts w:cs="Arial"/>
          <w:sz w:val="24"/>
        </w:rPr>
        <w:t xml:space="preserve"> February 2018.</w:t>
      </w:r>
      <w:r w:rsidR="00BE0F80">
        <w:rPr>
          <w:rFonts w:cs="Arial"/>
          <w:sz w:val="24"/>
        </w:rPr>
        <w:br/>
      </w:r>
      <w:r w:rsidR="00FC7B7F">
        <w:rPr>
          <w:rFonts w:cs="Arial"/>
        </w:rPr>
        <w:br/>
      </w:r>
    </w:p>
    <w:p w:rsidR="00FC7B7F" w:rsidRDefault="00BE0F80" w:rsidP="00FC7B7F">
      <w:pPr>
        <w:widowControl w:val="0"/>
        <w:rPr>
          <w:rFonts w:cs="Arial"/>
          <w:b/>
          <w:sz w:val="24"/>
          <w:u w:val="single"/>
        </w:rPr>
      </w:pPr>
      <w:r>
        <w:rPr>
          <w:rFonts w:cs="Arial"/>
          <w:b/>
          <w:sz w:val="24"/>
        </w:rPr>
        <w:t>2.0</w:t>
      </w:r>
      <w:r>
        <w:rPr>
          <w:rFonts w:cs="Arial"/>
          <w:b/>
          <w:sz w:val="24"/>
        </w:rPr>
        <w:tab/>
      </w:r>
      <w:r>
        <w:rPr>
          <w:rFonts w:cs="Arial"/>
          <w:b/>
          <w:sz w:val="24"/>
          <w:u w:val="single"/>
        </w:rPr>
        <w:t>External Context</w:t>
      </w:r>
    </w:p>
    <w:p w:rsidR="00BE0F80" w:rsidRPr="00FC7B7F" w:rsidRDefault="00FC7B7F" w:rsidP="00FC7B7F">
      <w:pPr>
        <w:widowControl w:val="0"/>
        <w:tabs>
          <w:tab w:val="left" w:pos="720"/>
        </w:tabs>
        <w:suppressAutoHyphens/>
        <w:spacing w:line="240" w:lineRule="auto"/>
        <w:jc w:val="left"/>
        <w:outlineLvl w:val="0"/>
        <w:rPr>
          <w:rFonts w:cs="Arial"/>
          <w:sz w:val="24"/>
        </w:rPr>
      </w:pPr>
      <w:r w:rsidRPr="00FC7B7F">
        <w:rPr>
          <w:rFonts w:cs="Arial"/>
          <w:sz w:val="24"/>
        </w:rPr>
        <w:t>2.1</w:t>
      </w:r>
      <w:r w:rsidRPr="00FC7B7F">
        <w:rPr>
          <w:rFonts w:cs="Arial"/>
          <w:sz w:val="24"/>
        </w:rPr>
        <w:tab/>
      </w:r>
      <w:r w:rsidRPr="00FC7B7F">
        <w:rPr>
          <w:rFonts w:cs="Arial"/>
          <w:b/>
          <w:sz w:val="24"/>
        </w:rPr>
        <w:t>Economic background:</w:t>
      </w:r>
      <w:r w:rsidRPr="00FC7B7F">
        <w:rPr>
          <w:rFonts w:cs="Arial"/>
          <w:sz w:val="24"/>
        </w:rPr>
        <w:t xml:space="preserve"> </w:t>
      </w:r>
      <w:r w:rsidR="0006659F">
        <w:rPr>
          <w:rFonts w:cs="Arial"/>
          <w:sz w:val="24"/>
        </w:rPr>
        <w:t>O</w:t>
      </w:r>
      <w:r w:rsidRPr="00FC7B7F">
        <w:rPr>
          <w:rFonts w:cs="Arial"/>
          <w:sz w:val="24"/>
        </w:rPr>
        <w:t xml:space="preserve">il prices fell back sharply by the end of the year, declining to </w:t>
      </w:r>
      <w:r w:rsidR="0006659F">
        <w:rPr>
          <w:rFonts w:cs="Arial"/>
          <w:sz w:val="24"/>
        </w:rPr>
        <w:tab/>
      </w:r>
      <w:r w:rsidRPr="00FC7B7F">
        <w:rPr>
          <w:rFonts w:cs="Arial"/>
          <w:sz w:val="24"/>
        </w:rPr>
        <w:t xml:space="preserve">just over $50 in late December before steadily climbing toward $70 in April 2019. UK </w:t>
      </w:r>
      <w:r w:rsidR="0006659F">
        <w:rPr>
          <w:rFonts w:cs="Arial"/>
          <w:sz w:val="24"/>
        </w:rPr>
        <w:tab/>
      </w:r>
      <w:r w:rsidRPr="00FC7B7F">
        <w:rPr>
          <w:rFonts w:cs="Arial"/>
          <w:sz w:val="24"/>
        </w:rPr>
        <w:t xml:space="preserve">Consumer Price Inflation (CPI) for </w:t>
      </w:r>
      <w:r w:rsidR="00CA3202">
        <w:rPr>
          <w:rFonts w:cs="Arial"/>
          <w:sz w:val="24"/>
        </w:rPr>
        <w:t xml:space="preserve">February 2019 was up 1.9% year on </w:t>
      </w:r>
      <w:r w:rsidRPr="00FC7B7F">
        <w:rPr>
          <w:rFonts w:cs="Arial"/>
          <w:sz w:val="24"/>
        </w:rPr>
        <w:t xml:space="preserve">year, just above </w:t>
      </w:r>
      <w:r w:rsidR="0006659F">
        <w:rPr>
          <w:rFonts w:cs="Arial"/>
          <w:sz w:val="24"/>
        </w:rPr>
        <w:tab/>
      </w:r>
      <w:r w:rsidRPr="00FC7B7F">
        <w:rPr>
          <w:rFonts w:cs="Arial"/>
          <w:sz w:val="24"/>
        </w:rPr>
        <w:t xml:space="preserve">the consensus forecast but broadly in line with the Bank </w:t>
      </w:r>
      <w:r w:rsidR="0006659F">
        <w:rPr>
          <w:rFonts w:cs="Arial"/>
          <w:sz w:val="24"/>
        </w:rPr>
        <w:t xml:space="preserve">of England’s February Inflation </w:t>
      </w:r>
      <w:r w:rsidR="0006659F">
        <w:rPr>
          <w:rFonts w:cs="Arial"/>
          <w:sz w:val="24"/>
        </w:rPr>
        <w:tab/>
      </w:r>
      <w:r w:rsidRPr="00FC7B7F">
        <w:rPr>
          <w:rFonts w:cs="Arial"/>
          <w:sz w:val="24"/>
        </w:rPr>
        <w:t>R</w:t>
      </w:r>
      <w:r w:rsidR="00CA3202">
        <w:rPr>
          <w:rFonts w:cs="Arial"/>
          <w:sz w:val="24"/>
        </w:rPr>
        <w:t>eport. The labour</w:t>
      </w:r>
      <w:r w:rsidRPr="00FC7B7F">
        <w:rPr>
          <w:rFonts w:cs="Arial"/>
          <w:sz w:val="24"/>
        </w:rPr>
        <w:t xml:space="preserve"> market data for the three months to January 2019 showed </w:t>
      </w:r>
      <w:r w:rsidR="00CA3202">
        <w:rPr>
          <w:rFonts w:cs="Arial"/>
          <w:sz w:val="24"/>
        </w:rPr>
        <w:t xml:space="preserve">that </w:t>
      </w:r>
      <w:r w:rsidRPr="00FC7B7F">
        <w:rPr>
          <w:rFonts w:cs="Arial"/>
          <w:sz w:val="24"/>
        </w:rPr>
        <w:t xml:space="preserve">the </w:t>
      </w:r>
      <w:r w:rsidR="0006659F">
        <w:rPr>
          <w:rFonts w:cs="Arial"/>
          <w:sz w:val="24"/>
        </w:rPr>
        <w:tab/>
      </w:r>
      <w:r w:rsidRPr="00FC7B7F">
        <w:rPr>
          <w:rFonts w:cs="Arial"/>
          <w:sz w:val="24"/>
        </w:rPr>
        <w:t xml:space="preserve">unemployment rate fell to a new low </w:t>
      </w:r>
      <w:r w:rsidR="00CA3202">
        <w:rPr>
          <w:rFonts w:cs="Arial"/>
          <w:sz w:val="24"/>
        </w:rPr>
        <w:t xml:space="preserve">of </w:t>
      </w:r>
      <w:r w:rsidRPr="00FC7B7F">
        <w:rPr>
          <w:rFonts w:cs="Arial"/>
          <w:sz w:val="24"/>
        </w:rPr>
        <w:t xml:space="preserve">3.9% while the employment rate of 76.1% was </w:t>
      </w:r>
      <w:r w:rsidR="0006659F">
        <w:rPr>
          <w:rFonts w:cs="Arial"/>
          <w:sz w:val="24"/>
        </w:rPr>
        <w:tab/>
        <w:t xml:space="preserve">the highest on record. The three </w:t>
      </w:r>
      <w:r w:rsidRPr="00FC7B7F">
        <w:rPr>
          <w:rFonts w:cs="Arial"/>
          <w:sz w:val="24"/>
        </w:rPr>
        <w:t xml:space="preserve">month average annual growth rate for pay excluding </w:t>
      </w:r>
      <w:r w:rsidR="0006659F">
        <w:rPr>
          <w:rFonts w:cs="Arial"/>
          <w:sz w:val="24"/>
        </w:rPr>
        <w:tab/>
      </w:r>
      <w:r w:rsidRPr="00FC7B7F">
        <w:rPr>
          <w:rFonts w:cs="Arial"/>
          <w:sz w:val="24"/>
        </w:rPr>
        <w:t>bonuses was 3.4% as wages continue</w:t>
      </w:r>
      <w:r w:rsidR="00CA3202">
        <w:rPr>
          <w:rFonts w:cs="Arial"/>
          <w:sz w:val="24"/>
        </w:rPr>
        <w:t>d</w:t>
      </w:r>
      <w:r w:rsidRPr="00FC7B7F">
        <w:rPr>
          <w:rFonts w:cs="Arial"/>
          <w:sz w:val="24"/>
        </w:rPr>
        <w:t xml:space="preserve"> to rise s</w:t>
      </w:r>
      <w:r w:rsidR="0006659F">
        <w:rPr>
          <w:rFonts w:cs="Arial"/>
          <w:sz w:val="24"/>
        </w:rPr>
        <w:t xml:space="preserve">teadily and provide some upward </w:t>
      </w:r>
      <w:r w:rsidR="0006659F">
        <w:rPr>
          <w:rFonts w:cs="Arial"/>
          <w:sz w:val="24"/>
        </w:rPr>
        <w:tab/>
      </w:r>
      <w:r w:rsidRPr="00FC7B7F">
        <w:rPr>
          <w:rFonts w:cs="Arial"/>
          <w:sz w:val="24"/>
        </w:rPr>
        <w:t xml:space="preserve">pressure </w:t>
      </w:r>
      <w:r w:rsidR="0006659F">
        <w:rPr>
          <w:rFonts w:cs="Arial"/>
          <w:sz w:val="24"/>
        </w:rPr>
        <w:t xml:space="preserve">on general inflation. </w:t>
      </w:r>
      <w:r w:rsidRPr="00FC7B7F">
        <w:rPr>
          <w:rFonts w:cs="Arial"/>
          <w:sz w:val="24"/>
        </w:rPr>
        <w:t xml:space="preserve">Once adjusted for inflation, </w:t>
      </w:r>
      <w:r w:rsidR="00CA3202">
        <w:rPr>
          <w:rFonts w:cs="Arial"/>
          <w:sz w:val="24"/>
        </w:rPr>
        <w:t xml:space="preserve">the </w:t>
      </w:r>
      <w:r w:rsidRPr="00FC7B7F">
        <w:rPr>
          <w:rFonts w:cs="Arial"/>
          <w:sz w:val="24"/>
        </w:rPr>
        <w:t xml:space="preserve">real </w:t>
      </w:r>
      <w:r w:rsidR="00CA3202">
        <w:rPr>
          <w:rFonts w:cs="Arial"/>
          <w:sz w:val="24"/>
        </w:rPr>
        <w:t xml:space="preserve">wages increase was </w:t>
      </w:r>
      <w:r w:rsidR="0006659F">
        <w:rPr>
          <w:rFonts w:cs="Arial"/>
          <w:sz w:val="24"/>
        </w:rPr>
        <w:tab/>
      </w:r>
      <w:r w:rsidRPr="00FC7B7F">
        <w:rPr>
          <w:rFonts w:cs="Arial"/>
          <w:sz w:val="24"/>
        </w:rPr>
        <w:t>1.4%.</w:t>
      </w:r>
      <w:r>
        <w:rPr>
          <w:rFonts w:cs="Arial"/>
          <w:sz w:val="24"/>
        </w:rPr>
        <w:br/>
      </w:r>
    </w:p>
    <w:p w:rsidR="00BE0F80" w:rsidRDefault="00BE0F80" w:rsidP="00FC7B7F">
      <w:pPr>
        <w:widowControl w:val="0"/>
        <w:tabs>
          <w:tab w:val="left" w:pos="720"/>
        </w:tabs>
        <w:suppressAutoHyphens/>
        <w:spacing w:line="260" w:lineRule="atLeast"/>
        <w:jc w:val="left"/>
        <w:outlineLvl w:val="0"/>
        <w:rPr>
          <w:rFonts w:ascii="Trebuchet MS" w:hAnsi="Trebuchet MS"/>
          <w:sz w:val="20"/>
          <w:szCs w:val="20"/>
        </w:rPr>
      </w:pPr>
      <w:r w:rsidRPr="00FC7B7F">
        <w:rPr>
          <w:rFonts w:cs="Arial"/>
          <w:sz w:val="24"/>
        </w:rPr>
        <w:t>2.2</w:t>
      </w:r>
      <w:r>
        <w:tab/>
      </w:r>
      <w:r w:rsidR="00FC7B7F" w:rsidRPr="00FC7B7F">
        <w:rPr>
          <w:rFonts w:cs="Arial"/>
          <w:sz w:val="24"/>
        </w:rPr>
        <w:t xml:space="preserve">After rising to 0.6% in the third </w:t>
      </w:r>
      <w:r w:rsidR="00CA3202">
        <w:rPr>
          <w:rFonts w:cs="Arial"/>
          <w:sz w:val="24"/>
        </w:rPr>
        <w:t xml:space="preserve">2019 </w:t>
      </w:r>
      <w:r w:rsidR="00FC7B7F" w:rsidRPr="00FC7B7F">
        <w:rPr>
          <w:rFonts w:cs="Arial"/>
          <w:sz w:val="24"/>
        </w:rPr>
        <w:t xml:space="preserve">calendar quarter </w:t>
      </w:r>
      <w:r w:rsidR="00CA3202">
        <w:rPr>
          <w:rFonts w:cs="Arial"/>
          <w:sz w:val="24"/>
        </w:rPr>
        <w:t>(</w:t>
      </w:r>
      <w:r w:rsidR="00FC7B7F" w:rsidRPr="00FC7B7F">
        <w:rPr>
          <w:rFonts w:cs="Arial"/>
          <w:sz w:val="24"/>
        </w:rPr>
        <w:t>from 0.4% in the second</w:t>
      </w:r>
      <w:r w:rsidR="00CA3202">
        <w:rPr>
          <w:rFonts w:cs="Arial"/>
          <w:sz w:val="24"/>
        </w:rPr>
        <w:t xml:space="preserve"> quarter)</w:t>
      </w:r>
      <w:r w:rsidR="00FC7B7F" w:rsidRPr="00FC7B7F">
        <w:rPr>
          <w:rFonts w:cs="Arial"/>
          <w:sz w:val="24"/>
        </w:rPr>
        <w:t xml:space="preserve">, </w:t>
      </w:r>
      <w:r w:rsidR="00CA3202">
        <w:rPr>
          <w:rFonts w:cs="Arial"/>
          <w:sz w:val="24"/>
        </w:rPr>
        <w:tab/>
        <w:t xml:space="preserve">the </w:t>
      </w:r>
      <w:r w:rsidR="00FC7B7F" w:rsidRPr="00FC7B7F">
        <w:rPr>
          <w:rFonts w:cs="Arial"/>
          <w:sz w:val="24"/>
        </w:rPr>
        <w:t xml:space="preserve">fourth quarter economic growth slowed to 0.2% as weaker expansion in production, </w:t>
      </w:r>
      <w:r w:rsidR="00CA3202">
        <w:rPr>
          <w:rFonts w:cs="Arial"/>
          <w:sz w:val="24"/>
        </w:rPr>
        <w:tab/>
      </w:r>
      <w:r w:rsidR="00FC7B7F" w:rsidRPr="00FC7B7F">
        <w:rPr>
          <w:rFonts w:cs="Arial"/>
          <w:sz w:val="24"/>
        </w:rPr>
        <w:t>construction and service</w:t>
      </w:r>
      <w:r w:rsidR="00CA3202">
        <w:rPr>
          <w:rFonts w:cs="Arial"/>
          <w:sz w:val="24"/>
        </w:rPr>
        <w:t xml:space="preserve">s dragged on overall activity. </w:t>
      </w:r>
      <w:r w:rsidR="00FC7B7F" w:rsidRPr="00FC7B7F">
        <w:rPr>
          <w:rFonts w:cs="Arial"/>
          <w:sz w:val="24"/>
        </w:rPr>
        <w:t xml:space="preserve">Annual GDP growth at 1.4% </w:t>
      </w:r>
      <w:r w:rsidR="00CA3202">
        <w:rPr>
          <w:rFonts w:cs="Arial"/>
          <w:sz w:val="24"/>
        </w:rPr>
        <w:tab/>
      </w:r>
      <w:r w:rsidR="00FC7B7F" w:rsidRPr="00FC7B7F">
        <w:rPr>
          <w:rFonts w:cs="Arial"/>
          <w:sz w:val="24"/>
        </w:rPr>
        <w:t xml:space="preserve">continues to remain below trend. Following the Bank of England’s decision to increase </w:t>
      </w:r>
      <w:r w:rsidR="00CA3202">
        <w:rPr>
          <w:rFonts w:cs="Arial"/>
          <w:sz w:val="24"/>
        </w:rPr>
        <w:tab/>
        <w:t xml:space="preserve">the </w:t>
      </w:r>
      <w:r w:rsidR="0006659F">
        <w:rPr>
          <w:rFonts w:cs="Arial"/>
          <w:sz w:val="24"/>
        </w:rPr>
        <w:t>bank r</w:t>
      </w:r>
      <w:r w:rsidR="00FC7B7F" w:rsidRPr="00FC7B7F">
        <w:rPr>
          <w:rFonts w:cs="Arial"/>
          <w:sz w:val="24"/>
        </w:rPr>
        <w:t>ate to 0.75% in August</w:t>
      </w:r>
      <w:r w:rsidR="001F76FD">
        <w:rPr>
          <w:rFonts w:cs="Arial"/>
          <w:sz w:val="24"/>
        </w:rPr>
        <w:t xml:space="preserve"> 2018</w:t>
      </w:r>
      <w:r w:rsidR="00FC7B7F" w:rsidRPr="00FC7B7F">
        <w:rPr>
          <w:rFonts w:cs="Arial"/>
          <w:sz w:val="24"/>
        </w:rPr>
        <w:t xml:space="preserve">, no changes to monetary policy have been made </w:t>
      </w:r>
      <w:r w:rsidR="00CA3202">
        <w:rPr>
          <w:rFonts w:cs="Arial"/>
          <w:sz w:val="24"/>
        </w:rPr>
        <w:tab/>
      </w:r>
      <w:r w:rsidR="00FC7B7F" w:rsidRPr="00FC7B7F">
        <w:rPr>
          <w:rFonts w:cs="Arial"/>
          <w:sz w:val="24"/>
        </w:rPr>
        <w:t>since.</w:t>
      </w:r>
    </w:p>
    <w:p w:rsidR="00FC7B7F" w:rsidRPr="00FC7B7F" w:rsidRDefault="00FC7B7F" w:rsidP="00FC7B7F">
      <w:pPr>
        <w:widowControl w:val="0"/>
        <w:tabs>
          <w:tab w:val="left" w:pos="720"/>
        </w:tabs>
        <w:suppressAutoHyphens/>
        <w:spacing w:line="260" w:lineRule="atLeast"/>
        <w:jc w:val="left"/>
        <w:outlineLvl w:val="0"/>
        <w:rPr>
          <w:rFonts w:ascii="Trebuchet MS" w:hAnsi="Trebuchet MS"/>
          <w:sz w:val="20"/>
          <w:szCs w:val="20"/>
        </w:rPr>
      </w:pPr>
    </w:p>
    <w:p w:rsidR="00FC7B7F" w:rsidRPr="002D2EB5" w:rsidRDefault="00FC7B7F" w:rsidP="00FC7B7F">
      <w:pPr>
        <w:widowControl w:val="0"/>
        <w:tabs>
          <w:tab w:val="left" w:pos="720"/>
        </w:tabs>
        <w:suppressAutoHyphens/>
        <w:spacing w:line="260" w:lineRule="atLeast"/>
        <w:jc w:val="left"/>
        <w:outlineLvl w:val="0"/>
        <w:rPr>
          <w:rFonts w:ascii="Trebuchet MS" w:hAnsi="Trebuchet MS"/>
          <w:sz w:val="20"/>
          <w:szCs w:val="20"/>
        </w:rPr>
      </w:pPr>
      <w:r w:rsidRPr="00FC7B7F">
        <w:rPr>
          <w:sz w:val="24"/>
        </w:rPr>
        <w:lastRenderedPageBreak/>
        <w:t>2.3</w:t>
      </w:r>
      <w:r w:rsidRPr="00FC7B7F">
        <w:rPr>
          <w:sz w:val="24"/>
        </w:rPr>
        <w:tab/>
      </w:r>
      <w:r w:rsidRPr="00FC7B7F">
        <w:rPr>
          <w:rFonts w:cs="Arial"/>
          <w:sz w:val="24"/>
        </w:rPr>
        <w:t xml:space="preserve">The US Federal Reserve continued its tightening bias throughout 2018, pushing rates to </w:t>
      </w:r>
      <w:r>
        <w:rPr>
          <w:rFonts w:cs="Arial"/>
          <w:sz w:val="24"/>
        </w:rPr>
        <w:tab/>
      </w:r>
      <w:r w:rsidRPr="00FC7B7F">
        <w:rPr>
          <w:rFonts w:cs="Arial"/>
          <w:sz w:val="24"/>
        </w:rPr>
        <w:t xml:space="preserve">the </w:t>
      </w:r>
      <w:r w:rsidR="00686D12">
        <w:rPr>
          <w:rFonts w:cs="Arial"/>
          <w:sz w:val="24"/>
        </w:rPr>
        <w:t xml:space="preserve">2.25%-2.50% range in December. </w:t>
      </w:r>
      <w:r w:rsidRPr="00FC7B7F">
        <w:rPr>
          <w:rFonts w:cs="Arial"/>
          <w:sz w:val="24"/>
        </w:rPr>
        <w:t xml:space="preserve">However, a recent softening in US data caused </w:t>
      </w:r>
      <w:r>
        <w:rPr>
          <w:rFonts w:cs="Arial"/>
          <w:sz w:val="24"/>
        </w:rPr>
        <w:tab/>
      </w:r>
      <w:r w:rsidRPr="00FC7B7F">
        <w:rPr>
          <w:rFonts w:cs="Arial"/>
          <w:sz w:val="24"/>
        </w:rPr>
        <w:t>the Fed</w:t>
      </w:r>
      <w:r w:rsidR="0006659F">
        <w:rPr>
          <w:rFonts w:cs="Arial"/>
          <w:sz w:val="24"/>
        </w:rPr>
        <w:t>eral Reserve</w:t>
      </w:r>
      <w:r w:rsidRPr="00FC7B7F">
        <w:rPr>
          <w:rFonts w:cs="Arial"/>
          <w:sz w:val="24"/>
        </w:rPr>
        <w:t xml:space="preserve"> to signal a pause in hiking interest rates at the last Federal Open </w:t>
      </w:r>
      <w:r w:rsidR="0006659F">
        <w:rPr>
          <w:rFonts w:cs="Arial"/>
          <w:sz w:val="24"/>
        </w:rPr>
        <w:tab/>
      </w:r>
      <w:r w:rsidRPr="00FC7B7F">
        <w:rPr>
          <w:rFonts w:cs="Arial"/>
          <w:sz w:val="24"/>
        </w:rPr>
        <w:t>Market Committee (FOMC) meeting in March.</w:t>
      </w:r>
    </w:p>
    <w:p w:rsidR="00BE0F80" w:rsidRDefault="00BE0F80" w:rsidP="00BE0F80">
      <w:pPr>
        <w:contextualSpacing/>
      </w:pPr>
    </w:p>
    <w:p w:rsidR="00FC7B7F" w:rsidRPr="00FC7B7F" w:rsidRDefault="00BE0F80" w:rsidP="00FC7B7F">
      <w:pPr>
        <w:widowControl w:val="0"/>
        <w:tabs>
          <w:tab w:val="left" w:pos="720"/>
        </w:tabs>
        <w:suppressAutoHyphens/>
        <w:spacing w:line="260" w:lineRule="atLeast"/>
        <w:jc w:val="left"/>
        <w:outlineLvl w:val="0"/>
        <w:rPr>
          <w:rFonts w:cs="Arial"/>
          <w:sz w:val="24"/>
        </w:rPr>
      </w:pPr>
      <w:r w:rsidRPr="00FC7B7F">
        <w:rPr>
          <w:sz w:val="24"/>
        </w:rPr>
        <w:t>2.4</w:t>
      </w:r>
      <w:r w:rsidRPr="00FC7B7F">
        <w:rPr>
          <w:sz w:val="24"/>
        </w:rPr>
        <w:tab/>
      </w:r>
      <w:r w:rsidR="00FC7B7F" w:rsidRPr="00FC7B7F">
        <w:rPr>
          <w:rFonts w:cs="Arial"/>
          <w:sz w:val="24"/>
        </w:rPr>
        <w:t>With the 29th March 2019, the original E</w:t>
      </w:r>
      <w:r w:rsidR="00686D12">
        <w:rPr>
          <w:rFonts w:cs="Arial"/>
          <w:sz w:val="24"/>
        </w:rPr>
        <w:t xml:space="preserve">U ‘exit day’ now </w:t>
      </w:r>
      <w:r w:rsidR="0006659F">
        <w:rPr>
          <w:rFonts w:cs="Arial"/>
          <w:sz w:val="24"/>
        </w:rPr>
        <w:t>passed</w:t>
      </w:r>
      <w:r w:rsidR="001805E6">
        <w:rPr>
          <w:rFonts w:cs="Arial"/>
          <w:sz w:val="24"/>
        </w:rPr>
        <w:t>,</w:t>
      </w:r>
      <w:r w:rsidR="00FC7B7F" w:rsidRPr="00FC7B7F">
        <w:rPr>
          <w:rFonts w:cs="Arial"/>
          <w:sz w:val="24"/>
        </w:rPr>
        <w:t xml:space="preserve"> MPs voted by a </w:t>
      </w:r>
      <w:r w:rsidR="001805E6">
        <w:rPr>
          <w:rFonts w:cs="Arial"/>
          <w:sz w:val="24"/>
        </w:rPr>
        <w:tab/>
      </w:r>
      <w:r w:rsidR="00FC7B7F" w:rsidRPr="00FC7B7F">
        <w:rPr>
          <w:rFonts w:cs="Arial"/>
          <w:sz w:val="24"/>
        </w:rPr>
        <w:t xml:space="preserve">majority of one (313 to 312) to force the </w:t>
      </w:r>
      <w:r w:rsidR="00686D12">
        <w:rPr>
          <w:rFonts w:cs="Arial"/>
          <w:sz w:val="24"/>
        </w:rPr>
        <w:t>Prime M</w:t>
      </w:r>
      <w:r w:rsidR="00FC7B7F" w:rsidRPr="00FC7B7F">
        <w:rPr>
          <w:rFonts w:cs="Arial"/>
          <w:sz w:val="24"/>
        </w:rPr>
        <w:t xml:space="preserve">inister to ask for an extension to the </w:t>
      </w:r>
      <w:r w:rsidR="001805E6">
        <w:rPr>
          <w:rFonts w:cs="Arial"/>
          <w:sz w:val="24"/>
        </w:rPr>
        <w:tab/>
      </w:r>
      <w:r w:rsidR="00FC7B7F" w:rsidRPr="00FC7B7F">
        <w:rPr>
          <w:rFonts w:cs="Arial"/>
          <w:sz w:val="24"/>
        </w:rPr>
        <w:t xml:space="preserve">Brexit process beyond </w:t>
      </w:r>
      <w:r w:rsidR="00FC7B7F">
        <w:rPr>
          <w:rFonts w:cs="Arial"/>
          <w:sz w:val="24"/>
        </w:rPr>
        <w:t xml:space="preserve">the </w:t>
      </w:r>
      <w:r w:rsidR="00FC7B7F" w:rsidRPr="00FC7B7F">
        <w:rPr>
          <w:rFonts w:cs="Arial"/>
          <w:sz w:val="24"/>
        </w:rPr>
        <w:t>12</w:t>
      </w:r>
      <w:r w:rsidR="00FC7B7F" w:rsidRPr="00686D12">
        <w:rPr>
          <w:rFonts w:cs="Arial"/>
          <w:sz w:val="24"/>
          <w:vertAlign w:val="superscript"/>
        </w:rPr>
        <w:t>th</w:t>
      </w:r>
      <w:r w:rsidR="001805E6">
        <w:rPr>
          <w:rFonts w:cs="Arial"/>
          <w:sz w:val="24"/>
        </w:rPr>
        <w:t xml:space="preserve"> </w:t>
      </w:r>
      <w:r w:rsidR="00FC7B7F" w:rsidRPr="00FC7B7F">
        <w:rPr>
          <w:rFonts w:cs="Arial"/>
          <w:sz w:val="24"/>
        </w:rPr>
        <w:t xml:space="preserve">April </w:t>
      </w:r>
      <w:r w:rsidR="00FC7B7F">
        <w:rPr>
          <w:rFonts w:cs="Arial"/>
          <w:sz w:val="24"/>
        </w:rPr>
        <w:t xml:space="preserve">2019 </w:t>
      </w:r>
      <w:r w:rsidR="00FC7B7F" w:rsidRPr="00FC7B7F">
        <w:rPr>
          <w:rFonts w:cs="Arial"/>
          <w:sz w:val="24"/>
        </w:rPr>
        <w:t>in orde</w:t>
      </w:r>
      <w:r w:rsidR="00686D12">
        <w:rPr>
          <w:rFonts w:cs="Arial"/>
          <w:sz w:val="24"/>
        </w:rPr>
        <w:t xml:space="preserve">r to avoid a no-deal scenario. </w:t>
      </w:r>
      <w:r w:rsidR="00FC7B7F" w:rsidRPr="00FC7B7F">
        <w:rPr>
          <w:rFonts w:cs="Arial"/>
          <w:sz w:val="24"/>
        </w:rPr>
        <w:t xml:space="preserve">Recent </w:t>
      </w:r>
      <w:r w:rsidR="001805E6">
        <w:rPr>
          <w:rFonts w:cs="Arial"/>
          <w:sz w:val="24"/>
        </w:rPr>
        <w:tab/>
      </w:r>
      <w:r w:rsidR="00FC7B7F" w:rsidRPr="00FC7B7F">
        <w:rPr>
          <w:rFonts w:cs="Arial"/>
          <w:sz w:val="24"/>
        </w:rPr>
        <w:t xml:space="preserve">talks between the Conservative and Labour parties to try to reach common ground on a </w:t>
      </w:r>
      <w:r w:rsidR="001805E6">
        <w:rPr>
          <w:rFonts w:cs="Arial"/>
          <w:sz w:val="24"/>
        </w:rPr>
        <w:tab/>
      </w:r>
      <w:r w:rsidR="00FC7B7F" w:rsidRPr="00FC7B7F">
        <w:rPr>
          <w:rFonts w:cs="Arial"/>
          <w:sz w:val="24"/>
        </w:rPr>
        <w:t xml:space="preserve">deal which may pass a vote by MPs have yet </w:t>
      </w:r>
      <w:r w:rsidR="00686D12">
        <w:rPr>
          <w:rFonts w:cs="Arial"/>
          <w:sz w:val="24"/>
        </w:rPr>
        <w:t xml:space="preserve">to yield any positive results. </w:t>
      </w:r>
      <w:r w:rsidR="00FC7B7F" w:rsidRPr="00FC7B7F">
        <w:rPr>
          <w:rFonts w:cs="Arial"/>
          <w:sz w:val="24"/>
        </w:rPr>
        <w:t xml:space="preserve">The EU must </w:t>
      </w:r>
      <w:r w:rsidR="001805E6">
        <w:rPr>
          <w:rFonts w:cs="Arial"/>
          <w:sz w:val="24"/>
        </w:rPr>
        <w:tab/>
        <w:t>approve</w:t>
      </w:r>
      <w:r w:rsidR="00FC7B7F" w:rsidRPr="00FC7B7F">
        <w:rPr>
          <w:rFonts w:cs="Arial"/>
          <w:sz w:val="24"/>
        </w:rPr>
        <w:t xml:space="preserve"> any extension and its leaders have been</w:t>
      </w:r>
      <w:r w:rsidR="00686D12">
        <w:rPr>
          <w:rFonts w:cs="Arial"/>
          <w:sz w:val="24"/>
        </w:rPr>
        <w:t xml:space="preserve"> </w:t>
      </w:r>
      <w:r w:rsidR="00FC7B7F" w:rsidRPr="00FC7B7F">
        <w:rPr>
          <w:rFonts w:cs="Arial"/>
          <w:sz w:val="24"/>
        </w:rPr>
        <w:t>clear that the terms of the deal are n</w:t>
      </w:r>
      <w:r w:rsidR="00FC7B7F">
        <w:rPr>
          <w:rFonts w:cs="Arial"/>
          <w:sz w:val="24"/>
        </w:rPr>
        <w:t xml:space="preserve">ot </w:t>
      </w:r>
      <w:r w:rsidR="001805E6">
        <w:rPr>
          <w:rFonts w:cs="Arial"/>
          <w:sz w:val="24"/>
        </w:rPr>
        <w:tab/>
      </w:r>
      <w:r w:rsidR="00FC7B7F">
        <w:rPr>
          <w:rFonts w:cs="Arial"/>
          <w:sz w:val="24"/>
        </w:rPr>
        <w:t xml:space="preserve">up for further negotiation. </w:t>
      </w:r>
      <w:r w:rsidR="00FC7B7F" w:rsidRPr="00FC7B7F">
        <w:rPr>
          <w:rFonts w:cs="Arial"/>
          <w:sz w:val="24"/>
        </w:rPr>
        <w:t xml:space="preserve">The ongoing uncertainty continues to weigh on sterling and UK </w:t>
      </w:r>
      <w:r w:rsidR="001805E6">
        <w:rPr>
          <w:rFonts w:cs="Arial"/>
          <w:sz w:val="24"/>
        </w:rPr>
        <w:tab/>
      </w:r>
      <w:r w:rsidR="00FC7B7F" w:rsidRPr="00FC7B7F">
        <w:rPr>
          <w:rFonts w:cs="Arial"/>
          <w:sz w:val="24"/>
        </w:rPr>
        <w:t>markets.</w:t>
      </w:r>
      <w:r w:rsidR="00686D12">
        <w:rPr>
          <w:rFonts w:cs="Arial"/>
          <w:sz w:val="24"/>
        </w:rPr>
        <w:tab/>
      </w:r>
    </w:p>
    <w:p w:rsidR="00BE0F80" w:rsidRDefault="00BE0F80" w:rsidP="00BE0F80">
      <w:pPr>
        <w:contextualSpacing/>
      </w:pPr>
    </w:p>
    <w:p w:rsidR="007413F9" w:rsidRDefault="007413F9" w:rsidP="00BE0F80">
      <w:pPr>
        <w:contextualSpacing/>
      </w:pPr>
    </w:p>
    <w:p w:rsidR="00FC7B7F" w:rsidRDefault="00BE0F80" w:rsidP="00E857C5">
      <w:pPr>
        <w:widowControl w:val="0"/>
        <w:tabs>
          <w:tab w:val="left" w:pos="720"/>
        </w:tabs>
        <w:suppressAutoHyphens/>
        <w:spacing w:line="260" w:lineRule="atLeast"/>
        <w:jc w:val="left"/>
        <w:outlineLvl w:val="0"/>
        <w:rPr>
          <w:rFonts w:cs="Arial"/>
          <w:sz w:val="24"/>
        </w:rPr>
      </w:pPr>
      <w:r w:rsidRPr="00FC7B7F">
        <w:rPr>
          <w:sz w:val="24"/>
        </w:rPr>
        <w:t>2.5</w:t>
      </w:r>
      <w:r>
        <w:tab/>
      </w:r>
      <w:r w:rsidR="00FC7B7F" w:rsidRPr="00FC7B7F">
        <w:rPr>
          <w:rFonts w:cs="Arial"/>
          <w:sz w:val="24"/>
        </w:rPr>
        <w:t xml:space="preserve">While the domestic focus has been on Brexit’s potential impact on the UK economy, </w:t>
      </w:r>
      <w:r w:rsidR="00FC7B7F">
        <w:rPr>
          <w:rFonts w:cs="Arial"/>
          <w:sz w:val="24"/>
        </w:rPr>
        <w:tab/>
      </w:r>
      <w:r w:rsidR="00FC7B7F" w:rsidRPr="00FC7B7F">
        <w:rPr>
          <w:rFonts w:cs="Arial"/>
          <w:sz w:val="24"/>
        </w:rPr>
        <w:t xml:space="preserve">globally the first quarter of 2019 has been overshadowed by a gathering level of broader </w:t>
      </w:r>
      <w:r w:rsidR="00FC7B7F">
        <w:rPr>
          <w:rFonts w:cs="Arial"/>
          <w:sz w:val="24"/>
        </w:rPr>
        <w:tab/>
      </w:r>
      <w:r w:rsidR="00FC7B7F" w:rsidRPr="00FC7B7F">
        <w:rPr>
          <w:rFonts w:cs="Arial"/>
          <w:sz w:val="24"/>
        </w:rPr>
        <w:t xml:space="preserve">based economic uncertainty. The US continues to be set on a path of protectionist trade </w:t>
      </w:r>
      <w:r w:rsidR="00FC7B7F">
        <w:rPr>
          <w:rFonts w:cs="Arial"/>
          <w:sz w:val="24"/>
        </w:rPr>
        <w:tab/>
      </w:r>
      <w:r w:rsidR="00FC7B7F" w:rsidRPr="00FC7B7F">
        <w:rPr>
          <w:rFonts w:cs="Arial"/>
          <w:sz w:val="24"/>
        </w:rPr>
        <w:t xml:space="preserve">policies and tensions with China in particular, but with the potential for this to spill over </w:t>
      </w:r>
      <w:r w:rsidR="00FC7B7F">
        <w:rPr>
          <w:rFonts w:cs="Arial"/>
          <w:sz w:val="24"/>
        </w:rPr>
        <w:tab/>
      </w:r>
      <w:r w:rsidR="00FC7B7F" w:rsidRPr="00FC7B7F">
        <w:rPr>
          <w:rFonts w:cs="Arial"/>
          <w:sz w:val="24"/>
        </w:rPr>
        <w:t xml:space="preserve">into wider trade relationships, most notably with </w:t>
      </w:r>
      <w:r w:rsidR="00842CFD">
        <w:rPr>
          <w:rFonts w:cs="Arial"/>
          <w:sz w:val="24"/>
        </w:rPr>
        <w:t xml:space="preserve">the </w:t>
      </w:r>
      <w:r w:rsidR="00FC7B7F" w:rsidRPr="00FC7B7F">
        <w:rPr>
          <w:rFonts w:cs="Arial"/>
          <w:sz w:val="24"/>
        </w:rPr>
        <w:t xml:space="preserve">EU. The EU </w:t>
      </w:r>
      <w:r w:rsidR="001F76FD">
        <w:rPr>
          <w:rFonts w:cs="Arial"/>
          <w:sz w:val="24"/>
        </w:rPr>
        <w:t xml:space="preserve">has itself appeared to </w:t>
      </w:r>
      <w:r w:rsidR="00842CFD">
        <w:rPr>
          <w:rFonts w:cs="Arial"/>
          <w:sz w:val="24"/>
        </w:rPr>
        <w:tab/>
        <w:t xml:space="preserve">show </w:t>
      </w:r>
      <w:r w:rsidR="00FC7B7F" w:rsidRPr="00FC7B7F">
        <w:rPr>
          <w:rFonts w:cs="Arial"/>
          <w:sz w:val="24"/>
        </w:rPr>
        <w:t xml:space="preserve">signs of a rapid slowdown in economic growth with the major engines of its </w:t>
      </w:r>
      <w:r w:rsidR="00842CFD">
        <w:rPr>
          <w:rFonts w:cs="Arial"/>
          <w:sz w:val="24"/>
        </w:rPr>
        <w:tab/>
      </w:r>
      <w:r w:rsidR="00FC7B7F" w:rsidRPr="00FC7B7F">
        <w:rPr>
          <w:rFonts w:cs="Arial"/>
          <w:sz w:val="24"/>
        </w:rPr>
        <w:t xml:space="preserve">economy, Germany and France, both suffering misfires from downturns in manufacturing </w:t>
      </w:r>
      <w:r w:rsidR="00842CFD">
        <w:rPr>
          <w:rFonts w:cs="Arial"/>
          <w:sz w:val="24"/>
        </w:rPr>
        <w:tab/>
      </w:r>
      <w:r w:rsidR="00FC7B7F" w:rsidRPr="00FC7B7F">
        <w:rPr>
          <w:rFonts w:cs="Arial"/>
          <w:sz w:val="24"/>
        </w:rPr>
        <w:t>alongside continued domestic/populist unrest in France.</w:t>
      </w:r>
      <w:r w:rsidR="00E857C5">
        <w:rPr>
          <w:rFonts w:cs="Arial"/>
          <w:sz w:val="24"/>
        </w:rPr>
        <w:t xml:space="preserve"> </w:t>
      </w:r>
      <w:r w:rsidR="00FC7B7F" w:rsidRPr="00FC7B7F">
        <w:rPr>
          <w:rFonts w:cs="Arial"/>
          <w:sz w:val="24"/>
        </w:rPr>
        <w:t xml:space="preserve">The International Monetary Fund </w:t>
      </w:r>
      <w:r w:rsidR="00FC7B7F">
        <w:rPr>
          <w:rFonts w:cs="Arial"/>
          <w:sz w:val="24"/>
        </w:rPr>
        <w:tab/>
      </w:r>
      <w:r w:rsidR="00FC7B7F" w:rsidRPr="00FC7B7F">
        <w:rPr>
          <w:rFonts w:cs="Arial"/>
          <w:sz w:val="24"/>
        </w:rPr>
        <w:t>downgraded its forecasts for global economic</w:t>
      </w:r>
      <w:r w:rsidR="00842CFD">
        <w:rPr>
          <w:rFonts w:cs="Arial"/>
          <w:sz w:val="24"/>
        </w:rPr>
        <w:t xml:space="preserve"> growth in 2019 and beyond as a result.</w:t>
      </w:r>
      <w:r w:rsidR="00FC7B7F">
        <w:rPr>
          <w:rFonts w:cs="Arial"/>
          <w:sz w:val="24"/>
        </w:rPr>
        <w:br/>
      </w:r>
      <w:r w:rsidR="00FC7B7F">
        <w:rPr>
          <w:rFonts w:cs="Arial"/>
          <w:sz w:val="24"/>
        </w:rPr>
        <w:br/>
        <w:t>2.6</w:t>
      </w:r>
      <w:r w:rsidR="00FC7B7F">
        <w:rPr>
          <w:rFonts w:cs="Arial"/>
          <w:sz w:val="24"/>
        </w:rPr>
        <w:tab/>
      </w:r>
      <w:r w:rsidR="00FC7B7F" w:rsidRPr="00FC7B7F">
        <w:rPr>
          <w:rFonts w:cs="Arial"/>
          <w:b/>
          <w:sz w:val="24"/>
        </w:rPr>
        <w:t>Financial markets:</w:t>
      </w:r>
      <w:r w:rsidR="00FC7B7F" w:rsidRPr="00FC7B7F">
        <w:rPr>
          <w:rFonts w:cs="Arial"/>
          <w:sz w:val="24"/>
        </w:rPr>
        <w:t xml:space="preserve"> December </w:t>
      </w:r>
      <w:r w:rsidR="001F76FD">
        <w:rPr>
          <w:rFonts w:cs="Arial"/>
          <w:sz w:val="24"/>
        </w:rPr>
        <w:t xml:space="preserve">2018 </w:t>
      </w:r>
      <w:r w:rsidR="001805E6">
        <w:rPr>
          <w:rFonts w:cs="Arial"/>
          <w:sz w:val="24"/>
        </w:rPr>
        <w:t>showed a downturn</w:t>
      </w:r>
      <w:r w:rsidR="00FC7B7F" w:rsidRPr="00FC7B7F">
        <w:rPr>
          <w:rFonts w:cs="Arial"/>
          <w:sz w:val="24"/>
        </w:rPr>
        <w:t xml:space="preserve"> in terms of performance of </w:t>
      </w:r>
      <w:r w:rsidR="001F76FD">
        <w:rPr>
          <w:rFonts w:cs="Arial"/>
          <w:sz w:val="24"/>
        </w:rPr>
        <w:tab/>
      </w:r>
      <w:r w:rsidR="00FC7B7F" w:rsidRPr="00FC7B7F">
        <w:rPr>
          <w:rFonts w:cs="Arial"/>
          <w:sz w:val="24"/>
        </w:rPr>
        <w:t xml:space="preserve">riskier </w:t>
      </w:r>
      <w:r w:rsidR="00FC7B7F">
        <w:rPr>
          <w:rFonts w:cs="Arial"/>
          <w:sz w:val="24"/>
        </w:rPr>
        <w:tab/>
      </w:r>
      <w:r w:rsidR="00FC7B7F" w:rsidRPr="00FC7B7F">
        <w:rPr>
          <w:rFonts w:cs="Arial"/>
          <w:sz w:val="24"/>
        </w:rPr>
        <w:t xml:space="preserve">asset classes, most notably equities. The FTSE </w:t>
      </w:r>
      <w:r w:rsidR="001805E6">
        <w:rPr>
          <w:rFonts w:cs="Arial"/>
          <w:sz w:val="24"/>
        </w:rPr>
        <w:t>100 (a good indicator of global</w:t>
      </w:r>
      <w:r w:rsidR="001F76FD">
        <w:rPr>
          <w:rFonts w:cs="Arial"/>
          <w:sz w:val="24"/>
        </w:rPr>
        <w:tab/>
      </w:r>
      <w:r w:rsidR="00FC7B7F" w:rsidRPr="00FC7B7F">
        <w:rPr>
          <w:rFonts w:cs="Arial"/>
          <w:sz w:val="24"/>
        </w:rPr>
        <w:t>corporate sentiment)</w:t>
      </w:r>
      <w:r w:rsidR="001805E6">
        <w:rPr>
          <w:rFonts w:cs="Arial"/>
          <w:sz w:val="24"/>
        </w:rPr>
        <w:t xml:space="preserve"> fell around 13% in</w:t>
      </w:r>
      <w:r w:rsidR="00FC7B7F" w:rsidRPr="00FC7B7F">
        <w:rPr>
          <w:rFonts w:cs="Arial"/>
          <w:sz w:val="24"/>
        </w:rPr>
        <w:t xml:space="preserve"> pure price </w:t>
      </w:r>
      <w:r w:rsidR="001805E6">
        <w:rPr>
          <w:rFonts w:cs="Arial"/>
          <w:sz w:val="24"/>
        </w:rPr>
        <w:t xml:space="preserve">terms. </w:t>
      </w:r>
      <w:r w:rsidR="00FC7B7F" w:rsidRPr="00FC7B7F">
        <w:rPr>
          <w:rFonts w:cs="Arial"/>
          <w:sz w:val="24"/>
        </w:rPr>
        <w:t xml:space="preserve">However, since the beginning </w:t>
      </w:r>
      <w:r w:rsidR="001805E6">
        <w:rPr>
          <w:rFonts w:cs="Arial"/>
          <w:sz w:val="24"/>
        </w:rPr>
        <w:tab/>
      </w:r>
      <w:r w:rsidR="00FC7B7F" w:rsidRPr="00FC7B7F">
        <w:rPr>
          <w:rFonts w:cs="Arial"/>
          <w:sz w:val="24"/>
        </w:rPr>
        <w:t xml:space="preserve">of 2019 markets have rallied, and </w:t>
      </w:r>
      <w:r w:rsidR="001805E6">
        <w:rPr>
          <w:rFonts w:cs="Arial"/>
          <w:sz w:val="24"/>
        </w:rPr>
        <w:t>the FTSE 100 and FTSE All S</w:t>
      </w:r>
      <w:r w:rsidR="00FC7B7F" w:rsidRPr="00FC7B7F">
        <w:rPr>
          <w:rFonts w:cs="Arial"/>
          <w:sz w:val="24"/>
        </w:rPr>
        <w:t xml:space="preserve">hare indices were both </w:t>
      </w:r>
      <w:r w:rsidR="001805E6">
        <w:rPr>
          <w:rFonts w:cs="Arial"/>
          <w:sz w:val="24"/>
        </w:rPr>
        <w:tab/>
      </w:r>
      <w:r w:rsidR="00FC7B7F" w:rsidRPr="00FC7B7F">
        <w:rPr>
          <w:rFonts w:cs="Arial"/>
          <w:sz w:val="24"/>
        </w:rPr>
        <w:t>around 10% higher than at the end of 2018.</w:t>
      </w:r>
    </w:p>
    <w:p w:rsidR="00FC7B7F" w:rsidRDefault="00FC7B7F" w:rsidP="00FC7B7F">
      <w:pPr>
        <w:widowControl w:val="0"/>
        <w:tabs>
          <w:tab w:val="left" w:pos="720"/>
        </w:tabs>
        <w:suppressAutoHyphens/>
        <w:spacing w:line="260" w:lineRule="atLeast"/>
        <w:outlineLvl w:val="0"/>
        <w:rPr>
          <w:rFonts w:cs="Arial"/>
          <w:sz w:val="24"/>
        </w:rPr>
      </w:pPr>
    </w:p>
    <w:p w:rsidR="00BE0F80" w:rsidRDefault="00FC7B7F" w:rsidP="007806BF">
      <w:pPr>
        <w:widowControl w:val="0"/>
        <w:tabs>
          <w:tab w:val="left" w:pos="720"/>
        </w:tabs>
        <w:suppressAutoHyphens/>
        <w:spacing w:line="260" w:lineRule="atLeast"/>
        <w:ind w:left="720" w:hanging="720"/>
        <w:jc w:val="left"/>
        <w:outlineLvl w:val="0"/>
        <w:rPr>
          <w:rFonts w:cs="Arial"/>
          <w:sz w:val="24"/>
        </w:rPr>
      </w:pPr>
      <w:r>
        <w:rPr>
          <w:rFonts w:cs="Arial"/>
          <w:sz w:val="24"/>
        </w:rPr>
        <w:t>2.7</w:t>
      </w:r>
      <w:r>
        <w:rPr>
          <w:rFonts w:cs="Arial"/>
          <w:sz w:val="24"/>
        </w:rPr>
        <w:tab/>
      </w:r>
      <w:r w:rsidRPr="00FC7B7F">
        <w:rPr>
          <w:rFonts w:cs="Arial"/>
          <w:sz w:val="24"/>
        </w:rPr>
        <w:t>Gilt yields continued to display significant volatility over the period on the back of ongoing economic and political unc</w:t>
      </w:r>
      <w:r w:rsidR="001F76FD">
        <w:rPr>
          <w:rFonts w:cs="Arial"/>
          <w:sz w:val="24"/>
        </w:rPr>
        <w:t xml:space="preserve">ertainty in the UK and Europe. </w:t>
      </w:r>
      <w:r w:rsidRPr="00FC7B7F">
        <w:rPr>
          <w:rFonts w:cs="Arial"/>
          <w:sz w:val="24"/>
        </w:rPr>
        <w:t>After rising in October</w:t>
      </w:r>
      <w:r w:rsidR="001F76FD">
        <w:rPr>
          <w:rFonts w:cs="Arial"/>
          <w:sz w:val="24"/>
        </w:rPr>
        <w:t xml:space="preserve"> 2018</w:t>
      </w:r>
      <w:r w:rsidRPr="00FC7B7F">
        <w:rPr>
          <w:rFonts w:cs="Arial"/>
          <w:sz w:val="24"/>
        </w:rPr>
        <w:t>, gilts regained their safe-haven status throughout December</w:t>
      </w:r>
      <w:r>
        <w:rPr>
          <w:rFonts w:cs="Arial"/>
          <w:sz w:val="24"/>
        </w:rPr>
        <w:t xml:space="preserve"> and into </w:t>
      </w:r>
      <w:r w:rsidR="007806BF">
        <w:rPr>
          <w:rFonts w:cs="Arial"/>
          <w:sz w:val="24"/>
        </w:rPr>
        <w:t>2019. T</w:t>
      </w:r>
      <w:r w:rsidRPr="00FC7B7F">
        <w:rPr>
          <w:rFonts w:cs="Arial"/>
          <w:sz w:val="24"/>
        </w:rPr>
        <w:t xml:space="preserve">he 5-year benchmark gilt yield fell as low as 0.80% and there were similar falls </w:t>
      </w:r>
      <w:r w:rsidRPr="00FC7B7F">
        <w:rPr>
          <w:rFonts w:cs="Arial"/>
          <w:sz w:val="24"/>
        </w:rPr>
        <w:lastRenderedPageBreak/>
        <w:t xml:space="preserve">in the 10-year and 20-year gilts over the same period dropping from 1.73% to </w:t>
      </w:r>
      <w:r w:rsidR="001F76FD">
        <w:rPr>
          <w:rFonts w:cs="Arial"/>
          <w:sz w:val="24"/>
        </w:rPr>
        <w:t xml:space="preserve">1.08% and from 1.90% to 1.55%. </w:t>
      </w:r>
      <w:r w:rsidRPr="00FC7B7F">
        <w:rPr>
          <w:rFonts w:cs="Arial"/>
          <w:sz w:val="24"/>
        </w:rPr>
        <w:t>The incre</w:t>
      </w:r>
      <w:r w:rsidR="001F76FD">
        <w:rPr>
          <w:rFonts w:cs="Arial"/>
          <w:sz w:val="24"/>
        </w:rPr>
        <w:t>ase in bank r</w:t>
      </w:r>
      <w:r w:rsidRPr="00FC7B7F">
        <w:rPr>
          <w:rFonts w:cs="Arial"/>
          <w:sz w:val="24"/>
        </w:rPr>
        <w:t>ate pushed up money markets rates over the year and 1-month, 3-month and 12-month LIBID (London Interbank Bid) rates averaged 0.53%, 0.67% and 0.94% respectively over the period.</w:t>
      </w:r>
    </w:p>
    <w:p w:rsidR="007806BF" w:rsidRDefault="007806BF" w:rsidP="007806BF">
      <w:pPr>
        <w:widowControl w:val="0"/>
        <w:tabs>
          <w:tab w:val="left" w:pos="720"/>
        </w:tabs>
        <w:suppressAutoHyphens/>
        <w:spacing w:line="260" w:lineRule="atLeast"/>
        <w:ind w:left="720" w:hanging="720"/>
        <w:jc w:val="left"/>
        <w:outlineLvl w:val="0"/>
        <w:rPr>
          <w:rFonts w:cs="Arial"/>
          <w:sz w:val="24"/>
        </w:rPr>
      </w:pPr>
    </w:p>
    <w:p w:rsidR="007806BF" w:rsidRDefault="007806BF" w:rsidP="00EE397F">
      <w:pPr>
        <w:keepNext/>
        <w:widowControl w:val="0"/>
        <w:tabs>
          <w:tab w:val="left" w:pos="720"/>
        </w:tabs>
        <w:suppressAutoHyphens/>
        <w:spacing w:line="240" w:lineRule="auto"/>
        <w:jc w:val="left"/>
        <w:outlineLvl w:val="0"/>
        <w:rPr>
          <w:rFonts w:cs="Arial"/>
          <w:sz w:val="24"/>
        </w:rPr>
      </w:pPr>
      <w:r>
        <w:rPr>
          <w:rFonts w:cs="Arial"/>
          <w:sz w:val="24"/>
        </w:rPr>
        <w:t>2.8</w:t>
      </w:r>
      <w:r>
        <w:rPr>
          <w:rFonts w:cs="Arial"/>
          <w:sz w:val="24"/>
        </w:rPr>
        <w:tab/>
      </w:r>
      <w:r w:rsidRPr="007806BF">
        <w:rPr>
          <w:rFonts w:cs="Arial"/>
          <w:sz w:val="24"/>
        </w:rPr>
        <w:t xml:space="preserve">Recent activity in the bond markets and PWLB interest rates highlight that weaker </w:t>
      </w:r>
      <w:r>
        <w:rPr>
          <w:rFonts w:cs="Arial"/>
          <w:sz w:val="24"/>
        </w:rPr>
        <w:tab/>
      </w:r>
      <w:r w:rsidRPr="007806BF">
        <w:rPr>
          <w:rFonts w:cs="Arial"/>
          <w:sz w:val="24"/>
        </w:rPr>
        <w:t>economic growth is not just a UK phenomenon but a global risk. During March</w:t>
      </w:r>
      <w:r w:rsidR="001F76FD">
        <w:rPr>
          <w:rFonts w:cs="Arial"/>
          <w:sz w:val="24"/>
        </w:rPr>
        <w:t xml:space="preserve"> 2019</w:t>
      </w:r>
      <w:r w:rsidRPr="007806BF">
        <w:rPr>
          <w:rFonts w:cs="Arial"/>
          <w:sz w:val="24"/>
        </w:rPr>
        <w:t xml:space="preserve"> the </w:t>
      </w:r>
      <w:r w:rsidR="001F76FD">
        <w:rPr>
          <w:rFonts w:cs="Arial"/>
          <w:sz w:val="24"/>
        </w:rPr>
        <w:tab/>
      </w:r>
      <w:r w:rsidRPr="007806BF">
        <w:rPr>
          <w:rFonts w:cs="Arial"/>
          <w:sz w:val="24"/>
        </w:rPr>
        <w:t>US yield curve inverted and German 10-year Bund yields turned negative</w:t>
      </w:r>
      <w:r>
        <w:rPr>
          <w:rFonts w:cs="Arial"/>
          <w:sz w:val="24"/>
        </w:rPr>
        <w:t xml:space="preserve">. </w:t>
      </w:r>
      <w:r w:rsidRPr="007806BF">
        <w:rPr>
          <w:rFonts w:cs="Arial"/>
          <w:sz w:val="24"/>
        </w:rPr>
        <w:t xml:space="preserve">The drivers </w:t>
      </w:r>
      <w:r w:rsidR="001805E6">
        <w:rPr>
          <w:rFonts w:cs="Arial"/>
          <w:sz w:val="24"/>
        </w:rPr>
        <w:tab/>
        <w:t>were</w:t>
      </w:r>
      <w:r w:rsidRPr="007806BF">
        <w:rPr>
          <w:rFonts w:cs="Arial"/>
          <w:sz w:val="24"/>
        </w:rPr>
        <w:t xml:space="preserve"> a significant shift in global economic growth pr</w:t>
      </w:r>
      <w:r w:rsidR="001805E6">
        <w:rPr>
          <w:rFonts w:cs="Arial"/>
          <w:sz w:val="24"/>
        </w:rPr>
        <w:t xml:space="preserve">ospects and subsequent official </w:t>
      </w:r>
      <w:r w:rsidR="001805E6">
        <w:rPr>
          <w:rFonts w:cs="Arial"/>
          <w:sz w:val="24"/>
        </w:rPr>
        <w:tab/>
      </w:r>
      <w:r w:rsidRPr="007806BF">
        <w:rPr>
          <w:rFonts w:cs="Arial"/>
          <w:sz w:val="24"/>
        </w:rPr>
        <w:t>interest rate expectations given its impact on inflation expectations. Further to this</w:t>
      </w:r>
      <w:r w:rsidR="001805E6">
        <w:rPr>
          <w:rFonts w:cs="Arial"/>
          <w:sz w:val="24"/>
        </w:rPr>
        <w:t>,</w:t>
      </w:r>
      <w:r w:rsidR="001805E6">
        <w:rPr>
          <w:rFonts w:cs="Arial"/>
          <w:sz w:val="24"/>
        </w:rPr>
        <w:tab/>
      </w:r>
      <w:r w:rsidRPr="007806BF">
        <w:rPr>
          <w:rFonts w:cs="Arial"/>
          <w:sz w:val="24"/>
        </w:rPr>
        <w:t xml:space="preserve">world trade </w:t>
      </w:r>
      <w:r w:rsidR="001805E6">
        <w:rPr>
          <w:rFonts w:cs="Arial"/>
          <w:sz w:val="24"/>
        </w:rPr>
        <w:t xml:space="preserve">growth </w:t>
      </w:r>
      <w:r w:rsidRPr="007806BF">
        <w:rPr>
          <w:rFonts w:cs="Arial"/>
          <w:sz w:val="24"/>
        </w:rPr>
        <w:t xml:space="preserve">collapsed at the end of 2018 falling by 1.8% year-on-year. A large </w:t>
      </w:r>
      <w:r>
        <w:rPr>
          <w:rFonts w:cs="Arial"/>
          <w:sz w:val="24"/>
        </w:rPr>
        <w:tab/>
      </w:r>
      <w:r w:rsidRPr="007806BF">
        <w:rPr>
          <w:rFonts w:cs="Arial"/>
          <w:sz w:val="24"/>
        </w:rPr>
        <w:t xml:space="preserve">proportion of this downturn in trade can be ascribed to the ongoing trade tensions </w:t>
      </w:r>
      <w:r>
        <w:rPr>
          <w:rFonts w:cs="Arial"/>
          <w:sz w:val="24"/>
        </w:rPr>
        <w:tab/>
      </w:r>
      <w:r w:rsidRPr="007806BF">
        <w:rPr>
          <w:rFonts w:cs="Arial"/>
          <w:sz w:val="24"/>
        </w:rPr>
        <w:t xml:space="preserve">between the US and China which despite some moderation in January does suggest that </w:t>
      </w:r>
      <w:r>
        <w:rPr>
          <w:rFonts w:cs="Arial"/>
          <w:sz w:val="24"/>
        </w:rPr>
        <w:tab/>
      </w:r>
      <w:r w:rsidRPr="007806BF">
        <w:rPr>
          <w:rFonts w:cs="Arial"/>
          <w:sz w:val="24"/>
        </w:rPr>
        <w:t xml:space="preserve">the International Monetary Fund’s (IMF) and Organisation for Economic Co-Operation &amp; </w:t>
      </w:r>
      <w:r>
        <w:rPr>
          <w:rFonts w:cs="Arial"/>
          <w:sz w:val="24"/>
        </w:rPr>
        <w:tab/>
      </w:r>
      <w:r w:rsidRPr="007806BF">
        <w:rPr>
          <w:rFonts w:cs="Arial"/>
          <w:sz w:val="24"/>
        </w:rPr>
        <w:t>Development’s (OECD) forecasts for global growth in 2019 of 3.5%</w:t>
      </w:r>
      <w:r w:rsidR="001F76FD">
        <w:rPr>
          <w:rFonts w:cs="Arial"/>
          <w:sz w:val="24"/>
        </w:rPr>
        <w:t>,</w:t>
      </w:r>
      <w:r w:rsidRPr="007806BF">
        <w:rPr>
          <w:rFonts w:cs="Arial"/>
          <w:sz w:val="24"/>
        </w:rPr>
        <w:t xml:space="preserve"> might need to be </w:t>
      </w:r>
      <w:r>
        <w:rPr>
          <w:rFonts w:cs="Arial"/>
          <w:sz w:val="24"/>
        </w:rPr>
        <w:tab/>
      </w:r>
      <w:r w:rsidRPr="007806BF">
        <w:rPr>
          <w:rFonts w:cs="Arial"/>
          <w:sz w:val="24"/>
        </w:rPr>
        <w:t>revised downwards.</w:t>
      </w:r>
    </w:p>
    <w:p w:rsidR="007806BF" w:rsidRDefault="007806BF" w:rsidP="007806BF">
      <w:pPr>
        <w:keepNext/>
        <w:widowControl w:val="0"/>
        <w:tabs>
          <w:tab w:val="left" w:pos="720"/>
        </w:tabs>
        <w:suppressAutoHyphens/>
        <w:spacing w:line="276" w:lineRule="auto"/>
        <w:jc w:val="left"/>
        <w:outlineLvl w:val="0"/>
        <w:rPr>
          <w:rFonts w:cs="Arial"/>
          <w:sz w:val="24"/>
        </w:rPr>
      </w:pPr>
    </w:p>
    <w:p w:rsidR="007806BF" w:rsidRDefault="007806BF" w:rsidP="001805E6">
      <w:pPr>
        <w:keepNext/>
        <w:widowControl w:val="0"/>
        <w:tabs>
          <w:tab w:val="left" w:pos="720"/>
        </w:tabs>
        <w:suppressAutoHyphens/>
        <w:spacing w:line="240" w:lineRule="auto"/>
        <w:ind w:left="720" w:hanging="720"/>
        <w:jc w:val="left"/>
        <w:outlineLvl w:val="0"/>
        <w:rPr>
          <w:rFonts w:cs="Arial"/>
          <w:sz w:val="24"/>
        </w:rPr>
      </w:pPr>
      <w:r>
        <w:rPr>
          <w:rFonts w:cs="Arial"/>
          <w:sz w:val="24"/>
        </w:rPr>
        <w:t>2.9</w:t>
      </w:r>
      <w:r>
        <w:rPr>
          <w:rFonts w:cs="Arial"/>
          <w:sz w:val="24"/>
        </w:rPr>
        <w:tab/>
      </w:r>
      <w:r w:rsidRPr="007806BF">
        <w:rPr>
          <w:rFonts w:cs="Arial"/>
          <w:b/>
          <w:sz w:val="24"/>
        </w:rPr>
        <w:t xml:space="preserve">Credit background: </w:t>
      </w:r>
      <w:r w:rsidRPr="007806BF">
        <w:rPr>
          <w:rFonts w:cs="Arial"/>
          <w:sz w:val="24"/>
        </w:rPr>
        <w:t>Credit Default Swap (CDS) spreads drifted up towards the end of 2018 on the back of Brexit uncertainty before declining again in 2019 and continuing to r</w:t>
      </w:r>
      <w:r>
        <w:rPr>
          <w:rFonts w:cs="Arial"/>
          <w:sz w:val="24"/>
        </w:rPr>
        <w:t xml:space="preserve">emain low in historical terms. </w:t>
      </w:r>
      <w:r w:rsidRPr="007806BF">
        <w:rPr>
          <w:rFonts w:cs="Arial"/>
          <w:sz w:val="24"/>
        </w:rPr>
        <w:t xml:space="preserve">After hitting around 129 basis points in December 2018, the spread on non-ringfenced bank NatWest Markets plc fell back </w:t>
      </w:r>
      <w:r w:rsidR="001805E6">
        <w:rPr>
          <w:rFonts w:cs="Arial"/>
          <w:sz w:val="24"/>
        </w:rPr>
        <w:t>to around 96 basis points</w:t>
      </w:r>
      <w:r w:rsidRPr="007806BF">
        <w:rPr>
          <w:rFonts w:cs="Arial"/>
          <w:sz w:val="24"/>
        </w:rPr>
        <w:t xml:space="preserve"> at the end of March, while for the ringfenced entity, National Westminster Bank plc, the CDS spread held r</w:t>
      </w:r>
      <w:r w:rsidR="001F76FD">
        <w:rPr>
          <w:rFonts w:cs="Arial"/>
          <w:sz w:val="24"/>
        </w:rPr>
        <w:t>elatively steady around 40</w:t>
      </w:r>
      <w:r w:rsidR="001805E6">
        <w:rPr>
          <w:rFonts w:cs="Arial"/>
          <w:sz w:val="24"/>
        </w:rPr>
        <w:t xml:space="preserve"> basis points</w:t>
      </w:r>
      <w:r w:rsidR="001F76FD">
        <w:rPr>
          <w:rFonts w:cs="Arial"/>
          <w:sz w:val="24"/>
        </w:rPr>
        <w:t xml:space="preserve">. </w:t>
      </w:r>
      <w:r w:rsidRPr="007806BF">
        <w:rPr>
          <w:rFonts w:cs="Arial"/>
          <w:sz w:val="24"/>
        </w:rPr>
        <w:t>The other main UK banks, as yet not separated into ringfenced and non-ringfenced from a CDS perspe</w:t>
      </w:r>
      <w:r w:rsidR="001805E6">
        <w:rPr>
          <w:rFonts w:cs="Arial"/>
          <w:sz w:val="24"/>
        </w:rPr>
        <w:t>ctive, traded between 33 and 79 basis points</w:t>
      </w:r>
      <w:r w:rsidRPr="007806BF">
        <w:rPr>
          <w:rFonts w:cs="Arial"/>
          <w:sz w:val="24"/>
        </w:rPr>
        <w:t xml:space="preserve"> at the end of the period.</w:t>
      </w:r>
      <w:r w:rsidR="00842CFD">
        <w:rPr>
          <w:rFonts w:cs="Arial"/>
          <w:sz w:val="24"/>
        </w:rPr>
        <w:br/>
      </w:r>
    </w:p>
    <w:p w:rsidR="007806BF" w:rsidRDefault="007806BF" w:rsidP="00842CFD">
      <w:pPr>
        <w:keepNext/>
        <w:widowControl w:val="0"/>
        <w:tabs>
          <w:tab w:val="left" w:pos="720"/>
        </w:tabs>
        <w:suppressAutoHyphens/>
        <w:spacing w:line="240" w:lineRule="auto"/>
        <w:jc w:val="left"/>
        <w:outlineLvl w:val="0"/>
        <w:rPr>
          <w:rFonts w:cs="Arial"/>
          <w:sz w:val="24"/>
        </w:rPr>
      </w:pPr>
      <w:r>
        <w:rPr>
          <w:rFonts w:cs="Arial"/>
          <w:sz w:val="24"/>
        </w:rPr>
        <w:t>2.10</w:t>
      </w:r>
      <w:r>
        <w:rPr>
          <w:rFonts w:cs="Arial"/>
          <w:sz w:val="24"/>
        </w:rPr>
        <w:tab/>
      </w:r>
      <w:r w:rsidRPr="007806BF">
        <w:rPr>
          <w:rFonts w:cs="Arial"/>
          <w:sz w:val="24"/>
        </w:rPr>
        <w:t>The ring-fencing of the big four UK banks (Barclays, Bank of Scotland/Lloyds, HSBC and</w:t>
      </w:r>
      <w:r>
        <w:rPr>
          <w:rFonts w:cs="Arial"/>
          <w:sz w:val="24"/>
        </w:rPr>
        <w:tab/>
      </w:r>
      <w:r w:rsidRPr="007806BF">
        <w:rPr>
          <w:rFonts w:cs="Arial"/>
          <w:sz w:val="24"/>
        </w:rPr>
        <w:t xml:space="preserve">RBS/Natwest Bank plc) transferred their business lines into retail (ringfenced) and </w:t>
      </w:r>
      <w:r>
        <w:rPr>
          <w:rFonts w:cs="Arial"/>
          <w:sz w:val="24"/>
        </w:rPr>
        <w:tab/>
      </w:r>
      <w:r w:rsidRPr="007806BF">
        <w:rPr>
          <w:rFonts w:cs="Arial"/>
          <w:sz w:val="24"/>
        </w:rPr>
        <w:t>investment banking (non-ringfenced) entities.</w:t>
      </w:r>
      <w:r w:rsidR="001805E6">
        <w:rPr>
          <w:rFonts w:cs="Arial"/>
          <w:sz w:val="24"/>
        </w:rPr>
        <w:br/>
      </w:r>
    </w:p>
    <w:p w:rsidR="007806BF" w:rsidRDefault="007806BF" w:rsidP="00EE397F">
      <w:pPr>
        <w:keepNext/>
        <w:widowControl w:val="0"/>
        <w:tabs>
          <w:tab w:val="left" w:pos="720"/>
        </w:tabs>
        <w:suppressAutoHyphens/>
        <w:spacing w:line="240" w:lineRule="auto"/>
        <w:outlineLvl w:val="0"/>
        <w:rPr>
          <w:rFonts w:cs="Arial"/>
          <w:sz w:val="24"/>
        </w:rPr>
      </w:pPr>
      <w:r>
        <w:rPr>
          <w:rFonts w:cs="Arial"/>
          <w:sz w:val="24"/>
        </w:rPr>
        <w:t>2.11</w:t>
      </w:r>
      <w:r>
        <w:rPr>
          <w:rFonts w:cs="Arial"/>
          <w:sz w:val="24"/>
        </w:rPr>
        <w:tab/>
      </w:r>
      <w:r w:rsidRPr="007806BF">
        <w:rPr>
          <w:rFonts w:cs="Arial"/>
          <w:sz w:val="24"/>
        </w:rPr>
        <w:t xml:space="preserve">In February, Fitch put the UK AA sovereign long-term rating on Rating Watch Negative as </w:t>
      </w:r>
      <w:r>
        <w:rPr>
          <w:rFonts w:cs="Arial"/>
          <w:sz w:val="24"/>
        </w:rPr>
        <w:tab/>
      </w:r>
      <w:r w:rsidRPr="007806BF">
        <w:rPr>
          <w:rFonts w:cs="Arial"/>
          <w:sz w:val="24"/>
        </w:rPr>
        <w:t xml:space="preserve">a result of Brexit uncertainty, following this move with the same treatment for UK banks </w:t>
      </w:r>
      <w:r>
        <w:rPr>
          <w:rFonts w:cs="Arial"/>
          <w:sz w:val="24"/>
        </w:rPr>
        <w:tab/>
      </w:r>
      <w:r w:rsidRPr="007806BF">
        <w:rPr>
          <w:rFonts w:cs="Arial"/>
          <w:sz w:val="24"/>
        </w:rPr>
        <w:t>and a number of government-related entities.</w:t>
      </w:r>
    </w:p>
    <w:p w:rsidR="007806BF" w:rsidRDefault="007806BF" w:rsidP="007806BF">
      <w:pPr>
        <w:keepNext/>
        <w:widowControl w:val="0"/>
        <w:tabs>
          <w:tab w:val="left" w:pos="720"/>
        </w:tabs>
        <w:suppressAutoHyphens/>
        <w:spacing w:line="276" w:lineRule="auto"/>
        <w:outlineLvl w:val="0"/>
        <w:rPr>
          <w:rFonts w:cs="Arial"/>
          <w:sz w:val="24"/>
        </w:rPr>
      </w:pPr>
    </w:p>
    <w:p w:rsidR="007806BF" w:rsidRPr="007806BF" w:rsidRDefault="007806BF" w:rsidP="00EE397F">
      <w:pPr>
        <w:keepNext/>
        <w:widowControl w:val="0"/>
        <w:tabs>
          <w:tab w:val="left" w:pos="720"/>
        </w:tabs>
        <w:suppressAutoHyphens/>
        <w:spacing w:line="240" w:lineRule="auto"/>
        <w:jc w:val="left"/>
        <w:outlineLvl w:val="0"/>
        <w:rPr>
          <w:rFonts w:cs="Arial"/>
          <w:sz w:val="24"/>
        </w:rPr>
      </w:pPr>
      <w:r>
        <w:rPr>
          <w:rFonts w:cs="Arial"/>
          <w:sz w:val="24"/>
        </w:rPr>
        <w:t>2.12</w:t>
      </w:r>
      <w:r>
        <w:rPr>
          <w:rFonts w:cs="Arial"/>
          <w:sz w:val="24"/>
        </w:rPr>
        <w:tab/>
      </w:r>
      <w:r w:rsidRPr="007806BF">
        <w:rPr>
          <w:rFonts w:cs="Arial"/>
          <w:sz w:val="24"/>
        </w:rPr>
        <w:t xml:space="preserve">There were minimal other credit rating changes during the period. Moody’s revised the </w:t>
      </w:r>
      <w:r>
        <w:rPr>
          <w:rFonts w:cs="Arial"/>
          <w:sz w:val="24"/>
        </w:rPr>
        <w:tab/>
      </w:r>
      <w:r w:rsidRPr="007806BF">
        <w:rPr>
          <w:rFonts w:cs="Arial"/>
          <w:sz w:val="24"/>
        </w:rPr>
        <w:t xml:space="preserve">outlook on Santander UK to positive from stable to reflect the bank’s expected issuance </w:t>
      </w:r>
      <w:r>
        <w:rPr>
          <w:rFonts w:cs="Arial"/>
          <w:sz w:val="24"/>
        </w:rPr>
        <w:lastRenderedPageBreak/>
        <w:tab/>
      </w:r>
      <w:r w:rsidRPr="007806BF">
        <w:rPr>
          <w:rFonts w:cs="Arial"/>
          <w:sz w:val="24"/>
        </w:rPr>
        <w:t xml:space="preserve">plans which will provide additional protection for the its senior unsecured debt and </w:t>
      </w:r>
      <w:r>
        <w:rPr>
          <w:rFonts w:cs="Arial"/>
          <w:sz w:val="24"/>
        </w:rPr>
        <w:tab/>
      </w:r>
      <w:r w:rsidRPr="007806BF">
        <w:rPr>
          <w:rFonts w:cs="Arial"/>
          <w:sz w:val="24"/>
        </w:rPr>
        <w:t>deposits.</w:t>
      </w:r>
    </w:p>
    <w:p w:rsidR="00BE0F80" w:rsidRPr="0091260A" w:rsidRDefault="00BE0F80" w:rsidP="00BE0F80">
      <w:pPr>
        <w:rPr>
          <w:rFonts w:cs="Arial"/>
        </w:rPr>
      </w:pPr>
    </w:p>
    <w:p w:rsidR="007806BF" w:rsidRDefault="007806BF" w:rsidP="00BE0F80">
      <w:pPr>
        <w:pStyle w:val="NoSpacing"/>
        <w:rPr>
          <w:rFonts w:ascii="Arial" w:hAnsi="Arial" w:cs="Arial"/>
          <w:b/>
          <w:sz w:val="24"/>
          <w:szCs w:val="24"/>
          <w:u w:val="single"/>
        </w:rPr>
      </w:pPr>
      <w:r>
        <w:rPr>
          <w:rFonts w:ascii="Arial" w:hAnsi="Arial" w:cs="Arial"/>
          <w:b/>
          <w:sz w:val="24"/>
          <w:szCs w:val="24"/>
        </w:rPr>
        <w:t>3</w:t>
      </w:r>
      <w:r w:rsidR="00BE0F80" w:rsidRPr="00F30DD3">
        <w:rPr>
          <w:rFonts w:ascii="Arial" w:hAnsi="Arial" w:cs="Arial"/>
          <w:b/>
          <w:sz w:val="24"/>
          <w:szCs w:val="24"/>
        </w:rPr>
        <w:t>.0</w:t>
      </w:r>
      <w:r w:rsidR="00BE0F80" w:rsidRPr="00F30DD3">
        <w:rPr>
          <w:rFonts w:ascii="Arial" w:hAnsi="Arial" w:cs="Arial"/>
          <w:b/>
          <w:sz w:val="24"/>
          <w:szCs w:val="24"/>
        </w:rPr>
        <w:tab/>
      </w:r>
      <w:r w:rsidR="00BE0F80">
        <w:rPr>
          <w:rFonts w:ascii="Arial" w:hAnsi="Arial" w:cs="Arial"/>
          <w:b/>
          <w:sz w:val="24"/>
          <w:szCs w:val="24"/>
          <w:u w:val="single"/>
        </w:rPr>
        <w:t>Local Context</w:t>
      </w:r>
    </w:p>
    <w:p w:rsidR="00DB3D47" w:rsidRDefault="007806BF" w:rsidP="00BE0F80">
      <w:pPr>
        <w:pStyle w:val="NoSpacing"/>
        <w:rPr>
          <w:rFonts w:ascii="Arial" w:hAnsi="Arial" w:cs="Arial"/>
          <w:sz w:val="24"/>
          <w:szCs w:val="24"/>
        </w:rPr>
      </w:pPr>
      <w:r>
        <w:rPr>
          <w:rFonts w:ascii="Arial" w:hAnsi="Arial" w:cs="Arial"/>
          <w:b/>
          <w:sz w:val="24"/>
          <w:szCs w:val="24"/>
          <w:u w:val="single"/>
        </w:rPr>
        <w:br/>
      </w:r>
      <w:r>
        <w:rPr>
          <w:rFonts w:ascii="Arial" w:hAnsi="Arial" w:cs="Arial"/>
          <w:sz w:val="24"/>
          <w:szCs w:val="24"/>
        </w:rPr>
        <w:t>3.1</w:t>
      </w:r>
      <w:r>
        <w:rPr>
          <w:rFonts w:ascii="Arial" w:hAnsi="Arial" w:cs="Arial"/>
          <w:sz w:val="24"/>
          <w:szCs w:val="24"/>
        </w:rPr>
        <w:tab/>
      </w:r>
      <w:r w:rsidR="00BE0F80">
        <w:rPr>
          <w:rFonts w:ascii="Arial" w:hAnsi="Arial" w:cs="Arial"/>
          <w:sz w:val="24"/>
          <w:szCs w:val="24"/>
        </w:rPr>
        <w:t>On the 31</w:t>
      </w:r>
      <w:r w:rsidR="00BE0F80" w:rsidRPr="003E79FD">
        <w:rPr>
          <w:rFonts w:ascii="Arial" w:hAnsi="Arial" w:cs="Arial"/>
          <w:sz w:val="24"/>
          <w:szCs w:val="24"/>
          <w:vertAlign w:val="superscript"/>
        </w:rPr>
        <w:t>st</w:t>
      </w:r>
      <w:r>
        <w:rPr>
          <w:rFonts w:ascii="Arial" w:hAnsi="Arial" w:cs="Arial"/>
          <w:sz w:val="24"/>
          <w:szCs w:val="24"/>
        </w:rPr>
        <w:t xml:space="preserve"> March 2019</w:t>
      </w:r>
      <w:r w:rsidR="00BE0F80">
        <w:rPr>
          <w:rFonts w:ascii="Arial" w:hAnsi="Arial" w:cs="Arial"/>
          <w:sz w:val="24"/>
          <w:szCs w:val="24"/>
        </w:rPr>
        <w:t xml:space="preserve"> the</w:t>
      </w:r>
      <w:r w:rsidR="00EE397F">
        <w:rPr>
          <w:rFonts w:ascii="Arial" w:hAnsi="Arial" w:cs="Arial"/>
          <w:sz w:val="24"/>
          <w:szCs w:val="24"/>
        </w:rPr>
        <w:t xml:space="preserve"> PFCC had net investments of £18.5</w:t>
      </w:r>
      <w:r w:rsidR="007B3D4D">
        <w:rPr>
          <w:rFonts w:ascii="Arial" w:hAnsi="Arial" w:cs="Arial"/>
          <w:sz w:val="24"/>
          <w:szCs w:val="24"/>
        </w:rPr>
        <w:t>40</w:t>
      </w:r>
      <w:r w:rsidR="00BE0F80">
        <w:rPr>
          <w:rFonts w:ascii="Arial" w:hAnsi="Arial" w:cs="Arial"/>
          <w:sz w:val="24"/>
          <w:szCs w:val="24"/>
        </w:rPr>
        <w:t xml:space="preserve">m arising from its </w:t>
      </w:r>
      <w:r w:rsidR="00BE0F80">
        <w:rPr>
          <w:rFonts w:ascii="Arial" w:hAnsi="Arial" w:cs="Arial"/>
          <w:sz w:val="24"/>
          <w:szCs w:val="24"/>
        </w:rPr>
        <w:tab/>
        <w:t>revenue and capital income and expenditure, a</w:t>
      </w:r>
      <w:r w:rsidR="00EE397F">
        <w:rPr>
          <w:rFonts w:ascii="Arial" w:hAnsi="Arial" w:cs="Arial"/>
          <w:sz w:val="24"/>
          <w:szCs w:val="24"/>
        </w:rPr>
        <w:t>n increase of £4.4</w:t>
      </w:r>
      <w:r w:rsidR="007B3D4D">
        <w:rPr>
          <w:rFonts w:ascii="Arial" w:hAnsi="Arial" w:cs="Arial"/>
          <w:sz w:val="24"/>
          <w:szCs w:val="24"/>
        </w:rPr>
        <w:t>10</w:t>
      </w:r>
      <w:r w:rsidR="00BE0F80">
        <w:rPr>
          <w:rFonts w:ascii="Arial" w:hAnsi="Arial" w:cs="Arial"/>
          <w:sz w:val="24"/>
          <w:szCs w:val="24"/>
        </w:rPr>
        <w:t xml:space="preserve">m compared to </w:t>
      </w:r>
      <w:r w:rsidR="00BE0F80">
        <w:rPr>
          <w:rFonts w:ascii="Arial" w:hAnsi="Arial" w:cs="Arial"/>
          <w:sz w:val="24"/>
          <w:szCs w:val="24"/>
        </w:rPr>
        <w:tab/>
        <w:t>the corresponding position as at 31</w:t>
      </w:r>
      <w:r w:rsidR="00BE0F80" w:rsidRPr="003E79FD">
        <w:rPr>
          <w:rFonts w:ascii="Arial" w:hAnsi="Arial" w:cs="Arial"/>
          <w:sz w:val="24"/>
          <w:szCs w:val="24"/>
          <w:vertAlign w:val="superscript"/>
        </w:rPr>
        <w:t>st</w:t>
      </w:r>
      <w:r w:rsidR="00EE397F">
        <w:rPr>
          <w:rFonts w:ascii="Arial" w:hAnsi="Arial" w:cs="Arial"/>
          <w:sz w:val="24"/>
          <w:szCs w:val="24"/>
        </w:rPr>
        <w:t xml:space="preserve"> March 2018</w:t>
      </w:r>
      <w:r w:rsidR="00BE0F80">
        <w:rPr>
          <w:rFonts w:ascii="Arial" w:hAnsi="Arial" w:cs="Arial"/>
          <w:sz w:val="24"/>
          <w:szCs w:val="24"/>
        </w:rPr>
        <w:t xml:space="preserve">. The underlying need to borrow for </w:t>
      </w:r>
      <w:r w:rsidR="00BE0F80">
        <w:rPr>
          <w:rFonts w:ascii="Arial" w:hAnsi="Arial" w:cs="Arial"/>
          <w:sz w:val="24"/>
          <w:szCs w:val="24"/>
        </w:rPr>
        <w:tab/>
        <w:t xml:space="preserve">capital purposes is measured by the Capital Financing Requirement (CFR), while </w:t>
      </w:r>
      <w:r w:rsidR="00BE0F80">
        <w:rPr>
          <w:rFonts w:ascii="Arial" w:hAnsi="Arial" w:cs="Arial"/>
          <w:sz w:val="24"/>
          <w:szCs w:val="24"/>
        </w:rPr>
        <w:tab/>
        <w:t xml:space="preserve">usable reserves and working capital are the underlying resources available for </w:t>
      </w:r>
      <w:r w:rsidR="00BE0F80">
        <w:rPr>
          <w:rFonts w:ascii="Arial" w:hAnsi="Arial" w:cs="Arial"/>
          <w:sz w:val="24"/>
          <w:szCs w:val="24"/>
        </w:rPr>
        <w:tab/>
        <w:t xml:space="preserve">investment. These factors and the year-on-year change are summarised in table 1 </w:t>
      </w:r>
      <w:r w:rsidR="00BE0F80">
        <w:rPr>
          <w:rFonts w:ascii="Arial" w:hAnsi="Arial" w:cs="Arial"/>
          <w:sz w:val="24"/>
          <w:szCs w:val="24"/>
        </w:rPr>
        <w:tab/>
        <w:t>below.</w:t>
      </w:r>
    </w:p>
    <w:p w:rsidR="00DB3D47" w:rsidRPr="00DB3D47" w:rsidRDefault="00DB3D47" w:rsidP="00BE0F80">
      <w:pPr>
        <w:pStyle w:val="NoSpacing"/>
        <w:rPr>
          <w:rFonts w:ascii="Arial" w:hAnsi="Arial" w:cs="Arial"/>
          <w:sz w:val="24"/>
          <w:szCs w:val="24"/>
        </w:rPr>
      </w:pPr>
    </w:p>
    <w:p w:rsidR="00BE0F80" w:rsidRPr="003E79FD" w:rsidRDefault="00BE0F80" w:rsidP="00DB3D47">
      <w:pPr>
        <w:pStyle w:val="NoSpacing"/>
        <w:framePr w:hSpace="180" w:wrap="around" w:vAnchor="text" w:hAnchor="page" w:x="1666" w:y="205"/>
        <w:rPr>
          <w:rFonts w:ascii="Arial" w:hAnsi="Arial" w:cs="Arial"/>
          <w:sz w:val="24"/>
          <w:szCs w:val="24"/>
          <w:u w:val="single"/>
        </w:rPr>
      </w:pPr>
      <w:r w:rsidRPr="003E79FD">
        <w:rPr>
          <w:rFonts w:ascii="Arial" w:hAnsi="Arial" w:cs="Arial"/>
          <w:sz w:val="24"/>
          <w:szCs w:val="24"/>
          <w:u w:val="single"/>
        </w:rPr>
        <w:t>Table</w:t>
      </w:r>
      <w:r>
        <w:rPr>
          <w:rFonts w:ascii="Arial" w:hAnsi="Arial" w:cs="Arial"/>
          <w:sz w:val="24"/>
          <w:szCs w:val="24"/>
          <w:u w:val="single"/>
        </w:rPr>
        <w:t xml:space="preserve"> </w:t>
      </w:r>
      <w:r w:rsidRPr="003E79FD">
        <w:rPr>
          <w:rFonts w:ascii="Arial" w:hAnsi="Arial" w:cs="Arial"/>
          <w:sz w:val="24"/>
          <w:szCs w:val="24"/>
          <w:u w:val="single"/>
        </w:rPr>
        <w:t>1: Balance Sheet Summary</w:t>
      </w:r>
    </w:p>
    <w:p w:rsidR="00BE0F80" w:rsidRDefault="00BE0F80" w:rsidP="00BE0F80">
      <w:pPr>
        <w:pStyle w:val="NoSpacing"/>
        <w:rPr>
          <w:rFonts w:ascii="Arial" w:hAnsi="Arial" w:cs="Arial"/>
          <w:sz w:val="24"/>
          <w:szCs w:val="24"/>
        </w:rPr>
      </w:pPr>
    </w:p>
    <w:p w:rsidR="00BE0F80" w:rsidRDefault="00BE0F80" w:rsidP="00BE0F80">
      <w:pPr>
        <w:pStyle w:val="NoSpacing"/>
        <w:rPr>
          <w:rFonts w:ascii="Arial" w:hAnsi="Arial" w:cs="Arial"/>
          <w:sz w:val="24"/>
          <w:szCs w:val="24"/>
        </w:rPr>
      </w:pPr>
    </w:p>
    <w:tbl>
      <w:tblPr>
        <w:tblpPr w:leftFromText="180" w:rightFromText="180" w:vertAnchor="text" w:horzAnchor="page" w:tblpX="1681" w:tblpY="179"/>
        <w:tblW w:w="6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1132"/>
        <w:gridCol w:w="1403"/>
        <w:gridCol w:w="1133"/>
      </w:tblGrid>
      <w:tr w:rsidR="00DB3D47" w:rsidRPr="00940DF6" w:rsidTr="00DB3D47">
        <w:tc>
          <w:tcPr>
            <w:tcW w:w="3285" w:type="dxa"/>
            <w:vAlign w:val="center"/>
          </w:tcPr>
          <w:p w:rsidR="00DB3D47" w:rsidRPr="001B0578" w:rsidRDefault="00DB3D47" w:rsidP="00DB3D47">
            <w:pPr>
              <w:rPr>
                <w:rFonts w:cs="Arial"/>
                <w:bCs/>
                <w:sz w:val="24"/>
              </w:rPr>
            </w:pPr>
          </w:p>
        </w:tc>
        <w:tc>
          <w:tcPr>
            <w:tcW w:w="1132" w:type="dxa"/>
            <w:vAlign w:val="center"/>
          </w:tcPr>
          <w:p w:rsidR="00DB3D47" w:rsidRPr="001B0578" w:rsidRDefault="00DB3D47" w:rsidP="00DB3D47">
            <w:pPr>
              <w:spacing w:line="240" w:lineRule="auto"/>
              <w:jc w:val="center"/>
              <w:rPr>
                <w:rFonts w:cs="Arial"/>
                <w:b/>
                <w:bCs/>
                <w:sz w:val="24"/>
              </w:rPr>
            </w:pPr>
            <w:r w:rsidRPr="001B0578">
              <w:rPr>
                <w:rFonts w:cs="Arial"/>
                <w:b/>
                <w:bCs/>
                <w:sz w:val="24"/>
              </w:rPr>
              <w:t>31.3.18</w:t>
            </w:r>
          </w:p>
          <w:p w:rsidR="00DB3D47" w:rsidRPr="001B0578" w:rsidRDefault="00DB3D47" w:rsidP="00DB3D47">
            <w:pPr>
              <w:spacing w:line="240" w:lineRule="auto"/>
              <w:jc w:val="center"/>
              <w:rPr>
                <w:rFonts w:cs="Arial"/>
                <w:b/>
                <w:bCs/>
                <w:sz w:val="24"/>
              </w:rPr>
            </w:pPr>
            <w:r w:rsidRPr="001B0578">
              <w:rPr>
                <w:rFonts w:cs="Arial"/>
                <w:b/>
                <w:bCs/>
                <w:sz w:val="24"/>
              </w:rPr>
              <w:t>Actual</w:t>
            </w:r>
          </w:p>
          <w:p w:rsidR="00DB3D47" w:rsidRPr="001B0578" w:rsidRDefault="00DB3D47" w:rsidP="00DB3D47">
            <w:pPr>
              <w:spacing w:line="240" w:lineRule="auto"/>
              <w:jc w:val="center"/>
              <w:rPr>
                <w:rFonts w:cs="Arial"/>
                <w:b/>
                <w:bCs/>
                <w:sz w:val="24"/>
              </w:rPr>
            </w:pPr>
            <w:r w:rsidRPr="001B0578">
              <w:rPr>
                <w:rFonts w:cs="Arial"/>
                <w:b/>
                <w:bCs/>
                <w:sz w:val="24"/>
              </w:rPr>
              <w:t>£m</w:t>
            </w:r>
          </w:p>
        </w:tc>
        <w:tc>
          <w:tcPr>
            <w:tcW w:w="1403" w:type="dxa"/>
            <w:vAlign w:val="center"/>
          </w:tcPr>
          <w:p w:rsidR="00DB3D47" w:rsidRPr="001B0578" w:rsidRDefault="00DB3D47" w:rsidP="00DB3D47">
            <w:pPr>
              <w:spacing w:line="240" w:lineRule="auto"/>
              <w:jc w:val="center"/>
              <w:rPr>
                <w:rFonts w:cs="Arial"/>
                <w:b/>
                <w:bCs/>
                <w:sz w:val="24"/>
              </w:rPr>
            </w:pPr>
            <w:r w:rsidRPr="001B0578">
              <w:rPr>
                <w:rFonts w:cs="Arial"/>
                <w:b/>
                <w:bCs/>
                <w:sz w:val="24"/>
              </w:rPr>
              <w:t>2018/19</w:t>
            </w:r>
          </w:p>
          <w:p w:rsidR="00DB3D47" w:rsidRPr="001B0578" w:rsidRDefault="00DB3D47" w:rsidP="00DB3D47">
            <w:pPr>
              <w:spacing w:line="240" w:lineRule="auto"/>
              <w:jc w:val="center"/>
              <w:rPr>
                <w:rFonts w:cs="Arial"/>
                <w:b/>
                <w:bCs/>
                <w:sz w:val="24"/>
              </w:rPr>
            </w:pPr>
            <w:r w:rsidRPr="001B0578">
              <w:rPr>
                <w:rFonts w:cs="Arial"/>
                <w:b/>
                <w:bCs/>
                <w:sz w:val="24"/>
              </w:rPr>
              <w:t>Movement</w:t>
            </w:r>
          </w:p>
          <w:p w:rsidR="00DB3D47" w:rsidRPr="001B0578" w:rsidRDefault="00DB3D47" w:rsidP="00DB3D47">
            <w:pPr>
              <w:spacing w:line="240" w:lineRule="auto"/>
              <w:jc w:val="center"/>
              <w:rPr>
                <w:rFonts w:cs="Arial"/>
                <w:b/>
                <w:bCs/>
                <w:sz w:val="24"/>
              </w:rPr>
            </w:pPr>
            <w:r w:rsidRPr="001B0578">
              <w:rPr>
                <w:rFonts w:cs="Arial"/>
                <w:b/>
                <w:bCs/>
                <w:sz w:val="24"/>
              </w:rPr>
              <w:t>£m</w:t>
            </w:r>
          </w:p>
        </w:tc>
        <w:tc>
          <w:tcPr>
            <w:tcW w:w="1133" w:type="dxa"/>
            <w:vAlign w:val="center"/>
          </w:tcPr>
          <w:p w:rsidR="00DB3D47" w:rsidRPr="001B0578" w:rsidRDefault="00DB3D47" w:rsidP="00DB3D47">
            <w:pPr>
              <w:spacing w:line="240" w:lineRule="auto"/>
              <w:jc w:val="center"/>
              <w:rPr>
                <w:rFonts w:cs="Arial"/>
                <w:b/>
                <w:bCs/>
                <w:sz w:val="24"/>
              </w:rPr>
            </w:pPr>
            <w:r w:rsidRPr="001B0578">
              <w:rPr>
                <w:rFonts w:cs="Arial"/>
                <w:b/>
                <w:bCs/>
                <w:sz w:val="24"/>
              </w:rPr>
              <w:t>31.3.19</w:t>
            </w:r>
          </w:p>
          <w:p w:rsidR="00DB3D47" w:rsidRPr="001B0578" w:rsidRDefault="00DB3D47" w:rsidP="00DB3D47">
            <w:pPr>
              <w:spacing w:line="240" w:lineRule="auto"/>
              <w:jc w:val="center"/>
              <w:rPr>
                <w:rFonts w:cs="Arial"/>
                <w:b/>
                <w:bCs/>
                <w:sz w:val="24"/>
              </w:rPr>
            </w:pPr>
            <w:r w:rsidRPr="001B0578">
              <w:rPr>
                <w:rFonts w:cs="Arial"/>
                <w:b/>
                <w:bCs/>
                <w:sz w:val="24"/>
              </w:rPr>
              <w:t>Actual</w:t>
            </w:r>
          </w:p>
          <w:p w:rsidR="00DB3D47" w:rsidRPr="001B0578" w:rsidRDefault="00DB3D47" w:rsidP="00DB3D47">
            <w:pPr>
              <w:spacing w:line="240" w:lineRule="auto"/>
              <w:jc w:val="center"/>
              <w:rPr>
                <w:rFonts w:cs="Arial"/>
                <w:b/>
                <w:bCs/>
                <w:sz w:val="24"/>
              </w:rPr>
            </w:pPr>
            <w:r w:rsidRPr="001B0578">
              <w:rPr>
                <w:rFonts w:cs="Arial"/>
                <w:b/>
                <w:bCs/>
                <w:sz w:val="24"/>
              </w:rPr>
              <w:t>£m</w:t>
            </w:r>
          </w:p>
        </w:tc>
      </w:tr>
      <w:tr w:rsidR="00DB3D47" w:rsidRPr="00940DF6" w:rsidTr="00DB3D47">
        <w:trPr>
          <w:trHeight w:val="340"/>
        </w:trPr>
        <w:tc>
          <w:tcPr>
            <w:tcW w:w="3285" w:type="dxa"/>
            <w:vAlign w:val="center"/>
          </w:tcPr>
          <w:p w:rsidR="00DB3D47" w:rsidRPr="001B0578" w:rsidRDefault="00DB3D47" w:rsidP="00DB3D47">
            <w:pPr>
              <w:rPr>
                <w:rFonts w:cs="Arial"/>
                <w:bCs/>
                <w:sz w:val="24"/>
              </w:rPr>
            </w:pPr>
            <w:r w:rsidRPr="001B0578">
              <w:rPr>
                <w:rFonts w:cs="Arial"/>
                <w:bCs/>
                <w:sz w:val="24"/>
              </w:rPr>
              <w:t>CFR</w:t>
            </w:r>
          </w:p>
        </w:tc>
        <w:tc>
          <w:tcPr>
            <w:tcW w:w="1132" w:type="dxa"/>
            <w:vAlign w:val="center"/>
          </w:tcPr>
          <w:p w:rsidR="00DB3D47" w:rsidRPr="001B0578" w:rsidRDefault="00DB3D47" w:rsidP="00DB3D47">
            <w:pPr>
              <w:jc w:val="right"/>
              <w:rPr>
                <w:rFonts w:cs="Arial"/>
                <w:bCs/>
                <w:sz w:val="24"/>
              </w:rPr>
            </w:pPr>
            <w:r w:rsidRPr="001B0578">
              <w:rPr>
                <w:rFonts w:cs="Arial"/>
                <w:bCs/>
                <w:sz w:val="24"/>
              </w:rPr>
              <w:t>8.755</w:t>
            </w:r>
          </w:p>
        </w:tc>
        <w:tc>
          <w:tcPr>
            <w:tcW w:w="1403" w:type="dxa"/>
            <w:vAlign w:val="center"/>
          </w:tcPr>
          <w:p w:rsidR="00DB3D47" w:rsidRPr="001B0578" w:rsidRDefault="00DB3D47" w:rsidP="00DB3D47">
            <w:pPr>
              <w:jc w:val="right"/>
              <w:rPr>
                <w:rFonts w:cs="Arial"/>
                <w:bCs/>
                <w:sz w:val="24"/>
              </w:rPr>
            </w:pPr>
            <w:r w:rsidRPr="001B0578">
              <w:rPr>
                <w:rFonts w:cs="Arial"/>
                <w:bCs/>
                <w:sz w:val="24"/>
              </w:rPr>
              <w:t>(2.189)</w:t>
            </w:r>
          </w:p>
        </w:tc>
        <w:tc>
          <w:tcPr>
            <w:tcW w:w="1133" w:type="dxa"/>
            <w:vAlign w:val="center"/>
          </w:tcPr>
          <w:p w:rsidR="00DB3D47" w:rsidRPr="001B0578" w:rsidRDefault="00DB3D47" w:rsidP="00DB3D47">
            <w:pPr>
              <w:jc w:val="right"/>
              <w:rPr>
                <w:rFonts w:cs="Arial"/>
                <w:bCs/>
                <w:sz w:val="24"/>
              </w:rPr>
            </w:pPr>
            <w:r w:rsidRPr="001B0578">
              <w:rPr>
                <w:rFonts w:cs="Arial"/>
                <w:bCs/>
                <w:sz w:val="24"/>
              </w:rPr>
              <w:t>6.566</w:t>
            </w:r>
          </w:p>
        </w:tc>
      </w:tr>
      <w:tr w:rsidR="00DB3D47" w:rsidRPr="00940DF6" w:rsidTr="00DB3D47">
        <w:trPr>
          <w:trHeight w:val="340"/>
        </w:trPr>
        <w:tc>
          <w:tcPr>
            <w:tcW w:w="3285" w:type="dxa"/>
            <w:vAlign w:val="center"/>
          </w:tcPr>
          <w:p w:rsidR="00DB3D47" w:rsidRPr="001B0578" w:rsidRDefault="00DB3D47" w:rsidP="00DB3D47">
            <w:pPr>
              <w:rPr>
                <w:rFonts w:cs="Arial"/>
                <w:bCs/>
                <w:sz w:val="24"/>
              </w:rPr>
            </w:pPr>
            <w:r w:rsidRPr="001B0578">
              <w:rPr>
                <w:rFonts w:cs="Arial"/>
                <w:bCs/>
                <w:sz w:val="24"/>
              </w:rPr>
              <w:t>Less: Usable reserves</w:t>
            </w:r>
          </w:p>
        </w:tc>
        <w:tc>
          <w:tcPr>
            <w:tcW w:w="1132" w:type="dxa"/>
            <w:vAlign w:val="center"/>
          </w:tcPr>
          <w:p w:rsidR="00DB3D47" w:rsidRPr="001B0578" w:rsidRDefault="00DB3D47" w:rsidP="00DB3D47">
            <w:pPr>
              <w:jc w:val="right"/>
              <w:rPr>
                <w:rFonts w:cs="Arial"/>
                <w:bCs/>
                <w:sz w:val="24"/>
              </w:rPr>
            </w:pPr>
            <w:r w:rsidRPr="001B0578">
              <w:rPr>
                <w:rFonts w:cs="Arial"/>
                <w:bCs/>
                <w:sz w:val="24"/>
              </w:rPr>
              <w:t>(21.893)</w:t>
            </w:r>
          </w:p>
        </w:tc>
        <w:tc>
          <w:tcPr>
            <w:tcW w:w="1403" w:type="dxa"/>
            <w:vAlign w:val="center"/>
          </w:tcPr>
          <w:p w:rsidR="00DB3D47" w:rsidRPr="001B0578" w:rsidRDefault="00DB3D47" w:rsidP="00DB3D47">
            <w:pPr>
              <w:jc w:val="right"/>
              <w:rPr>
                <w:rFonts w:cs="Arial"/>
                <w:bCs/>
                <w:sz w:val="24"/>
              </w:rPr>
            </w:pPr>
            <w:r w:rsidRPr="001B0578">
              <w:rPr>
                <w:rFonts w:cs="Arial"/>
                <w:bCs/>
                <w:sz w:val="24"/>
              </w:rPr>
              <w:t>(0.916)</w:t>
            </w:r>
          </w:p>
        </w:tc>
        <w:tc>
          <w:tcPr>
            <w:tcW w:w="1133" w:type="dxa"/>
            <w:vAlign w:val="center"/>
          </w:tcPr>
          <w:p w:rsidR="00DB3D47" w:rsidRPr="001B0578" w:rsidRDefault="00DB3D47" w:rsidP="00DB3D47">
            <w:pPr>
              <w:jc w:val="right"/>
              <w:rPr>
                <w:rFonts w:cs="Arial"/>
                <w:bCs/>
                <w:sz w:val="24"/>
              </w:rPr>
            </w:pPr>
            <w:r w:rsidRPr="001B0578">
              <w:rPr>
                <w:rFonts w:cs="Arial"/>
                <w:bCs/>
                <w:sz w:val="24"/>
              </w:rPr>
              <w:t>(22.809)</w:t>
            </w:r>
          </w:p>
        </w:tc>
      </w:tr>
      <w:tr w:rsidR="00DB3D47" w:rsidRPr="00940DF6" w:rsidTr="00DB3D47">
        <w:trPr>
          <w:trHeight w:val="340"/>
        </w:trPr>
        <w:tc>
          <w:tcPr>
            <w:tcW w:w="3285" w:type="dxa"/>
            <w:vAlign w:val="center"/>
          </w:tcPr>
          <w:p w:rsidR="00DB3D47" w:rsidRPr="001B0578" w:rsidRDefault="00DB3D47" w:rsidP="00DB3D47">
            <w:pPr>
              <w:rPr>
                <w:rFonts w:cs="Arial"/>
                <w:bCs/>
                <w:sz w:val="24"/>
              </w:rPr>
            </w:pPr>
            <w:r w:rsidRPr="001B0578">
              <w:rPr>
                <w:rFonts w:cs="Arial"/>
                <w:bCs/>
                <w:sz w:val="24"/>
              </w:rPr>
              <w:t>Less: Working capital</w:t>
            </w:r>
          </w:p>
        </w:tc>
        <w:tc>
          <w:tcPr>
            <w:tcW w:w="1132" w:type="dxa"/>
            <w:vAlign w:val="center"/>
          </w:tcPr>
          <w:p w:rsidR="00DB3D47" w:rsidRPr="001B0578" w:rsidRDefault="00DB3D47" w:rsidP="00DB3D47">
            <w:pPr>
              <w:jc w:val="right"/>
              <w:rPr>
                <w:rFonts w:cs="Arial"/>
                <w:bCs/>
                <w:sz w:val="24"/>
              </w:rPr>
            </w:pPr>
            <w:r w:rsidRPr="001B0578">
              <w:rPr>
                <w:rFonts w:cs="Arial"/>
                <w:bCs/>
                <w:sz w:val="24"/>
              </w:rPr>
              <w:t>(0.991)</w:t>
            </w:r>
          </w:p>
        </w:tc>
        <w:tc>
          <w:tcPr>
            <w:tcW w:w="1403" w:type="dxa"/>
            <w:vAlign w:val="center"/>
          </w:tcPr>
          <w:p w:rsidR="00DB3D47" w:rsidRPr="001B0578" w:rsidRDefault="00DB3D47" w:rsidP="00DB3D47">
            <w:pPr>
              <w:jc w:val="right"/>
              <w:rPr>
                <w:rFonts w:cs="Arial"/>
                <w:bCs/>
                <w:sz w:val="24"/>
              </w:rPr>
            </w:pPr>
            <w:r w:rsidRPr="001B0578">
              <w:rPr>
                <w:rFonts w:cs="Arial"/>
                <w:bCs/>
                <w:sz w:val="24"/>
              </w:rPr>
              <w:t>(1.305)</w:t>
            </w:r>
          </w:p>
        </w:tc>
        <w:tc>
          <w:tcPr>
            <w:tcW w:w="1133" w:type="dxa"/>
            <w:vAlign w:val="center"/>
          </w:tcPr>
          <w:p w:rsidR="00DB3D47" w:rsidRPr="001B0578" w:rsidRDefault="00DB3D47" w:rsidP="00DB3D47">
            <w:pPr>
              <w:jc w:val="right"/>
              <w:rPr>
                <w:rFonts w:cs="Arial"/>
                <w:bCs/>
                <w:sz w:val="24"/>
              </w:rPr>
            </w:pPr>
            <w:r w:rsidRPr="001B0578">
              <w:rPr>
                <w:rFonts w:cs="Arial"/>
                <w:bCs/>
                <w:sz w:val="24"/>
              </w:rPr>
              <w:t>(2.296)</w:t>
            </w:r>
          </w:p>
        </w:tc>
      </w:tr>
      <w:tr w:rsidR="00DB3D47" w:rsidRPr="00940DF6" w:rsidTr="00DB3D47">
        <w:trPr>
          <w:trHeight w:val="340"/>
        </w:trPr>
        <w:tc>
          <w:tcPr>
            <w:tcW w:w="3285" w:type="dxa"/>
            <w:vAlign w:val="center"/>
          </w:tcPr>
          <w:p w:rsidR="00DB3D47" w:rsidRPr="001B0578" w:rsidRDefault="00DB3D47" w:rsidP="00DB3D47">
            <w:pPr>
              <w:rPr>
                <w:rFonts w:cs="Arial"/>
                <w:b/>
                <w:bCs/>
                <w:sz w:val="24"/>
              </w:rPr>
            </w:pPr>
            <w:r w:rsidRPr="001B0578">
              <w:rPr>
                <w:rFonts w:cs="Arial"/>
                <w:b/>
                <w:bCs/>
                <w:sz w:val="24"/>
              </w:rPr>
              <w:t>Net Investments</w:t>
            </w:r>
          </w:p>
        </w:tc>
        <w:tc>
          <w:tcPr>
            <w:tcW w:w="1132" w:type="dxa"/>
            <w:vAlign w:val="center"/>
          </w:tcPr>
          <w:p w:rsidR="00DB3D47" w:rsidRPr="001B0578" w:rsidRDefault="00DB3D47" w:rsidP="00DB3D47">
            <w:pPr>
              <w:jc w:val="right"/>
              <w:rPr>
                <w:rFonts w:cs="Arial"/>
                <w:b/>
                <w:bCs/>
                <w:sz w:val="24"/>
              </w:rPr>
            </w:pPr>
            <w:r w:rsidRPr="001B0578">
              <w:rPr>
                <w:rFonts w:cs="Arial"/>
                <w:b/>
                <w:bCs/>
                <w:sz w:val="24"/>
              </w:rPr>
              <w:t>14.130</w:t>
            </w:r>
          </w:p>
        </w:tc>
        <w:tc>
          <w:tcPr>
            <w:tcW w:w="1403" w:type="dxa"/>
            <w:vAlign w:val="center"/>
          </w:tcPr>
          <w:p w:rsidR="00DB3D47" w:rsidRPr="001B0578" w:rsidRDefault="00DB3D47" w:rsidP="00DB3D47">
            <w:pPr>
              <w:jc w:val="right"/>
              <w:rPr>
                <w:rFonts w:cs="Arial"/>
                <w:b/>
                <w:bCs/>
                <w:sz w:val="24"/>
              </w:rPr>
            </w:pPr>
            <w:r w:rsidRPr="001B0578">
              <w:rPr>
                <w:rFonts w:cs="Arial"/>
                <w:b/>
                <w:bCs/>
                <w:sz w:val="24"/>
              </w:rPr>
              <w:t>4.410</w:t>
            </w:r>
          </w:p>
        </w:tc>
        <w:tc>
          <w:tcPr>
            <w:tcW w:w="1133" w:type="dxa"/>
            <w:vAlign w:val="center"/>
          </w:tcPr>
          <w:p w:rsidR="00DB3D47" w:rsidRPr="001B0578" w:rsidRDefault="00DB3D47" w:rsidP="00DB3D47">
            <w:pPr>
              <w:jc w:val="right"/>
              <w:rPr>
                <w:rFonts w:cs="Arial"/>
                <w:b/>
                <w:bCs/>
                <w:sz w:val="24"/>
              </w:rPr>
            </w:pPr>
            <w:r w:rsidRPr="001B0578">
              <w:rPr>
                <w:rFonts w:cs="Arial"/>
                <w:b/>
                <w:bCs/>
                <w:sz w:val="24"/>
              </w:rPr>
              <w:t>18.540</w:t>
            </w:r>
          </w:p>
        </w:tc>
      </w:tr>
    </w:tbl>
    <w:p w:rsidR="00BE0F80" w:rsidRDefault="00BE0F80" w:rsidP="00BE0F80">
      <w:pPr>
        <w:pStyle w:val="NoSpacing"/>
        <w:rPr>
          <w:rFonts w:ascii="Arial" w:hAnsi="Arial" w:cs="Arial"/>
          <w:sz w:val="24"/>
          <w:szCs w:val="24"/>
        </w:rPr>
      </w:pPr>
    </w:p>
    <w:p w:rsidR="00DB3D47" w:rsidRDefault="00DB3D47" w:rsidP="00BE0F80">
      <w:pPr>
        <w:pStyle w:val="NoSpacing"/>
        <w:rPr>
          <w:rFonts w:ascii="Arial" w:hAnsi="Arial" w:cs="Arial"/>
          <w:sz w:val="24"/>
          <w:szCs w:val="24"/>
        </w:rPr>
      </w:pPr>
      <w:r>
        <w:rPr>
          <w:rFonts w:ascii="Arial" w:hAnsi="Arial" w:cs="Arial"/>
          <w:sz w:val="24"/>
          <w:szCs w:val="24"/>
        </w:rPr>
        <w:tab/>
      </w:r>
    </w:p>
    <w:p w:rsidR="00BE0F80" w:rsidRDefault="00BE0F80" w:rsidP="00BE0F80">
      <w:pPr>
        <w:pStyle w:val="NoSpacing"/>
        <w:rPr>
          <w:rFonts w:ascii="Arial" w:hAnsi="Arial" w:cs="Arial"/>
          <w:sz w:val="24"/>
          <w:szCs w:val="24"/>
        </w:rPr>
      </w:pPr>
    </w:p>
    <w:p w:rsidR="00BE0F80" w:rsidRDefault="00BE0F80" w:rsidP="00BE0F80">
      <w:pPr>
        <w:pStyle w:val="NoSpacing"/>
        <w:rPr>
          <w:rFonts w:ascii="Arial" w:hAnsi="Arial" w:cs="Arial"/>
          <w:sz w:val="24"/>
          <w:szCs w:val="24"/>
        </w:rPr>
      </w:pPr>
    </w:p>
    <w:p w:rsidR="00BE0F80" w:rsidRDefault="00BE0F80" w:rsidP="00BE0F80">
      <w:pPr>
        <w:pStyle w:val="NoSpacing"/>
        <w:rPr>
          <w:rFonts w:ascii="Arial" w:hAnsi="Arial" w:cs="Arial"/>
          <w:sz w:val="24"/>
          <w:szCs w:val="24"/>
        </w:rPr>
      </w:pPr>
    </w:p>
    <w:p w:rsidR="00BE0F80" w:rsidRDefault="00BE0F80" w:rsidP="00BE0F80">
      <w:pPr>
        <w:pStyle w:val="NoSpacing"/>
        <w:rPr>
          <w:rFonts w:ascii="Arial" w:hAnsi="Arial" w:cs="Arial"/>
          <w:sz w:val="24"/>
          <w:szCs w:val="24"/>
        </w:rPr>
      </w:pPr>
    </w:p>
    <w:p w:rsidR="00BE0F80" w:rsidRDefault="00BE0F80" w:rsidP="00BE0F80">
      <w:pPr>
        <w:pStyle w:val="NoSpacing"/>
        <w:rPr>
          <w:rFonts w:ascii="Arial" w:hAnsi="Arial" w:cs="Arial"/>
          <w:sz w:val="24"/>
          <w:szCs w:val="24"/>
        </w:rPr>
      </w:pPr>
    </w:p>
    <w:p w:rsidR="00BE0F80" w:rsidRDefault="00BE0F80" w:rsidP="00BE0F80">
      <w:pPr>
        <w:pStyle w:val="NoSpacing"/>
        <w:rPr>
          <w:rFonts w:ascii="Arial" w:hAnsi="Arial" w:cs="Arial"/>
          <w:sz w:val="24"/>
          <w:szCs w:val="24"/>
        </w:rPr>
      </w:pPr>
    </w:p>
    <w:p w:rsidR="00BE0F80" w:rsidRDefault="00BE0F80" w:rsidP="00BE0F80">
      <w:pPr>
        <w:pStyle w:val="NoSpacing"/>
        <w:rPr>
          <w:rFonts w:ascii="Arial" w:hAnsi="Arial" w:cs="Arial"/>
          <w:sz w:val="24"/>
          <w:szCs w:val="24"/>
        </w:rPr>
      </w:pPr>
    </w:p>
    <w:p w:rsidR="00EE397F" w:rsidRDefault="00DB3D47" w:rsidP="00BE0F80">
      <w:pPr>
        <w:pStyle w:val="NoSpacing"/>
        <w:rPr>
          <w:rFonts w:ascii="Arial" w:hAnsi="Arial" w:cs="Arial"/>
          <w:sz w:val="24"/>
          <w:szCs w:val="24"/>
        </w:rPr>
      </w:pPr>
      <w:r>
        <w:rPr>
          <w:rFonts w:ascii="Arial" w:hAnsi="Arial" w:cs="Arial"/>
          <w:sz w:val="24"/>
          <w:szCs w:val="24"/>
        </w:rPr>
        <w:br/>
      </w:r>
      <w:r>
        <w:rPr>
          <w:rFonts w:ascii="Arial" w:hAnsi="Arial" w:cs="Arial"/>
          <w:sz w:val="24"/>
          <w:szCs w:val="24"/>
        </w:rPr>
        <w:br/>
      </w:r>
    </w:p>
    <w:p w:rsidR="00BE0F80" w:rsidRDefault="00EE397F" w:rsidP="00BE0F80">
      <w:pPr>
        <w:pStyle w:val="NoSpacing"/>
        <w:rPr>
          <w:rFonts w:ascii="Arial" w:hAnsi="Arial" w:cs="Arial"/>
          <w:sz w:val="24"/>
          <w:szCs w:val="24"/>
        </w:rPr>
      </w:pPr>
      <w:r>
        <w:rPr>
          <w:rFonts w:ascii="Arial" w:hAnsi="Arial" w:cs="Arial"/>
          <w:sz w:val="24"/>
          <w:szCs w:val="24"/>
        </w:rPr>
        <w:t>3</w:t>
      </w:r>
      <w:r w:rsidR="009A2A45">
        <w:rPr>
          <w:rFonts w:ascii="Arial" w:hAnsi="Arial" w:cs="Arial"/>
          <w:sz w:val="24"/>
          <w:szCs w:val="24"/>
        </w:rPr>
        <w:t>.2</w:t>
      </w:r>
      <w:r w:rsidR="009A2A45">
        <w:rPr>
          <w:rFonts w:ascii="Arial" w:hAnsi="Arial" w:cs="Arial"/>
          <w:sz w:val="24"/>
          <w:szCs w:val="24"/>
        </w:rPr>
        <w:tab/>
        <w:t xml:space="preserve">Net investments </w:t>
      </w:r>
      <w:r w:rsidR="007B3D4D">
        <w:rPr>
          <w:rFonts w:ascii="Arial" w:hAnsi="Arial" w:cs="Arial"/>
          <w:sz w:val="24"/>
          <w:szCs w:val="24"/>
        </w:rPr>
        <w:t xml:space="preserve">increased principally due to a corresponding </w:t>
      </w:r>
      <w:r w:rsidR="00CA3E7F">
        <w:rPr>
          <w:rFonts w:ascii="Arial" w:hAnsi="Arial" w:cs="Arial"/>
          <w:sz w:val="24"/>
          <w:szCs w:val="24"/>
        </w:rPr>
        <w:t>decrease</w:t>
      </w:r>
      <w:r w:rsidR="00BE0F80">
        <w:rPr>
          <w:rFonts w:ascii="Arial" w:hAnsi="Arial" w:cs="Arial"/>
          <w:sz w:val="24"/>
          <w:szCs w:val="24"/>
        </w:rPr>
        <w:t xml:space="preserve"> in </w:t>
      </w:r>
      <w:r w:rsidR="00CA3E7F">
        <w:rPr>
          <w:rFonts w:ascii="Arial" w:hAnsi="Arial" w:cs="Arial"/>
          <w:sz w:val="24"/>
          <w:szCs w:val="24"/>
        </w:rPr>
        <w:t xml:space="preserve">short-term </w:t>
      </w:r>
      <w:r w:rsidR="009A2A45">
        <w:rPr>
          <w:rFonts w:ascii="Arial" w:hAnsi="Arial" w:cs="Arial"/>
          <w:sz w:val="24"/>
          <w:szCs w:val="24"/>
        </w:rPr>
        <w:tab/>
      </w:r>
      <w:r w:rsidR="00CA3E7F">
        <w:rPr>
          <w:rFonts w:ascii="Arial" w:hAnsi="Arial" w:cs="Arial"/>
          <w:sz w:val="24"/>
          <w:szCs w:val="24"/>
        </w:rPr>
        <w:t>debtors which reduced by £3.497m (e.g. addit</w:t>
      </w:r>
      <w:r w:rsidR="00842CFD">
        <w:rPr>
          <w:rFonts w:ascii="Arial" w:hAnsi="Arial" w:cs="Arial"/>
          <w:sz w:val="24"/>
          <w:szCs w:val="24"/>
        </w:rPr>
        <w:t xml:space="preserve">ional cash coming into the OPFCC bank </w:t>
      </w:r>
      <w:r w:rsidR="00842CFD">
        <w:rPr>
          <w:rFonts w:ascii="Arial" w:hAnsi="Arial" w:cs="Arial"/>
          <w:sz w:val="24"/>
          <w:szCs w:val="24"/>
        </w:rPr>
        <w:tab/>
        <w:t>accounts</w:t>
      </w:r>
      <w:r w:rsidR="00CA3E7F">
        <w:rPr>
          <w:rFonts w:ascii="Arial" w:hAnsi="Arial" w:cs="Arial"/>
          <w:sz w:val="24"/>
          <w:szCs w:val="24"/>
        </w:rPr>
        <w:t xml:space="preserve"> </w:t>
      </w:r>
      <w:r w:rsidR="00BE0F80">
        <w:rPr>
          <w:rFonts w:ascii="Arial" w:hAnsi="Arial" w:cs="Arial"/>
          <w:sz w:val="24"/>
          <w:szCs w:val="24"/>
        </w:rPr>
        <w:t>o</w:t>
      </w:r>
      <w:r w:rsidR="00842CFD">
        <w:rPr>
          <w:rFonts w:ascii="Arial" w:hAnsi="Arial" w:cs="Arial"/>
          <w:sz w:val="24"/>
          <w:szCs w:val="24"/>
        </w:rPr>
        <w:t xml:space="preserve">ver </w:t>
      </w:r>
      <w:r w:rsidR="00CA3E7F">
        <w:rPr>
          <w:rFonts w:ascii="Arial" w:hAnsi="Arial" w:cs="Arial"/>
          <w:sz w:val="24"/>
          <w:szCs w:val="24"/>
        </w:rPr>
        <w:t>the previous twelve months</w:t>
      </w:r>
      <w:r w:rsidR="009A2A45">
        <w:rPr>
          <w:rFonts w:ascii="Arial" w:hAnsi="Arial" w:cs="Arial"/>
          <w:sz w:val="24"/>
          <w:szCs w:val="24"/>
        </w:rPr>
        <w:t>)</w:t>
      </w:r>
      <w:r w:rsidR="00CA3E7F">
        <w:rPr>
          <w:rFonts w:ascii="Arial" w:hAnsi="Arial" w:cs="Arial"/>
          <w:sz w:val="24"/>
          <w:szCs w:val="24"/>
        </w:rPr>
        <w:t xml:space="preserve">. Assets held for sale also decreased by </w:t>
      </w:r>
      <w:r w:rsidR="00842CFD">
        <w:rPr>
          <w:rFonts w:ascii="Arial" w:hAnsi="Arial" w:cs="Arial"/>
          <w:sz w:val="24"/>
          <w:szCs w:val="24"/>
        </w:rPr>
        <w:tab/>
        <w:t xml:space="preserve">£2.384m as these </w:t>
      </w:r>
      <w:r w:rsidR="00CA3E7F">
        <w:rPr>
          <w:rFonts w:ascii="Arial" w:hAnsi="Arial" w:cs="Arial"/>
          <w:sz w:val="24"/>
          <w:szCs w:val="24"/>
        </w:rPr>
        <w:t>debtors crysta</w:t>
      </w:r>
      <w:r w:rsidR="009A2A45">
        <w:rPr>
          <w:rFonts w:ascii="Arial" w:hAnsi="Arial" w:cs="Arial"/>
          <w:sz w:val="24"/>
          <w:szCs w:val="24"/>
        </w:rPr>
        <w:t>l</w:t>
      </w:r>
      <w:r w:rsidR="00CA3E7F">
        <w:rPr>
          <w:rFonts w:ascii="Arial" w:hAnsi="Arial" w:cs="Arial"/>
          <w:sz w:val="24"/>
          <w:szCs w:val="24"/>
        </w:rPr>
        <w:t xml:space="preserve">lised into capital receipts during the year. The net </w:t>
      </w:r>
      <w:r w:rsidR="00842CFD">
        <w:rPr>
          <w:rFonts w:ascii="Arial" w:hAnsi="Arial" w:cs="Arial"/>
          <w:sz w:val="24"/>
          <w:szCs w:val="24"/>
        </w:rPr>
        <w:tab/>
        <w:t xml:space="preserve">impact of this additional </w:t>
      </w:r>
      <w:r w:rsidR="00CA3E7F">
        <w:rPr>
          <w:rFonts w:ascii="Arial" w:hAnsi="Arial" w:cs="Arial"/>
          <w:sz w:val="24"/>
          <w:szCs w:val="24"/>
        </w:rPr>
        <w:t>cash, off</w:t>
      </w:r>
      <w:r w:rsidR="009A2A45">
        <w:rPr>
          <w:rFonts w:ascii="Arial" w:hAnsi="Arial" w:cs="Arial"/>
          <w:sz w:val="24"/>
          <w:szCs w:val="24"/>
        </w:rPr>
        <w:t>set by some increased spending in front-line areas</w:t>
      </w:r>
      <w:r w:rsidR="00CA3E7F">
        <w:rPr>
          <w:rFonts w:ascii="Arial" w:hAnsi="Arial" w:cs="Arial"/>
          <w:sz w:val="24"/>
          <w:szCs w:val="24"/>
        </w:rPr>
        <w:t xml:space="preserve">, </w:t>
      </w:r>
      <w:r w:rsidR="00842CFD">
        <w:rPr>
          <w:rFonts w:ascii="Arial" w:hAnsi="Arial" w:cs="Arial"/>
          <w:sz w:val="24"/>
          <w:szCs w:val="24"/>
        </w:rPr>
        <w:tab/>
      </w:r>
      <w:r w:rsidR="00CA3E7F">
        <w:rPr>
          <w:rFonts w:ascii="Arial" w:hAnsi="Arial" w:cs="Arial"/>
          <w:sz w:val="24"/>
          <w:szCs w:val="24"/>
        </w:rPr>
        <w:t>equated to the net increase in investments of £4.410m.</w:t>
      </w:r>
    </w:p>
    <w:p w:rsidR="00BE0F80" w:rsidRDefault="00BE0F80" w:rsidP="00BE0F80">
      <w:pPr>
        <w:pStyle w:val="NoSpacing"/>
        <w:rPr>
          <w:rFonts w:ascii="Arial" w:hAnsi="Arial" w:cs="Arial"/>
          <w:sz w:val="24"/>
          <w:szCs w:val="24"/>
        </w:rPr>
      </w:pPr>
    </w:p>
    <w:p w:rsidR="00BE0F80" w:rsidRDefault="00EE397F" w:rsidP="00BE0F80">
      <w:pPr>
        <w:pStyle w:val="NoSpacing"/>
        <w:rPr>
          <w:rFonts w:ascii="Arial" w:hAnsi="Arial" w:cs="Arial"/>
          <w:sz w:val="24"/>
          <w:szCs w:val="24"/>
        </w:rPr>
      </w:pPr>
      <w:r>
        <w:rPr>
          <w:rFonts w:ascii="Arial" w:hAnsi="Arial" w:cs="Arial"/>
          <w:sz w:val="24"/>
          <w:szCs w:val="24"/>
        </w:rPr>
        <w:t>3</w:t>
      </w:r>
      <w:r w:rsidR="00BE0F80">
        <w:rPr>
          <w:rFonts w:ascii="Arial" w:hAnsi="Arial" w:cs="Arial"/>
          <w:sz w:val="24"/>
          <w:szCs w:val="24"/>
        </w:rPr>
        <w:t>.3</w:t>
      </w:r>
      <w:r w:rsidR="00BE0F80">
        <w:rPr>
          <w:rFonts w:ascii="Arial" w:hAnsi="Arial" w:cs="Arial"/>
          <w:sz w:val="24"/>
          <w:szCs w:val="24"/>
        </w:rPr>
        <w:tab/>
        <w:t xml:space="preserve">The PFCC’s strategy was to maintain borrowing and investments below their </w:t>
      </w:r>
      <w:r w:rsidR="00BE0F80">
        <w:rPr>
          <w:rFonts w:ascii="Arial" w:hAnsi="Arial" w:cs="Arial"/>
          <w:sz w:val="24"/>
          <w:szCs w:val="24"/>
        </w:rPr>
        <w:tab/>
        <w:t xml:space="preserve">underlying levels, sometimes known as internal borrowing, in order to reduce risk </w:t>
      </w:r>
      <w:r w:rsidR="00BE0F80">
        <w:rPr>
          <w:rFonts w:ascii="Arial" w:hAnsi="Arial" w:cs="Arial"/>
          <w:sz w:val="24"/>
          <w:szCs w:val="24"/>
        </w:rPr>
        <w:tab/>
        <w:t xml:space="preserve">and keep interest costs low. There were no external borrowings outstanding at either </w:t>
      </w:r>
      <w:r w:rsidR="00BE0F80">
        <w:rPr>
          <w:rFonts w:ascii="Arial" w:hAnsi="Arial" w:cs="Arial"/>
          <w:sz w:val="24"/>
          <w:szCs w:val="24"/>
        </w:rPr>
        <w:tab/>
        <w:t>the 31</w:t>
      </w:r>
      <w:r w:rsidR="00BE0F80" w:rsidRPr="00656637">
        <w:rPr>
          <w:rFonts w:ascii="Arial" w:hAnsi="Arial" w:cs="Arial"/>
          <w:sz w:val="24"/>
          <w:szCs w:val="24"/>
          <w:vertAlign w:val="superscript"/>
        </w:rPr>
        <w:t>st</w:t>
      </w:r>
      <w:r w:rsidR="009A2A45">
        <w:rPr>
          <w:rFonts w:ascii="Arial" w:hAnsi="Arial" w:cs="Arial"/>
          <w:sz w:val="24"/>
          <w:szCs w:val="24"/>
        </w:rPr>
        <w:t xml:space="preserve"> March </w:t>
      </w:r>
      <w:r w:rsidR="009A2A45">
        <w:rPr>
          <w:rFonts w:ascii="Arial" w:hAnsi="Arial" w:cs="Arial"/>
          <w:sz w:val="24"/>
          <w:szCs w:val="24"/>
        </w:rPr>
        <w:lastRenderedPageBreak/>
        <w:t>2018</w:t>
      </w:r>
      <w:r w:rsidR="00BE0F80">
        <w:rPr>
          <w:rFonts w:ascii="Arial" w:hAnsi="Arial" w:cs="Arial"/>
          <w:sz w:val="24"/>
          <w:szCs w:val="24"/>
        </w:rPr>
        <w:t xml:space="preserve"> or the 31</w:t>
      </w:r>
      <w:r w:rsidR="00BE0F80" w:rsidRPr="00656637">
        <w:rPr>
          <w:rFonts w:ascii="Arial" w:hAnsi="Arial" w:cs="Arial"/>
          <w:sz w:val="24"/>
          <w:szCs w:val="24"/>
          <w:vertAlign w:val="superscript"/>
        </w:rPr>
        <w:t>st</w:t>
      </w:r>
      <w:r w:rsidR="009A2A45">
        <w:rPr>
          <w:rFonts w:ascii="Arial" w:hAnsi="Arial" w:cs="Arial"/>
          <w:sz w:val="24"/>
          <w:szCs w:val="24"/>
        </w:rPr>
        <w:t xml:space="preserve"> March 2019</w:t>
      </w:r>
      <w:r w:rsidR="00BE0F80">
        <w:rPr>
          <w:rFonts w:ascii="Arial" w:hAnsi="Arial" w:cs="Arial"/>
          <w:sz w:val="24"/>
          <w:szCs w:val="24"/>
        </w:rPr>
        <w:t xml:space="preserve"> balance sheet dates. The treasury </w:t>
      </w:r>
      <w:r w:rsidR="00BE0F80">
        <w:rPr>
          <w:rFonts w:ascii="Arial" w:hAnsi="Arial" w:cs="Arial"/>
          <w:sz w:val="24"/>
          <w:szCs w:val="24"/>
        </w:rPr>
        <w:tab/>
        <w:t>management position as at 31</w:t>
      </w:r>
      <w:r w:rsidR="00BE0F80" w:rsidRPr="00656637">
        <w:rPr>
          <w:rFonts w:ascii="Arial" w:hAnsi="Arial" w:cs="Arial"/>
          <w:sz w:val="24"/>
          <w:szCs w:val="24"/>
          <w:vertAlign w:val="superscript"/>
        </w:rPr>
        <w:t>st</w:t>
      </w:r>
      <w:r w:rsidR="009A2A45">
        <w:rPr>
          <w:rFonts w:ascii="Arial" w:hAnsi="Arial" w:cs="Arial"/>
          <w:sz w:val="24"/>
          <w:szCs w:val="24"/>
        </w:rPr>
        <w:t xml:space="preserve"> March 2019</w:t>
      </w:r>
      <w:r w:rsidR="00BE0F80">
        <w:rPr>
          <w:rFonts w:ascii="Arial" w:hAnsi="Arial" w:cs="Arial"/>
          <w:sz w:val="24"/>
          <w:szCs w:val="24"/>
        </w:rPr>
        <w:t xml:space="preserve"> and the year-on-year change is shown </w:t>
      </w:r>
      <w:r w:rsidR="00BE0F80">
        <w:rPr>
          <w:rFonts w:ascii="Arial" w:hAnsi="Arial" w:cs="Arial"/>
          <w:sz w:val="24"/>
          <w:szCs w:val="24"/>
        </w:rPr>
        <w:tab/>
        <w:t xml:space="preserve">in table 2 below. This is consistent with the position reported in the </w:t>
      </w:r>
      <w:r w:rsidR="00842CFD">
        <w:rPr>
          <w:rFonts w:ascii="Arial" w:hAnsi="Arial" w:cs="Arial"/>
          <w:sz w:val="24"/>
          <w:szCs w:val="24"/>
        </w:rPr>
        <w:t xml:space="preserve">2018/19 </w:t>
      </w:r>
      <w:r w:rsidR="00BE0F80">
        <w:rPr>
          <w:rFonts w:ascii="Arial" w:hAnsi="Arial" w:cs="Arial"/>
          <w:sz w:val="24"/>
          <w:szCs w:val="24"/>
        </w:rPr>
        <w:t xml:space="preserve">year-end </w:t>
      </w:r>
      <w:r w:rsidR="00BE0F80">
        <w:rPr>
          <w:rFonts w:ascii="Arial" w:hAnsi="Arial" w:cs="Arial"/>
          <w:sz w:val="24"/>
          <w:szCs w:val="24"/>
        </w:rPr>
        <w:tab/>
        <w:t>Statement of Accounts.</w:t>
      </w:r>
    </w:p>
    <w:p w:rsidR="00BE0F80" w:rsidRDefault="00BE0F80" w:rsidP="00BE0F80">
      <w:pPr>
        <w:pStyle w:val="NoSpacing"/>
        <w:rPr>
          <w:rFonts w:ascii="Arial" w:hAnsi="Arial" w:cs="Arial"/>
          <w:sz w:val="24"/>
          <w:szCs w:val="24"/>
        </w:rPr>
      </w:pPr>
    </w:p>
    <w:p w:rsidR="001B0578" w:rsidRDefault="001B0578" w:rsidP="00BE0F80">
      <w:pPr>
        <w:pStyle w:val="NoSpacing"/>
        <w:rPr>
          <w:rFonts w:ascii="Arial" w:hAnsi="Arial" w:cs="Arial"/>
          <w:sz w:val="24"/>
          <w:szCs w:val="24"/>
        </w:rPr>
      </w:pPr>
    </w:p>
    <w:p w:rsidR="007413F9" w:rsidRDefault="007413F9" w:rsidP="00BE0F80">
      <w:pPr>
        <w:pStyle w:val="NoSpacing"/>
        <w:rPr>
          <w:rFonts w:ascii="Arial" w:hAnsi="Arial" w:cs="Arial"/>
          <w:sz w:val="24"/>
          <w:szCs w:val="24"/>
        </w:rPr>
      </w:pPr>
    </w:p>
    <w:p w:rsidR="001B0578" w:rsidRDefault="001B0578" w:rsidP="00BE0F80">
      <w:pPr>
        <w:pStyle w:val="NoSpacing"/>
        <w:rPr>
          <w:rFonts w:ascii="Arial" w:hAnsi="Arial" w:cs="Arial"/>
          <w:sz w:val="24"/>
          <w:szCs w:val="24"/>
        </w:rPr>
      </w:pPr>
    </w:p>
    <w:p w:rsidR="007413F9" w:rsidRDefault="007413F9" w:rsidP="00BE0F80">
      <w:pPr>
        <w:pStyle w:val="NoSpacing"/>
        <w:rPr>
          <w:rFonts w:ascii="Arial" w:hAnsi="Arial" w:cs="Arial"/>
          <w:sz w:val="24"/>
          <w:szCs w:val="24"/>
        </w:rPr>
      </w:pPr>
    </w:p>
    <w:p w:rsidR="00BE0F80" w:rsidRDefault="00BE0F80" w:rsidP="00BE0F80">
      <w:pPr>
        <w:pStyle w:val="NoSpacing"/>
        <w:ind w:firstLine="720"/>
        <w:rPr>
          <w:rFonts w:ascii="Arial" w:hAnsi="Arial" w:cs="Arial"/>
          <w:sz w:val="24"/>
          <w:szCs w:val="24"/>
        </w:rPr>
      </w:pPr>
      <w:r w:rsidRPr="00656637">
        <w:rPr>
          <w:rFonts w:ascii="Arial" w:hAnsi="Arial" w:cs="Arial"/>
          <w:sz w:val="24"/>
          <w:szCs w:val="24"/>
          <w:u w:val="single"/>
        </w:rPr>
        <w:t>Table 2: Treasury Management Strategy</w:t>
      </w:r>
    </w:p>
    <w:p w:rsidR="00BE0F80" w:rsidRDefault="00BE0F80" w:rsidP="00BE0F80">
      <w:pPr>
        <w:pStyle w:val="NoSpacing"/>
        <w:ind w:firstLine="720"/>
        <w:rPr>
          <w:rFonts w:ascii="Arial" w:hAnsi="Arial" w:cs="Arial"/>
          <w:sz w:val="24"/>
          <w:szCs w:val="24"/>
        </w:rPr>
      </w:pPr>
    </w:p>
    <w:tbl>
      <w:tblPr>
        <w:tblpPr w:leftFromText="180" w:rightFromText="180" w:vertAnchor="text" w:horzAnchor="page" w:tblpX="1798" w:tblpY="5"/>
        <w:tblW w:w="7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1142"/>
        <w:gridCol w:w="1403"/>
        <w:gridCol w:w="1143"/>
      </w:tblGrid>
      <w:tr w:rsidR="00BE0F80" w:rsidRPr="00940DF6" w:rsidTr="00BE0F80">
        <w:tc>
          <w:tcPr>
            <w:tcW w:w="3591" w:type="dxa"/>
            <w:vAlign w:val="center"/>
          </w:tcPr>
          <w:p w:rsidR="00BE0F80" w:rsidRPr="00835FBE" w:rsidRDefault="00BE0F80" w:rsidP="00BE0F80">
            <w:pPr>
              <w:rPr>
                <w:rFonts w:cs="Arial"/>
                <w:bCs/>
                <w:sz w:val="24"/>
              </w:rPr>
            </w:pPr>
          </w:p>
        </w:tc>
        <w:tc>
          <w:tcPr>
            <w:tcW w:w="1142" w:type="dxa"/>
            <w:vAlign w:val="center"/>
          </w:tcPr>
          <w:p w:rsidR="00BE0F80" w:rsidRPr="00835FBE" w:rsidRDefault="00BE0F80" w:rsidP="002963FF">
            <w:pPr>
              <w:spacing w:line="240" w:lineRule="auto"/>
              <w:jc w:val="center"/>
              <w:rPr>
                <w:rFonts w:cs="Arial"/>
                <w:b/>
                <w:bCs/>
                <w:sz w:val="24"/>
              </w:rPr>
            </w:pPr>
            <w:r w:rsidRPr="00835FBE">
              <w:rPr>
                <w:rFonts w:cs="Arial"/>
                <w:b/>
                <w:bCs/>
                <w:sz w:val="24"/>
              </w:rPr>
              <w:t>31.</w:t>
            </w:r>
            <w:r w:rsidR="009A2A45" w:rsidRPr="00835FBE">
              <w:rPr>
                <w:rFonts w:cs="Arial"/>
                <w:b/>
                <w:bCs/>
                <w:sz w:val="24"/>
              </w:rPr>
              <w:t>3.18</w:t>
            </w:r>
          </w:p>
          <w:p w:rsidR="00BE0F80" w:rsidRPr="00835FBE" w:rsidRDefault="00BE0F80" w:rsidP="002963FF">
            <w:pPr>
              <w:spacing w:line="240" w:lineRule="auto"/>
              <w:jc w:val="center"/>
              <w:rPr>
                <w:rFonts w:cs="Arial"/>
                <w:b/>
                <w:bCs/>
                <w:sz w:val="24"/>
              </w:rPr>
            </w:pPr>
            <w:r w:rsidRPr="00835FBE">
              <w:rPr>
                <w:rFonts w:cs="Arial"/>
                <w:b/>
                <w:bCs/>
                <w:sz w:val="24"/>
              </w:rPr>
              <w:t>Balance</w:t>
            </w:r>
          </w:p>
          <w:p w:rsidR="00BE0F80" w:rsidRPr="00835FBE" w:rsidRDefault="00BE0F80" w:rsidP="002963FF">
            <w:pPr>
              <w:spacing w:line="240" w:lineRule="auto"/>
              <w:jc w:val="center"/>
              <w:rPr>
                <w:rFonts w:cs="Arial"/>
                <w:b/>
                <w:bCs/>
                <w:sz w:val="24"/>
              </w:rPr>
            </w:pPr>
            <w:r w:rsidRPr="00835FBE">
              <w:rPr>
                <w:rFonts w:cs="Arial"/>
                <w:b/>
                <w:bCs/>
                <w:sz w:val="24"/>
              </w:rPr>
              <w:t>£m</w:t>
            </w:r>
          </w:p>
        </w:tc>
        <w:tc>
          <w:tcPr>
            <w:tcW w:w="1403" w:type="dxa"/>
            <w:vAlign w:val="center"/>
          </w:tcPr>
          <w:p w:rsidR="00BE0F80" w:rsidRPr="00835FBE" w:rsidRDefault="00842CFD" w:rsidP="002963FF">
            <w:pPr>
              <w:spacing w:line="240" w:lineRule="auto"/>
              <w:jc w:val="center"/>
              <w:rPr>
                <w:rFonts w:cs="Arial"/>
                <w:b/>
                <w:bCs/>
                <w:sz w:val="24"/>
              </w:rPr>
            </w:pPr>
            <w:r>
              <w:rPr>
                <w:rFonts w:cs="Arial"/>
                <w:b/>
                <w:bCs/>
                <w:sz w:val="24"/>
              </w:rPr>
              <w:t>2018/19</w:t>
            </w:r>
          </w:p>
          <w:p w:rsidR="00BE0F80" w:rsidRPr="00835FBE" w:rsidRDefault="00BE0F80" w:rsidP="002963FF">
            <w:pPr>
              <w:spacing w:line="240" w:lineRule="auto"/>
              <w:jc w:val="center"/>
              <w:rPr>
                <w:rFonts w:cs="Arial"/>
                <w:b/>
                <w:bCs/>
                <w:sz w:val="24"/>
              </w:rPr>
            </w:pPr>
            <w:r w:rsidRPr="00835FBE">
              <w:rPr>
                <w:rFonts w:cs="Arial"/>
                <w:b/>
                <w:bCs/>
                <w:sz w:val="24"/>
              </w:rPr>
              <w:t>Movement</w:t>
            </w:r>
          </w:p>
          <w:p w:rsidR="00BE0F80" w:rsidRPr="00835FBE" w:rsidRDefault="00BE0F80" w:rsidP="002963FF">
            <w:pPr>
              <w:spacing w:line="240" w:lineRule="auto"/>
              <w:jc w:val="center"/>
              <w:rPr>
                <w:rFonts w:cs="Arial"/>
                <w:b/>
                <w:bCs/>
                <w:sz w:val="24"/>
              </w:rPr>
            </w:pPr>
            <w:r w:rsidRPr="00835FBE">
              <w:rPr>
                <w:rFonts w:cs="Arial"/>
                <w:b/>
                <w:bCs/>
                <w:sz w:val="24"/>
              </w:rPr>
              <w:t>£m</w:t>
            </w:r>
          </w:p>
        </w:tc>
        <w:tc>
          <w:tcPr>
            <w:tcW w:w="1143" w:type="dxa"/>
            <w:vAlign w:val="center"/>
          </w:tcPr>
          <w:p w:rsidR="00BE0F80" w:rsidRPr="00835FBE" w:rsidRDefault="00842CFD" w:rsidP="002963FF">
            <w:pPr>
              <w:spacing w:line="240" w:lineRule="auto"/>
              <w:jc w:val="center"/>
              <w:rPr>
                <w:rFonts w:cs="Arial"/>
                <w:b/>
                <w:bCs/>
                <w:sz w:val="24"/>
              </w:rPr>
            </w:pPr>
            <w:r>
              <w:rPr>
                <w:rFonts w:cs="Arial"/>
                <w:b/>
                <w:bCs/>
                <w:sz w:val="24"/>
              </w:rPr>
              <w:t>31.3.19</w:t>
            </w:r>
          </w:p>
          <w:p w:rsidR="00BE0F80" w:rsidRPr="00835FBE" w:rsidRDefault="00BE0F80" w:rsidP="002963FF">
            <w:pPr>
              <w:spacing w:line="240" w:lineRule="auto"/>
              <w:jc w:val="center"/>
              <w:rPr>
                <w:rFonts w:cs="Arial"/>
                <w:b/>
                <w:bCs/>
                <w:sz w:val="24"/>
              </w:rPr>
            </w:pPr>
            <w:r w:rsidRPr="00835FBE">
              <w:rPr>
                <w:rFonts w:cs="Arial"/>
                <w:b/>
                <w:bCs/>
                <w:sz w:val="24"/>
              </w:rPr>
              <w:t>Balance</w:t>
            </w:r>
          </w:p>
          <w:p w:rsidR="00BE0F80" w:rsidRPr="00835FBE" w:rsidRDefault="00BE0F80" w:rsidP="002963FF">
            <w:pPr>
              <w:spacing w:line="240" w:lineRule="auto"/>
              <w:jc w:val="center"/>
              <w:rPr>
                <w:rFonts w:cs="Arial"/>
                <w:b/>
                <w:bCs/>
                <w:sz w:val="24"/>
              </w:rPr>
            </w:pPr>
            <w:r w:rsidRPr="00835FBE">
              <w:rPr>
                <w:rFonts w:cs="Arial"/>
                <w:b/>
                <w:bCs/>
                <w:sz w:val="24"/>
              </w:rPr>
              <w:t>£m</w:t>
            </w:r>
          </w:p>
        </w:tc>
      </w:tr>
      <w:tr w:rsidR="00BE0F80" w:rsidRPr="00940DF6" w:rsidTr="00BE0F80">
        <w:trPr>
          <w:trHeight w:val="340"/>
        </w:trPr>
        <w:tc>
          <w:tcPr>
            <w:tcW w:w="3591" w:type="dxa"/>
            <w:vAlign w:val="center"/>
          </w:tcPr>
          <w:p w:rsidR="00BE0F80" w:rsidRPr="00835FBE" w:rsidRDefault="00BE0F80" w:rsidP="002963FF">
            <w:pPr>
              <w:tabs>
                <w:tab w:val="left" w:pos="591"/>
                <w:tab w:val="left" w:pos="1260"/>
                <w:tab w:val="left" w:pos="1980"/>
                <w:tab w:val="left" w:pos="2520"/>
              </w:tabs>
              <w:spacing w:before="60" w:after="60" w:line="240" w:lineRule="auto"/>
              <w:rPr>
                <w:rFonts w:cs="Arial"/>
                <w:sz w:val="24"/>
              </w:rPr>
            </w:pPr>
            <w:r w:rsidRPr="00835FBE">
              <w:rPr>
                <w:rFonts w:cs="Arial"/>
                <w:sz w:val="24"/>
              </w:rPr>
              <w:t>Long-term investments</w:t>
            </w:r>
          </w:p>
        </w:tc>
        <w:tc>
          <w:tcPr>
            <w:tcW w:w="1142" w:type="dxa"/>
            <w:vAlign w:val="center"/>
          </w:tcPr>
          <w:p w:rsidR="00BE0F80" w:rsidRPr="00835FBE" w:rsidRDefault="00BE0F80" w:rsidP="002963FF">
            <w:pPr>
              <w:spacing w:line="240" w:lineRule="auto"/>
              <w:jc w:val="right"/>
              <w:rPr>
                <w:rFonts w:cs="Arial"/>
                <w:bCs/>
                <w:sz w:val="24"/>
              </w:rPr>
            </w:pPr>
            <w:r w:rsidRPr="00835FBE">
              <w:rPr>
                <w:rFonts w:cs="Arial"/>
                <w:bCs/>
                <w:sz w:val="24"/>
              </w:rPr>
              <w:t>0.000</w:t>
            </w:r>
          </w:p>
        </w:tc>
        <w:tc>
          <w:tcPr>
            <w:tcW w:w="1403" w:type="dxa"/>
            <w:vAlign w:val="center"/>
          </w:tcPr>
          <w:p w:rsidR="00BE0F80" w:rsidRPr="00835FBE" w:rsidRDefault="00BE0F80" w:rsidP="002963FF">
            <w:pPr>
              <w:spacing w:line="240" w:lineRule="auto"/>
              <w:jc w:val="right"/>
              <w:rPr>
                <w:rFonts w:cs="Arial"/>
                <w:bCs/>
                <w:sz w:val="24"/>
              </w:rPr>
            </w:pPr>
            <w:r w:rsidRPr="00835FBE">
              <w:rPr>
                <w:rFonts w:cs="Arial"/>
                <w:bCs/>
                <w:sz w:val="24"/>
              </w:rPr>
              <w:t>0.000</w:t>
            </w:r>
          </w:p>
        </w:tc>
        <w:tc>
          <w:tcPr>
            <w:tcW w:w="1143" w:type="dxa"/>
            <w:vAlign w:val="center"/>
          </w:tcPr>
          <w:p w:rsidR="00BE0F80" w:rsidRPr="00835FBE" w:rsidRDefault="00BE0F80" w:rsidP="002963FF">
            <w:pPr>
              <w:spacing w:line="240" w:lineRule="auto"/>
              <w:jc w:val="right"/>
              <w:rPr>
                <w:rFonts w:cs="Arial"/>
                <w:bCs/>
                <w:sz w:val="24"/>
              </w:rPr>
            </w:pPr>
            <w:r w:rsidRPr="00835FBE">
              <w:rPr>
                <w:rFonts w:cs="Arial"/>
                <w:bCs/>
                <w:sz w:val="24"/>
              </w:rPr>
              <w:t>0.000</w:t>
            </w:r>
          </w:p>
        </w:tc>
      </w:tr>
      <w:tr w:rsidR="00BE0F80" w:rsidRPr="00940DF6" w:rsidTr="00BE0F80">
        <w:trPr>
          <w:trHeight w:val="340"/>
        </w:trPr>
        <w:tc>
          <w:tcPr>
            <w:tcW w:w="3591" w:type="dxa"/>
            <w:vAlign w:val="center"/>
          </w:tcPr>
          <w:p w:rsidR="00BE0F80" w:rsidRPr="00835FBE" w:rsidRDefault="00BE0F80" w:rsidP="002963FF">
            <w:pPr>
              <w:spacing w:line="240" w:lineRule="auto"/>
              <w:rPr>
                <w:rFonts w:cs="Arial"/>
                <w:bCs/>
                <w:sz w:val="24"/>
              </w:rPr>
            </w:pPr>
            <w:r w:rsidRPr="00835FBE">
              <w:rPr>
                <w:rFonts w:cs="Arial"/>
                <w:bCs/>
                <w:sz w:val="24"/>
              </w:rPr>
              <w:t>Short-term investments</w:t>
            </w:r>
          </w:p>
        </w:tc>
        <w:tc>
          <w:tcPr>
            <w:tcW w:w="1142" w:type="dxa"/>
            <w:vAlign w:val="center"/>
          </w:tcPr>
          <w:p w:rsidR="00BE0F80" w:rsidRPr="00835FBE" w:rsidRDefault="009A2A45" w:rsidP="002963FF">
            <w:pPr>
              <w:spacing w:line="240" w:lineRule="auto"/>
              <w:jc w:val="right"/>
              <w:rPr>
                <w:rFonts w:cs="Arial"/>
                <w:bCs/>
                <w:sz w:val="24"/>
              </w:rPr>
            </w:pPr>
            <w:r w:rsidRPr="00835FBE">
              <w:rPr>
                <w:rFonts w:cs="Arial"/>
                <w:bCs/>
                <w:sz w:val="24"/>
              </w:rPr>
              <w:t>8.0</w:t>
            </w:r>
            <w:r w:rsidR="00BE0F80" w:rsidRPr="00835FBE">
              <w:rPr>
                <w:rFonts w:cs="Arial"/>
                <w:bCs/>
                <w:sz w:val="24"/>
              </w:rPr>
              <w:t>00</w:t>
            </w:r>
          </w:p>
        </w:tc>
        <w:tc>
          <w:tcPr>
            <w:tcW w:w="1403" w:type="dxa"/>
            <w:vAlign w:val="center"/>
          </w:tcPr>
          <w:p w:rsidR="00BE0F80" w:rsidRPr="00835FBE" w:rsidRDefault="009A2A45" w:rsidP="002963FF">
            <w:pPr>
              <w:spacing w:line="240" w:lineRule="auto"/>
              <w:jc w:val="right"/>
              <w:rPr>
                <w:rFonts w:cs="Arial"/>
                <w:bCs/>
                <w:sz w:val="24"/>
              </w:rPr>
            </w:pPr>
            <w:r w:rsidRPr="00835FBE">
              <w:rPr>
                <w:rFonts w:cs="Arial"/>
                <w:bCs/>
                <w:sz w:val="24"/>
              </w:rPr>
              <w:t>0.500</w:t>
            </w:r>
          </w:p>
        </w:tc>
        <w:tc>
          <w:tcPr>
            <w:tcW w:w="1143" w:type="dxa"/>
            <w:vAlign w:val="center"/>
          </w:tcPr>
          <w:p w:rsidR="00BE0F80" w:rsidRPr="00835FBE" w:rsidRDefault="009A2A45" w:rsidP="002963FF">
            <w:pPr>
              <w:spacing w:line="240" w:lineRule="auto"/>
              <w:jc w:val="right"/>
              <w:rPr>
                <w:rFonts w:cs="Arial"/>
                <w:bCs/>
                <w:sz w:val="24"/>
              </w:rPr>
            </w:pPr>
            <w:r w:rsidRPr="00835FBE">
              <w:rPr>
                <w:rFonts w:cs="Arial"/>
                <w:bCs/>
                <w:sz w:val="24"/>
              </w:rPr>
              <w:t>8.5</w:t>
            </w:r>
            <w:r w:rsidR="00BE0F80" w:rsidRPr="00835FBE">
              <w:rPr>
                <w:rFonts w:cs="Arial"/>
                <w:bCs/>
                <w:sz w:val="24"/>
              </w:rPr>
              <w:t>00</w:t>
            </w:r>
          </w:p>
        </w:tc>
      </w:tr>
      <w:tr w:rsidR="00BE0F80" w:rsidRPr="00A77E0E" w:rsidTr="00BE0F80">
        <w:trPr>
          <w:trHeight w:val="340"/>
        </w:trPr>
        <w:tc>
          <w:tcPr>
            <w:tcW w:w="3591" w:type="dxa"/>
            <w:vAlign w:val="center"/>
          </w:tcPr>
          <w:p w:rsidR="00BE0F80" w:rsidRPr="00835FBE" w:rsidRDefault="00BE0F80" w:rsidP="002963FF">
            <w:pPr>
              <w:spacing w:line="240" w:lineRule="auto"/>
              <w:rPr>
                <w:rFonts w:cs="Arial"/>
                <w:bCs/>
                <w:sz w:val="24"/>
              </w:rPr>
            </w:pPr>
            <w:r w:rsidRPr="00835FBE">
              <w:rPr>
                <w:rFonts w:cs="Arial"/>
                <w:bCs/>
                <w:sz w:val="24"/>
              </w:rPr>
              <w:t>Cash &amp; Cash Equivalents</w:t>
            </w:r>
          </w:p>
        </w:tc>
        <w:tc>
          <w:tcPr>
            <w:tcW w:w="1142" w:type="dxa"/>
            <w:vAlign w:val="center"/>
          </w:tcPr>
          <w:p w:rsidR="00BE0F80" w:rsidRPr="00835FBE" w:rsidRDefault="009A2A45" w:rsidP="002963FF">
            <w:pPr>
              <w:spacing w:line="240" w:lineRule="auto"/>
              <w:jc w:val="right"/>
              <w:rPr>
                <w:rFonts w:cs="Arial"/>
                <w:bCs/>
                <w:sz w:val="24"/>
              </w:rPr>
            </w:pPr>
            <w:r w:rsidRPr="00835FBE">
              <w:rPr>
                <w:rFonts w:cs="Arial"/>
                <w:bCs/>
                <w:sz w:val="24"/>
              </w:rPr>
              <w:t>6.130</w:t>
            </w:r>
          </w:p>
        </w:tc>
        <w:tc>
          <w:tcPr>
            <w:tcW w:w="1403" w:type="dxa"/>
            <w:vAlign w:val="center"/>
          </w:tcPr>
          <w:p w:rsidR="00BE0F80" w:rsidRPr="00835FBE" w:rsidRDefault="009A2A45" w:rsidP="002963FF">
            <w:pPr>
              <w:spacing w:line="240" w:lineRule="auto"/>
              <w:jc w:val="right"/>
              <w:rPr>
                <w:rFonts w:cs="Arial"/>
                <w:bCs/>
                <w:sz w:val="24"/>
              </w:rPr>
            </w:pPr>
            <w:r w:rsidRPr="00835FBE">
              <w:rPr>
                <w:rFonts w:cs="Arial"/>
                <w:bCs/>
                <w:sz w:val="24"/>
              </w:rPr>
              <w:t>3.910</w:t>
            </w:r>
          </w:p>
        </w:tc>
        <w:tc>
          <w:tcPr>
            <w:tcW w:w="1143" w:type="dxa"/>
            <w:vAlign w:val="center"/>
          </w:tcPr>
          <w:p w:rsidR="00BE0F80" w:rsidRPr="00835FBE" w:rsidRDefault="009A2A45" w:rsidP="002963FF">
            <w:pPr>
              <w:spacing w:line="240" w:lineRule="auto"/>
              <w:jc w:val="right"/>
              <w:rPr>
                <w:rFonts w:cs="Arial"/>
                <w:bCs/>
                <w:sz w:val="24"/>
              </w:rPr>
            </w:pPr>
            <w:r w:rsidRPr="00835FBE">
              <w:rPr>
                <w:rFonts w:cs="Arial"/>
                <w:bCs/>
                <w:sz w:val="24"/>
              </w:rPr>
              <w:t>10.040</w:t>
            </w:r>
          </w:p>
        </w:tc>
      </w:tr>
      <w:tr w:rsidR="00BE0F80" w:rsidRPr="00940DF6" w:rsidTr="00BE0F80">
        <w:trPr>
          <w:trHeight w:val="340"/>
        </w:trPr>
        <w:tc>
          <w:tcPr>
            <w:tcW w:w="3591" w:type="dxa"/>
            <w:vAlign w:val="center"/>
          </w:tcPr>
          <w:p w:rsidR="00BE0F80" w:rsidRPr="00835FBE" w:rsidRDefault="00BE0F80" w:rsidP="002963FF">
            <w:pPr>
              <w:spacing w:line="240" w:lineRule="auto"/>
              <w:rPr>
                <w:rFonts w:cs="Arial"/>
                <w:b/>
                <w:bCs/>
                <w:sz w:val="24"/>
              </w:rPr>
            </w:pPr>
            <w:r w:rsidRPr="00835FBE">
              <w:rPr>
                <w:rFonts w:cs="Arial"/>
                <w:b/>
                <w:bCs/>
                <w:sz w:val="24"/>
              </w:rPr>
              <w:t>Net Investments</w:t>
            </w:r>
          </w:p>
        </w:tc>
        <w:tc>
          <w:tcPr>
            <w:tcW w:w="1142" w:type="dxa"/>
            <w:vAlign w:val="center"/>
          </w:tcPr>
          <w:p w:rsidR="00BE0F80" w:rsidRPr="00835FBE" w:rsidRDefault="009A2A45" w:rsidP="002963FF">
            <w:pPr>
              <w:spacing w:line="240" w:lineRule="auto"/>
              <w:jc w:val="right"/>
              <w:rPr>
                <w:rFonts w:cs="Arial"/>
                <w:b/>
                <w:bCs/>
                <w:sz w:val="24"/>
              </w:rPr>
            </w:pPr>
            <w:r w:rsidRPr="00835FBE">
              <w:rPr>
                <w:rFonts w:cs="Arial"/>
                <w:b/>
                <w:bCs/>
                <w:sz w:val="24"/>
              </w:rPr>
              <w:t>14.130</w:t>
            </w:r>
          </w:p>
        </w:tc>
        <w:tc>
          <w:tcPr>
            <w:tcW w:w="1403" w:type="dxa"/>
            <w:vAlign w:val="center"/>
          </w:tcPr>
          <w:p w:rsidR="00BE0F80" w:rsidRPr="00835FBE" w:rsidRDefault="009A2A45" w:rsidP="002963FF">
            <w:pPr>
              <w:spacing w:line="240" w:lineRule="auto"/>
              <w:jc w:val="right"/>
              <w:rPr>
                <w:rFonts w:cs="Arial"/>
                <w:b/>
                <w:bCs/>
                <w:sz w:val="24"/>
              </w:rPr>
            </w:pPr>
            <w:r w:rsidRPr="00835FBE">
              <w:rPr>
                <w:rFonts w:cs="Arial"/>
                <w:b/>
                <w:bCs/>
                <w:sz w:val="24"/>
              </w:rPr>
              <w:t>4.410</w:t>
            </w:r>
          </w:p>
        </w:tc>
        <w:tc>
          <w:tcPr>
            <w:tcW w:w="1143" w:type="dxa"/>
            <w:vAlign w:val="center"/>
          </w:tcPr>
          <w:p w:rsidR="00BE0F80" w:rsidRPr="00835FBE" w:rsidRDefault="009A2A45" w:rsidP="002963FF">
            <w:pPr>
              <w:spacing w:line="240" w:lineRule="auto"/>
              <w:jc w:val="right"/>
              <w:rPr>
                <w:rFonts w:cs="Arial"/>
                <w:b/>
                <w:bCs/>
                <w:sz w:val="24"/>
              </w:rPr>
            </w:pPr>
            <w:r w:rsidRPr="00835FBE">
              <w:rPr>
                <w:rFonts w:cs="Arial"/>
                <w:b/>
                <w:bCs/>
                <w:sz w:val="24"/>
              </w:rPr>
              <w:t>18.540</w:t>
            </w:r>
          </w:p>
        </w:tc>
      </w:tr>
    </w:tbl>
    <w:p w:rsidR="00BE0F80" w:rsidRDefault="00BE0F80" w:rsidP="00BE0F80">
      <w:pPr>
        <w:pStyle w:val="NoSpacing"/>
        <w:ind w:firstLine="720"/>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rsidR="00BE0F80" w:rsidRDefault="00BE0F80" w:rsidP="00BE0F80">
      <w:pPr>
        <w:pStyle w:val="NoSpacing"/>
        <w:ind w:firstLine="720"/>
        <w:rPr>
          <w:rFonts w:ascii="Arial" w:hAnsi="Arial" w:cs="Arial"/>
          <w:sz w:val="24"/>
          <w:szCs w:val="24"/>
        </w:rPr>
      </w:pPr>
    </w:p>
    <w:p w:rsidR="00BE0F80" w:rsidRDefault="00BE0F80" w:rsidP="00BE0F80">
      <w:pPr>
        <w:pStyle w:val="NoSpacing"/>
        <w:ind w:firstLine="720"/>
        <w:rPr>
          <w:rFonts w:ascii="Arial" w:hAnsi="Arial" w:cs="Arial"/>
          <w:sz w:val="24"/>
          <w:szCs w:val="24"/>
        </w:rPr>
      </w:pPr>
    </w:p>
    <w:p w:rsidR="00BE0F80" w:rsidRDefault="00BE0F80" w:rsidP="00BE0F80">
      <w:pPr>
        <w:pStyle w:val="NoSpacing"/>
        <w:ind w:firstLine="720"/>
        <w:rPr>
          <w:rFonts w:ascii="Arial" w:hAnsi="Arial" w:cs="Arial"/>
          <w:sz w:val="24"/>
          <w:szCs w:val="24"/>
        </w:rPr>
      </w:pPr>
    </w:p>
    <w:p w:rsidR="00BE0F80" w:rsidRDefault="00BE0F80" w:rsidP="00BE0F80">
      <w:pPr>
        <w:pStyle w:val="NoSpacing"/>
        <w:ind w:firstLine="720"/>
        <w:rPr>
          <w:rFonts w:ascii="Arial" w:hAnsi="Arial" w:cs="Arial"/>
          <w:sz w:val="24"/>
          <w:szCs w:val="24"/>
        </w:rPr>
      </w:pPr>
    </w:p>
    <w:p w:rsidR="00BE0F80" w:rsidRDefault="00BE0F80" w:rsidP="00BE0F80">
      <w:pPr>
        <w:pStyle w:val="NoSpacing"/>
        <w:rPr>
          <w:rFonts w:ascii="Arial" w:hAnsi="Arial" w:cs="Arial"/>
          <w:sz w:val="24"/>
          <w:szCs w:val="24"/>
        </w:rPr>
      </w:pPr>
    </w:p>
    <w:p w:rsidR="009A2A45" w:rsidRDefault="009A2A45" w:rsidP="00BE0F80">
      <w:pPr>
        <w:pStyle w:val="NoSpacing"/>
        <w:rPr>
          <w:rFonts w:ascii="Arial" w:hAnsi="Arial" w:cs="Arial"/>
          <w:sz w:val="24"/>
          <w:szCs w:val="24"/>
        </w:rPr>
      </w:pPr>
    </w:p>
    <w:p w:rsidR="006A6352" w:rsidRDefault="009A2A45" w:rsidP="00BE0F80">
      <w:pPr>
        <w:pStyle w:val="NoSpacing"/>
        <w:rPr>
          <w:rFonts w:ascii="Arial" w:hAnsi="Arial" w:cs="Arial"/>
          <w:sz w:val="24"/>
          <w:szCs w:val="24"/>
        </w:rPr>
      </w:pPr>
      <w:r>
        <w:rPr>
          <w:rFonts w:ascii="Arial" w:hAnsi="Arial" w:cs="Arial"/>
          <w:sz w:val="24"/>
          <w:szCs w:val="24"/>
        </w:rPr>
        <w:t>3</w:t>
      </w:r>
      <w:r w:rsidR="00BE0F80">
        <w:rPr>
          <w:rFonts w:ascii="Arial" w:hAnsi="Arial" w:cs="Arial"/>
          <w:sz w:val="24"/>
          <w:szCs w:val="24"/>
        </w:rPr>
        <w:t>.4</w:t>
      </w:r>
      <w:r w:rsidR="00BE0F80">
        <w:rPr>
          <w:rFonts w:ascii="Arial" w:hAnsi="Arial" w:cs="Arial"/>
          <w:sz w:val="24"/>
          <w:szCs w:val="24"/>
        </w:rPr>
        <w:tab/>
        <w:t xml:space="preserve">The reduction in </w:t>
      </w:r>
      <w:r>
        <w:rPr>
          <w:rFonts w:ascii="Arial" w:hAnsi="Arial" w:cs="Arial"/>
          <w:sz w:val="24"/>
          <w:szCs w:val="24"/>
        </w:rPr>
        <w:t xml:space="preserve">working capital referred to in </w:t>
      </w:r>
      <w:r w:rsidR="0005324F">
        <w:rPr>
          <w:rFonts w:ascii="Arial" w:hAnsi="Arial" w:cs="Arial"/>
          <w:sz w:val="24"/>
          <w:szCs w:val="24"/>
        </w:rPr>
        <w:t xml:space="preserve">paragraph </w:t>
      </w:r>
      <w:r>
        <w:rPr>
          <w:rFonts w:ascii="Arial" w:hAnsi="Arial" w:cs="Arial"/>
          <w:sz w:val="24"/>
          <w:szCs w:val="24"/>
        </w:rPr>
        <w:t>3</w:t>
      </w:r>
      <w:r w:rsidR="00BE0F80">
        <w:rPr>
          <w:rFonts w:ascii="Arial" w:hAnsi="Arial" w:cs="Arial"/>
          <w:sz w:val="24"/>
          <w:szCs w:val="24"/>
        </w:rPr>
        <w:t xml:space="preserve">.2 had a direct impact on the </w:t>
      </w:r>
      <w:r w:rsidR="0005324F">
        <w:rPr>
          <w:rFonts w:ascii="Arial" w:hAnsi="Arial" w:cs="Arial"/>
          <w:sz w:val="24"/>
          <w:szCs w:val="24"/>
        </w:rPr>
        <w:tab/>
        <w:t xml:space="preserve">cash </w:t>
      </w:r>
      <w:r w:rsidR="00BE0F80">
        <w:rPr>
          <w:rFonts w:ascii="Arial" w:hAnsi="Arial" w:cs="Arial"/>
          <w:sz w:val="24"/>
          <w:szCs w:val="24"/>
        </w:rPr>
        <w:t xml:space="preserve">available to invest in the year. This is reflected in the </w:t>
      </w:r>
      <w:r>
        <w:rPr>
          <w:rFonts w:ascii="Arial" w:hAnsi="Arial" w:cs="Arial"/>
          <w:sz w:val="24"/>
          <w:szCs w:val="24"/>
        </w:rPr>
        <w:t>increase</w:t>
      </w:r>
      <w:r w:rsidR="00BE0F80">
        <w:rPr>
          <w:rFonts w:ascii="Arial" w:hAnsi="Arial" w:cs="Arial"/>
          <w:sz w:val="24"/>
          <w:szCs w:val="24"/>
        </w:rPr>
        <w:t xml:space="preserve"> in short-term </w:t>
      </w:r>
      <w:r w:rsidR="00BE0F80">
        <w:rPr>
          <w:rFonts w:ascii="Arial" w:hAnsi="Arial" w:cs="Arial"/>
          <w:sz w:val="24"/>
          <w:szCs w:val="24"/>
        </w:rPr>
        <w:tab/>
        <w:t>investments held on the balance sheet as at 31</w:t>
      </w:r>
      <w:r w:rsidR="00BE0F80" w:rsidRPr="00AA03E4">
        <w:rPr>
          <w:rFonts w:ascii="Arial" w:hAnsi="Arial" w:cs="Arial"/>
          <w:sz w:val="24"/>
          <w:szCs w:val="24"/>
          <w:vertAlign w:val="superscript"/>
        </w:rPr>
        <w:t>st</w:t>
      </w:r>
      <w:r>
        <w:rPr>
          <w:rFonts w:ascii="Arial" w:hAnsi="Arial" w:cs="Arial"/>
          <w:sz w:val="24"/>
          <w:szCs w:val="24"/>
        </w:rPr>
        <w:t xml:space="preserve"> March 2019</w:t>
      </w:r>
      <w:r w:rsidR="00BE0F80">
        <w:rPr>
          <w:rFonts w:ascii="Arial" w:hAnsi="Arial" w:cs="Arial"/>
          <w:sz w:val="24"/>
          <w:szCs w:val="24"/>
        </w:rPr>
        <w:t>.</w:t>
      </w:r>
    </w:p>
    <w:p w:rsidR="006A6352" w:rsidRDefault="006A6352" w:rsidP="00BE0F80">
      <w:pPr>
        <w:pStyle w:val="NoSpacing"/>
        <w:rPr>
          <w:rFonts w:ascii="Arial" w:hAnsi="Arial" w:cs="Arial"/>
          <w:sz w:val="24"/>
          <w:szCs w:val="24"/>
        </w:rPr>
      </w:pPr>
    </w:p>
    <w:p w:rsidR="006A6352" w:rsidRDefault="006A6352" w:rsidP="00BE0F80">
      <w:pPr>
        <w:pStyle w:val="NoSpacing"/>
        <w:rPr>
          <w:rFonts w:ascii="Arial" w:hAnsi="Arial" w:cs="Arial"/>
          <w:sz w:val="24"/>
          <w:szCs w:val="24"/>
        </w:rPr>
      </w:pPr>
      <w:r w:rsidRPr="006A6352">
        <w:rPr>
          <w:rFonts w:ascii="Arial" w:hAnsi="Arial" w:cs="Arial"/>
          <w:sz w:val="24"/>
        </w:rPr>
        <w:t>3.5</w:t>
      </w:r>
      <w:r>
        <w:rPr>
          <w:rFonts w:cs="Arial"/>
          <w:sz w:val="24"/>
        </w:rPr>
        <w:tab/>
      </w:r>
      <w:r w:rsidRPr="006A6352">
        <w:rPr>
          <w:rFonts w:ascii="Arial" w:hAnsi="Arial" w:cs="Arial"/>
          <w:sz w:val="24"/>
          <w:szCs w:val="24"/>
        </w:rPr>
        <w:t xml:space="preserve">The OPFCC holds invested funds, representing income received in advance of </w:t>
      </w:r>
      <w:r w:rsidRPr="006A6352">
        <w:rPr>
          <w:rFonts w:ascii="Arial" w:hAnsi="Arial" w:cs="Arial"/>
          <w:sz w:val="24"/>
          <w:szCs w:val="24"/>
        </w:rPr>
        <w:tab/>
        <w:t xml:space="preserve">expenditure plus balances and reserves held. During 2018/19 the PFCC’s </w:t>
      </w:r>
      <w:r w:rsidRPr="006A6352">
        <w:rPr>
          <w:rFonts w:ascii="Arial" w:hAnsi="Arial" w:cs="Arial"/>
          <w:sz w:val="24"/>
          <w:szCs w:val="24"/>
        </w:rPr>
        <w:tab/>
        <w:t xml:space="preserve">investment </w:t>
      </w:r>
      <w:r w:rsidRPr="006A6352">
        <w:rPr>
          <w:rFonts w:ascii="Arial" w:hAnsi="Arial" w:cs="Arial"/>
          <w:sz w:val="24"/>
          <w:szCs w:val="24"/>
        </w:rPr>
        <w:tab/>
        <w:t xml:space="preserve">balance ranged between £0m and £57m, due to timing differences between income and </w:t>
      </w:r>
      <w:r w:rsidRPr="006A6352">
        <w:rPr>
          <w:rFonts w:ascii="Arial" w:hAnsi="Arial" w:cs="Arial"/>
          <w:sz w:val="24"/>
          <w:szCs w:val="24"/>
        </w:rPr>
        <w:tab/>
        <w:t xml:space="preserve">expenditure (principally the receipt of the Police Officer Pension Top-Up Grant from the </w:t>
      </w:r>
      <w:r w:rsidRPr="006A6352">
        <w:rPr>
          <w:rFonts w:ascii="Arial" w:hAnsi="Arial" w:cs="Arial"/>
          <w:sz w:val="24"/>
          <w:szCs w:val="24"/>
        </w:rPr>
        <w:tab/>
        <w:t xml:space="preserve">Home Office in July 2018, which equated to £46.688m). The year-end investment </w:t>
      </w:r>
      <w:r w:rsidRPr="006A6352">
        <w:rPr>
          <w:rFonts w:ascii="Arial" w:hAnsi="Arial" w:cs="Arial"/>
          <w:sz w:val="24"/>
          <w:szCs w:val="24"/>
        </w:rPr>
        <w:tab/>
        <w:t>position and the year-on-year change is shown in Table 3 below.</w:t>
      </w:r>
      <w:r w:rsidRPr="006A6352">
        <w:rPr>
          <w:rFonts w:ascii="Arial" w:hAnsi="Arial" w:cs="Arial"/>
          <w:sz w:val="24"/>
          <w:szCs w:val="24"/>
        </w:rPr>
        <w:br/>
      </w:r>
    </w:p>
    <w:p w:rsidR="006A6352" w:rsidRPr="006A6352" w:rsidRDefault="006A6352" w:rsidP="006A6352">
      <w:pPr>
        <w:pStyle w:val="NoSpacing"/>
        <w:rPr>
          <w:rFonts w:ascii="Arial" w:hAnsi="Arial" w:cs="Arial"/>
          <w:sz w:val="24"/>
          <w:szCs w:val="24"/>
          <w:u w:val="single"/>
        </w:rPr>
      </w:pPr>
      <w:r>
        <w:rPr>
          <w:rFonts w:ascii="Arial" w:hAnsi="Arial" w:cs="Arial"/>
          <w:sz w:val="24"/>
          <w:szCs w:val="24"/>
        </w:rPr>
        <w:tab/>
      </w:r>
      <w:r w:rsidRPr="006A6352">
        <w:rPr>
          <w:rFonts w:ascii="Arial" w:hAnsi="Arial" w:cs="Arial"/>
          <w:sz w:val="24"/>
          <w:szCs w:val="24"/>
          <w:u w:val="single"/>
        </w:rPr>
        <w:t>Table 3: Investment Position</w:t>
      </w:r>
      <w:r w:rsidR="00BE0F80" w:rsidRPr="00A7629E">
        <w:rPr>
          <w:rFonts w:cs="Arial"/>
          <w:sz w:val="24"/>
        </w:rPr>
        <w:br/>
      </w:r>
    </w:p>
    <w:tbl>
      <w:tblPr>
        <w:tblpPr w:leftFromText="180" w:rightFromText="180" w:vertAnchor="text" w:horzAnchor="page" w:tblpX="1753" w:tblpY="-37"/>
        <w:tblW w:w="7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1142"/>
        <w:gridCol w:w="1403"/>
        <w:gridCol w:w="1143"/>
      </w:tblGrid>
      <w:tr w:rsidR="006A6352" w:rsidRPr="00940DF6" w:rsidTr="00032605">
        <w:tc>
          <w:tcPr>
            <w:tcW w:w="3591" w:type="dxa"/>
            <w:vAlign w:val="center"/>
          </w:tcPr>
          <w:p w:rsidR="006A6352" w:rsidRPr="00835FBE" w:rsidRDefault="006A6352" w:rsidP="00032605">
            <w:pPr>
              <w:rPr>
                <w:rFonts w:cs="Arial"/>
                <w:bCs/>
                <w:sz w:val="24"/>
              </w:rPr>
            </w:pPr>
          </w:p>
        </w:tc>
        <w:tc>
          <w:tcPr>
            <w:tcW w:w="1142" w:type="dxa"/>
            <w:vAlign w:val="center"/>
          </w:tcPr>
          <w:p w:rsidR="006A6352" w:rsidRPr="00835FBE" w:rsidRDefault="006A6352" w:rsidP="00032605">
            <w:pPr>
              <w:spacing w:line="240" w:lineRule="auto"/>
              <w:jc w:val="center"/>
              <w:rPr>
                <w:rFonts w:cs="Arial"/>
                <w:b/>
                <w:bCs/>
                <w:sz w:val="24"/>
              </w:rPr>
            </w:pPr>
            <w:r w:rsidRPr="00835FBE">
              <w:rPr>
                <w:rFonts w:cs="Arial"/>
                <w:b/>
                <w:bCs/>
                <w:sz w:val="24"/>
              </w:rPr>
              <w:t>31.3.18</w:t>
            </w:r>
          </w:p>
          <w:p w:rsidR="006A6352" w:rsidRPr="00835FBE" w:rsidRDefault="006A6352" w:rsidP="00032605">
            <w:pPr>
              <w:spacing w:line="240" w:lineRule="auto"/>
              <w:jc w:val="center"/>
              <w:rPr>
                <w:rFonts w:cs="Arial"/>
                <w:b/>
                <w:bCs/>
                <w:sz w:val="24"/>
              </w:rPr>
            </w:pPr>
            <w:r w:rsidRPr="00835FBE">
              <w:rPr>
                <w:rFonts w:cs="Arial"/>
                <w:b/>
                <w:bCs/>
                <w:sz w:val="24"/>
              </w:rPr>
              <w:t>Balance</w:t>
            </w:r>
          </w:p>
          <w:p w:rsidR="006A6352" w:rsidRPr="00835FBE" w:rsidRDefault="006A6352" w:rsidP="00032605">
            <w:pPr>
              <w:spacing w:line="240" w:lineRule="auto"/>
              <w:jc w:val="center"/>
              <w:rPr>
                <w:rFonts w:cs="Arial"/>
                <w:b/>
                <w:bCs/>
                <w:sz w:val="24"/>
              </w:rPr>
            </w:pPr>
            <w:r w:rsidRPr="00835FBE">
              <w:rPr>
                <w:rFonts w:cs="Arial"/>
                <w:b/>
                <w:bCs/>
                <w:sz w:val="24"/>
              </w:rPr>
              <w:t>£m</w:t>
            </w:r>
          </w:p>
        </w:tc>
        <w:tc>
          <w:tcPr>
            <w:tcW w:w="1403" w:type="dxa"/>
            <w:vAlign w:val="center"/>
          </w:tcPr>
          <w:p w:rsidR="006A6352" w:rsidRPr="00835FBE" w:rsidRDefault="006A6352" w:rsidP="00032605">
            <w:pPr>
              <w:spacing w:line="240" w:lineRule="auto"/>
              <w:jc w:val="center"/>
              <w:rPr>
                <w:rFonts w:cs="Arial"/>
                <w:b/>
                <w:bCs/>
                <w:sz w:val="24"/>
              </w:rPr>
            </w:pPr>
            <w:r w:rsidRPr="00835FBE">
              <w:rPr>
                <w:rFonts w:cs="Arial"/>
                <w:b/>
                <w:bCs/>
                <w:sz w:val="24"/>
              </w:rPr>
              <w:t>2018/19</w:t>
            </w:r>
          </w:p>
          <w:p w:rsidR="006A6352" w:rsidRPr="00835FBE" w:rsidRDefault="006A6352" w:rsidP="00032605">
            <w:pPr>
              <w:spacing w:line="240" w:lineRule="auto"/>
              <w:jc w:val="center"/>
              <w:rPr>
                <w:rFonts w:cs="Arial"/>
                <w:b/>
                <w:bCs/>
                <w:sz w:val="24"/>
              </w:rPr>
            </w:pPr>
            <w:r w:rsidRPr="00835FBE">
              <w:rPr>
                <w:rFonts w:cs="Arial"/>
                <w:b/>
                <w:bCs/>
                <w:sz w:val="24"/>
              </w:rPr>
              <w:t>Movement</w:t>
            </w:r>
          </w:p>
          <w:p w:rsidR="006A6352" w:rsidRPr="00835FBE" w:rsidRDefault="006A6352" w:rsidP="00032605">
            <w:pPr>
              <w:spacing w:line="240" w:lineRule="auto"/>
              <w:jc w:val="center"/>
              <w:rPr>
                <w:rFonts w:cs="Arial"/>
                <w:b/>
                <w:bCs/>
                <w:sz w:val="24"/>
              </w:rPr>
            </w:pPr>
            <w:r w:rsidRPr="00835FBE">
              <w:rPr>
                <w:rFonts w:cs="Arial"/>
                <w:b/>
                <w:bCs/>
                <w:sz w:val="24"/>
              </w:rPr>
              <w:t>£m</w:t>
            </w:r>
          </w:p>
        </w:tc>
        <w:tc>
          <w:tcPr>
            <w:tcW w:w="1143" w:type="dxa"/>
            <w:vAlign w:val="center"/>
          </w:tcPr>
          <w:p w:rsidR="006A6352" w:rsidRPr="00835FBE" w:rsidRDefault="006A6352" w:rsidP="00032605">
            <w:pPr>
              <w:spacing w:line="240" w:lineRule="auto"/>
              <w:jc w:val="center"/>
              <w:rPr>
                <w:rFonts w:cs="Arial"/>
                <w:b/>
                <w:bCs/>
                <w:sz w:val="24"/>
              </w:rPr>
            </w:pPr>
            <w:r w:rsidRPr="00835FBE">
              <w:rPr>
                <w:rFonts w:cs="Arial"/>
                <w:b/>
                <w:bCs/>
                <w:sz w:val="24"/>
              </w:rPr>
              <w:t>31.3.19</w:t>
            </w:r>
          </w:p>
          <w:p w:rsidR="006A6352" w:rsidRPr="00835FBE" w:rsidRDefault="006A6352" w:rsidP="00032605">
            <w:pPr>
              <w:spacing w:line="240" w:lineRule="auto"/>
              <w:jc w:val="center"/>
              <w:rPr>
                <w:rFonts w:cs="Arial"/>
                <w:b/>
                <w:bCs/>
                <w:sz w:val="24"/>
              </w:rPr>
            </w:pPr>
            <w:r w:rsidRPr="00835FBE">
              <w:rPr>
                <w:rFonts w:cs="Arial"/>
                <w:b/>
                <w:bCs/>
                <w:sz w:val="24"/>
              </w:rPr>
              <w:t>Balance</w:t>
            </w:r>
          </w:p>
          <w:p w:rsidR="006A6352" w:rsidRPr="00835FBE" w:rsidRDefault="006A6352" w:rsidP="00032605">
            <w:pPr>
              <w:spacing w:line="240" w:lineRule="auto"/>
              <w:jc w:val="center"/>
              <w:rPr>
                <w:rFonts w:cs="Arial"/>
                <w:b/>
                <w:bCs/>
                <w:sz w:val="24"/>
              </w:rPr>
            </w:pPr>
            <w:r w:rsidRPr="00835FBE">
              <w:rPr>
                <w:rFonts w:cs="Arial"/>
                <w:b/>
                <w:bCs/>
                <w:sz w:val="24"/>
              </w:rPr>
              <w:t>£m</w:t>
            </w:r>
          </w:p>
        </w:tc>
      </w:tr>
      <w:tr w:rsidR="006A6352" w:rsidRPr="00940DF6" w:rsidTr="00032605">
        <w:trPr>
          <w:trHeight w:val="340"/>
        </w:trPr>
        <w:tc>
          <w:tcPr>
            <w:tcW w:w="3591" w:type="dxa"/>
            <w:vAlign w:val="center"/>
          </w:tcPr>
          <w:p w:rsidR="006A6352" w:rsidRPr="00835FBE" w:rsidRDefault="006A6352" w:rsidP="00032605">
            <w:pPr>
              <w:tabs>
                <w:tab w:val="left" w:pos="591"/>
                <w:tab w:val="left" w:pos="1260"/>
                <w:tab w:val="left" w:pos="1980"/>
                <w:tab w:val="left" w:pos="2520"/>
              </w:tabs>
              <w:spacing w:before="60" w:after="60" w:line="240" w:lineRule="auto"/>
              <w:rPr>
                <w:rFonts w:cs="Arial"/>
                <w:sz w:val="24"/>
              </w:rPr>
            </w:pPr>
            <w:r w:rsidRPr="00835FBE">
              <w:rPr>
                <w:rFonts w:cs="Arial"/>
                <w:sz w:val="24"/>
              </w:rPr>
              <w:t>Call accounts</w:t>
            </w:r>
          </w:p>
        </w:tc>
        <w:tc>
          <w:tcPr>
            <w:tcW w:w="1142" w:type="dxa"/>
            <w:vAlign w:val="center"/>
          </w:tcPr>
          <w:p w:rsidR="006A6352" w:rsidRPr="00835FBE" w:rsidRDefault="006A6352" w:rsidP="00032605">
            <w:pPr>
              <w:spacing w:line="240" w:lineRule="auto"/>
              <w:jc w:val="right"/>
              <w:rPr>
                <w:rFonts w:cs="Arial"/>
                <w:bCs/>
                <w:sz w:val="24"/>
              </w:rPr>
            </w:pPr>
            <w:r w:rsidRPr="00835FBE">
              <w:rPr>
                <w:rFonts w:cs="Arial"/>
                <w:bCs/>
                <w:sz w:val="24"/>
              </w:rPr>
              <w:t>2.000</w:t>
            </w:r>
          </w:p>
        </w:tc>
        <w:tc>
          <w:tcPr>
            <w:tcW w:w="1403" w:type="dxa"/>
            <w:vAlign w:val="center"/>
          </w:tcPr>
          <w:p w:rsidR="006A6352" w:rsidRPr="00835FBE" w:rsidRDefault="006A6352" w:rsidP="00032605">
            <w:pPr>
              <w:spacing w:line="240" w:lineRule="auto"/>
              <w:jc w:val="right"/>
              <w:rPr>
                <w:rFonts w:cs="Arial"/>
                <w:bCs/>
                <w:sz w:val="24"/>
              </w:rPr>
            </w:pPr>
            <w:r w:rsidRPr="00835FBE">
              <w:rPr>
                <w:rFonts w:cs="Arial"/>
                <w:bCs/>
                <w:sz w:val="24"/>
              </w:rPr>
              <w:t>(0.880)</w:t>
            </w:r>
          </w:p>
        </w:tc>
        <w:tc>
          <w:tcPr>
            <w:tcW w:w="1143" w:type="dxa"/>
            <w:vAlign w:val="center"/>
          </w:tcPr>
          <w:p w:rsidR="006A6352" w:rsidRPr="00835FBE" w:rsidRDefault="006A6352" w:rsidP="00032605">
            <w:pPr>
              <w:spacing w:line="240" w:lineRule="auto"/>
              <w:jc w:val="right"/>
              <w:rPr>
                <w:rFonts w:cs="Arial"/>
                <w:bCs/>
                <w:sz w:val="24"/>
              </w:rPr>
            </w:pPr>
            <w:r w:rsidRPr="00835FBE">
              <w:rPr>
                <w:rFonts w:cs="Arial"/>
                <w:bCs/>
                <w:sz w:val="24"/>
              </w:rPr>
              <w:t>1.120</w:t>
            </w:r>
          </w:p>
        </w:tc>
      </w:tr>
      <w:tr w:rsidR="006A6352" w:rsidRPr="00940DF6" w:rsidTr="00032605">
        <w:trPr>
          <w:trHeight w:val="340"/>
        </w:trPr>
        <w:tc>
          <w:tcPr>
            <w:tcW w:w="3591" w:type="dxa"/>
            <w:vAlign w:val="center"/>
          </w:tcPr>
          <w:p w:rsidR="006A6352" w:rsidRPr="00835FBE" w:rsidRDefault="006A6352" w:rsidP="00032605">
            <w:pPr>
              <w:spacing w:line="240" w:lineRule="auto"/>
              <w:rPr>
                <w:rFonts w:cs="Arial"/>
                <w:bCs/>
                <w:sz w:val="24"/>
              </w:rPr>
            </w:pPr>
            <w:r w:rsidRPr="00835FBE">
              <w:rPr>
                <w:rFonts w:cs="Arial"/>
                <w:bCs/>
                <w:sz w:val="24"/>
              </w:rPr>
              <w:t>Notice accounts</w:t>
            </w:r>
          </w:p>
        </w:tc>
        <w:tc>
          <w:tcPr>
            <w:tcW w:w="1142" w:type="dxa"/>
            <w:vAlign w:val="center"/>
          </w:tcPr>
          <w:p w:rsidR="006A6352" w:rsidRPr="00835FBE" w:rsidRDefault="006A6352" w:rsidP="00032605">
            <w:pPr>
              <w:spacing w:line="240" w:lineRule="auto"/>
              <w:jc w:val="right"/>
              <w:rPr>
                <w:rFonts w:cs="Arial"/>
                <w:bCs/>
                <w:sz w:val="24"/>
              </w:rPr>
            </w:pPr>
            <w:r w:rsidRPr="00835FBE">
              <w:rPr>
                <w:rFonts w:cs="Arial"/>
                <w:bCs/>
                <w:sz w:val="24"/>
              </w:rPr>
              <w:t>0.000</w:t>
            </w:r>
          </w:p>
        </w:tc>
        <w:tc>
          <w:tcPr>
            <w:tcW w:w="1403" w:type="dxa"/>
            <w:vAlign w:val="center"/>
          </w:tcPr>
          <w:p w:rsidR="006A6352" w:rsidRPr="00835FBE" w:rsidRDefault="006A6352" w:rsidP="00032605">
            <w:pPr>
              <w:spacing w:line="240" w:lineRule="auto"/>
              <w:jc w:val="right"/>
              <w:rPr>
                <w:rFonts w:cs="Arial"/>
                <w:bCs/>
                <w:sz w:val="24"/>
              </w:rPr>
            </w:pPr>
            <w:r w:rsidRPr="00835FBE">
              <w:rPr>
                <w:rFonts w:cs="Arial"/>
                <w:bCs/>
                <w:sz w:val="24"/>
              </w:rPr>
              <w:t>1.500</w:t>
            </w:r>
          </w:p>
        </w:tc>
        <w:tc>
          <w:tcPr>
            <w:tcW w:w="1143" w:type="dxa"/>
            <w:vAlign w:val="center"/>
          </w:tcPr>
          <w:p w:rsidR="006A6352" w:rsidRPr="00835FBE" w:rsidRDefault="006A6352" w:rsidP="00032605">
            <w:pPr>
              <w:spacing w:line="240" w:lineRule="auto"/>
              <w:jc w:val="right"/>
              <w:rPr>
                <w:rFonts w:cs="Arial"/>
                <w:bCs/>
                <w:sz w:val="24"/>
              </w:rPr>
            </w:pPr>
            <w:r w:rsidRPr="00835FBE">
              <w:rPr>
                <w:rFonts w:cs="Arial"/>
                <w:bCs/>
                <w:sz w:val="24"/>
              </w:rPr>
              <w:t>1.500</w:t>
            </w:r>
          </w:p>
        </w:tc>
      </w:tr>
      <w:tr w:rsidR="006A6352" w:rsidRPr="00940DF6" w:rsidTr="00032605">
        <w:trPr>
          <w:trHeight w:val="340"/>
        </w:trPr>
        <w:tc>
          <w:tcPr>
            <w:tcW w:w="3591" w:type="dxa"/>
            <w:vAlign w:val="center"/>
          </w:tcPr>
          <w:p w:rsidR="006A6352" w:rsidRPr="00835FBE" w:rsidRDefault="006A6352" w:rsidP="00032605">
            <w:pPr>
              <w:spacing w:line="240" w:lineRule="auto"/>
              <w:rPr>
                <w:rFonts w:cs="Arial"/>
                <w:bCs/>
                <w:sz w:val="24"/>
              </w:rPr>
            </w:pPr>
            <w:r w:rsidRPr="00835FBE">
              <w:rPr>
                <w:rFonts w:cs="Arial"/>
                <w:bCs/>
                <w:sz w:val="24"/>
              </w:rPr>
              <w:t>Money market funds</w:t>
            </w:r>
          </w:p>
        </w:tc>
        <w:tc>
          <w:tcPr>
            <w:tcW w:w="1142" w:type="dxa"/>
            <w:vAlign w:val="center"/>
          </w:tcPr>
          <w:p w:rsidR="006A6352" w:rsidRPr="00835FBE" w:rsidRDefault="006A6352" w:rsidP="00032605">
            <w:pPr>
              <w:spacing w:line="240" w:lineRule="auto"/>
              <w:jc w:val="right"/>
              <w:rPr>
                <w:rFonts w:cs="Arial"/>
                <w:bCs/>
                <w:sz w:val="24"/>
              </w:rPr>
            </w:pPr>
            <w:r w:rsidRPr="00835FBE">
              <w:rPr>
                <w:rFonts w:cs="Arial"/>
                <w:bCs/>
                <w:sz w:val="24"/>
              </w:rPr>
              <w:t>0.000</w:t>
            </w:r>
          </w:p>
        </w:tc>
        <w:tc>
          <w:tcPr>
            <w:tcW w:w="1403" w:type="dxa"/>
            <w:vAlign w:val="center"/>
          </w:tcPr>
          <w:p w:rsidR="006A6352" w:rsidRPr="00835FBE" w:rsidRDefault="006A6352" w:rsidP="00032605">
            <w:pPr>
              <w:spacing w:line="240" w:lineRule="auto"/>
              <w:jc w:val="right"/>
              <w:rPr>
                <w:rFonts w:cs="Arial"/>
                <w:bCs/>
                <w:sz w:val="24"/>
              </w:rPr>
            </w:pPr>
            <w:r w:rsidRPr="00835FBE">
              <w:rPr>
                <w:rFonts w:cs="Arial"/>
                <w:bCs/>
                <w:sz w:val="24"/>
              </w:rPr>
              <w:t>8.000</w:t>
            </w:r>
          </w:p>
        </w:tc>
        <w:tc>
          <w:tcPr>
            <w:tcW w:w="1143" w:type="dxa"/>
            <w:vAlign w:val="center"/>
          </w:tcPr>
          <w:p w:rsidR="006A6352" w:rsidRPr="00835FBE" w:rsidRDefault="006A6352" w:rsidP="00032605">
            <w:pPr>
              <w:spacing w:line="240" w:lineRule="auto"/>
              <w:jc w:val="right"/>
              <w:rPr>
                <w:rFonts w:cs="Arial"/>
                <w:bCs/>
                <w:sz w:val="24"/>
              </w:rPr>
            </w:pPr>
            <w:r w:rsidRPr="00835FBE">
              <w:rPr>
                <w:rFonts w:cs="Arial"/>
                <w:bCs/>
                <w:sz w:val="24"/>
              </w:rPr>
              <w:t>8.000</w:t>
            </w:r>
          </w:p>
        </w:tc>
      </w:tr>
      <w:tr w:rsidR="006A6352" w:rsidRPr="00940DF6" w:rsidTr="00032605">
        <w:trPr>
          <w:trHeight w:val="340"/>
        </w:trPr>
        <w:tc>
          <w:tcPr>
            <w:tcW w:w="3591" w:type="dxa"/>
            <w:vAlign w:val="center"/>
          </w:tcPr>
          <w:p w:rsidR="006A6352" w:rsidRPr="00835FBE" w:rsidRDefault="006A6352" w:rsidP="00032605">
            <w:pPr>
              <w:spacing w:line="240" w:lineRule="auto"/>
              <w:rPr>
                <w:rFonts w:cs="Arial"/>
                <w:bCs/>
                <w:sz w:val="24"/>
              </w:rPr>
            </w:pPr>
            <w:r w:rsidRPr="00835FBE">
              <w:rPr>
                <w:rFonts w:cs="Arial"/>
                <w:bCs/>
                <w:sz w:val="24"/>
              </w:rPr>
              <w:t>Fixed term deposits</w:t>
            </w:r>
          </w:p>
        </w:tc>
        <w:tc>
          <w:tcPr>
            <w:tcW w:w="1142" w:type="dxa"/>
            <w:vAlign w:val="center"/>
          </w:tcPr>
          <w:p w:rsidR="006A6352" w:rsidRPr="00835FBE" w:rsidRDefault="006A6352" w:rsidP="00032605">
            <w:pPr>
              <w:spacing w:line="240" w:lineRule="auto"/>
              <w:jc w:val="right"/>
              <w:rPr>
                <w:rFonts w:cs="Arial"/>
                <w:bCs/>
                <w:sz w:val="24"/>
              </w:rPr>
            </w:pPr>
            <w:r w:rsidRPr="00835FBE">
              <w:rPr>
                <w:rFonts w:cs="Arial"/>
                <w:bCs/>
                <w:sz w:val="24"/>
              </w:rPr>
              <w:t>8.000</w:t>
            </w:r>
          </w:p>
        </w:tc>
        <w:tc>
          <w:tcPr>
            <w:tcW w:w="1403" w:type="dxa"/>
            <w:vAlign w:val="center"/>
          </w:tcPr>
          <w:p w:rsidR="006A6352" w:rsidRPr="00835FBE" w:rsidRDefault="006A6352" w:rsidP="00032605">
            <w:pPr>
              <w:spacing w:line="240" w:lineRule="auto"/>
              <w:jc w:val="right"/>
              <w:rPr>
                <w:rFonts w:cs="Arial"/>
                <w:bCs/>
                <w:sz w:val="24"/>
              </w:rPr>
            </w:pPr>
            <w:r w:rsidRPr="00835FBE">
              <w:rPr>
                <w:rFonts w:cs="Arial"/>
                <w:bCs/>
                <w:sz w:val="24"/>
              </w:rPr>
              <w:t>0.500</w:t>
            </w:r>
          </w:p>
        </w:tc>
        <w:tc>
          <w:tcPr>
            <w:tcW w:w="1143" w:type="dxa"/>
            <w:vAlign w:val="center"/>
          </w:tcPr>
          <w:p w:rsidR="006A6352" w:rsidRPr="00835FBE" w:rsidRDefault="006A6352" w:rsidP="00032605">
            <w:pPr>
              <w:spacing w:line="240" w:lineRule="auto"/>
              <w:jc w:val="right"/>
              <w:rPr>
                <w:rFonts w:cs="Arial"/>
                <w:bCs/>
                <w:sz w:val="24"/>
              </w:rPr>
            </w:pPr>
            <w:r w:rsidRPr="00835FBE">
              <w:rPr>
                <w:rFonts w:cs="Arial"/>
                <w:bCs/>
                <w:sz w:val="24"/>
              </w:rPr>
              <w:t>8.500</w:t>
            </w:r>
          </w:p>
        </w:tc>
      </w:tr>
      <w:tr w:rsidR="006A6352" w:rsidRPr="00A77E0E" w:rsidTr="00032605">
        <w:trPr>
          <w:trHeight w:val="340"/>
        </w:trPr>
        <w:tc>
          <w:tcPr>
            <w:tcW w:w="3591" w:type="dxa"/>
            <w:vAlign w:val="center"/>
          </w:tcPr>
          <w:p w:rsidR="006A6352" w:rsidRPr="00835FBE" w:rsidRDefault="006A6352" w:rsidP="00032605">
            <w:pPr>
              <w:spacing w:line="240" w:lineRule="auto"/>
              <w:rPr>
                <w:rFonts w:cs="Arial"/>
                <w:bCs/>
                <w:sz w:val="24"/>
              </w:rPr>
            </w:pPr>
            <w:r>
              <w:rPr>
                <w:rFonts w:cs="Arial"/>
                <w:bCs/>
                <w:sz w:val="24"/>
              </w:rPr>
              <w:t xml:space="preserve">Force </w:t>
            </w:r>
            <w:r w:rsidRPr="00835FBE">
              <w:rPr>
                <w:rFonts w:cs="Arial"/>
                <w:bCs/>
                <w:sz w:val="24"/>
              </w:rPr>
              <w:t>bank accounts</w:t>
            </w:r>
            <w:r>
              <w:rPr>
                <w:rFonts w:cs="Arial"/>
                <w:bCs/>
                <w:sz w:val="24"/>
              </w:rPr>
              <w:t xml:space="preserve"> cashbook value</w:t>
            </w:r>
          </w:p>
        </w:tc>
        <w:tc>
          <w:tcPr>
            <w:tcW w:w="1142" w:type="dxa"/>
            <w:vAlign w:val="center"/>
          </w:tcPr>
          <w:p w:rsidR="006A6352" w:rsidRPr="00835FBE" w:rsidRDefault="006A6352" w:rsidP="00032605">
            <w:pPr>
              <w:spacing w:line="240" w:lineRule="auto"/>
              <w:jc w:val="right"/>
              <w:rPr>
                <w:rFonts w:cs="Arial"/>
                <w:bCs/>
                <w:sz w:val="24"/>
              </w:rPr>
            </w:pPr>
            <w:r w:rsidRPr="00835FBE">
              <w:rPr>
                <w:rFonts w:cs="Arial"/>
                <w:bCs/>
                <w:sz w:val="24"/>
              </w:rPr>
              <w:t>3.880</w:t>
            </w:r>
          </w:p>
        </w:tc>
        <w:tc>
          <w:tcPr>
            <w:tcW w:w="1403" w:type="dxa"/>
            <w:vAlign w:val="center"/>
          </w:tcPr>
          <w:p w:rsidR="006A6352" w:rsidRPr="00835FBE" w:rsidRDefault="006A6352" w:rsidP="00032605">
            <w:pPr>
              <w:spacing w:line="240" w:lineRule="auto"/>
              <w:jc w:val="right"/>
              <w:rPr>
                <w:rFonts w:cs="Arial"/>
                <w:bCs/>
                <w:sz w:val="24"/>
              </w:rPr>
            </w:pPr>
            <w:r w:rsidRPr="00835FBE">
              <w:rPr>
                <w:rFonts w:cs="Arial"/>
                <w:bCs/>
                <w:sz w:val="24"/>
              </w:rPr>
              <w:t>(4.653)</w:t>
            </w:r>
          </w:p>
        </w:tc>
        <w:tc>
          <w:tcPr>
            <w:tcW w:w="1143" w:type="dxa"/>
            <w:vAlign w:val="center"/>
          </w:tcPr>
          <w:p w:rsidR="006A6352" w:rsidRPr="00835FBE" w:rsidRDefault="006A6352" w:rsidP="00032605">
            <w:pPr>
              <w:spacing w:line="240" w:lineRule="auto"/>
              <w:jc w:val="right"/>
              <w:rPr>
                <w:rFonts w:cs="Arial"/>
                <w:bCs/>
                <w:sz w:val="24"/>
              </w:rPr>
            </w:pPr>
            <w:r w:rsidRPr="00835FBE">
              <w:rPr>
                <w:rFonts w:cs="Arial"/>
                <w:bCs/>
                <w:sz w:val="24"/>
              </w:rPr>
              <w:t>(0.773)</w:t>
            </w:r>
          </w:p>
        </w:tc>
      </w:tr>
      <w:tr w:rsidR="006A6352" w:rsidRPr="00940DF6" w:rsidTr="00032605">
        <w:trPr>
          <w:trHeight w:val="340"/>
        </w:trPr>
        <w:tc>
          <w:tcPr>
            <w:tcW w:w="3591" w:type="dxa"/>
            <w:vAlign w:val="center"/>
          </w:tcPr>
          <w:p w:rsidR="006A6352" w:rsidRPr="00835FBE" w:rsidRDefault="006A6352" w:rsidP="00032605">
            <w:pPr>
              <w:spacing w:line="240" w:lineRule="auto"/>
              <w:rPr>
                <w:rFonts w:cs="Arial"/>
                <w:bCs/>
                <w:sz w:val="24"/>
              </w:rPr>
            </w:pPr>
            <w:r w:rsidRPr="00835FBE">
              <w:rPr>
                <w:rFonts w:cs="Arial"/>
                <w:bCs/>
                <w:sz w:val="24"/>
              </w:rPr>
              <w:t>Petty cash advances</w:t>
            </w:r>
          </w:p>
        </w:tc>
        <w:tc>
          <w:tcPr>
            <w:tcW w:w="1142" w:type="dxa"/>
            <w:vAlign w:val="center"/>
          </w:tcPr>
          <w:p w:rsidR="006A6352" w:rsidRPr="00835FBE" w:rsidRDefault="006A6352" w:rsidP="00032605">
            <w:pPr>
              <w:spacing w:line="240" w:lineRule="auto"/>
              <w:jc w:val="right"/>
              <w:rPr>
                <w:rFonts w:cs="Arial"/>
                <w:bCs/>
                <w:sz w:val="24"/>
              </w:rPr>
            </w:pPr>
            <w:r w:rsidRPr="00835FBE">
              <w:rPr>
                <w:rFonts w:cs="Arial"/>
                <w:bCs/>
                <w:sz w:val="24"/>
              </w:rPr>
              <w:t>0.250</w:t>
            </w:r>
          </w:p>
        </w:tc>
        <w:tc>
          <w:tcPr>
            <w:tcW w:w="1403" w:type="dxa"/>
            <w:vAlign w:val="center"/>
          </w:tcPr>
          <w:p w:rsidR="006A6352" w:rsidRPr="00835FBE" w:rsidRDefault="006A6352" w:rsidP="00032605">
            <w:pPr>
              <w:spacing w:line="240" w:lineRule="auto"/>
              <w:jc w:val="right"/>
              <w:rPr>
                <w:rFonts w:cs="Arial"/>
                <w:bCs/>
                <w:sz w:val="24"/>
              </w:rPr>
            </w:pPr>
            <w:r w:rsidRPr="00835FBE">
              <w:rPr>
                <w:rFonts w:cs="Arial"/>
                <w:bCs/>
                <w:sz w:val="24"/>
              </w:rPr>
              <w:t>(0.057)</w:t>
            </w:r>
          </w:p>
        </w:tc>
        <w:tc>
          <w:tcPr>
            <w:tcW w:w="1143" w:type="dxa"/>
            <w:vAlign w:val="center"/>
          </w:tcPr>
          <w:p w:rsidR="006A6352" w:rsidRPr="00835FBE" w:rsidRDefault="006A6352" w:rsidP="00032605">
            <w:pPr>
              <w:spacing w:line="240" w:lineRule="auto"/>
              <w:jc w:val="right"/>
              <w:rPr>
                <w:rFonts w:cs="Arial"/>
                <w:bCs/>
                <w:sz w:val="24"/>
              </w:rPr>
            </w:pPr>
            <w:r w:rsidRPr="00835FBE">
              <w:rPr>
                <w:rFonts w:cs="Arial"/>
                <w:bCs/>
                <w:sz w:val="24"/>
              </w:rPr>
              <w:t>0.193</w:t>
            </w:r>
          </w:p>
        </w:tc>
      </w:tr>
      <w:tr w:rsidR="006A6352" w:rsidRPr="00940DF6" w:rsidTr="00032605">
        <w:trPr>
          <w:trHeight w:val="340"/>
        </w:trPr>
        <w:tc>
          <w:tcPr>
            <w:tcW w:w="3591" w:type="dxa"/>
            <w:vAlign w:val="center"/>
          </w:tcPr>
          <w:p w:rsidR="006A6352" w:rsidRPr="00835FBE" w:rsidRDefault="006A6352" w:rsidP="00032605">
            <w:pPr>
              <w:spacing w:line="240" w:lineRule="auto"/>
              <w:rPr>
                <w:rFonts w:cs="Arial"/>
                <w:b/>
                <w:bCs/>
                <w:sz w:val="24"/>
              </w:rPr>
            </w:pPr>
            <w:r w:rsidRPr="00835FBE">
              <w:rPr>
                <w:rFonts w:cs="Arial"/>
                <w:b/>
                <w:bCs/>
                <w:sz w:val="24"/>
              </w:rPr>
              <w:t>Net Investments*</w:t>
            </w:r>
          </w:p>
        </w:tc>
        <w:tc>
          <w:tcPr>
            <w:tcW w:w="1142" w:type="dxa"/>
            <w:vAlign w:val="center"/>
          </w:tcPr>
          <w:p w:rsidR="006A6352" w:rsidRPr="00835FBE" w:rsidRDefault="006A6352" w:rsidP="00032605">
            <w:pPr>
              <w:spacing w:line="240" w:lineRule="auto"/>
              <w:jc w:val="right"/>
              <w:rPr>
                <w:rFonts w:cs="Arial"/>
                <w:b/>
                <w:bCs/>
                <w:sz w:val="24"/>
              </w:rPr>
            </w:pPr>
            <w:r w:rsidRPr="00835FBE">
              <w:rPr>
                <w:rFonts w:cs="Arial"/>
                <w:b/>
                <w:bCs/>
                <w:sz w:val="24"/>
              </w:rPr>
              <w:t>14.130</w:t>
            </w:r>
          </w:p>
        </w:tc>
        <w:tc>
          <w:tcPr>
            <w:tcW w:w="1403" w:type="dxa"/>
            <w:vAlign w:val="center"/>
          </w:tcPr>
          <w:p w:rsidR="006A6352" w:rsidRPr="00835FBE" w:rsidRDefault="006A6352" w:rsidP="00032605">
            <w:pPr>
              <w:spacing w:line="240" w:lineRule="auto"/>
              <w:jc w:val="right"/>
              <w:rPr>
                <w:rFonts w:cs="Arial"/>
                <w:b/>
                <w:bCs/>
                <w:sz w:val="24"/>
              </w:rPr>
            </w:pPr>
            <w:r w:rsidRPr="00835FBE">
              <w:rPr>
                <w:rFonts w:cs="Arial"/>
                <w:b/>
                <w:bCs/>
                <w:sz w:val="24"/>
              </w:rPr>
              <w:t>4.410</w:t>
            </w:r>
          </w:p>
        </w:tc>
        <w:tc>
          <w:tcPr>
            <w:tcW w:w="1143" w:type="dxa"/>
            <w:vAlign w:val="center"/>
          </w:tcPr>
          <w:p w:rsidR="006A6352" w:rsidRPr="00835FBE" w:rsidRDefault="006A6352" w:rsidP="00032605">
            <w:pPr>
              <w:spacing w:line="240" w:lineRule="auto"/>
              <w:jc w:val="right"/>
              <w:rPr>
                <w:rFonts w:cs="Arial"/>
                <w:b/>
                <w:bCs/>
                <w:sz w:val="24"/>
              </w:rPr>
            </w:pPr>
            <w:r w:rsidRPr="00835FBE">
              <w:rPr>
                <w:rFonts w:cs="Arial"/>
                <w:b/>
                <w:bCs/>
                <w:sz w:val="24"/>
              </w:rPr>
              <w:t>18.540</w:t>
            </w:r>
          </w:p>
        </w:tc>
      </w:tr>
    </w:tbl>
    <w:p w:rsidR="00BE0F80" w:rsidRPr="00A7629E" w:rsidRDefault="00BE0F80" w:rsidP="006A6352">
      <w:pPr>
        <w:pStyle w:val="NoSpacing"/>
        <w:rPr>
          <w:rFonts w:cs="Arial"/>
          <w:sz w:val="24"/>
        </w:rPr>
      </w:pPr>
    </w:p>
    <w:p w:rsidR="00BE0F80" w:rsidRPr="00A4014D" w:rsidRDefault="00BE0F80" w:rsidP="00BE0F80">
      <w:pPr>
        <w:ind w:left="720"/>
        <w:rPr>
          <w:rFonts w:cs="Arial"/>
          <w:u w:val="single"/>
        </w:rPr>
      </w:pPr>
      <w:r>
        <w:rPr>
          <w:rFonts w:cs="Arial"/>
          <w:u w:val="single"/>
        </w:rPr>
        <w:br/>
      </w:r>
      <w:r w:rsidRPr="00A4014D">
        <w:rPr>
          <w:rFonts w:cs="Arial"/>
          <w:u w:val="single"/>
        </w:rPr>
        <w:br/>
      </w:r>
    </w:p>
    <w:p w:rsidR="00BE0F80" w:rsidRDefault="00BE0F80" w:rsidP="00BE0F80">
      <w:pPr>
        <w:rPr>
          <w:rFonts w:cs="Arial"/>
        </w:rPr>
      </w:pPr>
    </w:p>
    <w:p w:rsidR="00BE0F80" w:rsidRDefault="00BE0F80" w:rsidP="00BE0F80">
      <w:pPr>
        <w:rPr>
          <w:rFonts w:cs="Arial"/>
        </w:rPr>
      </w:pPr>
    </w:p>
    <w:p w:rsidR="00BE0F80" w:rsidRDefault="00BE0F80" w:rsidP="00BE0F80">
      <w:pPr>
        <w:rPr>
          <w:rFonts w:cs="Arial"/>
        </w:rPr>
      </w:pPr>
    </w:p>
    <w:p w:rsidR="00BE0F80" w:rsidRDefault="00BE0F80" w:rsidP="00BE0F80">
      <w:pPr>
        <w:rPr>
          <w:rFonts w:cs="Arial"/>
        </w:rPr>
      </w:pPr>
    </w:p>
    <w:p w:rsidR="00BE0F80" w:rsidRDefault="00BE0F80" w:rsidP="00BE0F80">
      <w:pPr>
        <w:rPr>
          <w:rFonts w:cs="Arial"/>
        </w:rPr>
      </w:pPr>
    </w:p>
    <w:p w:rsidR="00BE0F80" w:rsidRDefault="00BE0F80" w:rsidP="00BE0F80">
      <w:pPr>
        <w:rPr>
          <w:rFonts w:cs="Arial"/>
        </w:rPr>
      </w:pPr>
      <w:r>
        <w:rPr>
          <w:rFonts w:cs="Arial"/>
        </w:rPr>
        <w:br/>
      </w:r>
    </w:p>
    <w:p w:rsidR="00E85315" w:rsidRDefault="00E85315" w:rsidP="00BE0F80">
      <w:pPr>
        <w:rPr>
          <w:rFonts w:cs="Arial"/>
        </w:rPr>
      </w:pPr>
    </w:p>
    <w:p w:rsidR="001D4C0D" w:rsidRPr="002963FF" w:rsidRDefault="00835FBE" w:rsidP="006A6352">
      <w:pPr>
        <w:spacing w:line="240" w:lineRule="auto"/>
        <w:ind w:left="720"/>
        <w:jc w:val="left"/>
        <w:rPr>
          <w:rFonts w:cs="Arial"/>
        </w:rPr>
      </w:pPr>
      <w:r w:rsidRPr="002963FF">
        <w:rPr>
          <w:rFonts w:cs="Arial"/>
          <w:sz w:val="24"/>
        </w:rPr>
        <w:br/>
      </w:r>
      <w:r w:rsidR="00BE0F80" w:rsidRPr="002963FF">
        <w:rPr>
          <w:rFonts w:cs="Arial"/>
          <w:sz w:val="24"/>
        </w:rPr>
        <w:t>*Full details of the investments as at the 31</w:t>
      </w:r>
      <w:r w:rsidR="00BE0F80" w:rsidRPr="002963FF">
        <w:rPr>
          <w:rFonts w:cs="Arial"/>
          <w:sz w:val="24"/>
          <w:vertAlign w:val="superscript"/>
        </w:rPr>
        <w:t>st</w:t>
      </w:r>
      <w:r w:rsidR="001D4C0D" w:rsidRPr="002963FF">
        <w:rPr>
          <w:rFonts w:cs="Arial"/>
          <w:sz w:val="24"/>
        </w:rPr>
        <w:t xml:space="preserve"> March 2019</w:t>
      </w:r>
      <w:r w:rsidR="00BE0F80" w:rsidRPr="002963FF">
        <w:rPr>
          <w:rFonts w:cs="Arial"/>
          <w:sz w:val="24"/>
        </w:rPr>
        <w:t xml:space="preserve"> are shown in appendix A. Additionall</w:t>
      </w:r>
      <w:r w:rsidR="00606C80">
        <w:rPr>
          <w:rFonts w:cs="Arial"/>
          <w:sz w:val="24"/>
        </w:rPr>
        <w:t>y, an alternative breakdown</w:t>
      </w:r>
      <w:r w:rsidR="00842CFD">
        <w:rPr>
          <w:rFonts w:cs="Arial"/>
          <w:sz w:val="24"/>
        </w:rPr>
        <w:t xml:space="preserve"> of the total</w:t>
      </w:r>
      <w:r w:rsidR="001D4C0D" w:rsidRPr="002963FF">
        <w:rPr>
          <w:rFonts w:cs="Arial"/>
          <w:sz w:val="24"/>
        </w:rPr>
        <w:t xml:space="preserve"> investments during 2018/19</w:t>
      </w:r>
      <w:r w:rsidR="00BE0F80" w:rsidRPr="002963FF">
        <w:rPr>
          <w:rFonts w:cs="Arial"/>
          <w:sz w:val="24"/>
        </w:rPr>
        <w:t xml:space="preserve"> </w:t>
      </w:r>
      <w:r w:rsidR="00606C80">
        <w:rPr>
          <w:rFonts w:cs="Arial"/>
          <w:sz w:val="24"/>
        </w:rPr>
        <w:t>showing additional information</w:t>
      </w:r>
      <w:r w:rsidR="00BE0F80" w:rsidRPr="002963FF">
        <w:rPr>
          <w:rFonts w:cs="Arial"/>
          <w:sz w:val="24"/>
        </w:rPr>
        <w:t xml:space="preserve"> is presented in appendix B.</w:t>
      </w:r>
      <w:r w:rsidR="001D4C0D" w:rsidRPr="002963FF">
        <w:rPr>
          <w:rFonts w:cs="Arial"/>
        </w:rPr>
        <w:br/>
      </w:r>
    </w:p>
    <w:p w:rsidR="00BE0F80" w:rsidRPr="001D4C0D" w:rsidRDefault="001D4C0D" w:rsidP="001D4C0D">
      <w:pPr>
        <w:spacing w:line="240" w:lineRule="auto"/>
        <w:ind w:left="720" w:hanging="720"/>
        <w:jc w:val="left"/>
        <w:rPr>
          <w:rFonts w:cs="Arial"/>
          <w:sz w:val="24"/>
        </w:rPr>
      </w:pPr>
      <w:r w:rsidRPr="001D4C0D">
        <w:rPr>
          <w:rFonts w:cs="Arial"/>
          <w:sz w:val="24"/>
        </w:rPr>
        <w:t>3</w:t>
      </w:r>
      <w:r w:rsidR="00BE0F80" w:rsidRPr="001D4C0D">
        <w:rPr>
          <w:rFonts w:cs="Arial"/>
          <w:sz w:val="24"/>
        </w:rPr>
        <w:t>.6</w:t>
      </w:r>
      <w:r w:rsidR="00BE0F80" w:rsidRPr="001D4C0D">
        <w:rPr>
          <w:rFonts w:cs="Arial"/>
          <w:sz w:val="24"/>
        </w:rPr>
        <w:tab/>
        <w:t xml:space="preserve">Both the CIPFA Code and government guidance require the </w:t>
      </w:r>
      <w:r w:rsidR="00E857C5">
        <w:rPr>
          <w:rFonts w:cs="Arial"/>
          <w:sz w:val="24"/>
        </w:rPr>
        <w:t>O</w:t>
      </w:r>
      <w:r w:rsidR="00BE0F80" w:rsidRPr="001D4C0D">
        <w:rPr>
          <w:rFonts w:cs="Arial"/>
          <w:sz w:val="24"/>
        </w:rPr>
        <w:t>PFCC to invest its funds prudently, and to have regard to the security and liquidity of its investments before seeking the highest rate of return, or yield.  The PFCC’s objective when investing money is to strike an appropriate balance between risk and return, minimising the risk of incurring losses from defaults and the risk of receiving unsuitably low investment income.</w:t>
      </w:r>
    </w:p>
    <w:p w:rsidR="001B0578" w:rsidRDefault="001B0578" w:rsidP="00BE0F80">
      <w:pPr>
        <w:contextualSpacing/>
        <w:rPr>
          <w:rFonts w:cs="Arial"/>
        </w:rPr>
      </w:pPr>
    </w:p>
    <w:p w:rsidR="001B0578" w:rsidRDefault="001B0578" w:rsidP="00BE0F80">
      <w:pPr>
        <w:contextualSpacing/>
        <w:rPr>
          <w:rFonts w:cs="Arial"/>
        </w:rPr>
      </w:pPr>
    </w:p>
    <w:p w:rsidR="00BE0F80" w:rsidRDefault="001D4C0D" w:rsidP="004835A8">
      <w:pPr>
        <w:spacing w:line="240" w:lineRule="auto"/>
        <w:ind w:left="720" w:hanging="720"/>
        <w:contextualSpacing/>
        <w:jc w:val="left"/>
        <w:rPr>
          <w:rFonts w:cs="Arial"/>
          <w:sz w:val="24"/>
        </w:rPr>
      </w:pPr>
      <w:r w:rsidRPr="001D4C0D">
        <w:rPr>
          <w:rFonts w:cs="Arial"/>
          <w:sz w:val="24"/>
        </w:rPr>
        <w:t>3</w:t>
      </w:r>
      <w:r w:rsidR="00BE0F80" w:rsidRPr="001D4C0D">
        <w:rPr>
          <w:rFonts w:cs="Arial"/>
          <w:sz w:val="24"/>
        </w:rPr>
        <w:t>.7</w:t>
      </w:r>
      <w:r w:rsidR="00BE0F80">
        <w:rPr>
          <w:rFonts w:cs="Arial"/>
        </w:rPr>
        <w:tab/>
      </w:r>
      <w:r w:rsidR="00BE0F80" w:rsidRPr="001D4C0D">
        <w:rPr>
          <w:rFonts w:cs="Arial"/>
          <w:sz w:val="24"/>
        </w:rPr>
        <w:t>The average level of investments over</w:t>
      </w:r>
      <w:r>
        <w:rPr>
          <w:rFonts w:cs="Arial"/>
          <w:sz w:val="24"/>
        </w:rPr>
        <w:t xml:space="preserve"> the twelve month period was £28.282m (£27.686</w:t>
      </w:r>
      <w:r w:rsidR="004835A8">
        <w:rPr>
          <w:rFonts w:cs="Arial"/>
          <w:sz w:val="24"/>
        </w:rPr>
        <w:t>m 2017/18</w:t>
      </w:r>
      <w:r w:rsidR="00BE0F80" w:rsidRPr="001D4C0D">
        <w:rPr>
          <w:rFonts w:cs="Arial"/>
          <w:sz w:val="24"/>
        </w:rPr>
        <w:t>). Interest e</w:t>
      </w:r>
      <w:r w:rsidR="004835A8">
        <w:rPr>
          <w:rFonts w:cs="Arial"/>
          <w:sz w:val="24"/>
        </w:rPr>
        <w:t>arnings for the period were £0.167m (£0.064m 2017/18</w:t>
      </w:r>
      <w:r w:rsidR="00BE0F80" w:rsidRPr="001D4C0D">
        <w:rPr>
          <w:rFonts w:cs="Arial"/>
          <w:sz w:val="24"/>
        </w:rPr>
        <w:t>), representing</w:t>
      </w:r>
      <w:r w:rsidR="004835A8">
        <w:rPr>
          <w:rFonts w:cs="Arial"/>
          <w:sz w:val="24"/>
        </w:rPr>
        <w:t xml:space="preserve"> an average return of 0.59% (0.23% 2017/18). The increase in the average rate of return was down to two main factors, firstly a wider range of inves</w:t>
      </w:r>
      <w:r w:rsidR="00606C80">
        <w:rPr>
          <w:rFonts w:cs="Arial"/>
          <w:sz w:val="24"/>
        </w:rPr>
        <w:t>tment vehicles used by the OPFCC</w:t>
      </w:r>
      <w:r w:rsidR="004835A8">
        <w:rPr>
          <w:rFonts w:cs="Arial"/>
          <w:sz w:val="24"/>
        </w:rPr>
        <w:t xml:space="preserve"> during 2018/19, including three new money market fund accounts, as well as the increase in base rate to 0.75% in August 2018, which</w:t>
      </w:r>
      <w:r w:rsidR="00606C80">
        <w:rPr>
          <w:rFonts w:cs="Arial"/>
          <w:sz w:val="24"/>
        </w:rPr>
        <w:t xml:space="preserve"> pushed up interest rates on the OPFCC’s</w:t>
      </w:r>
      <w:r w:rsidR="004835A8">
        <w:rPr>
          <w:rFonts w:cs="Arial"/>
          <w:sz w:val="24"/>
        </w:rPr>
        <w:t xml:space="preserve"> investments.</w:t>
      </w:r>
      <w:r w:rsidR="00BE0F80" w:rsidRPr="001D4C0D">
        <w:rPr>
          <w:rFonts w:cs="Arial"/>
          <w:sz w:val="24"/>
        </w:rPr>
        <w:t xml:space="preserve"> </w:t>
      </w:r>
    </w:p>
    <w:p w:rsidR="001D4C4C" w:rsidRDefault="001D4C4C" w:rsidP="004835A8">
      <w:pPr>
        <w:spacing w:line="240" w:lineRule="auto"/>
        <w:ind w:left="720" w:hanging="720"/>
        <w:contextualSpacing/>
        <w:jc w:val="left"/>
        <w:rPr>
          <w:rFonts w:cs="Arial"/>
          <w:sz w:val="24"/>
        </w:rPr>
      </w:pPr>
    </w:p>
    <w:p w:rsidR="001D4C4C" w:rsidRPr="001D4C0D" w:rsidRDefault="001D4C4C" w:rsidP="004835A8">
      <w:pPr>
        <w:spacing w:line="240" w:lineRule="auto"/>
        <w:ind w:left="720" w:hanging="720"/>
        <w:contextualSpacing/>
        <w:jc w:val="left"/>
        <w:rPr>
          <w:rFonts w:cs="Arial"/>
          <w:sz w:val="24"/>
        </w:rPr>
      </w:pPr>
      <w:r>
        <w:rPr>
          <w:rFonts w:cs="Arial"/>
          <w:sz w:val="24"/>
        </w:rPr>
        <w:t>3.8</w:t>
      </w:r>
      <w:r>
        <w:rPr>
          <w:rFonts w:cs="Arial"/>
          <w:sz w:val="24"/>
        </w:rPr>
        <w:tab/>
        <w:t xml:space="preserve">2018/19 was the first year that money market funds (MMF’s) had been used by the OPFCC. Three accounts were set up with Aberdeen (previously Standard Life), Insight and Blackrock. MMF’s are pooled funds that invest in short-term debt instruments. They provide the benefit of pooled investment, as investors can participate in a more diverse and high-quality portfolio than they otherwise could individually. The principal benefits of MMF’s are preservation of capital, very high liquidity and competitive returns, and the OPFCC looked to utilise these to their full capacity from August 2018 onwards, when these new </w:t>
      </w:r>
      <w:r w:rsidR="00E857C5">
        <w:rPr>
          <w:rFonts w:cs="Arial"/>
          <w:sz w:val="24"/>
        </w:rPr>
        <w:t>accounts were opened. Assuming funds were</w:t>
      </w:r>
      <w:r>
        <w:rPr>
          <w:rFonts w:cs="Arial"/>
          <w:sz w:val="24"/>
        </w:rPr>
        <w:t xml:space="preserve"> available</w:t>
      </w:r>
      <w:r w:rsidR="00606C80">
        <w:rPr>
          <w:rFonts w:cs="Arial"/>
          <w:sz w:val="24"/>
        </w:rPr>
        <w:t xml:space="preserve"> the OPFCC held an optimum </w:t>
      </w:r>
      <w:r w:rsidR="00E857C5">
        <w:rPr>
          <w:rFonts w:cs="Arial"/>
          <w:sz w:val="24"/>
        </w:rPr>
        <w:t xml:space="preserve">maximum </w:t>
      </w:r>
      <w:r w:rsidR="00606C80">
        <w:rPr>
          <w:rFonts w:cs="Arial"/>
          <w:sz w:val="24"/>
        </w:rPr>
        <w:t xml:space="preserve">balance </w:t>
      </w:r>
      <w:r w:rsidR="00E857C5">
        <w:rPr>
          <w:rFonts w:cs="Arial"/>
          <w:sz w:val="24"/>
        </w:rPr>
        <w:t xml:space="preserve">of £10m in these funds </w:t>
      </w:r>
      <w:r w:rsidR="00606C80">
        <w:rPr>
          <w:rFonts w:cs="Arial"/>
          <w:sz w:val="24"/>
        </w:rPr>
        <w:t>during the remainder of the year</w:t>
      </w:r>
      <w:r w:rsidR="00E857C5">
        <w:rPr>
          <w:rFonts w:cs="Arial"/>
          <w:sz w:val="24"/>
        </w:rPr>
        <w:t>, significantly reducing the number of fixed term deposits placed with the Debt Management Office during 2018/19 (82 deals as shown in Appendix B, compared to 147 deals placed during 2017/18). The use of MMF’s contributed significantly to the increased interest yield achieved during 2018/19.</w:t>
      </w:r>
    </w:p>
    <w:p w:rsidR="00BE0F80" w:rsidRDefault="00BE0F80" w:rsidP="00BE0F80">
      <w:pPr>
        <w:contextualSpacing/>
        <w:rPr>
          <w:rFonts w:cs="Arial"/>
        </w:rPr>
      </w:pPr>
    </w:p>
    <w:p w:rsidR="00BE0F80" w:rsidRDefault="004835A8" w:rsidP="00BE0F80">
      <w:pPr>
        <w:pStyle w:val="NoSpacing"/>
        <w:ind w:left="720" w:hanging="720"/>
        <w:rPr>
          <w:rFonts w:ascii="Arial" w:hAnsi="Arial"/>
          <w:sz w:val="24"/>
          <w:szCs w:val="24"/>
        </w:rPr>
      </w:pPr>
      <w:r>
        <w:rPr>
          <w:rFonts w:ascii="Arial" w:hAnsi="Arial" w:cs="Arial"/>
          <w:sz w:val="24"/>
          <w:szCs w:val="24"/>
        </w:rPr>
        <w:t>3</w:t>
      </w:r>
      <w:r w:rsidR="00BE0F80" w:rsidRPr="00230EE6">
        <w:rPr>
          <w:rFonts w:ascii="Arial" w:hAnsi="Arial" w:cs="Arial"/>
          <w:sz w:val="24"/>
          <w:szCs w:val="24"/>
        </w:rPr>
        <w:t>.</w:t>
      </w:r>
      <w:r w:rsidR="001D4C4C">
        <w:rPr>
          <w:rFonts w:ascii="Arial" w:hAnsi="Arial" w:cs="Arial"/>
          <w:sz w:val="24"/>
          <w:szCs w:val="24"/>
        </w:rPr>
        <w:t>9</w:t>
      </w:r>
      <w:r w:rsidR="00BE0F80">
        <w:rPr>
          <w:rFonts w:ascii="Arial" w:hAnsi="Arial" w:cs="Arial"/>
        </w:rPr>
        <w:tab/>
      </w:r>
      <w:r w:rsidR="00BE0F80">
        <w:rPr>
          <w:rFonts w:ascii="Arial" w:hAnsi="Arial" w:cs="Arial"/>
          <w:sz w:val="24"/>
          <w:szCs w:val="24"/>
        </w:rPr>
        <w:t xml:space="preserve">The risk of </w:t>
      </w:r>
      <w:r>
        <w:rPr>
          <w:rFonts w:ascii="Arial" w:hAnsi="Arial" w:cs="Arial"/>
          <w:sz w:val="24"/>
          <w:szCs w:val="24"/>
        </w:rPr>
        <w:t xml:space="preserve">funds being tied up in </w:t>
      </w:r>
      <w:r w:rsidR="00BE0F80">
        <w:rPr>
          <w:rFonts w:ascii="Arial" w:hAnsi="Arial" w:cs="Arial"/>
          <w:sz w:val="24"/>
          <w:szCs w:val="24"/>
        </w:rPr>
        <w:t xml:space="preserve">fixed-term deposits </w:t>
      </w:r>
      <w:r w:rsidR="00606C80">
        <w:rPr>
          <w:rFonts w:ascii="Arial" w:hAnsi="Arial" w:cs="Arial"/>
          <w:sz w:val="24"/>
          <w:szCs w:val="24"/>
        </w:rPr>
        <w:t>continued</w:t>
      </w:r>
      <w:r>
        <w:rPr>
          <w:rFonts w:ascii="Arial" w:hAnsi="Arial" w:cs="Arial"/>
          <w:sz w:val="24"/>
          <w:szCs w:val="24"/>
        </w:rPr>
        <w:t xml:space="preserve"> to be </w:t>
      </w:r>
      <w:r w:rsidR="00BE0F80">
        <w:rPr>
          <w:rFonts w:ascii="Arial" w:hAnsi="Arial" w:cs="Arial"/>
          <w:sz w:val="24"/>
          <w:szCs w:val="24"/>
        </w:rPr>
        <w:t xml:space="preserve">balanced by the use of </w:t>
      </w:r>
      <w:r>
        <w:rPr>
          <w:rFonts w:ascii="Arial" w:hAnsi="Arial" w:cs="Arial"/>
          <w:sz w:val="24"/>
          <w:szCs w:val="24"/>
        </w:rPr>
        <w:t xml:space="preserve">‘liquid’ </w:t>
      </w:r>
      <w:r w:rsidR="00BE0F80">
        <w:rPr>
          <w:rFonts w:ascii="Arial" w:hAnsi="Arial" w:cs="Arial"/>
          <w:sz w:val="24"/>
          <w:szCs w:val="24"/>
        </w:rPr>
        <w:t>accounts which provide</w:t>
      </w:r>
      <w:r w:rsidR="00606C80">
        <w:rPr>
          <w:rFonts w:ascii="Arial" w:hAnsi="Arial" w:cs="Arial"/>
          <w:sz w:val="24"/>
          <w:szCs w:val="24"/>
        </w:rPr>
        <w:t>d</w:t>
      </w:r>
      <w:r w:rsidR="00BE0F80">
        <w:rPr>
          <w:rFonts w:ascii="Arial" w:hAnsi="Arial" w:cs="Arial"/>
          <w:sz w:val="24"/>
          <w:szCs w:val="24"/>
        </w:rPr>
        <w:t xml:space="preserve"> same-day access to funds </w:t>
      </w:r>
      <w:r>
        <w:rPr>
          <w:rFonts w:ascii="Arial" w:hAnsi="Arial" w:cs="Arial"/>
          <w:sz w:val="24"/>
          <w:szCs w:val="24"/>
        </w:rPr>
        <w:t xml:space="preserve">if and </w:t>
      </w:r>
      <w:r w:rsidR="00BE0F80">
        <w:rPr>
          <w:rFonts w:ascii="Arial" w:hAnsi="Arial" w:cs="Arial"/>
          <w:sz w:val="24"/>
          <w:szCs w:val="24"/>
        </w:rPr>
        <w:t xml:space="preserve">when </w:t>
      </w:r>
      <w:r>
        <w:rPr>
          <w:rFonts w:ascii="Arial" w:hAnsi="Arial" w:cs="Arial"/>
          <w:sz w:val="24"/>
          <w:szCs w:val="24"/>
        </w:rPr>
        <w:t xml:space="preserve">the OPFCC’s </w:t>
      </w:r>
      <w:r w:rsidR="00BE0F80">
        <w:rPr>
          <w:rFonts w:ascii="Arial" w:hAnsi="Arial" w:cs="Arial"/>
          <w:sz w:val="24"/>
          <w:szCs w:val="24"/>
        </w:rPr>
        <w:t xml:space="preserve">cashflow position </w:t>
      </w:r>
      <w:r w:rsidR="00606C80">
        <w:rPr>
          <w:rFonts w:ascii="Arial" w:hAnsi="Arial" w:cs="Arial"/>
          <w:sz w:val="24"/>
          <w:szCs w:val="24"/>
        </w:rPr>
        <w:t>fell</w:t>
      </w:r>
      <w:r>
        <w:rPr>
          <w:rFonts w:ascii="Arial" w:hAnsi="Arial" w:cs="Arial"/>
          <w:sz w:val="24"/>
          <w:szCs w:val="24"/>
        </w:rPr>
        <w:t xml:space="preserve"> into deficit</w:t>
      </w:r>
      <w:r w:rsidR="00BE0F80">
        <w:rPr>
          <w:rFonts w:ascii="Arial" w:hAnsi="Arial" w:cs="Arial"/>
          <w:sz w:val="24"/>
          <w:szCs w:val="24"/>
        </w:rPr>
        <w:t xml:space="preserve">. </w:t>
      </w:r>
      <w:r w:rsidR="00606C80">
        <w:rPr>
          <w:rFonts w:ascii="Arial" w:hAnsi="Arial"/>
          <w:sz w:val="24"/>
          <w:szCs w:val="24"/>
        </w:rPr>
        <w:t>Whilst yield continued to be a key element of the OPFCC’s</w:t>
      </w:r>
      <w:r w:rsidR="00BE0F80" w:rsidRPr="006454A6">
        <w:rPr>
          <w:rFonts w:ascii="Arial" w:hAnsi="Arial"/>
          <w:sz w:val="24"/>
          <w:szCs w:val="24"/>
        </w:rPr>
        <w:t xml:space="preserve"> treasur</w:t>
      </w:r>
      <w:r w:rsidR="00606C80">
        <w:rPr>
          <w:rFonts w:ascii="Arial" w:hAnsi="Arial"/>
          <w:sz w:val="24"/>
          <w:szCs w:val="24"/>
        </w:rPr>
        <w:t>y strategy the emphasis was</w:t>
      </w:r>
      <w:r w:rsidR="00BE0F80" w:rsidRPr="006454A6">
        <w:rPr>
          <w:rFonts w:ascii="Arial" w:hAnsi="Arial"/>
          <w:sz w:val="24"/>
          <w:szCs w:val="24"/>
        </w:rPr>
        <w:t xml:space="preserve"> increasingly </w:t>
      </w:r>
      <w:r>
        <w:rPr>
          <w:rFonts w:ascii="Arial" w:hAnsi="Arial"/>
          <w:sz w:val="24"/>
          <w:szCs w:val="24"/>
        </w:rPr>
        <w:t>focused on liquidity during 2018/19</w:t>
      </w:r>
      <w:r w:rsidR="00BE0F80" w:rsidRPr="006454A6">
        <w:rPr>
          <w:rFonts w:ascii="Arial" w:hAnsi="Arial"/>
          <w:sz w:val="24"/>
          <w:szCs w:val="24"/>
        </w:rPr>
        <w:t xml:space="preserve"> </w:t>
      </w:r>
      <w:r>
        <w:rPr>
          <w:rFonts w:ascii="Arial" w:hAnsi="Arial"/>
          <w:sz w:val="24"/>
          <w:szCs w:val="24"/>
        </w:rPr>
        <w:t>and this will continue into 2019/20, particularly in respect of the current concerns with Brexit</w:t>
      </w:r>
      <w:r w:rsidR="00CA3202">
        <w:rPr>
          <w:rFonts w:ascii="Arial" w:hAnsi="Arial"/>
          <w:sz w:val="24"/>
          <w:szCs w:val="24"/>
        </w:rPr>
        <w:t xml:space="preserve"> (see </w:t>
      </w:r>
      <w:r w:rsidR="00606C80">
        <w:rPr>
          <w:rFonts w:ascii="Arial" w:hAnsi="Arial"/>
          <w:sz w:val="24"/>
          <w:szCs w:val="24"/>
        </w:rPr>
        <w:t xml:space="preserve">also </w:t>
      </w:r>
      <w:r w:rsidR="00CA3202">
        <w:rPr>
          <w:rFonts w:ascii="Arial" w:hAnsi="Arial"/>
          <w:sz w:val="24"/>
          <w:szCs w:val="24"/>
        </w:rPr>
        <w:t>paragraph 3.10)</w:t>
      </w:r>
      <w:r>
        <w:rPr>
          <w:rFonts w:ascii="Arial" w:hAnsi="Arial"/>
          <w:sz w:val="24"/>
          <w:szCs w:val="24"/>
        </w:rPr>
        <w:t>.</w:t>
      </w:r>
      <w:r w:rsidR="00BE0F80" w:rsidRPr="006454A6">
        <w:rPr>
          <w:rFonts w:ascii="Arial" w:hAnsi="Arial"/>
          <w:sz w:val="24"/>
          <w:szCs w:val="24"/>
        </w:rPr>
        <w:t xml:space="preserve"> </w:t>
      </w:r>
      <w:r>
        <w:rPr>
          <w:rFonts w:ascii="Arial" w:hAnsi="Arial"/>
          <w:sz w:val="24"/>
          <w:szCs w:val="24"/>
        </w:rPr>
        <w:t>There is also an ongoing risk relating to the</w:t>
      </w:r>
      <w:r w:rsidR="00BE0F80" w:rsidRPr="006454A6">
        <w:rPr>
          <w:rFonts w:ascii="Arial" w:hAnsi="Arial"/>
          <w:sz w:val="24"/>
          <w:szCs w:val="24"/>
        </w:rPr>
        <w:t xml:space="preserve"> uncertain timing of a significant amount of high value capital receipts arising from the Estates rationalisation programme. </w:t>
      </w:r>
      <w:r>
        <w:rPr>
          <w:rFonts w:ascii="Arial" w:hAnsi="Arial"/>
          <w:sz w:val="24"/>
          <w:szCs w:val="24"/>
        </w:rPr>
        <w:t>The OPFCC will therefore continue to place a high importance on h</w:t>
      </w:r>
      <w:r w:rsidR="00BE0F80" w:rsidRPr="006454A6">
        <w:rPr>
          <w:rFonts w:ascii="Arial" w:hAnsi="Arial"/>
          <w:sz w:val="24"/>
          <w:szCs w:val="24"/>
        </w:rPr>
        <w:t xml:space="preserve">aving access to monies in call accounts and </w:t>
      </w:r>
      <w:r>
        <w:rPr>
          <w:rFonts w:ascii="Arial" w:hAnsi="Arial"/>
          <w:sz w:val="24"/>
          <w:szCs w:val="24"/>
        </w:rPr>
        <w:t xml:space="preserve">money market funds </w:t>
      </w:r>
      <w:r w:rsidR="00BE0F80" w:rsidRPr="006454A6">
        <w:rPr>
          <w:rFonts w:ascii="Arial" w:hAnsi="Arial"/>
          <w:sz w:val="24"/>
          <w:szCs w:val="24"/>
        </w:rPr>
        <w:t xml:space="preserve">to cover any delays in the timings of </w:t>
      </w:r>
      <w:r>
        <w:rPr>
          <w:rFonts w:ascii="Arial" w:hAnsi="Arial"/>
          <w:sz w:val="24"/>
          <w:szCs w:val="24"/>
        </w:rPr>
        <w:t>large value</w:t>
      </w:r>
      <w:r w:rsidR="00BE0F80" w:rsidRPr="006454A6">
        <w:rPr>
          <w:rFonts w:ascii="Arial" w:hAnsi="Arial"/>
          <w:sz w:val="24"/>
          <w:szCs w:val="24"/>
        </w:rPr>
        <w:t xml:space="preserve"> receipts.</w:t>
      </w:r>
      <w:r w:rsidR="00CA3202">
        <w:rPr>
          <w:rFonts w:ascii="Arial" w:hAnsi="Arial"/>
          <w:sz w:val="24"/>
          <w:szCs w:val="24"/>
        </w:rPr>
        <w:br/>
      </w:r>
    </w:p>
    <w:p w:rsidR="00BE0F80" w:rsidRDefault="00CA3202" w:rsidP="00CA3202">
      <w:pPr>
        <w:pStyle w:val="NoSpacing"/>
        <w:ind w:left="720" w:hanging="720"/>
        <w:rPr>
          <w:rFonts w:ascii="Arial" w:hAnsi="Arial"/>
          <w:sz w:val="24"/>
          <w:szCs w:val="24"/>
        </w:rPr>
      </w:pPr>
      <w:r>
        <w:rPr>
          <w:rFonts w:ascii="Arial" w:hAnsi="Arial" w:cs="Arial"/>
          <w:sz w:val="24"/>
          <w:szCs w:val="24"/>
        </w:rPr>
        <w:t>3.10</w:t>
      </w:r>
      <w:r>
        <w:rPr>
          <w:rFonts w:ascii="Arial" w:hAnsi="Arial" w:cs="Arial"/>
          <w:sz w:val="24"/>
          <w:szCs w:val="24"/>
        </w:rPr>
        <w:tab/>
      </w:r>
      <w:r w:rsidRPr="00CA3202">
        <w:rPr>
          <w:rFonts w:ascii="Arial" w:hAnsi="Arial" w:cs="Arial"/>
          <w:b/>
          <w:sz w:val="24"/>
          <w:szCs w:val="24"/>
        </w:rPr>
        <w:t>Readiness for Brexit:</w:t>
      </w:r>
      <w:r>
        <w:rPr>
          <w:rFonts w:ascii="Arial" w:hAnsi="Arial" w:cs="Arial"/>
          <w:sz w:val="24"/>
          <w:szCs w:val="24"/>
        </w:rPr>
        <w:t xml:space="preserve"> </w:t>
      </w:r>
      <w:r w:rsidRPr="00CA3202">
        <w:rPr>
          <w:rFonts w:ascii="Arial" w:hAnsi="Arial"/>
          <w:sz w:val="24"/>
          <w:szCs w:val="24"/>
        </w:rPr>
        <w:t xml:space="preserve">With little by way of political clarity as to the exact date on whether there would be an agreed deal prior to leaving the EU and to be prepared for the outside chance of a particularly disruptive Brexit (such as last-minute no-deal) on </w:t>
      </w:r>
      <w:r w:rsidR="00606C80">
        <w:rPr>
          <w:rFonts w:ascii="Arial" w:hAnsi="Arial"/>
          <w:sz w:val="24"/>
          <w:szCs w:val="24"/>
        </w:rPr>
        <w:t xml:space="preserve">the </w:t>
      </w:r>
      <w:r w:rsidRPr="00CA3202">
        <w:rPr>
          <w:rFonts w:ascii="Arial" w:hAnsi="Arial"/>
          <w:sz w:val="24"/>
          <w:szCs w:val="24"/>
        </w:rPr>
        <w:t>29th March</w:t>
      </w:r>
      <w:r>
        <w:rPr>
          <w:rFonts w:ascii="Arial" w:hAnsi="Arial"/>
          <w:sz w:val="24"/>
          <w:szCs w:val="24"/>
        </w:rPr>
        <w:t xml:space="preserve"> 2019, the OPFCC</w:t>
      </w:r>
      <w:r w:rsidRPr="00CA3202">
        <w:rPr>
          <w:rFonts w:ascii="Arial" w:hAnsi="Arial"/>
          <w:sz w:val="24"/>
          <w:szCs w:val="24"/>
        </w:rPr>
        <w:t xml:space="preserve"> ensured there were enough accounts open at UK</w:t>
      </w:r>
      <w:r w:rsidRPr="00CA3202">
        <w:rPr>
          <w:rFonts w:ascii="Arial" w:hAnsi="Arial"/>
          <w:sz w:val="24"/>
          <w:szCs w:val="24"/>
        </w:rPr>
        <w:noBreakHyphen/>
        <w:t xml:space="preserve">domiciled banks and Money Market Funds to hold sufficient liquidity over the year end and that its account with the Debt Management Account Deposit Facility (DMADF) remained available for use in an emergency.  </w:t>
      </w:r>
    </w:p>
    <w:p w:rsidR="00CA3202" w:rsidRPr="00CA3202" w:rsidRDefault="00CA3202" w:rsidP="00CA3202">
      <w:pPr>
        <w:pStyle w:val="NoSpacing"/>
        <w:ind w:left="720" w:hanging="720"/>
        <w:rPr>
          <w:rFonts w:ascii="Arial" w:hAnsi="Arial"/>
          <w:sz w:val="24"/>
          <w:szCs w:val="24"/>
        </w:rPr>
      </w:pPr>
    </w:p>
    <w:p w:rsidR="00BE0F80" w:rsidRPr="00776BDD" w:rsidRDefault="004835A8" w:rsidP="00BE0F80">
      <w:pPr>
        <w:pStyle w:val="NoSpacing"/>
        <w:ind w:left="720" w:hanging="720"/>
        <w:rPr>
          <w:rFonts w:ascii="Arial" w:hAnsi="Arial" w:cs="Arial"/>
          <w:sz w:val="24"/>
          <w:szCs w:val="24"/>
        </w:rPr>
      </w:pPr>
      <w:r>
        <w:rPr>
          <w:rFonts w:ascii="Arial" w:hAnsi="Arial" w:cs="Arial"/>
          <w:sz w:val="24"/>
          <w:szCs w:val="24"/>
        </w:rPr>
        <w:t>3</w:t>
      </w:r>
      <w:r w:rsidR="00CA3202">
        <w:rPr>
          <w:rFonts w:ascii="Arial" w:hAnsi="Arial" w:cs="Arial"/>
          <w:sz w:val="24"/>
          <w:szCs w:val="24"/>
        </w:rPr>
        <w:t>.11</w:t>
      </w:r>
      <w:r w:rsidR="00BE0F80" w:rsidRPr="00776BDD">
        <w:rPr>
          <w:rFonts w:ascii="Arial" w:hAnsi="Arial" w:cs="Arial"/>
          <w:sz w:val="24"/>
          <w:szCs w:val="24"/>
        </w:rPr>
        <w:tab/>
      </w:r>
      <w:r w:rsidR="00BE0F80">
        <w:rPr>
          <w:rFonts w:ascii="Arial" w:hAnsi="Arial" w:cs="Arial"/>
          <w:sz w:val="24"/>
          <w:szCs w:val="24"/>
        </w:rPr>
        <w:t>As at 31</w:t>
      </w:r>
      <w:r w:rsidR="00BE0F80" w:rsidRPr="004253E6">
        <w:rPr>
          <w:rFonts w:ascii="Arial" w:hAnsi="Arial" w:cs="Arial"/>
          <w:sz w:val="24"/>
          <w:szCs w:val="24"/>
          <w:vertAlign w:val="superscript"/>
        </w:rPr>
        <w:t>st</w:t>
      </w:r>
      <w:r>
        <w:rPr>
          <w:rFonts w:ascii="Arial" w:hAnsi="Arial" w:cs="Arial"/>
          <w:sz w:val="24"/>
          <w:szCs w:val="24"/>
        </w:rPr>
        <w:t xml:space="preserve"> March 2019</w:t>
      </w:r>
      <w:r w:rsidR="00623592">
        <w:rPr>
          <w:rFonts w:ascii="Arial" w:hAnsi="Arial" w:cs="Arial"/>
          <w:sz w:val="24"/>
          <w:szCs w:val="24"/>
        </w:rPr>
        <w:t xml:space="preserve">, the </w:t>
      </w:r>
      <w:r w:rsidR="00CA3202">
        <w:rPr>
          <w:rFonts w:ascii="Arial" w:hAnsi="Arial" w:cs="Arial"/>
          <w:sz w:val="24"/>
          <w:szCs w:val="24"/>
        </w:rPr>
        <w:t>O</w:t>
      </w:r>
      <w:r w:rsidR="00623592">
        <w:rPr>
          <w:rFonts w:ascii="Arial" w:hAnsi="Arial" w:cs="Arial"/>
          <w:sz w:val="24"/>
          <w:szCs w:val="24"/>
        </w:rPr>
        <w:t>PFCC held £0.000</w:t>
      </w:r>
      <w:r w:rsidR="00BE0F80">
        <w:rPr>
          <w:rFonts w:ascii="Arial" w:hAnsi="Arial" w:cs="Arial"/>
          <w:sz w:val="24"/>
          <w:szCs w:val="24"/>
        </w:rPr>
        <w:t>m of external loans, a position consistent with the previous year.</w:t>
      </w:r>
    </w:p>
    <w:p w:rsidR="0005324F" w:rsidRPr="00776BDD" w:rsidRDefault="0005324F" w:rsidP="0005324F">
      <w:pPr>
        <w:pStyle w:val="NoSpacing"/>
        <w:rPr>
          <w:rFonts w:ascii="Arial" w:hAnsi="Arial" w:cs="Arial"/>
          <w:sz w:val="24"/>
          <w:szCs w:val="24"/>
        </w:rPr>
      </w:pPr>
    </w:p>
    <w:p w:rsidR="0005324F" w:rsidRDefault="004835A8" w:rsidP="0005324F">
      <w:pPr>
        <w:pStyle w:val="NoSpacing"/>
        <w:ind w:left="720" w:hanging="720"/>
        <w:rPr>
          <w:rFonts w:ascii="Arial" w:hAnsi="Arial" w:cs="Arial"/>
          <w:sz w:val="24"/>
          <w:szCs w:val="24"/>
        </w:rPr>
      </w:pPr>
      <w:r>
        <w:rPr>
          <w:rFonts w:ascii="Arial" w:hAnsi="Arial" w:cs="Arial"/>
          <w:sz w:val="24"/>
          <w:szCs w:val="24"/>
        </w:rPr>
        <w:t>3</w:t>
      </w:r>
      <w:r w:rsidR="00CA3202">
        <w:rPr>
          <w:rFonts w:ascii="Arial" w:hAnsi="Arial" w:cs="Arial"/>
          <w:sz w:val="24"/>
          <w:szCs w:val="24"/>
        </w:rPr>
        <w:t>.12</w:t>
      </w:r>
      <w:r w:rsidR="00BE0F80" w:rsidRPr="00776BDD">
        <w:rPr>
          <w:rFonts w:ascii="Arial" w:hAnsi="Arial" w:cs="Arial"/>
          <w:sz w:val="24"/>
          <w:szCs w:val="24"/>
        </w:rPr>
        <w:tab/>
      </w:r>
      <w:r w:rsidR="00BE0F80" w:rsidRPr="004253E6">
        <w:rPr>
          <w:rFonts w:ascii="Arial" w:hAnsi="Arial" w:cs="Arial"/>
          <w:sz w:val="24"/>
          <w:szCs w:val="24"/>
        </w:rPr>
        <w:t>Whils</w:t>
      </w:r>
      <w:r w:rsidR="00BE0F80">
        <w:rPr>
          <w:rFonts w:ascii="Arial" w:hAnsi="Arial" w:cs="Arial"/>
          <w:sz w:val="24"/>
          <w:szCs w:val="24"/>
        </w:rPr>
        <w:t xml:space="preserve">t no long-term </w:t>
      </w:r>
      <w:r w:rsidR="00606C80">
        <w:rPr>
          <w:rFonts w:ascii="Arial" w:hAnsi="Arial" w:cs="Arial"/>
          <w:sz w:val="24"/>
          <w:szCs w:val="24"/>
        </w:rPr>
        <w:t xml:space="preserve">external </w:t>
      </w:r>
      <w:r w:rsidR="00BE0F80">
        <w:rPr>
          <w:rFonts w:ascii="Arial" w:hAnsi="Arial" w:cs="Arial"/>
          <w:sz w:val="24"/>
          <w:szCs w:val="24"/>
        </w:rPr>
        <w:t xml:space="preserve">borrowing was required during the period there were </w:t>
      </w:r>
      <w:r w:rsidR="00A85F34">
        <w:rPr>
          <w:rFonts w:ascii="Arial" w:hAnsi="Arial" w:cs="Arial"/>
          <w:sz w:val="24"/>
          <w:szCs w:val="24"/>
        </w:rPr>
        <w:t>four</w:t>
      </w:r>
      <w:r w:rsidR="00BE0F80">
        <w:rPr>
          <w:rFonts w:ascii="Arial" w:hAnsi="Arial" w:cs="Arial"/>
          <w:sz w:val="24"/>
          <w:szCs w:val="24"/>
        </w:rPr>
        <w:t xml:space="preserve"> instances of short-term </w:t>
      </w:r>
      <w:r w:rsidR="00606C80">
        <w:rPr>
          <w:rFonts w:ascii="Arial" w:hAnsi="Arial" w:cs="Arial"/>
          <w:sz w:val="24"/>
          <w:szCs w:val="24"/>
        </w:rPr>
        <w:t xml:space="preserve">external </w:t>
      </w:r>
      <w:r w:rsidR="00BE0F80">
        <w:rPr>
          <w:rFonts w:ascii="Arial" w:hAnsi="Arial" w:cs="Arial"/>
          <w:sz w:val="24"/>
          <w:szCs w:val="24"/>
        </w:rPr>
        <w:t xml:space="preserve">borrowing </w:t>
      </w:r>
      <w:r w:rsidR="00606C80">
        <w:rPr>
          <w:rFonts w:ascii="Arial" w:hAnsi="Arial" w:cs="Arial"/>
          <w:sz w:val="24"/>
          <w:szCs w:val="24"/>
        </w:rPr>
        <w:t>during 2018/19</w:t>
      </w:r>
      <w:r w:rsidR="00835FBE">
        <w:rPr>
          <w:rFonts w:ascii="Arial" w:hAnsi="Arial" w:cs="Arial"/>
          <w:sz w:val="24"/>
          <w:szCs w:val="24"/>
        </w:rPr>
        <w:t xml:space="preserve">. </w:t>
      </w:r>
      <w:r w:rsidR="00BE0F80">
        <w:rPr>
          <w:rFonts w:ascii="Arial" w:hAnsi="Arial" w:cs="Arial"/>
          <w:sz w:val="24"/>
          <w:szCs w:val="24"/>
        </w:rPr>
        <w:t xml:space="preserve">The detail of this borrowing is shown in table 4 </w:t>
      </w:r>
      <w:r w:rsidR="0005324F">
        <w:rPr>
          <w:rFonts w:ascii="Arial" w:hAnsi="Arial" w:cs="Arial"/>
          <w:sz w:val="24"/>
          <w:szCs w:val="24"/>
        </w:rPr>
        <w:t>on the following page</w:t>
      </w:r>
      <w:r w:rsidR="00BE0F80">
        <w:rPr>
          <w:rFonts w:ascii="Arial" w:hAnsi="Arial" w:cs="Arial"/>
          <w:sz w:val="24"/>
          <w:szCs w:val="24"/>
        </w:rPr>
        <w:t>.</w:t>
      </w:r>
    </w:p>
    <w:p w:rsidR="00BE0F80" w:rsidRPr="0005324F" w:rsidRDefault="00BE0F80" w:rsidP="0005324F">
      <w:pPr>
        <w:pStyle w:val="NoSpacing"/>
        <w:ind w:left="720" w:hanging="720"/>
        <w:rPr>
          <w:rFonts w:ascii="Arial" w:hAnsi="Arial" w:cs="Arial"/>
          <w:sz w:val="24"/>
          <w:szCs w:val="24"/>
        </w:rPr>
      </w:pPr>
      <w:r w:rsidRPr="00776BDD">
        <w:rPr>
          <w:rFonts w:cs="Arial"/>
          <w:szCs w:val="24"/>
        </w:rPr>
        <w:br/>
      </w:r>
    </w:p>
    <w:p w:rsidR="0005324F" w:rsidRDefault="00BE0F80" w:rsidP="00BE0F80">
      <w:pPr>
        <w:pStyle w:val="NoSpacing"/>
        <w:ind w:left="720" w:hanging="720"/>
        <w:rPr>
          <w:rFonts w:cs="Arial"/>
          <w:szCs w:val="24"/>
        </w:rPr>
      </w:pPr>
      <w:r>
        <w:rPr>
          <w:rFonts w:cs="Arial"/>
          <w:szCs w:val="24"/>
        </w:rPr>
        <w:tab/>
      </w:r>
    </w:p>
    <w:p w:rsidR="00BE0F80" w:rsidRPr="007D6972" w:rsidRDefault="00BE0F80" w:rsidP="0005324F">
      <w:pPr>
        <w:pStyle w:val="NoSpacing"/>
        <w:ind w:left="720"/>
        <w:rPr>
          <w:rFonts w:ascii="Arial" w:hAnsi="Arial" w:cs="Arial"/>
          <w:sz w:val="24"/>
          <w:szCs w:val="24"/>
          <w:u w:val="single"/>
        </w:rPr>
      </w:pPr>
      <w:r w:rsidRPr="007D6972">
        <w:rPr>
          <w:rFonts w:ascii="Arial" w:hAnsi="Arial" w:cs="Arial"/>
          <w:sz w:val="24"/>
          <w:szCs w:val="24"/>
          <w:u w:val="single"/>
        </w:rPr>
        <w:t>Table 4: Short-Term Borrowings</w:t>
      </w:r>
      <w:r w:rsidR="00A85F34" w:rsidRPr="007D6972">
        <w:rPr>
          <w:rFonts w:ascii="Arial" w:hAnsi="Arial" w:cs="Arial"/>
          <w:sz w:val="24"/>
          <w:szCs w:val="24"/>
          <w:u w:val="single"/>
        </w:rPr>
        <w:t xml:space="preserve"> 2018/19</w:t>
      </w:r>
    </w:p>
    <w:p w:rsidR="00BE0F80" w:rsidRPr="007D6972" w:rsidRDefault="00BE0F80" w:rsidP="00BE0F80">
      <w:pPr>
        <w:pStyle w:val="NoSpacing"/>
        <w:ind w:left="720" w:hanging="720"/>
        <w:rPr>
          <w:rFonts w:cs="Arial"/>
          <w:sz w:val="24"/>
          <w:szCs w:val="24"/>
        </w:rPr>
      </w:pPr>
      <w:r w:rsidRPr="007D6972">
        <w:rPr>
          <w:rFonts w:cs="Arial"/>
          <w:sz w:val="24"/>
          <w:szCs w:val="24"/>
        </w:rPr>
        <w:tab/>
      </w:r>
    </w:p>
    <w:tbl>
      <w:tblPr>
        <w:tblpPr w:leftFromText="180" w:rightFromText="180" w:vertAnchor="text" w:horzAnchor="page" w:tblpX="1753" w:tblpY="-37"/>
        <w:tblW w:w="6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1142"/>
        <w:gridCol w:w="1403"/>
      </w:tblGrid>
      <w:tr w:rsidR="00BE0F80" w:rsidRPr="007D6972" w:rsidTr="00BE0F80">
        <w:tc>
          <w:tcPr>
            <w:tcW w:w="3591" w:type="dxa"/>
            <w:vAlign w:val="center"/>
          </w:tcPr>
          <w:p w:rsidR="00BE0F80" w:rsidRPr="007D6972" w:rsidRDefault="00BE0F80" w:rsidP="00606C80">
            <w:pPr>
              <w:spacing w:line="240" w:lineRule="auto"/>
              <w:rPr>
                <w:rFonts w:cs="Arial"/>
                <w:bCs/>
                <w:sz w:val="24"/>
              </w:rPr>
            </w:pPr>
          </w:p>
        </w:tc>
        <w:tc>
          <w:tcPr>
            <w:tcW w:w="1142" w:type="dxa"/>
            <w:vAlign w:val="center"/>
          </w:tcPr>
          <w:p w:rsidR="00BE0F80" w:rsidRPr="007D6972" w:rsidRDefault="00BE0F80" w:rsidP="00606C80">
            <w:pPr>
              <w:spacing w:line="240" w:lineRule="auto"/>
              <w:jc w:val="center"/>
              <w:rPr>
                <w:rFonts w:cs="Arial"/>
                <w:b/>
                <w:bCs/>
                <w:sz w:val="24"/>
              </w:rPr>
            </w:pPr>
            <w:r w:rsidRPr="007D6972">
              <w:rPr>
                <w:rFonts w:cs="Arial"/>
                <w:b/>
                <w:bCs/>
                <w:sz w:val="24"/>
              </w:rPr>
              <w:t>£m</w:t>
            </w:r>
          </w:p>
        </w:tc>
        <w:tc>
          <w:tcPr>
            <w:tcW w:w="1403" w:type="dxa"/>
            <w:vAlign w:val="center"/>
          </w:tcPr>
          <w:p w:rsidR="00BE0F80" w:rsidRPr="007D6972" w:rsidRDefault="00BE0F80" w:rsidP="00606C80">
            <w:pPr>
              <w:spacing w:line="240" w:lineRule="auto"/>
              <w:jc w:val="center"/>
              <w:rPr>
                <w:rFonts w:cs="Arial"/>
                <w:b/>
                <w:bCs/>
                <w:sz w:val="24"/>
              </w:rPr>
            </w:pPr>
            <w:r w:rsidRPr="007D6972">
              <w:rPr>
                <w:rFonts w:cs="Arial"/>
                <w:b/>
                <w:bCs/>
                <w:sz w:val="24"/>
              </w:rPr>
              <w:t>Interest Rate</w:t>
            </w:r>
          </w:p>
        </w:tc>
      </w:tr>
      <w:tr w:rsidR="00BE0F80" w:rsidRPr="007D6972" w:rsidTr="00BE0F80">
        <w:trPr>
          <w:trHeight w:val="340"/>
        </w:trPr>
        <w:tc>
          <w:tcPr>
            <w:tcW w:w="3591" w:type="dxa"/>
            <w:vAlign w:val="center"/>
          </w:tcPr>
          <w:p w:rsidR="00BE0F80" w:rsidRPr="007D6972" w:rsidRDefault="00A85F34" w:rsidP="00606C80">
            <w:pPr>
              <w:tabs>
                <w:tab w:val="left" w:pos="591"/>
                <w:tab w:val="left" w:pos="1260"/>
                <w:tab w:val="left" w:pos="1980"/>
                <w:tab w:val="left" w:pos="2520"/>
              </w:tabs>
              <w:spacing w:before="60" w:after="60" w:line="240" w:lineRule="auto"/>
              <w:rPr>
                <w:rFonts w:cs="Arial"/>
                <w:sz w:val="24"/>
              </w:rPr>
            </w:pPr>
            <w:r w:rsidRPr="007D6972">
              <w:rPr>
                <w:rFonts w:cs="Arial"/>
                <w:bCs/>
                <w:sz w:val="24"/>
              </w:rPr>
              <w:t>Middlesbrough Council</w:t>
            </w:r>
          </w:p>
        </w:tc>
        <w:tc>
          <w:tcPr>
            <w:tcW w:w="1142" w:type="dxa"/>
            <w:vAlign w:val="center"/>
          </w:tcPr>
          <w:p w:rsidR="00BE0F80" w:rsidRPr="007D6972" w:rsidRDefault="00A85F34" w:rsidP="00606C80">
            <w:pPr>
              <w:spacing w:line="240" w:lineRule="auto"/>
              <w:jc w:val="right"/>
              <w:rPr>
                <w:rFonts w:cs="Arial"/>
                <w:bCs/>
                <w:sz w:val="24"/>
              </w:rPr>
            </w:pPr>
            <w:r w:rsidRPr="007D6972">
              <w:rPr>
                <w:rFonts w:cs="Arial"/>
                <w:bCs/>
                <w:sz w:val="24"/>
              </w:rPr>
              <w:t>6</w:t>
            </w:r>
            <w:r w:rsidR="00BE0F80" w:rsidRPr="007D6972">
              <w:rPr>
                <w:rFonts w:cs="Arial"/>
                <w:bCs/>
                <w:sz w:val="24"/>
              </w:rPr>
              <w:t>.000</w:t>
            </w:r>
          </w:p>
        </w:tc>
        <w:tc>
          <w:tcPr>
            <w:tcW w:w="1403" w:type="dxa"/>
            <w:vAlign w:val="center"/>
          </w:tcPr>
          <w:p w:rsidR="00BE0F80" w:rsidRPr="007D6972" w:rsidRDefault="00A85F34" w:rsidP="00606C80">
            <w:pPr>
              <w:spacing w:line="240" w:lineRule="auto"/>
              <w:jc w:val="right"/>
              <w:rPr>
                <w:rFonts w:cs="Arial"/>
                <w:bCs/>
                <w:sz w:val="24"/>
              </w:rPr>
            </w:pPr>
            <w:r w:rsidRPr="007D6972">
              <w:rPr>
                <w:rFonts w:cs="Arial"/>
                <w:bCs/>
                <w:sz w:val="24"/>
              </w:rPr>
              <w:t>0.3</w:t>
            </w:r>
            <w:r w:rsidR="00BE0F80" w:rsidRPr="007D6972">
              <w:rPr>
                <w:rFonts w:cs="Arial"/>
                <w:bCs/>
                <w:sz w:val="24"/>
              </w:rPr>
              <w:t>5%</w:t>
            </w:r>
          </w:p>
        </w:tc>
      </w:tr>
      <w:tr w:rsidR="00BE0F80" w:rsidRPr="007D6972" w:rsidTr="00BE0F80">
        <w:trPr>
          <w:trHeight w:val="340"/>
        </w:trPr>
        <w:tc>
          <w:tcPr>
            <w:tcW w:w="3591" w:type="dxa"/>
            <w:vAlign w:val="center"/>
          </w:tcPr>
          <w:p w:rsidR="00BE0F80" w:rsidRPr="007D6972" w:rsidRDefault="00BE0F80" w:rsidP="00606C80">
            <w:pPr>
              <w:spacing w:line="240" w:lineRule="auto"/>
              <w:rPr>
                <w:rFonts w:cs="Arial"/>
                <w:bCs/>
                <w:sz w:val="24"/>
              </w:rPr>
            </w:pPr>
            <w:r w:rsidRPr="007D6972">
              <w:rPr>
                <w:rFonts w:cs="Arial"/>
                <w:bCs/>
                <w:sz w:val="24"/>
              </w:rPr>
              <w:t>Middlesbrough Council</w:t>
            </w:r>
          </w:p>
        </w:tc>
        <w:tc>
          <w:tcPr>
            <w:tcW w:w="1142" w:type="dxa"/>
            <w:vAlign w:val="center"/>
          </w:tcPr>
          <w:p w:rsidR="00BE0F80" w:rsidRPr="007D6972" w:rsidRDefault="00BE0F80" w:rsidP="00606C80">
            <w:pPr>
              <w:spacing w:line="240" w:lineRule="auto"/>
              <w:jc w:val="right"/>
              <w:rPr>
                <w:rFonts w:cs="Arial"/>
                <w:bCs/>
                <w:sz w:val="24"/>
              </w:rPr>
            </w:pPr>
            <w:r w:rsidRPr="007D6972">
              <w:rPr>
                <w:rFonts w:cs="Arial"/>
                <w:bCs/>
                <w:sz w:val="24"/>
              </w:rPr>
              <w:t>3.000</w:t>
            </w:r>
          </w:p>
        </w:tc>
        <w:tc>
          <w:tcPr>
            <w:tcW w:w="1403" w:type="dxa"/>
            <w:vAlign w:val="center"/>
          </w:tcPr>
          <w:p w:rsidR="00BE0F80" w:rsidRPr="007D6972" w:rsidRDefault="00A85F34" w:rsidP="00606C80">
            <w:pPr>
              <w:spacing w:line="240" w:lineRule="auto"/>
              <w:jc w:val="right"/>
              <w:rPr>
                <w:rFonts w:cs="Arial"/>
                <w:bCs/>
                <w:sz w:val="24"/>
              </w:rPr>
            </w:pPr>
            <w:r w:rsidRPr="007D6972">
              <w:rPr>
                <w:rFonts w:cs="Arial"/>
                <w:bCs/>
                <w:sz w:val="24"/>
              </w:rPr>
              <w:t>0.3</w:t>
            </w:r>
            <w:r w:rsidR="00BE0F80" w:rsidRPr="007D6972">
              <w:rPr>
                <w:rFonts w:cs="Arial"/>
                <w:bCs/>
                <w:sz w:val="24"/>
              </w:rPr>
              <w:t>5%</w:t>
            </w:r>
          </w:p>
        </w:tc>
      </w:tr>
      <w:tr w:rsidR="00BE0F80" w:rsidRPr="007D6972" w:rsidTr="00BE0F80">
        <w:trPr>
          <w:trHeight w:val="340"/>
        </w:trPr>
        <w:tc>
          <w:tcPr>
            <w:tcW w:w="3591" w:type="dxa"/>
            <w:vAlign w:val="center"/>
          </w:tcPr>
          <w:p w:rsidR="00BE0F80" w:rsidRPr="007D6972" w:rsidRDefault="00A85F34" w:rsidP="00606C80">
            <w:pPr>
              <w:spacing w:line="240" w:lineRule="auto"/>
              <w:rPr>
                <w:rFonts w:cs="Arial"/>
                <w:bCs/>
                <w:sz w:val="24"/>
              </w:rPr>
            </w:pPr>
            <w:r w:rsidRPr="007D6972">
              <w:rPr>
                <w:rFonts w:cs="Arial"/>
                <w:bCs/>
                <w:sz w:val="24"/>
              </w:rPr>
              <w:t>Derbyshire Pension Fund</w:t>
            </w:r>
          </w:p>
        </w:tc>
        <w:tc>
          <w:tcPr>
            <w:tcW w:w="1142" w:type="dxa"/>
            <w:vAlign w:val="center"/>
          </w:tcPr>
          <w:p w:rsidR="00BE0F80" w:rsidRPr="007D6972" w:rsidRDefault="00BE0F80" w:rsidP="00606C80">
            <w:pPr>
              <w:spacing w:line="240" w:lineRule="auto"/>
              <w:jc w:val="right"/>
              <w:rPr>
                <w:rFonts w:cs="Arial"/>
                <w:bCs/>
                <w:sz w:val="24"/>
              </w:rPr>
            </w:pPr>
            <w:r w:rsidRPr="007D6972">
              <w:rPr>
                <w:rFonts w:cs="Arial"/>
                <w:bCs/>
                <w:sz w:val="24"/>
              </w:rPr>
              <w:t>4.000</w:t>
            </w:r>
          </w:p>
        </w:tc>
        <w:tc>
          <w:tcPr>
            <w:tcW w:w="1403" w:type="dxa"/>
            <w:vAlign w:val="center"/>
          </w:tcPr>
          <w:p w:rsidR="00BE0F80" w:rsidRPr="007D6972" w:rsidRDefault="00A85F34" w:rsidP="00606C80">
            <w:pPr>
              <w:spacing w:line="240" w:lineRule="auto"/>
              <w:jc w:val="right"/>
              <w:rPr>
                <w:rFonts w:cs="Arial"/>
                <w:bCs/>
                <w:sz w:val="24"/>
              </w:rPr>
            </w:pPr>
            <w:r w:rsidRPr="007D6972">
              <w:rPr>
                <w:rFonts w:cs="Arial"/>
                <w:bCs/>
                <w:sz w:val="24"/>
              </w:rPr>
              <w:t>0.45</w:t>
            </w:r>
            <w:r w:rsidR="00BE0F80" w:rsidRPr="007D6972">
              <w:rPr>
                <w:rFonts w:cs="Arial"/>
                <w:bCs/>
                <w:sz w:val="24"/>
              </w:rPr>
              <w:t>%</w:t>
            </w:r>
          </w:p>
        </w:tc>
      </w:tr>
      <w:tr w:rsidR="00BE0F80" w:rsidRPr="007D6972" w:rsidTr="00BE0F80">
        <w:trPr>
          <w:trHeight w:val="340"/>
        </w:trPr>
        <w:tc>
          <w:tcPr>
            <w:tcW w:w="3591" w:type="dxa"/>
            <w:vAlign w:val="center"/>
          </w:tcPr>
          <w:p w:rsidR="00BE0F80" w:rsidRPr="007D6972" w:rsidRDefault="00A85F34" w:rsidP="00606C80">
            <w:pPr>
              <w:spacing w:line="240" w:lineRule="auto"/>
              <w:rPr>
                <w:rFonts w:cs="Arial"/>
                <w:bCs/>
                <w:sz w:val="24"/>
              </w:rPr>
            </w:pPr>
            <w:r w:rsidRPr="007D6972">
              <w:rPr>
                <w:rFonts w:cs="Arial"/>
                <w:bCs/>
                <w:sz w:val="24"/>
              </w:rPr>
              <w:t>Bromsgrove Council</w:t>
            </w:r>
          </w:p>
        </w:tc>
        <w:tc>
          <w:tcPr>
            <w:tcW w:w="1142" w:type="dxa"/>
            <w:vAlign w:val="center"/>
          </w:tcPr>
          <w:p w:rsidR="00BE0F80" w:rsidRPr="007D6972" w:rsidRDefault="00A85F34" w:rsidP="00606C80">
            <w:pPr>
              <w:spacing w:line="240" w:lineRule="auto"/>
              <w:jc w:val="right"/>
              <w:rPr>
                <w:rFonts w:cs="Arial"/>
                <w:bCs/>
                <w:sz w:val="24"/>
              </w:rPr>
            </w:pPr>
            <w:r w:rsidRPr="007D6972">
              <w:rPr>
                <w:rFonts w:cs="Arial"/>
                <w:bCs/>
                <w:sz w:val="24"/>
              </w:rPr>
              <w:t>2.500</w:t>
            </w:r>
          </w:p>
        </w:tc>
        <w:tc>
          <w:tcPr>
            <w:tcW w:w="1403" w:type="dxa"/>
            <w:vAlign w:val="center"/>
          </w:tcPr>
          <w:p w:rsidR="00BE0F80" w:rsidRPr="007D6972" w:rsidRDefault="00A85F34" w:rsidP="00606C80">
            <w:pPr>
              <w:spacing w:line="240" w:lineRule="auto"/>
              <w:jc w:val="right"/>
              <w:rPr>
                <w:rFonts w:cs="Arial"/>
                <w:bCs/>
                <w:sz w:val="24"/>
              </w:rPr>
            </w:pPr>
            <w:r w:rsidRPr="007D6972">
              <w:rPr>
                <w:rFonts w:cs="Arial"/>
                <w:bCs/>
                <w:sz w:val="24"/>
              </w:rPr>
              <w:t>0.45</w:t>
            </w:r>
            <w:r w:rsidR="00BE0F80" w:rsidRPr="007D6972">
              <w:rPr>
                <w:rFonts w:cs="Arial"/>
                <w:bCs/>
                <w:sz w:val="24"/>
              </w:rPr>
              <w:t>%</w:t>
            </w:r>
          </w:p>
        </w:tc>
      </w:tr>
    </w:tbl>
    <w:p w:rsidR="00BE0F80" w:rsidRPr="007D6972" w:rsidRDefault="00BE0F80" w:rsidP="00BE0F80">
      <w:pPr>
        <w:pStyle w:val="NoSpacing"/>
        <w:ind w:left="720" w:hanging="720"/>
        <w:rPr>
          <w:rFonts w:cs="Arial"/>
          <w:sz w:val="24"/>
          <w:szCs w:val="24"/>
        </w:rPr>
      </w:pPr>
    </w:p>
    <w:p w:rsidR="00BE0F80" w:rsidRPr="007D6972" w:rsidRDefault="00BE0F80" w:rsidP="00BE0F80">
      <w:pPr>
        <w:pStyle w:val="NoSpacing"/>
        <w:ind w:left="720" w:hanging="720"/>
        <w:rPr>
          <w:rFonts w:cs="Arial"/>
          <w:sz w:val="24"/>
          <w:szCs w:val="24"/>
        </w:rPr>
      </w:pPr>
    </w:p>
    <w:p w:rsidR="00BE0F80" w:rsidRPr="007D6972" w:rsidRDefault="00BE0F80" w:rsidP="00BE0F80">
      <w:pPr>
        <w:pStyle w:val="NoSpacing"/>
        <w:ind w:left="720" w:hanging="720"/>
        <w:rPr>
          <w:rFonts w:ascii="Arial" w:hAnsi="Arial" w:cs="Arial"/>
          <w:sz w:val="24"/>
          <w:szCs w:val="24"/>
        </w:rPr>
      </w:pPr>
    </w:p>
    <w:p w:rsidR="00BE0F80" w:rsidRPr="007D6972" w:rsidRDefault="00BE0F80" w:rsidP="00BE0F80">
      <w:pPr>
        <w:pStyle w:val="NoSpacing"/>
        <w:ind w:left="720" w:hanging="720"/>
        <w:rPr>
          <w:rFonts w:ascii="Arial" w:hAnsi="Arial" w:cs="Arial"/>
          <w:sz w:val="24"/>
          <w:szCs w:val="24"/>
        </w:rPr>
      </w:pPr>
    </w:p>
    <w:p w:rsidR="00BE0F80" w:rsidRPr="007D6972" w:rsidRDefault="00BE0F80" w:rsidP="00BE0F80">
      <w:pPr>
        <w:pStyle w:val="NoSpacing"/>
        <w:ind w:left="720" w:hanging="720"/>
        <w:rPr>
          <w:rFonts w:ascii="Arial" w:hAnsi="Arial" w:cs="Arial"/>
          <w:sz w:val="24"/>
          <w:szCs w:val="24"/>
        </w:rPr>
      </w:pPr>
    </w:p>
    <w:p w:rsidR="00BE0F80" w:rsidRPr="007D6972" w:rsidRDefault="00BE0F80" w:rsidP="00BE0F80">
      <w:pPr>
        <w:pStyle w:val="NoSpacing"/>
        <w:ind w:left="720" w:hanging="720"/>
        <w:rPr>
          <w:rFonts w:ascii="Arial" w:hAnsi="Arial" w:cs="Arial"/>
          <w:sz w:val="24"/>
          <w:szCs w:val="24"/>
        </w:rPr>
      </w:pPr>
    </w:p>
    <w:p w:rsidR="00BE0F80" w:rsidRDefault="00BE0F80" w:rsidP="00BE0F80">
      <w:pPr>
        <w:pStyle w:val="NoSpacing"/>
        <w:rPr>
          <w:rFonts w:ascii="Arial" w:hAnsi="Arial" w:cs="Arial"/>
          <w:sz w:val="24"/>
          <w:szCs w:val="24"/>
        </w:rPr>
      </w:pPr>
    </w:p>
    <w:p w:rsidR="00BE0F80" w:rsidRDefault="00BE0F80" w:rsidP="00BE0F80">
      <w:pPr>
        <w:pStyle w:val="NoSpacing"/>
        <w:ind w:left="720" w:hanging="720"/>
        <w:rPr>
          <w:rFonts w:ascii="Arial" w:hAnsi="Arial" w:cs="Arial"/>
          <w:sz w:val="24"/>
          <w:szCs w:val="24"/>
        </w:rPr>
      </w:pPr>
    </w:p>
    <w:p w:rsidR="0005324F" w:rsidRDefault="0005324F" w:rsidP="0005324F">
      <w:pPr>
        <w:pStyle w:val="NoSpacing"/>
        <w:ind w:left="720" w:hanging="720"/>
        <w:rPr>
          <w:rFonts w:ascii="Arial" w:hAnsi="Arial" w:cs="Arial"/>
          <w:sz w:val="24"/>
          <w:szCs w:val="24"/>
        </w:rPr>
      </w:pPr>
      <w:r>
        <w:rPr>
          <w:rFonts w:ascii="Arial" w:hAnsi="Arial" w:cs="Arial"/>
          <w:sz w:val="24"/>
          <w:szCs w:val="24"/>
        </w:rPr>
        <w:t>3.13</w:t>
      </w:r>
      <w:r>
        <w:rPr>
          <w:rFonts w:ascii="Arial" w:hAnsi="Arial" w:cs="Arial"/>
          <w:sz w:val="24"/>
          <w:szCs w:val="24"/>
        </w:rPr>
        <w:tab/>
        <w:t>The above borrowing was necessary to fund temporary deficits in the force cashflow, and all occurred in the first quarter of 2018/19 prior to the Police Officer Pension Top-Up grant being received from the Home Office.</w:t>
      </w:r>
    </w:p>
    <w:p w:rsidR="0005324F" w:rsidRDefault="0005324F" w:rsidP="00BE0F80">
      <w:pPr>
        <w:pStyle w:val="NoSpacing"/>
        <w:ind w:left="720" w:hanging="720"/>
        <w:rPr>
          <w:rFonts w:ascii="Arial" w:hAnsi="Arial" w:cs="Arial"/>
          <w:sz w:val="24"/>
          <w:szCs w:val="24"/>
        </w:rPr>
      </w:pPr>
    </w:p>
    <w:p w:rsidR="00BE0F80" w:rsidRDefault="00A85F34" w:rsidP="00A85F34">
      <w:pPr>
        <w:pStyle w:val="NoSpacing"/>
        <w:ind w:left="720" w:hanging="720"/>
        <w:rPr>
          <w:rFonts w:ascii="Arial" w:hAnsi="Arial" w:cs="Arial"/>
          <w:sz w:val="24"/>
          <w:szCs w:val="24"/>
        </w:rPr>
      </w:pPr>
      <w:r>
        <w:rPr>
          <w:rFonts w:ascii="Arial" w:hAnsi="Arial" w:cs="Arial"/>
          <w:sz w:val="24"/>
          <w:szCs w:val="24"/>
        </w:rPr>
        <w:t>3</w:t>
      </w:r>
      <w:r w:rsidR="0005324F">
        <w:rPr>
          <w:rFonts w:ascii="Arial" w:hAnsi="Arial" w:cs="Arial"/>
          <w:sz w:val="24"/>
          <w:szCs w:val="24"/>
        </w:rPr>
        <w:t>.14</w:t>
      </w:r>
      <w:r w:rsidR="00BE0F80">
        <w:rPr>
          <w:rFonts w:ascii="Arial" w:hAnsi="Arial" w:cs="Arial"/>
          <w:sz w:val="24"/>
          <w:szCs w:val="24"/>
        </w:rPr>
        <w:tab/>
        <w:t xml:space="preserve">The chief objective when undertaking short-term borrowing was to cover cashflow deficits, with the related interest rate paid dependent on the available market opportunities on the day concerned. </w:t>
      </w:r>
      <w:r>
        <w:rPr>
          <w:rFonts w:ascii="Arial" w:hAnsi="Arial" w:cs="Arial"/>
          <w:sz w:val="24"/>
          <w:szCs w:val="24"/>
        </w:rPr>
        <w:t xml:space="preserve">The </w:t>
      </w:r>
      <w:r w:rsidR="00606C80">
        <w:rPr>
          <w:rFonts w:ascii="Arial" w:hAnsi="Arial" w:cs="Arial"/>
          <w:sz w:val="24"/>
          <w:szCs w:val="24"/>
        </w:rPr>
        <w:t>main factors considered were striking</w:t>
      </w:r>
      <w:r>
        <w:rPr>
          <w:rFonts w:ascii="Arial" w:hAnsi="Arial" w:cs="Arial"/>
          <w:sz w:val="24"/>
          <w:szCs w:val="24"/>
        </w:rPr>
        <w:t xml:space="preserve"> an appropriately low risk balance between securing low interest costs and achieving cost certainty over the period for which funds were required. </w:t>
      </w:r>
      <w:r w:rsidR="00BE0F80">
        <w:rPr>
          <w:rFonts w:ascii="Arial" w:hAnsi="Arial" w:cs="Arial"/>
          <w:sz w:val="24"/>
          <w:szCs w:val="24"/>
        </w:rPr>
        <w:t>Due to the short-term nature of the loans taken out during the year the financial impact was immaterial with total a</w:t>
      </w:r>
      <w:r>
        <w:rPr>
          <w:rFonts w:ascii="Arial" w:hAnsi="Arial" w:cs="Arial"/>
          <w:sz w:val="24"/>
          <w:szCs w:val="24"/>
        </w:rPr>
        <w:t>nnual interest payable of £0.002</w:t>
      </w:r>
      <w:r w:rsidR="00BE0F80">
        <w:rPr>
          <w:rFonts w:ascii="Arial" w:hAnsi="Arial" w:cs="Arial"/>
          <w:sz w:val="24"/>
          <w:szCs w:val="24"/>
        </w:rPr>
        <w:t>m.</w:t>
      </w:r>
      <w:r w:rsidR="00287438">
        <w:rPr>
          <w:rFonts w:ascii="Arial" w:hAnsi="Arial" w:cs="Arial"/>
          <w:sz w:val="24"/>
          <w:szCs w:val="24"/>
        </w:rPr>
        <w:br/>
      </w:r>
    </w:p>
    <w:p w:rsidR="00BE0F80" w:rsidRDefault="0005324F" w:rsidP="00BE0F80">
      <w:pPr>
        <w:pStyle w:val="NoSpacing"/>
        <w:ind w:left="720" w:hanging="720"/>
        <w:rPr>
          <w:rFonts w:ascii="Arial" w:hAnsi="Arial" w:cs="Arial"/>
          <w:sz w:val="24"/>
          <w:szCs w:val="24"/>
        </w:rPr>
      </w:pPr>
      <w:r>
        <w:rPr>
          <w:rFonts w:ascii="Arial" w:hAnsi="Arial" w:cs="Arial"/>
          <w:sz w:val="24"/>
          <w:szCs w:val="24"/>
        </w:rPr>
        <w:t>3.15</w:t>
      </w:r>
      <w:r w:rsidR="00A85F34">
        <w:rPr>
          <w:rFonts w:ascii="Arial" w:hAnsi="Arial" w:cs="Arial"/>
          <w:sz w:val="24"/>
          <w:szCs w:val="24"/>
        </w:rPr>
        <w:tab/>
        <w:t xml:space="preserve">For the majority of the </w:t>
      </w:r>
      <w:r w:rsidR="00287438">
        <w:rPr>
          <w:rFonts w:ascii="Arial" w:hAnsi="Arial" w:cs="Arial"/>
          <w:sz w:val="24"/>
          <w:szCs w:val="24"/>
        </w:rPr>
        <w:t xml:space="preserve">2018/19 </w:t>
      </w:r>
      <w:r w:rsidR="00A85F34">
        <w:rPr>
          <w:rFonts w:ascii="Arial" w:hAnsi="Arial" w:cs="Arial"/>
          <w:sz w:val="24"/>
          <w:szCs w:val="24"/>
        </w:rPr>
        <w:t>yea</w:t>
      </w:r>
      <w:r w:rsidR="00287438">
        <w:rPr>
          <w:rFonts w:ascii="Arial" w:hAnsi="Arial" w:cs="Arial"/>
          <w:sz w:val="24"/>
          <w:szCs w:val="24"/>
        </w:rPr>
        <w:t>r</w:t>
      </w:r>
      <w:r w:rsidR="009F67BE">
        <w:rPr>
          <w:rFonts w:ascii="Arial" w:hAnsi="Arial" w:cs="Arial"/>
          <w:sz w:val="24"/>
          <w:szCs w:val="24"/>
        </w:rPr>
        <w:t xml:space="preserve">, with short-term interest rates remaining much lower than long-term rates, the OPFCC considered it to be more cost effective to use internal resources to cover the daily cashflow position where a deficit </w:t>
      </w:r>
      <w:r w:rsidR="00A61F3D">
        <w:rPr>
          <w:rFonts w:ascii="Arial" w:hAnsi="Arial" w:cs="Arial"/>
          <w:sz w:val="24"/>
          <w:szCs w:val="24"/>
        </w:rPr>
        <w:t>occurred</w:t>
      </w:r>
      <w:r w:rsidR="009F67BE">
        <w:rPr>
          <w:rFonts w:ascii="Arial" w:hAnsi="Arial" w:cs="Arial"/>
          <w:sz w:val="24"/>
          <w:szCs w:val="24"/>
        </w:rPr>
        <w:t xml:space="preserve"> (such as the bank overdraft).</w:t>
      </w:r>
      <w:r w:rsidR="009F67BE">
        <w:rPr>
          <w:rFonts w:ascii="Arial" w:hAnsi="Arial" w:cs="Arial"/>
          <w:sz w:val="24"/>
          <w:szCs w:val="24"/>
        </w:rPr>
        <w:br/>
      </w:r>
    </w:p>
    <w:p w:rsidR="009F67BE" w:rsidRDefault="009F67BE" w:rsidP="00BE0F80">
      <w:pPr>
        <w:pStyle w:val="NoSpacing"/>
        <w:ind w:left="720" w:hanging="720"/>
        <w:rPr>
          <w:rFonts w:ascii="Arial" w:hAnsi="Arial" w:cs="Arial"/>
          <w:sz w:val="24"/>
          <w:szCs w:val="24"/>
        </w:rPr>
      </w:pPr>
      <w:r>
        <w:rPr>
          <w:rFonts w:ascii="Arial" w:hAnsi="Arial" w:cs="Arial"/>
          <w:sz w:val="24"/>
          <w:szCs w:val="24"/>
        </w:rPr>
        <w:lastRenderedPageBreak/>
        <w:t>3.</w:t>
      </w:r>
      <w:r w:rsidR="0005324F">
        <w:rPr>
          <w:rFonts w:ascii="Arial" w:hAnsi="Arial" w:cs="Arial"/>
          <w:sz w:val="24"/>
          <w:szCs w:val="24"/>
        </w:rPr>
        <w:t>16</w:t>
      </w:r>
      <w:r>
        <w:rPr>
          <w:rFonts w:ascii="Arial" w:hAnsi="Arial" w:cs="Arial"/>
          <w:sz w:val="24"/>
          <w:szCs w:val="24"/>
        </w:rPr>
        <w:t xml:space="preserve"> </w:t>
      </w:r>
      <w:r>
        <w:rPr>
          <w:rFonts w:ascii="Arial" w:hAnsi="Arial" w:cs="Arial"/>
          <w:sz w:val="24"/>
          <w:szCs w:val="24"/>
        </w:rPr>
        <w:tab/>
        <w:t xml:space="preserve">Whilst the CFR decreased during 2018/19 </w:t>
      </w:r>
      <w:r w:rsidR="001805E6">
        <w:rPr>
          <w:rFonts w:ascii="Arial" w:hAnsi="Arial" w:cs="Arial"/>
          <w:sz w:val="24"/>
          <w:szCs w:val="24"/>
        </w:rPr>
        <w:t>it is expected that this will in</w:t>
      </w:r>
      <w:r>
        <w:rPr>
          <w:rFonts w:ascii="Arial" w:hAnsi="Arial" w:cs="Arial"/>
          <w:sz w:val="24"/>
          <w:szCs w:val="24"/>
        </w:rPr>
        <w:t xml:space="preserve">crease in the medium term due to the demands of the capital programme and the lack of ongoing resources available to meet this expenditure. The related borrowing requirement as determined by the Liability Benchmark, also takes into account usable reserves and working capital, and is set out in more detail within the 2019/20 Treasury Management Strategy. </w:t>
      </w:r>
    </w:p>
    <w:p w:rsidR="00A85F34" w:rsidRDefault="00A85F34" w:rsidP="00BE0F80">
      <w:pPr>
        <w:pStyle w:val="NoSpacing"/>
        <w:ind w:left="720" w:hanging="720"/>
        <w:rPr>
          <w:rFonts w:ascii="Arial" w:hAnsi="Arial" w:cs="Arial"/>
          <w:sz w:val="24"/>
          <w:szCs w:val="24"/>
        </w:rPr>
      </w:pPr>
    </w:p>
    <w:p w:rsidR="00A85F34" w:rsidRDefault="00A85F34" w:rsidP="00BE0F80">
      <w:pPr>
        <w:pStyle w:val="NoSpacing"/>
        <w:ind w:left="720" w:hanging="720"/>
        <w:rPr>
          <w:rFonts w:ascii="Arial" w:hAnsi="Arial" w:cs="Arial"/>
          <w:sz w:val="24"/>
          <w:szCs w:val="24"/>
        </w:rPr>
      </w:pPr>
    </w:p>
    <w:p w:rsidR="0005324F" w:rsidRDefault="0005324F" w:rsidP="00BE0F80">
      <w:pPr>
        <w:pStyle w:val="NoSpacing"/>
        <w:ind w:left="720" w:hanging="720"/>
        <w:rPr>
          <w:rFonts w:ascii="Arial" w:hAnsi="Arial" w:cs="Arial"/>
          <w:sz w:val="24"/>
          <w:szCs w:val="24"/>
        </w:rPr>
      </w:pPr>
    </w:p>
    <w:p w:rsidR="00BE0F80" w:rsidRPr="004B2584" w:rsidRDefault="009F67BE" w:rsidP="00BE0F80">
      <w:pPr>
        <w:pStyle w:val="NoSpacing"/>
        <w:ind w:left="720" w:hanging="720"/>
        <w:rPr>
          <w:rFonts w:ascii="Arial" w:hAnsi="Arial" w:cs="Arial"/>
          <w:b/>
          <w:sz w:val="24"/>
          <w:szCs w:val="24"/>
        </w:rPr>
      </w:pPr>
      <w:r>
        <w:rPr>
          <w:rFonts w:ascii="Arial" w:hAnsi="Arial" w:cs="Arial"/>
          <w:b/>
          <w:sz w:val="24"/>
          <w:szCs w:val="24"/>
        </w:rPr>
        <w:t>4</w:t>
      </w:r>
      <w:r w:rsidR="00BE0F80" w:rsidRPr="004B2584">
        <w:rPr>
          <w:rFonts w:ascii="Arial" w:hAnsi="Arial" w:cs="Arial"/>
          <w:b/>
          <w:sz w:val="24"/>
          <w:szCs w:val="24"/>
        </w:rPr>
        <w:t>.0</w:t>
      </w:r>
      <w:r w:rsidR="00BE0F80">
        <w:rPr>
          <w:rFonts w:ascii="Arial" w:hAnsi="Arial" w:cs="Arial"/>
          <w:sz w:val="24"/>
          <w:szCs w:val="24"/>
        </w:rPr>
        <w:tab/>
      </w:r>
      <w:r w:rsidR="00BE0F80" w:rsidRPr="000C5B9E">
        <w:rPr>
          <w:rFonts w:ascii="Arial" w:hAnsi="Arial" w:cs="Arial"/>
          <w:b/>
          <w:sz w:val="24"/>
          <w:szCs w:val="24"/>
          <w:u w:val="single"/>
        </w:rPr>
        <w:t>Compliance with Treasury Management Strategy</w:t>
      </w:r>
    </w:p>
    <w:p w:rsidR="00BE0F80" w:rsidRDefault="00BE0F80" w:rsidP="00BE0F80">
      <w:pPr>
        <w:pStyle w:val="NoSpacing"/>
        <w:ind w:left="720" w:hanging="720"/>
        <w:rPr>
          <w:rFonts w:ascii="Arial" w:hAnsi="Arial" w:cs="Arial"/>
          <w:sz w:val="24"/>
          <w:szCs w:val="24"/>
        </w:rPr>
      </w:pPr>
    </w:p>
    <w:p w:rsidR="007D6972" w:rsidRDefault="009F67BE" w:rsidP="0005324F">
      <w:pPr>
        <w:pStyle w:val="NoSpacing"/>
        <w:ind w:left="720" w:hanging="720"/>
        <w:rPr>
          <w:rFonts w:ascii="Arial" w:hAnsi="Arial" w:cs="Arial"/>
          <w:sz w:val="24"/>
          <w:szCs w:val="24"/>
        </w:rPr>
      </w:pPr>
      <w:r>
        <w:rPr>
          <w:rFonts w:ascii="Arial" w:hAnsi="Arial" w:cs="Arial"/>
          <w:sz w:val="24"/>
          <w:szCs w:val="24"/>
        </w:rPr>
        <w:t>4</w:t>
      </w:r>
      <w:r w:rsidR="00BE0F80">
        <w:rPr>
          <w:rFonts w:ascii="Arial" w:hAnsi="Arial" w:cs="Arial"/>
          <w:sz w:val="24"/>
          <w:szCs w:val="24"/>
        </w:rPr>
        <w:t>.1</w:t>
      </w:r>
      <w:r w:rsidR="00BE0F80">
        <w:rPr>
          <w:rFonts w:ascii="Arial" w:hAnsi="Arial" w:cs="Arial"/>
          <w:sz w:val="24"/>
          <w:szCs w:val="24"/>
        </w:rPr>
        <w:tab/>
        <w:t xml:space="preserve">The Treasurer of the </w:t>
      </w:r>
      <w:r w:rsidR="007D6972">
        <w:rPr>
          <w:rFonts w:ascii="Arial" w:hAnsi="Arial" w:cs="Arial"/>
          <w:sz w:val="24"/>
          <w:szCs w:val="24"/>
        </w:rPr>
        <w:t>O</w:t>
      </w:r>
      <w:r>
        <w:rPr>
          <w:rFonts w:ascii="Arial" w:hAnsi="Arial" w:cs="Arial"/>
          <w:sz w:val="24"/>
          <w:szCs w:val="24"/>
        </w:rPr>
        <w:t xml:space="preserve">PFCC is pleased to report that </w:t>
      </w:r>
      <w:r w:rsidR="00835FBE">
        <w:rPr>
          <w:rFonts w:ascii="Arial" w:hAnsi="Arial" w:cs="Arial"/>
          <w:sz w:val="24"/>
          <w:szCs w:val="24"/>
        </w:rPr>
        <w:t>with the exception of some minor i</w:t>
      </w:r>
      <w:r w:rsidR="001B0578">
        <w:rPr>
          <w:rFonts w:ascii="Arial" w:hAnsi="Arial" w:cs="Arial"/>
          <w:sz w:val="24"/>
          <w:szCs w:val="24"/>
        </w:rPr>
        <w:t>ssues</w:t>
      </w:r>
      <w:r w:rsidR="00835FBE">
        <w:rPr>
          <w:rFonts w:ascii="Arial" w:hAnsi="Arial" w:cs="Arial"/>
          <w:sz w:val="24"/>
          <w:szCs w:val="24"/>
        </w:rPr>
        <w:t xml:space="preserve"> (see paragraph</w:t>
      </w:r>
      <w:r w:rsidR="001B0578">
        <w:rPr>
          <w:rFonts w:ascii="Arial" w:hAnsi="Arial" w:cs="Arial"/>
          <w:sz w:val="24"/>
          <w:szCs w:val="24"/>
        </w:rPr>
        <w:t>s 4.4 and 5.2</w:t>
      </w:r>
      <w:r w:rsidR="00835FBE">
        <w:rPr>
          <w:rFonts w:ascii="Arial" w:hAnsi="Arial" w:cs="Arial"/>
          <w:sz w:val="24"/>
          <w:szCs w:val="24"/>
        </w:rPr>
        <w:t xml:space="preserve">) </w:t>
      </w:r>
      <w:r>
        <w:rPr>
          <w:rFonts w:ascii="Arial" w:hAnsi="Arial" w:cs="Arial"/>
          <w:sz w:val="24"/>
          <w:szCs w:val="24"/>
        </w:rPr>
        <w:t>all</w:t>
      </w:r>
      <w:r w:rsidR="00BE0F80">
        <w:rPr>
          <w:rFonts w:ascii="Arial" w:hAnsi="Arial" w:cs="Arial"/>
          <w:sz w:val="24"/>
          <w:szCs w:val="24"/>
        </w:rPr>
        <w:t xml:space="preserve"> treasury management a</w:t>
      </w:r>
      <w:r>
        <w:rPr>
          <w:rFonts w:ascii="Arial" w:hAnsi="Arial" w:cs="Arial"/>
          <w:sz w:val="24"/>
          <w:szCs w:val="24"/>
        </w:rPr>
        <w:t>ctivities undertaken during 2018/19</w:t>
      </w:r>
      <w:r w:rsidR="00BE0F80">
        <w:rPr>
          <w:rFonts w:ascii="Arial" w:hAnsi="Arial" w:cs="Arial"/>
          <w:sz w:val="24"/>
          <w:szCs w:val="24"/>
        </w:rPr>
        <w:t xml:space="preserve"> complied fully with the CIPFA Code of Practice and the </w:t>
      </w:r>
      <w:r>
        <w:rPr>
          <w:rFonts w:ascii="Arial" w:hAnsi="Arial" w:cs="Arial"/>
          <w:sz w:val="24"/>
          <w:szCs w:val="24"/>
        </w:rPr>
        <w:t>OPFCC</w:t>
      </w:r>
      <w:r w:rsidR="00BE0F80">
        <w:rPr>
          <w:rFonts w:ascii="Arial" w:hAnsi="Arial" w:cs="Arial"/>
          <w:sz w:val="24"/>
          <w:szCs w:val="24"/>
        </w:rPr>
        <w:t>’s approved Treasury Management Strategy.</w:t>
      </w:r>
      <w:r w:rsidR="00835FBE">
        <w:rPr>
          <w:rFonts w:ascii="Arial" w:hAnsi="Arial" w:cs="Arial"/>
          <w:sz w:val="24"/>
          <w:szCs w:val="24"/>
        </w:rPr>
        <w:br/>
      </w:r>
    </w:p>
    <w:p w:rsidR="007D6972" w:rsidRDefault="0005324F" w:rsidP="00BE0F80">
      <w:pPr>
        <w:pStyle w:val="NoSpacing"/>
        <w:ind w:left="720" w:hanging="720"/>
        <w:rPr>
          <w:rFonts w:ascii="Arial" w:hAnsi="Arial" w:cs="Arial"/>
          <w:sz w:val="24"/>
          <w:szCs w:val="24"/>
        </w:rPr>
      </w:pPr>
      <w:r>
        <w:rPr>
          <w:rFonts w:ascii="Arial" w:hAnsi="Arial" w:cs="Arial"/>
          <w:sz w:val="24"/>
          <w:szCs w:val="24"/>
        </w:rPr>
        <w:t>4.2</w:t>
      </w:r>
      <w:r w:rsidR="007D6972">
        <w:rPr>
          <w:rFonts w:ascii="Arial" w:hAnsi="Arial" w:cs="Arial"/>
          <w:sz w:val="24"/>
          <w:szCs w:val="24"/>
        </w:rPr>
        <w:tab/>
        <w:t xml:space="preserve">Compliance with the authorised limit and operational boundary for external debt is demonstrated in table 5 </w:t>
      </w:r>
      <w:r>
        <w:rPr>
          <w:rFonts w:ascii="Arial" w:hAnsi="Arial" w:cs="Arial"/>
          <w:sz w:val="24"/>
          <w:szCs w:val="24"/>
        </w:rPr>
        <w:t>on the following page</w:t>
      </w:r>
      <w:r w:rsidR="007D6972">
        <w:rPr>
          <w:rFonts w:ascii="Arial" w:hAnsi="Arial" w:cs="Arial"/>
          <w:sz w:val="24"/>
          <w:szCs w:val="24"/>
        </w:rPr>
        <w:t>.</w:t>
      </w:r>
      <w:r w:rsidR="007D6972">
        <w:rPr>
          <w:rFonts w:ascii="Arial" w:hAnsi="Arial" w:cs="Arial"/>
          <w:sz w:val="24"/>
          <w:szCs w:val="24"/>
        </w:rPr>
        <w:br/>
      </w:r>
    </w:p>
    <w:p w:rsidR="0005324F" w:rsidRDefault="0005324F" w:rsidP="00BE0F80">
      <w:pPr>
        <w:pStyle w:val="NoSpacing"/>
        <w:ind w:left="720" w:hanging="720"/>
        <w:rPr>
          <w:rFonts w:ascii="Arial" w:hAnsi="Arial" w:cs="Arial"/>
          <w:sz w:val="24"/>
          <w:szCs w:val="24"/>
        </w:rPr>
      </w:pPr>
    </w:p>
    <w:p w:rsidR="0005324F" w:rsidRDefault="0005324F" w:rsidP="00BE0F80">
      <w:pPr>
        <w:pStyle w:val="NoSpacing"/>
        <w:ind w:left="720" w:hanging="720"/>
        <w:rPr>
          <w:rFonts w:ascii="Arial" w:hAnsi="Arial" w:cs="Arial"/>
          <w:sz w:val="24"/>
          <w:szCs w:val="24"/>
        </w:rPr>
      </w:pPr>
    </w:p>
    <w:p w:rsidR="0005324F" w:rsidRDefault="0005324F" w:rsidP="00BE0F80">
      <w:pPr>
        <w:pStyle w:val="NoSpacing"/>
        <w:ind w:left="720" w:hanging="720"/>
        <w:rPr>
          <w:rFonts w:ascii="Arial" w:hAnsi="Arial" w:cs="Arial"/>
          <w:sz w:val="24"/>
          <w:szCs w:val="24"/>
        </w:rPr>
      </w:pPr>
    </w:p>
    <w:p w:rsidR="0005324F" w:rsidRDefault="007D6972" w:rsidP="00BE0F80">
      <w:pPr>
        <w:pStyle w:val="NoSpacing"/>
        <w:ind w:left="720" w:hanging="720"/>
        <w:rPr>
          <w:rFonts w:ascii="Arial" w:hAnsi="Arial" w:cs="Arial"/>
          <w:sz w:val="24"/>
          <w:szCs w:val="24"/>
        </w:rPr>
      </w:pPr>
      <w:r>
        <w:rPr>
          <w:rFonts w:ascii="Arial" w:hAnsi="Arial" w:cs="Arial"/>
          <w:sz w:val="24"/>
          <w:szCs w:val="24"/>
        </w:rPr>
        <w:tab/>
      </w:r>
    </w:p>
    <w:p w:rsidR="0005324F" w:rsidRDefault="0005324F" w:rsidP="00BE0F80">
      <w:pPr>
        <w:pStyle w:val="NoSpacing"/>
        <w:ind w:left="720" w:hanging="720"/>
        <w:rPr>
          <w:rFonts w:ascii="Arial" w:hAnsi="Arial" w:cs="Arial"/>
          <w:sz w:val="24"/>
          <w:szCs w:val="24"/>
        </w:rPr>
      </w:pPr>
    </w:p>
    <w:p w:rsidR="007D6972" w:rsidRPr="007D6972" w:rsidRDefault="007D6972" w:rsidP="0005324F">
      <w:pPr>
        <w:pStyle w:val="NoSpacing"/>
        <w:ind w:left="720"/>
        <w:rPr>
          <w:rFonts w:ascii="Arial" w:hAnsi="Arial" w:cs="Arial"/>
          <w:sz w:val="24"/>
          <w:szCs w:val="24"/>
          <w:u w:val="single"/>
        </w:rPr>
      </w:pPr>
      <w:r w:rsidRPr="007D6972">
        <w:rPr>
          <w:rFonts w:ascii="Arial" w:hAnsi="Arial" w:cs="Arial"/>
          <w:sz w:val="24"/>
          <w:szCs w:val="24"/>
          <w:u w:val="single"/>
        </w:rPr>
        <w:t>Table 5: Debt Limits</w:t>
      </w:r>
      <w:r w:rsidRPr="007D6972">
        <w:rPr>
          <w:rFonts w:ascii="Arial" w:hAnsi="Arial" w:cs="Arial"/>
          <w:sz w:val="24"/>
          <w:szCs w:val="24"/>
          <w:u w:val="single"/>
        </w:rPr>
        <w:br/>
      </w:r>
    </w:p>
    <w:tbl>
      <w:tblPr>
        <w:tblStyle w:val="TableGrid"/>
        <w:tblW w:w="0" w:type="auto"/>
        <w:tblInd w:w="720" w:type="dxa"/>
        <w:tblLook w:val="04A0" w:firstRow="1" w:lastRow="0" w:firstColumn="1" w:lastColumn="0" w:noHBand="0" w:noVBand="1"/>
      </w:tblPr>
      <w:tblGrid>
        <w:gridCol w:w="1391"/>
        <w:gridCol w:w="1721"/>
        <w:gridCol w:w="1616"/>
        <w:gridCol w:w="1807"/>
        <w:gridCol w:w="1483"/>
        <w:gridCol w:w="1456"/>
      </w:tblGrid>
      <w:tr w:rsidR="007D6972" w:rsidTr="007D6972">
        <w:tc>
          <w:tcPr>
            <w:tcW w:w="1400" w:type="dxa"/>
          </w:tcPr>
          <w:p w:rsidR="007D6972" w:rsidRDefault="007D6972" w:rsidP="00BE0F80">
            <w:pPr>
              <w:pStyle w:val="NoSpacing"/>
              <w:rPr>
                <w:rFonts w:ascii="Arial" w:hAnsi="Arial" w:cs="Arial"/>
                <w:sz w:val="24"/>
                <w:szCs w:val="24"/>
              </w:rPr>
            </w:pPr>
          </w:p>
        </w:tc>
        <w:tc>
          <w:tcPr>
            <w:tcW w:w="1763" w:type="dxa"/>
          </w:tcPr>
          <w:p w:rsidR="007D6972" w:rsidRPr="007D6972" w:rsidRDefault="007D6972" w:rsidP="007D6972">
            <w:pPr>
              <w:pStyle w:val="NoSpacing"/>
              <w:jc w:val="center"/>
              <w:rPr>
                <w:rFonts w:ascii="Arial" w:hAnsi="Arial" w:cs="Arial"/>
                <w:b/>
                <w:sz w:val="24"/>
                <w:szCs w:val="24"/>
              </w:rPr>
            </w:pPr>
            <w:r w:rsidRPr="007D6972">
              <w:rPr>
                <w:rFonts w:ascii="Arial" w:hAnsi="Arial" w:cs="Arial"/>
                <w:b/>
                <w:sz w:val="24"/>
                <w:szCs w:val="24"/>
              </w:rPr>
              <w:t>2018/19 Maximum</w:t>
            </w:r>
          </w:p>
        </w:tc>
        <w:tc>
          <w:tcPr>
            <w:tcW w:w="1679" w:type="dxa"/>
          </w:tcPr>
          <w:p w:rsidR="007D6972" w:rsidRPr="007D6972" w:rsidRDefault="007D6972" w:rsidP="007D6972">
            <w:pPr>
              <w:pStyle w:val="NoSpacing"/>
              <w:jc w:val="center"/>
              <w:rPr>
                <w:rFonts w:ascii="Arial" w:hAnsi="Arial" w:cs="Arial"/>
                <w:b/>
                <w:sz w:val="24"/>
                <w:szCs w:val="24"/>
              </w:rPr>
            </w:pPr>
            <w:r w:rsidRPr="007D6972">
              <w:rPr>
                <w:rFonts w:ascii="Arial" w:hAnsi="Arial" w:cs="Arial"/>
                <w:b/>
                <w:sz w:val="24"/>
                <w:szCs w:val="24"/>
              </w:rPr>
              <w:t>31.3.19 Actual</w:t>
            </w:r>
          </w:p>
        </w:tc>
        <w:tc>
          <w:tcPr>
            <w:tcW w:w="1834" w:type="dxa"/>
          </w:tcPr>
          <w:p w:rsidR="007D6972" w:rsidRPr="007D6972" w:rsidRDefault="007D6972" w:rsidP="007D6972">
            <w:pPr>
              <w:pStyle w:val="NoSpacing"/>
              <w:jc w:val="center"/>
              <w:rPr>
                <w:rFonts w:ascii="Arial" w:hAnsi="Arial" w:cs="Arial"/>
                <w:b/>
                <w:sz w:val="24"/>
                <w:szCs w:val="24"/>
              </w:rPr>
            </w:pPr>
            <w:r w:rsidRPr="007D6972">
              <w:rPr>
                <w:rFonts w:ascii="Arial" w:hAnsi="Arial" w:cs="Arial"/>
                <w:b/>
                <w:sz w:val="24"/>
                <w:szCs w:val="24"/>
              </w:rPr>
              <w:t>2018/19 Operational Boundary</w:t>
            </w:r>
          </w:p>
        </w:tc>
        <w:tc>
          <w:tcPr>
            <w:tcW w:w="1399" w:type="dxa"/>
          </w:tcPr>
          <w:p w:rsidR="007D6972" w:rsidRDefault="007D6972" w:rsidP="007D6972">
            <w:pPr>
              <w:pStyle w:val="NoSpacing"/>
              <w:jc w:val="center"/>
              <w:rPr>
                <w:rFonts w:ascii="Arial" w:hAnsi="Arial" w:cs="Arial"/>
                <w:b/>
                <w:sz w:val="24"/>
                <w:szCs w:val="24"/>
              </w:rPr>
            </w:pPr>
            <w:r w:rsidRPr="007D6972">
              <w:rPr>
                <w:rFonts w:ascii="Arial" w:hAnsi="Arial" w:cs="Arial"/>
                <w:b/>
                <w:sz w:val="24"/>
                <w:szCs w:val="24"/>
              </w:rPr>
              <w:t>2018/19 Authorised Limit</w:t>
            </w:r>
          </w:p>
          <w:p w:rsidR="00E00202" w:rsidRPr="007D6972" w:rsidRDefault="00E00202" w:rsidP="007D6972">
            <w:pPr>
              <w:pStyle w:val="NoSpacing"/>
              <w:jc w:val="center"/>
              <w:rPr>
                <w:rFonts w:ascii="Arial" w:hAnsi="Arial" w:cs="Arial"/>
                <w:b/>
                <w:sz w:val="24"/>
                <w:szCs w:val="24"/>
              </w:rPr>
            </w:pPr>
          </w:p>
        </w:tc>
        <w:tc>
          <w:tcPr>
            <w:tcW w:w="1399" w:type="dxa"/>
          </w:tcPr>
          <w:p w:rsidR="007D6972" w:rsidRPr="007D6972" w:rsidRDefault="007D6972" w:rsidP="007D6972">
            <w:pPr>
              <w:pStyle w:val="NoSpacing"/>
              <w:jc w:val="center"/>
              <w:rPr>
                <w:rFonts w:ascii="Arial" w:hAnsi="Arial" w:cs="Arial"/>
                <w:b/>
                <w:sz w:val="24"/>
                <w:szCs w:val="24"/>
              </w:rPr>
            </w:pPr>
            <w:r w:rsidRPr="007D6972">
              <w:rPr>
                <w:rFonts w:ascii="Arial" w:hAnsi="Arial" w:cs="Arial"/>
                <w:b/>
                <w:sz w:val="24"/>
                <w:szCs w:val="24"/>
              </w:rPr>
              <w:t>Complied?</w:t>
            </w:r>
          </w:p>
          <w:p w:rsidR="007D6972" w:rsidRPr="007D6972" w:rsidRDefault="007D6972" w:rsidP="007D6972">
            <w:pPr>
              <w:pStyle w:val="NoSpacing"/>
              <w:jc w:val="center"/>
              <w:rPr>
                <w:rFonts w:ascii="Arial" w:hAnsi="Arial" w:cs="Arial"/>
                <w:sz w:val="24"/>
                <w:szCs w:val="24"/>
              </w:rPr>
            </w:pPr>
            <w:r w:rsidRPr="007D6972">
              <w:rPr>
                <w:rFonts w:ascii="Arial" w:hAnsi="Arial" w:cs="Arial"/>
                <w:sz w:val="24"/>
                <w:szCs w:val="24"/>
              </w:rPr>
              <w:t>Yes/No</w:t>
            </w:r>
          </w:p>
        </w:tc>
      </w:tr>
      <w:tr w:rsidR="007D6972" w:rsidTr="007D6972">
        <w:tc>
          <w:tcPr>
            <w:tcW w:w="1400" w:type="dxa"/>
          </w:tcPr>
          <w:p w:rsidR="007D6972" w:rsidRDefault="007D6972" w:rsidP="00BE0F80">
            <w:pPr>
              <w:pStyle w:val="NoSpacing"/>
              <w:rPr>
                <w:rFonts w:ascii="Arial" w:hAnsi="Arial" w:cs="Arial"/>
                <w:sz w:val="24"/>
                <w:szCs w:val="24"/>
              </w:rPr>
            </w:pPr>
            <w:r>
              <w:rPr>
                <w:rFonts w:ascii="Arial" w:hAnsi="Arial" w:cs="Arial"/>
                <w:sz w:val="24"/>
                <w:szCs w:val="24"/>
              </w:rPr>
              <w:t>Borrowing</w:t>
            </w:r>
          </w:p>
        </w:tc>
        <w:tc>
          <w:tcPr>
            <w:tcW w:w="1763" w:type="dxa"/>
          </w:tcPr>
          <w:p w:rsidR="007D6972" w:rsidRDefault="007D6972" w:rsidP="007D6972">
            <w:pPr>
              <w:pStyle w:val="NoSpacing"/>
              <w:jc w:val="center"/>
              <w:rPr>
                <w:rFonts w:ascii="Arial" w:hAnsi="Arial" w:cs="Arial"/>
                <w:sz w:val="24"/>
                <w:szCs w:val="24"/>
              </w:rPr>
            </w:pPr>
            <w:r>
              <w:rPr>
                <w:rFonts w:ascii="Arial" w:hAnsi="Arial" w:cs="Arial"/>
                <w:sz w:val="24"/>
                <w:szCs w:val="24"/>
              </w:rPr>
              <w:t>£9m</w:t>
            </w:r>
          </w:p>
        </w:tc>
        <w:tc>
          <w:tcPr>
            <w:tcW w:w="1679" w:type="dxa"/>
          </w:tcPr>
          <w:p w:rsidR="007D6972" w:rsidRDefault="007D6972" w:rsidP="007D6972">
            <w:pPr>
              <w:pStyle w:val="NoSpacing"/>
              <w:jc w:val="center"/>
              <w:rPr>
                <w:rFonts w:ascii="Arial" w:hAnsi="Arial" w:cs="Arial"/>
                <w:sz w:val="24"/>
                <w:szCs w:val="24"/>
              </w:rPr>
            </w:pPr>
            <w:r>
              <w:rPr>
                <w:rFonts w:ascii="Arial" w:hAnsi="Arial" w:cs="Arial"/>
                <w:sz w:val="24"/>
                <w:szCs w:val="24"/>
              </w:rPr>
              <w:t>£0m</w:t>
            </w:r>
          </w:p>
        </w:tc>
        <w:tc>
          <w:tcPr>
            <w:tcW w:w="1834" w:type="dxa"/>
          </w:tcPr>
          <w:p w:rsidR="007D6972" w:rsidRDefault="007D6972" w:rsidP="007D6972">
            <w:pPr>
              <w:pStyle w:val="NoSpacing"/>
              <w:jc w:val="center"/>
              <w:rPr>
                <w:rFonts w:ascii="Arial" w:hAnsi="Arial" w:cs="Arial"/>
                <w:sz w:val="24"/>
                <w:szCs w:val="24"/>
              </w:rPr>
            </w:pPr>
            <w:r>
              <w:rPr>
                <w:rFonts w:ascii="Arial" w:hAnsi="Arial" w:cs="Arial"/>
                <w:sz w:val="24"/>
                <w:szCs w:val="24"/>
              </w:rPr>
              <w:t>£20m</w:t>
            </w:r>
          </w:p>
        </w:tc>
        <w:tc>
          <w:tcPr>
            <w:tcW w:w="1399" w:type="dxa"/>
          </w:tcPr>
          <w:p w:rsidR="007D6972" w:rsidRDefault="007D6972" w:rsidP="007D6972">
            <w:pPr>
              <w:pStyle w:val="NoSpacing"/>
              <w:jc w:val="center"/>
              <w:rPr>
                <w:rFonts w:ascii="Arial" w:hAnsi="Arial" w:cs="Arial"/>
                <w:sz w:val="24"/>
                <w:szCs w:val="24"/>
              </w:rPr>
            </w:pPr>
            <w:r>
              <w:rPr>
                <w:rFonts w:ascii="Arial" w:hAnsi="Arial" w:cs="Arial"/>
                <w:sz w:val="24"/>
                <w:szCs w:val="24"/>
              </w:rPr>
              <w:t>£20m</w:t>
            </w:r>
          </w:p>
        </w:tc>
        <w:tc>
          <w:tcPr>
            <w:tcW w:w="1399" w:type="dxa"/>
          </w:tcPr>
          <w:p w:rsidR="007D6972" w:rsidRDefault="007D6972" w:rsidP="007D6972">
            <w:pPr>
              <w:pStyle w:val="NoSpacing"/>
              <w:jc w:val="center"/>
              <w:rPr>
                <w:rFonts w:ascii="Arial" w:hAnsi="Arial" w:cs="Arial"/>
                <w:sz w:val="24"/>
                <w:szCs w:val="24"/>
              </w:rPr>
            </w:pPr>
            <w:r>
              <w:rPr>
                <w:rFonts w:ascii="Arial" w:hAnsi="Arial" w:cs="Arial"/>
                <w:sz w:val="24"/>
                <w:szCs w:val="24"/>
              </w:rPr>
              <w:t>Yes</w:t>
            </w:r>
          </w:p>
        </w:tc>
      </w:tr>
    </w:tbl>
    <w:p w:rsidR="007D6972" w:rsidRDefault="007D6972" w:rsidP="00BE0F80">
      <w:pPr>
        <w:pStyle w:val="NoSpacing"/>
        <w:ind w:left="720" w:hanging="720"/>
        <w:rPr>
          <w:rFonts w:ascii="Arial" w:hAnsi="Arial" w:cs="Arial"/>
          <w:sz w:val="24"/>
          <w:szCs w:val="24"/>
        </w:rPr>
      </w:pPr>
    </w:p>
    <w:p w:rsidR="00BE0F80" w:rsidRDefault="0005324F" w:rsidP="00BE0F80">
      <w:pPr>
        <w:pStyle w:val="NoSpacing"/>
        <w:ind w:left="720" w:hanging="720"/>
        <w:rPr>
          <w:rFonts w:ascii="Arial" w:hAnsi="Arial" w:cs="Arial"/>
          <w:sz w:val="24"/>
          <w:szCs w:val="24"/>
        </w:rPr>
      </w:pPr>
      <w:r>
        <w:rPr>
          <w:rFonts w:ascii="Arial" w:hAnsi="Arial" w:cs="Arial"/>
          <w:sz w:val="24"/>
          <w:szCs w:val="24"/>
        </w:rPr>
        <w:t>4.3</w:t>
      </w:r>
      <w:r w:rsidR="007D6972">
        <w:rPr>
          <w:rFonts w:ascii="Arial" w:hAnsi="Arial" w:cs="Arial"/>
          <w:sz w:val="24"/>
          <w:szCs w:val="24"/>
        </w:rPr>
        <w:tab/>
        <w:t>It should be noted that since the operational boundary is a management tool for in-year monitoring it is not significant if the operational boundary is breached on occasions due to variations in cash flow, and this is not counted as a compliance failure. For 2018/19 however there were no instances when total debt was above the operational boundary.</w:t>
      </w:r>
    </w:p>
    <w:p w:rsidR="007D6972" w:rsidRDefault="007D6972" w:rsidP="00BE0F80">
      <w:pPr>
        <w:pStyle w:val="NoSpacing"/>
        <w:ind w:left="720" w:hanging="720"/>
        <w:rPr>
          <w:rFonts w:ascii="Arial" w:hAnsi="Arial" w:cs="Arial"/>
          <w:sz w:val="24"/>
          <w:szCs w:val="24"/>
        </w:rPr>
      </w:pPr>
    </w:p>
    <w:p w:rsidR="0008334B" w:rsidRDefault="0005324F" w:rsidP="00BE0F80">
      <w:pPr>
        <w:pStyle w:val="NoSpacing"/>
        <w:ind w:left="720" w:hanging="720"/>
        <w:rPr>
          <w:rFonts w:ascii="Arial" w:hAnsi="Arial" w:cs="Arial"/>
          <w:sz w:val="24"/>
          <w:szCs w:val="24"/>
        </w:rPr>
      </w:pPr>
      <w:r>
        <w:rPr>
          <w:rFonts w:ascii="Arial" w:hAnsi="Arial" w:cs="Arial"/>
          <w:sz w:val="24"/>
          <w:szCs w:val="24"/>
        </w:rPr>
        <w:lastRenderedPageBreak/>
        <w:t>4.4</w:t>
      </w:r>
      <w:r w:rsidR="0008334B">
        <w:rPr>
          <w:rFonts w:ascii="Arial" w:hAnsi="Arial" w:cs="Arial"/>
          <w:sz w:val="24"/>
          <w:szCs w:val="24"/>
        </w:rPr>
        <w:tab/>
        <w:t>Compliance with the approved investment counterparties list is demonstrated in table 6 below.</w:t>
      </w:r>
    </w:p>
    <w:p w:rsidR="0008334B" w:rsidRDefault="0008334B" w:rsidP="00BE0F80">
      <w:pPr>
        <w:pStyle w:val="NoSpacing"/>
        <w:ind w:left="720" w:hanging="720"/>
        <w:rPr>
          <w:rFonts w:ascii="Arial" w:hAnsi="Arial" w:cs="Arial"/>
          <w:sz w:val="24"/>
          <w:szCs w:val="24"/>
        </w:rPr>
      </w:pPr>
    </w:p>
    <w:p w:rsidR="0008334B" w:rsidRDefault="0008334B" w:rsidP="00BE0F80">
      <w:pPr>
        <w:pStyle w:val="NoSpacing"/>
        <w:ind w:left="720" w:hanging="720"/>
        <w:rPr>
          <w:rFonts w:ascii="Arial" w:hAnsi="Arial" w:cs="Arial"/>
          <w:sz w:val="24"/>
          <w:szCs w:val="24"/>
          <w:u w:val="single"/>
        </w:rPr>
      </w:pPr>
      <w:r>
        <w:rPr>
          <w:rFonts w:ascii="Arial" w:hAnsi="Arial" w:cs="Arial"/>
          <w:sz w:val="24"/>
          <w:szCs w:val="24"/>
        </w:rPr>
        <w:tab/>
      </w:r>
      <w:r w:rsidRPr="0008334B">
        <w:rPr>
          <w:rFonts w:ascii="Arial" w:hAnsi="Arial" w:cs="Arial"/>
          <w:sz w:val="24"/>
          <w:szCs w:val="24"/>
          <w:u w:val="single"/>
        </w:rPr>
        <w:t>Table 6: Investment Counterparties</w:t>
      </w:r>
    </w:p>
    <w:p w:rsidR="0008334B" w:rsidRPr="0008334B" w:rsidRDefault="0008334B" w:rsidP="0008334B">
      <w:pPr>
        <w:pStyle w:val="NoSpacing"/>
        <w:rPr>
          <w:rFonts w:ascii="Arial" w:hAnsi="Arial" w:cs="Arial"/>
          <w:sz w:val="24"/>
          <w:szCs w:val="24"/>
        </w:rPr>
      </w:pPr>
    </w:p>
    <w:tbl>
      <w:tblPr>
        <w:tblStyle w:val="TableGrid"/>
        <w:tblW w:w="9481" w:type="dxa"/>
        <w:tblInd w:w="720" w:type="dxa"/>
        <w:tblLook w:val="04A0" w:firstRow="1" w:lastRow="0" w:firstColumn="1" w:lastColumn="0" w:noHBand="0" w:noVBand="1"/>
      </w:tblPr>
      <w:tblGrid>
        <w:gridCol w:w="3007"/>
        <w:gridCol w:w="1679"/>
        <w:gridCol w:w="1661"/>
        <w:gridCol w:w="1678"/>
        <w:gridCol w:w="1456"/>
      </w:tblGrid>
      <w:tr w:rsidR="0008334B" w:rsidTr="00623592">
        <w:tc>
          <w:tcPr>
            <w:tcW w:w="3011" w:type="dxa"/>
          </w:tcPr>
          <w:p w:rsidR="0008334B" w:rsidRDefault="0008334B" w:rsidP="00BE0F80">
            <w:pPr>
              <w:pStyle w:val="NoSpacing"/>
              <w:rPr>
                <w:rFonts w:ascii="Arial" w:hAnsi="Arial" w:cs="Arial"/>
                <w:sz w:val="24"/>
                <w:szCs w:val="24"/>
              </w:rPr>
            </w:pPr>
          </w:p>
        </w:tc>
        <w:tc>
          <w:tcPr>
            <w:tcW w:w="1679" w:type="dxa"/>
          </w:tcPr>
          <w:p w:rsidR="0008334B" w:rsidRPr="0008334B" w:rsidRDefault="0008334B" w:rsidP="0008334B">
            <w:pPr>
              <w:pStyle w:val="NoSpacing"/>
              <w:jc w:val="center"/>
              <w:rPr>
                <w:rFonts w:ascii="Arial" w:hAnsi="Arial" w:cs="Arial"/>
                <w:b/>
                <w:sz w:val="24"/>
                <w:szCs w:val="24"/>
              </w:rPr>
            </w:pPr>
            <w:r w:rsidRPr="0008334B">
              <w:rPr>
                <w:rFonts w:ascii="Arial" w:hAnsi="Arial" w:cs="Arial"/>
                <w:b/>
                <w:sz w:val="24"/>
                <w:szCs w:val="24"/>
              </w:rPr>
              <w:t>2018/19 Maximum</w:t>
            </w:r>
          </w:p>
        </w:tc>
        <w:tc>
          <w:tcPr>
            <w:tcW w:w="1662" w:type="dxa"/>
          </w:tcPr>
          <w:p w:rsidR="0008334B" w:rsidRPr="0008334B" w:rsidRDefault="0008334B" w:rsidP="0008334B">
            <w:pPr>
              <w:pStyle w:val="NoSpacing"/>
              <w:jc w:val="center"/>
              <w:rPr>
                <w:rFonts w:ascii="Arial" w:hAnsi="Arial" w:cs="Arial"/>
                <w:b/>
                <w:sz w:val="24"/>
                <w:szCs w:val="24"/>
              </w:rPr>
            </w:pPr>
            <w:r w:rsidRPr="0008334B">
              <w:rPr>
                <w:rFonts w:ascii="Arial" w:hAnsi="Arial" w:cs="Arial"/>
                <w:b/>
                <w:sz w:val="24"/>
                <w:szCs w:val="24"/>
              </w:rPr>
              <w:t>31.3.19 Actual</w:t>
            </w:r>
          </w:p>
        </w:tc>
        <w:tc>
          <w:tcPr>
            <w:tcW w:w="1673" w:type="dxa"/>
          </w:tcPr>
          <w:p w:rsidR="0008334B" w:rsidRPr="0008334B" w:rsidRDefault="0008334B" w:rsidP="001D3082">
            <w:pPr>
              <w:pStyle w:val="NoSpacing"/>
              <w:jc w:val="center"/>
              <w:rPr>
                <w:rFonts w:ascii="Arial" w:hAnsi="Arial" w:cs="Arial"/>
                <w:b/>
                <w:sz w:val="24"/>
                <w:szCs w:val="24"/>
              </w:rPr>
            </w:pPr>
            <w:r w:rsidRPr="0008334B">
              <w:rPr>
                <w:rFonts w:ascii="Arial" w:hAnsi="Arial" w:cs="Arial"/>
                <w:b/>
                <w:sz w:val="24"/>
                <w:szCs w:val="24"/>
              </w:rPr>
              <w:t xml:space="preserve">2018/19 </w:t>
            </w:r>
            <w:r w:rsidR="001D3082">
              <w:rPr>
                <w:rFonts w:ascii="Arial" w:hAnsi="Arial" w:cs="Arial"/>
                <w:b/>
                <w:sz w:val="24"/>
                <w:szCs w:val="24"/>
              </w:rPr>
              <w:t>Guideline Limit</w:t>
            </w:r>
          </w:p>
        </w:tc>
        <w:tc>
          <w:tcPr>
            <w:tcW w:w="1456" w:type="dxa"/>
          </w:tcPr>
          <w:p w:rsidR="0008334B" w:rsidRPr="0008334B" w:rsidRDefault="0008334B" w:rsidP="0008334B">
            <w:pPr>
              <w:pStyle w:val="NoSpacing"/>
              <w:jc w:val="center"/>
              <w:rPr>
                <w:rFonts w:ascii="Arial" w:hAnsi="Arial" w:cs="Arial"/>
                <w:b/>
                <w:sz w:val="24"/>
                <w:szCs w:val="24"/>
              </w:rPr>
            </w:pPr>
            <w:r w:rsidRPr="0008334B">
              <w:rPr>
                <w:rFonts w:ascii="Arial" w:hAnsi="Arial" w:cs="Arial"/>
                <w:b/>
                <w:sz w:val="24"/>
                <w:szCs w:val="24"/>
              </w:rPr>
              <w:t>Complied?</w:t>
            </w:r>
          </w:p>
          <w:p w:rsidR="0008334B" w:rsidRPr="0008334B" w:rsidRDefault="0008334B" w:rsidP="0008334B">
            <w:pPr>
              <w:pStyle w:val="NoSpacing"/>
              <w:jc w:val="center"/>
              <w:rPr>
                <w:rFonts w:ascii="Arial" w:hAnsi="Arial" w:cs="Arial"/>
                <w:sz w:val="24"/>
                <w:szCs w:val="24"/>
              </w:rPr>
            </w:pPr>
          </w:p>
        </w:tc>
      </w:tr>
      <w:tr w:rsidR="0008334B" w:rsidTr="001D3082">
        <w:tc>
          <w:tcPr>
            <w:tcW w:w="3011" w:type="dxa"/>
          </w:tcPr>
          <w:p w:rsidR="0008334B" w:rsidRDefault="0008334B" w:rsidP="0008334B">
            <w:pPr>
              <w:pStyle w:val="NoSpacing"/>
              <w:rPr>
                <w:rFonts w:ascii="Arial" w:hAnsi="Arial" w:cs="Arial"/>
                <w:sz w:val="24"/>
                <w:szCs w:val="24"/>
              </w:rPr>
            </w:pPr>
            <w:r>
              <w:rPr>
                <w:rFonts w:ascii="Arial" w:hAnsi="Arial" w:cs="Arial"/>
                <w:sz w:val="24"/>
                <w:szCs w:val="24"/>
              </w:rPr>
              <w:t>Lloyds bank account</w:t>
            </w:r>
            <w:r w:rsidR="00CA25DE">
              <w:rPr>
                <w:rFonts w:ascii="Arial" w:hAnsi="Arial" w:cs="Arial"/>
                <w:sz w:val="24"/>
                <w:szCs w:val="24"/>
              </w:rPr>
              <w:br/>
            </w:r>
          </w:p>
        </w:tc>
        <w:tc>
          <w:tcPr>
            <w:tcW w:w="1679" w:type="dxa"/>
          </w:tcPr>
          <w:p w:rsidR="0008334B" w:rsidRDefault="0008334B" w:rsidP="0008334B">
            <w:pPr>
              <w:pStyle w:val="NoSpacing"/>
              <w:jc w:val="center"/>
              <w:rPr>
                <w:rFonts w:ascii="Arial" w:hAnsi="Arial" w:cs="Arial"/>
                <w:sz w:val="24"/>
                <w:szCs w:val="24"/>
              </w:rPr>
            </w:pPr>
            <w:r>
              <w:rPr>
                <w:rFonts w:ascii="Arial" w:hAnsi="Arial" w:cs="Arial"/>
                <w:sz w:val="24"/>
                <w:szCs w:val="24"/>
              </w:rPr>
              <w:t>£4.5m</w:t>
            </w:r>
          </w:p>
        </w:tc>
        <w:tc>
          <w:tcPr>
            <w:tcW w:w="1662" w:type="dxa"/>
          </w:tcPr>
          <w:p w:rsidR="0008334B" w:rsidRDefault="00623592" w:rsidP="0008334B">
            <w:pPr>
              <w:pStyle w:val="NoSpacing"/>
              <w:jc w:val="center"/>
              <w:rPr>
                <w:rFonts w:ascii="Arial" w:hAnsi="Arial" w:cs="Arial"/>
                <w:sz w:val="24"/>
                <w:szCs w:val="24"/>
              </w:rPr>
            </w:pPr>
            <w:r>
              <w:rPr>
                <w:rFonts w:ascii="Arial" w:hAnsi="Arial" w:cs="Arial"/>
                <w:sz w:val="24"/>
                <w:szCs w:val="24"/>
              </w:rPr>
              <w:t>£0.7m</w:t>
            </w:r>
          </w:p>
        </w:tc>
        <w:tc>
          <w:tcPr>
            <w:tcW w:w="1673" w:type="dxa"/>
          </w:tcPr>
          <w:p w:rsidR="0008334B" w:rsidRDefault="0008334B" w:rsidP="0008334B">
            <w:pPr>
              <w:pStyle w:val="NoSpacing"/>
              <w:jc w:val="center"/>
              <w:rPr>
                <w:rFonts w:ascii="Arial" w:hAnsi="Arial" w:cs="Arial"/>
                <w:sz w:val="24"/>
                <w:szCs w:val="24"/>
              </w:rPr>
            </w:pPr>
            <w:r>
              <w:rPr>
                <w:rFonts w:ascii="Arial" w:hAnsi="Arial" w:cs="Arial"/>
                <w:sz w:val="24"/>
                <w:szCs w:val="24"/>
              </w:rPr>
              <w:t>£5</w:t>
            </w:r>
            <w:r w:rsidR="00623592">
              <w:rPr>
                <w:rFonts w:ascii="Arial" w:hAnsi="Arial" w:cs="Arial"/>
                <w:sz w:val="24"/>
                <w:szCs w:val="24"/>
              </w:rPr>
              <w:t>.0</w:t>
            </w:r>
            <w:r>
              <w:rPr>
                <w:rFonts w:ascii="Arial" w:hAnsi="Arial" w:cs="Arial"/>
                <w:sz w:val="24"/>
                <w:szCs w:val="24"/>
              </w:rPr>
              <w:t>m</w:t>
            </w:r>
          </w:p>
        </w:tc>
        <w:tc>
          <w:tcPr>
            <w:tcW w:w="1456" w:type="dxa"/>
          </w:tcPr>
          <w:p w:rsidR="0008334B" w:rsidRDefault="0008334B" w:rsidP="0008334B">
            <w:pPr>
              <w:pStyle w:val="NoSpacing"/>
              <w:jc w:val="center"/>
              <w:rPr>
                <w:rFonts w:ascii="Arial" w:hAnsi="Arial" w:cs="Arial"/>
                <w:sz w:val="24"/>
                <w:szCs w:val="24"/>
              </w:rPr>
            </w:pPr>
            <w:r>
              <w:rPr>
                <w:rFonts w:ascii="Arial" w:hAnsi="Arial" w:cs="Arial"/>
                <w:sz w:val="24"/>
                <w:szCs w:val="24"/>
              </w:rPr>
              <w:t>Yes</w:t>
            </w:r>
          </w:p>
        </w:tc>
      </w:tr>
      <w:tr w:rsidR="0008334B" w:rsidTr="00623592">
        <w:tc>
          <w:tcPr>
            <w:tcW w:w="3103" w:type="dxa"/>
          </w:tcPr>
          <w:p w:rsidR="0008334B" w:rsidRDefault="0008334B" w:rsidP="0008334B">
            <w:pPr>
              <w:pStyle w:val="NoSpacing"/>
              <w:rPr>
                <w:rFonts w:ascii="Arial" w:hAnsi="Arial" w:cs="Arial"/>
                <w:sz w:val="24"/>
                <w:szCs w:val="24"/>
              </w:rPr>
            </w:pPr>
            <w:r>
              <w:rPr>
                <w:rFonts w:ascii="Arial" w:hAnsi="Arial" w:cs="Arial"/>
                <w:sz w:val="24"/>
                <w:szCs w:val="24"/>
              </w:rPr>
              <w:t>Other UK financial institutions</w:t>
            </w:r>
            <w:r w:rsidR="00623592">
              <w:rPr>
                <w:rFonts w:ascii="Arial" w:hAnsi="Arial" w:cs="Arial"/>
                <w:sz w:val="24"/>
                <w:szCs w:val="24"/>
              </w:rPr>
              <w:t xml:space="preserve"> </w:t>
            </w:r>
            <w:r w:rsidR="00CA25DE">
              <w:rPr>
                <w:rFonts w:ascii="Arial" w:hAnsi="Arial" w:cs="Arial"/>
                <w:sz w:val="24"/>
                <w:szCs w:val="24"/>
              </w:rPr>
              <w:t>–</w:t>
            </w:r>
            <w:r w:rsidR="00623592">
              <w:rPr>
                <w:rFonts w:ascii="Arial" w:hAnsi="Arial" w:cs="Arial"/>
                <w:sz w:val="24"/>
                <w:szCs w:val="24"/>
              </w:rPr>
              <w:t xml:space="preserve"> Barclays</w:t>
            </w:r>
            <w:r w:rsidR="00CA25DE">
              <w:rPr>
                <w:rFonts w:ascii="Arial" w:hAnsi="Arial" w:cs="Arial"/>
                <w:sz w:val="24"/>
                <w:szCs w:val="24"/>
              </w:rPr>
              <w:t xml:space="preserve"> call account / notice account</w:t>
            </w:r>
          </w:p>
        </w:tc>
        <w:tc>
          <w:tcPr>
            <w:tcW w:w="1701" w:type="dxa"/>
          </w:tcPr>
          <w:p w:rsidR="0008334B" w:rsidRDefault="00623592" w:rsidP="0008334B">
            <w:pPr>
              <w:pStyle w:val="NoSpacing"/>
              <w:jc w:val="center"/>
              <w:rPr>
                <w:rFonts w:ascii="Arial" w:hAnsi="Arial" w:cs="Arial"/>
                <w:sz w:val="24"/>
                <w:szCs w:val="24"/>
              </w:rPr>
            </w:pPr>
            <w:r>
              <w:rPr>
                <w:rFonts w:ascii="Arial" w:hAnsi="Arial" w:cs="Arial"/>
                <w:sz w:val="24"/>
                <w:szCs w:val="24"/>
              </w:rPr>
              <w:t>£2.0m</w:t>
            </w:r>
            <w:r w:rsidR="001D3082">
              <w:rPr>
                <w:rFonts w:ascii="Arial" w:hAnsi="Arial" w:cs="Arial"/>
                <w:sz w:val="24"/>
                <w:szCs w:val="24"/>
              </w:rPr>
              <w:t xml:space="preserve"> / 8</w:t>
            </w:r>
            <w:r>
              <w:rPr>
                <w:rFonts w:ascii="Arial" w:hAnsi="Arial" w:cs="Arial"/>
                <w:sz w:val="24"/>
                <w:szCs w:val="24"/>
              </w:rPr>
              <w:t>%</w:t>
            </w:r>
          </w:p>
        </w:tc>
        <w:tc>
          <w:tcPr>
            <w:tcW w:w="1701" w:type="dxa"/>
          </w:tcPr>
          <w:p w:rsidR="0008334B" w:rsidRDefault="001D3082" w:rsidP="0008334B">
            <w:pPr>
              <w:pStyle w:val="NoSpacing"/>
              <w:jc w:val="center"/>
              <w:rPr>
                <w:rFonts w:ascii="Arial" w:hAnsi="Arial" w:cs="Arial"/>
                <w:sz w:val="24"/>
                <w:szCs w:val="24"/>
              </w:rPr>
            </w:pPr>
            <w:r>
              <w:rPr>
                <w:rFonts w:ascii="Arial" w:hAnsi="Arial" w:cs="Arial"/>
                <w:sz w:val="24"/>
                <w:szCs w:val="24"/>
              </w:rPr>
              <w:t>£1.5m / 7%</w:t>
            </w:r>
          </w:p>
        </w:tc>
        <w:tc>
          <w:tcPr>
            <w:tcW w:w="1701" w:type="dxa"/>
          </w:tcPr>
          <w:p w:rsidR="0008334B" w:rsidRDefault="0008334B" w:rsidP="00623592">
            <w:pPr>
              <w:pStyle w:val="NoSpacing"/>
              <w:jc w:val="center"/>
              <w:rPr>
                <w:rFonts w:ascii="Arial" w:hAnsi="Arial" w:cs="Arial"/>
                <w:sz w:val="24"/>
                <w:szCs w:val="24"/>
              </w:rPr>
            </w:pPr>
            <w:r>
              <w:rPr>
                <w:rFonts w:ascii="Arial" w:hAnsi="Arial" w:cs="Arial"/>
                <w:sz w:val="24"/>
                <w:szCs w:val="24"/>
              </w:rPr>
              <w:t>Higher of 5% or £1</w:t>
            </w:r>
            <w:r w:rsidR="00623592">
              <w:rPr>
                <w:rFonts w:ascii="Arial" w:hAnsi="Arial" w:cs="Arial"/>
                <w:sz w:val="24"/>
                <w:szCs w:val="24"/>
              </w:rPr>
              <w:t>.0</w:t>
            </w:r>
            <w:r>
              <w:rPr>
                <w:rFonts w:ascii="Arial" w:hAnsi="Arial" w:cs="Arial"/>
                <w:sz w:val="24"/>
                <w:szCs w:val="24"/>
              </w:rPr>
              <w:t>m</w:t>
            </w:r>
          </w:p>
        </w:tc>
        <w:tc>
          <w:tcPr>
            <w:tcW w:w="1275" w:type="dxa"/>
          </w:tcPr>
          <w:p w:rsidR="0008334B" w:rsidRDefault="0005324F" w:rsidP="0008334B">
            <w:pPr>
              <w:pStyle w:val="NoSpacing"/>
              <w:jc w:val="center"/>
              <w:rPr>
                <w:rFonts w:ascii="Arial" w:hAnsi="Arial" w:cs="Arial"/>
                <w:sz w:val="24"/>
                <w:szCs w:val="24"/>
              </w:rPr>
            </w:pPr>
            <w:r>
              <w:rPr>
                <w:rFonts w:ascii="Arial" w:hAnsi="Arial" w:cs="Arial"/>
                <w:sz w:val="24"/>
                <w:szCs w:val="24"/>
              </w:rPr>
              <w:t>Yes*</w:t>
            </w:r>
          </w:p>
        </w:tc>
      </w:tr>
      <w:tr w:rsidR="001D3082" w:rsidTr="00623592">
        <w:tc>
          <w:tcPr>
            <w:tcW w:w="3103" w:type="dxa"/>
          </w:tcPr>
          <w:p w:rsidR="001D3082" w:rsidRDefault="001D3082" w:rsidP="001D3082">
            <w:pPr>
              <w:pStyle w:val="NoSpacing"/>
              <w:rPr>
                <w:rFonts w:ascii="Arial" w:hAnsi="Arial" w:cs="Arial"/>
                <w:sz w:val="24"/>
                <w:szCs w:val="24"/>
              </w:rPr>
            </w:pPr>
            <w:r>
              <w:rPr>
                <w:rFonts w:ascii="Arial" w:hAnsi="Arial" w:cs="Arial"/>
                <w:sz w:val="24"/>
                <w:szCs w:val="24"/>
              </w:rPr>
              <w:t xml:space="preserve">Other UK financial institutions </w:t>
            </w:r>
            <w:r w:rsidR="00CA25DE">
              <w:rPr>
                <w:rFonts w:ascii="Arial" w:hAnsi="Arial" w:cs="Arial"/>
                <w:sz w:val="24"/>
                <w:szCs w:val="24"/>
              </w:rPr>
              <w:t>–</w:t>
            </w:r>
            <w:r>
              <w:rPr>
                <w:rFonts w:ascii="Arial" w:hAnsi="Arial" w:cs="Arial"/>
                <w:sz w:val="24"/>
                <w:szCs w:val="24"/>
              </w:rPr>
              <w:t xml:space="preserve"> Santander</w:t>
            </w:r>
            <w:r w:rsidR="00CA25DE">
              <w:rPr>
                <w:rFonts w:ascii="Arial" w:hAnsi="Arial" w:cs="Arial"/>
                <w:sz w:val="24"/>
                <w:szCs w:val="24"/>
              </w:rPr>
              <w:t xml:space="preserve"> call account</w:t>
            </w:r>
          </w:p>
        </w:tc>
        <w:tc>
          <w:tcPr>
            <w:tcW w:w="1701" w:type="dxa"/>
          </w:tcPr>
          <w:p w:rsidR="001D3082" w:rsidRDefault="001D3082" w:rsidP="001D3082">
            <w:pPr>
              <w:pStyle w:val="NoSpacing"/>
              <w:jc w:val="center"/>
              <w:rPr>
                <w:rFonts w:ascii="Arial" w:hAnsi="Arial" w:cs="Arial"/>
                <w:sz w:val="24"/>
                <w:szCs w:val="24"/>
              </w:rPr>
            </w:pPr>
            <w:r>
              <w:rPr>
                <w:rFonts w:ascii="Arial" w:hAnsi="Arial" w:cs="Arial"/>
                <w:sz w:val="24"/>
                <w:szCs w:val="24"/>
              </w:rPr>
              <w:t>£2.0m / 6%</w:t>
            </w:r>
          </w:p>
        </w:tc>
        <w:tc>
          <w:tcPr>
            <w:tcW w:w="1701" w:type="dxa"/>
          </w:tcPr>
          <w:p w:rsidR="001D3082" w:rsidRDefault="001D3082" w:rsidP="001D3082">
            <w:pPr>
              <w:pStyle w:val="NoSpacing"/>
              <w:jc w:val="center"/>
              <w:rPr>
                <w:rFonts w:ascii="Arial" w:hAnsi="Arial" w:cs="Arial"/>
                <w:sz w:val="24"/>
                <w:szCs w:val="24"/>
              </w:rPr>
            </w:pPr>
            <w:r>
              <w:rPr>
                <w:rFonts w:ascii="Arial" w:hAnsi="Arial" w:cs="Arial"/>
                <w:sz w:val="24"/>
                <w:szCs w:val="24"/>
              </w:rPr>
              <w:t>£1.1m / 6%</w:t>
            </w:r>
          </w:p>
        </w:tc>
        <w:tc>
          <w:tcPr>
            <w:tcW w:w="1701" w:type="dxa"/>
          </w:tcPr>
          <w:p w:rsidR="001D3082" w:rsidRDefault="001D3082" w:rsidP="001D3082">
            <w:pPr>
              <w:pStyle w:val="NoSpacing"/>
              <w:jc w:val="center"/>
              <w:rPr>
                <w:rFonts w:ascii="Arial" w:hAnsi="Arial" w:cs="Arial"/>
                <w:sz w:val="24"/>
                <w:szCs w:val="24"/>
              </w:rPr>
            </w:pPr>
            <w:r>
              <w:rPr>
                <w:rFonts w:ascii="Arial" w:hAnsi="Arial" w:cs="Arial"/>
                <w:sz w:val="24"/>
                <w:szCs w:val="24"/>
              </w:rPr>
              <w:t>Higher of 5% or £1.0m</w:t>
            </w:r>
          </w:p>
        </w:tc>
        <w:tc>
          <w:tcPr>
            <w:tcW w:w="1275" w:type="dxa"/>
          </w:tcPr>
          <w:p w:rsidR="001D3082" w:rsidRDefault="0005324F" w:rsidP="001D3082">
            <w:pPr>
              <w:pStyle w:val="NoSpacing"/>
              <w:jc w:val="center"/>
              <w:rPr>
                <w:rFonts w:ascii="Arial" w:hAnsi="Arial" w:cs="Arial"/>
                <w:sz w:val="24"/>
                <w:szCs w:val="24"/>
              </w:rPr>
            </w:pPr>
            <w:r>
              <w:rPr>
                <w:rFonts w:ascii="Arial" w:hAnsi="Arial" w:cs="Arial"/>
                <w:sz w:val="24"/>
                <w:szCs w:val="24"/>
              </w:rPr>
              <w:t>Yes*</w:t>
            </w:r>
          </w:p>
        </w:tc>
      </w:tr>
      <w:tr w:rsidR="001D3082" w:rsidTr="001D3082">
        <w:tc>
          <w:tcPr>
            <w:tcW w:w="3011" w:type="dxa"/>
          </w:tcPr>
          <w:p w:rsidR="001D3082" w:rsidRDefault="001D3082" w:rsidP="001D3082">
            <w:pPr>
              <w:pStyle w:val="NoSpacing"/>
              <w:rPr>
                <w:rFonts w:ascii="Arial" w:hAnsi="Arial" w:cs="Arial"/>
                <w:sz w:val="24"/>
                <w:szCs w:val="24"/>
              </w:rPr>
            </w:pPr>
            <w:r>
              <w:rPr>
                <w:rFonts w:ascii="Arial" w:hAnsi="Arial" w:cs="Arial"/>
                <w:sz w:val="24"/>
                <w:szCs w:val="24"/>
              </w:rPr>
              <w:t xml:space="preserve">Other UK financial institutions </w:t>
            </w:r>
            <w:r w:rsidR="00CA25DE">
              <w:rPr>
                <w:rFonts w:ascii="Arial" w:hAnsi="Arial" w:cs="Arial"/>
                <w:sz w:val="24"/>
                <w:szCs w:val="24"/>
              </w:rPr>
              <w:t>–</w:t>
            </w:r>
            <w:r>
              <w:rPr>
                <w:rFonts w:ascii="Arial" w:hAnsi="Arial" w:cs="Arial"/>
                <w:sz w:val="24"/>
                <w:szCs w:val="24"/>
              </w:rPr>
              <w:t xml:space="preserve"> Nationwide</w:t>
            </w:r>
            <w:r w:rsidR="00CA25DE">
              <w:rPr>
                <w:rFonts w:ascii="Arial" w:hAnsi="Arial" w:cs="Arial"/>
                <w:sz w:val="24"/>
                <w:szCs w:val="24"/>
              </w:rPr>
              <w:t xml:space="preserve"> BS</w:t>
            </w:r>
          </w:p>
        </w:tc>
        <w:tc>
          <w:tcPr>
            <w:tcW w:w="1679" w:type="dxa"/>
          </w:tcPr>
          <w:p w:rsidR="001D3082" w:rsidRDefault="001D3082" w:rsidP="001D3082">
            <w:pPr>
              <w:pStyle w:val="NoSpacing"/>
              <w:jc w:val="center"/>
              <w:rPr>
                <w:rFonts w:ascii="Arial" w:hAnsi="Arial" w:cs="Arial"/>
                <w:sz w:val="24"/>
                <w:szCs w:val="24"/>
              </w:rPr>
            </w:pPr>
            <w:r>
              <w:rPr>
                <w:rFonts w:ascii="Arial" w:hAnsi="Arial" w:cs="Arial"/>
                <w:sz w:val="24"/>
                <w:szCs w:val="24"/>
              </w:rPr>
              <w:t>£2.0m / 8%</w:t>
            </w:r>
          </w:p>
        </w:tc>
        <w:tc>
          <w:tcPr>
            <w:tcW w:w="1662" w:type="dxa"/>
          </w:tcPr>
          <w:p w:rsidR="001D3082" w:rsidRDefault="001D3082" w:rsidP="001D3082">
            <w:pPr>
              <w:pStyle w:val="NoSpacing"/>
              <w:jc w:val="center"/>
              <w:rPr>
                <w:rFonts w:ascii="Arial" w:hAnsi="Arial" w:cs="Arial"/>
                <w:sz w:val="24"/>
                <w:szCs w:val="24"/>
              </w:rPr>
            </w:pPr>
            <w:r>
              <w:rPr>
                <w:rFonts w:ascii="Arial" w:hAnsi="Arial" w:cs="Arial"/>
                <w:sz w:val="24"/>
                <w:szCs w:val="24"/>
              </w:rPr>
              <w:t>£0.0m / 0%</w:t>
            </w:r>
          </w:p>
        </w:tc>
        <w:tc>
          <w:tcPr>
            <w:tcW w:w="1673" w:type="dxa"/>
          </w:tcPr>
          <w:p w:rsidR="001D3082" w:rsidRDefault="001D3082" w:rsidP="001D3082">
            <w:pPr>
              <w:pStyle w:val="NoSpacing"/>
              <w:jc w:val="center"/>
              <w:rPr>
                <w:rFonts w:ascii="Arial" w:hAnsi="Arial" w:cs="Arial"/>
                <w:sz w:val="24"/>
                <w:szCs w:val="24"/>
              </w:rPr>
            </w:pPr>
            <w:r>
              <w:rPr>
                <w:rFonts w:ascii="Arial" w:hAnsi="Arial" w:cs="Arial"/>
                <w:sz w:val="24"/>
                <w:szCs w:val="24"/>
              </w:rPr>
              <w:t>Higher of 5% or £1.0m</w:t>
            </w:r>
          </w:p>
        </w:tc>
        <w:tc>
          <w:tcPr>
            <w:tcW w:w="1456" w:type="dxa"/>
          </w:tcPr>
          <w:p w:rsidR="001D3082" w:rsidRDefault="001D3082" w:rsidP="001D3082">
            <w:pPr>
              <w:pStyle w:val="NoSpacing"/>
              <w:jc w:val="center"/>
              <w:rPr>
                <w:rFonts w:ascii="Arial" w:hAnsi="Arial" w:cs="Arial"/>
                <w:sz w:val="24"/>
                <w:szCs w:val="24"/>
              </w:rPr>
            </w:pPr>
            <w:r>
              <w:rPr>
                <w:rFonts w:ascii="Arial" w:hAnsi="Arial" w:cs="Arial"/>
                <w:sz w:val="24"/>
                <w:szCs w:val="24"/>
              </w:rPr>
              <w:t>Yes*</w:t>
            </w:r>
            <w:r w:rsidR="0005324F">
              <w:rPr>
                <w:rFonts w:ascii="Arial" w:hAnsi="Arial" w:cs="Arial"/>
                <w:sz w:val="24"/>
                <w:szCs w:val="24"/>
              </w:rPr>
              <w:t>*</w:t>
            </w:r>
          </w:p>
        </w:tc>
      </w:tr>
      <w:tr w:rsidR="001D3082" w:rsidTr="00623592">
        <w:tc>
          <w:tcPr>
            <w:tcW w:w="3011" w:type="dxa"/>
          </w:tcPr>
          <w:p w:rsidR="001D3082" w:rsidRDefault="001D3082" w:rsidP="001D3082">
            <w:pPr>
              <w:pStyle w:val="NoSpacing"/>
              <w:rPr>
                <w:rFonts w:ascii="Arial" w:hAnsi="Arial" w:cs="Arial"/>
                <w:sz w:val="24"/>
                <w:szCs w:val="24"/>
              </w:rPr>
            </w:pPr>
            <w:r>
              <w:rPr>
                <w:rFonts w:ascii="Arial" w:hAnsi="Arial" w:cs="Arial"/>
                <w:sz w:val="24"/>
                <w:szCs w:val="24"/>
              </w:rPr>
              <w:t>Other UK financial institutions – Coventry BS</w:t>
            </w:r>
          </w:p>
        </w:tc>
        <w:tc>
          <w:tcPr>
            <w:tcW w:w="1679" w:type="dxa"/>
          </w:tcPr>
          <w:p w:rsidR="001D3082" w:rsidRDefault="001D3082" w:rsidP="001D3082">
            <w:pPr>
              <w:pStyle w:val="NoSpacing"/>
              <w:jc w:val="center"/>
              <w:rPr>
                <w:rFonts w:ascii="Arial" w:hAnsi="Arial" w:cs="Arial"/>
                <w:sz w:val="24"/>
                <w:szCs w:val="24"/>
              </w:rPr>
            </w:pPr>
            <w:r>
              <w:rPr>
                <w:rFonts w:ascii="Arial" w:hAnsi="Arial" w:cs="Arial"/>
                <w:sz w:val="24"/>
                <w:szCs w:val="24"/>
              </w:rPr>
              <w:t>£2.0m / 8%</w:t>
            </w:r>
          </w:p>
        </w:tc>
        <w:tc>
          <w:tcPr>
            <w:tcW w:w="1662" w:type="dxa"/>
          </w:tcPr>
          <w:p w:rsidR="001D3082" w:rsidRDefault="001D3082" w:rsidP="001D3082">
            <w:pPr>
              <w:pStyle w:val="NoSpacing"/>
              <w:jc w:val="center"/>
              <w:rPr>
                <w:rFonts w:ascii="Arial" w:hAnsi="Arial" w:cs="Arial"/>
                <w:sz w:val="24"/>
                <w:szCs w:val="24"/>
              </w:rPr>
            </w:pPr>
            <w:r>
              <w:rPr>
                <w:rFonts w:ascii="Arial" w:hAnsi="Arial" w:cs="Arial"/>
                <w:sz w:val="24"/>
                <w:szCs w:val="24"/>
              </w:rPr>
              <w:t>£0.0m / 0%</w:t>
            </w:r>
          </w:p>
        </w:tc>
        <w:tc>
          <w:tcPr>
            <w:tcW w:w="1673" w:type="dxa"/>
          </w:tcPr>
          <w:p w:rsidR="001D3082" w:rsidRDefault="001D3082" w:rsidP="001D3082">
            <w:pPr>
              <w:pStyle w:val="NoSpacing"/>
              <w:jc w:val="center"/>
              <w:rPr>
                <w:rFonts w:ascii="Arial" w:hAnsi="Arial" w:cs="Arial"/>
                <w:sz w:val="24"/>
                <w:szCs w:val="24"/>
              </w:rPr>
            </w:pPr>
            <w:r>
              <w:rPr>
                <w:rFonts w:ascii="Arial" w:hAnsi="Arial" w:cs="Arial"/>
                <w:sz w:val="24"/>
                <w:szCs w:val="24"/>
              </w:rPr>
              <w:t>Higher of 5% or £1.0m</w:t>
            </w:r>
          </w:p>
        </w:tc>
        <w:tc>
          <w:tcPr>
            <w:tcW w:w="1456" w:type="dxa"/>
          </w:tcPr>
          <w:p w:rsidR="001D3082" w:rsidRDefault="001D3082" w:rsidP="001D3082">
            <w:pPr>
              <w:pStyle w:val="NoSpacing"/>
              <w:jc w:val="center"/>
              <w:rPr>
                <w:rFonts w:ascii="Arial" w:hAnsi="Arial" w:cs="Arial"/>
                <w:sz w:val="24"/>
                <w:szCs w:val="24"/>
              </w:rPr>
            </w:pPr>
            <w:r>
              <w:rPr>
                <w:rFonts w:ascii="Arial" w:hAnsi="Arial" w:cs="Arial"/>
                <w:sz w:val="24"/>
                <w:szCs w:val="24"/>
              </w:rPr>
              <w:t>Yes*</w:t>
            </w:r>
            <w:r w:rsidR="0005324F">
              <w:rPr>
                <w:rFonts w:ascii="Arial" w:hAnsi="Arial" w:cs="Arial"/>
                <w:sz w:val="24"/>
                <w:szCs w:val="24"/>
              </w:rPr>
              <w:t>*</w:t>
            </w:r>
          </w:p>
        </w:tc>
      </w:tr>
      <w:tr w:rsidR="001D3082" w:rsidTr="00623592">
        <w:tc>
          <w:tcPr>
            <w:tcW w:w="3011" w:type="dxa"/>
          </w:tcPr>
          <w:p w:rsidR="001D3082" w:rsidRDefault="001D3082" w:rsidP="001D3082">
            <w:pPr>
              <w:pStyle w:val="NoSpacing"/>
              <w:rPr>
                <w:rFonts w:ascii="Arial" w:hAnsi="Arial" w:cs="Arial"/>
                <w:sz w:val="24"/>
                <w:szCs w:val="24"/>
              </w:rPr>
            </w:pPr>
            <w:r>
              <w:rPr>
                <w:rFonts w:ascii="Arial" w:hAnsi="Arial" w:cs="Arial"/>
                <w:sz w:val="24"/>
                <w:szCs w:val="24"/>
              </w:rPr>
              <w:t>Other UK financial institutions – Goldman Sachs</w:t>
            </w:r>
          </w:p>
        </w:tc>
        <w:tc>
          <w:tcPr>
            <w:tcW w:w="1679" w:type="dxa"/>
          </w:tcPr>
          <w:p w:rsidR="001D3082" w:rsidRDefault="0072555C" w:rsidP="001D3082">
            <w:pPr>
              <w:pStyle w:val="NoSpacing"/>
              <w:jc w:val="center"/>
              <w:rPr>
                <w:rFonts w:ascii="Arial" w:hAnsi="Arial" w:cs="Arial"/>
                <w:sz w:val="24"/>
                <w:szCs w:val="24"/>
              </w:rPr>
            </w:pPr>
            <w:r>
              <w:rPr>
                <w:rFonts w:ascii="Arial" w:hAnsi="Arial" w:cs="Arial"/>
                <w:sz w:val="24"/>
                <w:szCs w:val="24"/>
              </w:rPr>
              <w:t>£2.0m / 8%</w:t>
            </w:r>
          </w:p>
        </w:tc>
        <w:tc>
          <w:tcPr>
            <w:tcW w:w="1662" w:type="dxa"/>
          </w:tcPr>
          <w:p w:rsidR="001D3082" w:rsidRDefault="0072555C" w:rsidP="001D3082">
            <w:pPr>
              <w:pStyle w:val="NoSpacing"/>
              <w:jc w:val="center"/>
              <w:rPr>
                <w:rFonts w:ascii="Arial" w:hAnsi="Arial" w:cs="Arial"/>
                <w:sz w:val="24"/>
                <w:szCs w:val="24"/>
              </w:rPr>
            </w:pPr>
            <w:r>
              <w:rPr>
                <w:rFonts w:ascii="Arial" w:hAnsi="Arial" w:cs="Arial"/>
                <w:sz w:val="24"/>
                <w:szCs w:val="24"/>
              </w:rPr>
              <w:t>£0.0m / 0%</w:t>
            </w:r>
          </w:p>
        </w:tc>
        <w:tc>
          <w:tcPr>
            <w:tcW w:w="1673" w:type="dxa"/>
          </w:tcPr>
          <w:p w:rsidR="001D3082" w:rsidRDefault="0072555C" w:rsidP="001D3082">
            <w:pPr>
              <w:pStyle w:val="NoSpacing"/>
              <w:jc w:val="center"/>
              <w:rPr>
                <w:rFonts w:ascii="Arial" w:hAnsi="Arial" w:cs="Arial"/>
                <w:sz w:val="24"/>
                <w:szCs w:val="24"/>
              </w:rPr>
            </w:pPr>
            <w:r>
              <w:rPr>
                <w:rFonts w:ascii="Arial" w:hAnsi="Arial" w:cs="Arial"/>
                <w:sz w:val="24"/>
                <w:szCs w:val="24"/>
              </w:rPr>
              <w:t>Higher of 5% or £1.0m</w:t>
            </w:r>
          </w:p>
        </w:tc>
        <w:tc>
          <w:tcPr>
            <w:tcW w:w="1456" w:type="dxa"/>
          </w:tcPr>
          <w:p w:rsidR="001D3082" w:rsidRDefault="0072555C" w:rsidP="001D3082">
            <w:pPr>
              <w:pStyle w:val="NoSpacing"/>
              <w:jc w:val="center"/>
              <w:rPr>
                <w:rFonts w:ascii="Arial" w:hAnsi="Arial" w:cs="Arial"/>
                <w:sz w:val="24"/>
                <w:szCs w:val="24"/>
              </w:rPr>
            </w:pPr>
            <w:r>
              <w:rPr>
                <w:rFonts w:ascii="Arial" w:hAnsi="Arial" w:cs="Arial"/>
                <w:sz w:val="24"/>
                <w:szCs w:val="24"/>
              </w:rPr>
              <w:t>Yes*</w:t>
            </w:r>
          </w:p>
        </w:tc>
      </w:tr>
      <w:tr w:rsidR="001D3082" w:rsidTr="00623592">
        <w:tc>
          <w:tcPr>
            <w:tcW w:w="3011" w:type="dxa"/>
          </w:tcPr>
          <w:p w:rsidR="001D3082" w:rsidRDefault="001D3082" w:rsidP="001D3082">
            <w:pPr>
              <w:pStyle w:val="NoSpacing"/>
              <w:rPr>
                <w:rFonts w:ascii="Arial" w:hAnsi="Arial" w:cs="Arial"/>
                <w:sz w:val="24"/>
                <w:szCs w:val="24"/>
              </w:rPr>
            </w:pPr>
            <w:r>
              <w:rPr>
                <w:rFonts w:ascii="Arial" w:hAnsi="Arial" w:cs="Arial"/>
                <w:sz w:val="24"/>
                <w:szCs w:val="24"/>
              </w:rPr>
              <w:t>UK central government (including DMO &amp; Treasury Bills)</w:t>
            </w:r>
          </w:p>
        </w:tc>
        <w:tc>
          <w:tcPr>
            <w:tcW w:w="1679" w:type="dxa"/>
          </w:tcPr>
          <w:p w:rsidR="001D3082" w:rsidRDefault="0072555C" w:rsidP="0072555C">
            <w:pPr>
              <w:pStyle w:val="NoSpacing"/>
              <w:jc w:val="center"/>
              <w:rPr>
                <w:rFonts w:ascii="Arial" w:hAnsi="Arial" w:cs="Arial"/>
                <w:sz w:val="24"/>
                <w:szCs w:val="24"/>
              </w:rPr>
            </w:pPr>
            <w:r>
              <w:rPr>
                <w:rFonts w:ascii="Arial" w:hAnsi="Arial" w:cs="Arial"/>
                <w:sz w:val="24"/>
                <w:szCs w:val="24"/>
              </w:rPr>
              <w:t>£46.5m</w:t>
            </w:r>
          </w:p>
        </w:tc>
        <w:tc>
          <w:tcPr>
            <w:tcW w:w="1662" w:type="dxa"/>
          </w:tcPr>
          <w:p w:rsidR="001D3082" w:rsidRDefault="0072555C" w:rsidP="0072555C">
            <w:pPr>
              <w:pStyle w:val="NoSpacing"/>
              <w:jc w:val="center"/>
              <w:rPr>
                <w:rFonts w:ascii="Arial" w:hAnsi="Arial" w:cs="Arial"/>
                <w:sz w:val="24"/>
                <w:szCs w:val="24"/>
              </w:rPr>
            </w:pPr>
            <w:r>
              <w:rPr>
                <w:rFonts w:ascii="Arial" w:hAnsi="Arial" w:cs="Arial"/>
                <w:sz w:val="24"/>
                <w:szCs w:val="24"/>
              </w:rPr>
              <w:t>£3.5m</w:t>
            </w:r>
          </w:p>
        </w:tc>
        <w:tc>
          <w:tcPr>
            <w:tcW w:w="1673" w:type="dxa"/>
          </w:tcPr>
          <w:p w:rsidR="001D3082" w:rsidRDefault="001D3082" w:rsidP="001D3082">
            <w:pPr>
              <w:pStyle w:val="NoSpacing"/>
              <w:jc w:val="center"/>
              <w:rPr>
                <w:rFonts w:ascii="Arial" w:hAnsi="Arial" w:cs="Arial"/>
                <w:sz w:val="24"/>
                <w:szCs w:val="24"/>
              </w:rPr>
            </w:pPr>
            <w:r>
              <w:rPr>
                <w:rFonts w:ascii="Arial" w:hAnsi="Arial" w:cs="Arial"/>
                <w:sz w:val="24"/>
                <w:szCs w:val="24"/>
              </w:rPr>
              <w:t>Unlimited</w:t>
            </w:r>
          </w:p>
        </w:tc>
        <w:tc>
          <w:tcPr>
            <w:tcW w:w="1456" w:type="dxa"/>
          </w:tcPr>
          <w:p w:rsidR="001D3082" w:rsidRDefault="0072555C" w:rsidP="001D3082">
            <w:pPr>
              <w:pStyle w:val="NoSpacing"/>
              <w:jc w:val="center"/>
              <w:rPr>
                <w:rFonts w:ascii="Arial" w:hAnsi="Arial" w:cs="Arial"/>
                <w:sz w:val="24"/>
                <w:szCs w:val="24"/>
              </w:rPr>
            </w:pPr>
            <w:r>
              <w:rPr>
                <w:rFonts w:ascii="Arial" w:hAnsi="Arial" w:cs="Arial"/>
                <w:sz w:val="24"/>
                <w:szCs w:val="24"/>
              </w:rPr>
              <w:t>Yes</w:t>
            </w:r>
          </w:p>
        </w:tc>
      </w:tr>
      <w:tr w:rsidR="001D3082" w:rsidTr="00623592">
        <w:tc>
          <w:tcPr>
            <w:tcW w:w="3011" w:type="dxa"/>
          </w:tcPr>
          <w:p w:rsidR="001D3082" w:rsidRDefault="001D3082" w:rsidP="001D3082">
            <w:pPr>
              <w:pStyle w:val="NoSpacing"/>
              <w:rPr>
                <w:rFonts w:ascii="Arial" w:hAnsi="Arial" w:cs="Arial"/>
                <w:sz w:val="24"/>
                <w:szCs w:val="24"/>
              </w:rPr>
            </w:pPr>
            <w:r>
              <w:rPr>
                <w:rFonts w:ascii="Arial" w:hAnsi="Arial" w:cs="Arial"/>
                <w:sz w:val="24"/>
                <w:szCs w:val="24"/>
              </w:rPr>
              <w:t>UK local authorities</w:t>
            </w:r>
            <w:r w:rsidR="0072555C">
              <w:rPr>
                <w:rFonts w:ascii="Arial" w:hAnsi="Arial" w:cs="Arial"/>
                <w:sz w:val="24"/>
                <w:szCs w:val="24"/>
              </w:rPr>
              <w:t xml:space="preserve"> – Rotherham Council</w:t>
            </w:r>
          </w:p>
        </w:tc>
        <w:tc>
          <w:tcPr>
            <w:tcW w:w="1679" w:type="dxa"/>
          </w:tcPr>
          <w:p w:rsidR="001D3082" w:rsidRDefault="0072555C" w:rsidP="001D3082">
            <w:pPr>
              <w:pStyle w:val="NoSpacing"/>
              <w:jc w:val="center"/>
              <w:rPr>
                <w:rFonts w:ascii="Arial" w:hAnsi="Arial" w:cs="Arial"/>
                <w:sz w:val="24"/>
                <w:szCs w:val="24"/>
              </w:rPr>
            </w:pPr>
            <w:r>
              <w:rPr>
                <w:rFonts w:ascii="Arial" w:hAnsi="Arial" w:cs="Arial"/>
                <w:sz w:val="24"/>
                <w:szCs w:val="24"/>
              </w:rPr>
              <w:t>£5m</w:t>
            </w:r>
          </w:p>
        </w:tc>
        <w:tc>
          <w:tcPr>
            <w:tcW w:w="1662" w:type="dxa"/>
          </w:tcPr>
          <w:p w:rsidR="001D3082" w:rsidRDefault="0072555C" w:rsidP="001D3082">
            <w:pPr>
              <w:pStyle w:val="NoSpacing"/>
              <w:jc w:val="center"/>
              <w:rPr>
                <w:rFonts w:ascii="Arial" w:hAnsi="Arial" w:cs="Arial"/>
                <w:sz w:val="24"/>
                <w:szCs w:val="24"/>
              </w:rPr>
            </w:pPr>
            <w:r>
              <w:rPr>
                <w:rFonts w:ascii="Arial" w:hAnsi="Arial" w:cs="Arial"/>
                <w:sz w:val="24"/>
                <w:szCs w:val="24"/>
              </w:rPr>
              <w:t>£5m</w:t>
            </w:r>
          </w:p>
        </w:tc>
        <w:tc>
          <w:tcPr>
            <w:tcW w:w="1673" w:type="dxa"/>
          </w:tcPr>
          <w:p w:rsidR="001D3082" w:rsidRDefault="001D3082" w:rsidP="0072555C">
            <w:pPr>
              <w:pStyle w:val="NoSpacing"/>
              <w:jc w:val="center"/>
              <w:rPr>
                <w:rFonts w:ascii="Arial" w:hAnsi="Arial" w:cs="Arial"/>
                <w:sz w:val="24"/>
                <w:szCs w:val="24"/>
              </w:rPr>
            </w:pPr>
            <w:r>
              <w:rPr>
                <w:rFonts w:ascii="Arial" w:hAnsi="Arial" w:cs="Arial"/>
                <w:sz w:val="24"/>
                <w:szCs w:val="24"/>
              </w:rPr>
              <w:t>£5m</w:t>
            </w:r>
          </w:p>
        </w:tc>
        <w:tc>
          <w:tcPr>
            <w:tcW w:w="1456" w:type="dxa"/>
          </w:tcPr>
          <w:p w:rsidR="001D3082" w:rsidRDefault="0072555C" w:rsidP="001D3082">
            <w:pPr>
              <w:pStyle w:val="NoSpacing"/>
              <w:jc w:val="center"/>
              <w:rPr>
                <w:rFonts w:ascii="Arial" w:hAnsi="Arial" w:cs="Arial"/>
                <w:sz w:val="24"/>
                <w:szCs w:val="24"/>
              </w:rPr>
            </w:pPr>
            <w:r>
              <w:rPr>
                <w:rFonts w:ascii="Arial" w:hAnsi="Arial" w:cs="Arial"/>
                <w:sz w:val="24"/>
                <w:szCs w:val="24"/>
              </w:rPr>
              <w:t>Yes</w:t>
            </w:r>
          </w:p>
        </w:tc>
      </w:tr>
      <w:tr w:rsidR="0072555C" w:rsidTr="00623592">
        <w:tc>
          <w:tcPr>
            <w:tcW w:w="3011" w:type="dxa"/>
          </w:tcPr>
          <w:p w:rsidR="0072555C" w:rsidRDefault="0072555C" w:rsidP="0072555C">
            <w:pPr>
              <w:pStyle w:val="NoSpacing"/>
              <w:rPr>
                <w:rFonts w:ascii="Arial" w:hAnsi="Arial" w:cs="Arial"/>
                <w:sz w:val="24"/>
                <w:szCs w:val="24"/>
              </w:rPr>
            </w:pPr>
            <w:r>
              <w:rPr>
                <w:rFonts w:ascii="Arial" w:hAnsi="Arial" w:cs="Arial"/>
                <w:sz w:val="24"/>
                <w:szCs w:val="24"/>
              </w:rPr>
              <w:t>Money market funds - Aberdeen</w:t>
            </w:r>
          </w:p>
        </w:tc>
        <w:tc>
          <w:tcPr>
            <w:tcW w:w="1679" w:type="dxa"/>
          </w:tcPr>
          <w:p w:rsidR="0072555C" w:rsidRDefault="0072555C" w:rsidP="001D3082">
            <w:pPr>
              <w:pStyle w:val="NoSpacing"/>
              <w:jc w:val="center"/>
              <w:rPr>
                <w:rFonts w:ascii="Arial" w:hAnsi="Arial" w:cs="Arial"/>
                <w:sz w:val="24"/>
                <w:szCs w:val="24"/>
              </w:rPr>
            </w:pPr>
            <w:r>
              <w:rPr>
                <w:rFonts w:ascii="Arial" w:hAnsi="Arial" w:cs="Arial"/>
                <w:sz w:val="24"/>
                <w:szCs w:val="24"/>
              </w:rPr>
              <w:t>£5m</w:t>
            </w:r>
          </w:p>
        </w:tc>
        <w:tc>
          <w:tcPr>
            <w:tcW w:w="1662" w:type="dxa"/>
          </w:tcPr>
          <w:p w:rsidR="0072555C" w:rsidRDefault="0072555C" w:rsidP="001D3082">
            <w:pPr>
              <w:pStyle w:val="NoSpacing"/>
              <w:jc w:val="center"/>
              <w:rPr>
                <w:rFonts w:ascii="Arial" w:hAnsi="Arial" w:cs="Arial"/>
                <w:sz w:val="24"/>
                <w:szCs w:val="24"/>
              </w:rPr>
            </w:pPr>
            <w:r>
              <w:rPr>
                <w:rFonts w:ascii="Arial" w:hAnsi="Arial" w:cs="Arial"/>
                <w:sz w:val="24"/>
                <w:szCs w:val="24"/>
              </w:rPr>
              <w:t>£5m</w:t>
            </w:r>
          </w:p>
        </w:tc>
        <w:tc>
          <w:tcPr>
            <w:tcW w:w="1673" w:type="dxa"/>
          </w:tcPr>
          <w:p w:rsidR="0072555C" w:rsidRDefault="0072555C" w:rsidP="001D3082">
            <w:pPr>
              <w:pStyle w:val="NoSpacing"/>
              <w:jc w:val="center"/>
              <w:rPr>
                <w:rFonts w:ascii="Arial" w:hAnsi="Arial" w:cs="Arial"/>
                <w:sz w:val="24"/>
                <w:szCs w:val="24"/>
              </w:rPr>
            </w:pPr>
            <w:r>
              <w:rPr>
                <w:rFonts w:ascii="Arial" w:hAnsi="Arial" w:cs="Arial"/>
                <w:sz w:val="24"/>
                <w:szCs w:val="24"/>
              </w:rPr>
              <w:t>£5m</w:t>
            </w:r>
          </w:p>
        </w:tc>
        <w:tc>
          <w:tcPr>
            <w:tcW w:w="1456" w:type="dxa"/>
          </w:tcPr>
          <w:p w:rsidR="0072555C" w:rsidRDefault="0072555C" w:rsidP="001D3082">
            <w:pPr>
              <w:pStyle w:val="NoSpacing"/>
              <w:jc w:val="center"/>
              <w:rPr>
                <w:rFonts w:ascii="Arial" w:hAnsi="Arial" w:cs="Arial"/>
                <w:sz w:val="24"/>
                <w:szCs w:val="24"/>
              </w:rPr>
            </w:pPr>
            <w:r>
              <w:rPr>
                <w:rFonts w:ascii="Arial" w:hAnsi="Arial" w:cs="Arial"/>
                <w:sz w:val="24"/>
                <w:szCs w:val="24"/>
              </w:rPr>
              <w:t>Yes</w:t>
            </w:r>
          </w:p>
        </w:tc>
      </w:tr>
      <w:tr w:rsidR="0072555C" w:rsidTr="00623592">
        <w:tc>
          <w:tcPr>
            <w:tcW w:w="3011" w:type="dxa"/>
          </w:tcPr>
          <w:p w:rsidR="0072555C" w:rsidRDefault="0072555C" w:rsidP="001D3082">
            <w:pPr>
              <w:pStyle w:val="NoSpacing"/>
              <w:rPr>
                <w:rFonts w:ascii="Arial" w:hAnsi="Arial" w:cs="Arial"/>
                <w:sz w:val="24"/>
                <w:szCs w:val="24"/>
              </w:rPr>
            </w:pPr>
            <w:r>
              <w:rPr>
                <w:rFonts w:ascii="Arial" w:hAnsi="Arial" w:cs="Arial"/>
                <w:sz w:val="24"/>
                <w:szCs w:val="24"/>
              </w:rPr>
              <w:t>Money market funds - Blackrock</w:t>
            </w:r>
          </w:p>
        </w:tc>
        <w:tc>
          <w:tcPr>
            <w:tcW w:w="1679" w:type="dxa"/>
          </w:tcPr>
          <w:p w:rsidR="0072555C" w:rsidRDefault="0072555C" w:rsidP="001D3082">
            <w:pPr>
              <w:pStyle w:val="NoSpacing"/>
              <w:jc w:val="center"/>
              <w:rPr>
                <w:rFonts w:ascii="Arial" w:hAnsi="Arial" w:cs="Arial"/>
                <w:sz w:val="24"/>
                <w:szCs w:val="24"/>
              </w:rPr>
            </w:pPr>
            <w:r>
              <w:rPr>
                <w:rFonts w:ascii="Arial" w:hAnsi="Arial" w:cs="Arial"/>
                <w:sz w:val="24"/>
                <w:szCs w:val="24"/>
              </w:rPr>
              <w:t>£3m</w:t>
            </w:r>
          </w:p>
        </w:tc>
        <w:tc>
          <w:tcPr>
            <w:tcW w:w="1662" w:type="dxa"/>
          </w:tcPr>
          <w:p w:rsidR="0072555C" w:rsidRDefault="0072555C" w:rsidP="001D3082">
            <w:pPr>
              <w:pStyle w:val="NoSpacing"/>
              <w:jc w:val="center"/>
              <w:rPr>
                <w:rFonts w:ascii="Arial" w:hAnsi="Arial" w:cs="Arial"/>
                <w:sz w:val="24"/>
                <w:szCs w:val="24"/>
              </w:rPr>
            </w:pPr>
            <w:r>
              <w:rPr>
                <w:rFonts w:ascii="Arial" w:hAnsi="Arial" w:cs="Arial"/>
                <w:sz w:val="24"/>
                <w:szCs w:val="24"/>
              </w:rPr>
              <w:t>£0m</w:t>
            </w:r>
          </w:p>
        </w:tc>
        <w:tc>
          <w:tcPr>
            <w:tcW w:w="1673" w:type="dxa"/>
          </w:tcPr>
          <w:p w:rsidR="0072555C" w:rsidRDefault="0072555C" w:rsidP="001D3082">
            <w:pPr>
              <w:pStyle w:val="NoSpacing"/>
              <w:jc w:val="center"/>
              <w:rPr>
                <w:rFonts w:ascii="Arial" w:hAnsi="Arial" w:cs="Arial"/>
                <w:sz w:val="24"/>
                <w:szCs w:val="24"/>
              </w:rPr>
            </w:pPr>
            <w:r>
              <w:rPr>
                <w:rFonts w:ascii="Arial" w:hAnsi="Arial" w:cs="Arial"/>
                <w:sz w:val="24"/>
                <w:szCs w:val="24"/>
              </w:rPr>
              <w:t>£5m</w:t>
            </w:r>
          </w:p>
        </w:tc>
        <w:tc>
          <w:tcPr>
            <w:tcW w:w="1456" w:type="dxa"/>
          </w:tcPr>
          <w:p w:rsidR="0072555C" w:rsidRDefault="0072555C" w:rsidP="001D3082">
            <w:pPr>
              <w:pStyle w:val="NoSpacing"/>
              <w:jc w:val="center"/>
              <w:rPr>
                <w:rFonts w:ascii="Arial" w:hAnsi="Arial" w:cs="Arial"/>
                <w:sz w:val="24"/>
                <w:szCs w:val="24"/>
              </w:rPr>
            </w:pPr>
            <w:r>
              <w:rPr>
                <w:rFonts w:ascii="Arial" w:hAnsi="Arial" w:cs="Arial"/>
                <w:sz w:val="24"/>
                <w:szCs w:val="24"/>
              </w:rPr>
              <w:t>Yes</w:t>
            </w:r>
          </w:p>
        </w:tc>
      </w:tr>
      <w:tr w:rsidR="001D3082" w:rsidTr="00623592">
        <w:tc>
          <w:tcPr>
            <w:tcW w:w="3011" w:type="dxa"/>
          </w:tcPr>
          <w:p w:rsidR="001D3082" w:rsidRDefault="001D3082" w:rsidP="0072555C">
            <w:pPr>
              <w:pStyle w:val="NoSpacing"/>
              <w:rPr>
                <w:rFonts w:ascii="Arial" w:hAnsi="Arial" w:cs="Arial"/>
                <w:sz w:val="24"/>
                <w:szCs w:val="24"/>
              </w:rPr>
            </w:pPr>
            <w:r>
              <w:rPr>
                <w:rFonts w:ascii="Arial" w:hAnsi="Arial" w:cs="Arial"/>
                <w:sz w:val="24"/>
                <w:szCs w:val="24"/>
              </w:rPr>
              <w:t>Money market funds</w:t>
            </w:r>
            <w:r w:rsidR="0072555C">
              <w:rPr>
                <w:rFonts w:ascii="Arial" w:hAnsi="Arial" w:cs="Arial"/>
                <w:sz w:val="24"/>
                <w:szCs w:val="24"/>
              </w:rPr>
              <w:t xml:space="preserve"> - Insight</w:t>
            </w:r>
          </w:p>
        </w:tc>
        <w:tc>
          <w:tcPr>
            <w:tcW w:w="1679" w:type="dxa"/>
          </w:tcPr>
          <w:p w:rsidR="001D3082" w:rsidRDefault="0072555C" w:rsidP="001D3082">
            <w:pPr>
              <w:pStyle w:val="NoSpacing"/>
              <w:jc w:val="center"/>
              <w:rPr>
                <w:rFonts w:ascii="Arial" w:hAnsi="Arial" w:cs="Arial"/>
                <w:sz w:val="24"/>
                <w:szCs w:val="24"/>
              </w:rPr>
            </w:pPr>
            <w:r>
              <w:rPr>
                <w:rFonts w:ascii="Arial" w:hAnsi="Arial" w:cs="Arial"/>
                <w:sz w:val="24"/>
                <w:szCs w:val="24"/>
              </w:rPr>
              <w:t>£5m</w:t>
            </w:r>
          </w:p>
        </w:tc>
        <w:tc>
          <w:tcPr>
            <w:tcW w:w="1662" w:type="dxa"/>
          </w:tcPr>
          <w:p w:rsidR="001D3082" w:rsidRDefault="0072555C" w:rsidP="001D3082">
            <w:pPr>
              <w:pStyle w:val="NoSpacing"/>
              <w:jc w:val="center"/>
              <w:rPr>
                <w:rFonts w:ascii="Arial" w:hAnsi="Arial" w:cs="Arial"/>
                <w:sz w:val="24"/>
                <w:szCs w:val="24"/>
              </w:rPr>
            </w:pPr>
            <w:r>
              <w:rPr>
                <w:rFonts w:ascii="Arial" w:hAnsi="Arial" w:cs="Arial"/>
                <w:sz w:val="24"/>
                <w:szCs w:val="24"/>
              </w:rPr>
              <w:t>£3m</w:t>
            </w:r>
          </w:p>
        </w:tc>
        <w:tc>
          <w:tcPr>
            <w:tcW w:w="1673" w:type="dxa"/>
          </w:tcPr>
          <w:p w:rsidR="001D3082" w:rsidRDefault="0072555C" w:rsidP="0072555C">
            <w:pPr>
              <w:pStyle w:val="NoSpacing"/>
              <w:jc w:val="center"/>
              <w:rPr>
                <w:rFonts w:ascii="Arial" w:hAnsi="Arial" w:cs="Arial"/>
                <w:sz w:val="24"/>
                <w:szCs w:val="24"/>
              </w:rPr>
            </w:pPr>
            <w:r>
              <w:rPr>
                <w:rFonts w:ascii="Arial" w:hAnsi="Arial" w:cs="Arial"/>
                <w:sz w:val="24"/>
                <w:szCs w:val="24"/>
              </w:rPr>
              <w:t>£5m</w:t>
            </w:r>
          </w:p>
        </w:tc>
        <w:tc>
          <w:tcPr>
            <w:tcW w:w="1456" w:type="dxa"/>
          </w:tcPr>
          <w:p w:rsidR="001D3082" w:rsidRDefault="0072555C" w:rsidP="001D3082">
            <w:pPr>
              <w:pStyle w:val="NoSpacing"/>
              <w:jc w:val="center"/>
              <w:rPr>
                <w:rFonts w:ascii="Arial" w:hAnsi="Arial" w:cs="Arial"/>
                <w:sz w:val="24"/>
                <w:szCs w:val="24"/>
              </w:rPr>
            </w:pPr>
            <w:r>
              <w:rPr>
                <w:rFonts w:ascii="Arial" w:hAnsi="Arial" w:cs="Arial"/>
                <w:sz w:val="24"/>
                <w:szCs w:val="24"/>
              </w:rPr>
              <w:t>Yes</w:t>
            </w:r>
          </w:p>
        </w:tc>
      </w:tr>
    </w:tbl>
    <w:p w:rsidR="0008334B" w:rsidRDefault="0008334B" w:rsidP="00BE0F80">
      <w:pPr>
        <w:pStyle w:val="NoSpacing"/>
        <w:ind w:left="720" w:hanging="720"/>
        <w:rPr>
          <w:rFonts w:ascii="Arial" w:hAnsi="Arial" w:cs="Arial"/>
          <w:sz w:val="24"/>
          <w:szCs w:val="24"/>
        </w:rPr>
      </w:pPr>
    </w:p>
    <w:p w:rsidR="00CA25DE" w:rsidRDefault="0005324F" w:rsidP="0005324F">
      <w:pPr>
        <w:pStyle w:val="NoSpacing"/>
        <w:ind w:left="720" w:hanging="720"/>
        <w:rPr>
          <w:rFonts w:ascii="Arial" w:hAnsi="Arial" w:cs="Arial"/>
          <w:sz w:val="24"/>
          <w:szCs w:val="24"/>
        </w:rPr>
      </w:pPr>
      <w:r>
        <w:rPr>
          <w:rFonts w:ascii="Arial" w:hAnsi="Arial" w:cs="Arial"/>
          <w:sz w:val="24"/>
          <w:szCs w:val="24"/>
        </w:rPr>
        <w:tab/>
      </w:r>
    </w:p>
    <w:p w:rsidR="00CA25DE" w:rsidRDefault="00CA25DE" w:rsidP="0005324F">
      <w:pPr>
        <w:pStyle w:val="NoSpacing"/>
        <w:ind w:left="720" w:hanging="720"/>
        <w:rPr>
          <w:rFonts w:ascii="Arial" w:hAnsi="Arial" w:cs="Arial"/>
          <w:sz w:val="24"/>
          <w:szCs w:val="24"/>
        </w:rPr>
      </w:pPr>
    </w:p>
    <w:p w:rsidR="0005324F" w:rsidRPr="0008334B" w:rsidRDefault="0005324F" w:rsidP="00CA25DE">
      <w:pPr>
        <w:pStyle w:val="NoSpacing"/>
        <w:ind w:left="720"/>
        <w:rPr>
          <w:rFonts w:ascii="Arial" w:hAnsi="Arial" w:cs="Arial"/>
          <w:sz w:val="24"/>
          <w:szCs w:val="24"/>
        </w:rPr>
      </w:pPr>
      <w:r>
        <w:rPr>
          <w:rFonts w:ascii="Arial" w:hAnsi="Arial" w:cs="Arial"/>
          <w:sz w:val="24"/>
          <w:szCs w:val="24"/>
        </w:rPr>
        <w:t xml:space="preserve">*Limits with call accounts (e.g. Barclays and Santander) are calculated at the point that monies are invested or withdrawn. Whilst there were some instances when the balances of both of these counterparties subsequently exceeded the recommended counterparty limit of 5% (e.g. not within the guidelines of the 18/19 strategy) it was nevertheless viewed as low-risk as the monies were accessible on a same-day basis. Furthermore, the balances held with both of these counterparties were subsequently reduced </w:t>
      </w:r>
      <w:r>
        <w:rPr>
          <w:rFonts w:ascii="Arial" w:hAnsi="Arial" w:cs="Arial"/>
          <w:sz w:val="24"/>
          <w:szCs w:val="24"/>
        </w:rPr>
        <w:lastRenderedPageBreak/>
        <w:t>during April 2019.</w:t>
      </w:r>
      <w:r>
        <w:rPr>
          <w:rFonts w:ascii="Arial" w:hAnsi="Arial" w:cs="Arial"/>
          <w:sz w:val="24"/>
          <w:szCs w:val="24"/>
        </w:rPr>
        <w:br/>
      </w:r>
    </w:p>
    <w:p w:rsidR="00C27109" w:rsidRPr="00CA25DE" w:rsidRDefault="00835FBE" w:rsidP="00CA25DE">
      <w:pPr>
        <w:pStyle w:val="NoSpacing"/>
        <w:rPr>
          <w:rFonts w:ascii="Arial" w:hAnsi="Arial" w:cs="Arial"/>
          <w:sz w:val="24"/>
          <w:szCs w:val="24"/>
        </w:rPr>
      </w:pPr>
      <w:r>
        <w:rPr>
          <w:rFonts w:ascii="Arial" w:hAnsi="Arial" w:cs="Arial"/>
          <w:sz w:val="24"/>
          <w:szCs w:val="24"/>
        </w:rPr>
        <w:tab/>
        <w:t>*</w:t>
      </w:r>
      <w:r w:rsidR="0005324F">
        <w:rPr>
          <w:rFonts w:ascii="Arial" w:hAnsi="Arial" w:cs="Arial"/>
          <w:sz w:val="24"/>
          <w:szCs w:val="24"/>
        </w:rPr>
        <w:t>*</w:t>
      </w:r>
      <w:r>
        <w:rPr>
          <w:rFonts w:ascii="Arial" w:hAnsi="Arial" w:cs="Arial"/>
          <w:sz w:val="24"/>
          <w:szCs w:val="24"/>
        </w:rPr>
        <w:t xml:space="preserve"> Limits for counterparties with fixed term deposits are calculated only at the point that </w:t>
      </w:r>
      <w:r>
        <w:rPr>
          <w:rFonts w:ascii="Arial" w:hAnsi="Arial" w:cs="Arial"/>
          <w:sz w:val="24"/>
          <w:szCs w:val="24"/>
        </w:rPr>
        <w:tab/>
        <w:t xml:space="preserve">monies are </w:t>
      </w:r>
      <w:r w:rsidR="00287438">
        <w:rPr>
          <w:rFonts w:ascii="Arial" w:hAnsi="Arial" w:cs="Arial"/>
          <w:sz w:val="24"/>
          <w:szCs w:val="24"/>
        </w:rPr>
        <w:t>invested e.g. by their nature the OPFCC</w:t>
      </w:r>
      <w:r>
        <w:rPr>
          <w:rFonts w:ascii="Arial" w:hAnsi="Arial" w:cs="Arial"/>
          <w:sz w:val="24"/>
          <w:szCs w:val="24"/>
        </w:rPr>
        <w:t xml:space="preserve"> cannot call back these investments </w:t>
      </w:r>
      <w:r w:rsidR="00287438">
        <w:rPr>
          <w:rFonts w:ascii="Arial" w:hAnsi="Arial" w:cs="Arial"/>
          <w:sz w:val="24"/>
          <w:szCs w:val="24"/>
        </w:rPr>
        <w:tab/>
        <w:t>during the term specified and</w:t>
      </w:r>
      <w:r>
        <w:rPr>
          <w:rFonts w:ascii="Arial" w:hAnsi="Arial" w:cs="Arial"/>
          <w:sz w:val="24"/>
          <w:szCs w:val="24"/>
        </w:rPr>
        <w:t xml:space="preserve"> therefore </w:t>
      </w:r>
      <w:r w:rsidR="00287438">
        <w:rPr>
          <w:rFonts w:ascii="Arial" w:hAnsi="Arial" w:cs="Arial"/>
          <w:sz w:val="24"/>
          <w:szCs w:val="24"/>
        </w:rPr>
        <w:t xml:space="preserve">the OPFCC </w:t>
      </w:r>
      <w:r w:rsidR="00C27109">
        <w:rPr>
          <w:rFonts w:ascii="Arial" w:hAnsi="Arial" w:cs="Arial"/>
          <w:sz w:val="24"/>
          <w:szCs w:val="24"/>
        </w:rPr>
        <w:t xml:space="preserve">cannot legislate against the </w:t>
      </w:r>
      <w:r w:rsidR="00C27109">
        <w:rPr>
          <w:rFonts w:ascii="Arial" w:hAnsi="Arial" w:cs="Arial"/>
          <w:sz w:val="24"/>
          <w:szCs w:val="24"/>
        </w:rPr>
        <w:tab/>
      </w:r>
      <w:r>
        <w:rPr>
          <w:rFonts w:ascii="Arial" w:hAnsi="Arial" w:cs="Arial"/>
          <w:sz w:val="24"/>
          <w:szCs w:val="24"/>
        </w:rPr>
        <w:t>counterparty</w:t>
      </w:r>
      <w:r w:rsidR="00C27109">
        <w:rPr>
          <w:rFonts w:ascii="Arial" w:hAnsi="Arial" w:cs="Arial"/>
          <w:sz w:val="24"/>
          <w:szCs w:val="24"/>
        </w:rPr>
        <w:t>’s % increasing</w:t>
      </w:r>
      <w:r w:rsidR="00287438">
        <w:rPr>
          <w:rFonts w:ascii="Arial" w:hAnsi="Arial" w:cs="Arial"/>
          <w:sz w:val="24"/>
          <w:szCs w:val="24"/>
        </w:rPr>
        <w:t xml:space="preserve"> </w:t>
      </w:r>
      <w:r>
        <w:rPr>
          <w:rFonts w:ascii="Arial" w:hAnsi="Arial" w:cs="Arial"/>
          <w:sz w:val="24"/>
          <w:szCs w:val="24"/>
        </w:rPr>
        <w:t>during this period.</w:t>
      </w:r>
      <w:r w:rsidR="001B0578">
        <w:rPr>
          <w:rFonts w:ascii="Arial" w:hAnsi="Arial" w:cs="Arial"/>
          <w:sz w:val="24"/>
          <w:szCs w:val="24"/>
        </w:rPr>
        <w:t xml:space="preserve"> </w:t>
      </w:r>
    </w:p>
    <w:p w:rsidR="00C27109" w:rsidRDefault="00C27109" w:rsidP="00BE0F80">
      <w:pPr>
        <w:pStyle w:val="NoSpacing"/>
        <w:ind w:left="720" w:hanging="720"/>
        <w:rPr>
          <w:rFonts w:ascii="Arial" w:hAnsi="Arial" w:cs="Arial"/>
          <w:b/>
          <w:sz w:val="24"/>
          <w:szCs w:val="24"/>
        </w:rPr>
      </w:pPr>
    </w:p>
    <w:p w:rsidR="00BE0F80" w:rsidRPr="000C5B9E" w:rsidRDefault="009F67BE" w:rsidP="00BE0F80">
      <w:pPr>
        <w:pStyle w:val="NoSpacing"/>
        <w:ind w:left="720" w:hanging="720"/>
        <w:rPr>
          <w:rFonts w:ascii="Arial" w:hAnsi="Arial" w:cs="Arial"/>
          <w:b/>
          <w:sz w:val="24"/>
          <w:szCs w:val="24"/>
        </w:rPr>
      </w:pPr>
      <w:r>
        <w:rPr>
          <w:rFonts w:ascii="Arial" w:hAnsi="Arial" w:cs="Arial"/>
          <w:b/>
          <w:sz w:val="24"/>
          <w:szCs w:val="24"/>
        </w:rPr>
        <w:t>5</w:t>
      </w:r>
      <w:r w:rsidR="00BE0F80" w:rsidRPr="000C5B9E">
        <w:rPr>
          <w:rFonts w:ascii="Arial" w:hAnsi="Arial" w:cs="Arial"/>
          <w:b/>
          <w:sz w:val="24"/>
          <w:szCs w:val="24"/>
        </w:rPr>
        <w:t>.0</w:t>
      </w:r>
      <w:r w:rsidR="00BE0F80" w:rsidRPr="000C5B9E">
        <w:rPr>
          <w:rFonts w:ascii="Arial" w:hAnsi="Arial" w:cs="Arial"/>
          <w:b/>
          <w:sz w:val="24"/>
          <w:szCs w:val="24"/>
        </w:rPr>
        <w:tab/>
      </w:r>
      <w:r w:rsidR="00BE0F80" w:rsidRPr="000C5B9E">
        <w:rPr>
          <w:rFonts w:ascii="Arial" w:hAnsi="Arial" w:cs="Arial"/>
          <w:b/>
          <w:sz w:val="24"/>
          <w:szCs w:val="24"/>
          <w:u w:val="single"/>
        </w:rPr>
        <w:t>Treasury Management Indicators</w:t>
      </w:r>
      <w:r w:rsidR="00BE0F80" w:rsidRPr="000C5B9E">
        <w:rPr>
          <w:rFonts w:ascii="Arial" w:hAnsi="Arial" w:cs="Arial"/>
          <w:b/>
          <w:sz w:val="24"/>
          <w:szCs w:val="24"/>
        </w:rPr>
        <w:br/>
      </w:r>
    </w:p>
    <w:p w:rsidR="00BE0F80" w:rsidRDefault="00835FBE" w:rsidP="00BE0F80">
      <w:pPr>
        <w:pStyle w:val="NoSpacing"/>
        <w:rPr>
          <w:rFonts w:ascii="Arial" w:hAnsi="Arial" w:cs="Arial"/>
          <w:sz w:val="24"/>
          <w:szCs w:val="24"/>
        </w:rPr>
      </w:pPr>
      <w:r>
        <w:rPr>
          <w:rFonts w:ascii="Arial" w:hAnsi="Arial" w:cs="Arial"/>
          <w:sz w:val="24"/>
          <w:szCs w:val="24"/>
        </w:rPr>
        <w:t>5</w:t>
      </w:r>
      <w:r w:rsidR="00BE0F80">
        <w:rPr>
          <w:rFonts w:ascii="Arial" w:hAnsi="Arial" w:cs="Arial"/>
          <w:sz w:val="24"/>
          <w:szCs w:val="24"/>
        </w:rPr>
        <w:t>.1</w:t>
      </w:r>
      <w:r w:rsidR="00BE0F80">
        <w:rPr>
          <w:rFonts w:ascii="Arial" w:hAnsi="Arial" w:cs="Arial"/>
          <w:sz w:val="24"/>
          <w:szCs w:val="24"/>
        </w:rPr>
        <w:tab/>
        <w:t xml:space="preserve">The </w:t>
      </w:r>
      <w:r w:rsidR="00C27109">
        <w:rPr>
          <w:rFonts w:ascii="Arial" w:hAnsi="Arial" w:cs="Arial"/>
          <w:sz w:val="24"/>
          <w:szCs w:val="24"/>
        </w:rPr>
        <w:t>O</w:t>
      </w:r>
      <w:r w:rsidR="00BE0F80">
        <w:rPr>
          <w:rFonts w:ascii="Arial" w:hAnsi="Arial" w:cs="Arial"/>
          <w:sz w:val="24"/>
          <w:szCs w:val="24"/>
        </w:rPr>
        <w:t>PFCC measured and managed its exposur</w:t>
      </w:r>
      <w:r>
        <w:rPr>
          <w:rFonts w:ascii="Arial" w:hAnsi="Arial" w:cs="Arial"/>
          <w:sz w:val="24"/>
          <w:szCs w:val="24"/>
        </w:rPr>
        <w:t xml:space="preserve">e to treasury management risks </w:t>
      </w:r>
      <w:r w:rsidR="00BE0F80">
        <w:rPr>
          <w:rFonts w:ascii="Arial" w:hAnsi="Arial" w:cs="Arial"/>
          <w:sz w:val="24"/>
          <w:szCs w:val="24"/>
        </w:rPr>
        <w:t xml:space="preserve">during </w:t>
      </w:r>
      <w:r>
        <w:rPr>
          <w:rFonts w:ascii="Arial" w:hAnsi="Arial" w:cs="Arial"/>
          <w:sz w:val="24"/>
          <w:szCs w:val="24"/>
        </w:rPr>
        <w:tab/>
        <w:t>2018/19</w:t>
      </w:r>
      <w:r w:rsidR="00BE0F80">
        <w:rPr>
          <w:rFonts w:ascii="Arial" w:hAnsi="Arial" w:cs="Arial"/>
          <w:sz w:val="24"/>
          <w:szCs w:val="24"/>
        </w:rPr>
        <w:t xml:space="preserve"> using the following indicators.</w:t>
      </w:r>
    </w:p>
    <w:p w:rsidR="00BE0F80" w:rsidRDefault="00BE0F80" w:rsidP="00BE0F80">
      <w:pPr>
        <w:pStyle w:val="NoSpacing"/>
        <w:rPr>
          <w:rFonts w:ascii="Arial" w:hAnsi="Arial" w:cs="Arial"/>
          <w:sz w:val="24"/>
          <w:szCs w:val="24"/>
        </w:rPr>
      </w:pPr>
    </w:p>
    <w:p w:rsidR="00BE0F80" w:rsidRDefault="00C718A8" w:rsidP="00BE0F80">
      <w:pPr>
        <w:pStyle w:val="NoSpacing"/>
        <w:rPr>
          <w:rFonts w:ascii="Arial" w:hAnsi="Arial" w:cs="Arial"/>
          <w:sz w:val="24"/>
          <w:szCs w:val="24"/>
        </w:rPr>
      </w:pPr>
      <w:r>
        <w:rPr>
          <w:rFonts w:ascii="Arial" w:hAnsi="Arial" w:cs="Arial"/>
          <w:sz w:val="24"/>
          <w:szCs w:val="24"/>
        </w:rPr>
        <w:t>5</w:t>
      </w:r>
      <w:r w:rsidR="00BE0F80">
        <w:rPr>
          <w:rFonts w:ascii="Arial" w:hAnsi="Arial" w:cs="Arial"/>
          <w:sz w:val="24"/>
          <w:szCs w:val="24"/>
        </w:rPr>
        <w:t>.2</w:t>
      </w:r>
      <w:r w:rsidR="00BE0F80">
        <w:rPr>
          <w:rFonts w:ascii="Arial" w:hAnsi="Arial" w:cs="Arial"/>
          <w:sz w:val="24"/>
          <w:szCs w:val="24"/>
        </w:rPr>
        <w:tab/>
      </w:r>
      <w:r w:rsidR="00BE0F80" w:rsidRPr="003C62C5">
        <w:rPr>
          <w:rFonts w:ascii="Arial" w:hAnsi="Arial" w:cs="Arial"/>
          <w:b/>
          <w:sz w:val="24"/>
          <w:szCs w:val="24"/>
        </w:rPr>
        <w:t>Interest rate exposure:</w:t>
      </w:r>
      <w:r w:rsidR="00BE0F80">
        <w:rPr>
          <w:rFonts w:ascii="Arial" w:hAnsi="Arial" w:cs="Arial"/>
          <w:sz w:val="24"/>
          <w:szCs w:val="24"/>
        </w:rPr>
        <w:t xml:space="preserve"> The </w:t>
      </w:r>
      <w:r w:rsidR="00C27109">
        <w:rPr>
          <w:rFonts w:ascii="Arial" w:hAnsi="Arial" w:cs="Arial"/>
          <w:sz w:val="24"/>
          <w:szCs w:val="24"/>
        </w:rPr>
        <w:t>O</w:t>
      </w:r>
      <w:r w:rsidR="00BE0F80">
        <w:rPr>
          <w:rFonts w:ascii="Arial" w:hAnsi="Arial" w:cs="Arial"/>
          <w:sz w:val="24"/>
          <w:szCs w:val="24"/>
        </w:rPr>
        <w:t xml:space="preserve">PFCC has adopted a voluntary measure of its </w:t>
      </w:r>
      <w:r w:rsidR="00BE0F80">
        <w:rPr>
          <w:rFonts w:ascii="Arial" w:hAnsi="Arial" w:cs="Arial"/>
          <w:sz w:val="24"/>
          <w:szCs w:val="24"/>
        </w:rPr>
        <w:tab/>
        <w:t xml:space="preserve">exposure to interest rate risk for </w:t>
      </w:r>
      <w:r>
        <w:rPr>
          <w:rFonts w:ascii="Arial" w:hAnsi="Arial" w:cs="Arial"/>
          <w:sz w:val="24"/>
          <w:szCs w:val="24"/>
        </w:rPr>
        <w:t xml:space="preserve">both </w:t>
      </w:r>
      <w:r w:rsidR="00BE0F80">
        <w:rPr>
          <w:rFonts w:ascii="Arial" w:hAnsi="Arial" w:cs="Arial"/>
          <w:sz w:val="24"/>
          <w:szCs w:val="24"/>
        </w:rPr>
        <w:t>borrowing</w:t>
      </w:r>
      <w:r>
        <w:rPr>
          <w:rFonts w:ascii="Arial" w:hAnsi="Arial" w:cs="Arial"/>
          <w:sz w:val="24"/>
          <w:szCs w:val="24"/>
        </w:rPr>
        <w:t xml:space="preserve"> and investments</w:t>
      </w:r>
      <w:r w:rsidR="00BE0F80">
        <w:rPr>
          <w:rFonts w:ascii="Arial" w:hAnsi="Arial" w:cs="Arial"/>
          <w:sz w:val="24"/>
          <w:szCs w:val="24"/>
        </w:rPr>
        <w:t xml:space="preserve">. The upper limits on </w:t>
      </w:r>
      <w:r>
        <w:rPr>
          <w:rFonts w:ascii="Arial" w:hAnsi="Arial" w:cs="Arial"/>
          <w:sz w:val="24"/>
          <w:szCs w:val="24"/>
        </w:rPr>
        <w:tab/>
        <w:t xml:space="preserve">fixed and variable </w:t>
      </w:r>
      <w:r w:rsidR="00BE0F80">
        <w:rPr>
          <w:rFonts w:ascii="Arial" w:hAnsi="Arial" w:cs="Arial"/>
          <w:sz w:val="24"/>
          <w:szCs w:val="24"/>
        </w:rPr>
        <w:t xml:space="preserve">rate interest rate exposure, expressed as the </w:t>
      </w:r>
      <w:r>
        <w:rPr>
          <w:rFonts w:ascii="Arial" w:hAnsi="Arial" w:cs="Arial"/>
          <w:sz w:val="24"/>
          <w:szCs w:val="24"/>
        </w:rPr>
        <w:t>%</w:t>
      </w:r>
      <w:r w:rsidR="00BE0F80">
        <w:rPr>
          <w:rFonts w:ascii="Arial" w:hAnsi="Arial" w:cs="Arial"/>
          <w:sz w:val="24"/>
          <w:szCs w:val="24"/>
        </w:rPr>
        <w:t xml:space="preserve"> of </w:t>
      </w:r>
      <w:r>
        <w:rPr>
          <w:rFonts w:ascii="Arial" w:hAnsi="Arial" w:cs="Arial"/>
          <w:sz w:val="24"/>
          <w:szCs w:val="24"/>
        </w:rPr>
        <w:t xml:space="preserve">either </w:t>
      </w:r>
      <w:r w:rsidR="00BE0F80">
        <w:rPr>
          <w:rFonts w:ascii="Arial" w:hAnsi="Arial" w:cs="Arial"/>
          <w:sz w:val="24"/>
          <w:szCs w:val="24"/>
        </w:rPr>
        <w:t xml:space="preserve">net principal </w:t>
      </w:r>
      <w:r>
        <w:rPr>
          <w:rFonts w:ascii="Arial" w:hAnsi="Arial" w:cs="Arial"/>
          <w:sz w:val="24"/>
          <w:szCs w:val="24"/>
        </w:rPr>
        <w:tab/>
        <w:t>borrowed or net investments, are shown in table 7</w:t>
      </w:r>
      <w:r w:rsidR="00BE0F80">
        <w:rPr>
          <w:rFonts w:ascii="Arial" w:hAnsi="Arial" w:cs="Arial"/>
          <w:sz w:val="24"/>
          <w:szCs w:val="24"/>
        </w:rPr>
        <w:t xml:space="preserve"> below.</w:t>
      </w:r>
      <w:r w:rsidR="00BE0F80">
        <w:rPr>
          <w:rFonts w:ascii="Arial" w:hAnsi="Arial" w:cs="Arial"/>
          <w:sz w:val="24"/>
          <w:szCs w:val="24"/>
        </w:rPr>
        <w:br/>
      </w:r>
      <w:r w:rsidR="00BE0F80">
        <w:rPr>
          <w:rFonts w:ascii="Arial" w:hAnsi="Arial" w:cs="Arial"/>
          <w:sz w:val="24"/>
          <w:szCs w:val="24"/>
        </w:rPr>
        <w:tab/>
      </w:r>
    </w:p>
    <w:p w:rsidR="00BE0F80" w:rsidRPr="00AF5215" w:rsidRDefault="00BE0F80" w:rsidP="00BE0F80">
      <w:pPr>
        <w:pStyle w:val="NoSpacing"/>
        <w:rPr>
          <w:rFonts w:ascii="Arial" w:hAnsi="Arial" w:cs="Arial"/>
          <w:sz w:val="24"/>
          <w:szCs w:val="24"/>
          <w:u w:val="single"/>
        </w:rPr>
      </w:pPr>
      <w:r>
        <w:rPr>
          <w:rFonts w:ascii="Arial" w:hAnsi="Arial" w:cs="Arial"/>
          <w:sz w:val="24"/>
          <w:szCs w:val="24"/>
        </w:rPr>
        <w:tab/>
      </w:r>
      <w:r w:rsidR="00C718A8">
        <w:rPr>
          <w:rFonts w:ascii="Arial" w:hAnsi="Arial" w:cs="Arial"/>
          <w:sz w:val="24"/>
          <w:szCs w:val="24"/>
          <w:u w:val="single"/>
        </w:rPr>
        <w:t>Table 7</w:t>
      </w:r>
      <w:r w:rsidRPr="00AF5215">
        <w:rPr>
          <w:rFonts w:ascii="Arial" w:hAnsi="Arial" w:cs="Arial"/>
          <w:sz w:val="24"/>
          <w:szCs w:val="24"/>
          <w:u w:val="single"/>
        </w:rPr>
        <w:t>: Interest rate exposure</w:t>
      </w:r>
      <w:r w:rsidRPr="00AF5215">
        <w:rPr>
          <w:rFonts w:ascii="Arial" w:hAnsi="Arial" w:cs="Arial"/>
          <w:sz w:val="24"/>
          <w:szCs w:val="24"/>
          <w:u w:val="single"/>
        </w:rPr>
        <w:br/>
      </w:r>
    </w:p>
    <w:tbl>
      <w:tblPr>
        <w:tblStyle w:val="TableGrid1"/>
        <w:tblW w:w="0" w:type="auto"/>
        <w:tblInd w:w="720" w:type="dxa"/>
        <w:tblLook w:val="04A0" w:firstRow="1" w:lastRow="0" w:firstColumn="1" w:lastColumn="0" w:noHBand="0" w:noVBand="1"/>
      </w:tblPr>
      <w:tblGrid>
        <w:gridCol w:w="2260"/>
        <w:gridCol w:w="1390"/>
        <w:gridCol w:w="1323"/>
        <w:gridCol w:w="1617"/>
        <w:gridCol w:w="1428"/>
        <w:gridCol w:w="1456"/>
      </w:tblGrid>
      <w:tr w:rsidR="00C718A8" w:rsidRPr="00AF5215" w:rsidTr="00C718A8">
        <w:tc>
          <w:tcPr>
            <w:tcW w:w="2955" w:type="dxa"/>
          </w:tcPr>
          <w:p w:rsidR="00C718A8" w:rsidRPr="00C718A8" w:rsidRDefault="00C718A8" w:rsidP="00BE0F80">
            <w:pPr>
              <w:rPr>
                <w:rFonts w:cs="Arial"/>
                <w:sz w:val="24"/>
              </w:rPr>
            </w:pPr>
          </w:p>
        </w:tc>
        <w:tc>
          <w:tcPr>
            <w:tcW w:w="1062" w:type="dxa"/>
          </w:tcPr>
          <w:p w:rsidR="00C718A8" w:rsidRPr="00C718A8" w:rsidRDefault="00C718A8" w:rsidP="00A61F3D">
            <w:pPr>
              <w:spacing w:line="240" w:lineRule="auto"/>
              <w:jc w:val="center"/>
              <w:rPr>
                <w:rFonts w:cs="Arial"/>
                <w:b/>
                <w:sz w:val="24"/>
              </w:rPr>
            </w:pPr>
            <w:r w:rsidRPr="00C718A8">
              <w:rPr>
                <w:rFonts w:cs="Arial"/>
                <w:b/>
                <w:sz w:val="24"/>
              </w:rPr>
              <w:t>2018/19 Maximum borrowing</w:t>
            </w:r>
          </w:p>
        </w:tc>
        <w:tc>
          <w:tcPr>
            <w:tcW w:w="1062" w:type="dxa"/>
          </w:tcPr>
          <w:p w:rsidR="00C718A8" w:rsidRPr="00C718A8" w:rsidRDefault="00C718A8" w:rsidP="00A61F3D">
            <w:pPr>
              <w:spacing w:line="240" w:lineRule="auto"/>
              <w:jc w:val="center"/>
              <w:rPr>
                <w:rFonts w:cs="Arial"/>
                <w:b/>
                <w:sz w:val="24"/>
              </w:rPr>
            </w:pPr>
            <w:r w:rsidRPr="00C718A8">
              <w:rPr>
                <w:rFonts w:cs="Arial"/>
                <w:b/>
                <w:sz w:val="24"/>
              </w:rPr>
              <w:t>2018/19 Maximum limit</w:t>
            </w:r>
          </w:p>
        </w:tc>
        <w:tc>
          <w:tcPr>
            <w:tcW w:w="1524" w:type="dxa"/>
          </w:tcPr>
          <w:p w:rsidR="00C718A8" w:rsidRPr="00C718A8" w:rsidRDefault="00C718A8" w:rsidP="00A61F3D">
            <w:pPr>
              <w:spacing w:line="240" w:lineRule="auto"/>
              <w:jc w:val="center"/>
              <w:rPr>
                <w:rFonts w:cs="Arial"/>
                <w:b/>
                <w:sz w:val="24"/>
              </w:rPr>
            </w:pPr>
            <w:r>
              <w:rPr>
                <w:rFonts w:cs="Arial"/>
                <w:b/>
                <w:sz w:val="24"/>
              </w:rPr>
              <w:t>2018/19</w:t>
            </w:r>
            <w:r w:rsidRPr="00C718A8">
              <w:rPr>
                <w:rFonts w:cs="Arial"/>
                <w:b/>
                <w:sz w:val="24"/>
              </w:rPr>
              <w:t xml:space="preserve"> </w:t>
            </w:r>
          </w:p>
          <w:p w:rsidR="00C718A8" w:rsidRPr="00C718A8" w:rsidRDefault="00C718A8" w:rsidP="00A61F3D">
            <w:pPr>
              <w:spacing w:line="240" w:lineRule="auto"/>
              <w:jc w:val="center"/>
              <w:rPr>
                <w:rFonts w:cs="Arial"/>
                <w:b/>
                <w:sz w:val="24"/>
              </w:rPr>
            </w:pPr>
            <w:r w:rsidRPr="00C718A8">
              <w:rPr>
                <w:rFonts w:cs="Arial"/>
                <w:b/>
                <w:sz w:val="24"/>
              </w:rPr>
              <w:t xml:space="preserve">Maximum </w:t>
            </w:r>
            <w:r>
              <w:rPr>
                <w:rFonts w:cs="Arial"/>
                <w:b/>
                <w:sz w:val="24"/>
              </w:rPr>
              <w:t>investments</w:t>
            </w:r>
          </w:p>
        </w:tc>
        <w:tc>
          <w:tcPr>
            <w:tcW w:w="1498" w:type="dxa"/>
          </w:tcPr>
          <w:p w:rsidR="00C718A8" w:rsidRPr="00C718A8" w:rsidRDefault="00C718A8" w:rsidP="00A61F3D">
            <w:pPr>
              <w:spacing w:line="240" w:lineRule="auto"/>
              <w:jc w:val="center"/>
              <w:rPr>
                <w:rFonts w:cs="Arial"/>
                <w:b/>
                <w:sz w:val="24"/>
              </w:rPr>
            </w:pPr>
            <w:r w:rsidRPr="00C718A8">
              <w:rPr>
                <w:rFonts w:cs="Arial"/>
                <w:b/>
                <w:sz w:val="24"/>
              </w:rPr>
              <w:t>2</w:t>
            </w:r>
            <w:r>
              <w:rPr>
                <w:rFonts w:cs="Arial"/>
                <w:b/>
                <w:sz w:val="24"/>
              </w:rPr>
              <w:t>018/19</w:t>
            </w:r>
            <w:r w:rsidRPr="00C718A8">
              <w:rPr>
                <w:rFonts w:cs="Arial"/>
                <w:b/>
                <w:sz w:val="24"/>
              </w:rPr>
              <w:t xml:space="preserve"> </w:t>
            </w:r>
          </w:p>
          <w:p w:rsidR="00C718A8" w:rsidRPr="00C718A8" w:rsidRDefault="00C718A8" w:rsidP="00A61F3D">
            <w:pPr>
              <w:spacing w:line="240" w:lineRule="auto"/>
              <w:jc w:val="center"/>
              <w:rPr>
                <w:rFonts w:cs="Arial"/>
                <w:b/>
                <w:sz w:val="24"/>
              </w:rPr>
            </w:pPr>
            <w:r w:rsidRPr="00C718A8">
              <w:rPr>
                <w:rFonts w:cs="Arial"/>
                <w:b/>
                <w:sz w:val="24"/>
              </w:rPr>
              <w:t>Maximum</w:t>
            </w:r>
          </w:p>
          <w:p w:rsidR="00C718A8" w:rsidRPr="00C718A8" w:rsidRDefault="00C718A8" w:rsidP="00A61F3D">
            <w:pPr>
              <w:spacing w:line="240" w:lineRule="auto"/>
              <w:jc w:val="center"/>
              <w:rPr>
                <w:rFonts w:cs="Arial"/>
                <w:b/>
                <w:sz w:val="24"/>
              </w:rPr>
            </w:pPr>
            <w:r w:rsidRPr="00C718A8">
              <w:rPr>
                <w:rFonts w:cs="Arial"/>
                <w:b/>
                <w:sz w:val="24"/>
              </w:rPr>
              <w:t>limit</w:t>
            </w:r>
          </w:p>
          <w:p w:rsidR="00C718A8" w:rsidRPr="00C718A8" w:rsidRDefault="00C718A8" w:rsidP="00A61F3D">
            <w:pPr>
              <w:spacing w:line="240" w:lineRule="auto"/>
              <w:rPr>
                <w:rFonts w:cs="Arial"/>
                <w:b/>
                <w:sz w:val="24"/>
              </w:rPr>
            </w:pPr>
          </w:p>
        </w:tc>
        <w:tc>
          <w:tcPr>
            <w:tcW w:w="1373" w:type="dxa"/>
          </w:tcPr>
          <w:p w:rsidR="00C718A8" w:rsidRPr="00C718A8" w:rsidRDefault="00C718A8" w:rsidP="00A61F3D">
            <w:pPr>
              <w:spacing w:line="240" w:lineRule="auto"/>
              <w:jc w:val="center"/>
              <w:rPr>
                <w:rFonts w:cs="Arial"/>
                <w:b/>
                <w:sz w:val="24"/>
              </w:rPr>
            </w:pPr>
            <w:r w:rsidRPr="00C718A8">
              <w:rPr>
                <w:rFonts w:cs="Arial"/>
                <w:b/>
                <w:sz w:val="24"/>
              </w:rPr>
              <w:t>Complied</w:t>
            </w:r>
            <w:r w:rsidR="00CA25DE">
              <w:rPr>
                <w:rFonts w:cs="Arial"/>
                <w:b/>
                <w:sz w:val="24"/>
              </w:rPr>
              <w:t>?</w:t>
            </w:r>
          </w:p>
        </w:tc>
      </w:tr>
      <w:tr w:rsidR="00C718A8" w:rsidRPr="00AF5215" w:rsidTr="00C718A8">
        <w:tc>
          <w:tcPr>
            <w:tcW w:w="2955" w:type="dxa"/>
          </w:tcPr>
          <w:p w:rsidR="00C718A8" w:rsidRPr="00C718A8" w:rsidRDefault="00C718A8" w:rsidP="00512273">
            <w:pPr>
              <w:spacing w:line="240" w:lineRule="auto"/>
              <w:jc w:val="left"/>
              <w:rPr>
                <w:rFonts w:cs="Arial"/>
                <w:sz w:val="24"/>
              </w:rPr>
            </w:pPr>
            <w:r w:rsidRPr="00C718A8">
              <w:rPr>
                <w:rFonts w:cs="Arial"/>
                <w:sz w:val="24"/>
              </w:rPr>
              <w:t>Upper limit on fixed interest rate exposure</w:t>
            </w:r>
          </w:p>
        </w:tc>
        <w:tc>
          <w:tcPr>
            <w:tcW w:w="1062" w:type="dxa"/>
          </w:tcPr>
          <w:p w:rsidR="00C718A8" w:rsidRPr="00C718A8" w:rsidRDefault="00C718A8" w:rsidP="00BE0F80">
            <w:pPr>
              <w:jc w:val="center"/>
              <w:rPr>
                <w:rFonts w:cs="Arial"/>
                <w:sz w:val="24"/>
              </w:rPr>
            </w:pPr>
            <w:r>
              <w:rPr>
                <w:rFonts w:cs="Arial"/>
                <w:sz w:val="24"/>
              </w:rPr>
              <w:t>100%</w:t>
            </w:r>
          </w:p>
        </w:tc>
        <w:tc>
          <w:tcPr>
            <w:tcW w:w="1062" w:type="dxa"/>
          </w:tcPr>
          <w:p w:rsidR="00C718A8" w:rsidRPr="00C718A8" w:rsidRDefault="00C718A8" w:rsidP="00BE0F80">
            <w:pPr>
              <w:jc w:val="center"/>
              <w:rPr>
                <w:rFonts w:cs="Arial"/>
                <w:sz w:val="24"/>
              </w:rPr>
            </w:pPr>
            <w:r>
              <w:rPr>
                <w:rFonts w:cs="Arial"/>
                <w:sz w:val="24"/>
              </w:rPr>
              <w:t>100%</w:t>
            </w:r>
          </w:p>
        </w:tc>
        <w:tc>
          <w:tcPr>
            <w:tcW w:w="1524" w:type="dxa"/>
          </w:tcPr>
          <w:p w:rsidR="00C718A8" w:rsidRPr="00C718A8" w:rsidRDefault="00C718A8" w:rsidP="00BE0F80">
            <w:pPr>
              <w:jc w:val="center"/>
              <w:rPr>
                <w:rFonts w:cs="Arial"/>
                <w:sz w:val="24"/>
              </w:rPr>
            </w:pPr>
            <w:r>
              <w:rPr>
                <w:rFonts w:cs="Arial"/>
                <w:sz w:val="24"/>
              </w:rPr>
              <w:t>82%</w:t>
            </w:r>
          </w:p>
        </w:tc>
        <w:tc>
          <w:tcPr>
            <w:tcW w:w="1498" w:type="dxa"/>
          </w:tcPr>
          <w:p w:rsidR="00C718A8" w:rsidRPr="00C718A8" w:rsidRDefault="00C718A8" w:rsidP="00BE0F80">
            <w:pPr>
              <w:jc w:val="center"/>
              <w:rPr>
                <w:rFonts w:cs="Arial"/>
                <w:sz w:val="24"/>
              </w:rPr>
            </w:pPr>
            <w:r>
              <w:rPr>
                <w:rFonts w:cs="Arial"/>
                <w:sz w:val="24"/>
              </w:rPr>
              <w:t>100%</w:t>
            </w:r>
          </w:p>
        </w:tc>
        <w:tc>
          <w:tcPr>
            <w:tcW w:w="1373" w:type="dxa"/>
          </w:tcPr>
          <w:p w:rsidR="00C718A8" w:rsidRPr="00CA25DE" w:rsidRDefault="00CA25DE" w:rsidP="00CA25DE">
            <w:pPr>
              <w:jc w:val="center"/>
              <w:rPr>
                <w:rFonts w:cs="Arial"/>
                <w:sz w:val="24"/>
              </w:rPr>
            </w:pPr>
            <w:r w:rsidRPr="00CA25DE">
              <w:rPr>
                <w:rFonts w:cs="Arial"/>
                <w:bCs/>
                <w:sz w:val="24"/>
              </w:rPr>
              <w:t>Yes</w:t>
            </w:r>
          </w:p>
        </w:tc>
      </w:tr>
      <w:tr w:rsidR="00C718A8" w:rsidRPr="00AF5215" w:rsidTr="00C718A8">
        <w:tc>
          <w:tcPr>
            <w:tcW w:w="2955" w:type="dxa"/>
          </w:tcPr>
          <w:p w:rsidR="00C718A8" w:rsidRPr="00512273" w:rsidRDefault="00C718A8" w:rsidP="00512273">
            <w:pPr>
              <w:spacing w:line="240" w:lineRule="auto"/>
              <w:jc w:val="left"/>
              <w:rPr>
                <w:rFonts w:cs="Arial"/>
                <w:sz w:val="24"/>
              </w:rPr>
            </w:pPr>
            <w:r w:rsidRPr="00512273">
              <w:rPr>
                <w:rFonts w:cs="Arial"/>
                <w:sz w:val="24"/>
              </w:rPr>
              <w:t>Upper limit on variable interest rate exposure</w:t>
            </w:r>
          </w:p>
        </w:tc>
        <w:tc>
          <w:tcPr>
            <w:tcW w:w="1062" w:type="dxa"/>
          </w:tcPr>
          <w:p w:rsidR="00C718A8" w:rsidRPr="00512273" w:rsidRDefault="00512273" w:rsidP="00BE0F80">
            <w:pPr>
              <w:jc w:val="center"/>
              <w:rPr>
                <w:rFonts w:cs="Arial"/>
                <w:sz w:val="24"/>
              </w:rPr>
            </w:pPr>
            <w:r>
              <w:rPr>
                <w:rFonts w:cs="Arial"/>
                <w:sz w:val="24"/>
              </w:rPr>
              <w:t>0%</w:t>
            </w:r>
          </w:p>
        </w:tc>
        <w:tc>
          <w:tcPr>
            <w:tcW w:w="1062" w:type="dxa"/>
          </w:tcPr>
          <w:p w:rsidR="00C718A8" w:rsidRPr="00512273" w:rsidRDefault="00512273" w:rsidP="00BE0F80">
            <w:pPr>
              <w:jc w:val="center"/>
              <w:rPr>
                <w:rFonts w:cs="Arial"/>
                <w:sz w:val="24"/>
              </w:rPr>
            </w:pPr>
            <w:r>
              <w:rPr>
                <w:rFonts w:cs="Arial"/>
                <w:sz w:val="24"/>
              </w:rPr>
              <w:t>25%</w:t>
            </w:r>
          </w:p>
          <w:p w:rsidR="00512273" w:rsidRPr="00512273" w:rsidRDefault="00512273" w:rsidP="00BE0F80">
            <w:pPr>
              <w:jc w:val="center"/>
              <w:rPr>
                <w:rFonts w:cs="Arial"/>
                <w:sz w:val="24"/>
              </w:rPr>
            </w:pPr>
          </w:p>
        </w:tc>
        <w:tc>
          <w:tcPr>
            <w:tcW w:w="1524" w:type="dxa"/>
          </w:tcPr>
          <w:p w:rsidR="00C718A8" w:rsidRPr="00512273" w:rsidRDefault="00512273" w:rsidP="00BE0F80">
            <w:pPr>
              <w:jc w:val="center"/>
              <w:rPr>
                <w:rFonts w:cs="Arial"/>
                <w:sz w:val="24"/>
              </w:rPr>
            </w:pPr>
            <w:r>
              <w:rPr>
                <w:rFonts w:cs="Arial"/>
                <w:sz w:val="24"/>
              </w:rPr>
              <w:t>100%</w:t>
            </w:r>
          </w:p>
        </w:tc>
        <w:tc>
          <w:tcPr>
            <w:tcW w:w="1498" w:type="dxa"/>
          </w:tcPr>
          <w:p w:rsidR="00C718A8" w:rsidRPr="00512273" w:rsidRDefault="00512273" w:rsidP="00BE0F80">
            <w:pPr>
              <w:jc w:val="center"/>
              <w:rPr>
                <w:rFonts w:cs="Arial"/>
                <w:sz w:val="24"/>
              </w:rPr>
            </w:pPr>
            <w:r>
              <w:rPr>
                <w:rFonts w:cs="Arial"/>
                <w:sz w:val="24"/>
              </w:rPr>
              <w:t>50%</w:t>
            </w:r>
          </w:p>
        </w:tc>
        <w:tc>
          <w:tcPr>
            <w:tcW w:w="1373" w:type="dxa"/>
          </w:tcPr>
          <w:p w:rsidR="00C718A8" w:rsidRPr="00CA25DE" w:rsidRDefault="00CA25DE" w:rsidP="00CA25DE">
            <w:pPr>
              <w:pStyle w:val="NoSpacing"/>
              <w:jc w:val="center"/>
              <w:rPr>
                <w:rFonts w:ascii="Arial" w:hAnsi="Arial" w:cs="Arial"/>
                <w:sz w:val="24"/>
                <w:szCs w:val="24"/>
              </w:rPr>
            </w:pPr>
            <w:r w:rsidRPr="00CA25DE">
              <w:rPr>
                <w:rFonts w:ascii="Arial" w:hAnsi="Arial" w:cs="Arial"/>
                <w:bCs/>
                <w:sz w:val="24"/>
                <w:szCs w:val="24"/>
                <w:lang w:eastAsia="en-GB"/>
              </w:rPr>
              <w:t>No</w:t>
            </w:r>
          </w:p>
        </w:tc>
      </w:tr>
    </w:tbl>
    <w:p w:rsidR="00BE0F80" w:rsidRDefault="00BE0F80" w:rsidP="00BE0F80">
      <w:pPr>
        <w:pStyle w:val="NoSpacing"/>
        <w:rPr>
          <w:rFonts w:ascii="Arial" w:hAnsi="Arial" w:cs="Arial"/>
          <w:sz w:val="24"/>
          <w:szCs w:val="24"/>
        </w:rPr>
      </w:pPr>
    </w:p>
    <w:p w:rsidR="00512273" w:rsidRDefault="00512273" w:rsidP="00BE0F80">
      <w:pPr>
        <w:pStyle w:val="NoSpacing"/>
        <w:rPr>
          <w:rFonts w:ascii="Arial" w:hAnsi="Arial" w:cs="Arial"/>
          <w:sz w:val="24"/>
          <w:szCs w:val="24"/>
        </w:rPr>
      </w:pPr>
      <w:r>
        <w:rPr>
          <w:rFonts w:ascii="Arial" w:hAnsi="Arial" w:cs="Arial"/>
          <w:sz w:val="24"/>
          <w:szCs w:val="24"/>
        </w:rPr>
        <w:t>5.3</w:t>
      </w:r>
      <w:r>
        <w:rPr>
          <w:rFonts w:ascii="Arial" w:hAnsi="Arial" w:cs="Arial"/>
          <w:sz w:val="24"/>
          <w:szCs w:val="24"/>
        </w:rPr>
        <w:tab/>
        <w:t>The interest rate exposure indicator</w:t>
      </w:r>
      <w:r w:rsidR="00A61F3D">
        <w:rPr>
          <w:rFonts w:ascii="Arial" w:hAnsi="Arial" w:cs="Arial"/>
          <w:sz w:val="24"/>
          <w:szCs w:val="24"/>
        </w:rPr>
        <w:t xml:space="preserve"> used</w:t>
      </w:r>
      <w:r>
        <w:rPr>
          <w:rFonts w:ascii="Arial" w:hAnsi="Arial" w:cs="Arial"/>
          <w:sz w:val="24"/>
          <w:szCs w:val="24"/>
        </w:rPr>
        <w:t xml:space="preserve"> for investments </w:t>
      </w:r>
      <w:r w:rsidR="00A61F3D">
        <w:rPr>
          <w:rFonts w:ascii="Arial" w:hAnsi="Arial" w:cs="Arial"/>
          <w:sz w:val="24"/>
          <w:szCs w:val="24"/>
        </w:rPr>
        <w:t xml:space="preserve">in the 2018/19 strategy </w:t>
      </w:r>
      <w:r>
        <w:rPr>
          <w:rFonts w:ascii="Arial" w:hAnsi="Arial" w:cs="Arial"/>
          <w:sz w:val="24"/>
          <w:szCs w:val="24"/>
        </w:rPr>
        <w:t xml:space="preserve">did not </w:t>
      </w:r>
      <w:r w:rsidR="00A61F3D">
        <w:rPr>
          <w:rFonts w:ascii="Arial" w:hAnsi="Arial" w:cs="Arial"/>
          <w:sz w:val="24"/>
          <w:szCs w:val="24"/>
        </w:rPr>
        <w:tab/>
      </w:r>
      <w:r>
        <w:rPr>
          <w:rFonts w:ascii="Arial" w:hAnsi="Arial" w:cs="Arial"/>
          <w:sz w:val="24"/>
          <w:szCs w:val="24"/>
        </w:rPr>
        <w:t>take into account the low cash balances typically held during May-June. During this time</w:t>
      </w:r>
      <w:r w:rsidR="00A61F3D">
        <w:rPr>
          <w:rFonts w:ascii="Arial" w:hAnsi="Arial" w:cs="Arial"/>
          <w:sz w:val="24"/>
          <w:szCs w:val="24"/>
        </w:rPr>
        <w:tab/>
      </w:r>
      <w:r w:rsidR="00A61F3D">
        <w:rPr>
          <w:rFonts w:ascii="Arial" w:hAnsi="Arial" w:cs="Arial"/>
          <w:sz w:val="24"/>
          <w:szCs w:val="24"/>
        </w:rPr>
        <w:tab/>
      </w:r>
      <w:r>
        <w:rPr>
          <w:rFonts w:ascii="Arial" w:hAnsi="Arial" w:cs="Arial"/>
          <w:sz w:val="24"/>
          <w:szCs w:val="24"/>
        </w:rPr>
        <w:t xml:space="preserve">the OPFCC only had call account investments, all at variable rate debt. This indicator </w:t>
      </w:r>
      <w:r w:rsidR="00A61F3D">
        <w:rPr>
          <w:rFonts w:ascii="Arial" w:hAnsi="Arial" w:cs="Arial"/>
          <w:sz w:val="24"/>
          <w:szCs w:val="24"/>
        </w:rPr>
        <w:tab/>
      </w:r>
      <w:r>
        <w:rPr>
          <w:rFonts w:ascii="Arial" w:hAnsi="Arial" w:cs="Arial"/>
          <w:sz w:val="24"/>
          <w:szCs w:val="24"/>
        </w:rPr>
        <w:t xml:space="preserve">has been reset </w:t>
      </w:r>
      <w:r w:rsidR="00C27109">
        <w:rPr>
          <w:rFonts w:ascii="Arial" w:hAnsi="Arial" w:cs="Arial"/>
          <w:sz w:val="24"/>
          <w:szCs w:val="24"/>
        </w:rPr>
        <w:t xml:space="preserve">to a more realistic figure </w:t>
      </w:r>
      <w:r>
        <w:rPr>
          <w:rFonts w:ascii="Arial" w:hAnsi="Arial" w:cs="Arial"/>
          <w:sz w:val="24"/>
          <w:szCs w:val="24"/>
        </w:rPr>
        <w:t>for the 2019/20 Treasury Management Strategy.</w:t>
      </w:r>
    </w:p>
    <w:p w:rsidR="00A61F3D" w:rsidRDefault="00A61F3D" w:rsidP="00BE0F80">
      <w:pPr>
        <w:pStyle w:val="NoSpacing"/>
        <w:rPr>
          <w:rFonts w:ascii="Arial" w:hAnsi="Arial" w:cs="Arial"/>
          <w:sz w:val="24"/>
          <w:szCs w:val="24"/>
        </w:rPr>
      </w:pPr>
    </w:p>
    <w:p w:rsidR="00E00202" w:rsidRDefault="00512273" w:rsidP="00BE0F80">
      <w:pPr>
        <w:pStyle w:val="NoSpacing"/>
        <w:rPr>
          <w:rFonts w:ascii="Arial" w:hAnsi="Arial" w:cs="Arial"/>
          <w:sz w:val="24"/>
          <w:szCs w:val="24"/>
        </w:rPr>
      </w:pPr>
      <w:r>
        <w:rPr>
          <w:rFonts w:ascii="Arial" w:hAnsi="Arial" w:cs="Arial"/>
          <w:sz w:val="24"/>
          <w:szCs w:val="24"/>
        </w:rPr>
        <w:t>5.4</w:t>
      </w:r>
      <w:r>
        <w:rPr>
          <w:rFonts w:ascii="Arial" w:hAnsi="Arial" w:cs="Arial"/>
          <w:sz w:val="24"/>
          <w:szCs w:val="24"/>
        </w:rPr>
        <w:tab/>
      </w:r>
      <w:r w:rsidRPr="00512273">
        <w:rPr>
          <w:rFonts w:ascii="Arial" w:hAnsi="Arial" w:cs="Arial"/>
          <w:b/>
          <w:sz w:val="24"/>
          <w:szCs w:val="24"/>
        </w:rPr>
        <w:t>Security:</w:t>
      </w:r>
      <w:r>
        <w:rPr>
          <w:rFonts w:ascii="Arial" w:hAnsi="Arial" w:cs="Arial"/>
          <w:sz w:val="24"/>
          <w:szCs w:val="24"/>
        </w:rPr>
        <w:t xml:space="preserve"> The OPFCC has adopted a voluntary measure of its exposure to credit risk by </w:t>
      </w:r>
      <w:r>
        <w:rPr>
          <w:rFonts w:ascii="Arial" w:hAnsi="Arial" w:cs="Arial"/>
          <w:sz w:val="24"/>
          <w:szCs w:val="24"/>
        </w:rPr>
        <w:tab/>
        <w:t xml:space="preserve">monitoring the </w:t>
      </w:r>
      <w:r w:rsidR="00A61F3D">
        <w:rPr>
          <w:rFonts w:ascii="Arial" w:hAnsi="Arial" w:cs="Arial"/>
          <w:sz w:val="24"/>
          <w:szCs w:val="24"/>
        </w:rPr>
        <w:t xml:space="preserve">average credit rating criteria for each of the counterparties it invests </w:t>
      </w:r>
      <w:r w:rsidR="00A61F3D">
        <w:rPr>
          <w:rFonts w:ascii="Arial" w:hAnsi="Arial" w:cs="Arial"/>
          <w:sz w:val="24"/>
          <w:szCs w:val="24"/>
        </w:rPr>
        <w:tab/>
        <w:t>money with</w:t>
      </w:r>
      <w:r>
        <w:rPr>
          <w:rFonts w:ascii="Arial" w:hAnsi="Arial" w:cs="Arial"/>
          <w:sz w:val="24"/>
          <w:szCs w:val="24"/>
        </w:rPr>
        <w:t>.</w:t>
      </w:r>
      <w:r w:rsidR="00A61F3D">
        <w:rPr>
          <w:rFonts w:ascii="Arial" w:hAnsi="Arial" w:cs="Arial"/>
          <w:sz w:val="24"/>
          <w:szCs w:val="24"/>
        </w:rPr>
        <w:t xml:space="preserve"> These credit ratings are provided by the three main credit agencies in the </w:t>
      </w:r>
      <w:r w:rsidR="00A61F3D">
        <w:rPr>
          <w:rFonts w:ascii="Arial" w:hAnsi="Arial" w:cs="Arial"/>
          <w:sz w:val="24"/>
          <w:szCs w:val="24"/>
        </w:rPr>
        <w:lastRenderedPageBreak/>
        <w:tab/>
        <w:t>UK (Standard &amp; Poors, Fitch and Moody’s)</w:t>
      </w:r>
      <w:r w:rsidR="00C27109">
        <w:rPr>
          <w:rFonts w:ascii="Arial" w:hAnsi="Arial" w:cs="Arial"/>
          <w:sz w:val="24"/>
          <w:szCs w:val="24"/>
        </w:rPr>
        <w:t xml:space="preserve"> and are used in addition to counterparty </w:t>
      </w:r>
      <w:r w:rsidR="00C27109">
        <w:rPr>
          <w:rFonts w:ascii="Arial" w:hAnsi="Arial" w:cs="Arial"/>
          <w:sz w:val="24"/>
          <w:szCs w:val="24"/>
        </w:rPr>
        <w:tab/>
        <w:t xml:space="preserve">information received from the </w:t>
      </w:r>
      <w:r w:rsidR="00A61F3D">
        <w:rPr>
          <w:rFonts w:ascii="Arial" w:hAnsi="Arial" w:cs="Arial"/>
          <w:sz w:val="24"/>
          <w:szCs w:val="24"/>
        </w:rPr>
        <w:t>OPFCC’s treasury management advisors Arlingclose.</w:t>
      </w:r>
      <w:r w:rsidR="00E00202">
        <w:rPr>
          <w:rFonts w:ascii="Arial" w:hAnsi="Arial" w:cs="Arial"/>
          <w:sz w:val="24"/>
          <w:szCs w:val="24"/>
        </w:rPr>
        <w:br/>
      </w:r>
    </w:p>
    <w:p w:rsidR="00CA25DE" w:rsidRDefault="00CA25DE" w:rsidP="00BE0F80">
      <w:pPr>
        <w:pStyle w:val="NoSpacing"/>
        <w:rPr>
          <w:rFonts w:ascii="Arial" w:hAnsi="Arial" w:cs="Arial"/>
          <w:sz w:val="24"/>
          <w:szCs w:val="24"/>
        </w:rPr>
      </w:pPr>
    </w:p>
    <w:p w:rsidR="00CA25DE" w:rsidRDefault="00CA25DE" w:rsidP="00BE0F80">
      <w:pPr>
        <w:pStyle w:val="NoSpacing"/>
        <w:rPr>
          <w:rFonts w:ascii="Arial" w:hAnsi="Arial" w:cs="Arial"/>
          <w:sz w:val="24"/>
          <w:szCs w:val="24"/>
        </w:rPr>
      </w:pPr>
    </w:p>
    <w:p w:rsidR="00CA25DE" w:rsidRDefault="00E00202" w:rsidP="00BE0F80">
      <w:pPr>
        <w:pStyle w:val="NoSpacing"/>
        <w:rPr>
          <w:rFonts w:ascii="Arial" w:hAnsi="Arial" w:cs="Arial"/>
          <w:sz w:val="24"/>
          <w:szCs w:val="24"/>
        </w:rPr>
      </w:pPr>
      <w:r>
        <w:rPr>
          <w:rFonts w:ascii="Arial" w:hAnsi="Arial" w:cs="Arial"/>
          <w:sz w:val="24"/>
          <w:szCs w:val="24"/>
        </w:rPr>
        <w:tab/>
      </w:r>
    </w:p>
    <w:p w:rsidR="00CA25DE" w:rsidRDefault="00CA25DE" w:rsidP="00BE0F80">
      <w:pPr>
        <w:pStyle w:val="NoSpacing"/>
        <w:rPr>
          <w:rFonts w:ascii="Arial" w:hAnsi="Arial" w:cs="Arial"/>
          <w:sz w:val="24"/>
          <w:szCs w:val="24"/>
        </w:rPr>
      </w:pPr>
    </w:p>
    <w:p w:rsidR="00A61F3D" w:rsidRPr="00E00202" w:rsidRDefault="00E00202" w:rsidP="00CA25DE">
      <w:pPr>
        <w:pStyle w:val="NoSpacing"/>
        <w:ind w:firstLine="720"/>
        <w:rPr>
          <w:rFonts w:ascii="Arial" w:hAnsi="Arial" w:cs="Arial"/>
          <w:sz w:val="24"/>
          <w:szCs w:val="24"/>
          <w:u w:val="single"/>
        </w:rPr>
      </w:pPr>
      <w:r w:rsidRPr="00E00202">
        <w:rPr>
          <w:rFonts w:ascii="Arial" w:hAnsi="Arial" w:cs="Arial"/>
          <w:sz w:val="24"/>
          <w:szCs w:val="24"/>
          <w:u w:val="single"/>
        </w:rPr>
        <w:t>Table 8: Average credit ratings for counterparties</w:t>
      </w:r>
      <w:r w:rsidR="00A61F3D" w:rsidRPr="00E00202">
        <w:rPr>
          <w:rFonts w:ascii="Arial" w:hAnsi="Arial" w:cs="Arial"/>
          <w:sz w:val="24"/>
          <w:szCs w:val="24"/>
          <w:u w:val="single"/>
        </w:rPr>
        <w:br/>
      </w:r>
    </w:p>
    <w:tbl>
      <w:tblPr>
        <w:tblStyle w:val="TableGrid"/>
        <w:tblW w:w="0" w:type="auto"/>
        <w:tblInd w:w="846" w:type="dxa"/>
        <w:tblLook w:val="04A0" w:firstRow="1" w:lastRow="0" w:firstColumn="1" w:lastColumn="0" w:noHBand="0" w:noVBand="1"/>
      </w:tblPr>
      <w:tblGrid>
        <w:gridCol w:w="2551"/>
        <w:gridCol w:w="2268"/>
        <w:gridCol w:w="2552"/>
        <w:gridCol w:w="1977"/>
      </w:tblGrid>
      <w:tr w:rsidR="00A61F3D" w:rsidTr="00A61F3D">
        <w:tc>
          <w:tcPr>
            <w:tcW w:w="2551" w:type="dxa"/>
          </w:tcPr>
          <w:p w:rsidR="00A61F3D" w:rsidRDefault="00A61F3D" w:rsidP="00A61F3D">
            <w:pPr>
              <w:pStyle w:val="NoSpacing"/>
              <w:jc w:val="center"/>
              <w:rPr>
                <w:rFonts w:ascii="Arial" w:hAnsi="Arial" w:cs="Arial"/>
                <w:sz w:val="24"/>
                <w:szCs w:val="24"/>
              </w:rPr>
            </w:pPr>
          </w:p>
        </w:tc>
        <w:tc>
          <w:tcPr>
            <w:tcW w:w="2268" w:type="dxa"/>
          </w:tcPr>
          <w:p w:rsidR="00A61F3D" w:rsidRPr="00A61F3D" w:rsidRDefault="00A61F3D" w:rsidP="00A61F3D">
            <w:pPr>
              <w:pStyle w:val="NoSpacing"/>
              <w:jc w:val="center"/>
              <w:rPr>
                <w:rFonts w:ascii="Arial" w:hAnsi="Arial" w:cs="Arial"/>
                <w:b/>
                <w:sz w:val="24"/>
                <w:szCs w:val="24"/>
              </w:rPr>
            </w:pPr>
            <w:r w:rsidRPr="00A61F3D">
              <w:rPr>
                <w:rFonts w:ascii="Arial" w:hAnsi="Arial" w:cs="Arial"/>
                <w:b/>
                <w:sz w:val="24"/>
                <w:szCs w:val="24"/>
              </w:rPr>
              <w:t>2018/19 actual</w:t>
            </w:r>
          </w:p>
        </w:tc>
        <w:tc>
          <w:tcPr>
            <w:tcW w:w="2552" w:type="dxa"/>
          </w:tcPr>
          <w:p w:rsidR="00A61F3D" w:rsidRPr="00A61F3D" w:rsidRDefault="00A61F3D" w:rsidP="00A61F3D">
            <w:pPr>
              <w:pStyle w:val="NoSpacing"/>
              <w:jc w:val="center"/>
              <w:rPr>
                <w:rFonts w:ascii="Arial" w:hAnsi="Arial" w:cs="Arial"/>
                <w:b/>
                <w:sz w:val="24"/>
                <w:szCs w:val="24"/>
              </w:rPr>
            </w:pPr>
            <w:r w:rsidRPr="00A61F3D">
              <w:rPr>
                <w:rFonts w:ascii="Arial" w:hAnsi="Arial" w:cs="Arial"/>
                <w:b/>
                <w:sz w:val="24"/>
                <w:szCs w:val="24"/>
              </w:rPr>
              <w:t>2018/19 target</w:t>
            </w:r>
          </w:p>
        </w:tc>
        <w:tc>
          <w:tcPr>
            <w:tcW w:w="1977" w:type="dxa"/>
          </w:tcPr>
          <w:p w:rsidR="00A61F3D" w:rsidRPr="00A61F3D" w:rsidRDefault="00A61F3D" w:rsidP="00A61F3D">
            <w:pPr>
              <w:pStyle w:val="NoSpacing"/>
              <w:jc w:val="center"/>
              <w:rPr>
                <w:rFonts w:ascii="Arial" w:hAnsi="Arial" w:cs="Arial"/>
                <w:b/>
                <w:sz w:val="24"/>
                <w:szCs w:val="24"/>
              </w:rPr>
            </w:pPr>
            <w:r w:rsidRPr="00A61F3D">
              <w:rPr>
                <w:rFonts w:ascii="Arial" w:hAnsi="Arial" w:cs="Arial"/>
                <w:b/>
                <w:sz w:val="24"/>
                <w:szCs w:val="24"/>
              </w:rPr>
              <w:t>Complied?</w:t>
            </w:r>
          </w:p>
        </w:tc>
      </w:tr>
      <w:tr w:rsidR="00A61F3D" w:rsidTr="00A61F3D">
        <w:tc>
          <w:tcPr>
            <w:tcW w:w="2551" w:type="dxa"/>
          </w:tcPr>
          <w:p w:rsidR="00A61F3D" w:rsidRDefault="00A61F3D" w:rsidP="00A61F3D">
            <w:pPr>
              <w:pStyle w:val="NoSpacing"/>
              <w:jc w:val="center"/>
              <w:rPr>
                <w:rFonts w:ascii="Arial" w:hAnsi="Arial" w:cs="Arial"/>
                <w:sz w:val="24"/>
                <w:szCs w:val="24"/>
              </w:rPr>
            </w:pPr>
            <w:r>
              <w:rPr>
                <w:rFonts w:ascii="Arial" w:hAnsi="Arial" w:cs="Arial"/>
                <w:sz w:val="24"/>
                <w:szCs w:val="24"/>
              </w:rPr>
              <w:t>Portfolio average credit rating</w:t>
            </w:r>
          </w:p>
        </w:tc>
        <w:tc>
          <w:tcPr>
            <w:tcW w:w="2268" w:type="dxa"/>
          </w:tcPr>
          <w:p w:rsidR="00A61F3D" w:rsidRDefault="00A61F3D" w:rsidP="00A61F3D">
            <w:pPr>
              <w:pStyle w:val="NoSpacing"/>
              <w:jc w:val="center"/>
              <w:rPr>
                <w:rFonts w:ascii="Arial" w:hAnsi="Arial" w:cs="Arial"/>
                <w:sz w:val="24"/>
                <w:szCs w:val="24"/>
              </w:rPr>
            </w:pPr>
            <w:r>
              <w:rPr>
                <w:rFonts w:ascii="Arial" w:hAnsi="Arial" w:cs="Arial"/>
                <w:sz w:val="24"/>
                <w:szCs w:val="24"/>
              </w:rPr>
              <w:t>A</w:t>
            </w:r>
          </w:p>
        </w:tc>
        <w:tc>
          <w:tcPr>
            <w:tcW w:w="2552" w:type="dxa"/>
          </w:tcPr>
          <w:p w:rsidR="00A61F3D" w:rsidRDefault="00A61F3D" w:rsidP="00A61F3D">
            <w:pPr>
              <w:pStyle w:val="NoSpacing"/>
              <w:jc w:val="center"/>
              <w:rPr>
                <w:rFonts w:ascii="Arial" w:hAnsi="Arial" w:cs="Arial"/>
                <w:sz w:val="24"/>
                <w:szCs w:val="24"/>
              </w:rPr>
            </w:pPr>
            <w:r>
              <w:rPr>
                <w:rFonts w:ascii="Arial" w:hAnsi="Arial" w:cs="Arial"/>
                <w:sz w:val="24"/>
                <w:szCs w:val="24"/>
              </w:rPr>
              <w:t>A</w:t>
            </w:r>
          </w:p>
        </w:tc>
        <w:tc>
          <w:tcPr>
            <w:tcW w:w="1977" w:type="dxa"/>
          </w:tcPr>
          <w:p w:rsidR="00A61F3D" w:rsidRPr="00CA25DE" w:rsidRDefault="00CA25DE" w:rsidP="00A61F3D">
            <w:pPr>
              <w:pStyle w:val="NoSpacing"/>
              <w:jc w:val="center"/>
              <w:rPr>
                <w:rFonts w:ascii="Arial" w:hAnsi="Arial" w:cs="Arial"/>
                <w:sz w:val="24"/>
                <w:szCs w:val="24"/>
              </w:rPr>
            </w:pPr>
            <w:r w:rsidRPr="00CA25DE">
              <w:rPr>
                <w:rFonts w:ascii="Arial" w:hAnsi="Arial" w:cs="Arial"/>
                <w:bCs/>
                <w:sz w:val="24"/>
                <w:szCs w:val="24"/>
                <w:lang w:eastAsia="en-GB"/>
              </w:rPr>
              <w:t>Yes</w:t>
            </w:r>
          </w:p>
        </w:tc>
      </w:tr>
    </w:tbl>
    <w:p w:rsidR="00A61F3D" w:rsidRDefault="00A61F3D" w:rsidP="00BE0F80">
      <w:pPr>
        <w:pStyle w:val="NoSpacing"/>
        <w:rPr>
          <w:rFonts w:ascii="Arial" w:hAnsi="Arial" w:cs="Arial"/>
          <w:sz w:val="24"/>
          <w:szCs w:val="24"/>
        </w:rPr>
      </w:pPr>
    </w:p>
    <w:p w:rsidR="00CA25DE" w:rsidRDefault="00CA25DE" w:rsidP="00BE0F80">
      <w:pPr>
        <w:pStyle w:val="NoSpacing"/>
        <w:rPr>
          <w:rFonts w:ascii="Arial" w:hAnsi="Arial" w:cs="Arial"/>
          <w:sz w:val="24"/>
          <w:szCs w:val="24"/>
        </w:rPr>
      </w:pPr>
    </w:p>
    <w:p w:rsidR="00A61F3D" w:rsidRDefault="00A61F3D" w:rsidP="00BE0F80">
      <w:pPr>
        <w:pStyle w:val="NoSpacing"/>
        <w:rPr>
          <w:rFonts w:ascii="Arial" w:hAnsi="Arial" w:cs="Arial"/>
          <w:sz w:val="24"/>
          <w:szCs w:val="24"/>
        </w:rPr>
      </w:pPr>
      <w:r>
        <w:rPr>
          <w:rFonts w:ascii="Arial" w:hAnsi="Arial" w:cs="Arial"/>
          <w:sz w:val="24"/>
          <w:szCs w:val="24"/>
        </w:rPr>
        <w:t>5.5</w:t>
      </w:r>
      <w:r>
        <w:rPr>
          <w:rFonts w:ascii="Arial" w:hAnsi="Arial" w:cs="Arial"/>
          <w:sz w:val="24"/>
          <w:szCs w:val="24"/>
        </w:rPr>
        <w:tab/>
      </w:r>
      <w:r w:rsidRPr="00A61F3D">
        <w:rPr>
          <w:rFonts w:ascii="Arial" w:hAnsi="Arial" w:cs="Arial"/>
          <w:b/>
          <w:sz w:val="24"/>
          <w:szCs w:val="24"/>
        </w:rPr>
        <w:t>Liquidity:</w:t>
      </w:r>
      <w:r>
        <w:rPr>
          <w:rFonts w:ascii="Arial" w:hAnsi="Arial" w:cs="Arial"/>
          <w:sz w:val="24"/>
          <w:szCs w:val="24"/>
        </w:rPr>
        <w:t xml:space="preserve"> The OPFCC has adopted a voluntary measure of its exposure to liquidity risk </w:t>
      </w:r>
      <w:r>
        <w:rPr>
          <w:rFonts w:ascii="Arial" w:hAnsi="Arial" w:cs="Arial"/>
          <w:sz w:val="24"/>
          <w:szCs w:val="24"/>
        </w:rPr>
        <w:tab/>
        <w:t xml:space="preserve">by monitoring the amount of cash available to meet unexpected payments on a daily </w:t>
      </w:r>
      <w:r>
        <w:rPr>
          <w:rFonts w:ascii="Arial" w:hAnsi="Arial" w:cs="Arial"/>
          <w:sz w:val="24"/>
          <w:szCs w:val="24"/>
        </w:rPr>
        <w:tab/>
        <w:t>basis, without the need for additional borrowing.</w:t>
      </w:r>
    </w:p>
    <w:p w:rsidR="00E00202" w:rsidRDefault="00E00202" w:rsidP="00BE0F80">
      <w:pPr>
        <w:pStyle w:val="NoSpacing"/>
        <w:rPr>
          <w:rFonts w:ascii="Arial" w:hAnsi="Arial" w:cs="Arial"/>
          <w:sz w:val="24"/>
          <w:szCs w:val="24"/>
        </w:rPr>
      </w:pPr>
    </w:p>
    <w:p w:rsidR="00E00202" w:rsidRPr="00E00202" w:rsidRDefault="00E00202" w:rsidP="00BE0F80">
      <w:pPr>
        <w:pStyle w:val="NoSpacing"/>
        <w:rPr>
          <w:rFonts w:ascii="Arial" w:hAnsi="Arial" w:cs="Arial"/>
          <w:sz w:val="24"/>
          <w:szCs w:val="24"/>
          <w:u w:val="single"/>
        </w:rPr>
      </w:pPr>
      <w:r>
        <w:rPr>
          <w:rFonts w:ascii="Arial" w:hAnsi="Arial" w:cs="Arial"/>
          <w:sz w:val="24"/>
          <w:szCs w:val="24"/>
        </w:rPr>
        <w:tab/>
      </w:r>
      <w:r w:rsidRPr="00E00202">
        <w:rPr>
          <w:rFonts w:ascii="Arial" w:hAnsi="Arial" w:cs="Arial"/>
          <w:sz w:val="24"/>
          <w:szCs w:val="24"/>
          <w:u w:val="single"/>
        </w:rPr>
        <w:t>Table 9: OPFCC bank overdraft facility</w:t>
      </w:r>
    </w:p>
    <w:p w:rsidR="00A61F3D" w:rsidRDefault="00A61F3D" w:rsidP="00BE0F80">
      <w:pPr>
        <w:pStyle w:val="NoSpacing"/>
        <w:rPr>
          <w:rFonts w:ascii="Arial" w:hAnsi="Arial" w:cs="Arial"/>
          <w:sz w:val="24"/>
          <w:szCs w:val="24"/>
        </w:rPr>
      </w:pPr>
      <w:r>
        <w:rPr>
          <w:rFonts w:ascii="Arial" w:hAnsi="Arial" w:cs="Arial"/>
          <w:sz w:val="24"/>
          <w:szCs w:val="24"/>
        </w:rPr>
        <w:tab/>
      </w:r>
    </w:p>
    <w:tbl>
      <w:tblPr>
        <w:tblStyle w:val="TableGrid"/>
        <w:tblW w:w="0" w:type="auto"/>
        <w:tblInd w:w="846" w:type="dxa"/>
        <w:tblLook w:val="04A0" w:firstRow="1" w:lastRow="0" w:firstColumn="1" w:lastColumn="0" w:noHBand="0" w:noVBand="1"/>
      </w:tblPr>
      <w:tblGrid>
        <w:gridCol w:w="2551"/>
        <w:gridCol w:w="2268"/>
        <w:gridCol w:w="2552"/>
        <w:gridCol w:w="1977"/>
      </w:tblGrid>
      <w:tr w:rsidR="00A61F3D" w:rsidTr="00A61F3D">
        <w:tc>
          <w:tcPr>
            <w:tcW w:w="2551" w:type="dxa"/>
          </w:tcPr>
          <w:p w:rsidR="00A61F3D" w:rsidRDefault="00A61F3D" w:rsidP="00BE0F80">
            <w:pPr>
              <w:pStyle w:val="NoSpacing"/>
              <w:rPr>
                <w:rFonts w:ascii="Arial" w:hAnsi="Arial" w:cs="Arial"/>
                <w:sz w:val="24"/>
                <w:szCs w:val="24"/>
              </w:rPr>
            </w:pPr>
          </w:p>
        </w:tc>
        <w:tc>
          <w:tcPr>
            <w:tcW w:w="2268" w:type="dxa"/>
          </w:tcPr>
          <w:p w:rsidR="00A61F3D" w:rsidRPr="00A61F3D" w:rsidRDefault="00A61F3D" w:rsidP="00A61F3D">
            <w:pPr>
              <w:pStyle w:val="NoSpacing"/>
              <w:jc w:val="center"/>
              <w:rPr>
                <w:rFonts w:ascii="Arial" w:hAnsi="Arial" w:cs="Arial"/>
                <w:b/>
                <w:sz w:val="24"/>
                <w:szCs w:val="24"/>
              </w:rPr>
            </w:pPr>
            <w:r w:rsidRPr="00A61F3D">
              <w:rPr>
                <w:rFonts w:ascii="Arial" w:hAnsi="Arial" w:cs="Arial"/>
                <w:b/>
                <w:sz w:val="24"/>
                <w:szCs w:val="24"/>
              </w:rPr>
              <w:t>2018/19 actual</w:t>
            </w:r>
          </w:p>
        </w:tc>
        <w:tc>
          <w:tcPr>
            <w:tcW w:w="2552" w:type="dxa"/>
          </w:tcPr>
          <w:p w:rsidR="00A61F3D" w:rsidRPr="00A61F3D" w:rsidRDefault="00A61F3D" w:rsidP="00A61F3D">
            <w:pPr>
              <w:pStyle w:val="NoSpacing"/>
              <w:jc w:val="center"/>
              <w:rPr>
                <w:rFonts w:ascii="Arial" w:hAnsi="Arial" w:cs="Arial"/>
                <w:b/>
                <w:sz w:val="24"/>
                <w:szCs w:val="24"/>
              </w:rPr>
            </w:pPr>
            <w:r w:rsidRPr="00A61F3D">
              <w:rPr>
                <w:rFonts w:ascii="Arial" w:hAnsi="Arial" w:cs="Arial"/>
                <w:b/>
                <w:sz w:val="24"/>
                <w:szCs w:val="24"/>
              </w:rPr>
              <w:t>2018/19 target</w:t>
            </w:r>
          </w:p>
        </w:tc>
        <w:tc>
          <w:tcPr>
            <w:tcW w:w="1977" w:type="dxa"/>
          </w:tcPr>
          <w:p w:rsidR="00A61F3D" w:rsidRPr="00A61F3D" w:rsidRDefault="00A61F3D" w:rsidP="00A61F3D">
            <w:pPr>
              <w:pStyle w:val="NoSpacing"/>
              <w:jc w:val="center"/>
              <w:rPr>
                <w:rFonts w:ascii="Arial" w:hAnsi="Arial" w:cs="Arial"/>
                <w:b/>
                <w:sz w:val="24"/>
                <w:szCs w:val="24"/>
              </w:rPr>
            </w:pPr>
            <w:r w:rsidRPr="00A61F3D">
              <w:rPr>
                <w:rFonts w:ascii="Arial" w:hAnsi="Arial" w:cs="Arial"/>
                <w:b/>
                <w:sz w:val="24"/>
                <w:szCs w:val="24"/>
              </w:rPr>
              <w:t>Complied?</w:t>
            </w:r>
          </w:p>
        </w:tc>
      </w:tr>
      <w:tr w:rsidR="00A61F3D" w:rsidTr="00A61F3D">
        <w:tc>
          <w:tcPr>
            <w:tcW w:w="2551" w:type="dxa"/>
          </w:tcPr>
          <w:p w:rsidR="00A61F3D" w:rsidRDefault="00A61F3D" w:rsidP="00BE0F80">
            <w:pPr>
              <w:pStyle w:val="NoSpacing"/>
              <w:rPr>
                <w:rFonts w:ascii="Arial" w:hAnsi="Arial" w:cs="Arial"/>
                <w:sz w:val="24"/>
                <w:szCs w:val="24"/>
              </w:rPr>
            </w:pPr>
            <w:r>
              <w:rPr>
                <w:rFonts w:ascii="Arial" w:hAnsi="Arial" w:cs="Arial"/>
                <w:sz w:val="24"/>
                <w:szCs w:val="24"/>
              </w:rPr>
              <w:t>OPFCC bank account overdraft facility available</w:t>
            </w:r>
            <w:r w:rsidR="00E00202">
              <w:rPr>
                <w:rFonts w:ascii="Arial" w:hAnsi="Arial" w:cs="Arial"/>
                <w:sz w:val="24"/>
                <w:szCs w:val="24"/>
              </w:rPr>
              <w:t xml:space="preserve"> (minimum)</w:t>
            </w:r>
          </w:p>
        </w:tc>
        <w:tc>
          <w:tcPr>
            <w:tcW w:w="2268" w:type="dxa"/>
          </w:tcPr>
          <w:p w:rsidR="00A61F3D" w:rsidRDefault="00A61F3D" w:rsidP="00A61F3D">
            <w:pPr>
              <w:pStyle w:val="NoSpacing"/>
              <w:jc w:val="center"/>
              <w:rPr>
                <w:rFonts w:ascii="Arial" w:hAnsi="Arial" w:cs="Arial"/>
                <w:sz w:val="24"/>
                <w:szCs w:val="24"/>
              </w:rPr>
            </w:pPr>
            <w:r>
              <w:rPr>
                <w:rFonts w:ascii="Arial" w:hAnsi="Arial" w:cs="Arial"/>
                <w:sz w:val="24"/>
                <w:szCs w:val="24"/>
              </w:rPr>
              <w:t>£1</w:t>
            </w:r>
            <w:r w:rsidR="00E00202">
              <w:rPr>
                <w:rFonts w:ascii="Arial" w:hAnsi="Arial" w:cs="Arial"/>
                <w:sz w:val="24"/>
                <w:szCs w:val="24"/>
              </w:rPr>
              <w:t>.5</w:t>
            </w:r>
            <w:r>
              <w:rPr>
                <w:rFonts w:ascii="Arial" w:hAnsi="Arial" w:cs="Arial"/>
                <w:sz w:val="24"/>
                <w:szCs w:val="24"/>
              </w:rPr>
              <w:t>m</w:t>
            </w:r>
          </w:p>
        </w:tc>
        <w:tc>
          <w:tcPr>
            <w:tcW w:w="2552" w:type="dxa"/>
          </w:tcPr>
          <w:p w:rsidR="00A61F3D" w:rsidRDefault="00A61F3D" w:rsidP="00A61F3D">
            <w:pPr>
              <w:pStyle w:val="NoSpacing"/>
              <w:jc w:val="center"/>
              <w:rPr>
                <w:rFonts w:ascii="Arial" w:hAnsi="Arial" w:cs="Arial"/>
                <w:sz w:val="24"/>
                <w:szCs w:val="24"/>
              </w:rPr>
            </w:pPr>
            <w:r>
              <w:rPr>
                <w:rFonts w:ascii="Arial" w:hAnsi="Arial" w:cs="Arial"/>
                <w:sz w:val="24"/>
                <w:szCs w:val="24"/>
              </w:rPr>
              <w:t>£1m</w:t>
            </w:r>
          </w:p>
        </w:tc>
        <w:tc>
          <w:tcPr>
            <w:tcW w:w="1977" w:type="dxa"/>
          </w:tcPr>
          <w:p w:rsidR="00A61F3D" w:rsidRDefault="00CA25DE" w:rsidP="00A61F3D">
            <w:pPr>
              <w:pStyle w:val="NoSpacing"/>
              <w:jc w:val="center"/>
              <w:rPr>
                <w:rFonts w:ascii="Arial" w:hAnsi="Arial" w:cs="Arial"/>
                <w:sz w:val="24"/>
                <w:szCs w:val="24"/>
              </w:rPr>
            </w:pPr>
            <w:r w:rsidRPr="00CA25DE">
              <w:rPr>
                <w:rFonts w:ascii="Arial" w:hAnsi="Arial" w:cs="Arial"/>
                <w:bCs/>
                <w:sz w:val="24"/>
                <w:szCs w:val="24"/>
                <w:lang w:eastAsia="en-GB"/>
              </w:rPr>
              <w:t>Yes</w:t>
            </w:r>
          </w:p>
        </w:tc>
      </w:tr>
    </w:tbl>
    <w:p w:rsidR="00A61F3D" w:rsidRDefault="00A61F3D" w:rsidP="00BE0F80">
      <w:pPr>
        <w:pStyle w:val="NoSpacing"/>
        <w:rPr>
          <w:rFonts w:ascii="Arial" w:hAnsi="Arial" w:cs="Arial"/>
          <w:sz w:val="24"/>
          <w:szCs w:val="24"/>
        </w:rPr>
      </w:pPr>
    </w:p>
    <w:p w:rsidR="00CA25DE" w:rsidRDefault="00CA25DE" w:rsidP="00BE0F80">
      <w:pPr>
        <w:pStyle w:val="NoSpacing"/>
        <w:rPr>
          <w:rFonts w:ascii="Arial" w:hAnsi="Arial" w:cs="Arial"/>
          <w:sz w:val="24"/>
          <w:szCs w:val="24"/>
        </w:rPr>
      </w:pPr>
    </w:p>
    <w:p w:rsidR="00A61F3D" w:rsidRDefault="00A61F3D" w:rsidP="00BE0F80">
      <w:pPr>
        <w:pStyle w:val="NoSpacing"/>
        <w:rPr>
          <w:rFonts w:ascii="Arial" w:hAnsi="Arial" w:cs="Arial"/>
          <w:sz w:val="24"/>
          <w:szCs w:val="24"/>
        </w:rPr>
      </w:pPr>
      <w:r>
        <w:rPr>
          <w:rFonts w:ascii="Arial" w:hAnsi="Arial" w:cs="Arial"/>
          <w:sz w:val="24"/>
          <w:szCs w:val="24"/>
        </w:rPr>
        <w:t>5.6</w:t>
      </w:r>
      <w:r>
        <w:rPr>
          <w:rFonts w:ascii="Arial" w:hAnsi="Arial" w:cs="Arial"/>
          <w:sz w:val="24"/>
          <w:szCs w:val="24"/>
        </w:rPr>
        <w:tab/>
      </w:r>
      <w:r w:rsidR="00E00202">
        <w:rPr>
          <w:rFonts w:ascii="Arial" w:hAnsi="Arial" w:cs="Arial"/>
          <w:sz w:val="24"/>
          <w:szCs w:val="24"/>
        </w:rPr>
        <w:t>As pe</w:t>
      </w:r>
      <w:r w:rsidR="00CA25DE">
        <w:rPr>
          <w:rFonts w:ascii="Arial" w:hAnsi="Arial" w:cs="Arial"/>
          <w:sz w:val="24"/>
          <w:szCs w:val="24"/>
        </w:rPr>
        <w:t>r the comments in paragraph 3.15</w:t>
      </w:r>
      <w:r w:rsidR="00E00202">
        <w:rPr>
          <w:rFonts w:ascii="Arial" w:hAnsi="Arial" w:cs="Arial"/>
          <w:sz w:val="24"/>
          <w:szCs w:val="24"/>
        </w:rPr>
        <w:t xml:space="preserve"> the OPFCC used additional overdraft facilities</w:t>
      </w:r>
      <w:r w:rsidR="00E00202">
        <w:rPr>
          <w:rFonts w:ascii="Arial" w:hAnsi="Arial" w:cs="Arial"/>
          <w:sz w:val="24"/>
          <w:szCs w:val="24"/>
        </w:rPr>
        <w:tab/>
        <w:t xml:space="preserve">twice during the year to manage cash deficits, as an alternative to short-term external </w:t>
      </w:r>
      <w:r w:rsidR="00E00202">
        <w:rPr>
          <w:rFonts w:ascii="Arial" w:hAnsi="Arial" w:cs="Arial"/>
          <w:sz w:val="24"/>
          <w:szCs w:val="24"/>
        </w:rPr>
        <w:tab/>
        <w:t>borrowing.</w:t>
      </w:r>
      <w:r w:rsidR="00C27109">
        <w:rPr>
          <w:rFonts w:ascii="Arial" w:hAnsi="Arial" w:cs="Arial"/>
          <w:sz w:val="24"/>
          <w:szCs w:val="24"/>
        </w:rPr>
        <w:t xml:space="preserve"> Table 9 shows that the maximum overdraft facility used was £1.5m.</w:t>
      </w:r>
    </w:p>
    <w:p w:rsidR="00512273" w:rsidRDefault="00512273" w:rsidP="00BE0F80">
      <w:pPr>
        <w:pStyle w:val="NoSpacing"/>
        <w:rPr>
          <w:rFonts w:ascii="Arial" w:hAnsi="Arial" w:cs="Arial"/>
          <w:sz w:val="24"/>
          <w:szCs w:val="24"/>
        </w:rPr>
      </w:pPr>
    </w:p>
    <w:p w:rsidR="00CA25DE" w:rsidRDefault="00CA25DE" w:rsidP="00BE0F80">
      <w:pPr>
        <w:pStyle w:val="NoSpacing"/>
        <w:rPr>
          <w:rFonts w:ascii="Arial" w:hAnsi="Arial" w:cs="Arial"/>
          <w:sz w:val="24"/>
          <w:szCs w:val="24"/>
        </w:rPr>
      </w:pPr>
    </w:p>
    <w:p w:rsidR="00BE0F80" w:rsidRDefault="00E00202" w:rsidP="00BE0F80">
      <w:pPr>
        <w:pStyle w:val="NoSpacing"/>
        <w:rPr>
          <w:rFonts w:ascii="Arial" w:hAnsi="Arial" w:cs="Arial"/>
          <w:sz w:val="24"/>
          <w:szCs w:val="24"/>
        </w:rPr>
      </w:pPr>
      <w:r>
        <w:rPr>
          <w:rFonts w:ascii="Arial" w:hAnsi="Arial" w:cs="Arial"/>
          <w:sz w:val="24"/>
          <w:szCs w:val="24"/>
        </w:rPr>
        <w:t>5.7</w:t>
      </w:r>
      <w:r w:rsidR="00BE0F80">
        <w:rPr>
          <w:rFonts w:ascii="Arial" w:hAnsi="Arial" w:cs="Arial"/>
          <w:sz w:val="24"/>
          <w:szCs w:val="24"/>
        </w:rPr>
        <w:tab/>
      </w:r>
      <w:r>
        <w:rPr>
          <w:rFonts w:ascii="Arial" w:hAnsi="Arial" w:cs="Arial"/>
          <w:b/>
          <w:sz w:val="24"/>
          <w:szCs w:val="24"/>
        </w:rPr>
        <w:t>Principal sums</w:t>
      </w:r>
      <w:r w:rsidR="00BE0F80" w:rsidRPr="00C16B67">
        <w:rPr>
          <w:rFonts w:ascii="Arial" w:hAnsi="Arial" w:cs="Arial"/>
          <w:b/>
          <w:sz w:val="24"/>
          <w:szCs w:val="24"/>
        </w:rPr>
        <w:t xml:space="preserve"> invested beyond 365 days:</w:t>
      </w:r>
      <w:r w:rsidR="00BE0F80" w:rsidRPr="00C16B67">
        <w:rPr>
          <w:rFonts w:ascii="Arial" w:hAnsi="Arial" w:cs="Arial"/>
          <w:sz w:val="24"/>
          <w:szCs w:val="24"/>
        </w:rPr>
        <w:t xml:space="preserve"> The purpose of this indicator is to control </w:t>
      </w:r>
      <w:r>
        <w:rPr>
          <w:rFonts w:ascii="Arial" w:hAnsi="Arial" w:cs="Arial"/>
          <w:sz w:val="24"/>
          <w:szCs w:val="24"/>
        </w:rPr>
        <w:tab/>
      </w:r>
      <w:r w:rsidR="00BE0F80" w:rsidRPr="00C16B67">
        <w:rPr>
          <w:rFonts w:ascii="Arial" w:hAnsi="Arial" w:cs="Arial"/>
          <w:sz w:val="24"/>
          <w:szCs w:val="24"/>
        </w:rPr>
        <w:t xml:space="preserve">the </w:t>
      </w:r>
      <w:r>
        <w:rPr>
          <w:rFonts w:ascii="Arial" w:hAnsi="Arial" w:cs="Arial"/>
          <w:sz w:val="24"/>
          <w:szCs w:val="24"/>
        </w:rPr>
        <w:t>O</w:t>
      </w:r>
      <w:r w:rsidR="00BE0F80" w:rsidRPr="00C16B67">
        <w:rPr>
          <w:rFonts w:ascii="Arial" w:hAnsi="Arial" w:cs="Arial"/>
          <w:sz w:val="24"/>
          <w:szCs w:val="24"/>
        </w:rPr>
        <w:t>P</w:t>
      </w:r>
      <w:r w:rsidR="00BE0F80">
        <w:rPr>
          <w:rFonts w:ascii="Arial" w:hAnsi="Arial" w:cs="Arial"/>
          <w:sz w:val="24"/>
          <w:szCs w:val="24"/>
        </w:rPr>
        <w:t>F</w:t>
      </w:r>
      <w:r w:rsidR="00BE0F80" w:rsidRPr="00C16B67">
        <w:rPr>
          <w:rFonts w:ascii="Arial" w:hAnsi="Arial" w:cs="Arial"/>
          <w:sz w:val="24"/>
          <w:szCs w:val="24"/>
        </w:rPr>
        <w:t xml:space="preserve">CC’s exposure to the risk of incurring losses by seeking early repayment of its </w:t>
      </w:r>
      <w:r>
        <w:rPr>
          <w:rFonts w:ascii="Arial" w:hAnsi="Arial" w:cs="Arial"/>
          <w:sz w:val="24"/>
          <w:szCs w:val="24"/>
        </w:rPr>
        <w:tab/>
      </w:r>
      <w:r w:rsidR="00BE0F80" w:rsidRPr="00C16B67">
        <w:rPr>
          <w:rFonts w:ascii="Arial" w:hAnsi="Arial" w:cs="Arial"/>
          <w:sz w:val="24"/>
          <w:szCs w:val="24"/>
        </w:rPr>
        <w:t>investments. The limits on the long-term principal sum invested to final maturi</w:t>
      </w:r>
      <w:r w:rsidR="00BE0F80">
        <w:rPr>
          <w:rFonts w:ascii="Arial" w:hAnsi="Arial" w:cs="Arial"/>
          <w:sz w:val="24"/>
          <w:szCs w:val="24"/>
        </w:rPr>
        <w:t xml:space="preserve">ties beyond </w:t>
      </w:r>
      <w:r>
        <w:rPr>
          <w:rFonts w:ascii="Arial" w:hAnsi="Arial" w:cs="Arial"/>
          <w:sz w:val="24"/>
          <w:szCs w:val="24"/>
        </w:rPr>
        <w:tab/>
      </w:r>
      <w:r w:rsidR="00BE0F80">
        <w:rPr>
          <w:rFonts w:ascii="Arial" w:hAnsi="Arial" w:cs="Arial"/>
          <w:sz w:val="24"/>
          <w:szCs w:val="24"/>
        </w:rPr>
        <w:t xml:space="preserve">the </w:t>
      </w:r>
      <w:r>
        <w:rPr>
          <w:rFonts w:ascii="Arial" w:hAnsi="Arial" w:cs="Arial"/>
          <w:sz w:val="24"/>
          <w:szCs w:val="24"/>
        </w:rPr>
        <w:t>period end are shown in table 10</w:t>
      </w:r>
      <w:r w:rsidR="00BE0F80">
        <w:rPr>
          <w:rFonts w:ascii="Arial" w:hAnsi="Arial" w:cs="Arial"/>
          <w:sz w:val="24"/>
          <w:szCs w:val="24"/>
        </w:rPr>
        <w:t xml:space="preserve"> below:</w:t>
      </w:r>
    </w:p>
    <w:p w:rsidR="00BE0F80" w:rsidRDefault="00BE0F80" w:rsidP="00BE0F80">
      <w:pPr>
        <w:pStyle w:val="NoSpacing"/>
        <w:rPr>
          <w:rFonts w:ascii="Arial" w:hAnsi="Arial" w:cs="Arial"/>
          <w:sz w:val="24"/>
          <w:szCs w:val="24"/>
          <w:u w:val="single"/>
        </w:rPr>
      </w:pPr>
      <w:r>
        <w:rPr>
          <w:rFonts w:ascii="Arial" w:hAnsi="Arial" w:cs="Arial"/>
          <w:sz w:val="24"/>
          <w:szCs w:val="24"/>
        </w:rPr>
        <w:br/>
      </w:r>
      <w:r w:rsidRPr="0054154B">
        <w:rPr>
          <w:rFonts w:ascii="Arial" w:hAnsi="Arial" w:cs="Arial"/>
          <w:color w:val="0070C0"/>
          <w:sz w:val="24"/>
          <w:szCs w:val="24"/>
        </w:rPr>
        <w:tab/>
      </w:r>
      <w:r w:rsidR="00E00202">
        <w:rPr>
          <w:rFonts w:ascii="Arial" w:hAnsi="Arial" w:cs="Arial"/>
          <w:sz w:val="24"/>
          <w:szCs w:val="24"/>
          <w:u w:val="single"/>
        </w:rPr>
        <w:t>Table 10</w:t>
      </w:r>
      <w:r w:rsidRPr="00AF5215">
        <w:rPr>
          <w:rFonts w:ascii="Arial" w:hAnsi="Arial" w:cs="Arial"/>
          <w:sz w:val="24"/>
          <w:szCs w:val="24"/>
          <w:u w:val="single"/>
        </w:rPr>
        <w:t xml:space="preserve">: </w:t>
      </w:r>
      <w:r>
        <w:rPr>
          <w:rFonts w:ascii="Arial" w:hAnsi="Arial" w:cs="Arial"/>
          <w:sz w:val="24"/>
          <w:szCs w:val="24"/>
          <w:u w:val="single"/>
        </w:rPr>
        <w:t>No funds will be invested beyond 365 days</w:t>
      </w:r>
    </w:p>
    <w:p w:rsidR="00BE0F80" w:rsidRPr="00AF5215" w:rsidRDefault="00BE0F80" w:rsidP="00BE0F80">
      <w:pPr>
        <w:pStyle w:val="NoSpacing"/>
        <w:rPr>
          <w:rFonts w:ascii="Arial" w:hAnsi="Arial" w:cs="Arial"/>
          <w:sz w:val="24"/>
          <w:szCs w:val="24"/>
        </w:rPr>
      </w:pPr>
    </w:p>
    <w:tbl>
      <w:tblPr>
        <w:tblStyle w:val="TableGrid"/>
        <w:tblW w:w="0" w:type="auto"/>
        <w:tblInd w:w="720" w:type="dxa"/>
        <w:tblLook w:val="04A0" w:firstRow="1" w:lastRow="0" w:firstColumn="1" w:lastColumn="0" w:noHBand="0" w:noVBand="1"/>
      </w:tblPr>
      <w:tblGrid>
        <w:gridCol w:w="4350"/>
        <w:gridCol w:w="1701"/>
        <w:gridCol w:w="1701"/>
        <w:gridCol w:w="1490"/>
      </w:tblGrid>
      <w:tr w:rsidR="00BE0F80" w:rsidTr="00BE0F80">
        <w:tc>
          <w:tcPr>
            <w:tcW w:w="4350" w:type="dxa"/>
          </w:tcPr>
          <w:p w:rsidR="00BE0F80" w:rsidRDefault="00BE0F80" w:rsidP="00BE0F80">
            <w:pPr>
              <w:pStyle w:val="NoSpacing"/>
              <w:rPr>
                <w:rFonts w:ascii="Arial" w:hAnsi="Arial" w:cs="Arial"/>
                <w:sz w:val="24"/>
                <w:szCs w:val="24"/>
              </w:rPr>
            </w:pPr>
          </w:p>
        </w:tc>
        <w:tc>
          <w:tcPr>
            <w:tcW w:w="1701" w:type="dxa"/>
          </w:tcPr>
          <w:p w:rsidR="00BE0F80" w:rsidRPr="00C16B67" w:rsidRDefault="00BE0F80" w:rsidP="00BE0F80">
            <w:pPr>
              <w:pStyle w:val="NoSpacing"/>
              <w:jc w:val="center"/>
              <w:rPr>
                <w:rFonts w:ascii="Arial" w:hAnsi="Arial" w:cs="Arial"/>
                <w:b/>
                <w:sz w:val="24"/>
                <w:szCs w:val="24"/>
              </w:rPr>
            </w:pPr>
            <w:r w:rsidRPr="00C16B67">
              <w:rPr>
                <w:rFonts w:ascii="Arial" w:hAnsi="Arial" w:cs="Arial"/>
                <w:b/>
                <w:sz w:val="24"/>
                <w:szCs w:val="24"/>
              </w:rPr>
              <w:t>2017/18</w:t>
            </w:r>
            <w:r>
              <w:rPr>
                <w:rFonts w:ascii="Arial" w:hAnsi="Arial" w:cs="Arial"/>
                <w:b/>
                <w:sz w:val="24"/>
                <w:szCs w:val="24"/>
              </w:rPr>
              <w:t xml:space="preserve"> </w:t>
            </w:r>
            <w:r>
              <w:rPr>
                <w:rFonts w:ascii="Arial" w:hAnsi="Arial" w:cs="Arial"/>
                <w:b/>
                <w:sz w:val="24"/>
                <w:szCs w:val="24"/>
              </w:rPr>
              <w:br/>
              <w:t>£m</w:t>
            </w:r>
          </w:p>
        </w:tc>
        <w:tc>
          <w:tcPr>
            <w:tcW w:w="1701" w:type="dxa"/>
          </w:tcPr>
          <w:p w:rsidR="00BE0F80" w:rsidRDefault="00BE0F80" w:rsidP="00BE0F80">
            <w:pPr>
              <w:pStyle w:val="NoSpacing"/>
              <w:jc w:val="center"/>
              <w:rPr>
                <w:rFonts w:ascii="Arial" w:hAnsi="Arial" w:cs="Arial"/>
                <w:b/>
                <w:sz w:val="24"/>
                <w:szCs w:val="24"/>
              </w:rPr>
            </w:pPr>
            <w:r w:rsidRPr="00C16B67">
              <w:rPr>
                <w:rFonts w:ascii="Arial" w:hAnsi="Arial" w:cs="Arial"/>
                <w:b/>
                <w:sz w:val="24"/>
                <w:szCs w:val="24"/>
              </w:rPr>
              <w:t>2018/19</w:t>
            </w:r>
          </w:p>
          <w:p w:rsidR="00BE0F80" w:rsidRPr="00C16B67" w:rsidRDefault="00BE0F80" w:rsidP="00BE0F80">
            <w:pPr>
              <w:pStyle w:val="NoSpacing"/>
              <w:jc w:val="center"/>
              <w:rPr>
                <w:rFonts w:ascii="Arial" w:hAnsi="Arial" w:cs="Arial"/>
                <w:b/>
                <w:sz w:val="24"/>
                <w:szCs w:val="24"/>
              </w:rPr>
            </w:pPr>
            <w:r>
              <w:rPr>
                <w:rFonts w:ascii="Arial" w:hAnsi="Arial" w:cs="Arial"/>
                <w:b/>
                <w:sz w:val="24"/>
                <w:szCs w:val="24"/>
              </w:rPr>
              <w:t>£m</w:t>
            </w:r>
          </w:p>
        </w:tc>
        <w:tc>
          <w:tcPr>
            <w:tcW w:w="1490" w:type="dxa"/>
          </w:tcPr>
          <w:p w:rsidR="00BE0F80" w:rsidRPr="00C16B67" w:rsidRDefault="00E00202" w:rsidP="00BE0F80">
            <w:pPr>
              <w:pStyle w:val="NoSpacing"/>
              <w:jc w:val="center"/>
              <w:rPr>
                <w:rFonts w:ascii="Arial" w:hAnsi="Arial" w:cs="Arial"/>
                <w:b/>
                <w:sz w:val="24"/>
                <w:szCs w:val="24"/>
              </w:rPr>
            </w:pPr>
            <w:r>
              <w:rPr>
                <w:rFonts w:ascii="Arial" w:hAnsi="Arial" w:cs="Arial"/>
                <w:b/>
                <w:sz w:val="24"/>
                <w:szCs w:val="24"/>
              </w:rPr>
              <w:t>Complied</w:t>
            </w:r>
            <w:r w:rsidR="00CA25DE">
              <w:rPr>
                <w:rFonts w:ascii="Arial" w:hAnsi="Arial" w:cs="Arial"/>
                <w:b/>
                <w:sz w:val="24"/>
                <w:szCs w:val="24"/>
              </w:rPr>
              <w:t>?</w:t>
            </w:r>
          </w:p>
        </w:tc>
      </w:tr>
      <w:tr w:rsidR="00BE0F80" w:rsidTr="00BE0F80">
        <w:tc>
          <w:tcPr>
            <w:tcW w:w="4350" w:type="dxa"/>
          </w:tcPr>
          <w:p w:rsidR="00BE0F80" w:rsidRDefault="00BE0F80" w:rsidP="00BE0F80">
            <w:pPr>
              <w:pStyle w:val="NoSpacing"/>
              <w:rPr>
                <w:rFonts w:ascii="Arial" w:hAnsi="Arial" w:cs="Arial"/>
                <w:sz w:val="24"/>
                <w:szCs w:val="24"/>
              </w:rPr>
            </w:pPr>
            <w:r>
              <w:rPr>
                <w:rFonts w:ascii="Arial" w:hAnsi="Arial" w:cs="Arial"/>
                <w:sz w:val="24"/>
                <w:szCs w:val="24"/>
              </w:rPr>
              <w:t>Actual principal invested beyond year-end</w:t>
            </w:r>
          </w:p>
        </w:tc>
        <w:tc>
          <w:tcPr>
            <w:tcW w:w="1701" w:type="dxa"/>
          </w:tcPr>
          <w:p w:rsidR="00BE0F80" w:rsidRDefault="00BE0F80" w:rsidP="00BE0F80">
            <w:pPr>
              <w:pStyle w:val="NoSpacing"/>
              <w:jc w:val="center"/>
              <w:rPr>
                <w:rFonts w:ascii="Arial" w:hAnsi="Arial" w:cs="Arial"/>
                <w:sz w:val="24"/>
                <w:szCs w:val="24"/>
              </w:rPr>
            </w:pPr>
            <w:r>
              <w:rPr>
                <w:rFonts w:ascii="Arial" w:hAnsi="Arial" w:cs="Arial"/>
                <w:sz w:val="24"/>
                <w:szCs w:val="24"/>
              </w:rPr>
              <w:t>0</w:t>
            </w:r>
          </w:p>
        </w:tc>
        <w:tc>
          <w:tcPr>
            <w:tcW w:w="1701" w:type="dxa"/>
          </w:tcPr>
          <w:p w:rsidR="00BE0F80" w:rsidRDefault="00BE0F80" w:rsidP="00BE0F80">
            <w:pPr>
              <w:pStyle w:val="NoSpacing"/>
              <w:jc w:val="center"/>
              <w:rPr>
                <w:rFonts w:ascii="Arial" w:hAnsi="Arial" w:cs="Arial"/>
                <w:sz w:val="24"/>
                <w:szCs w:val="24"/>
              </w:rPr>
            </w:pPr>
            <w:r>
              <w:rPr>
                <w:rFonts w:ascii="Arial" w:hAnsi="Arial" w:cs="Arial"/>
                <w:sz w:val="24"/>
                <w:szCs w:val="24"/>
              </w:rPr>
              <w:t>0</w:t>
            </w:r>
          </w:p>
        </w:tc>
        <w:tc>
          <w:tcPr>
            <w:tcW w:w="1490" w:type="dxa"/>
          </w:tcPr>
          <w:p w:rsidR="00BE0F80" w:rsidRDefault="00CA25DE" w:rsidP="00BE0F80">
            <w:pPr>
              <w:pStyle w:val="NoSpacing"/>
              <w:jc w:val="center"/>
              <w:rPr>
                <w:rFonts w:ascii="Arial" w:hAnsi="Arial" w:cs="Arial"/>
                <w:sz w:val="24"/>
                <w:szCs w:val="24"/>
              </w:rPr>
            </w:pPr>
            <w:r w:rsidRPr="00CA25DE">
              <w:rPr>
                <w:rFonts w:ascii="Arial" w:hAnsi="Arial" w:cs="Arial"/>
                <w:bCs/>
                <w:sz w:val="24"/>
                <w:szCs w:val="24"/>
                <w:lang w:eastAsia="en-GB"/>
              </w:rPr>
              <w:t>Yes</w:t>
            </w:r>
          </w:p>
        </w:tc>
      </w:tr>
      <w:tr w:rsidR="00BE0F80" w:rsidTr="00BE0F80">
        <w:tc>
          <w:tcPr>
            <w:tcW w:w="4350" w:type="dxa"/>
          </w:tcPr>
          <w:p w:rsidR="00BE0F80" w:rsidRDefault="00BE0F80" w:rsidP="00BE0F80">
            <w:pPr>
              <w:pStyle w:val="NoSpacing"/>
              <w:rPr>
                <w:rFonts w:ascii="Arial" w:hAnsi="Arial" w:cs="Arial"/>
                <w:sz w:val="24"/>
                <w:szCs w:val="24"/>
              </w:rPr>
            </w:pPr>
            <w:r>
              <w:rPr>
                <w:rFonts w:ascii="Arial" w:hAnsi="Arial" w:cs="Arial"/>
                <w:sz w:val="24"/>
                <w:szCs w:val="24"/>
              </w:rPr>
              <w:t>Limit on principal invested beyond year-end</w:t>
            </w:r>
          </w:p>
        </w:tc>
        <w:tc>
          <w:tcPr>
            <w:tcW w:w="1701" w:type="dxa"/>
          </w:tcPr>
          <w:p w:rsidR="00BE0F80" w:rsidRDefault="00BE0F80" w:rsidP="00BE0F80">
            <w:pPr>
              <w:pStyle w:val="NoSpacing"/>
              <w:jc w:val="center"/>
              <w:rPr>
                <w:rFonts w:ascii="Arial" w:hAnsi="Arial" w:cs="Arial"/>
                <w:sz w:val="24"/>
                <w:szCs w:val="24"/>
              </w:rPr>
            </w:pPr>
            <w:r>
              <w:rPr>
                <w:rFonts w:ascii="Arial" w:hAnsi="Arial" w:cs="Arial"/>
                <w:sz w:val="24"/>
                <w:szCs w:val="24"/>
              </w:rPr>
              <w:t>0</w:t>
            </w:r>
          </w:p>
        </w:tc>
        <w:tc>
          <w:tcPr>
            <w:tcW w:w="1701" w:type="dxa"/>
          </w:tcPr>
          <w:p w:rsidR="00BE0F80" w:rsidRDefault="00BE0F80" w:rsidP="00BE0F80">
            <w:pPr>
              <w:pStyle w:val="NoSpacing"/>
              <w:jc w:val="center"/>
              <w:rPr>
                <w:rFonts w:ascii="Arial" w:hAnsi="Arial" w:cs="Arial"/>
                <w:sz w:val="24"/>
                <w:szCs w:val="24"/>
              </w:rPr>
            </w:pPr>
            <w:r>
              <w:rPr>
                <w:rFonts w:ascii="Arial" w:hAnsi="Arial" w:cs="Arial"/>
                <w:sz w:val="24"/>
                <w:szCs w:val="24"/>
              </w:rPr>
              <w:t>0</w:t>
            </w:r>
          </w:p>
        </w:tc>
        <w:tc>
          <w:tcPr>
            <w:tcW w:w="1490" w:type="dxa"/>
          </w:tcPr>
          <w:p w:rsidR="00BE0F80" w:rsidRDefault="00CA25DE" w:rsidP="00BE0F80">
            <w:pPr>
              <w:pStyle w:val="NoSpacing"/>
              <w:jc w:val="center"/>
              <w:rPr>
                <w:rFonts w:ascii="Arial" w:hAnsi="Arial" w:cs="Arial"/>
                <w:sz w:val="24"/>
                <w:szCs w:val="24"/>
              </w:rPr>
            </w:pPr>
            <w:r w:rsidRPr="00CA25DE">
              <w:rPr>
                <w:rFonts w:ascii="Arial" w:hAnsi="Arial" w:cs="Arial"/>
                <w:bCs/>
                <w:sz w:val="24"/>
                <w:szCs w:val="24"/>
                <w:lang w:eastAsia="en-GB"/>
              </w:rPr>
              <w:t>Yes</w:t>
            </w:r>
          </w:p>
        </w:tc>
      </w:tr>
    </w:tbl>
    <w:p w:rsidR="00BE0F80" w:rsidRDefault="00BE0F80" w:rsidP="00BE0F80">
      <w:pPr>
        <w:pStyle w:val="NoSpacing"/>
        <w:rPr>
          <w:rFonts w:cs="Arial"/>
          <w:sz w:val="24"/>
        </w:rPr>
      </w:pPr>
    </w:p>
    <w:p w:rsidR="00BE0F80" w:rsidRDefault="00BE0F80" w:rsidP="00BE0F80">
      <w:pPr>
        <w:pStyle w:val="NoSpacing"/>
        <w:ind w:left="720"/>
        <w:rPr>
          <w:rFonts w:ascii="Arial" w:hAnsi="Arial" w:cs="Arial"/>
          <w:b/>
          <w:sz w:val="24"/>
          <w:szCs w:val="24"/>
        </w:rPr>
      </w:pPr>
    </w:p>
    <w:p w:rsidR="00BE0F80" w:rsidRDefault="00BE0F80" w:rsidP="00E00202">
      <w:pPr>
        <w:pStyle w:val="NoSpacing"/>
        <w:rPr>
          <w:rFonts w:ascii="Arial" w:hAnsi="Arial" w:cs="Arial"/>
          <w:sz w:val="24"/>
          <w:szCs w:val="24"/>
          <w:u w:val="single"/>
        </w:rPr>
      </w:pPr>
      <w:r>
        <w:rPr>
          <w:rFonts w:ascii="Arial" w:hAnsi="Arial" w:cs="Arial"/>
          <w:sz w:val="24"/>
          <w:szCs w:val="24"/>
        </w:rPr>
        <w:tab/>
      </w:r>
    </w:p>
    <w:p w:rsidR="00BE0F80" w:rsidRPr="00AF5215" w:rsidRDefault="00BE0F80" w:rsidP="00BE0F80">
      <w:pPr>
        <w:pStyle w:val="NoSpacing"/>
        <w:rPr>
          <w:rFonts w:ascii="Arial" w:hAnsi="Arial" w:cs="Arial"/>
          <w:sz w:val="24"/>
          <w:szCs w:val="24"/>
        </w:rPr>
      </w:pPr>
    </w:p>
    <w:p w:rsidR="00BE0F80" w:rsidRPr="00E00202" w:rsidRDefault="00BE0F80" w:rsidP="00E00202">
      <w:pPr>
        <w:pStyle w:val="BodyText"/>
        <w:numPr>
          <w:ilvl w:val="0"/>
          <w:numId w:val="0"/>
        </w:numPr>
        <w:spacing w:before="120"/>
        <w:rPr>
          <w:rFonts w:ascii="Arial" w:hAnsi="Arial" w:cs="Arial"/>
          <w:sz w:val="24"/>
        </w:rPr>
      </w:pPr>
    </w:p>
    <w:p w:rsidR="00BE0F80" w:rsidRDefault="00BE0F80" w:rsidP="00BE0F80">
      <w:pPr>
        <w:rPr>
          <w:rFonts w:cs="Arial"/>
          <w:bCs/>
        </w:rPr>
      </w:pPr>
    </w:p>
    <w:p w:rsidR="00C27109" w:rsidRDefault="00C27109" w:rsidP="00BE0F80">
      <w:pPr>
        <w:rPr>
          <w:rFonts w:cs="Arial"/>
          <w:bCs/>
        </w:rPr>
      </w:pPr>
    </w:p>
    <w:p w:rsidR="00C27109" w:rsidRDefault="00C27109" w:rsidP="00BE0F80">
      <w:pPr>
        <w:rPr>
          <w:rFonts w:cs="Arial"/>
          <w:bCs/>
        </w:rPr>
      </w:pPr>
    </w:p>
    <w:p w:rsidR="00C27109" w:rsidRDefault="00C27109" w:rsidP="00BE0F80">
      <w:pPr>
        <w:rPr>
          <w:rFonts w:cs="Arial"/>
          <w:bCs/>
        </w:rPr>
      </w:pPr>
    </w:p>
    <w:p w:rsidR="00C27109" w:rsidRDefault="00C27109" w:rsidP="00BE0F80">
      <w:pPr>
        <w:rPr>
          <w:rFonts w:cs="Arial"/>
          <w:bCs/>
        </w:rPr>
      </w:pPr>
    </w:p>
    <w:p w:rsidR="00C27109" w:rsidRPr="00844EA4" w:rsidRDefault="00C27109" w:rsidP="00BE0F80">
      <w:pPr>
        <w:rPr>
          <w:rFonts w:cs="Arial"/>
          <w:bCs/>
        </w:rPr>
      </w:pPr>
    </w:p>
    <w:p w:rsidR="00BE0F80" w:rsidRPr="00DF7DF9" w:rsidRDefault="00BE0F80" w:rsidP="00BE0F80">
      <w:pPr>
        <w:pStyle w:val="NoSpacing"/>
        <w:ind w:left="720"/>
        <w:jc w:val="right"/>
        <w:rPr>
          <w:rFonts w:ascii="Arial" w:hAnsi="Arial" w:cs="Arial"/>
          <w:b/>
          <w:sz w:val="24"/>
          <w:szCs w:val="24"/>
        </w:rPr>
      </w:pPr>
      <w:r w:rsidRPr="00DF7DF9">
        <w:rPr>
          <w:rFonts w:ascii="Arial" w:hAnsi="Arial" w:cs="Arial"/>
          <w:b/>
          <w:sz w:val="24"/>
          <w:szCs w:val="24"/>
        </w:rPr>
        <w:t>Appendix A</w:t>
      </w:r>
    </w:p>
    <w:p w:rsidR="00BE0F80" w:rsidRDefault="00BE0F80" w:rsidP="00BE0F80">
      <w:pPr>
        <w:pStyle w:val="NoSpacing"/>
        <w:ind w:left="720"/>
        <w:rPr>
          <w:rFonts w:ascii="Arial" w:hAnsi="Arial" w:cs="Arial"/>
          <w:b/>
          <w:sz w:val="24"/>
          <w:szCs w:val="24"/>
        </w:rPr>
      </w:pPr>
      <w:r w:rsidRPr="00DF7DF9">
        <w:rPr>
          <w:rFonts w:ascii="Arial" w:hAnsi="Arial" w:cs="Arial"/>
          <w:b/>
          <w:sz w:val="24"/>
          <w:szCs w:val="24"/>
        </w:rPr>
        <w:t>Investment position at 31</w:t>
      </w:r>
      <w:r>
        <w:rPr>
          <w:rFonts w:ascii="Arial" w:hAnsi="Arial" w:cs="Arial"/>
          <w:b/>
          <w:sz w:val="24"/>
          <w:szCs w:val="24"/>
        </w:rPr>
        <w:t>st</w:t>
      </w:r>
      <w:r w:rsidRPr="00DF7DF9">
        <w:rPr>
          <w:rFonts w:ascii="Arial" w:hAnsi="Arial" w:cs="Arial"/>
          <w:b/>
          <w:sz w:val="24"/>
          <w:szCs w:val="24"/>
        </w:rPr>
        <w:t xml:space="preserve"> March </w:t>
      </w:r>
      <w:r w:rsidR="00E00202">
        <w:rPr>
          <w:rFonts w:ascii="Arial" w:hAnsi="Arial" w:cs="Arial"/>
          <w:b/>
          <w:sz w:val="24"/>
          <w:szCs w:val="24"/>
        </w:rPr>
        <w:t>2018</w:t>
      </w:r>
      <w:r>
        <w:rPr>
          <w:rFonts w:ascii="Arial" w:hAnsi="Arial" w:cs="Arial"/>
          <w:b/>
          <w:sz w:val="24"/>
          <w:szCs w:val="24"/>
        </w:rPr>
        <w:t xml:space="preserve"> and 31</w:t>
      </w:r>
      <w:r w:rsidRPr="00D05AE3">
        <w:rPr>
          <w:rFonts w:ascii="Arial" w:hAnsi="Arial" w:cs="Arial"/>
          <w:b/>
          <w:sz w:val="24"/>
          <w:szCs w:val="24"/>
          <w:vertAlign w:val="superscript"/>
        </w:rPr>
        <w:t>st</w:t>
      </w:r>
      <w:r w:rsidR="00E00202">
        <w:rPr>
          <w:rFonts w:ascii="Arial" w:hAnsi="Arial" w:cs="Arial"/>
          <w:b/>
          <w:sz w:val="24"/>
          <w:szCs w:val="24"/>
        </w:rPr>
        <w:t xml:space="preserve"> March 2019</w:t>
      </w:r>
    </w:p>
    <w:p w:rsidR="00BE0F80" w:rsidRDefault="00BE0F80" w:rsidP="00BE0F80">
      <w:pPr>
        <w:pStyle w:val="NoSpacing"/>
        <w:ind w:left="720"/>
        <w:rPr>
          <w:rFonts w:ascii="Arial" w:hAnsi="Arial" w:cs="Arial"/>
          <w:b/>
          <w:sz w:val="24"/>
          <w:szCs w:val="24"/>
        </w:rPr>
      </w:pPr>
    </w:p>
    <w:tbl>
      <w:tblPr>
        <w:tblStyle w:val="TableGrid"/>
        <w:tblW w:w="0" w:type="auto"/>
        <w:tblInd w:w="720" w:type="dxa"/>
        <w:tblLook w:val="04A0" w:firstRow="1" w:lastRow="0" w:firstColumn="1" w:lastColumn="0" w:noHBand="0" w:noVBand="1"/>
      </w:tblPr>
      <w:tblGrid>
        <w:gridCol w:w="3216"/>
        <w:gridCol w:w="1559"/>
        <w:gridCol w:w="1559"/>
        <w:gridCol w:w="1559"/>
        <w:gridCol w:w="1349"/>
      </w:tblGrid>
      <w:tr w:rsidR="00BE0F80" w:rsidTr="00BE0F80">
        <w:tc>
          <w:tcPr>
            <w:tcW w:w="3216" w:type="dxa"/>
          </w:tcPr>
          <w:p w:rsidR="00BE0F80" w:rsidRDefault="00BE0F80" w:rsidP="00BE0F80">
            <w:pPr>
              <w:pStyle w:val="NoSpacing"/>
              <w:rPr>
                <w:rFonts w:ascii="Arial" w:hAnsi="Arial" w:cs="Arial"/>
                <w:b/>
                <w:sz w:val="24"/>
                <w:szCs w:val="24"/>
              </w:rPr>
            </w:pPr>
          </w:p>
        </w:tc>
        <w:tc>
          <w:tcPr>
            <w:tcW w:w="1559" w:type="dxa"/>
          </w:tcPr>
          <w:p w:rsidR="00BE0F80" w:rsidRDefault="00E00202" w:rsidP="00BE0F80">
            <w:pPr>
              <w:pStyle w:val="NoSpacing"/>
              <w:jc w:val="right"/>
              <w:rPr>
                <w:rFonts w:ascii="Arial" w:hAnsi="Arial" w:cs="Arial"/>
                <w:b/>
                <w:sz w:val="24"/>
                <w:szCs w:val="24"/>
              </w:rPr>
            </w:pPr>
            <w:r>
              <w:rPr>
                <w:rFonts w:ascii="Arial" w:hAnsi="Arial" w:cs="Arial"/>
                <w:b/>
                <w:sz w:val="24"/>
                <w:szCs w:val="24"/>
              </w:rPr>
              <w:t>31/3/18</w:t>
            </w:r>
            <w:r w:rsidR="00BE0F80">
              <w:rPr>
                <w:rFonts w:ascii="Arial" w:hAnsi="Arial" w:cs="Arial"/>
                <w:b/>
                <w:sz w:val="24"/>
                <w:szCs w:val="24"/>
              </w:rPr>
              <w:t xml:space="preserve"> </w:t>
            </w:r>
          </w:p>
          <w:p w:rsidR="00BE0F80" w:rsidRDefault="00BE0F80" w:rsidP="00BE0F80">
            <w:pPr>
              <w:pStyle w:val="NoSpacing"/>
              <w:jc w:val="right"/>
              <w:rPr>
                <w:rFonts w:ascii="Arial" w:hAnsi="Arial" w:cs="Arial"/>
                <w:b/>
                <w:sz w:val="24"/>
                <w:szCs w:val="24"/>
              </w:rPr>
            </w:pPr>
            <w:r>
              <w:rPr>
                <w:rFonts w:ascii="Arial" w:hAnsi="Arial" w:cs="Arial"/>
                <w:b/>
                <w:sz w:val="24"/>
                <w:szCs w:val="24"/>
              </w:rPr>
              <w:t>£000</w:t>
            </w:r>
          </w:p>
        </w:tc>
        <w:tc>
          <w:tcPr>
            <w:tcW w:w="1559" w:type="dxa"/>
          </w:tcPr>
          <w:p w:rsidR="00BE0F80" w:rsidRDefault="00BE0F80" w:rsidP="00BE0F80">
            <w:pPr>
              <w:pStyle w:val="NoSpacing"/>
              <w:jc w:val="right"/>
              <w:rPr>
                <w:rFonts w:ascii="Arial" w:hAnsi="Arial" w:cs="Arial"/>
                <w:b/>
                <w:sz w:val="24"/>
                <w:szCs w:val="24"/>
              </w:rPr>
            </w:pPr>
            <w:r>
              <w:rPr>
                <w:rFonts w:ascii="Arial" w:hAnsi="Arial" w:cs="Arial"/>
                <w:b/>
                <w:sz w:val="24"/>
                <w:szCs w:val="24"/>
              </w:rPr>
              <w:t>Start date</w:t>
            </w:r>
          </w:p>
        </w:tc>
        <w:tc>
          <w:tcPr>
            <w:tcW w:w="1559" w:type="dxa"/>
          </w:tcPr>
          <w:p w:rsidR="00BE0F80" w:rsidRDefault="00BE0F80" w:rsidP="00BE0F80">
            <w:pPr>
              <w:pStyle w:val="NoSpacing"/>
              <w:jc w:val="right"/>
              <w:rPr>
                <w:rFonts w:ascii="Arial" w:hAnsi="Arial" w:cs="Arial"/>
                <w:b/>
                <w:sz w:val="24"/>
                <w:szCs w:val="24"/>
              </w:rPr>
            </w:pPr>
            <w:r>
              <w:rPr>
                <w:rFonts w:ascii="Arial" w:hAnsi="Arial" w:cs="Arial"/>
                <w:b/>
                <w:sz w:val="24"/>
                <w:szCs w:val="24"/>
              </w:rPr>
              <w:t>Maturity date</w:t>
            </w:r>
          </w:p>
        </w:tc>
        <w:tc>
          <w:tcPr>
            <w:tcW w:w="1349" w:type="dxa"/>
          </w:tcPr>
          <w:p w:rsidR="00BE0F80" w:rsidRDefault="00BE0F80" w:rsidP="00BE0F80">
            <w:pPr>
              <w:pStyle w:val="NoSpacing"/>
              <w:jc w:val="right"/>
              <w:rPr>
                <w:rFonts w:ascii="Arial" w:hAnsi="Arial" w:cs="Arial"/>
                <w:b/>
                <w:sz w:val="24"/>
                <w:szCs w:val="24"/>
              </w:rPr>
            </w:pPr>
            <w:r>
              <w:rPr>
                <w:rFonts w:ascii="Arial" w:hAnsi="Arial" w:cs="Arial"/>
                <w:b/>
                <w:sz w:val="24"/>
                <w:szCs w:val="24"/>
              </w:rPr>
              <w:t xml:space="preserve">Rate </w:t>
            </w:r>
          </w:p>
          <w:p w:rsidR="00BE0F80" w:rsidRDefault="00BE0F80" w:rsidP="00BE0F80">
            <w:pPr>
              <w:pStyle w:val="NoSpacing"/>
              <w:jc w:val="right"/>
              <w:rPr>
                <w:rFonts w:ascii="Arial" w:hAnsi="Arial" w:cs="Arial"/>
                <w:b/>
                <w:sz w:val="24"/>
                <w:szCs w:val="24"/>
              </w:rPr>
            </w:pPr>
            <w:r>
              <w:rPr>
                <w:rFonts w:ascii="Arial" w:hAnsi="Arial" w:cs="Arial"/>
                <w:b/>
                <w:sz w:val="24"/>
                <w:szCs w:val="24"/>
              </w:rPr>
              <w:t>%</w:t>
            </w:r>
          </w:p>
        </w:tc>
      </w:tr>
      <w:tr w:rsidR="00BE0F80" w:rsidTr="00BE0F80">
        <w:tc>
          <w:tcPr>
            <w:tcW w:w="3216" w:type="dxa"/>
          </w:tcPr>
          <w:p w:rsidR="00BE0F80" w:rsidRDefault="00BE0F80" w:rsidP="00BE0F80">
            <w:pPr>
              <w:pStyle w:val="NoSpacing"/>
              <w:rPr>
                <w:rFonts w:ascii="Arial" w:hAnsi="Arial" w:cs="Arial"/>
                <w:b/>
                <w:sz w:val="24"/>
                <w:szCs w:val="24"/>
              </w:rPr>
            </w:pPr>
            <w:r>
              <w:rPr>
                <w:rFonts w:ascii="Arial" w:hAnsi="Arial" w:cs="Arial"/>
                <w:b/>
                <w:sz w:val="24"/>
                <w:szCs w:val="24"/>
              </w:rPr>
              <w:t>Call</w:t>
            </w:r>
            <w:r w:rsidR="00E00202">
              <w:rPr>
                <w:rFonts w:ascii="Arial" w:hAnsi="Arial" w:cs="Arial"/>
                <w:b/>
                <w:sz w:val="24"/>
                <w:szCs w:val="24"/>
              </w:rPr>
              <w:t>/notice</w:t>
            </w:r>
            <w:r>
              <w:rPr>
                <w:rFonts w:ascii="Arial" w:hAnsi="Arial" w:cs="Arial"/>
                <w:b/>
                <w:sz w:val="24"/>
                <w:szCs w:val="24"/>
              </w:rPr>
              <w:t xml:space="preserve"> accounts</w:t>
            </w:r>
          </w:p>
        </w:tc>
        <w:tc>
          <w:tcPr>
            <w:tcW w:w="1559" w:type="dxa"/>
          </w:tcPr>
          <w:p w:rsidR="00BE0F80" w:rsidRPr="005052DF" w:rsidRDefault="00BE0F80" w:rsidP="00BE0F80">
            <w:pPr>
              <w:pStyle w:val="NoSpacing"/>
              <w:jc w:val="right"/>
              <w:rPr>
                <w:rFonts w:ascii="Arial" w:hAnsi="Arial" w:cs="Arial"/>
                <w:sz w:val="24"/>
                <w:szCs w:val="24"/>
              </w:rPr>
            </w:pPr>
          </w:p>
        </w:tc>
        <w:tc>
          <w:tcPr>
            <w:tcW w:w="1559" w:type="dxa"/>
          </w:tcPr>
          <w:p w:rsidR="00BE0F80" w:rsidRPr="005052DF" w:rsidRDefault="00BE0F80" w:rsidP="00BE0F80">
            <w:pPr>
              <w:pStyle w:val="NoSpacing"/>
              <w:jc w:val="right"/>
              <w:rPr>
                <w:rFonts w:ascii="Arial" w:hAnsi="Arial" w:cs="Arial"/>
                <w:b/>
                <w:sz w:val="24"/>
                <w:szCs w:val="24"/>
              </w:rPr>
            </w:pPr>
          </w:p>
        </w:tc>
        <w:tc>
          <w:tcPr>
            <w:tcW w:w="1559" w:type="dxa"/>
          </w:tcPr>
          <w:p w:rsidR="00BE0F80" w:rsidRPr="005052DF" w:rsidRDefault="00BE0F80" w:rsidP="00BE0F80">
            <w:pPr>
              <w:pStyle w:val="NoSpacing"/>
              <w:jc w:val="right"/>
              <w:rPr>
                <w:rFonts w:ascii="Arial" w:hAnsi="Arial" w:cs="Arial"/>
                <w:b/>
                <w:sz w:val="24"/>
                <w:szCs w:val="24"/>
              </w:rPr>
            </w:pPr>
          </w:p>
        </w:tc>
        <w:tc>
          <w:tcPr>
            <w:tcW w:w="1349" w:type="dxa"/>
          </w:tcPr>
          <w:p w:rsidR="00BE0F80" w:rsidRPr="005052DF" w:rsidRDefault="00BE0F80" w:rsidP="00BE0F80">
            <w:pPr>
              <w:pStyle w:val="NoSpacing"/>
              <w:jc w:val="right"/>
              <w:rPr>
                <w:rFonts w:ascii="Arial" w:hAnsi="Arial" w:cs="Arial"/>
                <w:b/>
                <w:sz w:val="24"/>
                <w:szCs w:val="24"/>
              </w:rPr>
            </w:pPr>
          </w:p>
        </w:tc>
      </w:tr>
      <w:tr w:rsidR="00BE0F80" w:rsidTr="00BE0F80">
        <w:tc>
          <w:tcPr>
            <w:tcW w:w="3216" w:type="dxa"/>
          </w:tcPr>
          <w:p w:rsidR="00BE0F80" w:rsidRPr="00DF7DF9" w:rsidRDefault="00BE0F80" w:rsidP="00BE0F80">
            <w:pPr>
              <w:pStyle w:val="NoSpacing"/>
              <w:rPr>
                <w:rFonts w:ascii="Arial" w:hAnsi="Arial" w:cs="Arial"/>
                <w:sz w:val="24"/>
                <w:szCs w:val="24"/>
              </w:rPr>
            </w:pPr>
            <w:r w:rsidRPr="00DF7DF9">
              <w:rPr>
                <w:rFonts w:ascii="Arial" w:hAnsi="Arial" w:cs="Arial"/>
                <w:sz w:val="24"/>
                <w:szCs w:val="24"/>
              </w:rPr>
              <w:t>Santander UK PLC</w:t>
            </w:r>
          </w:p>
        </w:tc>
        <w:tc>
          <w:tcPr>
            <w:tcW w:w="1559" w:type="dxa"/>
          </w:tcPr>
          <w:p w:rsidR="00BE0F80" w:rsidRPr="005052DF" w:rsidRDefault="00E00202" w:rsidP="00BE0F80">
            <w:pPr>
              <w:pStyle w:val="NoSpacing"/>
              <w:jc w:val="right"/>
              <w:rPr>
                <w:rFonts w:ascii="Arial" w:hAnsi="Arial" w:cs="Arial"/>
                <w:sz w:val="24"/>
                <w:szCs w:val="24"/>
              </w:rPr>
            </w:pPr>
            <w:r>
              <w:rPr>
                <w:rFonts w:ascii="Arial" w:hAnsi="Arial" w:cs="Arial"/>
                <w:sz w:val="24"/>
                <w:szCs w:val="24"/>
              </w:rPr>
              <w:t>1,0</w:t>
            </w:r>
            <w:r w:rsidR="00BE0F80" w:rsidRPr="005052DF">
              <w:rPr>
                <w:rFonts w:ascii="Arial" w:hAnsi="Arial" w:cs="Arial"/>
                <w:sz w:val="24"/>
                <w:szCs w:val="24"/>
              </w:rPr>
              <w:t>00</w:t>
            </w:r>
          </w:p>
        </w:tc>
        <w:tc>
          <w:tcPr>
            <w:tcW w:w="1559" w:type="dxa"/>
          </w:tcPr>
          <w:p w:rsidR="00BE0F80" w:rsidRPr="005052DF" w:rsidRDefault="00BE0F80" w:rsidP="00BE0F80">
            <w:pPr>
              <w:pStyle w:val="NoSpacing"/>
              <w:jc w:val="right"/>
              <w:rPr>
                <w:rFonts w:ascii="Arial" w:hAnsi="Arial" w:cs="Arial"/>
                <w:sz w:val="24"/>
                <w:szCs w:val="24"/>
              </w:rPr>
            </w:pPr>
          </w:p>
        </w:tc>
        <w:tc>
          <w:tcPr>
            <w:tcW w:w="1559" w:type="dxa"/>
          </w:tcPr>
          <w:p w:rsidR="00BE0F80" w:rsidRPr="005052DF" w:rsidRDefault="00BE0F80" w:rsidP="00BE0F80">
            <w:pPr>
              <w:pStyle w:val="NoSpacing"/>
              <w:jc w:val="right"/>
              <w:rPr>
                <w:rFonts w:ascii="Arial" w:hAnsi="Arial" w:cs="Arial"/>
                <w:sz w:val="24"/>
                <w:szCs w:val="24"/>
              </w:rPr>
            </w:pPr>
          </w:p>
        </w:tc>
        <w:tc>
          <w:tcPr>
            <w:tcW w:w="1349" w:type="dxa"/>
          </w:tcPr>
          <w:p w:rsidR="00BE0F80" w:rsidRPr="005052DF" w:rsidRDefault="001731B2" w:rsidP="00BE0F80">
            <w:pPr>
              <w:pStyle w:val="NoSpacing"/>
              <w:jc w:val="right"/>
              <w:rPr>
                <w:rFonts w:ascii="Arial" w:hAnsi="Arial" w:cs="Arial"/>
                <w:sz w:val="24"/>
                <w:szCs w:val="24"/>
              </w:rPr>
            </w:pPr>
            <w:r>
              <w:rPr>
                <w:rFonts w:ascii="Arial" w:hAnsi="Arial" w:cs="Arial"/>
                <w:sz w:val="24"/>
                <w:szCs w:val="24"/>
              </w:rPr>
              <w:t>0.2</w:t>
            </w:r>
            <w:r w:rsidR="00BE0F80">
              <w:rPr>
                <w:rFonts w:ascii="Arial" w:hAnsi="Arial" w:cs="Arial"/>
                <w:sz w:val="24"/>
                <w:szCs w:val="24"/>
              </w:rPr>
              <w:t>5%</w:t>
            </w:r>
          </w:p>
        </w:tc>
      </w:tr>
      <w:tr w:rsidR="00BE0F80" w:rsidTr="00BE0F80">
        <w:tc>
          <w:tcPr>
            <w:tcW w:w="3216" w:type="dxa"/>
          </w:tcPr>
          <w:p w:rsidR="00BE0F80" w:rsidRPr="00DF7DF9" w:rsidRDefault="00BE0F80" w:rsidP="00BE0F80">
            <w:pPr>
              <w:pStyle w:val="NoSpacing"/>
              <w:rPr>
                <w:rFonts w:ascii="Arial" w:hAnsi="Arial" w:cs="Arial"/>
                <w:sz w:val="24"/>
                <w:szCs w:val="24"/>
              </w:rPr>
            </w:pPr>
            <w:r w:rsidRPr="00DF7DF9">
              <w:rPr>
                <w:rFonts w:ascii="Arial" w:hAnsi="Arial" w:cs="Arial"/>
                <w:sz w:val="24"/>
                <w:szCs w:val="24"/>
              </w:rPr>
              <w:t>Barclays Bank PLC</w:t>
            </w:r>
          </w:p>
        </w:tc>
        <w:tc>
          <w:tcPr>
            <w:tcW w:w="1559" w:type="dxa"/>
          </w:tcPr>
          <w:p w:rsidR="00BE0F80" w:rsidRPr="005052DF" w:rsidRDefault="001731B2" w:rsidP="00BE0F80">
            <w:pPr>
              <w:pStyle w:val="NoSpacing"/>
              <w:jc w:val="right"/>
              <w:rPr>
                <w:rFonts w:ascii="Arial" w:hAnsi="Arial" w:cs="Arial"/>
                <w:sz w:val="24"/>
                <w:szCs w:val="24"/>
              </w:rPr>
            </w:pPr>
            <w:r>
              <w:rPr>
                <w:rFonts w:ascii="Arial" w:hAnsi="Arial" w:cs="Arial"/>
                <w:sz w:val="24"/>
                <w:szCs w:val="24"/>
              </w:rPr>
              <w:t>1,0</w:t>
            </w:r>
            <w:r w:rsidR="00BE0F80" w:rsidRPr="005052DF">
              <w:rPr>
                <w:rFonts w:ascii="Arial" w:hAnsi="Arial" w:cs="Arial"/>
                <w:sz w:val="24"/>
                <w:szCs w:val="24"/>
              </w:rPr>
              <w:t>00</w:t>
            </w:r>
          </w:p>
        </w:tc>
        <w:tc>
          <w:tcPr>
            <w:tcW w:w="1559" w:type="dxa"/>
          </w:tcPr>
          <w:p w:rsidR="00BE0F80" w:rsidRPr="005052DF" w:rsidRDefault="00BE0F80" w:rsidP="00BE0F80">
            <w:pPr>
              <w:pStyle w:val="NoSpacing"/>
              <w:jc w:val="right"/>
              <w:rPr>
                <w:rFonts w:ascii="Arial" w:hAnsi="Arial" w:cs="Arial"/>
                <w:sz w:val="24"/>
                <w:szCs w:val="24"/>
              </w:rPr>
            </w:pPr>
          </w:p>
        </w:tc>
        <w:tc>
          <w:tcPr>
            <w:tcW w:w="1559" w:type="dxa"/>
          </w:tcPr>
          <w:p w:rsidR="00BE0F80" w:rsidRPr="005052DF" w:rsidRDefault="00BE0F80" w:rsidP="00BE0F80">
            <w:pPr>
              <w:pStyle w:val="NoSpacing"/>
              <w:jc w:val="right"/>
              <w:rPr>
                <w:rFonts w:ascii="Arial" w:hAnsi="Arial" w:cs="Arial"/>
                <w:sz w:val="24"/>
                <w:szCs w:val="24"/>
              </w:rPr>
            </w:pPr>
          </w:p>
        </w:tc>
        <w:tc>
          <w:tcPr>
            <w:tcW w:w="1349" w:type="dxa"/>
          </w:tcPr>
          <w:p w:rsidR="00BE0F80" w:rsidRPr="005052DF" w:rsidRDefault="001731B2" w:rsidP="00BE0F80">
            <w:pPr>
              <w:pStyle w:val="NoSpacing"/>
              <w:jc w:val="right"/>
              <w:rPr>
                <w:rFonts w:ascii="Arial" w:hAnsi="Arial" w:cs="Arial"/>
                <w:sz w:val="24"/>
                <w:szCs w:val="24"/>
              </w:rPr>
            </w:pPr>
            <w:r>
              <w:rPr>
                <w:rFonts w:ascii="Arial" w:hAnsi="Arial" w:cs="Arial"/>
                <w:sz w:val="24"/>
                <w:szCs w:val="24"/>
              </w:rPr>
              <w:t>0.30</w:t>
            </w:r>
            <w:r w:rsidR="00BE0F80" w:rsidRPr="005052DF">
              <w:rPr>
                <w:rFonts w:ascii="Arial" w:hAnsi="Arial" w:cs="Arial"/>
                <w:sz w:val="24"/>
                <w:szCs w:val="24"/>
              </w:rPr>
              <w:t>%</w:t>
            </w:r>
            <w:r w:rsidR="00BE0F80">
              <w:rPr>
                <w:rFonts w:ascii="Arial" w:hAnsi="Arial" w:cs="Arial"/>
                <w:sz w:val="24"/>
                <w:szCs w:val="24"/>
              </w:rPr>
              <w:t>*</w:t>
            </w:r>
          </w:p>
        </w:tc>
      </w:tr>
      <w:tr w:rsidR="00BE0F80" w:rsidTr="00BE0F80">
        <w:tc>
          <w:tcPr>
            <w:tcW w:w="3216" w:type="dxa"/>
          </w:tcPr>
          <w:p w:rsidR="00BE0F80" w:rsidRDefault="00BE0F80" w:rsidP="00BE0F80">
            <w:pPr>
              <w:pStyle w:val="NoSpacing"/>
              <w:rPr>
                <w:rFonts w:ascii="Arial" w:hAnsi="Arial" w:cs="Arial"/>
                <w:b/>
                <w:sz w:val="24"/>
                <w:szCs w:val="24"/>
              </w:rPr>
            </w:pPr>
            <w:r>
              <w:rPr>
                <w:rFonts w:ascii="Arial" w:hAnsi="Arial" w:cs="Arial"/>
                <w:b/>
                <w:sz w:val="24"/>
                <w:szCs w:val="24"/>
              </w:rPr>
              <w:t>Total</w:t>
            </w:r>
          </w:p>
        </w:tc>
        <w:tc>
          <w:tcPr>
            <w:tcW w:w="1559" w:type="dxa"/>
          </w:tcPr>
          <w:p w:rsidR="00BE0F80" w:rsidRPr="005052DF" w:rsidRDefault="001731B2" w:rsidP="00BE0F80">
            <w:pPr>
              <w:pStyle w:val="NoSpacing"/>
              <w:jc w:val="right"/>
              <w:rPr>
                <w:rFonts w:ascii="Arial" w:hAnsi="Arial" w:cs="Arial"/>
                <w:b/>
                <w:sz w:val="24"/>
                <w:szCs w:val="24"/>
              </w:rPr>
            </w:pPr>
            <w:r>
              <w:rPr>
                <w:rFonts w:ascii="Arial" w:hAnsi="Arial" w:cs="Arial"/>
                <w:b/>
                <w:sz w:val="24"/>
                <w:szCs w:val="24"/>
              </w:rPr>
              <w:t>2</w:t>
            </w:r>
            <w:r w:rsidR="00BE0F80">
              <w:rPr>
                <w:rFonts w:ascii="Arial" w:hAnsi="Arial" w:cs="Arial"/>
                <w:b/>
                <w:sz w:val="24"/>
                <w:szCs w:val="24"/>
              </w:rPr>
              <w:t>,000</w:t>
            </w:r>
          </w:p>
        </w:tc>
        <w:tc>
          <w:tcPr>
            <w:tcW w:w="1559" w:type="dxa"/>
          </w:tcPr>
          <w:p w:rsidR="00BE0F80" w:rsidRPr="005052DF" w:rsidRDefault="00BE0F80" w:rsidP="00BE0F80">
            <w:pPr>
              <w:pStyle w:val="NoSpacing"/>
              <w:jc w:val="right"/>
              <w:rPr>
                <w:rFonts w:ascii="Arial" w:hAnsi="Arial" w:cs="Arial"/>
                <w:b/>
                <w:sz w:val="24"/>
                <w:szCs w:val="24"/>
              </w:rPr>
            </w:pPr>
          </w:p>
        </w:tc>
        <w:tc>
          <w:tcPr>
            <w:tcW w:w="1559" w:type="dxa"/>
          </w:tcPr>
          <w:p w:rsidR="00BE0F80" w:rsidRPr="005052DF" w:rsidRDefault="00BE0F80" w:rsidP="00BE0F80">
            <w:pPr>
              <w:pStyle w:val="NoSpacing"/>
              <w:jc w:val="right"/>
              <w:rPr>
                <w:rFonts w:ascii="Arial" w:hAnsi="Arial" w:cs="Arial"/>
                <w:b/>
                <w:sz w:val="24"/>
                <w:szCs w:val="24"/>
              </w:rPr>
            </w:pPr>
          </w:p>
        </w:tc>
        <w:tc>
          <w:tcPr>
            <w:tcW w:w="1349" w:type="dxa"/>
          </w:tcPr>
          <w:p w:rsidR="00BE0F80" w:rsidRPr="005052DF" w:rsidRDefault="00BE0F80" w:rsidP="00BE0F80">
            <w:pPr>
              <w:pStyle w:val="NoSpacing"/>
              <w:jc w:val="right"/>
              <w:rPr>
                <w:rFonts w:ascii="Arial" w:hAnsi="Arial" w:cs="Arial"/>
                <w:b/>
                <w:sz w:val="24"/>
                <w:szCs w:val="24"/>
              </w:rPr>
            </w:pPr>
          </w:p>
        </w:tc>
      </w:tr>
      <w:tr w:rsidR="00BE0F80" w:rsidTr="00BE0F80">
        <w:tc>
          <w:tcPr>
            <w:tcW w:w="3216" w:type="dxa"/>
          </w:tcPr>
          <w:p w:rsidR="00BE0F80" w:rsidRDefault="00BE0F80" w:rsidP="00BE0F80">
            <w:pPr>
              <w:pStyle w:val="NoSpacing"/>
              <w:rPr>
                <w:rFonts w:ascii="Arial" w:hAnsi="Arial" w:cs="Arial"/>
                <w:b/>
                <w:sz w:val="24"/>
                <w:szCs w:val="24"/>
              </w:rPr>
            </w:pPr>
          </w:p>
        </w:tc>
        <w:tc>
          <w:tcPr>
            <w:tcW w:w="1559" w:type="dxa"/>
          </w:tcPr>
          <w:p w:rsidR="00BE0F80" w:rsidRPr="005052DF" w:rsidRDefault="00BE0F80" w:rsidP="00BE0F80">
            <w:pPr>
              <w:pStyle w:val="NoSpacing"/>
              <w:jc w:val="right"/>
              <w:rPr>
                <w:rFonts w:ascii="Arial" w:hAnsi="Arial" w:cs="Arial"/>
                <w:b/>
                <w:sz w:val="24"/>
                <w:szCs w:val="24"/>
              </w:rPr>
            </w:pPr>
          </w:p>
        </w:tc>
        <w:tc>
          <w:tcPr>
            <w:tcW w:w="1559" w:type="dxa"/>
          </w:tcPr>
          <w:p w:rsidR="00BE0F80" w:rsidRPr="005052DF" w:rsidRDefault="00BE0F80" w:rsidP="00BE0F80">
            <w:pPr>
              <w:pStyle w:val="NoSpacing"/>
              <w:jc w:val="right"/>
              <w:rPr>
                <w:rFonts w:ascii="Arial" w:hAnsi="Arial" w:cs="Arial"/>
                <w:b/>
                <w:sz w:val="24"/>
                <w:szCs w:val="24"/>
              </w:rPr>
            </w:pPr>
          </w:p>
        </w:tc>
        <w:tc>
          <w:tcPr>
            <w:tcW w:w="1559" w:type="dxa"/>
          </w:tcPr>
          <w:p w:rsidR="00BE0F80" w:rsidRPr="005052DF" w:rsidRDefault="00BE0F80" w:rsidP="00BE0F80">
            <w:pPr>
              <w:pStyle w:val="NoSpacing"/>
              <w:jc w:val="right"/>
              <w:rPr>
                <w:rFonts w:ascii="Arial" w:hAnsi="Arial" w:cs="Arial"/>
                <w:b/>
                <w:sz w:val="24"/>
                <w:szCs w:val="24"/>
              </w:rPr>
            </w:pPr>
          </w:p>
        </w:tc>
        <w:tc>
          <w:tcPr>
            <w:tcW w:w="1349" w:type="dxa"/>
          </w:tcPr>
          <w:p w:rsidR="00BE0F80" w:rsidRPr="005052DF" w:rsidRDefault="00BE0F80" w:rsidP="00BE0F80">
            <w:pPr>
              <w:pStyle w:val="NoSpacing"/>
              <w:jc w:val="right"/>
              <w:rPr>
                <w:rFonts w:ascii="Arial" w:hAnsi="Arial" w:cs="Arial"/>
                <w:b/>
                <w:sz w:val="24"/>
                <w:szCs w:val="24"/>
              </w:rPr>
            </w:pPr>
          </w:p>
        </w:tc>
      </w:tr>
      <w:tr w:rsidR="00BE0F80" w:rsidTr="00BE0F80">
        <w:tc>
          <w:tcPr>
            <w:tcW w:w="3216" w:type="dxa"/>
          </w:tcPr>
          <w:p w:rsidR="00BE0F80" w:rsidRDefault="00BE0F80" w:rsidP="00BE0F80">
            <w:pPr>
              <w:pStyle w:val="NoSpacing"/>
              <w:rPr>
                <w:rFonts w:ascii="Arial" w:hAnsi="Arial" w:cs="Arial"/>
                <w:b/>
                <w:sz w:val="24"/>
                <w:szCs w:val="24"/>
              </w:rPr>
            </w:pPr>
            <w:r>
              <w:rPr>
                <w:rFonts w:ascii="Arial" w:hAnsi="Arial" w:cs="Arial"/>
                <w:b/>
                <w:sz w:val="24"/>
                <w:szCs w:val="24"/>
              </w:rPr>
              <w:t>Fixed term deposits</w:t>
            </w:r>
          </w:p>
        </w:tc>
        <w:tc>
          <w:tcPr>
            <w:tcW w:w="1559" w:type="dxa"/>
          </w:tcPr>
          <w:p w:rsidR="00BE0F80" w:rsidRPr="005052DF" w:rsidRDefault="00BE0F80" w:rsidP="00BE0F80">
            <w:pPr>
              <w:pStyle w:val="NoSpacing"/>
              <w:jc w:val="right"/>
              <w:rPr>
                <w:rFonts w:ascii="Arial" w:hAnsi="Arial" w:cs="Arial"/>
                <w:b/>
                <w:sz w:val="24"/>
                <w:szCs w:val="24"/>
              </w:rPr>
            </w:pPr>
          </w:p>
        </w:tc>
        <w:tc>
          <w:tcPr>
            <w:tcW w:w="1559" w:type="dxa"/>
          </w:tcPr>
          <w:p w:rsidR="00BE0F80" w:rsidRPr="005052DF" w:rsidRDefault="00BE0F80" w:rsidP="00BE0F80">
            <w:pPr>
              <w:pStyle w:val="NoSpacing"/>
              <w:jc w:val="right"/>
              <w:rPr>
                <w:rFonts w:ascii="Arial" w:hAnsi="Arial" w:cs="Arial"/>
                <w:b/>
                <w:sz w:val="24"/>
                <w:szCs w:val="24"/>
              </w:rPr>
            </w:pPr>
          </w:p>
        </w:tc>
        <w:tc>
          <w:tcPr>
            <w:tcW w:w="1559" w:type="dxa"/>
          </w:tcPr>
          <w:p w:rsidR="00BE0F80" w:rsidRPr="005052DF" w:rsidRDefault="00BE0F80" w:rsidP="00BE0F80">
            <w:pPr>
              <w:pStyle w:val="NoSpacing"/>
              <w:jc w:val="right"/>
              <w:rPr>
                <w:rFonts w:ascii="Arial" w:hAnsi="Arial" w:cs="Arial"/>
                <w:b/>
                <w:sz w:val="24"/>
                <w:szCs w:val="24"/>
              </w:rPr>
            </w:pPr>
          </w:p>
        </w:tc>
        <w:tc>
          <w:tcPr>
            <w:tcW w:w="1349" w:type="dxa"/>
          </w:tcPr>
          <w:p w:rsidR="00BE0F80" w:rsidRPr="005052DF" w:rsidRDefault="00BE0F80" w:rsidP="00BE0F80">
            <w:pPr>
              <w:pStyle w:val="NoSpacing"/>
              <w:jc w:val="right"/>
              <w:rPr>
                <w:rFonts w:ascii="Arial" w:hAnsi="Arial" w:cs="Arial"/>
                <w:b/>
                <w:sz w:val="24"/>
                <w:szCs w:val="24"/>
              </w:rPr>
            </w:pPr>
          </w:p>
        </w:tc>
      </w:tr>
      <w:tr w:rsidR="00BE0F80" w:rsidTr="00BE0F80">
        <w:tc>
          <w:tcPr>
            <w:tcW w:w="3216" w:type="dxa"/>
          </w:tcPr>
          <w:p w:rsidR="00BE0F80" w:rsidRPr="005052DF" w:rsidRDefault="00BE0F80" w:rsidP="00BE0F80">
            <w:pPr>
              <w:pStyle w:val="NoSpacing"/>
              <w:rPr>
                <w:rFonts w:ascii="Arial" w:hAnsi="Arial" w:cs="Arial"/>
                <w:sz w:val="24"/>
                <w:szCs w:val="24"/>
              </w:rPr>
            </w:pPr>
            <w:r>
              <w:rPr>
                <w:rFonts w:ascii="Arial" w:hAnsi="Arial" w:cs="Arial"/>
                <w:sz w:val="24"/>
                <w:szCs w:val="24"/>
              </w:rPr>
              <w:t>Bank of England - DMO</w:t>
            </w:r>
          </w:p>
        </w:tc>
        <w:tc>
          <w:tcPr>
            <w:tcW w:w="1559" w:type="dxa"/>
          </w:tcPr>
          <w:p w:rsidR="00BE0F80" w:rsidRPr="005052DF" w:rsidRDefault="001731B2" w:rsidP="00BE0F80">
            <w:pPr>
              <w:pStyle w:val="NoSpacing"/>
              <w:jc w:val="right"/>
              <w:rPr>
                <w:rFonts w:ascii="Arial" w:hAnsi="Arial" w:cs="Arial"/>
                <w:sz w:val="24"/>
                <w:szCs w:val="24"/>
              </w:rPr>
            </w:pPr>
            <w:r>
              <w:rPr>
                <w:rFonts w:ascii="Arial" w:hAnsi="Arial" w:cs="Arial"/>
                <w:sz w:val="24"/>
                <w:szCs w:val="24"/>
              </w:rPr>
              <w:t>8</w:t>
            </w:r>
            <w:r w:rsidR="00BE0F80" w:rsidRPr="005052DF">
              <w:rPr>
                <w:rFonts w:ascii="Arial" w:hAnsi="Arial" w:cs="Arial"/>
                <w:sz w:val="24"/>
                <w:szCs w:val="24"/>
              </w:rPr>
              <w:t>,000</w:t>
            </w:r>
          </w:p>
        </w:tc>
        <w:tc>
          <w:tcPr>
            <w:tcW w:w="1559" w:type="dxa"/>
          </w:tcPr>
          <w:p w:rsidR="00BE0F80" w:rsidRPr="005052DF" w:rsidRDefault="001731B2" w:rsidP="00BE0F80">
            <w:pPr>
              <w:pStyle w:val="NoSpacing"/>
              <w:jc w:val="right"/>
              <w:rPr>
                <w:rFonts w:ascii="Arial" w:hAnsi="Arial" w:cs="Arial"/>
                <w:sz w:val="24"/>
                <w:szCs w:val="24"/>
              </w:rPr>
            </w:pPr>
            <w:r>
              <w:rPr>
                <w:rFonts w:ascii="Arial" w:hAnsi="Arial" w:cs="Arial"/>
                <w:sz w:val="24"/>
                <w:szCs w:val="24"/>
              </w:rPr>
              <w:t>29/03/18</w:t>
            </w:r>
          </w:p>
        </w:tc>
        <w:tc>
          <w:tcPr>
            <w:tcW w:w="1559" w:type="dxa"/>
          </w:tcPr>
          <w:p w:rsidR="00BE0F80" w:rsidRPr="005052DF" w:rsidRDefault="001731B2" w:rsidP="00BE0F80">
            <w:pPr>
              <w:pStyle w:val="NoSpacing"/>
              <w:jc w:val="right"/>
              <w:rPr>
                <w:rFonts w:ascii="Arial" w:hAnsi="Arial" w:cs="Arial"/>
                <w:sz w:val="24"/>
                <w:szCs w:val="24"/>
              </w:rPr>
            </w:pPr>
            <w:r>
              <w:rPr>
                <w:rFonts w:ascii="Arial" w:hAnsi="Arial" w:cs="Arial"/>
                <w:sz w:val="24"/>
                <w:szCs w:val="24"/>
              </w:rPr>
              <w:t>03/04/18</w:t>
            </w:r>
          </w:p>
        </w:tc>
        <w:tc>
          <w:tcPr>
            <w:tcW w:w="1349" w:type="dxa"/>
          </w:tcPr>
          <w:p w:rsidR="00BE0F80" w:rsidRPr="005052DF" w:rsidRDefault="001731B2" w:rsidP="00BE0F80">
            <w:pPr>
              <w:pStyle w:val="NoSpacing"/>
              <w:jc w:val="right"/>
              <w:rPr>
                <w:rFonts w:ascii="Arial" w:hAnsi="Arial" w:cs="Arial"/>
                <w:sz w:val="24"/>
                <w:szCs w:val="24"/>
              </w:rPr>
            </w:pPr>
            <w:r>
              <w:rPr>
                <w:rFonts w:ascii="Arial" w:hAnsi="Arial" w:cs="Arial"/>
                <w:sz w:val="24"/>
                <w:szCs w:val="24"/>
              </w:rPr>
              <w:t>0.25</w:t>
            </w:r>
            <w:r w:rsidR="00BE0F80" w:rsidRPr="005052DF">
              <w:rPr>
                <w:rFonts w:ascii="Arial" w:hAnsi="Arial" w:cs="Arial"/>
                <w:sz w:val="24"/>
                <w:szCs w:val="24"/>
              </w:rPr>
              <w:t>%</w:t>
            </w:r>
          </w:p>
        </w:tc>
      </w:tr>
      <w:tr w:rsidR="00BE0F80" w:rsidTr="00BE0F80">
        <w:tc>
          <w:tcPr>
            <w:tcW w:w="3216" w:type="dxa"/>
          </w:tcPr>
          <w:p w:rsidR="00BE0F80" w:rsidRPr="005052DF" w:rsidRDefault="00BE0F80" w:rsidP="00BE0F80">
            <w:pPr>
              <w:pStyle w:val="NoSpacing"/>
              <w:rPr>
                <w:rFonts w:ascii="Arial" w:hAnsi="Arial" w:cs="Arial"/>
                <w:b/>
                <w:sz w:val="24"/>
                <w:szCs w:val="24"/>
              </w:rPr>
            </w:pPr>
            <w:r w:rsidRPr="005052DF">
              <w:rPr>
                <w:rFonts w:ascii="Arial" w:hAnsi="Arial" w:cs="Arial"/>
                <w:b/>
                <w:sz w:val="24"/>
                <w:szCs w:val="24"/>
              </w:rPr>
              <w:t>Total</w:t>
            </w:r>
          </w:p>
        </w:tc>
        <w:tc>
          <w:tcPr>
            <w:tcW w:w="1559" w:type="dxa"/>
          </w:tcPr>
          <w:p w:rsidR="00BE0F80" w:rsidRPr="005052DF" w:rsidRDefault="001731B2" w:rsidP="00BE0F80">
            <w:pPr>
              <w:pStyle w:val="NoSpacing"/>
              <w:jc w:val="right"/>
              <w:rPr>
                <w:rFonts w:ascii="Arial" w:hAnsi="Arial" w:cs="Arial"/>
                <w:b/>
                <w:sz w:val="24"/>
                <w:szCs w:val="24"/>
              </w:rPr>
            </w:pPr>
            <w:r>
              <w:rPr>
                <w:rFonts w:ascii="Arial" w:hAnsi="Arial" w:cs="Arial"/>
                <w:b/>
                <w:sz w:val="24"/>
                <w:szCs w:val="24"/>
              </w:rPr>
              <w:t>8,0</w:t>
            </w:r>
            <w:r w:rsidR="00BE0F80" w:rsidRPr="005052DF">
              <w:rPr>
                <w:rFonts w:ascii="Arial" w:hAnsi="Arial" w:cs="Arial"/>
                <w:b/>
                <w:sz w:val="24"/>
                <w:szCs w:val="24"/>
              </w:rPr>
              <w:t>00</w:t>
            </w:r>
          </w:p>
        </w:tc>
        <w:tc>
          <w:tcPr>
            <w:tcW w:w="1559" w:type="dxa"/>
          </w:tcPr>
          <w:p w:rsidR="00BE0F80" w:rsidRPr="005052DF" w:rsidRDefault="00BE0F80" w:rsidP="00BE0F80">
            <w:pPr>
              <w:pStyle w:val="NoSpacing"/>
              <w:jc w:val="right"/>
              <w:rPr>
                <w:rFonts w:ascii="Arial" w:hAnsi="Arial" w:cs="Arial"/>
                <w:sz w:val="24"/>
                <w:szCs w:val="24"/>
              </w:rPr>
            </w:pPr>
          </w:p>
        </w:tc>
        <w:tc>
          <w:tcPr>
            <w:tcW w:w="1559" w:type="dxa"/>
          </w:tcPr>
          <w:p w:rsidR="00BE0F80" w:rsidRPr="005052DF" w:rsidRDefault="00BE0F80" w:rsidP="00BE0F80">
            <w:pPr>
              <w:pStyle w:val="NoSpacing"/>
              <w:jc w:val="right"/>
              <w:rPr>
                <w:rFonts w:ascii="Arial" w:hAnsi="Arial" w:cs="Arial"/>
                <w:sz w:val="24"/>
                <w:szCs w:val="24"/>
              </w:rPr>
            </w:pPr>
          </w:p>
        </w:tc>
        <w:tc>
          <w:tcPr>
            <w:tcW w:w="1349" w:type="dxa"/>
          </w:tcPr>
          <w:p w:rsidR="00BE0F80" w:rsidRPr="005052DF" w:rsidRDefault="00BE0F80" w:rsidP="00BE0F80">
            <w:pPr>
              <w:pStyle w:val="NoSpacing"/>
              <w:jc w:val="right"/>
              <w:rPr>
                <w:rFonts w:ascii="Arial" w:hAnsi="Arial" w:cs="Arial"/>
                <w:sz w:val="24"/>
                <w:szCs w:val="24"/>
              </w:rPr>
            </w:pPr>
          </w:p>
        </w:tc>
      </w:tr>
      <w:tr w:rsidR="00BE0F80" w:rsidTr="00BE0F80">
        <w:tc>
          <w:tcPr>
            <w:tcW w:w="3216" w:type="dxa"/>
          </w:tcPr>
          <w:p w:rsidR="00BE0F80" w:rsidRPr="005052DF" w:rsidRDefault="00BE0F80" w:rsidP="00BE0F80">
            <w:pPr>
              <w:pStyle w:val="NoSpacing"/>
              <w:rPr>
                <w:rFonts w:ascii="Arial" w:hAnsi="Arial" w:cs="Arial"/>
                <w:sz w:val="24"/>
                <w:szCs w:val="24"/>
              </w:rPr>
            </w:pPr>
          </w:p>
        </w:tc>
        <w:tc>
          <w:tcPr>
            <w:tcW w:w="1559" w:type="dxa"/>
          </w:tcPr>
          <w:p w:rsidR="00BE0F80" w:rsidRPr="005052DF" w:rsidRDefault="00BE0F80" w:rsidP="00BE0F80">
            <w:pPr>
              <w:pStyle w:val="NoSpacing"/>
              <w:jc w:val="right"/>
              <w:rPr>
                <w:rFonts w:ascii="Arial" w:hAnsi="Arial" w:cs="Arial"/>
                <w:sz w:val="24"/>
                <w:szCs w:val="24"/>
              </w:rPr>
            </w:pPr>
          </w:p>
        </w:tc>
        <w:tc>
          <w:tcPr>
            <w:tcW w:w="1559" w:type="dxa"/>
          </w:tcPr>
          <w:p w:rsidR="00BE0F80" w:rsidRPr="005052DF" w:rsidRDefault="00BE0F80" w:rsidP="00BE0F80">
            <w:pPr>
              <w:pStyle w:val="NoSpacing"/>
              <w:jc w:val="right"/>
              <w:rPr>
                <w:rFonts w:ascii="Arial" w:hAnsi="Arial" w:cs="Arial"/>
                <w:sz w:val="24"/>
                <w:szCs w:val="24"/>
              </w:rPr>
            </w:pPr>
          </w:p>
        </w:tc>
        <w:tc>
          <w:tcPr>
            <w:tcW w:w="1559" w:type="dxa"/>
          </w:tcPr>
          <w:p w:rsidR="00BE0F80" w:rsidRPr="005052DF" w:rsidRDefault="00BE0F80" w:rsidP="00BE0F80">
            <w:pPr>
              <w:pStyle w:val="NoSpacing"/>
              <w:jc w:val="right"/>
              <w:rPr>
                <w:rFonts w:ascii="Arial" w:hAnsi="Arial" w:cs="Arial"/>
                <w:sz w:val="24"/>
                <w:szCs w:val="24"/>
              </w:rPr>
            </w:pPr>
          </w:p>
        </w:tc>
        <w:tc>
          <w:tcPr>
            <w:tcW w:w="1349" w:type="dxa"/>
          </w:tcPr>
          <w:p w:rsidR="00BE0F80" w:rsidRPr="005052DF" w:rsidRDefault="00BE0F80" w:rsidP="00BE0F80">
            <w:pPr>
              <w:pStyle w:val="NoSpacing"/>
              <w:jc w:val="right"/>
              <w:rPr>
                <w:rFonts w:ascii="Arial" w:hAnsi="Arial" w:cs="Arial"/>
                <w:sz w:val="24"/>
                <w:szCs w:val="24"/>
              </w:rPr>
            </w:pPr>
          </w:p>
        </w:tc>
      </w:tr>
      <w:tr w:rsidR="00BE0F80" w:rsidTr="00BE0F80">
        <w:tc>
          <w:tcPr>
            <w:tcW w:w="3216" w:type="dxa"/>
          </w:tcPr>
          <w:p w:rsidR="00BE0F80" w:rsidRPr="0078203A" w:rsidRDefault="00BE0F80" w:rsidP="00BE0F80">
            <w:pPr>
              <w:pStyle w:val="NoSpacing"/>
              <w:rPr>
                <w:rFonts w:ascii="Arial" w:hAnsi="Arial" w:cs="Arial"/>
                <w:b/>
                <w:sz w:val="24"/>
                <w:szCs w:val="24"/>
              </w:rPr>
            </w:pPr>
            <w:r w:rsidRPr="0078203A">
              <w:rPr>
                <w:rFonts w:ascii="Arial" w:hAnsi="Arial" w:cs="Arial"/>
                <w:b/>
                <w:sz w:val="24"/>
                <w:szCs w:val="24"/>
              </w:rPr>
              <w:t>Other</w:t>
            </w:r>
          </w:p>
        </w:tc>
        <w:tc>
          <w:tcPr>
            <w:tcW w:w="1559" w:type="dxa"/>
          </w:tcPr>
          <w:p w:rsidR="00BE0F80" w:rsidRPr="00D05AE3" w:rsidRDefault="00BE0F80" w:rsidP="00BE0F80">
            <w:pPr>
              <w:pStyle w:val="NoSpacing"/>
              <w:jc w:val="right"/>
              <w:rPr>
                <w:rFonts w:ascii="Arial" w:hAnsi="Arial" w:cs="Arial"/>
                <w:sz w:val="24"/>
                <w:szCs w:val="24"/>
              </w:rPr>
            </w:pPr>
          </w:p>
        </w:tc>
        <w:tc>
          <w:tcPr>
            <w:tcW w:w="1559" w:type="dxa"/>
          </w:tcPr>
          <w:p w:rsidR="00BE0F80" w:rsidRPr="005052DF" w:rsidRDefault="00BE0F80" w:rsidP="00BE0F80">
            <w:pPr>
              <w:pStyle w:val="NoSpacing"/>
              <w:jc w:val="right"/>
              <w:rPr>
                <w:rFonts w:ascii="Arial" w:hAnsi="Arial" w:cs="Arial"/>
                <w:sz w:val="24"/>
                <w:szCs w:val="24"/>
              </w:rPr>
            </w:pPr>
          </w:p>
        </w:tc>
        <w:tc>
          <w:tcPr>
            <w:tcW w:w="1559" w:type="dxa"/>
          </w:tcPr>
          <w:p w:rsidR="00BE0F80" w:rsidRPr="005052DF" w:rsidRDefault="00BE0F80" w:rsidP="00BE0F80">
            <w:pPr>
              <w:pStyle w:val="NoSpacing"/>
              <w:jc w:val="right"/>
              <w:rPr>
                <w:rFonts w:ascii="Arial" w:hAnsi="Arial" w:cs="Arial"/>
                <w:sz w:val="24"/>
                <w:szCs w:val="24"/>
              </w:rPr>
            </w:pPr>
          </w:p>
        </w:tc>
        <w:tc>
          <w:tcPr>
            <w:tcW w:w="1349" w:type="dxa"/>
          </w:tcPr>
          <w:p w:rsidR="00BE0F80" w:rsidRDefault="00BE0F80" w:rsidP="00BE0F80">
            <w:pPr>
              <w:pStyle w:val="NoSpacing"/>
              <w:jc w:val="right"/>
              <w:rPr>
                <w:rFonts w:ascii="Arial" w:hAnsi="Arial" w:cs="Arial"/>
                <w:sz w:val="24"/>
                <w:szCs w:val="24"/>
              </w:rPr>
            </w:pPr>
          </w:p>
        </w:tc>
      </w:tr>
      <w:tr w:rsidR="00BE0F80" w:rsidTr="00BE0F80">
        <w:tc>
          <w:tcPr>
            <w:tcW w:w="3216" w:type="dxa"/>
          </w:tcPr>
          <w:p w:rsidR="00BE0F80" w:rsidRPr="00D05AE3" w:rsidRDefault="00BE0F80" w:rsidP="00BE0F80">
            <w:pPr>
              <w:pStyle w:val="NoSpacing"/>
              <w:rPr>
                <w:rFonts w:ascii="Arial" w:hAnsi="Arial" w:cs="Arial"/>
                <w:sz w:val="24"/>
                <w:szCs w:val="24"/>
              </w:rPr>
            </w:pPr>
            <w:r w:rsidRPr="00D05AE3">
              <w:rPr>
                <w:rFonts w:ascii="Arial" w:hAnsi="Arial" w:cs="Arial"/>
                <w:sz w:val="24"/>
                <w:szCs w:val="24"/>
              </w:rPr>
              <w:t>Lloyds current account</w:t>
            </w:r>
          </w:p>
        </w:tc>
        <w:tc>
          <w:tcPr>
            <w:tcW w:w="1559" w:type="dxa"/>
          </w:tcPr>
          <w:p w:rsidR="00BE0F80" w:rsidRPr="00D05AE3" w:rsidRDefault="001731B2" w:rsidP="00BE0F80">
            <w:pPr>
              <w:pStyle w:val="NoSpacing"/>
              <w:jc w:val="right"/>
              <w:rPr>
                <w:rFonts w:ascii="Arial" w:hAnsi="Arial" w:cs="Arial"/>
                <w:sz w:val="24"/>
                <w:szCs w:val="24"/>
              </w:rPr>
            </w:pPr>
            <w:r>
              <w:rPr>
                <w:rFonts w:ascii="Arial" w:hAnsi="Arial" w:cs="Arial"/>
                <w:sz w:val="24"/>
                <w:szCs w:val="24"/>
              </w:rPr>
              <w:t>805</w:t>
            </w:r>
          </w:p>
        </w:tc>
        <w:tc>
          <w:tcPr>
            <w:tcW w:w="1559" w:type="dxa"/>
          </w:tcPr>
          <w:p w:rsidR="00BE0F80" w:rsidRPr="005052DF" w:rsidRDefault="00BE0F80" w:rsidP="00BE0F80">
            <w:pPr>
              <w:pStyle w:val="NoSpacing"/>
              <w:jc w:val="right"/>
              <w:rPr>
                <w:rFonts w:ascii="Arial" w:hAnsi="Arial" w:cs="Arial"/>
                <w:sz w:val="24"/>
                <w:szCs w:val="24"/>
              </w:rPr>
            </w:pPr>
          </w:p>
        </w:tc>
        <w:tc>
          <w:tcPr>
            <w:tcW w:w="1559" w:type="dxa"/>
          </w:tcPr>
          <w:p w:rsidR="00BE0F80" w:rsidRPr="005052DF" w:rsidRDefault="00BE0F80" w:rsidP="00BE0F80">
            <w:pPr>
              <w:pStyle w:val="NoSpacing"/>
              <w:jc w:val="right"/>
              <w:rPr>
                <w:rFonts w:ascii="Arial" w:hAnsi="Arial" w:cs="Arial"/>
                <w:sz w:val="24"/>
                <w:szCs w:val="24"/>
              </w:rPr>
            </w:pPr>
          </w:p>
        </w:tc>
        <w:tc>
          <w:tcPr>
            <w:tcW w:w="1349" w:type="dxa"/>
          </w:tcPr>
          <w:p w:rsidR="00BE0F80" w:rsidRPr="005052DF" w:rsidRDefault="00BE0F80" w:rsidP="00BE0F80">
            <w:pPr>
              <w:pStyle w:val="NoSpacing"/>
              <w:jc w:val="right"/>
              <w:rPr>
                <w:rFonts w:ascii="Arial" w:hAnsi="Arial" w:cs="Arial"/>
                <w:sz w:val="24"/>
                <w:szCs w:val="24"/>
              </w:rPr>
            </w:pPr>
            <w:r>
              <w:rPr>
                <w:rFonts w:ascii="Arial" w:hAnsi="Arial" w:cs="Arial"/>
                <w:sz w:val="24"/>
                <w:szCs w:val="24"/>
              </w:rPr>
              <w:t>0.15%</w:t>
            </w:r>
          </w:p>
        </w:tc>
      </w:tr>
      <w:tr w:rsidR="00BE0F80" w:rsidTr="00BE0F80">
        <w:tc>
          <w:tcPr>
            <w:tcW w:w="3216" w:type="dxa"/>
          </w:tcPr>
          <w:p w:rsidR="00BE0F80" w:rsidRPr="00D05AE3" w:rsidRDefault="00BE0F80" w:rsidP="00BE0F80">
            <w:pPr>
              <w:pStyle w:val="NoSpacing"/>
              <w:rPr>
                <w:rFonts w:ascii="Arial" w:hAnsi="Arial" w:cs="Arial"/>
                <w:sz w:val="24"/>
                <w:szCs w:val="24"/>
              </w:rPr>
            </w:pPr>
            <w:r w:rsidRPr="00D05AE3">
              <w:rPr>
                <w:rFonts w:ascii="Arial" w:hAnsi="Arial" w:cs="Arial"/>
                <w:sz w:val="24"/>
                <w:szCs w:val="24"/>
              </w:rPr>
              <w:t>Other cash balances</w:t>
            </w:r>
          </w:p>
        </w:tc>
        <w:tc>
          <w:tcPr>
            <w:tcW w:w="1559" w:type="dxa"/>
          </w:tcPr>
          <w:p w:rsidR="00BE0F80" w:rsidRPr="00D05AE3" w:rsidRDefault="001731B2" w:rsidP="00BE0F80">
            <w:pPr>
              <w:pStyle w:val="NoSpacing"/>
              <w:jc w:val="right"/>
              <w:rPr>
                <w:rFonts w:ascii="Arial" w:hAnsi="Arial" w:cs="Arial"/>
                <w:sz w:val="24"/>
                <w:szCs w:val="24"/>
              </w:rPr>
            </w:pPr>
            <w:r>
              <w:rPr>
                <w:rFonts w:ascii="Arial" w:hAnsi="Arial" w:cs="Arial"/>
                <w:sz w:val="24"/>
                <w:szCs w:val="24"/>
              </w:rPr>
              <w:t>3,325</w:t>
            </w:r>
          </w:p>
        </w:tc>
        <w:tc>
          <w:tcPr>
            <w:tcW w:w="1559" w:type="dxa"/>
          </w:tcPr>
          <w:p w:rsidR="00BE0F80" w:rsidRPr="005052DF" w:rsidRDefault="00BE0F80" w:rsidP="00BE0F80">
            <w:pPr>
              <w:pStyle w:val="NoSpacing"/>
              <w:jc w:val="right"/>
              <w:rPr>
                <w:rFonts w:ascii="Arial" w:hAnsi="Arial" w:cs="Arial"/>
                <w:sz w:val="24"/>
                <w:szCs w:val="24"/>
              </w:rPr>
            </w:pPr>
          </w:p>
        </w:tc>
        <w:tc>
          <w:tcPr>
            <w:tcW w:w="1559" w:type="dxa"/>
          </w:tcPr>
          <w:p w:rsidR="00BE0F80" w:rsidRPr="005052DF" w:rsidRDefault="00BE0F80" w:rsidP="00BE0F80">
            <w:pPr>
              <w:pStyle w:val="NoSpacing"/>
              <w:jc w:val="right"/>
              <w:rPr>
                <w:rFonts w:ascii="Arial" w:hAnsi="Arial" w:cs="Arial"/>
                <w:sz w:val="24"/>
                <w:szCs w:val="24"/>
              </w:rPr>
            </w:pPr>
          </w:p>
        </w:tc>
        <w:tc>
          <w:tcPr>
            <w:tcW w:w="1349" w:type="dxa"/>
          </w:tcPr>
          <w:p w:rsidR="00BE0F80" w:rsidRPr="005052DF" w:rsidRDefault="00BE0F80" w:rsidP="00BE0F80">
            <w:pPr>
              <w:pStyle w:val="NoSpacing"/>
              <w:jc w:val="right"/>
              <w:rPr>
                <w:rFonts w:ascii="Arial" w:hAnsi="Arial" w:cs="Arial"/>
                <w:sz w:val="24"/>
                <w:szCs w:val="24"/>
              </w:rPr>
            </w:pPr>
            <w:r>
              <w:rPr>
                <w:rFonts w:ascii="Arial" w:hAnsi="Arial" w:cs="Arial"/>
                <w:sz w:val="24"/>
                <w:szCs w:val="24"/>
              </w:rPr>
              <w:t>n/a</w:t>
            </w:r>
          </w:p>
        </w:tc>
      </w:tr>
      <w:tr w:rsidR="00BE0F80" w:rsidTr="00BE0F80">
        <w:tc>
          <w:tcPr>
            <w:tcW w:w="3216" w:type="dxa"/>
          </w:tcPr>
          <w:p w:rsidR="00BE0F80" w:rsidRPr="0078203A" w:rsidRDefault="00BE0F80" w:rsidP="00BE0F80">
            <w:pPr>
              <w:pStyle w:val="NoSpacing"/>
              <w:rPr>
                <w:rFonts w:ascii="Arial" w:hAnsi="Arial" w:cs="Arial"/>
                <w:b/>
                <w:sz w:val="24"/>
                <w:szCs w:val="24"/>
              </w:rPr>
            </w:pPr>
            <w:r w:rsidRPr="0078203A">
              <w:rPr>
                <w:rFonts w:ascii="Arial" w:hAnsi="Arial" w:cs="Arial"/>
                <w:b/>
                <w:sz w:val="24"/>
                <w:szCs w:val="24"/>
              </w:rPr>
              <w:lastRenderedPageBreak/>
              <w:t>Total</w:t>
            </w:r>
          </w:p>
        </w:tc>
        <w:tc>
          <w:tcPr>
            <w:tcW w:w="1559" w:type="dxa"/>
          </w:tcPr>
          <w:p w:rsidR="00BE0F80" w:rsidRPr="00D05AE3" w:rsidRDefault="001731B2" w:rsidP="00BE0F80">
            <w:pPr>
              <w:pStyle w:val="NoSpacing"/>
              <w:jc w:val="right"/>
              <w:rPr>
                <w:rFonts w:ascii="Arial" w:hAnsi="Arial" w:cs="Arial"/>
                <w:b/>
                <w:sz w:val="24"/>
                <w:szCs w:val="24"/>
              </w:rPr>
            </w:pPr>
            <w:r>
              <w:rPr>
                <w:rFonts w:ascii="Arial" w:hAnsi="Arial" w:cs="Arial"/>
                <w:b/>
                <w:sz w:val="24"/>
                <w:szCs w:val="24"/>
              </w:rPr>
              <w:t>4,130</w:t>
            </w:r>
          </w:p>
        </w:tc>
        <w:tc>
          <w:tcPr>
            <w:tcW w:w="1559" w:type="dxa"/>
          </w:tcPr>
          <w:p w:rsidR="00BE0F80" w:rsidRPr="005052DF" w:rsidRDefault="00BE0F80" w:rsidP="00BE0F80">
            <w:pPr>
              <w:pStyle w:val="NoSpacing"/>
              <w:jc w:val="right"/>
              <w:rPr>
                <w:rFonts w:ascii="Arial" w:hAnsi="Arial" w:cs="Arial"/>
                <w:sz w:val="24"/>
                <w:szCs w:val="24"/>
              </w:rPr>
            </w:pPr>
          </w:p>
        </w:tc>
        <w:tc>
          <w:tcPr>
            <w:tcW w:w="1559" w:type="dxa"/>
          </w:tcPr>
          <w:p w:rsidR="00BE0F80" w:rsidRPr="005052DF" w:rsidRDefault="00BE0F80" w:rsidP="00BE0F80">
            <w:pPr>
              <w:pStyle w:val="NoSpacing"/>
              <w:jc w:val="right"/>
              <w:rPr>
                <w:rFonts w:ascii="Arial" w:hAnsi="Arial" w:cs="Arial"/>
                <w:sz w:val="24"/>
                <w:szCs w:val="24"/>
              </w:rPr>
            </w:pPr>
          </w:p>
        </w:tc>
        <w:tc>
          <w:tcPr>
            <w:tcW w:w="1349" w:type="dxa"/>
          </w:tcPr>
          <w:p w:rsidR="00BE0F80" w:rsidRPr="005052DF" w:rsidRDefault="00BE0F80" w:rsidP="00BE0F80">
            <w:pPr>
              <w:pStyle w:val="NoSpacing"/>
              <w:jc w:val="right"/>
              <w:rPr>
                <w:rFonts w:ascii="Arial" w:hAnsi="Arial" w:cs="Arial"/>
                <w:sz w:val="24"/>
                <w:szCs w:val="24"/>
              </w:rPr>
            </w:pPr>
          </w:p>
        </w:tc>
      </w:tr>
      <w:tr w:rsidR="00BE0F80" w:rsidTr="00BE0F80">
        <w:tc>
          <w:tcPr>
            <w:tcW w:w="3216" w:type="dxa"/>
          </w:tcPr>
          <w:p w:rsidR="00BE0F80" w:rsidRPr="005052DF" w:rsidRDefault="00BE0F80" w:rsidP="00BE0F80">
            <w:pPr>
              <w:pStyle w:val="NoSpacing"/>
              <w:rPr>
                <w:rFonts w:ascii="Arial" w:hAnsi="Arial" w:cs="Arial"/>
                <w:sz w:val="24"/>
                <w:szCs w:val="24"/>
              </w:rPr>
            </w:pPr>
          </w:p>
        </w:tc>
        <w:tc>
          <w:tcPr>
            <w:tcW w:w="1559" w:type="dxa"/>
          </w:tcPr>
          <w:p w:rsidR="00BE0F80" w:rsidRPr="005052DF" w:rsidRDefault="00BE0F80" w:rsidP="00BE0F80">
            <w:pPr>
              <w:pStyle w:val="NoSpacing"/>
              <w:jc w:val="right"/>
              <w:rPr>
                <w:rFonts w:ascii="Arial" w:hAnsi="Arial" w:cs="Arial"/>
                <w:sz w:val="24"/>
                <w:szCs w:val="24"/>
              </w:rPr>
            </w:pPr>
          </w:p>
        </w:tc>
        <w:tc>
          <w:tcPr>
            <w:tcW w:w="1559" w:type="dxa"/>
          </w:tcPr>
          <w:p w:rsidR="00BE0F80" w:rsidRPr="005052DF" w:rsidRDefault="00BE0F80" w:rsidP="00BE0F80">
            <w:pPr>
              <w:pStyle w:val="NoSpacing"/>
              <w:jc w:val="right"/>
              <w:rPr>
                <w:rFonts w:ascii="Arial" w:hAnsi="Arial" w:cs="Arial"/>
                <w:sz w:val="24"/>
                <w:szCs w:val="24"/>
              </w:rPr>
            </w:pPr>
          </w:p>
        </w:tc>
        <w:tc>
          <w:tcPr>
            <w:tcW w:w="1559" w:type="dxa"/>
          </w:tcPr>
          <w:p w:rsidR="00BE0F80" w:rsidRPr="005052DF" w:rsidRDefault="00BE0F80" w:rsidP="00BE0F80">
            <w:pPr>
              <w:pStyle w:val="NoSpacing"/>
              <w:jc w:val="right"/>
              <w:rPr>
                <w:rFonts w:ascii="Arial" w:hAnsi="Arial" w:cs="Arial"/>
                <w:sz w:val="24"/>
                <w:szCs w:val="24"/>
              </w:rPr>
            </w:pPr>
          </w:p>
        </w:tc>
        <w:tc>
          <w:tcPr>
            <w:tcW w:w="1349" w:type="dxa"/>
          </w:tcPr>
          <w:p w:rsidR="00BE0F80" w:rsidRPr="005052DF" w:rsidRDefault="00BE0F80" w:rsidP="00BE0F80">
            <w:pPr>
              <w:pStyle w:val="NoSpacing"/>
              <w:jc w:val="right"/>
              <w:rPr>
                <w:rFonts w:ascii="Arial" w:hAnsi="Arial" w:cs="Arial"/>
                <w:sz w:val="24"/>
                <w:szCs w:val="24"/>
              </w:rPr>
            </w:pPr>
          </w:p>
        </w:tc>
      </w:tr>
      <w:tr w:rsidR="00BE0F80" w:rsidTr="00BE0F80">
        <w:tc>
          <w:tcPr>
            <w:tcW w:w="3216" w:type="dxa"/>
          </w:tcPr>
          <w:p w:rsidR="00BE0F80" w:rsidRPr="005052DF" w:rsidRDefault="00BE0F80" w:rsidP="00BE0F80">
            <w:pPr>
              <w:pStyle w:val="NoSpacing"/>
              <w:rPr>
                <w:rFonts w:ascii="Arial" w:hAnsi="Arial" w:cs="Arial"/>
                <w:b/>
                <w:sz w:val="24"/>
                <w:szCs w:val="24"/>
              </w:rPr>
            </w:pPr>
            <w:r w:rsidRPr="005052DF">
              <w:rPr>
                <w:rFonts w:ascii="Arial" w:hAnsi="Arial" w:cs="Arial"/>
                <w:b/>
                <w:sz w:val="24"/>
                <w:szCs w:val="24"/>
              </w:rPr>
              <w:t>Total all investments</w:t>
            </w:r>
          </w:p>
        </w:tc>
        <w:tc>
          <w:tcPr>
            <w:tcW w:w="1559" w:type="dxa"/>
          </w:tcPr>
          <w:p w:rsidR="00BE0F80" w:rsidRPr="005052DF" w:rsidRDefault="001731B2" w:rsidP="00BE0F80">
            <w:pPr>
              <w:pStyle w:val="NoSpacing"/>
              <w:jc w:val="right"/>
              <w:rPr>
                <w:rFonts w:ascii="Arial" w:hAnsi="Arial" w:cs="Arial"/>
                <w:b/>
                <w:sz w:val="24"/>
                <w:szCs w:val="24"/>
              </w:rPr>
            </w:pPr>
            <w:r>
              <w:rPr>
                <w:rFonts w:ascii="Arial" w:hAnsi="Arial" w:cs="Arial"/>
                <w:b/>
                <w:sz w:val="24"/>
                <w:szCs w:val="24"/>
              </w:rPr>
              <w:t>14,130</w:t>
            </w:r>
          </w:p>
        </w:tc>
        <w:tc>
          <w:tcPr>
            <w:tcW w:w="1559" w:type="dxa"/>
          </w:tcPr>
          <w:p w:rsidR="00BE0F80" w:rsidRPr="005052DF" w:rsidRDefault="00BE0F80" w:rsidP="00BE0F80">
            <w:pPr>
              <w:pStyle w:val="NoSpacing"/>
              <w:jc w:val="center"/>
              <w:rPr>
                <w:rFonts w:ascii="Arial" w:hAnsi="Arial" w:cs="Arial"/>
                <w:sz w:val="24"/>
                <w:szCs w:val="24"/>
              </w:rPr>
            </w:pPr>
          </w:p>
        </w:tc>
        <w:tc>
          <w:tcPr>
            <w:tcW w:w="1559" w:type="dxa"/>
          </w:tcPr>
          <w:p w:rsidR="00BE0F80" w:rsidRPr="005052DF" w:rsidRDefault="00BE0F80" w:rsidP="00BE0F80">
            <w:pPr>
              <w:pStyle w:val="NoSpacing"/>
              <w:jc w:val="right"/>
              <w:rPr>
                <w:rFonts w:ascii="Arial" w:hAnsi="Arial" w:cs="Arial"/>
                <w:sz w:val="24"/>
                <w:szCs w:val="24"/>
              </w:rPr>
            </w:pPr>
          </w:p>
        </w:tc>
        <w:tc>
          <w:tcPr>
            <w:tcW w:w="1349" w:type="dxa"/>
          </w:tcPr>
          <w:p w:rsidR="00BE0F80" w:rsidRPr="005052DF" w:rsidRDefault="00BE0F80" w:rsidP="00BE0F80">
            <w:pPr>
              <w:pStyle w:val="NoSpacing"/>
              <w:jc w:val="right"/>
              <w:rPr>
                <w:rFonts w:ascii="Arial" w:hAnsi="Arial" w:cs="Arial"/>
                <w:sz w:val="24"/>
                <w:szCs w:val="24"/>
              </w:rPr>
            </w:pPr>
          </w:p>
        </w:tc>
      </w:tr>
    </w:tbl>
    <w:p w:rsidR="00BE0F80" w:rsidRDefault="00BE0F80" w:rsidP="002963FF">
      <w:pPr>
        <w:pStyle w:val="NoSpacing"/>
        <w:ind w:left="720"/>
        <w:rPr>
          <w:rFonts w:ascii="Arial" w:hAnsi="Arial" w:cs="Arial"/>
          <w:sz w:val="24"/>
          <w:szCs w:val="24"/>
        </w:rPr>
      </w:pPr>
      <w:r>
        <w:rPr>
          <w:rFonts w:ascii="Arial" w:hAnsi="Arial" w:cs="Arial"/>
          <w:b/>
          <w:sz w:val="24"/>
          <w:szCs w:val="24"/>
        </w:rPr>
        <w:br/>
        <w:t>*</w:t>
      </w:r>
      <w:r w:rsidR="001731B2" w:rsidRPr="001731B2">
        <w:rPr>
          <w:rFonts w:ascii="Arial" w:hAnsi="Arial" w:cs="Arial"/>
          <w:sz w:val="24"/>
          <w:szCs w:val="24"/>
        </w:rPr>
        <w:t xml:space="preserve"> </w:t>
      </w:r>
      <w:r w:rsidR="002963FF">
        <w:rPr>
          <w:rFonts w:ascii="Arial" w:hAnsi="Arial" w:cs="Arial"/>
          <w:sz w:val="24"/>
          <w:szCs w:val="24"/>
        </w:rPr>
        <w:t>No</w:t>
      </w:r>
      <w:r w:rsidR="001731B2">
        <w:rPr>
          <w:rFonts w:ascii="Arial" w:hAnsi="Arial" w:cs="Arial"/>
          <w:sz w:val="24"/>
          <w:szCs w:val="24"/>
        </w:rPr>
        <w:t xml:space="preserve"> annual bonus receivable on this account from June 2017 onwards</w:t>
      </w:r>
    </w:p>
    <w:p w:rsidR="00BE0F80" w:rsidRDefault="00BE0F80" w:rsidP="00BE0F80">
      <w:pPr>
        <w:pStyle w:val="NoSpacing"/>
        <w:ind w:left="720"/>
        <w:rPr>
          <w:rFonts w:ascii="Arial" w:hAnsi="Arial" w:cs="Arial"/>
          <w:sz w:val="24"/>
          <w:szCs w:val="24"/>
        </w:rPr>
      </w:pPr>
    </w:p>
    <w:tbl>
      <w:tblPr>
        <w:tblStyle w:val="TableGrid"/>
        <w:tblW w:w="0" w:type="auto"/>
        <w:tblInd w:w="720" w:type="dxa"/>
        <w:tblLook w:val="04A0" w:firstRow="1" w:lastRow="0" w:firstColumn="1" w:lastColumn="0" w:noHBand="0" w:noVBand="1"/>
      </w:tblPr>
      <w:tblGrid>
        <w:gridCol w:w="3214"/>
        <w:gridCol w:w="1558"/>
        <w:gridCol w:w="1558"/>
        <w:gridCol w:w="1558"/>
        <w:gridCol w:w="1348"/>
      </w:tblGrid>
      <w:tr w:rsidR="00BE0F80" w:rsidTr="00BE0F80">
        <w:tc>
          <w:tcPr>
            <w:tcW w:w="3214" w:type="dxa"/>
          </w:tcPr>
          <w:p w:rsidR="00BE0F80" w:rsidRDefault="00BE0F80" w:rsidP="00BE0F80">
            <w:pPr>
              <w:pStyle w:val="NoSpacing"/>
              <w:rPr>
                <w:rFonts w:ascii="Arial" w:hAnsi="Arial" w:cs="Arial"/>
                <w:sz w:val="24"/>
                <w:szCs w:val="24"/>
              </w:rPr>
            </w:pPr>
          </w:p>
        </w:tc>
        <w:tc>
          <w:tcPr>
            <w:tcW w:w="1558" w:type="dxa"/>
          </w:tcPr>
          <w:p w:rsidR="00BE0F80" w:rsidRDefault="001731B2" w:rsidP="00BE0F80">
            <w:pPr>
              <w:pStyle w:val="NoSpacing"/>
              <w:jc w:val="right"/>
              <w:rPr>
                <w:rFonts w:ascii="Arial" w:hAnsi="Arial" w:cs="Arial"/>
                <w:b/>
                <w:sz w:val="24"/>
                <w:szCs w:val="24"/>
              </w:rPr>
            </w:pPr>
            <w:r>
              <w:rPr>
                <w:rFonts w:ascii="Arial" w:hAnsi="Arial" w:cs="Arial"/>
                <w:b/>
                <w:sz w:val="24"/>
                <w:szCs w:val="24"/>
              </w:rPr>
              <w:t>31/3/19</w:t>
            </w:r>
          </w:p>
          <w:p w:rsidR="00BE0F80" w:rsidRDefault="00BE0F80" w:rsidP="00BE0F80">
            <w:pPr>
              <w:pStyle w:val="NoSpacing"/>
              <w:jc w:val="right"/>
              <w:rPr>
                <w:rFonts w:ascii="Arial" w:hAnsi="Arial" w:cs="Arial"/>
                <w:b/>
                <w:sz w:val="24"/>
                <w:szCs w:val="24"/>
              </w:rPr>
            </w:pPr>
            <w:r>
              <w:rPr>
                <w:rFonts w:ascii="Arial" w:hAnsi="Arial" w:cs="Arial"/>
                <w:b/>
                <w:sz w:val="24"/>
                <w:szCs w:val="24"/>
              </w:rPr>
              <w:t>£000</w:t>
            </w:r>
          </w:p>
        </w:tc>
        <w:tc>
          <w:tcPr>
            <w:tcW w:w="1558" w:type="dxa"/>
          </w:tcPr>
          <w:p w:rsidR="00BE0F80" w:rsidRDefault="00BE0F80" w:rsidP="00BE0F80">
            <w:pPr>
              <w:pStyle w:val="NoSpacing"/>
              <w:jc w:val="right"/>
              <w:rPr>
                <w:rFonts w:ascii="Arial" w:hAnsi="Arial" w:cs="Arial"/>
                <w:b/>
                <w:sz w:val="24"/>
                <w:szCs w:val="24"/>
              </w:rPr>
            </w:pPr>
            <w:r>
              <w:rPr>
                <w:rFonts w:ascii="Arial" w:hAnsi="Arial" w:cs="Arial"/>
                <w:b/>
                <w:sz w:val="24"/>
                <w:szCs w:val="24"/>
              </w:rPr>
              <w:t>Start date</w:t>
            </w:r>
          </w:p>
        </w:tc>
        <w:tc>
          <w:tcPr>
            <w:tcW w:w="1558" w:type="dxa"/>
          </w:tcPr>
          <w:p w:rsidR="00BE0F80" w:rsidRDefault="00BE0F80" w:rsidP="00BE0F80">
            <w:pPr>
              <w:pStyle w:val="NoSpacing"/>
              <w:jc w:val="right"/>
              <w:rPr>
                <w:rFonts w:ascii="Arial" w:hAnsi="Arial" w:cs="Arial"/>
                <w:b/>
                <w:sz w:val="24"/>
                <w:szCs w:val="24"/>
              </w:rPr>
            </w:pPr>
            <w:r>
              <w:rPr>
                <w:rFonts w:ascii="Arial" w:hAnsi="Arial" w:cs="Arial"/>
                <w:b/>
                <w:sz w:val="24"/>
                <w:szCs w:val="24"/>
              </w:rPr>
              <w:t>Maturity date</w:t>
            </w:r>
          </w:p>
        </w:tc>
        <w:tc>
          <w:tcPr>
            <w:tcW w:w="1348" w:type="dxa"/>
          </w:tcPr>
          <w:p w:rsidR="00BE0F80" w:rsidRDefault="00BE0F80" w:rsidP="00BE0F80">
            <w:pPr>
              <w:pStyle w:val="NoSpacing"/>
              <w:jc w:val="right"/>
              <w:rPr>
                <w:rFonts w:ascii="Arial" w:hAnsi="Arial" w:cs="Arial"/>
                <w:b/>
                <w:sz w:val="24"/>
                <w:szCs w:val="24"/>
              </w:rPr>
            </w:pPr>
            <w:r>
              <w:rPr>
                <w:rFonts w:ascii="Arial" w:hAnsi="Arial" w:cs="Arial"/>
                <w:b/>
                <w:sz w:val="24"/>
                <w:szCs w:val="24"/>
              </w:rPr>
              <w:t>Rate</w:t>
            </w:r>
            <w:r w:rsidR="001731B2">
              <w:rPr>
                <w:rFonts w:ascii="Arial" w:hAnsi="Arial" w:cs="Arial"/>
                <w:b/>
                <w:sz w:val="24"/>
                <w:szCs w:val="24"/>
              </w:rPr>
              <w:t>*</w:t>
            </w:r>
            <w:r>
              <w:rPr>
                <w:rFonts w:ascii="Arial" w:hAnsi="Arial" w:cs="Arial"/>
                <w:b/>
                <w:sz w:val="24"/>
                <w:szCs w:val="24"/>
              </w:rPr>
              <w:t xml:space="preserve"> </w:t>
            </w:r>
          </w:p>
          <w:p w:rsidR="00BE0F80" w:rsidRDefault="00BE0F80" w:rsidP="00BE0F80">
            <w:pPr>
              <w:pStyle w:val="NoSpacing"/>
              <w:jc w:val="right"/>
              <w:rPr>
                <w:rFonts w:ascii="Arial" w:hAnsi="Arial" w:cs="Arial"/>
                <w:b/>
                <w:sz w:val="24"/>
                <w:szCs w:val="24"/>
              </w:rPr>
            </w:pPr>
            <w:r>
              <w:rPr>
                <w:rFonts w:ascii="Arial" w:hAnsi="Arial" w:cs="Arial"/>
                <w:b/>
                <w:sz w:val="24"/>
                <w:szCs w:val="24"/>
              </w:rPr>
              <w:t>%</w:t>
            </w:r>
          </w:p>
        </w:tc>
      </w:tr>
      <w:tr w:rsidR="00BE0F80" w:rsidTr="00BE0F80">
        <w:tc>
          <w:tcPr>
            <w:tcW w:w="3214" w:type="dxa"/>
          </w:tcPr>
          <w:p w:rsidR="00BE0F80" w:rsidRDefault="00BE0F80" w:rsidP="00BE0F80">
            <w:pPr>
              <w:pStyle w:val="NoSpacing"/>
              <w:rPr>
                <w:rFonts w:ascii="Arial" w:hAnsi="Arial" w:cs="Arial"/>
                <w:b/>
                <w:sz w:val="24"/>
                <w:szCs w:val="24"/>
              </w:rPr>
            </w:pPr>
            <w:r>
              <w:rPr>
                <w:rFonts w:ascii="Arial" w:hAnsi="Arial" w:cs="Arial"/>
                <w:b/>
                <w:sz w:val="24"/>
                <w:szCs w:val="24"/>
              </w:rPr>
              <w:t>Call</w:t>
            </w:r>
            <w:r w:rsidR="001731B2">
              <w:rPr>
                <w:rFonts w:ascii="Arial" w:hAnsi="Arial" w:cs="Arial"/>
                <w:b/>
                <w:sz w:val="24"/>
                <w:szCs w:val="24"/>
              </w:rPr>
              <w:t>/notice</w:t>
            </w:r>
            <w:r>
              <w:rPr>
                <w:rFonts w:ascii="Arial" w:hAnsi="Arial" w:cs="Arial"/>
                <w:b/>
                <w:sz w:val="24"/>
                <w:szCs w:val="24"/>
              </w:rPr>
              <w:t xml:space="preserve"> accounts</w:t>
            </w:r>
          </w:p>
        </w:tc>
        <w:tc>
          <w:tcPr>
            <w:tcW w:w="1558" w:type="dxa"/>
          </w:tcPr>
          <w:p w:rsidR="00BE0F80" w:rsidRPr="005052DF" w:rsidRDefault="00BE0F80" w:rsidP="00BE0F80">
            <w:pPr>
              <w:pStyle w:val="NoSpacing"/>
              <w:jc w:val="right"/>
              <w:rPr>
                <w:rFonts w:ascii="Arial" w:hAnsi="Arial" w:cs="Arial"/>
                <w:sz w:val="24"/>
                <w:szCs w:val="24"/>
              </w:rPr>
            </w:pPr>
          </w:p>
        </w:tc>
        <w:tc>
          <w:tcPr>
            <w:tcW w:w="1558" w:type="dxa"/>
          </w:tcPr>
          <w:p w:rsidR="00BE0F80" w:rsidRPr="005052DF" w:rsidRDefault="00BE0F80" w:rsidP="00BE0F80">
            <w:pPr>
              <w:pStyle w:val="NoSpacing"/>
              <w:jc w:val="right"/>
              <w:rPr>
                <w:rFonts w:ascii="Arial" w:hAnsi="Arial" w:cs="Arial"/>
                <w:b/>
                <w:sz w:val="24"/>
                <w:szCs w:val="24"/>
              </w:rPr>
            </w:pPr>
          </w:p>
        </w:tc>
        <w:tc>
          <w:tcPr>
            <w:tcW w:w="1558" w:type="dxa"/>
          </w:tcPr>
          <w:p w:rsidR="00BE0F80" w:rsidRPr="005052DF" w:rsidRDefault="00BE0F80" w:rsidP="00BE0F80">
            <w:pPr>
              <w:pStyle w:val="NoSpacing"/>
              <w:jc w:val="right"/>
              <w:rPr>
                <w:rFonts w:ascii="Arial" w:hAnsi="Arial" w:cs="Arial"/>
                <w:b/>
                <w:sz w:val="24"/>
                <w:szCs w:val="24"/>
              </w:rPr>
            </w:pPr>
          </w:p>
        </w:tc>
        <w:tc>
          <w:tcPr>
            <w:tcW w:w="1348" w:type="dxa"/>
          </w:tcPr>
          <w:p w:rsidR="00BE0F80" w:rsidRPr="005052DF" w:rsidRDefault="00BE0F80" w:rsidP="00BE0F80">
            <w:pPr>
              <w:pStyle w:val="NoSpacing"/>
              <w:jc w:val="right"/>
              <w:rPr>
                <w:rFonts w:ascii="Arial" w:hAnsi="Arial" w:cs="Arial"/>
                <w:b/>
                <w:sz w:val="24"/>
                <w:szCs w:val="24"/>
              </w:rPr>
            </w:pPr>
          </w:p>
        </w:tc>
      </w:tr>
      <w:tr w:rsidR="00BE0F80" w:rsidTr="00BE0F80">
        <w:tc>
          <w:tcPr>
            <w:tcW w:w="3214" w:type="dxa"/>
          </w:tcPr>
          <w:p w:rsidR="00BE0F80" w:rsidRPr="00DF7DF9" w:rsidRDefault="00BE0F80" w:rsidP="00BE0F80">
            <w:pPr>
              <w:pStyle w:val="NoSpacing"/>
              <w:rPr>
                <w:rFonts w:ascii="Arial" w:hAnsi="Arial" w:cs="Arial"/>
                <w:sz w:val="24"/>
                <w:szCs w:val="24"/>
              </w:rPr>
            </w:pPr>
            <w:r w:rsidRPr="00DF7DF9">
              <w:rPr>
                <w:rFonts w:ascii="Arial" w:hAnsi="Arial" w:cs="Arial"/>
                <w:sz w:val="24"/>
                <w:szCs w:val="24"/>
              </w:rPr>
              <w:t>Santander UK PLC</w:t>
            </w:r>
          </w:p>
        </w:tc>
        <w:tc>
          <w:tcPr>
            <w:tcW w:w="1558" w:type="dxa"/>
          </w:tcPr>
          <w:p w:rsidR="00BE0F80" w:rsidRPr="005052DF" w:rsidRDefault="001731B2" w:rsidP="00BE0F80">
            <w:pPr>
              <w:pStyle w:val="NoSpacing"/>
              <w:jc w:val="right"/>
              <w:rPr>
                <w:rFonts w:ascii="Arial" w:hAnsi="Arial" w:cs="Arial"/>
                <w:sz w:val="24"/>
                <w:szCs w:val="24"/>
              </w:rPr>
            </w:pPr>
            <w:r>
              <w:rPr>
                <w:rFonts w:ascii="Arial" w:hAnsi="Arial" w:cs="Arial"/>
                <w:sz w:val="24"/>
                <w:szCs w:val="24"/>
              </w:rPr>
              <w:t>1,12</w:t>
            </w:r>
            <w:r w:rsidR="00BE0F80">
              <w:rPr>
                <w:rFonts w:ascii="Arial" w:hAnsi="Arial" w:cs="Arial"/>
                <w:sz w:val="24"/>
                <w:szCs w:val="24"/>
              </w:rPr>
              <w:t>0</w:t>
            </w:r>
          </w:p>
        </w:tc>
        <w:tc>
          <w:tcPr>
            <w:tcW w:w="1558" w:type="dxa"/>
          </w:tcPr>
          <w:p w:rsidR="00BE0F80" w:rsidRPr="005052DF" w:rsidRDefault="00BE0F80" w:rsidP="00BE0F80">
            <w:pPr>
              <w:pStyle w:val="NoSpacing"/>
              <w:jc w:val="right"/>
              <w:rPr>
                <w:rFonts w:ascii="Arial" w:hAnsi="Arial" w:cs="Arial"/>
                <w:sz w:val="24"/>
                <w:szCs w:val="24"/>
              </w:rPr>
            </w:pPr>
          </w:p>
        </w:tc>
        <w:tc>
          <w:tcPr>
            <w:tcW w:w="1558" w:type="dxa"/>
          </w:tcPr>
          <w:p w:rsidR="00BE0F80" w:rsidRPr="005052DF" w:rsidRDefault="00BE0F80" w:rsidP="00BE0F80">
            <w:pPr>
              <w:pStyle w:val="NoSpacing"/>
              <w:jc w:val="right"/>
              <w:rPr>
                <w:rFonts w:ascii="Arial" w:hAnsi="Arial" w:cs="Arial"/>
                <w:sz w:val="24"/>
                <w:szCs w:val="24"/>
              </w:rPr>
            </w:pPr>
          </w:p>
        </w:tc>
        <w:tc>
          <w:tcPr>
            <w:tcW w:w="1348" w:type="dxa"/>
          </w:tcPr>
          <w:p w:rsidR="00BE0F80" w:rsidRPr="005052DF" w:rsidRDefault="001731B2" w:rsidP="00BE0F80">
            <w:pPr>
              <w:pStyle w:val="NoSpacing"/>
              <w:jc w:val="right"/>
              <w:rPr>
                <w:rFonts w:ascii="Arial" w:hAnsi="Arial" w:cs="Arial"/>
                <w:sz w:val="24"/>
                <w:szCs w:val="24"/>
              </w:rPr>
            </w:pPr>
            <w:r>
              <w:rPr>
                <w:rFonts w:ascii="Arial" w:hAnsi="Arial" w:cs="Arial"/>
                <w:sz w:val="24"/>
                <w:szCs w:val="24"/>
              </w:rPr>
              <w:t>0.8</w:t>
            </w:r>
            <w:r w:rsidR="00BE0F80">
              <w:rPr>
                <w:rFonts w:ascii="Arial" w:hAnsi="Arial" w:cs="Arial"/>
                <w:sz w:val="24"/>
                <w:szCs w:val="24"/>
              </w:rPr>
              <w:t>5%</w:t>
            </w:r>
          </w:p>
        </w:tc>
      </w:tr>
      <w:tr w:rsidR="00BE0F80" w:rsidTr="00BE0F80">
        <w:tc>
          <w:tcPr>
            <w:tcW w:w="3214" w:type="dxa"/>
          </w:tcPr>
          <w:p w:rsidR="00BE0F80" w:rsidRDefault="00BE0F80" w:rsidP="00BE0F80">
            <w:pPr>
              <w:pStyle w:val="NoSpacing"/>
              <w:rPr>
                <w:rFonts w:ascii="Arial" w:hAnsi="Arial" w:cs="Arial"/>
                <w:b/>
                <w:sz w:val="24"/>
                <w:szCs w:val="24"/>
              </w:rPr>
            </w:pPr>
            <w:r w:rsidRPr="00DF7DF9">
              <w:rPr>
                <w:rFonts w:ascii="Arial" w:hAnsi="Arial" w:cs="Arial"/>
                <w:sz w:val="24"/>
                <w:szCs w:val="24"/>
              </w:rPr>
              <w:t>Barclays Bank PLC</w:t>
            </w:r>
          </w:p>
        </w:tc>
        <w:tc>
          <w:tcPr>
            <w:tcW w:w="1558" w:type="dxa"/>
          </w:tcPr>
          <w:p w:rsidR="00BE0F80" w:rsidRPr="00DB58FC" w:rsidRDefault="001731B2" w:rsidP="00BE0F80">
            <w:pPr>
              <w:pStyle w:val="NoSpacing"/>
              <w:jc w:val="right"/>
              <w:rPr>
                <w:rFonts w:ascii="Arial" w:hAnsi="Arial" w:cs="Arial"/>
                <w:sz w:val="24"/>
                <w:szCs w:val="24"/>
              </w:rPr>
            </w:pPr>
            <w:r>
              <w:rPr>
                <w:rFonts w:ascii="Arial" w:hAnsi="Arial" w:cs="Arial"/>
                <w:sz w:val="24"/>
                <w:szCs w:val="24"/>
              </w:rPr>
              <w:t>1,5</w:t>
            </w:r>
            <w:r w:rsidR="00BE0F80" w:rsidRPr="00DB58FC">
              <w:rPr>
                <w:rFonts w:ascii="Arial" w:hAnsi="Arial" w:cs="Arial"/>
                <w:sz w:val="24"/>
                <w:szCs w:val="24"/>
              </w:rPr>
              <w:t>00</w:t>
            </w:r>
          </w:p>
        </w:tc>
        <w:tc>
          <w:tcPr>
            <w:tcW w:w="1558" w:type="dxa"/>
          </w:tcPr>
          <w:p w:rsidR="00BE0F80" w:rsidRPr="005052DF" w:rsidRDefault="00BE0F80" w:rsidP="00BE0F80">
            <w:pPr>
              <w:pStyle w:val="NoSpacing"/>
              <w:jc w:val="right"/>
              <w:rPr>
                <w:rFonts w:ascii="Arial" w:hAnsi="Arial" w:cs="Arial"/>
                <w:b/>
                <w:sz w:val="24"/>
                <w:szCs w:val="24"/>
              </w:rPr>
            </w:pPr>
          </w:p>
        </w:tc>
        <w:tc>
          <w:tcPr>
            <w:tcW w:w="1558" w:type="dxa"/>
          </w:tcPr>
          <w:p w:rsidR="00BE0F80" w:rsidRPr="005052DF" w:rsidRDefault="00BE0F80" w:rsidP="00BE0F80">
            <w:pPr>
              <w:pStyle w:val="NoSpacing"/>
              <w:jc w:val="right"/>
              <w:rPr>
                <w:rFonts w:ascii="Arial" w:hAnsi="Arial" w:cs="Arial"/>
                <w:b/>
                <w:sz w:val="24"/>
                <w:szCs w:val="24"/>
              </w:rPr>
            </w:pPr>
          </w:p>
        </w:tc>
        <w:tc>
          <w:tcPr>
            <w:tcW w:w="1348" w:type="dxa"/>
          </w:tcPr>
          <w:p w:rsidR="00BE0F80" w:rsidRPr="00DB58FC" w:rsidRDefault="001731B2" w:rsidP="00BE0F80">
            <w:pPr>
              <w:pStyle w:val="NoSpacing"/>
              <w:jc w:val="right"/>
              <w:rPr>
                <w:rFonts w:ascii="Arial" w:hAnsi="Arial" w:cs="Arial"/>
                <w:sz w:val="24"/>
                <w:szCs w:val="24"/>
              </w:rPr>
            </w:pPr>
            <w:r>
              <w:rPr>
                <w:rFonts w:ascii="Arial" w:hAnsi="Arial" w:cs="Arial"/>
                <w:sz w:val="24"/>
                <w:szCs w:val="24"/>
              </w:rPr>
              <w:t>0.75</w:t>
            </w:r>
            <w:r w:rsidR="00BE0F80" w:rsidRPr="00DB58FC">
              <w:rPr>
                <w:rFonts w:ascii="Arial" w:hAnsi="Arial" w:cs="Arial"/>
                <w:sz w:val="24"/>
                <w:szCs w:val="24"/>
              </w:rPr>
              <w:t>%</w:t>
            </w:r>
          </w:p>
        </w:tc>
      </w:tr>
      <w:tr w:rsidR="00BE0F80" w:rsidTr="00BE0F80">
        <w:tc>
          <w:tcPr>
            <w:tcW w:w="3214" w:type="dxa"/>
          </w:tcPr>
          <w:p w:rsidR="00BE0F80" w:rsidRDefault="00BE0F80" w:rsidP="00BE0F80">
            <w:pPr>
              <w:pStyle w:val="NoSpacing"/>
              <w:rPr>
                <w:rFonts w:ascii="Arial" w:hAnsi="Arial" w:cs="Arial"/>
                <w:b/>
                <w:sz w:val="24"/>
                <w:szCs w:val="24"/>
              </w:rPr>
            </w:pPr>
            <w:r>
              <w:rPr>
                <w:rFonts w:ascii="Arial" w:hAnsi="Arial" w:cs="Arial"/>
                <w:b/>
                <w:sz w:val="24"/>
                <w:szCs w:val="24"/>
              </w:rPr>
              <w:t>Total</w:t>
            </w:r>
          </w:p>
        </w:tc>
        <w:tc>
          <w:tcPr>
            <w:tcW w:w="1558" w:type="dxa"/>
          </w:tcPr>
          <w:p w:rsidR="00BE0F80" w:rsidRPr="005052DF" w:rsidRDefault="001731B2" w:rsidP="00BE0F80">
            <w:pPr>
              <w:pStyle w:val="NoSpacing"/>
              <w:jc w:val="right"/>
              <w:rPr>
                <w:rFonts w:ascii="Arial" w:hAnsi="Arial" w:cs="Arial"/>
                <w:b/>
                <w:sz w:val="24"/>
                <w:szCs w:val="24"/>
              </w:rPr>
            </w:pPr>
            <w:r>
              <w:rPr>
                <w:rFonts w:ascii="Arial" w:hAnsi="Arial" w:cs="Arial"/>
                <w:b/>
                <w:sz w:val="24"/>
                <w:szCs w:val="24"/>
              </w:rPr>
              <w:t>2,62</w:t>
            </w:r>
            <w:r w:rsidR="00BE0F80">
              <w:rPr>
                <w:rFonts w:ascii="Arial" w:hAnsi="Arial" w:cs="Arial"/>
                <w:b/>
                <w:sz w:val="24"/>
                <w:szCs w:val="24"/>
              </w:rPr>
              <w:t>0</w:t>
            </w:r>
          </w:p>
        </w:tc>
        <w:tc>
          <w:tcPr>
            <w:tcW w:w="1558" w:type="dxa"/>
          </w:tcPr>
          <w:p w:rsidR="00BE0F80" w:rsidRPr="005052DF" w:rsidRDefault="00BE0F80" w:rsidP="00BE0F80">
            <w:pPr>
              <w:pStyle w:val="NoSpacing"/>
              <w:jc w:val="right"/>
              <w:rPr>
                <w:rFonts w:ascii="Arial" w:hAnsi="Arial" w:cs="Arial"/>
                <w:b/>
                <w:sz w:val="24"/>
                <w:szCs w:val="24"/>
              </w:rPr>
            </w:pPr>
          </w:p>
        </w:tc>
        <w:tc>
          <w:tcPr>
            <w:tcW w:w="1558" w:type="dxa"/>
          </w:tcPr>
          <w:p w:rsidR="00BE0F80" w:rsidRPr="005052DF" w:rsidRDefault="00BE0F80" w:rsidP="00BE0F80">
            <w:pPr>
              <w:pStyle w:val="NoSpacing"/>
              <w:jc w:val="right"/>
              <w:rPr>
                <w:rFonts w:ascii="Arial" w:hAnsi="Arial" w:cs="Arial"/>
                <w:b/>
                <w:sz w:val="24"/>
                <w:szCs w:val="24"/>
              </w:rPr>
            </w:pPr>
          </w:p>
        </w:tc>
        <w:tc>
          <w:tcPr>
            <w:tcW w:w="1348" w:type="dxa"/>
          </w:tcPr>
          <w:p w:rsidR="00BE0F80" w:rsidRPr="005052DF" w:rsidRDefault="00BE0F80" w:rsidP="00BE0F80">
            <w:pPr>
              <w:pStyle w:val="NoSpacing"/>
              <w:jc w:val="right"/>
              <w:rPr>
                <w:rFonts w:ascii="Arial" w:hAnsi="Arial" w:cs="Arial"/>
                <w:b/>
                <w:sz w:val="24"/>
                <w:szCs w:val="24"/>
              </w:rPr>
            </w:pPr>
          </w:p>
        </w:tc>
      </w:tr>
      <w:tr w:rsidR="00BE0F80" w:rsidTr="00BE0F80">
        <w:tc>
          <w:tcPr>
            <w:tcW w:w="3214" w:type="dxa"/>
          </w:tcPr>
          <w:p w:rsidR="00BE0F80" w:rsidRDefault="00BE0F80" w:rsidP="00BE0F80">
            <w:pPr>
              <w:pStyle w:val="NoSpacing"/>
              <w:rPr>
                <w:rFonts w:ascii="Arial" w:hAnsi="Arial" w:cs="Arial"/>
                <w:sz w:val="24"/>
                <w:szCs w:val="24"/>
              </w:rPr>
            </w:pPr>
          </w:p>
        </w:tc>
        <w:tc>
          <w:tcPr>
            <w:tcW w:w="1558" w:type="dxa"/>
          </w:tcPr>
          <w:p w:rsidR="00BE0F80" w:rsidRDefault="00BE0F80" w:rsidP="00BE0F80">
            <w:pPr>
              <w:pStyle w:val="NoSpacing"/>
              <w:rPr>
                <w:rFonts w:ascii="Arial" w:hAnsi="Arial" w:cs="Arial"/>
                <w:sz w:val="24"/>
                <w:szCs w:val="24"/>
              </w:rPr>
            </w:pPr>
          </w:p>
        </w:tc>
        <w:tc>
          <w:tcPr>
            <w:tcW w:w="1558" w:type="dxa"/>
          </w:tcPr>
          <w:p w:rsidR="00BE0F80" w:rsidRDefault="00BE0F80" w:rsidP="00BE0F80">
            <w:pPr>
              <w:pStyle w:val="NoSpacing"/>
              <w:rPr>
                <w:rFonts w:ascii="Arial" w:hAnsi="Arial" w:cs="Arial"/>
                <w:sz w:val="24"/>
                <w:szCs w:val="24"/>
              </w:rPr>
            </w:pPr>
          </w:p>
        </w:tc>
        <w:tc>
          <w:tcPr>
            <w:tcW w:w="1558" w:type="dxa"/>
          </w:tcPr>
          <w:p w:rsidR="00BE0F80" w:rsidRDefault="00BE0F80" w:rsidP="00BE0F80">
            <w:pPr>
              <w:pStyle w:val="NoSpacing"/>
              <w:rPr>
                <w:rFonts w:ascii="Arial" w:hAnsi="Arial" w:cs="Arial"/>
                <w:sz w:val="24"/>
                <w:szCs w:val="24"/>
              </w:rPr>
            </w:pPr>
          </w:p>
        </w:tc>
        <w:tc>
          <w:tcPr>
            <w:tcW w:w="1348" w:type="dxa"/>
          </w:tcPr>
          <w:p w:rsidR="00BE0F80" w:rsidRDefault="00BE0F80" w:rsidP="00BE0F80">
            <w:pPr>
              <w:pStyle w:val="NoSpacing"/>
              <w:rPr>
                <w:rFonts w:ascii="Arial" w:hAnsi="Arial" w:cs="Arial"/>
                <w:sz w:val="24"/>
                <w:szCs w:val="24"/>
              </w:rPr>
            </w:pPr>
          </w:p>
        </w:tc>
      </w:tr>
      <w:tr w:rsidR="001731B2" w:rsidTr="00BE0F80">
        <w:tc>
          <w:tcPr>
            <w:tcW w:w="3214" w:type="dxa"/>
          </w:tcPr>
          <w:p w:rsidR="001731B2" w:rsidRDefault="001731B2" w:rsidP="00BE0F80">
            <w:pPr>
              <w:pStyle w:val="NoSpacing"/>
              <w:rPr>
                <w:rFonts w:ascii="Arial" w:hAnsi="Arial" w:cs="Arial"/>
                <w:b/>
                <w:sz w:val="24"/>
                <w:szCs w:val="24"/>
              </w:rPr>
            </w:pPr>
            <w:r>
              <w:rPr>
                <w:rFonts w:ascii="Arial" w:hAnsi="Arial" w:cs="Arial"/>
                <w:b/>
                <w:sz w:val="24"/>
                <w:szCs w:val="24"/>
              </w:rPr>
              <w:t>Money market funds</w:t>
            </w:r>
          </w:p>
        </w:tc>
        <w:tc>
          <w:tcPr>
            <w:tcW w:w="1558" w:type="dxa"/>
          </w:tcPr>
          <w:p w:rsidR="001731B2" w:rsidRPr="005052DF" w:rsidRDefault="001731B2" w:rsidP="00BE0F80">
            <w:pPr>
              <w:pStyle w:val="NoSpacing"/>
              <w:jc w:val="right"/>
              <w:rPr>
                <w:rFonts w:ascii="Arial" w:hAnsi="Arial" w:cs="Arial"/>
                <w:b/>
                <w:sz w:val="24"/>
                <w:szCs w:val="24"/>
              </w:rPr>
            </w:pPr>
          </w:p>
        </w:tc>
        <w:tc>
          <w:tcPr>
            <w:tcW w:w="1558" w:type="dxa"/>
          </w:tcPr>
          <w:p w:rsidR="001731B2" w:rsidRPr="005052DF" w:rsidRDefault="001731B2" w:rsidP="00BE0F80">
            <w:pPr>
              <w:pStyle w:val="NoSpacing"/>
              <w:jc w:val="right"/>
              <w:rPr>
                <w:rFonts w:ascii="Arial" w:hAnsi="Arial" w:cs="Arial"/>
                <w:b/>
                <w:sz w:val="24"/>
                <w:szCs w:val="24"/>
              </w:rPr>
            </w:pPr>
          </w:p>
        </w:tc>
        <w:tc>
          <w:tcPr>
            <w:tcW w:w="1558" w:type="dxa"/>
          </w:tcPr>
          <w:p w:rsidR="001731B2" w:rsidRPr="005052DF" w:rsidRDefault="001731B2" w:rsidP="00BE0F80">
            <w:pPr>
              <w:pStyle w:val="NoSpacing"/>
              <w:jc w:val="right"/>
              <w:rPr>
                <w:rFonts w:ascii="Arial" w:hAnsi="Arial" w:cs="Arial"/>
                <w:b/>
                <w:sz w:val="24"/>
                <w:szCs w:val="24"/>
              </w:rPr>
            </w:pPr>
          </w:p>
        </w:tc>
        <w:tc>
          <w:tcPr>
            <w:tcW w:w="1348" w:type="dxa"/>
          </w:tcPr>
          <w:p w:rsidR="001731B2" w:rsidRPr="005052DF" w:rsidRDefault="001731B2" w:rsidP="00BE0F80">
            <w:pPr>
              <w:pStyle w:val="NoSpacing"/>
              <w:jc w:val="right"/>
              <w:rPr>
                <w:rFonts w:ascii="Arial" w:hAnsi="Arial" w:cs="Arial"/>
                <w:b/>
                <w:sz w:val="24"/>
                <w:szCs w:val="24"/>
              </w:rPr>
            </w:pPr>
          </w:p>
        </w:tc>
      </w:tr>
      <w:tr w:rsidR="001731B2" w:rsidTr="00BE0F80">
        <w:tc>
          <w:tcPr>
            <w:tcW w:w="3214" w:type="dxa"/>
          </w:tcPr>
          <w:p w:rsidR="001731B2" w:rsidRPr="001731B2" w:rsidRDefault="001731B2" w:rsidP="00BE0F80">
            <w:pPr>
              <w:pStyle w:val="NoSpacing"/>
              <w:rPr>
                <w:rFonts w:ascii="Arial" w:hAnsi="Arial" w:cs="Arial"/>
                <w:sz w:val="24"/>
                <w:szCs w:val="24"/>
              </w:rPr>
            </w:pPr>
            <w:r w:rsidRPr="001731B2">
              <w:rPr>
                <w:rFonts w:ascii="Arial" w:hAnsi="Arial" w:cs="Arial"/>
                <w:sz w:val="24"/>
                <w:szCs w:val="24"/>
              </w:rPr>
              <w:t>Aberdeen</w:t>
            </w:r>
          </w:p>
        </w:tc>
        <w:tc>
          <w:tcPr>
            <w:tcW w:w="1558" w:type="dxa"/>
          </w:tcPr>
          <w:p w:rsidR="001731B2" w:rsidRPr="001731B2" w:rsidRDefault="001731B2" w:rsidP="00BE0F80">
            <w:pPr>
              <w:pStyle w:val="NoSpacing"/>
              <w:jc w:val="right"/>
              <w:rPr>
                <w:rFonts w:ascii="Arial" w:hAnsi="Arial" w:cs="Arial"/>
                <w:sz w:val="24"/>
                <w:szCs w:val="24"/>
              </w:rPr>
            </w:pPr>
            <w:r w:rsidRPr="001731B2">
              <w:rPr>
                <w:rFonts w:ascii="Arial" w:hAnsi="Arial" w:cs="Arial"/>
                <w:sz w:val="24"/>
                <w:szCs w:val="24"/>
              </w:rPr>
              <w:t>5,000</w:t>
            </w:r>
          </w:p>
        </w:tc>
        <w:tc>
          <w:tcPr>
            <w:tcW w:w="1558" w:type="dxa"/>
          </w:tcPr>
          <w:p w:rsidR="001731B2" w:rsidRPr="005052DF" w:rsidRDefault="001731B2" w:rsidP="00BE0F80">
            <w:pPr>
              <w:pStyle w:val="NoSpacing"/>
              <w:jc w:val="right"/>
              <w:rPr>
                <w:rFonts w:ascii="Arial" w:hAnsi="Arial" w:cs="Arial"/>
                <w:b/>
                <w:sz w:val="24"/>
                <w:szCs w:val="24"/>
              </w:rPr>
            </w:pPr>
          </w:p>
        </w:tc>
        <w:tc>
          <w:tcPr>
            <w:tcW w:w="1558" w:type="dxa"/>
          </w:tcPr>
          <w:p w:rsidR="001731B2" w:rsidRPr="005052DF" w:rsidRDefault="001731B2" w:rsidP="00BE0F80">
            <w:pPr>
              <w:pStyle w:val="NoSpacing"/>
              <w:jc w:val="right"/>
              <w:rPr>
                <w:rFonts w:ascii="Arial" w:hAnsi="Arial" w:cs="Arial"/>
                <w:b/>
                <w:sz w:val="24"/>
                <w:szCs w:val="24"/>
              </w:rPr>
            </w:pPr>
          </w:p>
        </w:tc>
        <w:tc>
          <w:tcPr>
            <w:tcW w:w="1348" w:type="dxa"/>
          </w:tcPr>
          <w:p w:rsidR="001731B2" w:rsidRPr="001731B2" w:rsidRDefault="001731B2" w:rsidP="00BE0F80">
            <w:pPr>
              <w:pStyle w:val="NoSpacing"/>
              <w:jc w:val="right"/>
              <w:rPr>
                <w:rFonts w:ascii="Arial" w:hAnsi="Arial" w:cs="Arial"/>
                <w:sz w:val="24"/>
                <w:szCs w:val="24"/>
              </w:rPr>
            </w:pPr>
            <w:r w:rsidRPr="001731B2">
              <w:rPr>
                <w:rFonts w:ascii="Arial" w:hAnsi="Arial" w:cs="Arial"/>
                <w:sz w:val="24"/>
                <w:szCs w:val="24"/>
              </w:rPr>
              <w:t>0.79%</w:t>
            </w:r>
          </w:p>
        </w:tc>
      </w:tr>
      <w:tr w:rsidR="001731B2" w:rsidTr="00BE0F80">
        <w:tc>
          <w:tcPr>
            <w:tcW w:w="3214" w:type="dxa"/>
          </w:tcPr>
          <w:p w:rsidR="001731B2" w:rsidRPr="001731B2" w:rsidRDefault="001731B2" w:rsidP="00BE0F80">
            <w:pPr>
              <w:pStyle w:val="NoSpacing"/>
              <w:rPr>
                <w:rFonts w:ascii="Arial" w:hAnsi="Arial" w:cs="Arial"/>
                <w:sz w:val="24"/>
                <w:szCs w:val="24"/>
              </w:rPr>
            </w:pPr>
            <w:r w:rsidRPr="001731B2">
              <w:rPr>
                <w:rFonts w:ascii="Arial" w:hAnsi="Arial" w:cs="Arial"/>
                <w:sz w:val="24"/>
                <w:szCs w:val="24"/>
              </w:rPr>
              <w:t>Insight</w:t>
            </w:r>
          </w:p>
        </w:tc>
        <w:tc>
          <w:tcPr>
            <w:tcW w:w="1558" w:type="dxa"/>
          </w:tcPr>
          <w:p w:rsidR="001731B2" w:rsidRPr="001731B2" w:rsidRDefault="001731B2" w:rsidP="00BE0F80">
            <w:pPr>
              <w:pStyle w:val="NoSpacing"/>
              <w:jc w:val="right"/>
              <w:rPr>
                <w:rFonts w:ascii="Arial" w:hAnsi="Arial" w:cs="Arial"/>
                <w:sz w:val="24"/>
                <w:szCs w:val="24"/>
              </w:rPr>
            </w:pPr>
            <w:r w:rsidRPr="001731B2">
              <w:rPr>
                <w:rFonts w:ascii="Arial" w:hAnsi="Arial" w:cs="Arial"/>
                <w:sz w:val="24"/>
                <w:szCs w:val="24"/>
              </w:rPr>
              <w:t>3,000</w:t>
            </w:r>
          </w:p>
        </w:tc>
        <w:tc>
          <w:tcPr>
            <w:tcW w:w="1558" w:type="dxa"/>
          </w:tcPr>
          <w:p w:rsidR="001731B2" w:rsidRPr="005052DF" w:rsidRDefault="001731B2" w:rsidP="00BE0F80">
            <w:pPr>
              <w:pStyle w:val="NoSpacing"/>
              <w:jc w:val="right"/>
              <w:rPr>
                <w:rFonts w:ascii="Arial" w:hAnsi="Arial" w:cs="Arial"/>
                <w:b/>
                <w:sz w:val="24"/>
                <w:szCs w:val="24"/>
              </w:rPr>
            </w:pPr>
          </w:p>
        </w:tc>
        <w:tc>
          <w:tcPr>
            <w:tcW w:w="1558" w:type="dxa"/>
          </w:tcPr>
          <w:p w:rsidR="001731B2" w:rsidRPr="005052DF" w:rsidRDefault="001731B2" w:rsidP="00BE0F80">
            <w:pPr>
              <w:pStyle w:val="NoSpacing"/>
              <w:jc w:val="right"/>
              <w:rPr>
                <w:rFonts w:ascii="Arial" w:hAnsi="Arial" w:cs="Arial"/>
                <w:b/>
                <w:sz w:val="24"/>
                <w:szCs w:val="24"/>
              </w:rPr>
            </w:pPr>
          </w:p>
        </w:tc>
        <w:tc>
          <w:tcPr>
            <w:tcW w:w="1348" w:type="dxa"/>
          </w:tcPr>
          <w:p w:rsidR="001731B2" w:rsidRPr="001731B2" w:rsidRDefault="001731B2" w:rsidP="00BE0F80">
            <w:pPr>
              <w:pStyle w:val="NoSpacing"/>
              <w:jc w:val="right"/>
              <w:rPr>
                <w:rFonts w:ascii="Arial" w:hAnsi="Arial" w:cs="Arial"/>
                <w:sz w:val="24"/>
                <w:szCs w:val="24"/>
              </w:rPr>
            </w:pPr>
            <w:r w:rsidRPr="001731B2">
              <w:rPr>
                <w:rFonts w:ascii="Arial" w:hAnsi="Arial" w:cs="Arial"/>
                <w:sz w:val="24"/>
                <w:szCs w:val="24"/>
              </w:rPr>
              <w:t>0.75%</w:t>
            </w:r>
          </w:p>
        </w:tc>
      </w:tr>
      <w:tr w:rsidR="001731B2" w:rsidTr="00BE0F80">
        <w:tc>
          <w:tcPr>
            <w:tcW w:w="3214" w:type="dxa"/>
          </w:tcPr>
          <w:p w:rsidR="001731B2" w:rsidRDefault="001731B2" w:rsidP="00BE0F80">
            <w:pPr>
              <w:pStyle w:val="NoSpacing"/>
              <w:rPr>
                <w:rFonts w:ascii="Arial" w:hAnsi="Arial" w:cs="Arial"/>
                <w:b/>
                <w:sz w:val="24"/>
                <w:szCs w:val="24"/>
              </w:rPr>
            </w:pPr>
          </w:p>
        </w:tc>
        <w:tc>
          <w:tcPr>
            <w:tcW w:w="1558" w:type="dxa"/>
          </w:tcPr>
          <w:p w:rsidR="001731B2" w:rsidRPr="005052DF" w:rsidRDefault="001731B2" w:rsidP="00BE0F80">
            <w:pPr>
              <w:pStyle w:val="NoSpacing"/>
              <w:jc w:val="right"/>
              <w:rPr>
                <w:rFonts w:ascii="Arial" w:hAnsi="Arial" w:cs="Arial"/>
                <w:b/>
                <w:sz w:val="24"/>
                <w:szCs w:val="24"/>
              </w:rPr>
            </w:pPr>
            <w:r>
              <w:rPr>
                <w:rFonts w:ascii="Arial" w:hAnsi="Arial" w:cs="Arial"/>
                <w:b/>
                <w:sz w:val="24"/>
                <w:szCs w:val="24"/>
              </w:rPr>
              <w:t>8,000</w:t>
            </w:r>
          </w:p>
        </w:tc>
        <w:tc>
          <w:tcPr>
            <w:tcW w:w="1558" w:type="dxa"/>
          </w:tcPr>
          <w:p w:rsidR="001731B2" w:rsidRPr="005052DF" w:rsidRDefault="001731B2" w:rsidP="00BE0F80">
            <w:pPr>
              <w:pStyle w:val="NoSpacing"/>
              <w:jc w:val="right"/>
              <w:rPr>
                <w:rFonts w:ascii="Arial" w:hAnsi="Arial" w:cs="Arial"/>
                <w:b/>
                <w:sz w:val="24"/>
                <w:szCs w:val="24"/>
              </w:rPr>
            </w:pPr>
          </w:p>
        </w:tc>
        <w:tc>
          <w:tcPr>
            <w:tcW w:w="1558" w:type="dxa"/>
          </w:tcPr>
          <w:p w:rsidR="001731B2" w:rsidRPr="005052DF" w:rsidRDefault="001731B2" w:rsidP="00BE0F80">
            <w:pPr>
              <w:pStyle w:val="NoSpacing"/>
              <w:jc w:val="right"/>
              <w:rPr>
                <w:rFonts w:ascii="Arial" w:hAnsi="Arial" w:cs="Arial"/>
                <w:b/>
                <w:sz w:val="24"/>
                <w:szCs w:val="24"/>
              </w:rPr>
            </w:pPr>
          </w:p>
        </w:tc>
        <w:tc>
          <w:tcPr>
            <w:tcW w:w="1348" w:type="dxa"/>
          </w:tcPr>
          <w:p w:rsidR="001731B2" w:rsidRPr="005052DF" w:rsidRDefault="001731B2" w:rsidP="00BE0F80">
            <w:pPr>
              <w:pStyle w:val="NoSpacing"/>
              <w:jc w:val="right"/>
              <w:rPr>
                <w:rFonts w:ascii="Arial" w:hAnsi="Arial" w:cs="Arial"/>
                <w:b/>
                <w:sz w:val="24"/>
                <w:szCs w:val="24"/>
              </w:rPr>
            </w:pPr>
          </w:p>
        </w:tc>
      </w:tr>
      <w:tr w:rsidR="00BE0F80" w:rsidTr="00BE0F80">
        <w:tc>
          <w:tcPr>
            <w:tcW w:w="3214" w:type="dxa"/>
          </w:tcPr>
          <w:p w:rsidR="00BE0F80" w:rsidRDefault="00BE0F80" w:rsidP="00BE0F80">
            <w:pPr>
              <w:pStyle w:val="NoSpacing"/>
              <w:rPr>
                <w:rFonts w:ascii="Arial" w:hAnsi="Arial" w:cs="Arial"/>
                <w:b/>
                <w:sz w:val="24"/>
                <w:szCs w:val="24"/>
              </w:rPr>
            </w:pPr>
            <w:r>
              <w:rPr>
                <w:rFonts w:ascii="Arial" w:hAnsi="Arial" w:cs="Arial"/>
                <w:b/>
                <w:sz w:val="24"/>
                <w:szCs w:val="24"/>
              </w:rPr>
              <w:t>Fixed term deposits</w:t>
            </w:r>
          </w:p>
        </w:tc>
        <w:tc>
          <w:tcPr>
            <w:tcW w:w="1558" w:type="dxa"/>
          </w:tcPr>
          <w:p w:rsidR="00BE0F80" w:rsidRPr="005052DF" w:rsidRDefault="00BE0F80" w:rsidP="00BE0F80">
            <w:pPr>
              <w:pStyle w:val="NoSpacing"/>
              <w:jc w:val="right"/>
              <w:rPr>
                <w:rFonts w:ascii="Arial" w:hAnsi="Arial" w:cs="Arial"/>
                <w:b/>
                <w:sz w:val="24"/>
                <w:szCs w:val="24"/>
              </w:rPr>
            </w:pPr>
          </w:p>
        </w:tc>
        <w:tc>
          <w:tcPr>
            <w:tcW w:w="1558" w:type="dxa"/>
          </w:tcPr>
          <w:p w:rsidR="00BE0F80" w:rsidRPr="005052DF" w:rsidRDefault="00BE0F80" w:rsidP="00BE0F80">
            <w:pPr>
              <w:pStyle w:val="NoSpacing"/>
              <w:jc w:val="right"/>
              <w:rPr>
                <w:rFonts w:ascii="Arial" w:hAnsi="Arial" w:cs="Arial"/>
                <w:b/>
                <w:sz w:val="24"/>
                <w:szCs w:val="24"/>
              </w:rPr>
            </w:pPr>
          </w:p>
        </w:tc>
        <w:tc>
          <w:tcPr>
            <w:tcW w:w="1558" w:type="dxa"/>
          </w:tcPr>
          <w:p w:rsidR="00BE0F80" w:rsidRPr="005052DF" w:rsidRDefault="00BE0F80" w:rsidP="00BE0F80">
            <w:pPr>
              <w:pStyle w:val="NoSpacing"/>
              <w:jc w:val="right"/>
              <w:rPr>
                <w:rFonts w:ascii="Arial" w:hAnsi="Arial" w:cs="Arial"/>
                <w:b/>
                <w:sz w:val="24"/>
                <w:szCs w:val="24"/>
              </w:rPr>
            </w:pPr>
          </w:p>
        </w:tc>
        <w:tc>
          <w:tcPr>
            <w:tcW w:w="1348" w:type="dxa"/>
          </w:tcPr>
          <w:p w:rsidR="00BE0F80" w:rsidRPr="005052DF" w:rsidRDefault="00BE0F80" w:rsidP="00BE0F80">
            <w:pPr>
              <w:pStyle w:val="NoSpacing"/>
              <w:jc w:val="right"/>
              <w:rPr>
                <w:rFonts w:ascii="Arial" w:hAnsi="Arial" w:cs="Arial"/>
                <w:b/>
                <w:sz w:val="24"/>
                <w:szCs w:val="24"/>
              </w:rPr>
            </w:pPr>
          </w:p>
        </w:tc>
      </w:tr>
      <w:tr w:rsidR="00BE0F80" w:rsidTr="00BE0F80">
        <w:tc>
          <w:tcPr>
            <w:tcW w:w="3214" w:type="dxa"/>
          </w:tcPr>
          <w:p w:rsidR="00BE0F80" w:rsidRDefault="00BE0F80" w:rsidP="00BE0F80">
            <w:pPr>
              <w:pStyle w:val="NoSpacing"/>
              <w:rPr>
                <w:rFonts w:ascii="Arial" w:hAnsi="Arial" w:cs="Arial"/>
                <w:sz w:val="24"/>
                <w:szCs w:val="24"/>
              </w:rPr>
            </w:pPr>
            <w:r>
              <w:rPr>
                <w:rFonts w:ascii="Arial" w:hAnsi="Arial" w:cs="Arial"/>
                <w:sz w:val="24"/>
                <w:szCs w:val="24"/>
              </w:rPr>
              <w:t>Bank of England - DMO</w:t>
            </w:r>
          </w:p>
        </w:tc>
        <w:tc>
          <w:tcPr>
            <w:tcW w:w="1558" w:type="dxa"/>
          </w:tcPr>
          <w:p w:rsidR="00BE0F80" w:rsidRDefault="001731B2" w:rsidP="00BE0F80">
            <w:pPr>
              <w:pStyle w:val="NoSpacing"/>
              <w:jc w:val="right"/>
              <w:rPr>
                <w:rFonts w:ascii="Arial" w:hAnsi="Arial" w:cs="Arial"/>
                <w:sz w:val="24"/>
                <w:szCs w:val="24"/>
              </w:rPr>
            </w:pPr>
            <w:r>
              <w:rPr>
                <w:rFonts w:ascii="Arial" w:hAnsi="Arial" w:cs="Arial"/>
                <w:sz w:val="24"/>
                <w:szCs w:val="24"/>
              </w:rPr>
              <w:t>3,5</w:t>
            </w:r>
            <w:r w:rsidR="00BE0F80">
              <w:rPr>
                <w:rFonts w:ascii="Arial" w:hAnsi="Arial" w:cs="Arial"/>
                <w:sz w:val="24"/>
                <w:szCs w:val="24"/>
              </w:rPr>
              <w:t>00</w:t>
            </w:r>
          </w:p>
        </w:tc>
        <w:tc>
          <w:tcPr>
            <w:tcW w:w="1558" w:type="dxa"/>
          </w:tcPr>
          <w:p w:rsidR="00BE0F80" w:rsidRDefault="001731B2" w:rsidP="00BE0F80">
            <w:pPr>
              <w:pStyle w:val="NoSpacing"/>
              <w:jc w:val="right"/>
              <w:rPr>
                <w:rFonts w:ascii="Arial" w:hAnsi="Arial" w:cs="Arial"/>
                <w:sz w:val="24"/>
                <w:szCs w:val="24"/>
              </w:rPr>
            </w:pPr>
            <w:r>
              <w:rPr>
                <w:rFonts w:ascii="Arial" w:hAnsi="Arial" w:cs="Arial"/>
                <w:sz w:val="24"/>
                <w:szCs w:val="24"/>
              </w:rPr>
              <w:t>29/03/19</w:t>
            </w:r>
          </w:p>
        </w:tc>
        <w:tc>
          <w:tcPr>
            <w:tcW w:w="1558" w:type="dxa"/>
          </w:tcPr>
          <w:p w:rsidR="00BE0F80" w:rsidRDefault="001731B2" w:rsidP="00BE0F80">
            <w:pPr>
              <w:pStyle w:val="NoSpacing"/>
              <w:jc w:val="right"/>
              <w:rPr>
                <w:rFonts w:ascii="Arial" w:hAnsi="Arial" w:cs="Arial"/>
                <w:sz w:val="24"/>
                <w:szCs w:val="24"/>
              </w:rPr>
            </w:pPr>
            <w:r>
              <w:rPr>
                <w:rFonts w:ascii="Arial" w:hAnsi="Arial" w:cs="Arial"/>
                <w:sz w:val="24"/>
                <w:szCs w:val="24"/>
              </w:rPr>
              <w:t>01/04/19</w:t>
            </w:r>
          </w:p>
        </w:tc>
        <w:tc>
          <w:tcPr>
            <w:tcW w:w="1348" w:type="dxa"/>
          </w:tcPr>
          <w:p w:rsidR="00BE0F80" w:rsidRDefault="001731B2" w:rsidP="00BE0F80">
            <w:pPr>
              <w:pStyle w:val="NoSpacing"/>
              <w:jc w:val="right"/>
              <w:rPr>
                <w:rFonts w:ascii="Arial" w:hAnsi="Arial" w:cs="Arial"/>
                <w:sz w:val="24"/>
                <w:szCs w:val="24"/>
              </w:rPr>
            </w:pPr>
            <w:r>
              <w:rPr>
                <w:rFonts w:ascii="Arial" w:hAnsi="Arial" w:cs="Arial"/>
                <w:sz w:val="24"/>
                <w:szCs w:val="24"/>
              </w:rPr>
              <w:t>0.50</w:t>
            </w:r>
            <w:r w:rsidR="00BE0F80">
              <w:rPr>
                <w:rFonts w:ascii="Arial" w:hAnsi="Arial" w:cs="Arial"/>
                <w:sz w:val="24"/>
                <w:szCs w:val="24"/>
              </w:rPr>
              <w:t>%</w:t>
            </w:r>
          </w:p>
        </w:tc>
      </w:tr>
      <w:tr w:rsidR="001731B2" w:rsidRPr="001731B2" w:rsidTr="00BE0F80">
        <w:tc>
          <w:tcPr>
            <w:tcW w:w="3214" w:type="dxa"/>
          </w:tcPr>
          <w:p w:rsidR="001731B2" w:rsidRPr="001731B2" w:rsidRDefault="001731B2" w:rsidP="00BE0F80">
            <w:pPr>
              <w:pStyle w:val="NoSpacing"/>
              <w:rPr>
                <w:rFonts w:ascii="Arial" w:hAnsi="Arial" w:cs="Arial"/>
                <w:sz w:val="24"/>
                <w:szCs w:val="24"/>
              </w:rPr>
            </w:pPr>
            <w:r w:rsidRPr="001731B2">
              <w:rPr>
                <w:rFonts w:ascii="Arial" w:hAnsi="Arial" w:cs="Arial"/>
                <w:sz w:val="24"/>
                <w:szCs w:val="24"/>
              </w:rPr>
              <w:t>Rotherham Council</w:t>
            </w:r>
          </w:p>
        </w:tc>
        <w:tc>
          <w:tcPr>
            <w:tcW w:w="1558" w:type="dxa"/>
          </w:tcPr>
          <w:p w:rsidR="001731B2" w:rsidRPr="001731B2" w:rsidRDefault="001731B2" w:rsidP="00BE0F80">
            <w:pPr>
              <w:pStyle w:val="NoSpacing"/>
              <w:jc w:val="right"/>
              <w:rPr>
                <w:rFonts w:ascii="Arial" w:hAnsi="Arial" w:cs="Arial"/>
                <w:sz w:val="24"/>
                <w:szCs w:val="24"/>
              </w:rPr>
            </w:pPr>
            <w:r>
              <w:rPr>
                <w:rFonts w:ascii="Arial" w:hAnsi="Arial" w:cs="Arial"/>
                <w:sz w:val="24"/>
                <w:szCs w:val="24"/>
              </w:rPr>
              <w:t>5,000</w:t>
            </w:r>
          </w:p>
        </w:tc>
        <w:tc>
          <w:tcPr>
            <w:tcW w:w="1558" w:type="dxa"/>
          </w:tcPr>
          <w:p w:rsidR="001731B2" w:rsidRPr="001731B2" w:rsidRDefault="001731B2" w:rsidP="00BE0F80">
            <w:pPr>
              <w:pStyle w:val="NoSpacing"/>
              <w:jc w:val="right"/>
              <w:rPr>
                <w:rFonts w:ascii="Arial" w:hAnsi="Arial" w:cs="Arial"/>
                <w:sz w:val="24"/>
                <w:szCs w:val="24"/>
              </w:rPr>
            </w:pPr>
            <w:r>
              <w:rPr>
                <w:rFonts w:ascii="Arial" w:hAnsi="Arial" w:cs="Arial"/>
                <w:sz w:val="24"/>
                <w:szCs w:val="24"/>
              </w:rPr>
              <w:t>24/10/18</w:t>
            </w:r>
          </w:p>
        </w:tc>
        <w:tc>
          <w:tcPr>
            <w:tcW w:w="1558" w:type="dxa"/>
          </w:tcPr>
          <w:p w:rsidR="001731B2" w:rsidRPr="001731B2" w:rsidRDefault="001731B2" w:rsidP="00BE0F80">
            <w:pPr>
              <w:pStyle w:val="NoSpacing"/>
              <w:jc w:val="right"/>
              <w:rPr>
                <w:rFonts w:ascii="Arial" w:hAnsi="Arial" w:cs="Arial"/>
                <w:sz w:val="24"/>
                <w:szCs w:val="24"/>
              </w:rPr>
            </w:pPr>
            <w:r>
              <w:rPr>
                <w:rFonts w:ascii="Arial" w:hAnsi="Arial" w:cs="Arial"/>
                <w:sz w:val="24"/>
                <w:szCs w:val="24"/>
              </w:rPr>
              <w:t>23/04/19</w:t>
            </w:r>
          </w:p>
        </w:tc>
        <w:tc>
          <w:tcPr>
            <w:tcW w:w="1348" w:type="dxa"/>
          </w:tcPr>
          <w:p w:rsidR="001731B2" w:rsidRPr="001731B2" w:rsidRDefault="001731B2" w:rsidP="00BE0F80">
            <w:pPr>
              <w:pStyle w:val="NoSpacing"/>
              <w:jc w:val="right"/>
              <w:rPr>
                <w:rFonts w:ascii="Arial" w:hAnsi="Arial" w:cs="Arial"/>
                <w:sz w:val="24"/>
                <w:szCs w:val="24"/>
              </w:rPr>
            </w:pPr>
            <w:r>
              <w:rPr>
                <w:rFonts w:ascii="Arial" w:hAnsi="Arial" w:cs="Arial"/>
                <w:sz w:val="24"/>
                <w:szCs w:val="24"/>
              </w:rPr>
              <w:t>0.90%</w:t>
            </w:r>
          </w:p>
        </w:tc>
      </w:tr>
      <w:tr w:rsidR="00BE0F80" w:rsidTr="00BE0F80">
        <w:tc>
          <w:tcPr>
            <w:tcW w:w="3214" w:type="dxa"/>
          </w:tcPr>
          <w:p w:rsidR="00BE0F80" w:rsidRPr="005052DF" w:rsidRDefault="00BE0F80" w:rsidP="00BE0F80">
            <w:pPr>
              <w:pStyle w:val="NoSpacing"/>
              <w:rPr>
                <w:rFonts w:ascii="Arial" w:hAnsi="Arial" w:cs="Arial"/>
                <w:b/>
                <w:sz w:val="24"/>
                <w:szCs w:val="24"/>
              </w:rPr>
            </w:pPr>
            <w:r w:rsidRPr="005052DF">
              <w:rPr>
                <w:rFonts w:ascii="Arial" w:hAnsi="Arial" w:cs="Arial"/>
                <w:b/>
                <w:sz w:val="24"/>
                <w:szCs w:val="24"/>
              </w:rPr>
              <w:t>Total</w:t>
            </w:r>
          </w:p>
        </w:tc>
        <w:tc>
          <w:tcPr>
            <w:tcW w:w="1558" w:type="dxa"/>
          </w:tcPr>
          <w:p w:rsidR="00BE0F80" w:rsidRPr="005052DF" w:rsidRDefault="001731B2" w:rsidP="00BE0F80">
            <w:pPr>
              <w:pStyle w:val="NoSpacing"/>
              <w:jc w:val="right"/>
              <w:rPr>
                <w:rFonts w:ascii="Arial" w:hAnsi="Arial" w:cs="Arial"/>
                <w:b/>
                <w:sz w:val="24"/>
                <w:szCs w:val="24"/>
              </w:rPr>
            </w:pPr>
            <w:r>
              <w:rPr>
                <w:rFonts w:ascii="Arial" w:hAnsi="Arial" w:cs="Arial"/>
                <w:b/>
                <w:sz w:val="24"/>
                <w:szCs w:val="24"/>
              </w:rPr>
              <w:t>8,5</w:t>
            </w:r>
            <w:r w:rsidR="00BE0F80" w:rsidRPr="005052DF">
              <w:rPr>
                <w:rFonts w:ascii="Arial" w:hAnsi="Arial" w:cs="Arial"/>
                <w:b/>
                <w:sz w:val="24"/>
                <w:szCs w:val="24"/>
              </w:rPr>
              <w:t>00</w:t>
            </w:r>
          </w:p>
        </w:tc>
        <w:tc>
          <w:tcPr>
            <w:tcW w:w="1558" w:type="dxa"/>
          </w:tcPr>
          <w:p w:rsidR="00BE0F80" w:rsidRPr="005052DF" w:rsidRDefault="00BE0F80" w:rsidP="00BE0F80">
            <w:pPr>
              <w:pStyle w:val="NoSpacing"/>
              <w:jc w:val="right"/>
              <w:rPr>
                <w:rFonts w:ascii="Arial" w:hAnsi="Arial" w:cs="Arial"/>
                <w:sz w:val="24"/>
                <w:szCs w:val="24"/>
              </w:rPr>
            </w:pPr>
          </w:p>
        </w:tc>
        <w:tc>
          <w:tcPr>
            <w:tcW w:w="1558" w:type="dxa"/>
          </w:tcPr>
          <w:p w:rsidR="00BE0F80" w:rsidRPr="005052DF" w:rsidRDefault="00BE0F80" w:rsidP="00BE0F80">
            <w:pPr>
              <w:pStyle w:val="NoSpacing"/>
              <w:jc w:val="right"/>
              <w:rPr>
                <w:rFonts w:ascii="Arial" w:hAnsi="Arial" w:cs="Arial"/>
                <w:sz w:val="24"/>
                <w:szCs w:val="24"/>
              </w:rPr>
            </w:pPr>
          </w:p>
        </w:tc>
        <w:tc>
          <w:tcPr>
            <w:tcW w:w="1348" w:type="dxa"/>
          </w:tcPr>
          <w:p w:rsidR="00BE0F80" w:rsidRPr="005052DF" w:rsidRDefault="00BE0F80" w:rsidP="00BE0F80">
            <w:pPr>
              <w:pStyle w:val="NoSpacing"/>
              <w:jc w:val="right"/>
              <w:rPr>
                <w:rFonts w:ascii="Arial" w:hAnsi="Arial" w:cs="Arial"/>
                <w:sz w:val="24"/>
                <w:szCs w:val="24"/>
              </w:rPr>
            </w:pPr>
          </w:p>
        </w:tc>
      </w:tr>
      <w:tr w:rsidR="00BE0F80" w:rsidTr="00BE0F80">
        <w:tc>
          <w:tcPr>
            <w:tcW w:w="3214" w:type="dxa"/>
          </w:tcPr>
          <w:p w:rsidR="00BE0F80" w:rsidRDefault="00BE0F80" w:rsidP="00BE0F80">
            <w:pPr>
              <w:pStyle w:val="NoSpacing"/>
              <w:rPr>
                <w:rFonts w:ascii="Arial" w:hAnsi="Arial" w:cs="Arial"/>
                <w:sz w:val="24"/>
                <w:szCs w:val="24"/>
              </w:rPr>
            </w:pPr>
          </w:p>
        </w:tc>
        <w:tc>
          <w:tcPr>
            <w:tcW w:w="1558" w:type="dxa"/>
          </w:tcPr>
          <w:p w:rsidR="00BE0F80" w:rsidRDefault="00BE0F80" w:rsidP="00BE0F80">
            <w:pPr>
              <w:pStyle w:val="NoSpacing"/>
              <w:rPr>
                <w:rFonts w:ascii="Arial" w:hAnsi="Arial" w:cs="Arial"/>
                <w:sz w:val="24"/>
                <w:szCs w:val="24"/>
              </w:rPr>
            </w:pPr>
          </w:p>
        </w:tc>
        <w:tc>
          <w:tcPr>
            <w:tcW w:w="1558" w:type="dxa"/>
          </w:tcPr>
          <w:p w:rsidR="00BE0F80" w:rsidRDefault="00BE0F80" w:rsidP="00BE0F80">
            <w:pPr>
              <w:pStyle w:val="NoSpacing"/>
              <w:rPr>
                <w:rFonts w:ascii="Arial" w:hAnsi="Arial" w:cs="Arial"/>
                <w:sz w:val="24"/>
                <w:szCs w:val="24"/>
              </w:rPr>
            </w:pPr>
          </w:p>
        </w:tc>
        <w:tc>
          <w:tcPr>
            <w:tcW w:w="1558" w:type="dxa"/>
          </w:tcPr>
          <w:p w:rsidR="00BE0F80" w:rsidRDefault="00BE0F80" w:rsidP="00BE0F80">
            <w:pPr>
              <w:pStyle w:val="NoSpacing"/>
              <w:rPr>
                <w:rFonts w:ascii="Arial" w:hAnsi="Arial" w:cs="Arial"/>
                <w:sz w:val="24"/>
                <w:szCs w:val="24"/>
              </w:rPr>
            </w:pPr>
          </w:p>
        </w:tc>
        <w:tc>
          <w:tcPr>
            <w:tcW w:w="1348" w:type="dxa"/>
          </w:tcPr>
          <w:p w:rsidR="00BE0F80" w:rsidRDefault="00BE0F80" w:rsidP="00BE0F80">
            <w:pPr>
              <w:pStyle w:val="NoSpacing"/>
              <w:rPr>
                <w:rFonts w:ascii="Arial" w:hAnsi="Arial" w:cs="Arial"/>
                <w:sz w:val="24"/>
                <w:szCs w:val="24"/>
              </w:rPr>
            </w:pPr>
          </w:p>
        </w:tc>
      </w:tr>
      <w:tr w:rsidR="00BE0F80" w:rsidTr="00BE0F80">
        <w:tc>
          <w:tcPr>
            <w:tcW w:w="3214" w:type="dxa"/>
          </w:tcPr>
          <w:p w:rsidR="00BE0F80" w:rsidRPr="0078203A" w:rsidRDefault="00BE0F80" w:rsidP="00BE0F80">
            <w:pPr>
              <w:pStyle w:val="NoSpacing"/>
              <w:rPr>
                <w:rFonts w:ascii="Arial" w:hAnsi="Arial" w:cs="Arial"/>
                <w:b/>
                <w:sz w:val="24"/>
                <w:szCs w:val="24"/>
              </w:rPr>
            </w:pPr>
            <w:r w:rsidRPr="0078203A">
              <w:rPr>
                <w:rFonts w:ascii="Arial" w:hAnsi="Arial" w:cs="Arial"/>
                <w:b/>
                <w:sz w:val="24"/>
                <w:szCs w:val="24"/>
              </w:rPr>
              <w:t>Other</w:t>
            </w:r>
          </w:p>
        </w:tc>
        <w:tc>
          <w:tcPr>
            <w:tcW w:w="1558" w:type="dxa"/>
          </w:tcPr>
          <w:p w:rsidR="00BE0F80" w:rsidRPr="0078203A" w:rsidRDefault="00BE0F80" w:rsidP="00BE0F80">
            <w:pPr>
              <w:pStyle w:val="NoSpacing"/>
              <w:jc w:val="right"/>
              <w:rPr>
                <w:rFonts w:ascii="Arial" w:hAnsi="Arial" w:cs="Arial"/>
                <w:sz w:val="24"/>
                <w:szCs w:val="24"/>
              </w:rPr>
            </w:pPr>
          </w:p>
        </w:tc>
        <w:tc>
          <w:tcPr>
            <w:tcW w:w="1558" w:type="dxa"/>
          </w:tcPr>
          <w:p w:rsidR="00BE0F80" w:rsidRPr="005052DF" w:rsidRDefault="00BE0F80" w:rsidP="00BE0F80">
            <w:pPr>
              <w:pStyle w:val="NoSpacing"/>
              <w:jc w:val="right"/>
              <w:rPr>
                <w:rFonts w:ascii="Arial" w:hAnsi="Arial" w:cs="Arial"/>
                <w:sz w:val="24"/>
                <w:szCs w:val="24"/>
              </w:rPr>
            </w:pPr>
          </w:p>
        </w:tc>
        <w:tc>
          <w:tcPr>
            <w:tcW w:w="1558" w:type="dxa"/>
          </w:tcPr>
          <w:p w:rsidR="00BE0F80" w:rsidRPr="005052DF" w:rsidRDefault="00BE0F80" w:rsidP="00BE0F80">
            <w:pPr>
              <w:pStyle w:val="NoSpacing"/>
              <w:jc w:val="right"/>
              <w:rPr>
                <w:rFonts w:ascii="Arial" w:hAnsi="Arial" w:cs="Arial"/>
                <w:sz w:val="24"/>
                <w:szCs w:val="24"/>
              </w:rPr>
            </w:pPr>
          </w:p>
        </w:tc>
        <w:tc>
          <w:tcPr>
            <w:tcW w:w="1348" w:type="dxa"/>
          </w:tcPr>
          <w:p w:rsidR="00BE0F80" w:rsidRDefault="00BE0F80" w:rsidP="00BE0F80">
            <w:pPr>
              <w:pStyle w:val="NoSpacing"/>
              <w:jc w:val="right"/>
              <w:rPr>
                <w:rFonts w:ascii="Arial" w:hAnsi="Arial" w:cs="Arial"/>
                <w:sz w:val="24"/>
                <w:szCs w:val="24"/>
              </w:rPr>
            </w:pPr>
          </w:p>
        </w:tc>
      </w:tr>
      <w:tr w:rsidR="00BE0F80" w:rsidTr="00BE0F80">
        <w:tc>
          <w:tcPr>
            <w:tcW w:w="3214" w:type="dxa"/>
          </w:tcPr>
          <w:p w:rsidR="00BE0F80" w:rsidRPr="0078203A" w:rsidRDefault="00BE0F80" w:rsidP="00BE0F80">
            <w:pPr>
              <w:pStyle w:val="NoSpacing"/>
              <w:rPr>
                <w:rFonts w:ascii="Arial" w:hAnsi="Arial" w:cs="Arial"/>
                <w:sz w:val="24"/>
                <w:szCs w:val="24"/>
              </w:rPr>
            </w:pPr>
            <w:r w:rsidRPr="0078203A">
              <w:rPr>
                <w:rFonts w:ascii="Arial" w:hAnsi="Arial" w:cs="Arial"/>
                <w:sz w:val="24"/>
                <w:szCs w:val="24"/>
              </w:rPr>
              <w:t>Lloyds current account</w:t>
            </w:r>
          </w:p>
        </w:tc>
        <w:tc>
          <w:tcPr>
            <w:tcW w:w="1558" w:type="dxa"/>
          </w:tcPr>
          <w:p w:rsidR="00BE0F80" w:rsidRPr="0078203A" w:rsidRDefault="001731B2" w:rsidP="00BE0F80">
            <w:pPr>
              <w:pStyle w:val="NoSpacing"/>
              <w:jc w:val="right"/>
              <w:rPr>
                <w:rFonts w:ascii="Arial" w:hAnsi="Arial" w:cs="Arial"/>
                <w:sz w:val="24"/>
                <w:szCs w:val="24"/>
              </w:rPr>
            </w:pPr>
            <w:r>
              <w:rPr>
                <w:rFonts w:ascii="Arial" w:hAnsi="Arial" w:cs="Arial"/>
                <w:sz w:val="24"/>
                <w:szCs w:val="24"/>
              </w:rPr>
              <w:t>711</w:t>
            </w:r>
          </w:p>
        </w:tc>
        <w:tc>
          <w:tcPr>
            <w:tcW w:w="1558" w:type="dxa"/>
          </w:tcPr>
          <w:p w:rsidR="00BE0F80" w:rsidRPr="005052DF" w:rsidRDefault="00BE0F80" w:rsidP="00BE0F80">
            <w:pPr>
              <w:pStyle w:val="NoSpacing"/>
              <w:jc w:val="right"/>
              <w:rPr>
                <w:rFonts w:ascii="Arial" w:hAnsi="Arial" w:cs="Arial"/>
                <w:sz w:val="24"/>
                <w:szCs w:val="24"/>
              </w:rPr>
            </w:pPr>
          </w:p>
        </w:tc>
        <w:tc>
          <w:tcPr>
            <w:tcW w:w="1558" w:type="dxa"/>
          </w:tcPr>
          <w:p w:rsidR="00BE0F80" w:rsidRPr="005052DF" w:rsidRDefault="00BE0F80" w:rsidP="00BE0F80">
            <w:pPr>
              <w:pStyle w:val="NoSpacing"/>
              <w:jc w:val="right"/>
              <w:rPr>
                <w:rFonts w:ascii="Arial" w:hAnsi="Arial" w:cs="Arial"/>
                <w:sz w:val="24"/>
                <w:szCs w:val="24"/>
              </w:rPr>
            </w:pPr>
          </w:p>
        </w:tc>
        <w:tc>
          <w:tcPr>
            <w:tcW w:w="1348" w:type="dxa"/>
          </w:tcPr>
          <w:p w:rsidR="00BE0F80" w:rsidRPr="005052DF" w:rsidRDefault="001731B2" w:rsidP="00BE0F80">
            <w:pPr>
              <w:pStyle w:val="NoSpacing"/>
              <w:jc w:val="right"/>
              <w:rPr>
                <w:rFonts w:ascii="Arial" w:hAnsi="Arial" w:cs="Arial"/>
                <w:sz w:val="24"/>
                <w:szCs w:val="24"/>
              </w:rPr>
            </w:pPr>
            <w:r>
              <w:rPr>
                <w:rFonts w:ascii="Arial" w:hAnsi="Arial" w:cs="Arial"/>
                <w:sz w:val="24"/>
                <w:szCs w:val="24"/>
              </w:rPr>
              <w:t>0.40</w:t>
            </w:r>
            <w:r w:rsidR="00BE0F80">
              <w:rPr>
                <w:rFonts w:ascii="Arial" w:hAnsi="Arial" w:cs="Arial"/>
                <w:sz w:val="24"/>
                <w:szCs w:val="24"/>
              </w:rPr>
              <w:t>%</w:t>
            </w:r>
          </w:p>
        </w:tc>
      </w:tr>
      <w:tr w:rsidR="00BE0F80" w:rsidTr="00BE0F80">
        <w:tc>
          <w:tcPr>
            <w:tcW w:w="3214" w:type="dxa"/>
          </w:tcPr>
          <w:p w:rsidR="00BE0F80" w:rsidRPr="0078203A" w:rsidRDefault="00BE0F80" w:rsidP="00BE0F80">
            <w:pPr>
              <w:pStyle w:val="NoSpacing"/>
              <w:rPr>
                <w:rFonts w:ascii="Arial" w:hAnsi="Arial" w:cs="Arial"/>
                <w:b/>
                <w:sz w:val="24"/>
                <w:szCs w:val="24"/>
              </w:rPr>
            </w:pPr>
            <w:r w:rsidRPr="00D05AE3">
              <w:rPr>
                <w:rFonts w:ascii="Arial" w:hAnsi="Arial" w:cs="Arial"/>
                <w:sz w:val="24"/>
                <w:szCs w:val="24"/>
              </w:rPr>
              <w:t>Other cash balances</w:t>
            </w:r>
          </w:p>
        </w:tc>
        <w:tc>
          <w:tcPr>
            <w:tcW w:w="1558" w:type="dxa"/>
          </w:tcPr>
          <w:p w:rsidR="00BE0F80" w:rsidRDefault="002963FF" w:rsidP="00BE0F80">
            <w:pPr>
              <w:pStyle w:val="NoSpacing"/>
              <w:jc w:val="right"/>
              <w:rPr>
                <w:rFonts w:ascii="Arial" w:hAnsi="Arial" w:cs="Arial"/>
                <w:sz w:val="24"/>
                <w:szCs w:val="24"/>
              </w:rPr>
            </w:pPr>
            <w:r>
              <w:rPr>
                <w:rFonts w:ascii="Arial" w:hAnsi="Arial" w:cs="Arial"/>
                <w:sz w:val="24"/>
                <w:szCs w:val="24"/>
              </w:rPr>
              <w:t>(1,291)</w:t>
            </w:r>
          </w:p>
        </w:tc>
        <w:tc>
          <w:tcPr>
            <w:tcW w:w="1558" w:type="dxa"/>
          </w:tcPr>
          <w:p w:rsidR="00BE0F80" w:rsidRDefault="00BE0F80" w:rsidP="00BE0F80">
            <w:pPr>
              <w:pStyle w:val="NoSpacing"/>
              <w:rPr>
                <w:rFonts w:ascii="Arial" w:hAnsi="Arial" w:cs="Arial"/>
                <w:sz w:val="24"/>
                <w:szCs w:val="24"/>
              </w:rPr>
            </w:pPr>
          </w:p>
        </w:tc>
        <w:tc>
          <w:tcPr>
            <w:tcW w:w="1558" w:type="dxa"/>
          </w:tcPr>
          <w:p w:rsidR="00BE0F80" w:rsidRDefault="00BE0F80" w:rsidP="00BE0F80">
            <w:pPr>
              <w:pStyle w:val="NoSpacing"/>
              <w:rPr>
                <w:rFonts w:ascii="Arial" w:hAnsi="Arial" w:cs="Arial"/>
                <w:sz w:val="24"/>
                <w:szCs w:val="24"/>
              </w:rPr>
            </w:pPr>
          </w:p>
        </w:tc>
        <w:tc>
          <w:tcPr>
            <w:tcW w:w="1348" w:type="dxa"/>
          </w:tcPr>
          <w:p w:rsidR="00BE0F80" w:rsidRDefault="001731B2" w:rsidP="001731B2">
            <w:pPr>
              <w:pStyle w:val="NoSpacing"/>
              <w:jc w:val="right"/>
              <w:rPr>
                <w:rFonts w:ascii="Arial" w:hAnsi="Arial" w:cs="Arial"/>
                <w:sz w:val="24"/>
                <w:szCs w:val="24"/>
              </w:rPr>
            </w:pPr>
            <w:r>
              <w:rPr>
                <w:rFonts w:ascii="Arial" w:hAnsi="Arial" w:cs="Arial"/>
                <w:sz w:val="24"/>
                <w:szCs w:val="24"/>
              </w:rPr>
              <w:t>n/a</w:t>
            </w:r>
          </w:p>
        </w:tc>
      </w:tr>
      <w:tr w:rsidR="00BE0F80" w:rsidTr="00BE0F80">
        <w:tc>
          <w:tcPr>
            <w:tcW w:w="3214" w:type="dxa"/>
          </w:tcPr>
          <w:p w:rsidR="00BE0F80" w:rsidRDefault="00BE0F80" w:rsidP="00BE0F80">
            <w:pPr>
              <w:pStyle w:val="NoSpacing"/>
              <w:rPr>
                <w:rFonts w:ascii="Arial" w:hAnsi="Arial" w:cs="Arial"/>
                <w:sz w:val="24"/>
                <w:szCs w:val="24"/>
              </w:rPr>
            </w:pPr>
            <w:r w:rsidRPr="0078203A">
              <w:rPr>
                <w:rFonts w:ascii="Arial" w:hAnsi="Arial" w:cs="Arial"/>
                <w:b/>
                <w:sz w:val="24"/>
                <w:szCs w:val="24"/>
              </w:rPr>
              <w:t>Total</w:t>
            </w:r>
          </w:p>
        </w:tc>
        <w:tc>
          <w:tcPr>
            <w:tcW w:w="1558" w:type="dxa"/>
          </w:tcPr>
          <w:p w:rsidR="00BE0F80" w:rsidRPr="0078203A" w:rsidRDefault="002963FF" w:rsidP="00BE0F80">
            <w:pPr>
              <w:pStyle w:val="NoSpacing"/>
              <w:jc w:val="right"/>
              <w:rPr>
                <w:rFonts w:ascii="Arial" w:hAnsi="Arial" w:cs="Arial"/>
                <w:b/>
                <w:sz w:val="24"/>
                <w:szCs w:val="24"/>
              </w:rPr>
            </w:pPr>
            <w:r>
              <w:rPr>
                <w:rFonts w:ascii="Arial" w:hAnsi="Arial" w:cs="Arial"/>
                <w:b/>
                <w:sz w:val="24"/>
                <w:szCs w:val="24"/>
              </w:rPr>
              <w:t>(580)</w:t>
            </w:r>
          </w:p>
        </w:tc>
        <w:tc>
          <w:tcPr>
            <w:tcW w:w="1558" w:type="dxa"/>
          </w:tcPr>
          <w:p w:rsidR="00BE0F80" w:rsidRDefault="00BE0F80" w:rsidP="00BE0F80">
            <w:pPr>
              <w:pStyle w:val="NoSpacing"/>
              <w:rPr>
                <w:rFonts w:ascii="Arial" w:hAnsi="Arial" w:cs="Arial"/>
                <w:sz w:val="24"/>
                <w:szCs w:val="24"/>
              </w:rPr>
            </w:pPr>
          </w:p>
        </w:tc>
        <w:tc>
          <w:tcPr>
            <w:tcW w:w="1558" w:type="dxa"/>
          </w:tcPr>
          <w:p w:rsidR="00BE0F80" w:rsidRDefault="00BE0F80" w:rsidP="00BE0F80">
            <w:pPr>
              <w:pStyle w:val="NoSpacing"/>
              <w:rPr>
                <w:rFonts w:ascii="Arial" w:hAnsi="Arial" w:cs="Arial"/>
                <w:sz w:val="24"/>
                <w:szCs w:val="24"/>
              </w:rPr>
            </w:pPr>
          </w:p>
        </w:tc>
        <w:tc>
          <w:tcPr>
            <w:tcW w:w="1348" w:type="dxa"/>
          </w:tcPr>
          <w:p w:rsidR="00BE0F80" w:rsidRDefault="00BE0F80" w:rsidP="00BE0F80">
            <w:pPr>
              <w:pStyle w:val="NoSpacing"/>
              <w:rPr>
                <w:rFonts w:ascii="Arial" w:hAnsi="Arial" w:cs="Arial"/>
                <w:sz w:val="24"/>
                <w:szCs w:val="24"/>
              </w:rPr>
            </w:pPr>
          </w:p>
        </w:tc>
      </w:tr>
      <w:tr w:rsidR="00BE0F80" w:rsidTr="00BE0F80">
        <w:tc>
          <w:tcPr>
            <w:tcW w:w="3214" w:type="dxa"/>
          </w:tcPr>
          <w:p w:rsidR="00BE0F80" w:rsidRDefault="00BE0F80" w:rsidP="00BE0F80">
            <w:pPr>
              <w:pStyle w:val="NoSpacing"/>
              <w:rPr>
                <w:rFonts w:ascii="Arial" w:hAnsi="Arial" w:cs="Arial"/>
                <w:sz w:val="24"/>
                <w:szCs w:val="24"/>
              </w:rPr>
            </w:pPr>
          </w:p>
        </w:tc>
        <w:tc>
          <w:tcPr>
            <w:tcW w:w="1558" w:type="dxa"/>
          </w:tcPr>
          <w:p w:rsidR="00BE0F80" w:rsidRDefault="00BE0F80" w:rsidP="00BE0F80">
            <w:pPr>
              <w:pStyle w:val="NoSpacing"/>
              <w:rPr>
                <w:rFonts w:ascii="Arial" w:hAnsi="Arial" w:cs="Arial"/>
                <w:sz w:val="24"/>
                <w:szCs w:val="24"/>
              </w:rPr>
            </w:pPr>
          </w:p>
        </w:tc>
        <w:tc>
          <w:tcPr>
            <w:tcW w:w="1558" w:type="dxa"/>
          </w:tcPr>
          <w:p w:rsidR="00BE0F80" w:rsidRDefault="00BE0F80" w:rsidP="00BE0F80">
            <w:pPr>
              <w:pStyle w:val="NoSpacing"/>
              <w:rPr>
                <w:rFonts w:ascii="Arial" w:hAnsi="Arial" w:cs="Arial"/>
                <w:sz w:val="24"/>
                <w:szCs w:val="24"/>
              </w:rPr>
            </w:pPr>
          </w:p>
        </w:tc>
        <w:tc>
          <w:tcPr>
            <w:tcW w:w="1558" w:type="dxa"/>
          </w:tcPr>
          <w:p w:rsidR="00BE0F80" w:rsidRDefault="00BE0F80" w:rsidP="00BE0F80">
            <w:pPr>
              <w:pStyle w:val="NoSpacing"/>
              <w:rPr>
                <w:rFonts w:ascii="Arial" w:hAnsi="Arial" w:cs="Arial"/>
                <w:sz w:val="24"/>
                <w:szCs w:val="24"/>
              </w:rPr>
            </w:pPr>
          </w:p>
        </w:tc>
        <w:tc>
          <w:tcPr>
            <w:tcW w:w="1348" w:type="dxa"/>
          </w:tcPr>
          <w:p w:rsidR="00BE0F80" w:rsidRDefault="00BE0F80" w:rsidP="00BE0F80">
            <w:pPr>
              <w:pStyle w:val="NoSpacing"/>
              <w:rPr>
                <w:rFonts w:ascii="Arial" w:hAnsi="Arial" w:cs="Arial"/>
                <w:sz w:val="24"/>
                <w:szCs w:val="24"/>
              </w:rPr>
            </w:pPr>
          </w:p>
        </w:tc>
      </w:tr>
      <w:tr w:rsidR="00BE0F80" w:rsidTr="00BE0F80">
        <w:tc>
          <w:tcPr>
            <w:tcW w:w="3214" w:type="dxa"/>
          </w:tcPr>
          <w:p w:rsidR="00BE0F80" w:rsidRPr="00704F85" w:rsidRDefault="00BE0F80" w:rsidP="00BE0F80">
            <w:pPr>
              <w:pStyle w:val="NoSpacing"/>
              <w:rPr>
                <w:rFonts w:ascii="Arial" w:hAnsi="Arial" w:cs="Arial"/>
                <w:b/>
                <w:sz w:val="24"/>
                <w:szCs w:val="24"/>
              </w:rPr>
            </w:pPr>
            <w:r w:rsidRPr="00704F85">
              <w:rPr>
                <w:rFonts w:ascii="Arial" w:hAnsi="Arial" w:cs="Arial"/>
                <w:b/>
                <w:sz w:val="24"/>
                <w:szCs w:val="24"/>
              </w:rPr>
              <w:t>Total all investments</w:t>
            </w:r>
          </w:p>
        </w:tc>
        <w:tc>
          <w:tcPr>
            <w:tcW w:w="1558" w:type="dxa"/>
          </w:tcPr>
          <w:p w:rsidR="00BE0F80" w:rsidRPr="00704F85" w:rsidRDefault="002963FF" w:rsidP="00BE0F80">
            <w:pPr>
              <w:pStyle w:val="NoSpacing"/>
              <w:jc w:val="right"/>
              <w:rPr>
                <w:rFonts w:ascii="Arial" w:hAnsi="Arial" w:cs="Arial"/>
                <w:b/>
                <w:sz w:val="24"/>
                <w:szCs w:val="24"/>
              </w:rPr>
            </w:pPr>
            <w:r>
              <w:rPr>
                <w:rFonts w:ascii="Arial" w:hAnsi="Arial" w:cs="Arial"/>
                <w:b/>
                <w:sz w:val="24"/>
                <w:szCs w:val="24"/>
              </w:rPr>
              <w:t>18,54</w:t>
            </w:r>
            <w:r w:rsidR="00BE0F80">
              <w:rPr>
                <w:rFonts w:ascii="Arial" w:hAnsi="Arial" w:cs="Arial"/>
                <w:b/>
                <w:sz w:val="24"/>
                <w:szCs w:val="24"/>
              </w:rPr>
              <w:t>0</w:t>
            </w:r>
          </w:p>
        </w:tc>
        <w:tc>
          <w:tcPr>
            <w:tcW w:w="1558" w:type="dxa"/>
          </w:tcPr>
          <w:p w:rsidR="00BE0F80" w:rsidRDefault="00BE0F80" w:rsidP="00BE0F80">
            <w:pPr>
              <w:pStyle w:val="NoSpacing"/>
              <w:rPr>
                <w:rFonts w:ascii="Arial" w:hAnsi="Arial" w:cs="Arial"/>
                <w:sz w:val="24"/>
                <w:szCs w:val="24"/>
              </w:rPr>
            </w:pPr>
          </w:p>
        </w:tc>
        <w:tc>
          <w:tcPr>
            <w:tcW w:w="1558" w:type="dxa"/>
          </w:tcPr>
          <w:p w:rsidR="00BE0F80" w:rsidRDefault="00BE0F80" w:rsidP="00BE0F80">
            <w:pPr>
              <w:pStyle w:val="NoSpacing"/>
              <w:rPr>
                <w:rFonts w:ascii="Arial" w:hAnsi="Arial" w:cs="Arial"/>
                <w:sz w:val="24"/>
                <w:szCs w:val="24"/>
              </w:rPr>
            </w:pPr>
          </w:p>
        </w:tc>
        <w:tc>
          <w:tcPr>
            <w:tcW w:w="1348" w:type="dxa"/>
          </w:tcPr>
          <w:p w:rsidR="00BE0F80" w:rsidRDefault="00BE0F80" w:rsidP="00BE0F80">
            <w:pPr>
              <w:pStyle w:val="NoSpacing"/>
              <w:rPr>
                <w:rFonts w:ascii="Arial" w:hAnsi="Arial" w:cs="Arial"/>
                <w:sz w:val="24"/>
                <w:szCs w:val="24"/>
              </w:rPr>
            </w:pPr>
          </w:p>
        </w:tc>
      </w:tr>
    </w:tbl>
    <w:p w:rsidR="00BE0F80" w:rsidRDefault="001731B2" w:rsidP="002963FF">
      <w:pPr>
        <w:pStyle w:val="NoSpacing"/>
        <w:ind w:left="720"/>
        <w:rPr>
          <w:rFonts w:ascii="Arial" w:hAnsi="Arial" w:cs="Arial"/>
          <w:sz w:val="24"/>
          <w:szCs w:val="24"/>
        </w:rPr>
      </w:pPr>
      <w:r>
        <w:rPr>
          <w:rFonts w:ascii="Arial" w:hAnsi="Arial" w:cs="Arial"/>
          <w:sz w:val="24"/>
          <w:szCs w:val="24"/>
        </w:rPr>
        <w:br/>
      </w:r>
      <w:r w:rsidR="002963FF">
        <w:rPr>
          <w:rFonts w:ascii="Arial" w:hAnsi="Arial" w:cs="Arial"/>
          <w:sz w:val="24"/>
          <w:szCs w:val="24"/>
        </w:rPr>
        <w:t>* F</w:t>
      </w:r>
      <w:r>
        <w:rPr>
          <w:rFonts w:ascii="Arial" w:hAnsi="Arial" w:cs="Arial"/>
          <w:sz w:val="24"/>
          <w:szCs w:val="24"/>
        </w:rPr>
        <w:t>or call accounts/money market funds this is the rate as at 31/3/19 (this may fluctuate during the year)</w:t>
      </w:r>
    </w:p>
    <w:p w:rsidR="0024464D" w:rsidRDefault="00BE0F80" w:rsidP="00BE0F80">
      <w:pPr>
        <w:pStyle w:val="NoSpacing"/>
        <w:ind w:left="720"/>
        <w:jc w:val="right"/>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2963FF" w:rsidRDefault="00BE0F80" w:rsidP="00BE0F80">
      <w:pPr>
        <w:pStyle w:val="NoSpacing"/>
        <w:ind w:left="720"/>
        <w:jc w:val="right"/>
        <w:rPr>
          <w:rFonts w:ascii="Trebuchet MS" w:hAnsi="Trebuchet MS"/>
        </w:rPr>
      </w:pPr>
      <w:r>
        <w:rPr>
          <w:rFonts w:ascii="Trebuchet MS" w:hAnsi="Trebuchet MS"/>
        </w:rPr>
        <w:tab/>
      </w:r>
    </w:p>
    <w:p w:rsidR="00BE0F80" w:rsidRPr="00DF7DF9" w:rsidRDefault="00BE0F80" w:rsidP="00BE0F80">
      <w:pPr>
        <w:pStyle w:val="NoSpacing"/>
        <w:ind w:left="720"/>
        <w:jc w:val="right"/>
        <w:rPr>
          <w:rFonts w:ascii="Arial" w:hAnsi="Arial" w:cs="Arial"/>
          <w:b/>
          <w:sz w:val="24"/>
          <w:szCs w:val="24"/>
        </w:rPr>
      </w:pPr>
      <w:r>
        <w:rPr>
          <w:rFonts w:ascii="Arial" w:hAnsi="Arial" w:cs="Arial"/>
          <w:b/>
          <w:sz w:val="24"/>
          <w:szCs w:val="24"/>
        </w:rPr>
        <w:t>Appendix B</w:t>
      </w:r>
    </w:p>
    <w:p w:rsidR="00BE0F80" w:rsidRDefault="00BE0F80" w:rsidP="00BE0F80">
      <w:pPr>
        <w:pStyle w:val="NoSpacing"/>
        <w:ind w:left="720"/>
        <w:rPr>
          <w:rFonts w:ascii="Arial" w:hAnsi="Arial" w:cs="Arial"/>
          <w:b/>
          <w:sz w:val="24"/>
          <w:szCs w:val="24"/>
        </w:rPr>
      </w:pPr>
      <w:r>
        <w:rPr>
          <w:rFonts w:ascii="Arial" w:hAnsi="Arial" w:cs="Arial"/>
          <w:b/>
          <w:sz w:val="24"/>
          <w:szCs w:val="24"/>
        </w:rPr>
        <w:br/>
        <w:t xml:space="preserve">Total </w:t>
      </w:r>
      <w:r w:rsidR="002963FF">
        <w:rPr>
          <w:rFonts w:ascii="Arial" w:hAnsi="Arial" w:cs="Arial"/>
          <w:b/>
          <w:sz w:val="24"/>
          <w:szCs w:val="24"/>
        </w:rPr>
        <w:t>investments during 2018/19</w:t>
      </w:r>
      <w:r>
        <w:rPr>
          <w:rFonts w:ascii="Arial" w:hAnsi="Arial" w:cs="Arial"/>
          <w:b/>
          <w:sz w:val="24"/>
          <w:szCs w:val="24"/>
        </w:rPr>
        <w:t xml:space="preserve"> listed by counterparty</w:t>
      </w:r>
    </w:p>
    <w:p w:rsidR="00BE0F80" w:rsidRDefault="00BE0F80" w:rsidP="00BE0F80">
      <w:pPr>
        <w:rPr>
          <w:rFonts w:ascii="Trebuchet MS" w:hAnsi="Trebuchet MS"/>
          <w:szCs w:val="22"/>
        </w:rPr>
      </w:pPr>
    </w:p>
    <w:tbl>
      <w:tblPr>
        <w:tblStyle w:val="TableGrid"/>
        <w:tblW w:w="0" w:type="auto"/>
        <w:tblInd w:w="720" w:type="dxa"/>
        <w:tblLayout w:type="fixed"/>
        <w:tblLook w:val="04A0" w:firstRow="1" w:lastRow="0" w:firstColumn="1" w:lastColumn="0" w:noHBand="0" w:noVBand="1"/>
      </w:tblPr>
      <w:tblGrid>
        <w:gridCol w:w="2394"/>
        <w:gridCol w:w="1417"/>
        <w:gridCol w:w="1418"/>
        <w:gridCol w:w="1417"/>
        <w:gridCol w:w="1276"/>
        <w:gridCol w:w="1314"/>
      </w:tblGrid>
      <w:tr w:rsidR="00BE0F80" w:rsidTr="009738F8">
        <w:tc>
          <w:tcPr>
            <w:tcW w:w="2394" w:type="dxa"/>
          </w:tcPr>
          <w:p w:rsidR="00BE0F80" w:rsidRDefault="00BE0F80" w:rsidP="00BE0F80">
            <w:pPr>
              <w:pStyle w:val="NoSpacing"/>
              <w:rPr>
                <w:rFonts w:ascii="Arial" w:hAnsi="Arial" w:cs="Arial"/>
                <w:b/>
                <w:sz w:val="24"/>
                <w:szCs w:val="24"/>
              </w:rPr>
            </w:pPr>
          </w:p>
        </w:tc>
        <w:tc>
          <w:tcPr>
            <w:tcW w:w="1417" w:type="dxa"/>
          </w:tcPr>
          <w:p w:rsidR="00BE0F80" w:rsidRDefault="00BE0F80" w:rsidP="00BE0F80">
            <w:pPr>
              <w:pStyle w:val="NoSpacing"/>
              <w:jc w:val="right"/>
              <w:rPr>
                <w:rFonts w:ascii="Arial" w:hAnsi="Arial" w:cs="Arial"/>
                <w:b/>
                <w:sz w:val="24"/>
                <w:szCs w:val="24"/>
              </w:rPr>
            </w:pPr>
            <w:r>
              <w:rPr>
                <w:rFonts w:ascii="Arial" w:hAnsi="Arial" w:cs="Arial"/>
                <w:b/>
                <w:sz w:val="24"/>
                <w:szCs w:val="24"/>
              </w:rPr>
              <w:t>Total invested</w:t>
            </w:r>
          </w:p>
          <w:p w:rsidR="00BE0F80" w:rsidRDefault="00BE0F80" w:rsidP="00BE0F80">
            <w:pPr>
              <w:pStyle w:val="NoSpacing"/>
              <w:jc w:val="right"/>
              <w:rPr>
                <w:rFonts w:ascii="Arial" w:hAnsi="Arial" w:cs="Arial"/>
                <w:b/>
                <w:sz w:val="24"/>
                <w:szCs w:val="24"/>
              </w:rPr>
            </w:pPr>
            <w:r>
              <w:rPr>
                <w:rFonts w:ascii="Arial" w:hAnsi="Arial" w:cs="Arial"/>
                <w:b/>
                <w:sz w:val="24"/>
                <w:szCs w:val="24"/>
              </w:rPr>
              <w:t>£000</w:t>
            </w:r>
          </w:p>
        </w:tc>
        <w:tc>
          <w:tcPr>
            <w:tcW w:w="1418" w:type="dxa"/>
          </w:tcPr>
          <w:p w:rsidR="00BE0F80" w:rsidRDefault="00BE0F80" w:rsidP="00BE0F80">
            <w:pPr>
              <w:pStyle w:val="NoSpacing"/>
              <w:jc w:val="right"/>
              <w:rPr>
                <w:rFonts w:ascii="Arial" w:hAnsi="Arial" w:cs="Arial"/>
                <w:b/>
                <w:sz w:val="24"/>
                <w:szCs w:val="24"/>
              </w:rPr>
            </w:pPr>
            <w:r>
              <w:rPr>
                <w:rFonts w:ascii="Arial" w:hAnsi="Arial" w:cs="Arial"/>
                <w:b/>
                <w:sz w:val="24"/>
                <w:szCs w:val="24"/>
              </w:rPr>
              <w:t>Number of deals</w:t>
            </w:r>
          </w:p>
        </w:tc>
        <w:tc>
          <w:tcPr>
            <w:tcW w:w="1417" w:type="dxa"/>
          </w:tcPr>
          <w:p w:rsidR="00BE0F80" w:rsidRDefault="00BE0F80" w:rsidP="00BE0F80">
            <w:pPr>
              <w:pStyle w:val="NoSpacing"/>
              <w:jc w:val="right"/>
              <w:rPr>
                <w:rFonts w:ascii="Arial" w:hAnsi="Arial" w:cs="Arial"/>
                <w:b/>
                <w:sz w:val="24"/>
                <w:szCs w:val="24"/>
              </w:rPr>
            </w:pPr>
            <w:r>
              <w:rPr>
                <w:rFonts w:ascii="Arial" w:hAnsi="Arial" w:cs="Arial"/>
                <w:b/>
                <w:sz w:val="24"/>
                <w:szCs w:val="24"/>
              </w:rPr>
              <w:t>Average daily balance</w:t>
            </w:r>
          </w:p>
          <w:p w:rsidR="00BE0F80" w:rsidRDefault="00BE0F80" w:rsidP="00BE0F80">
            <w:pPr>
              <w:pStyle w:val="NoSpacing"/>
              <w:jc w:val="right"/>
              <w:rPr>
                <w:rFonts w:ascii="Arial" w:hAnsi="Arial" w:cs="Arial"/>
                <w:b/>
                <w:sz w:val="24"/>
                <w:szCs w:val="24"/>
              </w:rPr>
            </w:pPr>
            <w:r>
              <w:rPr>
                <w:rFonts w:ascii="Arial" w:hAnsi="Arial" w:cs="Arial"/>
                <w:b/>
                <w:sz w:val="24"/>
                <w:szCs w:val="24"/>
              </w:rPr>
              <w:t>£000</w:t>
            </w:r>
          </w:p>
        </w:tc>
        <w:tc>
          <w:tcPr>
            <w:tcW w:w="1276" w:type="dxa"/>
          </w:tcPr>
          <w:p w:rsidR="00BE0F80" w:rsidRDefault="00BE0F80" w:rsidP="00BE0F80">
            <w:pPr>
              <w:pStyle w:val="NoSpacing"/>
              <w:jc w:val="right"/>
              <w:rPr>
                <w:rFonts w:ascii="Arial" w:hAnsi="Arial" w:cs="Arial"/>
                <w:b/>
                <w:sz w:val="24"/>
                <w:szCs w:val="24"/>
              </w:rPr>
            </w:pPr>
            <w:r>
              <w:rPr>
                <w:rFonts w:ascii="Arial" w:hAnsi="Arial" w:cs="Arial"/>
                <w:b/>
                <w:sz w:val="24"/>
                <w:szCs w:val="24"/>
              </w:rPr>
              <w:t>Highest rate achieved</w:t>
            </w:r>
          </w:p>
        </w:tc>
        <w:tc>
          <w:tcPr>
            <w:tcW w:w="1314" w:type="dxa"/>
          </w:tcPr>
          <w:p w:rsidR="00BE0F80" w:rsidRDefault="00BE0F80" w:rsidP="00BE0F80">
            <w:pPr>
              <w:pStyle w:val="NoSpacing"/>
              <w:jc w:val="right"/>
              <w:rPr>
                <w:rFonts w:ascii="Arial" w:hAnsi="Arial" w:cs="Arial"/>
                <w:b/>
                <w:sz w:val="24"/>
                <w:szCs w:val="24"/>
              </w:rPr>
            </w:pPr>
            <w:r>
              <w:rPr>
                <w:rFonts w:ascii="Arial" w:hAnsi="Arial" w:cs="Arial"/>
                <w:b/>
                <w:sz w:val="24"/>
                <w:szCs w:val="24"/>
              </w:rPr>
              <w:t xml:space="preserve">Lowest rate achieved </w:t>
            </w:r>
          </w:p>
          <w:p w:rsidR="00BE0F80" w:rsidRDefault="00BE0F80" w:rsidP="00BE0F80">
            <w:pPr>
              <w:pStyle w:val="NoSpacing"/>
              <w:jc w:val="right"/>
              <w:rPr>
                <w:rFonts w:ascii="Arial" w:hAnsi="Arial" w:cs="Arial"/>
                <w:b/>
                <w:sz w:val="24"/>
                <w:szCs w:val="24"/>
              </w:rPr>
            </w:pPr>
          </w:p>
        </w:tc>
      </w:tr>
      <w:tr w:rsidR="009738F8" w:rsidTr="009738F8">
        <w:tc>
          <w:tcPr>
            <w:tcW w:w="2394" w:type="dxa"/>
          </w:tcPr>
          <w:p w:rsidR="009738F8" w:rsidRDefault="009738F8" w:rsidP="00BE0F80">
            <w:pPr>
              <w:pStyle w:val="NoSpacing"/>
              <w:rPr>
                <w:rFonts w:ascii="Arial" w:hAnsi="Arial" w:cs="Arial"/>
                <w:sz w:val="24"/>
                <w:szCs w:val="24"/>
              </w:rPr>
            </w:pPr>
            <w:r>
              <w:rPr>
                <w:rFonts w:ascii="Arial" w:hAnsi="Arial" w:cs="Arial"/>
                <w:sz w:val="24"/>
                <w:szCs w:val="24"/>
              </w:rPr>
              <w:t>Aberdeen MMF</w:t>
            </w:r>
            <w:r w:rsidR="002F3990">
              <w:rPr>
                <w:rFonts w:ascii="Arial" w:hAnsi="Arial" w:cs="Arial"/>
                <w:sz w:val="24"/>
                <w:szCs w:val="24"/>
              </w:rPr>
              <w:br/>
            </w:r>
          </w:p>
        </w:tc>
        <w:tc>
          <w:tcPr>
            <w:tcW w:w="1417" w:type="dxa"/>
          </w:tcPr>
          <w:p w:rsidR="009738F8" w:rsidRPr="00A86DBE" w:rsidRDefault="009738F8" w:rsidP="00BE0F80">
            <w:pPr>
              <w:pStyle w:val="NoSpacing"/>
              <w:jc w:val="right"/>
              <w:rPr>
                <w:rFonts w:ascii="Arial" w:hAnsi="Arial" w:cs="Arial"/>
                <w:sz w:val="24"/>
                <w:szCs w:val="24"/>
              </w:rPr>
            </w:pPr>
            <w:r>
              <w:rPr>
                <w:rFonts w:ascii="Arial" w:hAnsi="Arial" w:cs="Arial"/>
                <w:sz w:val="24"/>
                <w:szCs w:val="24"/>
              </w:rPr>
              <w:t>n/a – MMF</w:t>
            </w:r>
          </w:p>
        </w:tc>
        <w:tc>
          <w:tcPr>
            <w:tcW w:w="1418" w:type="dxa"/>
          </w:tcPr>
          <w:p w:rsidR="009738F8" w:rsidRDefault="009738F8" w:rsidP="00BE0F80">
            <w:pPr>
              <w:pStyle w:val="NoSpacing"/>
              <w:jc w:val="right"/>
              <w:rPr>
                <w:rFonts w:ascii="Arial" w:hAnsi="Arial" w:cs="Arial"/>
                <w:sz w:val="24"/>
                <w:szCs w:val="24"/>
              </w:rPr>
            </w:pPr>
            <w:r>
              <w:rPr>
                <w:rFonts w:ascii="Arial" w:hAnsi="Arial" w:cs="Arial"/>
                <w:sz w:val="24"/>
                <w:szCs w:val="24"/>
              </w:rPr>
              <w:t>n/a – MMF</w:t>
            </w:r>
          </w:p>
        </w:tc>
        <w:tc>
          <w:tcPr>
            <w:tcW w:w="1417" w:type="dxa"/>
          </w:tcPr>
          <w:p w:rsidR="009738F8" w:rsidRDefault="009738F8" w:rsidP="00BE0F80">
            <w:pPr>
              <w:pStyle w:val="NoSpacing"/>
              <w:jc w:val="right"/>
              <w:rPr>
                <w:rFonts w:ascii="Arial" w:hAnsi="Arial" w:cs="Arial"/>
                <w:sz w:val="24"/>
                <w:szCs w:val="24"/>
              </w:rPr>
            </w:pPr>
            <w:r>
              <w:rPr>
                <w:rFonts w:ascii="Arial" w:hAnsi="Arial" w:cs="Arial"/>
                <w:sz w:val="24"/>
                <w:szCs w:val="24"/>
              </w:rPr>
              <w:t>4,412</w:t>
            </w:r>
          </w:p>
        </w:tc>
        <w:tc>
          <w:tcPr>
            <w:tcW w:w="1276" w:type="dxa"/>
          </w:tcPr>
          <w:p w:rsidR="009738F8" w:rsidRDefault="009738F8" w:rsidP="00BE0F80">
            <w:pPr>
              <w:pStyle w:val="NoSpacing"/>
              <w:jc w:val="right"/>
              <w:rPr>
                <w:rFonts w:ascii="Arial" w:hAnsi="Arial" w:cs="Arial"/>
                <w:sz w:val="24"/>
                <w:szCs w:val="24"/>
              </w:rPr>
            </w:pPr>
            <w:r>
              <w:rPr>
                <w:rFonts w:ascii="Arial" w:hAnsi="Arial" w:cs="Arial"/>
                <w:sz w:val="24"/>
                <w:szCs w:val="24"/>
              </w:rPr>
              <w:t>0.79%</w:t>
            </w:r>
          </w:p>
        </w:tc>
        <w:tc>
          <w:tcPr>
            <w:tcW w:w="1314" w:type="dxa"/>
          </w:tcPr>
          <w:p w:rsidR="009738F8" w:rsidRPr="005052DF" w:rsidRDefault="009738F8" w:rsidP="00BE0F80">
            <w:pPr>
              <w:pStyle w:val="NoSpacing"/>
              <w:jc w:val="right"/>
              <w:rPr>
                <w:rFonts w:ascii="Arial" w:hAnsi="Arial" w:cs="Arial"/>
                <w:sz w:val="24"/>
                <w:szCs w:val="24"/>
              </w:rPr>
            </w:pPr>
            <w:r>
              <w:rPr>
                <w:rFonts w:ascii="Arial" w:hAnsi="Arial" w:cs="Arial"/>
                <w:sz w:val="24"/>
                <w:szCs w:val="24"/>
              </w:rPr>
              <w:t>0.52%</w:t>
            </w:r>
          </w:p>
        </w:tc>
      </w:tr>
      <w:tr w:rsidR="00BE0F80" w:rsidTr="009738F8">
        <w:tc>
          <w:tcPr>
            <w:tcW w:w="2394" w:type="dxa"/>
          </w:tcPr>
          <w:p w:rsidR="00BE0F80" w:rsidRPr="005052DF" w:rsidRDefault="00BE0F80" w:rsidP="00BE0F80">
            <w:pPr>
              <w:pStyle w:val="NoSpacing"/>
              <w:rPr>
                <w:rFonts w:ascii="Arial" w:hAnsi="Arial" w:cs="Arial"/>
                <w:sz w:val="24"/>
                <w:szCs w:val="24"/>
              </w:rPr>
            </w:pPr>
            <w:r>
              <w:rPr>
                <w:rFonts w:ascii="Arial" w:hAnsi="Arial" w:cs="Arial"/>
                <w:sz w:val="24"/>
                <w:szCs w:val="24"/>
              </w:rPr>
              <w:t xml:space="preserve">Bank of England </w:t>
            </w:r>
            <w:r w:rsidR="002F3990">
              <w:rPr>
                <w:rFonts w:ascii="Arial" w:hAnsi="Arial" w:cs="Arial"/>
                <w:sz w:val="24"/>
                <w:szCs w:val="24"/>
              </w:rPr>
              <w:t>–</w:t>
            </w:r>
            <w:r>
              <w:rPr>
                <w:rFonts w:ascii="Arial" w:hAnsi="Arial" w:cs="Arial"/>
                <w:sz w:val="24"/>
                <w:szCs w:val="24"/>
              </w:rPr>
              <w:t xml:space="preserve"> DMO</w:t>
            </w:r>
            <w:r w:rsidR="002F3990">
              <w:rPr>
                <w:rFonts w:ascii="Arial" w:hAnsi="Arial" w:cs="Arial"/>
                <w:sz w:val="24"/>
                <w:szCs w:val="24"/>
              </w:rPr>
              <w:br/>
            </w:r>
          </w:p>
        </w:tc>
        <w:tc>
          <w:tcPr>
            <w:tcW w:w="1417" w:type="dxa"/>
          </w:tcPr>
          <w:p w:rsidR="00BE0F80" w:rsidRPr="00A86DBE" w:rsidRDefault="009738F8" w:rsidP="00BE0F80">
            <w:pPr>
              <w:pStyle w:val="NoSpacing"/>
              <w:jc w:val="right"/>
              <w:rPr>
                <w:rFonts w:ascii="Arial" w:hAnsi="Arial" w:cs="Arial"/>
                <w:sz w:val="24"/>
                <w:szCs w:val="24"/>
              </w:rPr>
            </w:pPr>
            <w:r>
              <w:rPr>
                <w:rFonts w:ascii="Arial" w:hAnsi="Arial" w:cs="Arial"/>
                <w:sz w:val="24"/>
                <w:szCs w:val="24"/>
              </w:rPr>
              <w:t>292,0</w:t>
            </w:r>
            <w:r w:rsidR="00BE0F80" w:rsidRPr="00A86DBE">
              <w:rPr>
                <w:rFonts w:ascii="Arial" w:hAnsi="Arial" w:cs="Arial"/>
                <w:sz w:val="24"/>
                <w:szCs w:val="24"/>
              </w:rPr>
              <w:t>00</w:t>
            </w:r>
          </w:p>
        </w:tc>
        <w:tc>
          <w:tcPr>
            <w:tcW w:w="1418" w:type="dxa"/>
          </w:tcPr>
          <w:p w:rsidR="00BE0F80" w:rsidRPr="005052DF" w:rsidRDefault="00B251D8" w:rsidP="00BE0F80">
            <w:pPr>
              <w:pStyle w:val="NoSpacing"/>
              <w:jc w:val="right"/>
              <w:rPr>
                <w:rFonts w:ascii="Arial" w:hAnsi="Arial" w:cs="Arial"/>
                <w:sz w:val="24"/>
                <w:szCs w:val="24"/>
              </w:rPr>
            </w:pPr>
            <w:r>
              <w:rPr>
                <w:rFonts w:ascii="Arial" w:hAnsi="Arial" w:cs="Arial"/>
                <w:sz w:val="24"/>
                <w:szCs w:val="24"/>
              </w:rPr>
              <w:t>82</w:t>
            </w:r>
          </w:p>
        </w:tc>
        <w:tc>
          <w:tcPr>
            <w:tcW w:w="1417" w:type="dxa"/>
          </w:tcPr>
          <w:p w:rsidR="00BE0F80" w:rsidRPr="005052DF" w:rsidRDefault="00B251D8" w:rsidP="00BE0F80">
            <w:pPr>
              <w:pStyle w:val="NoSpacing"/>
              <w:jc w:val="right"/>
              <w:rPr>
                <w:rFonts w:ascii="Arial" w:hAnsi="Arial" w:cs="Arial"/>
                <w:sz w:val="24"/>
                <w:szCs w:val="24"/>
              </w:rPr>
            </w:pPr>
            <w:r>
              <w:rPr>
                <w:rFonts w:ascii="Arial" w:hAnsi="Arial" w:cs="Arial"/>
                <w:sz w:val="24"/>
                <w:szCs w:val="24"/>
              </w:rPr>
              <w:t>6,160</w:t>
            </w:r>
          </w:p>
        </w:tc>
        <w:tc>
          <w:tcPr>
            <w:tcW w:w="1276" w:type="dxa"/>
          </w:tcPr>
          <w:p w:rsidR="00BE0F80" w:rsidRPr="005052DF" w:rsidRDefault="00B251D8" w:rsidP="00BE0F80">
            <w:pPr>
              <w:pStyle w:val="NoSpacing"/>
              <w:jc w:val="right"/>
              <w:rPr>
                <w:rFonts w:ascii="Arial" w:hAnsi="Arial" w:cs="Arial"/>
                <w:sz w:val="24"/>
                <w:szCs w:val="24"/>
              </w:rPr>
            </w:pPr>
            <w:r>
              <w:rPr>
                <w:rFonts w:ascii="Arial" w:hAnsi="Arial" w:cs="Arial"/>
                <w:sz w:val="24"/>
                <w:szCs w:val="24"/>
              </w:rPr>
              <w:t>0.51</w:t>
            </w:r>
            <w:r w:rsidR="00BE0F80">
              <w:rPr>
                <w:rFonts w:ascii="Arial" w:hAnsi="Arial" w:cs="Arial"/>
                <w:sz w:val="24"/>
                <w:szCs w:val="24"/>
              </w:rPr>
              <w:t>%</w:t>
            </w:r>
          </w:p>
        </w:tc>
        <w:tc>
          <w:tcPr>
            <w:tcW w:w="1314" w:type="dxa"/>
          </w:tcPr>
          <w:p w:rsidR="00BE0F80" w:rsidRPr="005052DF" w:rsidRDefault="00B251D8" w:rsidP="00BE0F80">
            <w:pPr>
              <w:pStyle w:val="NoSpacing"/>
              <w:jc w:val="right"/>
              <w:rPr>
                <w:rFonts w:ascii="Arial" w:hAnsi="Arial" w:cs="Arial"/>
                <w:sz w:val="24"/>
                <w:szCs w:val="24"/>
              </w:rPr>
            </w:pPr>
            <w:r>
              <w:rPr>
                <w:rFonts w:ascii="Arial" w:hAnsi="Arial" w:cs="Arial"/>
                <w:sz w:val="24"/>
                <w:szCs w:val="24"/>
              </w:rPr>
              <w:t>0.25</w:t>
            </w:r>
            <w:r w:rsidR="00BE0F80" w:rsidRPr="005052DF">
              <w:rPr>
                <w:rFonts w:ascii="Arial" w:hAnsi="Arial" w:cs="Arial"/>
                <w:sz w:val="24"/>
                <w:szCs w:val="24"/>
              </w:rPr>
              <w:t>%</w:t>
            </w:r>
          </w:p>
        </w:tc>
      </w:tr>
      <w:tr w:rsidR="00BE0F80" w:rsidTr="009738F8">
        <w:tc>
          <w:tcPr>
            <w:tcW w:w="2394" w:type="dxa"/>
          </w:tcPr>
          <w:p w:rsidR="00BE0F80" w:rsidRPr="005052DF" w:rsidRDefault="00BE0F80" w:rsidP="00BE0F80">
            <w:pPr>
              <w:pStyle w:val="NoSpacing"/>
              <w:rPr>
                <w:rFonts w:ascii="Arial" w:hAnsi="Arial" w:cs="Arial"/>
                <w:sz w:val="24"/>
                <w:szCs w:val="24"/>
              </w:rPr>
            </w:pPr>
            <w:r w:rsidRPr="005052DF">
              <w:rPr>
                <w:rFonts w:ascii="Arial" w:hAnsi="Arial" w:cs="Arial"/>
                <w:sz w:val="24"/>
                <w:szCs w:val="24"/>
              </w:rPr>
              <w:t>Bank of E</w:t>
            </w:r>
            <w:r>
              <w:rPr>
                <w:rFonts w:ascii="Arial" w:hAnsi="Arial" w:cs="Arial"/>
                <w:sz w:val="24"/>
                <w:szCs w:val="24"/>
              </w:rPr>
              <w:t>ngland -Treasury Bills</w:t>
            </w:r>
            <w:r w:rsidR="002F3990">
              <w:rPr>
                <w:rFonts w:ascii="Arial" w:hAnsi="Arial" w:cs="Arial"/>
                <w:sz w:val="24"/>
                <w:szCs w:val="24"/>
              </w:rPr>
              <w:br/>
            </w:r>
          </w:p>
        </w:tc>
        <w:tc>
          <w:tcPr>
            <w:tcW w:w="1417" w:type="dxa"/>
          </w:tcPr>
          <w:p w:rsidR="00BE0F80" w:rsidRPr="00A86DBE" w:rsidRDefault="009738F8" w:rsidP="00BE0F80">
            <w:pPr>
              <w:pStyle w:val="NoSpacing"/>
              <w:jc w:val="right"/>
              <w:rPr>
                <w:rFonts w:ascii="Arial" w:hAnsi="Arial" w:cs="Arial"/>
                <w:sz w:val="24"/>
                <w:szCs w:val="24"/>
              </w:rPr>
            </w:pPr>
            <w:r>
              <w:rPr>
                <w:rFonts w:ascii="Arial" w:hAnsi="Arial" w:cs="Arial"/>
                <w:sz w:val="24"/>
                <w:szCs w:val="24"/>
              </w:rPr>
              <w:t>47,944</w:t>
            </w:r>
          </w:p>
        </w:tc>
        <w:tc>
          <w:tcPr>
            <w:tcW w:w="1418" w:type="dxa"/>
          </w:tcPr>
          <w:p w:rsidR="00BE0F80" w:rsidRDefault="009738F8" w:rsidP="00BE0F80">
            <w:pPr>
              <w:pStyle w:val="NoSpacing"/>
              <w:jc w:val="right"/>
              <w:rPr>
                <w:rFonts w:ascii="Arial" w:hAnsi="Arial" w:cs="Arial"/>
                <w:sz w:val="24"/>
                <w:szCs w:val="24"/>
              </w:rPr>
            </w:pPr>
            <w:r>
              <w:rPr>
                <w:rFonts w:ascii="Arial" w:hAnsi="Arial" w:cs="Arial"/>
                <w:sz w:val="24"/>
                <w:szCs w:val="24"/>
              </w:rPr>
              <w:t>12</w:t>
            </w:r>
          </w:p>
        </w:tc>
        <w:tc>
          <w:tcPr>
            <w:tcW w:w="1417" w:type="dxa"/>
          </w:tcPr>
          <w:p w:rsidR="00BE0F80" w:rsidRPr="005052DF" w:rsidRDefault="009738F8" w:rsidP="00BE0F80">
            <w:pPr>
              <w:pStyle w:val="NoSpacing"/>
              <w:jc w:val="right"/>
              <w:rPr>
                <w:rFonts w:ascii="Arial" w:hAnsi="Arial" w:cs="Arial"/>
                <w:sz w:val="24"/>
                <w:szCs w:val="24"/>
              </w:rPr>
            </w:pPr>
            <w:r>
              <w:rPr>
                <w:rFonts w:ascii="Arial" w:hAnsi="Arial" w:cs="Arial"/>
                <w:sz w:val="24"/>
                <w:szCs w:val="24"/>
              </w:rPr>
              <w:t>8,886</w:t>
            </w:r>
          </w:p>
        </w:tc>
        <w:tc>
          <w:tcPr>
            <w:tcW w:w="1276" w:type="dxa"/>
          </w:tcPr>
          <w:p w:rsidR="00BE0F80" w:rsidRPr="005052DF" w:rsidRDefault="009738F8" w:rsidP="00BE0F80">
            <w:pPr>
              <w:pStyle w:val="NoSpacing"/>
              <w:jc w:val="right"/>
              <w:rPr>
                <w:rFonts w:ascii="Arial" w:hAnsi="Arial" w:cs="Arial"/>
                <w:sz w:val="24"/>
                <w:szCs w:val="24"/>
              </w:rPr>
            </w:pPr>
            <w:r>
              <w:rPr>
                <w:rFonts w:ascii="Arial" w:hAnsi="Arial" w:cs="Arial"/>
                <w:sz w:val="24"/>
                <w:szCs w:val="24"/>
              </w:rPr>
              <w:t>0.70</w:t>
            </w:r>
            <w:r w:rsidR="00BE0F80">
              <w:rPr>
                <w:rFonts w:ascii="Arial" w:hAnsi="Arial" w:cs="Arial"/>
                <w:sz w:val="24"/>
                <w:szCs w:val="24"/>
              </w:rPr>
              <w:t>%</w:t>
            </w:r>
          </w:p>
        </w:tc>
        <w:tc>
          <w:tcPr>
            <w:tcW w:w="1314" w:type="dxa"/>
          </w:tcPr>
          <w:p w:rsidR="00BE0F80" w:rsidRPr="005052DF" w:rsidRDefault="009738F8" w:rsidP="00BE0F80">
            <w:pPr>
              <w:pStyle w:val="NoSpacing"/>
              <w:jc w:val="right"/>
              <w:rPr>
                <w:rFonts w:ascii="Arial" w:hAnsi="Arial" w:cs="Arial"/>
                <w:sz w:val="24"/>
                <w:szCs w:val="24"/>
              </w:rPr>
            </w:pPr>
            <w:r>
              <w:rPr>
                <w:rFonts w:ascii="Arial" w:hAnsi="Arial" w:cs="Arial"/>
                <w:sz w:val="24"/>
                <w:szCs w:val="24"/>
              </w:rPr>
              <w:t>0.36</w:t>
            </w:r>
            <w:r w:rsidR="00BE0F80">
              <w:rPr>
                <w:rFonts w:ascii="Arial" w:hAnsi="Arial" w:cs="Arial"/>
                <w:sz w:val="24"/>
                <w:szCs w:val="24"/>
              </w:rPr>
              <w:t>%</w:t>
            </w:r>
          </w:p>
        </w:tc>
      </w:tr>
      <w:tr w:rsidR="004B0025" w:rsidTr="009738F8">
        <w:trPr>
          <w:trHeight w:val="286"/>
        </w:trPr>
        <w:tc>
          <w:tcPr>
            <w:tcW w:w="2394" w:type="dxa"/>
          </w:tcPr>
          <w:p w:rsidR="004B0025" w:rsidRDefault="004B0025" w:rsidP="00BE0F80">
            <w:pPr>
              <w:pStyle w:val="NoSpacing"/>
              <w:rPr>
                <w:rFonts w:ascii="Arial" w:hAnsi="Arial" w:cs="Arial"/>
                <w:sz w:val="24"/>
                <w:szCs w:val="24"/>
              </w:rPr>
            </w:pPr>
            <w:r>
              <w:rPr>
                <w:rFonts w:ascii="Arial" w:hAnsi="Arial" w:cs="Arial"/>
                <w:sz w:val="24"/>
                <w:szCs w:val="24"/>
              </w:rPr>
              <w:t>Barclays</w:t>
            </w:r>
            <w:r w:rsidR="002F3990">
              <w:rPr>
                <w:rFonts w:ascii="Arial" w:hAnsi="Arial" w:cs="Arial"/>
                <w:sz w:val="24"/>
                <w:szCs w:val="24"/>
              </w:rPr>
              <w:br/>
            </w:r>
          </w:p>
        </w:tc>
        <w:tc>
          <w:tcPr>
            <w:tcW w:w="1417" w:type="dxa"/>
          </w:tcPr>
          <w:p w:rsidR="004B0025" w:rsidRDefault="004B0025" w:rsidP="00BE0F80">
            <w:pPr>
              <w:pStyle w:val="NoSpacing"/>
              <w:jc w:val="right"/>
              <w:rPr>
                <w:rFonts w:ascii="Arial" w:hAnsi="Arial" w:cs="Arial"/>
                <w:sz w:val="24"/>
                <w:szCs w:val="24"/>
              </w:rPr>
            </w:pPr>
            <w:r>
              <w:rPr>
                <w:rFonts w:ascii="Arial" w:hAnsi="Arial" w:cs="Arial"/>
                <w:sz w:val="24"/>
                <w:szCs w:val="24"/>
              </w:rPr>
              <w:t>n/a – call</w:t>
            </w:r>
          </w:p>
        </w:tc>
        <w:tc>
          <w:tcPr>
            <w:tcW w:w="1418" w:type="dxa"/>
          </w:tcPr>
          <w:p w:rsidR="004B0025" w:rsidRDefault="004B0025" w:rsidP="00BE0F80">
            <w:pPr>
              <w:pStyle w:val="NoSpacing"/>
              <w:jc w:val="right"/>
              <w:rPr>
                <w:rFonts w:ascii="Arial" w:hAnsi="Arial" w:cs="Arial"/>
                <w:sz w:val="24"/>
                <w:szCs w:val="24"/>
              </w:rPr>
            </w:pPr>
            <w:r>
              <w:rPr>
                <w:rFonts w:ascii="Arial" w:hAnsi="Arial" w:cs="Arial"/>
                <w:sz w:val="24"/>
                <w:szCs w:val="24"/>
              </w:rPr>
              <w:t>n/a – call</w:t>
            </w:r>
          </w:p>
        </w:tc>
        <w:tc>
          <w:tcPr>
            <w:tcW w:w="1417" w:type="dxa"/>
          </w:tcPr>
          <w:p w:rsidR="004B0025" w:rsidRDefault="004B0025" w:rsidP="00BE0F80">
            <w:pPr>
              <w:pStyle w:val="NoSpacing"/>
              <w:jc w:val="right"/>
              <w:rPr>
                <w:rFonts w:ascii="Arial" w:hAnsi="Arial" w:cs="Arial"/>
                <w:sz w:val="24"/>
                <w:szCs w:val="24"/>
              </w:rPr>
            </w:pPr>
            <w:r>
              <w:rPr>
                <w:rFonts w:ascii="Arial" w:hAnsi="Arial" w:cs="Arial"/>
                <w:sz w:val="24"/>
                <w:szCs w:val="24"/>
              </w:rPr>
              <w:t>1,322</w:t>
            </w:r>
          </w:p>
        </w:tc>
        <w:tc>
          <w:tcPr>
            <w:tcW w:w="1276" w:type="dxa"/>
          </w:tcPr>
          <w:p w:rsidR="004B0025" w:rsidRDefault="004B0025" w:rsidP="00BE0F80">
            <w:pPr>
              <w:pStyle w:val="NoSpacing"/>
              <w:jc w:val="right"/>
              <w:rPr>
                <w:rFonts w:ascii="Arial" w:hAnsi="Arial" w:cs="Arial"/>
                <w:sz w:val="24"/>
                <w:szCs w:val="24"/>
              </w:rPr>
            </w:pPr>
            <w:r>
              <w:rPr>
                <w:rFonts w:ascii="Arial" w:hAnsi="Arial" w:cs="Arial"/>
                <w:sz w:val="24"/>
                <w:szCs w:val="24"/>
              </w:rPr>
              <w:t>0.75%</w:t>
            </w:r>
          </w:p>
        </w:tc>
        <w:tc>
          <w:tcPr>
            <w:tcW w:w="1314" w:type="dxa"/>
          </w:tcPr>
          <w:p w:rsidR="004B0025" w:rsidRDefault="004B0025" w:rsidP="00BE0F80">
            <w:pPr>
              <w:pStyle w:val="NoSpacing"/>
              <w:jc w:val="right"/>
              <w:rPr>
                <w:rFonts w:ascii="Arial" w:hAnsi="Arial" w:cs="Arial"/>
                <w:sz w:val="24"/>
                <w:szCs w:val="24"/>
              </w:rPr>
            </w:pPr>
            <w:r>
              <w:rPr>
                <w:rFonts w:ascii="Arial" w:hAnsi="Arial" w:cs="Arial"/>
                <w:sz w:val="24"/>
                <w:szCs w:val="24"/>
              </w:rPr>
              <w:t>0.30%</w:t>
            </w:r>
          </w:p>
        </w:tc>
      </w:tr>
      <w:tr w:rsidR="004B0025" w:rsidTr="009738F8">
        <w:trPr>
          <w:trHeight w:val="286"/>
        </w:trPr>
        <w:tc>
          <w:tcPr>
            <w:tcW w:w="2394" w:type="dxa"/>
          </w:tcPr>
          <w:p w:rsidR="004B0025" w:rsidRDefault="004B0025" w:rsidP="00BE0F80">
            <w:pPr>
              <w:pStyle w:val="NoSpacing"/>
              <w:rPr>
                <w:rFonts w:ascii="Arial" w:hAnsi="Arial" w:cs="Arial"/>
                <w:sz w:val="24"/>
                <w:szCs w:val="24"/>
              </w:rPr>
            </w:pPr>
            <w:r>
              <w:rPr>
                <w:rFonts w:ascii="Arial" w:hAnsi="Arial" w:cs="Arial"/>
                <w:sz w:val="24"/>
                <w:szCs w:val="24"/>
              </w:rPr>
              <w:t>Blackrock</w:t>
            </w:r>
            <w:r w:rsidR="002F3990">
              <w:rPr>
                <w:rFonts w:ascii="Arial" w:hAnsi="Arial" w:cs="Arial"/>
                <w:sz w:val="24"/>
                <w:szCs w:val="24"/>
              </w:rPr>
              <w:br/>
            </w:r>
          </w:p>
        </w:tc>
        <w:tc>
          <w:tcPr>
            <w:tcW w:w="1417" w:type="dxa"/>
          </w:tcPr>
          <w:p w:rsidR="004B0025" w:rsidRDefault="004B0025" w:rsidP="00BE0F80">
            <w:pPr>
              <w:pStyle w:val="NoSpacing"/>
              <w:jc w:val="right"/>
              <w:rPr>
                <w:rFonts w:ascii="Arial" w:hAnsi="Arial" w:cs="Arial"/>
                <w:sz w:val="24"/>
                <w:szCs w:val="24"/>
              </w:rPr>
            </w:pPr>
            <w:r>
              <w:rPr>
                <w:rFonts w:ascii="Arial" w:hAnsi="Arial" w:cs="Arial"/>
                <w:sz w:val="24"/>
                <w:szCs w:val="24"/>
              </w:rPr>
              <w:t>n/a – MMF</w:t>
            </w:r>
          </w:p>
        </w:tc>
        <w:tc>
          <w:tcPr>
            <w:tcW w:w="1418" w:type="dxa"/>
          </w:tcPr>
          <w:p w:rsidR="004B0025" w:rsidRDefault="004B0025" w:rsidP="00BE0F80">
            <w:pPr>
              <w:pStyle w:val="NoSpacing"/>
              <w:jc w:val="right"/>
              <w:rPr>
                <w:rFonts w:ascii="Arial" w:hAnsi="Arial" w:cs="Arial"/>
                <w:sz w:val="24"/>
                <w:szCs w:val="24"/>
              </w:rPr>
            </w:pPr>
            <w:r>
              <w:rPr>
                <w:rFonts w:ascii="Arial" w:hAnsi="Arial" w:cs="Arial"/>
                <w:sz w:val="24"/>
                <w:szCs w:val="24"/>
              </w:rPr>
              <w:t>n/a - MMF</w:t>
            </w:r>
          </w:p>
        </w:tc>
        <w:tc>
          <w:tcPr>
            <w:tcW w:w="1417" w:type="dxa"/>
          </w:tcPr>
          <w:p w:rsidR="004B0025" w:rsidRDefault="009738F8" w:rsidP="00BE0F80">
            <w:pPr>
              <w:pStyle w:val="NoSpacing"/>
              <w:jc w:val="right"/>
              <w:rPr>
                <w:rFonts w:ascii="Arial" w:hAnsi="Arial" w:cs="Arial"/>
                <w:sz w:val="24"/>
                <w:szCs w:val="24"/>
              </w:rPr>
            </w:pPr>
            <w:r>
              <w:rPr>
                <w:rFonts w:ascii="Arial" w:hAnsi="Arial" w:cs="Arial"/>
                <w:sz w:val="24"/>
                <w:szCs w:val="24"/>
              </w:rPr>
              <w:t>440</w:t>
            </w:r>
          </w:p>
        </w:tc>
        <w:tc>
          <w:tcPr>
            <w:tcW w:w="1276" w:type="dxa"/>
          </w:tcPr>
          <w:p w:rsidR="004B0025" w:rsidRDefault="009738F8" w:rsidP="00BE0F80">
            <w:pPr>
              <w:pStyle w:val="NoSpacing"/>
              <w:jc w:val="right"/>
              <w:rPr>
                <w:rFonts w:ascii="Arial" w:hAnsi="Arial" w:cs="Arial"/>
                <w:sz w:val="24"/>
                <w:szCs w:val="24"/>
              </w:rPr>
            </w:pPr>
            <w:r>
              <w:rPr>
                <w:rFonts w:ascii="Arial" w:hAnsi="Arial" w:cs="Arial"/>
                <w:sz w:val="24"/>
                <w:szCs w:val="24"/>
              </w:rPr>
              <w:t>0.68%</w:t>
            </w:r>
          </w:p>
        </w:tc>
        <w:tc>
          <w:tcPr>
            <w:tcW w:w="1314" w:type="dxa"/>
          </w:tcPr>
          <w:p w:rsidR="004B0025" w:rsidRDefault="009738F8" w:rsidP="00BE0F80">
            <w:pPr>
              <w:pStyle w:val="NoSpacing"/>
              <w:jc w:val="right"/>
              <w:rPr>
                <w:rFonts w:ascii="Arial" w:hAnsi="Arial" w:cs="Arial"/>
                <w:sz w:val="24"/>
                <w:szCs w:val="24"/>
              </w:rPr>
            </w:pPr>
            <w:r>
              <w:rPr>
                <w:rFonts w:ascii="Arial" w:hAnsi="Arial" w:cs="Arial"/>
                <w:sz w:val="24"/>
                <w:szCs w:val="24"/>
              </w:rPr>
              <w:t>0.42%</w:t>
            </w:r>
          </w:p>
        </w:tc>
      </w:tr>
      <w:tr w:rsidR="00BE0F80" w:rsidTr="009738F8">
        <w:trPr>
          <w:trHeight w:val="286"/>
        </w:trPr>
        <w:tc>
          <w:tcPr>
            <w:tcW w:w="2394" w:type="dxa"/>
          </w:tcPr>
          <w:p w:rsidR="00BE0F80" w:rsidRPr="00AE2968" w:rsidRDefault="00BE0F80" w:rsidP="00BE0F80">
            <w:pPr>
              <w:pStyle w:val="NoSpacing"/>
              <w:rPr>
                <w:rFonts w:ascii="Arial" w:hAnsi="Arial" w:cs="Arial"/>
                <w:sz w:val="24"/>
                <w:szCs w:val="24"/>
              </w:rPr>
            </w:pPr>
            <w:r w:rsidRPr="00AE2968">
              <w:rPr>
                <w:rFonts w:ascii="Arial" w:hAnsi="Arial" w:cs="Arial"/>
                <w:sz w:val="24"/>
                <w:szCs w:val="24"/>
              </w:rPr>
              <w:t>Coventry BS</w:t>
            </w:r>
            <w:r w:rsidR="002F3990">
              <w:rPr>
                <w:rFonts w:ascii="Arial" w:hAnsi="Arial" w:cs="Arial"/>
                <w:sz w:val="24"/>
                <w:szCs w:val="24"/>
              </w:rPr>
              <w:br/>
            </w:r>
          </w:p>
        </w:tc>
        <w:tc>
          <w:tcPr>
            <w:tcW w:w="1417" w:type="dxa"/>
          </w:tcPr>
          <w:p w:rsidR="00BE0F80" w:rsidRPr="00A86DBE" w:rsidRDefault="002F3990" w:rsidP="00BE0F80">
            <w:pPr>
              <w:pStyle w:val="NoSpacing"/>
              <w:jc w:val="right"/>
              <w:rPr>
                <w:rFonts w:ascii="Arial" w:hAnsi="Arial" w:cs="Arial"/>
                <w:sz w:val="24"/>
                <w:szCs w:val="24"/>
              </w:rPr>
            </w:pPr>
            <w:r>
              <w:rPr>
                <w:rFonts w:ascii="Arial" w:hAnsi="Arial" w:cs="Arial"/>
                <w:sz w:val="24"/>
                <w:szCs w:val="24"/>
              </w:rPr>
              <w:t>4,0</w:t>
            </w:r>
            <w:r w:rsidR="00BE0F80" w:rsidRPr="00A86DBE">
              <w:rPr>
                <w:rFonts w:ascii="Arial" w:hAnsi="Arial" w:cs="Arial"/>
                <w:sz w:val="24"/>
                <w:szCs w:val="24"/>
              </w:rPr>
              <w:t>00</w:t>
            </w:r>
          </w:p>
        </w:tc>
        <w:tc>
          <w:tcPr>
            <w:tcW w:w="1418" w:type="dxa"/>
          </w:tcPr>
          <w:p w:rsidR="00BE0F80" w:rsidRPr="005052DF" w:rsidRDefault="00BE0F80" w:rsidP="00BE0F80">
            <w:pPr>
              <w:pStyle w:val="NoSpacing"/>
              <w:jc w:val="right"/>
              <w:rPr>
                <w:rFonts w:ascii="Arial" w:hAnsi="Arial" w:cs="Arial"/>
                <w:sz w:val="24"/>
                <w:szCs w:val="24"/>
              </w:rPr>
            </w:pPr>
            <w:r>
              <w:rPr>
                <w:rFonts w:ascii="Arial" w:hAnsi="Arial" w:cs="Arial"/>
                <w:sz w:val="24"/>
                <w:szCs w:val="24"/>
              </w:rPr>
              <w:t>2</w:t>
            </w:r>
          </w:p>
        </w:tc>
        <w:tc>
          <w:tcPr>
            <w:tcW w:w="1417" w:type="dxa"/>
          </w:tcPr>
          <w:p w:rsidR="00BE0F80" w:rsidRPr="005052DF" w:rsidRDefault="002F3990" w:rsidP="00BE0F80">
            <w:pPr>
              <w:pStyle w:val="NoSpacing"/>
              <w:jc w:val="right"/>
              <w:rPr>
                <w:rFonts w:ascii="Arial" w:hAnsi="Arial" w:cs="Arial"/>
                <w:sz w:val="24"/>
                <w:szCs w:val="24"/>
              </w:rPr>
            </w:pPr>
            <w:r>
              <w:rPr>
                <w:rFonts w:ascii="Arial" w:hAnsi="Arial" w:cs="Arial"/>
                <w:sz w:val="24"/>
                <w:szCs w:val="24"/>
              </w:rPr>
              <w:t>1,342</w:t>
            </w:r>
          </w:p>
        </w:tc>
        <w:tc>
          <w:tcPr>
            <w:tcW w:w="1276" w:type="dxa"/>
          </w:tcPr>
          <w:p w:rsidR="00BE0F80" w:rsidRPr="005052DF" w:rsidRDefault="002F3990" w:rsidP="00BE0F80">
            <w:pPr>
              <w:pStyle w:val="NoSpacing"/>
              <w:jc w:val="right"/>
              <w:rPr>
                <w:rFonts w:ascii="Arial" w:hAnsi="Arial" w:cs="Arial"/>
                <w:sz w:val="24"/>
                <w:szCs w:val="24"/>
              </w:rPr>
            </w:pPr>
            <w:r>
              <w:rPr>
                <w:rFonts w:ascii="Arial" w:hAnsi="Arial" w:cs="Arial"/>
                <w:sz w:val="24"/>
                <w:szCs w:val="24"/>
              </w:rPr>
              <w:t>0.68%</w:t>
            </w:r>
          </w:p>
        </w:tc>
        <w:tc>
          <w:tcPr>
            <w:tcW w:w="1314" w:type="dxa"/>
          </w:tcPr>
          <w:p w:rsidR="00BE0F80" w:rsidRPr="005052DF" w:rsidRDefault="002F3990" w:rsidP="00BE0F80">
            <w:pPr>
              <w:pStyle w:val="NoSpacing"/>
              <w:jc w:val="right"/>
              <w:rPr>
                <w:rFonts w:ascii="Arial" w:hAnsi="Arial" w:cs="Arial"/>
                <w:sz w:val="24"/>
                <w:szCs w:val="24"/>
              </w:rPr>
            </w:pPr>
            <w:r>
              <w:rPr>
                <w:rFonts w:ascii="Arial" w:hAnsi="Arial" w:cs="Arial"/>
                <w:sz w:val="24"/>
                <w:szCs w:val="24"/>
              </w:rPr>
              <w:t>0.68%</w:t>
            </w:r>
          </w:p>
        </w:tc>
      </w:tr>
      <w:tr w:rsidR="002F3990" w:rsidTr="009738F8">
        <w:trPr>
          <w:trHeight w:val="286"/>
        </w:trPr>
        <w:tc>
          <w:tcPr>
            <w:tcW w:w="2394" w:type="dxa"/>
          </w:tcPr>
          <w:p w:rsidR="002F3990" w:rsidRDefault="002F3990" w:rsidP="00BE0F80">
            <w:pPr>
              <w:pStyle w:val="NoSpacing"/>
              <w:rPr>
                <w:rFonts w:ascii="Arial" w:hAnsi="Arial" w:cs="Arial"/>
                <w:sz w:val="24"/>
                <w:szCs w:val="24"/>
              </w:rPr>
            </w:pPr>
            <w:r>
              <w:rPr>
                <w:rFonts w:ascii="Arial" w:hAnsi="Arial" w:cs="Arial"/>
                <w:sz w:val="24"/>
                <w:szCs w:val="24"/>
              </w:rPr>
              <w:t>Goldman Sachs</w:t>
            </w:r>
            <w:r>
              <w:rPr>
                <w:rFonts w:ascii="Arial" w:hAnsi="Arial" w:cs="Arial"/>
                <w:sz w:val="24"/>
                <w:szCs w:val="24"/>
              </w:rPr>
              <w:br/>
            </w:r>
          </w:p>
        </w:tc>
        <w:tc>
          <w:tcPr>
            <w:tcW w:w="1417" w:type="dxa"/>
          </w:tcPr>
          <w:p w:rsidR="002F3990" w:rsidRDefault="002F3990" w:rsidP="00BE0F80">
            <w:pPr>
              <w:pStyle w:val="NoSpacing"/>
              <w:jc w:val="right"/>
              <w:rPr>
                <w:rFonts w:ascii="Arial" w:hAnsi="Arial" w:cs="Arial"/>
                <w:sz w:val="24"/>
                <w:szCs w:val="24"/>
              </w:rPr>
            </w:pPr>
            <w:r>
              <w:rPr>
                <w:rFonts w:ascii="Arial" w:hAnsi="Arial" w:cs="Arial"/>
                <w:sz w:val="24"/>
                <w:szCs w:val="24"/>
              </w:rPr>
              <w:t>4,000</w:t>
            </w:r>
          </w:p>
        </w:tc>
        <w:tc>
          <w:tcPr>
            <w:tcW w:w="1418" w:type="dxa"/>
          </w:tcPr>
          <w:p w:rsidR="002F3990" w:rsidRDefault="002F3990" w:rsidP="00BE0F80">
            <w:pPr>
              <w:pStyle w:val="NoSpacing"/>
              <w:jc w:val="right"/>
              <w:rPr>
                <w:rFonts w:ascii="Arial" w:hAnsi="Arial" w:cs="Arial"/>
                <w:sz w:val="24"/>
                <w:szCs w:val="24"/>
              </w:rPr>
            </w:pPr>
            <w:r>
              <w:rPr>
                <w:rFonts w:ascii="Arial" w:hAnsi="Arial" w:cs="Arial"/>
                <w:sz w:val="24"/>
                <w:szCs w:val="24"/>
              </w:rPr>
              <w:t>2</w:t>
            </w:r>
          </w:p>
        </w:tc>
        <w:tc>
          <w:tcPr>
            <w:tcW w:w="1417" w:type="dxa"/>
          </w:tcPr>
          <w:p w:rsidR="002F3990" w:rsidRDefault="002F3990" w:rsidP="00BE0F80">
            <w:pPr>
              <w:pStyle w:val="NoSpacing"/>
              <w:jc w:val="right"/>
              <w:rPr>
                <w:rFonts w:ascii="Arial" w:hAnsi="Arial" w:cs="Arial"/>
                <w:sz w:val="24"/>
                <w:szCs w:val="24"/>
              </w:rPr>
            </w:pPr>
            <w:r>
              <w:rPr>
                <w:rFonts w:ascii="Arial" w:hAnsi="Arial" w:cs="Arial"/>
                <w:sz w:val="24"/>
                <w:szCs w:val="24"/>
              </w:rPr>
              <w:t>1,019</w:t>
            </w:r>
          </w:p>
        </w:tc>
        <w:tc>
          <w:tcPr>
            <w:tcW w:w="1276" w:type="dxa"/>
          </w:tcPr>
          <w:p w:rsidR="002F3990" w:rsidRDefault="002F3990" w:rsidP="00BE0F80">
            <w:pPr>
              <w:pStyle w:val="NoSpacing"/>
              <w:jc w:val="right"/>
              <w:rPr>
                <w:rFonts w:ascii="Arial" w:hAnsi="Arial" w:cs="Arial"/>
                <w:sz w:val="24"/>
                <w:szCs w:val="24"/>
              </w:rPr>
            </w:pPr>
            <w:r>
              <w:rPr>
                <w:rFonts w:ascii="Arial" w:hAnsi="Arial" w:cs="Arial"/>
                <w:sz w:val="24"/>
                <w:szCs w:val="24"/>
              </w:rPr>
              <w:t>0.72%</w:t>
            </w:r>
          </w:p>
        </w:tc>
        <w:tc>
          <w:tcPr>
            <w:tcW w:w="1314" w:type="dxa"/>
          </w:tcPr>
          <w:p w:rsidR="002F3990" w:rsidRDefault="002F3990" w:rsidP="00BE0F80">
            <w:pPr>
              <w:pStyle w:val="NoSpacing"/>
              <w:jc w:val="right"/>
              <w:rPr>
                <w:rFonts w:ascii="Arial" w:hAnsi="Arial" w:cs="Arial"/>
                <w:sz w:val="24"/>
                <w:szCs w:val="24"/>
              </w:rPr>
            </w:pPr>
            <w:r>
              <w:rPr>
                <w:rFonts w:ascii="Arial" w:hAnsi="Arial" w:cs="Arial"/>
                <w:sz w:val="24"/>
                <w:szCs w:val="24"/>
              </w:rPr>
              <w:t>0.70%</w:t>
            </w:r>
          </w:p>
        </w:tc>
      </w:tr>
      <w:tr w:rsidR="009738F8" w:rsidTr="009738F8">
        <w:trPr>
          <w:trHeight w:val="286"/>
        </w:trPr>
        <w:tc>
          <w:tcPr>
            <w:tcW w:w="2394" w:type="dxa"/>
          </w:tcPr>
          <w:p w:rsidR="009738F8" w:rsidRDefault="009738F8" w:rsidP="00BE0F80">
            <w:pPr>
              <w:pStyle w:val="NoSpacing"/>
              <w:rPr>
                <w:rFonts w:ascii="Arial" w:hAnsi="Arial" w:cs="Arial"/>
                <w:sz w:val="24"/>
                <w:szCs w:val="24"/>
              </w:rPr>
            </w:pPr>
            <w:r>
              <w:rPr>
                <w:rFonts w:ascii="Arial" w:hAnsi="Arial" w:cs="Arial"/>
                <w:sz w:val="24"/>
                <w:szCs w:val="24"/>
              </w:rPr>
              <w:t>Insight MMF</w:t>
            </w:r>
            <w:r w:rsidR="002F3990">
              <w:rPr>
                <w:rFonts w:ascii="Arial" w:hAnsi="Arial" w:cs="Arial"/>
                <w:sz w:val="24"/>
                <w:szCs w:val="24"/>
              </w:rPr>
              <w:br/>
            </w:r>
          </w:p>
        </w:tc>
        <w:tc>
          <w:tcPr>
            <w:tcW w:w="1417" w:type="dxa"/>
          </w:tcPr>
          <w:p w:rsidR="009738F8" w:rsidRDefault="009738F8" w:rsidP="00BE0F80">
            <w:pPr>
              <w:pStyle w:val="NoSpacing"/>
              <w:jc w:val="right"/>
              <w:rPr>
                <w:rFonts w:ascii="Arial" w:hAnsi="Arial" w:cs="Arial"/>
                <w:sz w:val="24"/>
                <w:szCs w:val="24"/>
              </w:rPr>
            </w:pPr>
            <w:r>
              <w:rPr>
                <w:rFonts w:ascii="Arial" w:hAnsi="Arial" w:cs="Arial"/>
                <w:sz w:val="24"/>
                <w:szCs w:val="24"/>
              </w:rPr>
              <w:t>n/a – MMF</w:t>
            </w:r>
          </w:p>
        </w:tc>
        <w:tc>
          <w:tcPr>
            <w:tcW w:w="1418" w:type="dxa"/>
          </w:tcPr>
          <w:p w:rsidR="009738F8" w:rsidRDefault="009738F8" w:rsidP="00BE0F80">
            <w:pPr>
              <w:pStyle w:val="NoSpacing"/>
              <w:jc w:val="right"/>
              <w:rPr>
                <w:rFonts w:ascii="Arial" w:hAnsi="Arial" w:cs="Arial"/>
                <w:sz w:val="24"/>
                <w:szCs w:val="24"/>
              </w:rPr>
            </w:pPr>
            <w:r>
              <w:rPr>
                <w:rFonts w:ascii="Arial" w:hAnsi="Arial" w:cs="Arial"/>
                <w:sz w:val="24"/>
                <w:szCs w:val="24"/>
              </w:rPr>
              <w:t>n/a – MMF</w:t>
            </w:r>
          </w:p>
        </w:tc>
        <w:tc>
          <w:tcPr>
            <w:tcW w:w="1417" w:type="dxa"/>
          </w:tcPr>
          <w:p w:rsidR="009738F8" w:rsidRDefault="009738F8" w:rsidP="00BE0F80">
            <w:pPr>
              <w:pStyle w:val="NoSpacing"/>
              <w:jc w:val="right"/>
              <w:rPr>
                <w:rFonts w:ascii="Arial" w:hAnsi="Arial" w:cs="Arial"/>
                <w:sz w:val="24"/>
                <w:szCs w:val="24"/>
              </w:rPr>
            </w:pPr>
            <w:r>
              <w:rPr>
                <w:rFonts w:ascii="Arial" w:hAnsi="Arial" w:cs="Arial"/>
                <w:sz w:val="24"/>
                <w:szCs w:val="24"/>
              </w:rPr>
              <w:t>3,519</w:t>
            </w:r>
          </w:p>
        </w:tc>
        <w:tc>
          <w:tcPr>
            <w:tcW w:w="1276" w:type="dxa"/>
          </w:tcPr>
          <w:p w:rsidR="009738F8" w:rsidRDefault="009738F8" w:rsidP="00BE0F80">
            <w:pPr>
              <w:pStyle w:val="NoSpacing"/>
              <w:jc w:val="right"/>
              <w:rPr>
                <w:rFonts w:ascii="Arial" w:hAnsi="Arial" w:cs="Arial"/>
                <w:sz w:val="24"/>
                <w:szCs w:val="24"/>
              </w:rPr>
            </w:pPr>
            <w:r>
              <w:rPr>
                <w:rFonts w:ascii="Arial" w:hAnsi="Arial" w:cs="Arial"/>
                <w:sz w:val="24"/>
                <w:szCs w:val="24"/>
              </w:rPr>
              <w:t>0.78%</w:t>
            </w:r>
          </w:p>
        </w:tc>
        <w:tc>
          <w:tcPr>
            <w:tcW w:w="1314" w:type="dxa"/>
          </w:tcPr>
          <w:p w:rsidR="009738F8" w:rsidRDefault="009738F8" w:rsidP="00BE0F80">
            <w:pPr>
              <w:pStyle w:val="NoSpacing"/>
              <w:jc w:val="right"/>
              <w:rPr>
                <w:rFonts w:ascii="Arial" w:hAnsi="Arial" w:cs="Arial"/>
                <w:sz w:val="24"/>
                <w:szCs w:val="24"/>
              </w:rPr>
            </w:pPr>
            <w:r>
              <w:rPr>
                <w:rFonts w:ascii="Arial" w:hAnsi="Arial" w:cs="Arial"/>
                <w:sz w:val="24"/>
                <w:szCs w:val="24"/>
              </w:rPr>
              <w:t>0.50%</w:t>
            </w:r>
          </w:p>
        </w:tc>
      </w:tr>
      <w:tr w:rsidR="00BE0F80" w:rsidTr="009738F8">
        <w:trPr>
          <w:trHeight w:val="286"/>
        </w:trPr>
        <w:tc>
          <w:tcPr>
            <w:tcW w:w="2394" w:type="dxa"/>
          </w:tcPr>
          <w:p w:rsidR="00BE0F80" w:rsidRPr="00AE2968" w:rsidRDefault="00BE0F80" w:rsidP="00BE0F80">
            <w:pPr>
              <w:pStyle w:val="NoSpacing"/>
              <w:rPr>
                <w:rFonts w:ascii="Arial" w:hAnsi="Arial" w:cs="Arial"/>
                <w:sz w:val="24"/>
                <w:szCs w:val="24"/>
              </w:rPr>
            </w:pPr>
            <w:r w:rsidRPr="00AE2968">
              <w:rPr>
                <w:rFonts w:ascii="Arial" w:hAnsi="Arial" w:cs="Arial"/>
                <w:sz w:val="24"/>
                <w:szCs w:val="24"/>
              </w:rPr>
              <w:t>Nationwide BS</w:t>
            </w:r>
            <w:r w:rsidR="002F3990">
              <w:rPr>
                <w:rFonts w:ascii="Arial" w:hAnsi="Arial" w:cs="Arial"/>
                <w:sz w:val="24"/>
                <w:szCs w:val="24"/>
              </w:rPr>
              <w:br/>
            </w:r>
          </w:p>
        </w:tc>
        <w:tc>
          <w:tcPr>
            <w:tcW w:w="1417" w:type="dxa"/>
          </w:tcPr>
          <w:p w:rsidR="00BE0F80" w:rsidRPr="00A86DBE" w:rsidRDefault="002F3990" w:rsidP="00BE0F80">
            <w:pPr>
              <w:pStyle w:val="NoSpacing"/>
              <w:jc w:val="right"/>
              <w:rPr>
                <w:rFonts w:ascii="Arial" w:hAnsi="Arial" w:cs="Arial"/>
                <w:sz w:val="24"/>
                <w:szCs w:val="24"/>
              </w:rPr>
            </w:pPr>
            <w:r>
              <w:rPr>
                <w:rFonts w:ascii="Arial" w:hAnsi="Arial" w:cs="Arial"/>
                <w:sz w:val="24"/>
                <w:szCs w:val="24"/>
              </w:rPr>
              <w:t>3,5</w:t>
            </w:r>
            <w:r w:rsidR="00BE0F80" w:rsidRPr="00A86DBE">
              <w:rPr>
                <w:rFonts w:ascii="Arial" w:hAnsi="Arial" w:cs="Arial"/>
                <w:sz w:val="24"/>
                <w:szCs w:val="24"/>
              </w:rPr>
              <w:t>00</w:t>
            </w:r>
          </w:p>
        </w:tc>
        <w:tc>
          <w:tcPr>
            <w:tcW w:w="1418" w:type="dxa"/>
          </w:tcPr>
          <w:p w:rsidR="00BE0F80" w:rsidRPr="005052DF" w:rsidRDefault="002F3990" w:rsidP="00BE0F80">
            <w:pPr>
              <w:pStyle w:val="NoSpacing"/>
              <w:jc w:val="right"/>
              <w:rPr>
                <w:rFonts w:ascii="Arial" w:hAnsi="Arial" w:cs="Arial"/>
                <w:sz w:val="24"/>
                <w:szCs w:val="24"/>
              </w:rPr>
            </w:pPr>
            <w:r>
              <w:rPr>
                <w:rFonts w:ascii="Arial" w:hAnsi="Arial" w:cs="Arial"/>
                <w:sz w:val="24"/>
                <w:szCs w:val="24"/>
              </w:rPr>
              <w:t>2</w:t>
            </w:r>
          </w:p>
        </w:tc>
        <w:tc>
          <w:tcPr>
            <w:tcW w:w="1417" w:type="dxa"/>
          </w:tcPr>
          <w:p w:rsidR="00BE0F80" w:rsidRPr="005052DF" w:rsidRDefault="002F3990" w:rsidP="00BE0F80">
            <w:pPr>
              <w:pStyle w:val="NoSpacing"/>
              <w:jc w:val="right"/>
              <w:rPr>
                <w:rFonts w:ascii="Arial" w:hAnsi="Arial" w:cs="Arial"/>
                <w:sz w:val="24"/>
                <w:szCs w:val="24"/>
              </w:rPr>
            </w:pPr>
            <w:r>
              <w:rPr>
                <w:rFonts w:ascii="Arial" w:hAnsi="Arial" w:cs="Arial"/>
                <w:sz w:val="24"/>
                <w:szCs w:val="24"/>
              </w:rPr>
              <w:t>1,052</w:t>
            </w:r>
          </w:p>
        </w:tc>
        <w:tc>
          <w:tcPr>
            <w:tcW w:w="1276" w:type="dxa"/>
          </w:tcPr>
          <w:p w:rsidR="00BE0F80" w:rsidRPr="005052DF" w:rsidRDefault="002F3990" w:rsidP="00BE0F80">
            <w:pPr>
              <w:pStyle w:val="NoSpacing"/>
              <w:jc w:val="right"/>
              <w:rPr>
                <w:rFonts w:ascii="Arial" w:hAnsi="Arial" w:cs="Arial"/>
                <w:sz w:val="24"/>
                <w:szCs w:val="24"/>
              </w:rPr>
            </w:pPr>
            <w:r>
              <w:rPr>
                <w:rFonts w:ascii="Arial" w:hAnsi="Arial" w:cs="Arial"/>
                <w:sz w:val="24"/>
                <w:szCs w:val="24"/>
              </w:rPr>
              <w:t>0.69</w:t>
            </w:r>
            <w:r w:rsidR="00BE0F80">
              <w:rPr>
                <w:rFonts w:ascii="Arial" w:hAnsi="Arial" w:cs="Arial"/>
                <w:sz w:val="24"/>
                <w:szCs w:val="24"/>
              </w:rPr>
              <w:t>%</w:t>
            </w:r>
          </w:p>
        </w:tc>
        <w:tc>
          <w:tcPr>
            <w:tcW w:w="1314" w:type="dxa"/>
          </w:tcPr>
          <w:p w:rsidR="00BE0F80" w:rsidRPr="005052DF" w:rsidRDefault="002F3990" w:rsidP="00BE0F80">
            <w:pPr>
              <w:pStyle w:val="NoSpacing"/>
              <w:jc w:val="right"/>
              <w:rPr>
                <w:rFonts w:ascii="Arial" w:hAnsi="Arial" w:cs="Arial"/>
                <w:sz w:val="24"/>
                <w:szCs w:val="24"/>
              </w:rPr>
            </w:pPr>
            <w:r>
              <w:rPr>
                <w:rFonts w:ascii="Arial" w:hAnsi="Arial" w:cs="Arial"/>
                <w:sz w:val="24"/>
                <w:szCs w:val="24"/>
              </w:rPr>
              <w:t>0.62%</w:t>
            </w:r>
          </w:p>
        </w:tc>
      </w:tr>
      <w:tr w:rsidR="00BE0F80" w:rsidTr="009738F8">
        <w:trPr>
          <w:trHeight w:val="286"/>
        </w:trPr>
        <w:tc>
          <w:tcPr>
            <w:tcW w:w="2394" w:type="dxa"/>
          </w:tcPr>
          <w:p w:rsidR="00BE0F80" w:rsidRDefault="00BE0F80" w:rsidP="00BE0F80">
            <w:pPr>
              <w:pStyle w:val="NoSpacing"/>
              <w:rPr>
                <w:rFonts w:ascii="Arial" w:hAnsi="Arial" w:cs="Arial"/>
                <w:sz w:val="24"/>
                <w:szCs w:val="24"/>
              </w:rPr>
            </w:pPr>
            <w:r>
              <w:rPr>
                <w:rFonts w:ascii="Arial" w:hAnsi="Arial" w:cs="Arial"/>
                <w:sz w:val="24"/>
                <w:szCs w:val="24"/>
              </w:rPr>
              <w:t>Rotherham LA</w:t>
            </w:r>
            <w:r w:rsidR="002F3990">
              <w:rPr>
                <w:rFonts w:ascii="Arial" w:hAnsi="Arial" w:cs="Arial"/>
                <w:sz w:val="24"/>
                <w:szCs w:val="24"/>
              </w:rPr>
              <w:br/>
            </w:r>
          </w:p>
        </w:tc>
        <w:tc>
          <w:tcPr>
            <w:tcW w:w="1417" w:type="dxa"/>
          </w:tcPr>
          <w:p w:rsidR="00BE0F80" w:rsidRPr="00A86DBE" w:rsidRDefault="00BE0F80" w:rsidP="00BE0F80">
            <w:pPr>
              <w:pStyle w:val="NoSpacing"/>
              <w:jc w:val="right"/>
              <w:rPr>
                <w:rFonts w:ascii="Arial" w:hAnsi="Arial" w:cs="Arial"/>
                <w:sz w:val="24"/>
                <w:szCs w:val="24"/>
              </w:rPr>
            </w:pPr>
            <w:r>
              <w:rPr>
                <w:rFonts w:ascii="Arial" w:hAnsi="Arial" w:cs="Arial"/>
                <w:sz w:val="24"/>
                <w:szCs w:val="24"/>
              </w:rPr>
              <w:t>5,000</w:t>
            </w:r>
          </w:p>
        </w:tc>
        <w:tc>
          <w:tcPr>
            <w:tcW w:w="1418" w:type="dxa"/>
          </w:tcPr>
          <w:p w:rsidR="00BE0F80" w:rsidRPr="005052DF" w:rsidRDefault="00BE0F80" w:rsidP="00BE0F80">
            <w:pPr>
              <w:pStyle w:val="NoSpacing"/>
              <w:jc w:val="right"/>
              <w:rPr>
                <w:rFonts w:ascii="Arial" w:hAnsi="Arial" w:cs="Arial"/>
                <w:sz w:val="24"/>
                <w:szCs w:val="24"/>
              </w:rPr>
            </w:pPr>
            <w:r>
              <w:rPr>
                <w:rFonts w:ascii="Arial" w:hAnsi="Arial" w:cs="Arial"/>
                <w:sz w:val="24"/>
                <w:szCs w:val="24"/>
              </w:rPr>
              <w:t>1</w:t>
            </w:r>
          </w:p>
        </w:tc>
        <w:tc>
          <w:tcPr>
            <w:tcW w:w="1417" w:type="dxa"/>
          </w:tcPr>
          <w:p w:rsidR="00BE0F80" w:rsidRPr="005052DF" w:rsidRDefault="002F3990" w:rsidP="00BE0F80">
            <w:pPr>
              <w:pStyle w:val="NoSpacing"/>
              <w:jc w:val="right"/>
              <w:rPr>
                <w:rFonts w:ascii="Arial" w:hAnsi="Arial" w:cs="Arial"/>
                <w:sz w:val="24"/>
                <w:szCs w:val="24"/>
              </w:rPr>
            </w:pPr>
            <w:r>
              <w:rPr>
                <w:rFonts w:ascii="Arial" w:hAnsi="Arial" w:cs="Arial"/>
                <w:sz w:val="24"/>
                <w:szCs w:val="24"/>
              </w:rPr>
              <w:t>2,718</w:t>
            </w:r>
          </w:p>
        </w:tc>
        <w:tc>
          <w:tcPr>
            <w:tcW w:w="1276" w:type="dxa"/>
          </w:tcPr>
          <w:p w:rsidR="00BE0F80" w:rsidRPr="005052DF" w:rsidRDefault="002F3990" w:rsidP="00BE0F80">
            <w:pPr>
              <w:pStyle w:val="NoSpacing"/>
              <w:jc w:val="right"/>
              <w:rPr>
                <w:rFonts w:ascii="Arial" w:hAnsi="Arial" w:cs="Arial"/>
                <w:sz w:val="24"/>
                <w:szCs w:val="24"/>
              </w:rPr>
            </w:pPr>
            <w:r>
              <w:rPr>
                <w:rFonts w:ascii="Arial" w:hAnsi="Arial" w:cs="Arial"/>
                <w:sz w:val="24"/>
                <w:szCs w:val="24"/>
              </w:rPr>
              <w:t>0.90%</w:t>
            </w:r>
          </w:p>
        </w:tc>
        <w:tc>
          <w:tcPr>
            <w:tcW w:w="1314" w:type="dxa"/>
          </w:tcPr>
          <w:p w:rsidR="00BE0F80" w:rsidRPr="005052DF" w:rsidRDefault="00BE0F80" w:rsidP="00BE0F80">
            <w:pPr>
              <w:pStyle w:val="NoSpacing"/>
              <w:jc w:val="right"/>
              <w:rPr>
                <w:rFonts w:ascii="Arial" w:hAnsi="Arial" w:cs="Arial"/>
                <w:sz w:val="24"/>
                <w:szCs w:val="24"/>
              </w:rPr>
            </w:pPr>
            <w:r>
              <w:rPr>
                <w:rFonts w:ascii="Arial" w:hAnsi="Arial" w:cs="Arial"/>
                <w:sz w:val="24"/>
                <w:szCs w:val="24"/>
              </w:rPr>
              <w:t>n/a</w:t>
            </w:r>
          </w:p>
        </w:tc>
      </w:tr>
      <w:tr w:rsidR="004B0025" w:rsidTr="009738F8">
        <w:trPr>
          <w:trHeight w:val="286"/>
        </w:trPr>
        <w:tc>
          <w:tcPr>
            <w:tcW w:w="2394" w:type="dxa"/>
          </w:tcPr>
          <w:p w:rsidR="004B0025" w:rsidRDefault="004B0025" w:rsidP="00BE0F80">
            <w:pPr>
              <w:pStyle w:val="NoSpacing"/>
              <w:rPr>
                <w:rFonts w:ascii="Arial" w:hAnsi="Arial" w:cs="Arial"/>
                <w:sz w:val="24"/>
                <w:szCs w:val="24"/>
              </w:rPr>
            </w:pPr>
            <w:r>
              <w:rPr>
                <w:rFonts w:ascii="Arial" w:hAnsi="Arial" w:cs="Arial"/>
                <w:sz w:val="24"/>
                <w:szCs w:val="24"/>
              </w:rPr>
              <w:t>Santander</w:t>
            </w:r>
            <w:r w:rsidR="002F3990">
              <w:rPr>
                <w:rFonts w:ascii="Arial" w:hAnsi="Arial" w:cs="Arial"/>
                <w:sz w:val="24"/>
                <w:szCs w:val="24"/>
              </w:rPr>
              <w:br/>
            </w:r>
          </w:p>
        </w:tc>
        <w:tc>
          <w:tcPr>
            <w:tcW w:w="1417" w:type="dxa"/>
          </w:tcPr>
          <w:p w:rsidR="004B0025" w:rsidRDefault="004B0025" w:rsidP="00BE0F80">
            <w:pPr>
              <w:pStyle w:val="NoSpacing"/>
              <w:jc w:val="right"/>
              <w:rPr>
                <w:rFonts w:ascii="Arial" w:hAnsi="Arial" w:cs="Arial"/>
                <w:sz w:val="24"/>
                <w:szCs w:val="24"/>
              </w:rPr>
            </w:pPr>
            <w:r>
              <w:rPr>
                <w:rFonts w:ascii="Arial" w:hAnsi="Arial" w:cs="Arial"/>
                <w:sz w:val="24"/>
                <w:szCs w:val="24"/>
              </w:rPr>
              <w:t>n/a - call</w:t>
            </w:r>
          </w:p>
        </w:tc>
        <w:tc>
          <w:tcPr>
            <w:tcW w:w="1418" w:type="dxa"/>
          </w:tcPr>
          <w:p w:rsidR="004B0025" w:rsidRDefault="004B0025" w:rsidP="00BE0F80">
            <w:pPr>
              <w:pStyle w:val="NoSpacing"/>
              <w:jc w:val="right"/>
              <w:rPr>
                <w:rFonts w:ascii="Arial" w:hAnsi="Arial" w:cs="Arial"/>
                <w:sz w:val="24"/>
                <w:szCs w:val="24"/>
              </w:rPr>
            </w:pPr>
            <w:r>
              <w:rPr>
                <w:rFonts w:ascii="Arial" w:hAnsi="Arial" w:cs="Arial"/>
                <w:sz w:val="24"/>
                <w:szCs w:val="24"/>
              </w:rPr>
              <w:t>n/a – call</w:t>
            </w:r>
          </w:p>
        </w:tc>
        <w:tc>
          <w:tcPr>
            <w:tcW w:w="1417" w:type="dxa"/>
          </w:tcPr>
          <w:p w:rsidR="004B0025" w:rsidRDefault="004B0025" w:rsidP="00BE0F80">
            <w:pPr>
              <w:pStyle w:val="NoSpacing"/>
              <w:jc w:val="right"/>
              <w:rPr>
                <w:rFonts w:ascii="Arial" w:hAnsi="Arial" w:cs="Arial"/>
                <w:sz w:val="24"/>
                <w:szCs w:val="24"/>
              </w:rPr>
            </w:pPr>
            <w:r>
              <w:rPr>
                <w:rFonts w:ascii="Arial" w:hAnsi="Arial" w:cs="Arial"/>
                <w:sz w:val="24"/>
                <w:szCs w:val="24"/>
              </w:rPr>
              <w:t>1,159</w:t>
            </w:r>
          </w:p>
        </w:tc>
        <w:tc>
          <w:tcPr>
            <w:tcW w:w="1276" w:type="dxa"/>
          </w:tcPr>
          <w:p w:rsidR="004B0025" w:rsidRDefault="004B0025" w:rsidP="00BE0F80">
            <w:pPr>
              <w:pStyle w:val="NoSpacing"/>
              <w:jc w:val="right"/>
              <w:rPr>
                <w:rFonts w:ascii="Arial" w:hAnsi="Arial" w:cs="Arial"/>
                <w:sz w:val="24"/>
                <w:szCs w:val="24"/>
              </w:rPr>
            </w:pPr>
            <w:r>
              <w:rPr>
                <w:rFonts w:ascii="Arial" w:hAnsi="Arial" w:cs="Arial"/>
                <w:sz w:val="24"/>
                <w:szCs w:val="24"/>
              </w:rPr>
              <w:t>0.85%</w:t>
            </w:r>
          </w:p>
        </w:tc>
        <w:tc>
          <w:tcPr>
            <w:tcW w:w="1314" w:type="dxa"/>
          </w:tcPr>
          <w:p w:rsidR="004B0025" w:rsidRDefault="004B0025" w:rsidP="00BE0F80">
            <w:pPr>
              <w:pStyle w:val="NoSpacing"/>
              <w:jc w:val="right"/>
              <w:rPr>
                <w:rFonts w:ascii="Arial" w:hAnsi="Arial" w:cs="Arial"/>
                <w:sz w:val="24"/>
                <w:szCs w:val="24"/>
              </w:rPr>
            </w:pPr>
            <w:r>
              <w:rPr>
                <w:rFonts w:ascii="Arial" w:hAnsi="Arial" w:cs="Arial"/>
                <w:sz w:val="24"/>
                <w:szCs w:val="24"/>
              </w:rPr>
              <w:t>0.25%</w:t>
            </w:r>
          </w:p>
        </w:tc>
      </w:tr>
    </w:tbl>
    <w:p w:rsidR="00BE0F80" w:rsidRDefault="00BE0F80" w:rsidP="00BE0F80">
      <w:pPr>
        <w:rPr>
          <w:rFonts w:ascii="Trebuchet MS" w:hAnsi="Trebuchet MS"/>
          <w:szCs w:val="22"/>
        </w:rPr>
      </w:pPr>
      <w:r>
        <w:rPr>
          <w:rFonts w:ascii="Trebuchet MS" w:hAnsi="Trebuchet MS"/>
          <w:szCs w:val="22"/>
        </w:rPr>
        <w:tab/>
      </w:r>
    </w:p>
    <w:p w:rsidR="00BE0F80" w:rsidRPr="002963FF" w:rsidRDefault="00BE0F80" w:rsidP="004B0025">
      <w:pPr>
        <w:spacing w:line="240" w:lineRule="auto"/>
        <w:ind w:firstLine="720"/>
        <w:jc w:val="left"/>
        <w:rPr>
          <w:rFonts w:cs="Arial"/>
          <w:sz w:val="24"/>
        </w:rPr>
      </w:pPr>
      <w:r w:rsidRPr="002963FF">
        <w:rPr>
          <w:rFonts w:cs="Arial"/>
          <w:sz w:val="24"/>
        </w:rPr>
        <w:t>LA = Local Authority</w:t>
      </w:r>
    </w:p>
    <w:p w:rsidR="00BE0F80" w:rsidRPr="002963FF" w:rsidRDefault="00BE0F80" w:rsidP="004B0025">
      <w:pPr>
        <w:spacing w:line="240" w:lineRule="auto"/>
        <w:ind w:left="720"/>
        <w:jc w:val="left"/>
        <w:rPr>
          <w:rFonts w:cs="Arial"/>
          <w:sz w:val="24"/>
        </w:rPr>
      </w:pPr>
      <w:r w:rsidRPr="002963FF">
        <w:rPr>
          <w:rFonts w:cs="Arial"/>
          <w:sz w:val="24"/>
        </w:rPr>
        <w:t>BS = Building Society</w:t>
      </w:r>
      <w:r w:rsidR="004B0025">
        <w:rPr>
          <w:rFonts w:cs="Arial"/>
          <w:sz w:val="24"/>
        </w:rPr>
        <w:br/>
        <w:t>MMF = Money Market Fund</w:t>
      </w:r>
      <w:r w:rsidR="004B0025">
        <w:rPr>
          <w:rFonts w:cs="Arial"/>
          <w:sz w:val="24"/>
        </w:rPr>
        <w:br/>
        <w:t>Call = Call or Notice account</w:t>
      </w:r>
    </w:p>
    <w:p w:rsidR="0012746E" w:rsidRPr="00132C84" w:rsidRDefault="0012746E" w:rsidP="00132C84">
      <w:pPr>
        <w:tabs>
          <w:tab w:val="left" w:pos="426"/>
        </w:tabs>
        <w:ind w:left="-284"/>
        <w:jc w:val="left"/>
      </w:pPr>
    </w:p>
    <w:sectPr w:rsidR="0012746E" w:rsidRPr="00132C84" w:rsidSect="00C23FA5">
      <w:headerReference w:type="even" r:id="rId10"/>
      <w:headerReference w:type="default" r:id="rId11"/>
      <w:footerReference w:type="default" r:id="rId12"/>
      <w:headerReference w:type="first" r:id="rId13"/>
      <w:pgSz w:w="11906" w:h="16838"/>
      <w:pgMar w:top="1134"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853" w:rsidRDefault="00615853" w:rsidP="00113794">
      <w:r>
        <w:separator/>
      </w:r>
    </w:p>
  </w:endnote>
  <w:endnote w:type="continuationSeparator" w:id="0">
    <w:p w:rsidR="00615853" w:rsidRDefault="00615853" w:rsidP="0011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53" w:rsidRPr="00A158D8" w:rsidRDefault="00615853" w:rsidP="00D03613">
    <w:pPr>
      <w:pStyle w:val="Footer"/>
      <w:jc w:val="left"/>
      <w:rPr>
        <w:rFonts w:asciiTheme="minorHAnsi" w:hAnsiTheme="minorHAnsi"/>
        <w:noProof/>
      </w:rPr>
    </w:pPr>
    <w:r w:rsidRPr="00A158D8">
      <w:rPr>
        <w:rFonts w:asciiTheme="minorHAnsi" w:hAnsiTheme="minorHAnsi"/>
      </w:rPr>
      <w:t xml:space="preserve">Page </w:t>
    </w:r>
    <w:r w:rsidRPr="00A158D8">
      <w:rPr>
        <w:rFonts w:asciiTheme="minorHAnsi" w:hAnsiTheme="minorHAnsi"/>
      </w:rPr>
      <w:fldChar w:fldCharType="begin"/>
    </w:r>
    <w:r w:rsidRPr="00A158D8">
      <w:rPr>
        <w:rFonts w:asciiTheme="minorHAnsi" w:hAnsiTheme="minorHAnsi"/>
      </w:rPr>
      <w:instrText xml:space="preserve"> PAGE   \* MERGEFORMAT </w:instrText>
    </w:r>
    <w:r w:rsidRPr="00A158D8">
      <w:rPr>
        <w:rFonts w:asciiTheme="minorHAnsi" w:hAnsiTheme="minorHAnsi"/>
      </w:rPr>
      <w:fldChar w:fldCharType="separate"/>
    </w:r>
    <w:r w:rsidR="003E5296">
      <w:rPr>
        <w:rFonts w:asciiTheme="minorHAnsi" w:hAnsiTheme="minorHAnsi"/>
        <w:noProof/>
      </w:rPr>
      <w:t>1</w:t>
    </w:r>
    <w:r w:rsidRPr="00A158D8">
      <w:rPr>
        <w:rFonts w:asciiTheme="minorHAnsi" w:hAnsiTheme="minorHAnsi"/>
      </w:rPr>
      <w:fldChar w:fldCharType="end"/>
    </w:r>
    <w:r w:rsidRPr="00A158D8">
      <w:rPr>
        <w:rFonts w:asciiTheme="minorHAnsi" w:hAnsiTheme="minorHAnsi"/>
      </w:rPr>
      <w:t xml:space="preserve"> of </w:t>
    </w:r>
    <w:r w:rsidRPr="00A158D8">
      <w:rPr>
        <w:rFonts w:asciiTheme="minorHAnsi" w:hAnsiTheme="minorHAnsi"/>
        <w:noProof/>
      </w:rPr>
      <w:fldChar w:fldCharType="begin"/>
    </w:r>
    <w:r w:rsidRPr="00A158D8">
      <w:rPr>
        <w:rFonts w:asciiTheme="minorHAnsi" w:hAnsiTheme="minorHAnsi"/>
        <w:noProof/>
      </w:rPr>
      <w:instrText xml:space="preserve"> NUMPAGES   \* MERGEFORMAT </w:instrText>
    </w:r>
    <w:r w:rsidRPr="00A158D8">
      <w:rPr>
        <w:rFonts w:asciiTheme="minorHAnsi" w:hAnsiTheme="minorHAnsi"/>
        <w:noProof/>
      </w:rPr>
      <w:fldChar w:fldCharType="separate"/>
    </w:r>
    <w:r w:rsidR="003E5296">
      <w:rPr>
        <w:rFonts w:asciiTheme="minorHAnsi" w:hAnsiTheme="minorHAnsi"/>
        <w:noProof/>
      </w:rPr>
      <w:t>14</w:t>
    </w:r>
    <w:r w:rsidRPr="00A158D8">
      <w:rPr>
        <w:rFonts w:asciiTheme="minorHAnsi" w:hAnsiTheme="minorHAnsi"/>
        <w:noProof/>
      </w:rPr>
      <w:fldChar w:fldCharType="end"/>
    </w:r>
  </w:p>
  <w:p w:rsidR="00615853" w:rsidRPr="00D03613" w:rsidRDefault="00615853" w:rsidP="00D03613">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010561"/>
      <w:docPartObj>
        <w:docPartGallery w:val="Page Numbers (Bottom of Page)"/>
        <w:docPartUnique/>
      </w:docPartObj>
    </w:sdtPr>
    <w:sdtEndPr>
      <w:rPr>
        <w:rFonts w:asciiTheme="minorHAnsi" w:hAnsiTheme="minorHAnsi"/>
        <w:noProof/>
      </w:rPr>
    </w:sdtEndPr>
    <w:sdtContent>
      <w:p w:rsidR="00615853" w:rsidRPr="00A158D8" w:rsidRDefault="00615853" w:rsidP="00D03613">
        <w:pPr>
          <w:pStyle w:val="Footer"/>
          <w:jc w:val="left"/>
          <w:rPr>
            <w:rFonts w:asciiTheme="minorHAnsi" w:hAnsiTheme="minorHAnsi"/>
          </w:rPr>
        </w:pPr>
        <w:r w:rsidRPr="00A158D8">
          <w:rPr>
            <w:rFonts w:asciiTheme="minorHAnsi" w:hAnsiTheme="minorHAnsi"/>
          </w:rPr>
          <w:t xml:space="preserve">Page </w:t>
        </w:r>
        <w:r w:rsidRPr="00A158D8">
          <w:rPr>
            <w:rFonts w:asciiTheme="minorHAnsi" w:hAnsiTheme="minorHAnsi"/>
          </w:rPr>
          <w:fldChar w:fldCharType="begin"/>
        </w:r>
        <w:r w:rsidRPr="00A158D8">
          <w:rPr>
            <w:rFonts w:asciiTheme="minorHAnsi" w:hAnsiTheme="minorHAnsi"/>
          </w:rPr>
          <w:instrText xml:space="preserve"> PAGE   \* MERGEFORMAT </w:instrText>
        </w:r>
        <w:r w:rsidRPr="00A158D8">
          <w:rPr>
            <w:rFonts w:asciiTheme="minorHAnsi" w:hAnsiTheme="minorHAnsi"/>
          </w:rPr>
          <w:fldChar w:fldCharType="separate"/>
        </w:r>
        <w:r w:rsidR="003E5296">
          <w:rPr>
            <w:rFonts w:asciiTheme="minorHAnsi" w:hAnsiTheme="minorHAnsi"/>
            <w:noProof/>
          </w:rPr>
          <w:t>14</w:t>
        </w:r>
        <w:r w:rsidRPr="00A158D8">
          <w:rPr>
            <w:rFonts w:asciiTheme="minorHAnsi" w:hAnsiTheme="minorHAnsi"/>
          </w:rPr>
          <w:fldChar w:fldCharType="end"/>
        </w:r>
        <w:r w:rsidRPr="00A158D8">
          <w:rPr>
            <w:rFonts w:asciiTheme="minorHAnsi" w:hAnsiTheme="minorHAnsi"/>
          </w:rPr>
          <w:t xml:space="preserve"> of </w:t>
        </w:r>
        <w:r w:rsidRPr="00A158D8">
          <w:rPr>
            <w:rFonts w:asciiTheme="minorHAnsi" w:hAnsiTheme="minorHAnsi"/>
            <w:noProof/>
          </w:rPr>
          <w:fldChar w:fldCharType="begin"/>
        </w:r>
        <w:r w:rsidRPr="00A158D8">
          <w:rPr>
            <w:rFonts w:asciiTheme="minorHAnsi" w:hAnsiTheme="minorHAnsi"/>
            <w:noProof/>
          </w:rPr>
          <w:instrText xml:space="preserve"> NUMPAGES   \* MERGEFORMAT </w:instrText>
        </w:r>
        <w:r w:rsidRPr="00A158D8">
          <w:rPr>
            <w:rFonts w:asciiTheme="minorHAnsi" w:hAnsiTheme="minorHAnsi"/>
            <w:noProof/>
          </w:rPr>
          <w:fldChar w:fldCharType="separate"/>
        </w:r>
        <w:r w:rsidR="003E5296">
          <w:rPr>
            <w:rFonts w:asciiTheme="minorHAnsi" w:hAnsiTheme="minorHAnsi"/>
            <w:noProof/>
          </w:rPr>
          <w:t>14</w:t>
        </w:r>
        <w:r w:rsidRPr="00A158D8">
          <w:rPr>
            <w:rFonts w:asciiTheme="minorHAnsi" w:hAnsiTheme="minorHAnsi"/>
            <w:noProof/>
          </w:rPr>
          <w:fldChar w:fldCharType="end"/>
        </w:r>
      </w:p>
    </w:sdtContent>
  </w:sdt>
  <w:p w:rsidR="00615853" w:rsidRPr="00113794" w:rsidRDefault="00615853" w:rsidP="00113794">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853" w:rsidRDefault="00615853" w:rsidP="00113794">
      <w:r>
        <w:separator/>
      </w:r>
    </w:p>
  </w:footnote>
  <w:footnote w:type="continuationSeparator" w:id="0">
    <w:p w:rsidR="00615853" w:rsidRDefault="00615853" w:rsidP="0011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53" w:rsidRDefault="00615853">
    <w:pPr>
      <w:pStyle w:val="Header"/>
    </w:pPr>
    <w:r w:rsidRPr="00A158D8">
      <w:rPr>
        <w:rFonts w:eastAsiaTheme="minorHAnsi" w:cs="Arial"/>
        <w:b/>
        <w:bCs/>
        <w:noProof/>
        <w:color w:val="002D56"/>
        <w:sz w:val="36"/>
        <w:szCs w:val="36"/>
      </w:rPr>
      <mc:AlternateContent>
        <mc:Choice Requires="wps">
          <w:drawing>
            <wp:anchor distT="0" distB="0" distL="114300" distR="114300" simplePos="0" relativeHeight="251665408" behindDoc="1" locked="0" layoutInCell="1" allowOverlap="1" wp14:anchorId="5D4C2408" wp14:editId="4D0F33B4">
              <wp:simplePos x="0" y="0"/>
              <wp:positionH relativeFrom="page">
                <wp:posOffset>-281940</wp:posOffset>
              </wp:positionH>
              <wp:positionV relativeFrom="paragraph">
                <wp:posOffset>-635</wp:posOffset>
              </wp:positionV>
              <wp:extent cx="3538847" cy="4286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47" cy="428625"/>
                      </a:xfrm>
                      <a:prstGeom prst="rect">
                        <a:avLst/>
                      </a:prstGeom>
                      <a:noFill/>
                      <a:ln w="9525">
                        <a:noFill/>
                        <a:miter lim="800000"/>
                        <a:headEnd/>
                        <a:tailEnd/>
                      </a:ln>
                    </wps:spPr>
                    <wps:txbx>
                      <w:txbxContent>
                        <w:p w:rsidR="00615853" w:rsidRPr="00A158D8" w:rsidRDefault="00615853" w:rsidP="00A158D8">
                          <w:pPr>
                            <w:ind w:left="709"/>
                            <w:rPr>
                              <w:rFonts w:asciiTheme="minorHAnsi" w:hAnsiTheme="minorHAnsi"/>
                              <w:b/>
                              <w:color w:val="365F91" w:themeColor="accent1" w:themeShade="BF"/>
                              <w:sz w:val="24"/>
                            </w:rPr>
                          </w:pPr>
                          <w:r w:rsidRPr="00A158D8">
                            <w:rPr>
                              <w:rFonts w:asciiTheme="minorHAnsi" w:hAnsiTheme="minorHAnsi"/>
                              <w:b/>
                              <w:color w:val="365F91" w:themeColor="accent1" w:themeShade="BF"/>
                              <w:sz w:val="24"/>
                            </w:rPr>
                            <w:t xml:space="preserve">Official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C2408" id="_x0000_t202" coordsize="21600,21600" o:spt="202" path="m,l,21600r21600,l21600,xe">
              <v:stroke joinstyle="miter"/>
              <v:path gradientshapeok="t" o:connecttype="rect"/>
            </v:shapetype>
            <v:shape id="Text Box 2" o:spid="_x0000_s1026" type="#_x0000_t202" style="position:absolute;left:0;text-align:left;margin-left:-22.2pt;margin-top:-.05pt;width:278.65pt;height:33.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" filled="f" stroked="f">
              <v:textbox>
                <w:txbxContent>
                  <w:p w:rsidR="00615853" w:rsidRPr="00A158D8" w:rsidRDefault="00615853" w:rsidP="00A158D8">
                    <w:pPr>
                      <w:ind w:left="709"/>
                      <w:rPr>
                        <w:rFonts w:asciiTheme="minorHAnsi" w:hAnsiTheme="minorHAnsi"/>
                        <w:b/>
                        <w:color w:val="365F91" w:themeColor="accent1" w:themeShade="BF"/>
                        <w:sz w:val="24"/>
                      </w:rPr>
                    </w:pPr>
                    <w:r w:rsidRPr="00A158D8">
                      <w:rPr>
                        <w:rFonts w:asciiTheme="minorHAnsi" w:hAnsiTheme="minorHAnsi"/>
                        <w:b/>
                        <w:color w:val="365F91" w:themeColor="accent1" w:themeShade="BF"/>
                        <w:sz w:val="24"/>
                      </w:rPr>
                      <w:t xml:space="preserve">Official </w:t>
                    </w:r>
                  </w:p>
                </w:txbxContent>
              </v:textbox>
              <w10:wrap anchorx="page"/>
            </v:shape>
          </w:pict>
        </mc:Fallback>
      </mc:AlternateContent>
    </w:r>
    <w:r w:rsidRPr="005971EA">
      <w:rPr>
        <w:noProof/>
        <w:sz w:val="36"/>
        <w:szCs w:val="36"/>
      </w:rPr>
      <w:drawing>
        <wp:anchor distT="0" distB="0" distL="114300" distR="114300" simplePos="0" relativeHeight="251659264" behindDoc="1" locked="0" layoutInCell="1" allowOverlap="1" wp14:anchorId="7AA8E192" wp14:editId="3BE29926">
          <wp:simplePos x="0" y="0"/>
          <wp:positionH relativeFrom="margin">
            <wp:posOffset>6050280</wp:posOffset>
          </wp:positionH>
          <wp:positionV relativeFrom="paragraph">
            <wp:posOffset>-343535</wp:posOffset>
          </wp:positionV>
          <wp:extent cx="727364" cy="450342"/>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hite-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64" cy="45034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53" w:rsidRDefault="00615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53" w:rsidRDefault="00615853">
    <w:pPr>
      <w:pStyle w:val="Header"/>
    </w:pPr>
    <w:r w:rsidRPr="005971EA">
      <w:rPr>
        <w:rFonts w:cs="Arial"/>
        <w:b/>
        <w:bCs/>
        <w:noProof/>
        <w:color w:val="002D56"/>
        <w:sz w:val="36"/>
        <w:szCs w:val="36"/>
      </w:rPr>
      <mc:AlternateContent>
        <mc:Choice Requires="wps">
          <w:drawing>
            <wp:anchor distT="0" distB="0" distL="114300" distR="114300" simplePos="0" relativeHeight="251669504" behindDoc="1" locked="0" layoutInCell="1" allowOverlap="1" wp14:anchorId="5D4C2408" wp14:editId="4D0F33B4">
              <wp:simplePos x="0" y="0"/>
              <wp:positionH relativeFrom="column">
                <wp:posOffset>-678180</wp:posOffset>
              </wp:positionH>
              <wp:positionV relativeFrom="paragraph">
                <wp:posOffset>-23495</wp:posOffset>
              </wp:positionV>
              <wp:extent cx="3538847" cy="42862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47" cy="428625"/>
                      </a:xfrm>
                      <a:prstGeom prst="rect">
                        <a:avLst/>
                      </a:prstGeom>
                      <a:noFill/>
                      <a:ln w="9525">
                        <a:noFill/>
                        <a:miter lim="800000"/>
                        <a:headEnd/>
                        <a:tailEnd/>
                      </a:ln>
                    </wps:spPr>
                    <wps:txbx>
                      <w:txbxContent>
                        <w:p w:rsidR="00615853" w:rsidRPr="00A158D8" w:rsidRDefault="00615853" w:rsidP="00A158D8">
                          <w:pPr>
                            <w:ind w:left="709"/>
                            <w:rPr>
                              <w:rFonts w:asciiTheme="minorHAnsi" w:hAnsiTheme="minorHAnsi"/>
                              <w:b/>
                              <w:color w:val="365F91" w:themeColor="accent1" w:themeShade="BF"/>
                              <w:sz w:val="24"/>
                            </w:rPr>
                          </w:pPr>
                          <w:r w:rsidRPr="00A158D8">
                            <w:rPr>
                              <w:rFonts w:asciiTheme="minorHAnsi" w:hAnsiTheme="minorHAnsi"/>
                              <w:b/>
                              <w:color w:val="365F91" w:themeColor="accent1" w:themeShade="BF"/>
                              <w:sz w:val="24"/>
                            </w:rPr>
                            <w:t xml:space="preserve">Official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C2408" id="_x0000_t202" coordsize="21600,21600" o:spt="202" path="m,l,21600r21600,l21600,xe">
              <v:stroke joinstyle="miter"/>
              <v:path gradientshapeok="t" o:connecttype="rect"/>
            </v:shapetype>
            <v:shape id="_x0000_s1027" type="#_x0000_t202" style="position:absolute;left:0;text-align:left;margin-left:-53.4pt;margin-top:-1.85pt;width:278.65pt;height:3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" filled="f" stroked="f">
              <v:textbox>
                <w:txbxContent>
                  <w:p w:rsidR="00615853" w:rsidRPr="00A158D8" w:rsidRDefault="00615853" w:rsidP="00A158D8">
                    <w:pPr>
                      <w:ind w:left="709"/>
                      <w:rPr>
                        <w:rFonts w:asciiTheme="minorHAnsi" w:hAnsiTheme="minorHAnsi"/>
                        <w:b/>
                        <w:color w:val="365F91" w:themeColor="accent1" w:themeShade="BF"/>
                        <w:sz w:val="24"/>
                      </w:rPr>
                    </w:pPr>
                    <w:r w:rsidRPr="00A158D8">
                      <w:rPr>
                        <w:rFonts w:asciiTheme="minorHAnsi" w:hAnsiTheme="minorHAnsi"/>
                        <w:b/>
                        <w:color w:val="365F91" w:themeColor="accent1" w:themeShade="BF"/>
                        <w:sz w:val="24"/>
                      </w:rPr>
                      <w:t xml:space="preserve">Official </w:t>
                    </w:r>
                  </w:p>
                </w:txbxContent>
              </v:textbox>
            </v:shape>
          </w:pict>
        </mc:Fallback>
      </mc:AlternateContent>
    </w:r>
    <w:r w:rsidRPr="005971EA">
      <w:rPr>
        <w:noProof/>
        <w:sz w:val="36"/>
        <w:szCs w:val="36"/>
      </w:rPr>
      <w:drawing>
        <wp:anchor distT="0" distB="0" distL="114300" distR="114300" simplePos="0" relativeHeight="251663360" behindDoc="1" locked="0" layoutInCell="1" allowOverlap="1" wp14:anchorId="20614F03" wp14:editId="5020F031">
          <wp:simplePos x="0" y="0"/>
          <wp:positionH relativeFrom="margin">
            <wp:align>right</wp:align>
          </wp:positionH>
          <wp:positionV relativeFrom="paragraph">
            <wp:posOffset>-259715</wp:posOffset>
          </wp:positionV>
          <wp:extent cx="727364" cy="45034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hite-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64" cy="450342"/>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53" w:rsidRDefault="00615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70A59"/>
    <w:multiLevelType w:val="multilevel"/>
    <w:tmpl w:val="9750805C"/>
    <w:lvl w:ilvl="0">
      <w:start w:val="1"/>
      <w:numFmt w:val="decimal"/>
      <w:pStyle w:val="Heading1"/>
      <w:lvlText w:val="%1."/>
      <w:lvlJc w:val="left"/>
      <w:pPr>
        <w:ind w:left="6456" w:hanging="360"/>
      </w:pPr>
      <w:rPr>
        <w:rFonts w:hint="default"/>
        <w:i w:val="0"/>
        <w:color w:val="000000" w:themeColor="text1"/>
        <w:sz w:val="48"/>
        <w:szCs w:val="28"/>
      </w:rPr>
    </w:lvl>
    <w:lvl w:ilvl="1">
      <w:start w:val="1"/>
      <w:numFmt w:val="decimal"/>
      <w:pStyle w:val="Heading2"/>
      <w:lvlText w:val="%1.%2"/>
      <w:lvlJc w:val="left"/>
      <w:pPr>
        <w:ind w:left="576" w:hanging="576"/>
      </w:pPr>
      <w:rPr>
        <w:i w:val="0"/>
        <w:color w:val="auto"/>
        <w:sz w:val="40"/>
        <w:szCs w:val="40"/>
      </w:rPr>
    </w:lvl>
    <w:lvl w:ilvl="2">
      <w:start w:val="1"/>
      <w:numFmt w:val="decimal"/>
      <w:pStyle w:val="Heading3"/>
      <w:lvlText w:val="%1.%2.%3"/>
      <w:lvlJc w:val="left"/>
      <w:pPr>
        <w:ind w:left="1004" w:hanging="720"/>
      </w:pPr>
      <w:rPr>
        <w:b/>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54D6EE6"/>
    <w:multiLevelType w:val="multilevel"/>
    <w:tmpl w:val="6B6456FA"/>
    <w:styleLink w:val="111111"/>
    <w:lvl w:ilvl="0">
      <w:start w:val="1"/>
      <w:numFmt w:val="decimal"/>
      <w:lvlText w:val="%1.0"/>
      <w:lvlJc w:val="left"/>
      <w:pPr>
        <w:tabs>
          <w:tab w:val="num" w:pos="851"/>
        </w:tabs>
        <w:ind w:left="851" w:hanging="491"/>
      </w:pPr>
      <w:rPr>
        <w:rFonts w:hint="default"/>
        <w:sz w:val="24"/>
        <w:szCs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008"/>
        </w:tabs>
        <w:ind w:left="1576"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46A279B3"/>
    <w:multiLevelType w:val="multilevel"/>
    <w:tmpl w:val="B936F16C"/>
    <w:lvl w:ilvl="0">
      <w:start w:val="1"/>
      <w:numFmt w:val="decimal"/>
      <w:lvlText w:val="%1.0"/>
      <w:lvlJc w:val="left"/>
      <w:pPr>
        <w:ind w:left="720" w:hanging="720"/>
      </w:pPr>
      <w:rPr>
        <w:rFonts w:hint="default"/>
        <w:u w:val="none"/>
      </w:rPr>
    </w:lvl>
    <w:lvl w:ilvl="1">
      <w:start w:val="1"/>
      <w:numFmt w:val="decimal"/>
      <w:lvlText w:val="%1.%2"/>
      <w:lvlJc w:val="left"/>
      <w:pPr>
        <w:ind w:left="720" w:hanging="720"/>
      </w:pPr>
      <w:rPr>
        <w:rFonts w:hint="default"/>
        <w:b w:val="0"/>
        <w:sz w:val="24"/>
        <w:szCs w:val="24"/>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76B84F2B"/>
    <w:multiLevelType w:val="multilevel"/>
    <w:tmpl w:val="A9EC52E2"/>
    <w:lvl w:ilvl="0">
      <w:start w:val="1"/>
      <w:numFmt w:val="decimal"/>
      <w:pStyle w:val="StyleBodyText12pt"/>
      <w:lvlText w:val="%1."/>
      <w:lvlJc w:val="left"/>
      <w:pPr>
        <w:tabs>
          <w:tab w:val="num" w:pos="432"/>
        </w:tabs>
        <w:ind w:left="432" w:hanging="432"/>
      </w:pPr>
      <w:rPr>
        <w:rFonts w:ascii="Arial" w:hAnsi="Arial" w:hint="default"/>
        <w:b/>
        <w:i w:val="0"/>
        <w:sz w:val="24"/>
        <w:szCs w:val="24"/>
      </w:rPr>
    </w:lvl>
    <w:lvl w:ilvl="1">
      <w:numFmt w:val="decimal"/>
      <w:pStyle w:val="BodyText"/>
      <w:lvlText w:val="%1.%2"/>
      <w:lvlJc w:val="left"/>
      <w:pPr>
        <w:tabs>
          <w:tab w:val="num" w:pos="576"/>
        </w:tabs>
        <w:ind w:left="576" w:hanging="576"/>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ED"/>
    <w:rsid w:val="00000488"/>
    <w:rsid w:val="00000707"/>
    <w:rsid w:val="0000139B"/>
    <w:rsid w:val="00002477"/>
    <w:rsid w:val="00002764"/>
    <w:rsid w:val="000033A1"/>
    <w:rsid w:val="00003767"/>
    <w:rsid w:val="00003A3E"/>
    <w:rsid w:val="0000664D"/>
    <w:rsid w:val="00006953"/>
    <w:rsid w:val="000121AD"/>
    <w:rsid w:val="000128F3"/>
    <w:rsid w:val="0001350C"/>
    <w:rsid w:val="00014638"/>
    <w:rsid w:val="00014CF2"/>
    <w:rsid w:val="00014D47"/>
    <w:rsid w:val="00015517"/>
    <w:rsid w:val="000163C4"/>
    <w:rsid w:val="000175F8"/>
    <w:rsid w:val="00020237"/>
    <w:rsid w:val="0002195F"/>
    <w:rsid w:val="00024B15"/>
    <w:rsid w:val="00025D42"/>
    <w:rsid w:val="00026538"/>
    <w:rsid w:val="00026A02"/>
    <w:rsid w:val="00027207"/>
    <w:rsid w:val="00027AAA"/>
    <w:rsid w:val="00030890"/>
    <w:rsid w:val="00030A9A"/>
    <w:rsid w:val="00030FEF"/>
    <w:rsid w:val="00031880"/>
    <w:rsid w:val="000327BC"/>
    <w:rsid w:val="000338F2"/>
    <w:rsid w:val="00033BB7"/>
    <w:rsid w:val="00034AD1"/>
    <w:rsid w:val="0003698A"/>
    <w:rsid w:val="00036E1C"/>
    <w:rsid w:val="000373B8"/>
    <w:rsid w:val="00041910"/>
    <w:rsid w:val="000426D2"/>
    <w:rsid w:val="00042C68"/>
    <w:rsid w:val="00043457"/>
    <w:rsid w:val="00043DA9"/>
    <w:rsid w:val="000443B4"/>
    <w:rsid w:val="000443F1"/>
    <w:rsid w:val="00044447"/>
    <w:rsid w:val="00045471"/>
    <w:rsid w:val="00046656"/>
    <w:rsid w:val="00047487"/>
    <w:rsid w:val="00052678"/>
    <w:rsid w:val="00052D5B"/>
    <w:rsid w:val="0005324F"/>
    <w:rsid w:val="0005344F"/>
    <w:rsid w:val="00055A45"/>
    <w:rsid w:val="000573B0"/>
    <w:rsid w:val="000600A4"/>
    <w:rsid w:val="000613B7"/>
    <w:rsid w:val="00062D53"/>
    <w:rsid w:val="000630EE"/>
    <w:rsid w:val="000635F7"/>
    <w:rsid w:val="00063C3D"/>
    <w:rsid w:val="00063E82"/>
    <w:rsid w:val="00064EE5"/>
    <w:rsid w:val="00064F9E"/>
    <w:rsid w:val="0006514C"/>
    <w:rsid w:val="00065B7F"/>
    <w:rsid w:val="00066105"/>
    <w:rsid w:val="0006659F"/>
    <w:rsid w:val="00067275"/>
    <w:rsid w:val="0006741F"/>
    <w:rsid w:val="00070609"/>
    <w:rsid w:val="0007136C"/>
    <w:rsid w:val="000714CD"/>
    <w:rsid w:val="00072B81"/>
    <w:rsid w:val="00072BC7"/>
    <w:rsid w:val="000741CF"/>
    <w:rsid w:val="00074A3E"/>
    <w:rsid w:val="00076646"/>
    <w:rsid w:val="0007782A"/>
    <w:rsid w:val="000779A1"/>
    <w:rsid w:val="00077CA2"/>
    <w:rsid w:val="000805D9"/>
    <w:rsid w:val="00080A8F"/>
    <w:rsid w:val="00081B4C"/>
    <w:rsid w:val="00083234"/>
    <w:rsid w:val="0008334B"/>
    <w:rsid w:val="000835D1"/>
    <w:rsid w:val="00084732"/>
    <w:rsid w:val="00085E3C"/>
    <w:rsid w:val="0008639E"/>
    <w:rsid w:val="000863BF"/>
    <w:rsid w:val="00086D9D"/>
    <w:rsid w:val="000879AA"/>
    <w:rsid w:val="00087AB4"/>
    <w:rsid w:val="00093710"/>
    <w:rsid w:val="00094A94"/>
    <w:rsid w:val="00095449"/>
    <w:rsid w:val="000974F5"/>
    <w:rsid w:val="00097E44"/>
    <w:rsid w:val="00097EA4"/>
    <w:rsid w:val="000A0D45"/>
    <w:rsid w:val="000A0FE4"/>
    <w:rsid w:val="000A2C18"/>
    <w:rsid w:val="000A328C"/>
    <w:rsid w:val="000A3DE3"/>
    <w:rsid w:val="000A42AE"/>
    <w:rsid w:val="000A6693"/>
    <w:rsid w:val="000A71C0"/>
    <w:rsid w:val="000A7D2D"/>
    <w:rsid w:val="000B143E"/>
    <w:rsid w:val="000B2524"/>
    <w:rsid w:val="000B2DAB"/>
    <w:rsid w:val="000B301C"/>
    <w:rsid w:val="000B39E7"/>
    <w:rsid w:val="000B5FB6"/>
    <w:rsid w:val="000B6354"/>
    <w:rsid w:val="000C028A"/>
    <w:rsid w:val="000C0969"/>
    <w:rsid w:val="000C239D"/>
    <w:rsid w:val="000C27C1"/>
    <w:rsid w:val="000C2BB0"/>
    <w:rsid w:val="000C3233"/>
    <w:rsid w:val="000C37BD"/>
    <w:rsid w:val="000C3983"/>
    <w:rsid w:val="000C52CD"/>
    <w:rsid w:val="000C5BBA"/>
    <w:rsid w:val="000C5F29"/>
    <w:rsid w:val="000C6928"/>
    <w:rsid w:val="000D1295"/>
    <w:rsid w:val="000D25F2"/>
    <w:rsid w:val="000D2939"/>
    <w:rsid w:val="000D32D2"/>
    <w:rsid w:val="000D3FF3"/>
    <w:rsid w:val="000D441D"/>
    <w:rsid w:val="000D4707"/>
    <w:rsid w:val="000E0D87"/>
    <w:rsid w:val="000E0F61"/>
    <w:rsid w:val="000E157F"/>
    <w:rsid w:val="000E1B25"/>
    <w:rsid w:val="000E4476"/>
    <w:rsid w:val="000E4A7F"/>
    <w:rsid w:val="000E4C7A"/>
    <w:rsid w:val="000E5C9B"/>
    <w:rsid w:val="000E7AEB"/>
    <w:rsid w:val="000F062E"/>
    <w:rsid w:val="000F0AF2"/>
    <w:rsid w:val="000F1F65"/>
    <w:rsid w:val="000F48C5"/>
    <w:rsid w:val="000F5151"/>
    <w:rsid w:val="000F61FB"/>
    <w:rsid w:val="000F6291"/>
    <w:rsid w:val="000F6494"/>
    <w:rsid w:val="000F7924"/>
    <w:rsid w:val="00101C5E"/>
    <w:rsid w:val="00101F4E"/>
    <w:rsid w:val="001032C3"/>
    <w:rsid w:val="001035D5"/>
    <w:rsid w:val="00104AB8"/>
    <w:rsid w:val="0010503F"/>
    <w:rsid w:val="00105058"/>
    <w:rsid w:val="001056BA"/>
    <w:rsid w:val="001058C7"/>
    <w:rsid w:val="00106CEB"/>
    <w:rsid w:val="001104E5"/>
    <w:rsid w:val="001117AD"/>
    <w:rsid w:val="00111D9C"/>
    <w:rsid w:val="00113659"/>
    <w:rsid w:val="00113794"/>
    <w:rsid w:val="00114374"/>
    <w:rsid w:val="00114D44"/>
    <w:rsid w:val="001150DC"/>
    <w:rsid w:val="0011737B"/>
    <w:rsid w:val="00117AFF"/>
    <w:rsid w:val="00120719"/>
    <w:rsid w:val="001220EB"/>
    <w:rsid w:val="00122456"/>
    <w:rsid w:val="00122667"/>
    <w:rsid w:val="001230D6"/>
    <w:rsid w:val="0012368E"/>
    <w:rsid w:val="00123EA8"/>
    <w:rsid w:val="00123F88"/>
    <w:rsid w:val="001240A2"/>
    <w:rsid w:val="00124777"/>
    <w:rsid w:val="00124BBC"/>
    <w:rsid w:val="00125377"/>
    <w:rsid w:val="00126487"/>
    <w:rsid w:val="0012746E"/>
    <w:rsid w:val="001305C7"/>
    <w:rsid w:val="001318C9"/>
    <w:rsid w:val="0013213D"/>
    <w:rsid w:val="001327A2"/>
    <w:rsid w:val="00132C84"/>
    <w:rsid w:val="00135216"/>
    <w:rsid w:val="00135443"/>
    <w:rsid w:val="0013597C"/>
    <w:rsid w:val="00135F85"/>
    <w:rsid w:val="001363C8"/>
    <w:rsid w:val="00136F9C"/>
    <w:rsid w:val="001372AB"/>
    <w:rsid w:val="00137F6C"/>
    <w:rsid w:val="00140F21"/>
    <w:rsid w:val="001435AA"/>
    <w:rsid w:val="001436ED"/>
    <w:rsid w:val="00144FE0"/>
    <w:rsid w:val="00145520"/>
    <w:rsid w:val="00145B1E"/>
    <w:rsid w:val="00145C8C"/>
    <w:rsid w:val="00145F34"/>
    <w:rsid w:val="001462D3"/>
    <w:rsid w:val="00146B82"/>
    <w:rsid w:val="001474E1"/>
    <w:rsid w:val="00147960"/>
    <w:rsid w:val="00147F07"/>
    <w:rsid w:val="00150B71"/>
    <w:rsid w:val="001518B9"/>
    <w:rsid w:val="001522C3"/>
    <w:rsid w:val="001524F4"/>
    <w:rsid w:val="0015443F"/>
    <w:rsid w:val="00154A37"/>
    <w:rsid w:val="00154B05"/>
    <w:rsid w:val="001550BA"/>
    <w:rsid w:val="00155187"/>
    <w:rsid w:val="0015615D"/>
    <w:rsid w:val="001573DF"/>
    <w:rsid w:val="001577F5"/>
    <w:rsid w:val="001578A3"/>
    <w:rsid w:val="001600FB"/>
    <w:rsid w:val="00160636"/>
    <w:rsid w:val="00160FF9"/>
    <w:rsid w:val="001625E1"/>
    <w:rsid w:val="00163C97"/>
    <w:rsid w:val="00164EA0"/>
    <w:rsid w:val="00166166"/>
    <w:rsid w:val="00167E1B"/>
    <w:rsid w:val="00170AC1"/>
    <w:rsid w:val="00171E41"/>
    <w:rsid w:val="001723D5"/>
    <w:rsid w:val="00172C19"/>
    <w:rsid w:val="00172C21"/>
    <w:rsid w:val="001731B2"/>
    <w:rsid w:val="0017444B"/>
    <w:rsid w:val="001805E6"/>
    <w:rsid w:val="001809F0"/>
    <w:rsid w:val="00181412"/>
    <w:rsid w:val="00182F9A"/>
    <w:rsid w:val="001832C3"/>
    <w:rsid w:val="0018448D"/>
    <w:rsid w:val="00186614"/>
    <w:rsid w:val="0018674E"/>
    <w:rsid w:val="00186961"/>
    <w:rsid w:val="00187740"/>
    <w:rsid w:val="0018790D"/>
    <w:rsid w:val="00187BC6"/>
    <w:rsid w:val="001908A8"/>
    <w:rsid w:val="001930A2"/>
    <w:rsid w:val="00193354"/>
    <w:rsid w:val="00196F17"/>
    <w:rsid w:val="00197BF9"/>
    <w:rsid w:val="001A0CE5"/>
    <w:rsid w:val="001A14BD"/>
    <w:rsid w:val="001A1991"/>
    <w:rsid w:val="001A33A9"/>
    <w:rsid w:val="001A37F4"/>
    <w:rsid w:val="001A46F1"/>
    <w:rsid w:val="001A5046"/>
    <w:rsid w:val="001A5920"/>
    <w:rsid w:val="001A5B25"/>
    <w:rsid w:val="001A5BA4"/>
    <w:rsid w:val="001A620B"/>
    <w:rsid w:val="001A6D67"/>
    <w:rsid w:val="001A71CE"/>
    <w:rsid w:val="001B0000"/>
    <w:rsid w:val="001B0578"/>
    <w:rsid w:val="001B05E8"/>
    <w:rsid w:val="001B1003"/>
    <w:rsid w:val="001B1D38"/>
    <w:rsid w:val="001B21E7"/>
    <w:rsid w:val="001B2A0F"/>
    <w:rsid w:val="001B30DC"/>
    <w:rsid w:val="001B3DFD"/>
    <w:rsid w:val="001B4C24"/>
    <w:rsid w:val="001B503A"/>
    <w:rsid w:val="001B7C70"/>
    <w:rsid w:val="001C08FA"/>
    <w:rsid w:val="001C35EA"/>
    <w:rsid w:val="001C66EF"/>
    <w:rsid w:val="001C6B6B"/>
    <w:rsid w:val="001D02BD"/>
    <w:rsid w:val="001D0E20"/>
    <w:rsid w:val="001D2172"/>
    <w:rsid w:val="001D2409"/>
    <w:rsid w:val="001D2D7C"/>
    <w:rsid w:val="001D2F97"/>
    <w:rsid w:val="001D3082"/>
    <w:rsid w:val="001D3A61"/>
    <w:rsid w:val="001D4C0D"/>
    <w:rsid w:val="001D4C4C"/>
    <w:rsid w:val="001D5374"/>
    <w:rsid w:val="001D56A6"/>
    <w:rsid w:val="001D6123"/>
    <w:rsid w:val="001D7C55"/>
    <w:rsid w:val="001E2E03"/>
    <w:rsid w:val="001E3791"/>
    <w:rsid w:val="001E4834"/>
    <w:rsid w:val="001E58DF"/>
    <w:rsid w:val="001E6992"/>
    <w:rsid w:val="001E7111"/>
    <w:rsid w:val="001E719A"/>
    <w:rsid w:val="001F0649"/>
    <w:rsid w:val="001F2334"/>
    <w:rsid w:val="001F2362"/>
    <w:rsid w:val="001F251F"/>
    <w:rsid w:val="001F2722"/>
    <w:rsid w:val="001F2E5F"/>
    <w:rsid w:val="001F2F70"/>
    <w:rsid w:val="001F33F9"/>
    <w:rsid w:val="001F3ECE"/>
    <w:rsid w:val="001F5633"/>
    <w:rsid w:val="001F5936"/>
    <w:rsid w:val="001F5D87"/>
    <w:rsid w:val="001F5E27"/>
    <w:rsid w:val="001F5FC0"/>
    <w:rsid w:val="001F7477"/>
    <w:rsid w:val="001F762C"/>
    <w:rsid w:val="001F76FD"/>
    <w:rsid w:val="001F7CC3"/>
    <w:rsid w:val="00200283"/>
    <w:rsid w:val="002003D0"/>
    <w:rsid w:val="00200CD0"/>
    <w:rsid w:val="0020132F"/>
    <w:rsid w:val="00202CE9"/>
    <w:rsid w:val="00203A22"/>
    <w:rsid w:val="00204626"/>
    <w:rsid w:val="002051B8"/>
    <w:rsid w:val="002054E6"/>
    <w:rsid w:val="00206D85"/>
    <w:rsid w:val="0020758C"/>
    <w:rsid w:val="00210729"/>
    <w:rsid w:val="00212088"/>
    <w:rsid w:val="002121CE"/>
    <w:rsid w:val="002133F3"/>
    <w:rsid w:val="002149E8"/>
    <w:rsid w:val="00214B5C"/>
    <w:rsid w:val="00217656"/>
    <w:rsid w:val="00221707"/>
    <w:rsid w:val="002239A3"/>
    <w:rsid w:val="00223EAC"/>
    <w:rsid w:val="00224042"/>
    <w:rsid w:val="00225B8D"/>
    <w:rsid w:val="00227E7E"/>
    <w:rsid w:val="00230AB7"/>
    <w:rsid w:val="00232FC8"/>
    <w:rsid w:val="002359FB"/>
    <w:rsid w:val="002361D6"/>
    <w:rsid w:val="00236386"/>
    <w:rsid w:val="00237913"/>
    <w:rsid w:val="00237F9B"/>
    <w:rsid w:val="00240228"/>
    <w:rsid w:val="002428E0"/>
    <w:rsid w:val="00242D1C"/>
    <w:rsid w:val="002430F4"/>
    <w:rsid w:val="0024352A"/>
    <w:rsid w:val="002439BB"/>
    <w:rsid w:val="0024464D"/>
    <w:rsid w:val="00244691"/>
    <w:rsid w:val="00244999"/>
    <w:rsid w:val="002459BF"/>
    <w:rsid w:val="00245B2C"/>
    <w:rsid w:val="0024647F"/>
    <w:rsid w:val="0024699F"/>
    <w:rsid w:val="00250200"/>
    <w:rsid w:val="00250AD0"/>
    <w:rsid w:val="002515E0"/>
    <w:rsid w:val="002518C7"/>
    <w:rsid w:val="00253B39"/>
    <w:rsid w:val="00254440"/>
    <w:rsid w:val="00255767"/>
    <w:rsid w:val="00255811"/>
    <w:rsid w:val="00255E3A"/>
    <w:rsid w:val="00256497"/>
    <w:rsid w:val="00256851"/>
    <w:rsid w:val="00256B3A"/>
    <w:rsid w:val="00256DE4"/>
    <w:rsid w:val="00257347"/>
    <w:rsid w:val="00262FB3"/>
    <w:rsid w:val="0026393E"/>
    <w:rsid w:val="00263DAF"/>
    <w:rsid w:val="0026558D"/>
    <w:rsid w:val="00265FA2"/>
    <w:rsid w:val="002661DF"/>
    <w:rsid w:val="00267718"/>
    <w:rsid w:val="0027033E"/>
    <w:rsid w:val="002709FB"/>
    <w:rsid w:val="00270A1B"/>
    <w:rsid w:val="00270E41"/>
    <w:rsid w:val="002736D0"/>
    <w:rsid w:val="0027381B"/>
    <w:rsid w:val="002767F0"/>
    <w:rsid w:val="00277723"/>
    <w:rsid w:val="00280289"/>
    <w:rsid w:val="002818E0"/>
    <w:rsid w:val="00282C59"/>
    <w:rsid w:val="00284655"/>
    <w:rsid w:val="00284E94"/>
    <w:rsid w:val="0028520E"/>
    <w:rsid w:val="0028638D"/>
    <w:rsid w:val="00286607"/>
    <w:rsid w:val="00286F7B"/>
    <w:rsid w:val="00287438"/>
    <w:rsid w:val="0029078B"/>
    <w:rsid w:val="00291C34"/>
    <w:rsid w:val="00291E5D"/>
    <w:rsid w:val="002920A5"/>
    <w:rsid w:val="00295AF2"/>
    <w:rsid w:val="002962B2"/>
    <w:rsid w:val="002963FF"/>
    <w:rsid w:val="00296960"/>
    <w:rsid w:val="00297EA1"/>
    <w:rsid w:val="002A03BA"/>
    <w:rsid w:val="002A07D3"/>
    <w:rsid w:val="002A1707"/>
    <w:rsid w:val="002A1E03"/>
    <w:rsid w:val="002A1F12"/>
    <w:rsid w:val="002A2134"/>
    <w:rsid w:val="002A2644"/>
    <w:rsid w:val="002A300A"/>
    <w:rsid w:val="002A407F"/>
    <w:rsid w:val="002A44E1"/>
    <w:rsid w:val="002A53EC"/>
    <w:rsid w:val="002A55C9"/>
    <w:rsid w:val="002A57FD"/>
    <w:rsid w:val="002A6CD9"/>
    <w:rsid w:val="002A6CFC"/>
    <w:rsid w:val="002B09EA"/>
    <w:rsid w:val="002B129F"/>
    <w:rsid w:val="002B1DF8"/>
    <w:rsid w:val="002B23C8"/>
    <w:rsid w:val="002B383B"/>
    <w:rsid w:val="002B44FF"/>
    <w:rsid w:val="002B4692"/>
    <w:rsid w:val="002B47F8"/>
    <w:rsid w:val="002B5656"/>
    <w:rsid w:val="002B6D0A"/>
    <w:rsid w:val="002C0662"/>
    <w:rsid w:val="002C22F8"/>
    <w:rsid w:val="002C31EE"/>
    <w:rsid w:val="002C365D"/>
    <w:rsid w:val="002C3B85"/>
    <w:rsid w:val="002C3BCA"/>
    <w:rsid w:val="002C3CEE"/>
    <w:rsid w:val="002C5274"/>
    <w:rsid w:val="002C677C"/>
    <w:rsid w:val="002C68B0"/>
    <w:rsid w:val="002C6B09"/>
    <w:rsid w:val="002C74DE"/>
    <w:rsid w:val="002D26B4"/>
    <w:rsid w:val="002D2E99"/>
    <w:rsid w:val="002D39E2"/>
    <w:rsid w:val="002D3F78"/>
    <w:rsid w:val="002D43B1"/>
    <w:rsid w:val="002D4903"/>
    <w:rsid w:val="002D4BEA"/>
    <w:rsid w:val="002D5703"/>
    <w:rsid w:val="002D5DF8"/>
    <w:rsid w:val="002D617C"/>
    <w:rsid w:val="002D7716"/>
    <w:rsid w:val="002D7A0E"/>
    <w:rsid w:val="002E0D09"/>
    <w:rsid w:val="002E151F"/>
    <w:rsid w:val="002E1793"/>
    <w:rsid w:val="002E1EE2"/>
    <w:rsid w:val="002E3661"/>
    <w:rsid w:val="002E4183"/>
    <w:rsid w:val="002E7872"/>
    <w:rsid w:val="002F0068"/>
    <w:rsid w:val="002F01A0"/>
    <w:rsid w:val="002F0981"/>
    <w:rsid w:val="002F2AB3"/>
    <w:rsid w:val="002F3990"/>
    <w:rsid w:val="002F3AEC"/>
    <w:rsid w:val="002F46FC"/>
    <w:rsid w:val="002F483F"/>
    <w:rsid w:val="002F4957"/>
    <w:rsid w:val="002F568F"/>
    <w:rsid w:val="002F70D5"/>
    <w:rsid w:val="003007DB"/>
    <w:rsid w:val="00301219"/>
    <w:rsid w:val="0030141E"/>
    <w:rsid w:val="00301D49"/>
    <w:rsid w:val="003029FB"/>
    <w:rsid w:val="00303632"/>
    <w:rsid w:val="00304EA4"/>
    <w:rsid w:val="00306746"/>
    <w:rsid w:val="00306927"/>
    <w:rsid w:val="003070AD"/>
    <w:rsid w:val="00307413"/>
    <w:rsid w:val="00307FC2"/>
    <w:rsid w:val="0031018E"/>
    <w:rsid w:val="00310D69"/>
    <w:rsid w:val="003113DA"/>
    <w:rsid w:val="00311D9E"/>
    <w:rsid w:val="003120AE"/>
    <w:rsid w:val="0031210D"/>
    <w:rsid w:val="00313865"/>
    <w:rsid w:val="0031432E"/>
    <w:rsid w:val="0031551B"/>
    <w:rsid w:val="00316B64"/>
    <w:rsid w:val="00316C08"/>
    <w:rsid w:val="00316D9A"/>
    <w:rsid w:val="0031749F"/>
    <w:rsid w:val="00317E5C"/>
    <w:rsid w:val="0032134F"/>
    <w:rsid w:val="003242E2"/>
    <w:rsid w:val="00324F7D"/>
    <w:rsid w:val="003251FD"/>
    <w:rsid w:val="003254ED"/>
    <w:rsid w:val="003259D2"/>
    <w:rsid w:val="00325BA9"/>
    <w:rsid w:val="00325EFA"/>
    <w:rsid w:val="00330C95"/>
    <w:rsid w:val="00330F92"/>
    <w:rsid w:val="0033120E"/>
    <w:rsid w:val="00331A4D"/>
    <w:rsid w:val="0033359C"/>
    <w:rsid w:val="003340A5"/>
    <w:rsid w:val="00337B95"/>
    <w:rsid w:val="0034000E"/>
    <w:rsid w:val="00340FA1"/>
    <w:rsid w:val="00342618"/>
    <w:rsid w:val="003426EA"/>
    <w:rsid w:val="00342D08"/>
    <w:rsid w:val="00343C76"/>
    <w:rsid w:val="00345828"/>
    <w:rsid w:val="00347084"/>
    <w:rsid w:val="0035027F"/>
    <w:rsid w:val="003502B8"/>
    <w:rsid w:val="00350D01"/>
    <w:rsid w:val="003529FE"/>
    <w:rsid w:val="00353083"/>
    <w:rsid w:val="00353581"/>
    <w:rsid w:val="003544FD"/>
    <w:rsid w:val="00354575"/>
    <w:rsid w:val="003545CF"/>
    <w:rsid w:val="003559E0"/>
    <w:rsid w:val="003564DD"/>
    <w:rsid w:val="0035661A"/>
    <w:rsid w:val="003571D7"/>
    <w:rsid w:val="003571DD"/>
    <w:rsid w:val="0035787C"/>
    <w:rsid w:val="00360243"/>
    <w:rsid w:val="00360330"/>
    <w:rsid w:val="00360FB2"/>
    <w:rsid w:val="003612AA"/>
    <w:rsid w:val="003619B6"/>
    <w:rsid w:val="00362C83"/>
    <w:rsid w:val="00362FC6"/>
    <w:rsid w:val="00363015"/>
    <w:rsid w:val="00363206"/>
    <w:rsid w:val="00363291"/>
    <w:rsid w:val="003637EF"/>
    <w:rsid w:val="00364075"/>
    <w:rsid w:val="00364DF5"/>
    <w:rsid w:val="0036650F"/>
    <w:rsid w:val="0036767E"/>
    <w:rsid w:val="00370CB3"/>
    <w:rsid w:val="00371010"/>
    <w:rsid w:val="003745EC"/>
    <w:rsid w:val="00374FCF"/>
    <w:rsid w:val="00376A66"/>
    <w:rsid w:val="00377F3B"/>
    <w:rsid w:val="0038011F"/>
    <w:rsid w:val="003804D1"/>
    <w:rsid w:val="00380CCD"/>
    <w:rsid w:val="00381BF6"/>
    <w:rsid w:val="00382938"/>
    <w:rsid w:val="003841F6"/>
    <w:rsid w:val="00385098"/>
    <w:rsid w:val="0038590B"/>
    <w:rsid w:val="0038693B"/>
    <w:rsid w:val="00387778"/>
    <w:rsid w:val="0038783E"/>
    <w:rsid w:val="00390EC4"/>
    <w:rsid w:val="00390F76"/>
    <w:rsid w:val="0039101E"/>
    <w:rsid w:val="0039158A"/>
    <w:rsid w:val="00392B1A"/>
    <w:rsid w:val="003932D1"/>
    <w:rsid w:val="00393C72"/>
    <w:rsid w:val="00393FE2"/>
    <w:rsid w:val="00394955"/>
    <w:rsid w:val="00394B60"/>
    <w:rsid w:val="00395F6F"/>
    <w:rsid w:val="0039627F"/>
    <w:rsid w:val="00396995"/>
    <w:rsid w:val="003A0D27"/>
    <w:rsid w:val="003A1126"/>
    <w:rsid w:val="003A1E5E"/>
    <w:rsid w:val="003A25B5"/>
    <w:rsid w:val="003A3AD0"/>
    <w:rsid w:val="003A4DC7"/>
    <w:rsid w:val="003A6F52"/>
    <w:rsid w:val="003A70B8"/>
    <w:rsid w:val="003A7A1D"/>
    <w:rsid w:val="003A7A83"/>
    <w:rsid w:val="003B1F1D"/>
    <w:rsid w:val="003B2631"/>
    <w:rsid w:val="003B2C9F"/>
    <w:rsid w:val="003B49E7"/>
    <w:rsid w:val="003B4A87"/>
    <w:rsid w:val="003B4B46"/>
    <w:rsid w:val="003B5A11"/>
    <w:rsid w:val="003B6568"/>
    <w:rsid w:val="003B67F7"/>
    <w:rsid w:val="003B69BE"/>
    <w:rsid w:val="003B789F"/>
    <w:rsid w:val="003C2A86"/>
    <w:rsid w:val="003C463F"/>
    <w:rsid w:val="003C4BC8"/>
    <w:rsid w:val="003C4E5C"/>
    <w:rsid w:val="003C58EA"/>
    <w:rsid w:val="003C5A29"/>
    <w:rsid w:val="003D2B60"/>
    <w:rsid w:val="003D2E06"/>
    <w:rsid w:val="003D35B0"/>
    <w:rsid w:val="003D3690"/>
    <w:rsid w:val="003D4C82"/>
    <w:rsid w:val="003D700A"/>
    <w:rsid w:val="003D7059"/>
    <w:rsid w:val="003E0F02"/>
    <w:rsid w:val="003E0FF8"/>
    <w:rsid w:val="003E1286"/>
    <w:rsid w:val="003E1845"/>
    <w:rsid w:val="003E28CC"/>
    <w:rsid w:val="003E2AFF"/>
    <w:rsid w:val="003E3325"/>
    <w:rsid w:val="003E35FF"/>
    <w:rsid w:val="003E3C0B"/>
    <w:rsid w:val="003E489C"/>
    <w:rsid w:val="003E5296"/>
    <w:rsid w:val="003E6220"/>
    <w:rsid w:val="003E6499"/>
    <w:rsid w:val="003E656B"/>
    <w:rsid w:val="003E6BAC"/>
    <w:rsid w:val="003E7AC3"/>
    <w:rsid w:val="003F0889"/>
    <w:rsid w:val="003F09DA"/>
    <w:rsid w:val="003F0ABF"/>
    <w:rsid w:val="003F3329"/>
    <w:rsid w:val="003F3342"/>
    <w:rsid w:val="003F3603"/>
    <w:rsid w:val="003F3AB0"/>
    <w:rsid w:val="003F470B"/>
    <w:rsid w:val="003F6392"/>
    <w:rsid w:val="004014ED"/>
    <w:rsid w:val="004018C5"/>
    <w:rsid w:val="00401E4B"/>
    <w:rsid w:val="00402760"/>
    <w:rsid w:val="00402C79"/>
    <w:rsid w:val="00402E69"/>
    <w:rsid w:val="00404756"/>
    <w:rsid w:val="00405367"/>
    <w:rsid w:val="00405AAA"/>
    <w:rsid w:val="00405F51"/>
    <w:rsid w:val="00406042"/>
    <w:rsid w:val="00406050"/>
    <w:rsid w:val="00406084"/>
    <w:rsid w:val="004112B1"/>
    <w:rsid w:val="004122C3"/>
    <w:rsid w:val="00413703"/>
    <w:rsid w:val="00414884"/>
    <w:rsid w:val="004149AD"/>
    <w:rsid w:val="00414CDA"/>
    <w:rsid w:val="00414D0C"/>
    <w:rsid w:val="004155CD"/>
    <w:rsid w:val="00416120"/>
    <w:rsid w:val="00417AFE"/>
    <w:rsid w:val="00417C98"/>
    <w:rsid w:val="004211DB"/>
    <w:rsid w:val="00421CA9"/>
    <w:rsid w:val="00421F40"/>
    <w:rsid w:val="00424566"/>
    <w:rsid w:val="00425A09"/>
    <w:rsid w:val="00425EB8"/>
    <w:rsid w:val="00427D0E"/>
    <w:rsid w:val="0043028E"/>
    <w:rsid w:val="00430ABD"/>
    <w:rsid w:val="00430D26"/>
    <w:rsid w:val="00431684"/>
    <w:rsid w:val="00432028"/>
    <w:rsid w:val="00433B5F"/>
    <w:rsid w:val="004351D6"/>
    <w:rsid w:val="0043589A"/>
    <w:rsid w:val="00436548"/>
    <w:rsid w:val="00436DB4"/>
    <w:rsid w:val="00437E83"/>
    <w:rsid w:val="00440401"/>
    <w:rsid w:val="00440484"/>
    <w:rsid w:val="00441010"/>
    <w:rsid w:val="00441450"/>
    <w:rsid w:val="00441A47"/>
    <w:rsid w:val="00441F4C"/>
    <w:rsid w:val="00443506"/>
    <w:rsid w:val="004441D9"/>
    <w:rsid w:val="00444895"/>
    <w:rsid w:val="0044626E"/>
    <w:rsid w:val="0045177D"/>
    <w:rsid w:val="00452EB6"/>
    <w:rsid w:val="00453284"/>
    <w:rsid w:val="00453D4B"/>
    <w:rsid w:val="00453D75"/>
    <w:rsid w:val="004553B2"/>
    <w:rsid w:val="00456555"/>
    <w:rsid w:val="00456E39"/>
    <w:rsid w:val="0046136C"/>
    <w:rsid w:val="00463F26"/>
    <w:rsid w:val="004644C9"/>
    <w:rsid w:val="00464AF7"/>
    <w:rsid w:val="00465424"/>
    <w:rsid w:val="00467D58"/>
    <w:rsid w:val="00470E33"/>
    <w:rsid w:val="00476297"/>
    <w:rsid w:val="00476A29"/>
    <w:rsid w:val="00476CE7"/>
    <w:rsid w:val="00477E28"/>
    <w:rsid w:val="00480DA3"/>
    <w:rsid w:val="004815AC"/>
    <w:rsid w:val="004816A8"/>
    <w:rsid w:val="00481B5A"/>
    <w:rsid w:val="00482FE2"/>
    <w:rsid w:val="00483280"/>
    <w:rsid w:val="004835A8"/>
    <w:rsid w:val="0048544C"/>
    <w:rsid w:val="00486486"/>
    <w:rsid w:val="0048761C"/>
    <w:rsid w:val="00490299"/>
    <w:rsid w:val="00490AF8"/>
    <w:rsid w:val="00491079"/>
    <w:rsid w:val="0049191D"/>
    <w:rsid w:val="00492187"/>
    <w:rsid w:val="0049449F"/>
    <w:rsid w:val="004964D9"/>
    <w:rsid w:val="0049653E"/>
    <w:rsid w:val="00497C83"/>
    <w:rsid w:val="004A1637"/>
    <w:rsid w:val="004A1E35"/>
    <w:rsid w:val="004A2199"/>
    <w:rsid w:val="004A384B"/>
    <w:rsid w:val="004A3D95"/>
    <w:rsid w:val="004A4955"/>
    <w:rsid w:val="004A558D"/>
    <w:rsid w:val="004A5773"/>
    <w:rsid w:val="004B0025"/>
    <w:rsid w:val="004B007C"/>
    <w:rsid w:val="004B127F"/>
    <w:rsid w:val="004B1626"/>
    <w:rsid w:val="004B233D"/>
    <w:rsid w:val="004B2366"/>
    <w:rsid w:val="004B2FB1"/>
    <w:rsid w:val="004B3B91"/>
    <w:rsid w:val="004B4162"/>
    <w:rsid w:val="004B581C"/>
    <w:rsid w:val="004B5CC1"/>
    <w:rsid w:val="004B5CF5"/>
    <w:rsid w:val="004B754B"/>
    <w:rsid w:val="004B7B08"/>
    <w:rsid w:val="004B7B91"/>
    <w:rsid w:val="004C08D2"/>
    <w:rsid w:val="004C0AB7"/>
    <w:rsid w:val="004C0E5A"/>
    <w:rsid w:val="004C26C8"/>
    <w:rsid w:val="004C3179"/>
    <w:rsid w:val="004C3F1D"/>
    <w:rsid w:val="004C4287"/>
    <w:rsid w:val="004C429A"/>
    <w:rsid w:val="004C4D62"/>
    <w:rsid w:val="004C59F9"/>
    <w:rsid w:val="004C5C3C"/>
    <w:rsid w:val="004C5C70"/>
    <w:rsid w:val="004C5FC2"/>
    <w:rsid w:val="004C62CD"/>
    <w:rsid w:val="004C6E2F"/>
    <w:rsid w:val="004D02CA"/>
    <w:rsid w:val="004D03F4"/>
    <w:rsid w:val="004D0531"/>
    <w:rsid w:val="004D0DE3"/>
    <w:rsid w:val="004D121A"/>
    <w:rsid w:val="004D21F7"/>
    <w:rsid w:val="004D2973"/>
    <w:rsid w:val="004D2FD0"/>
    <w:rsid w:val="004D3EA1"/>
    <w:rsid w:val="004D40F0"/>
    <w:rsid w:val="004D4879"/>
    <w:rsid w:val="004D4C30"/>
    <w:rsid w:val="004D7BC9"/>
    <w:rsid w:val="004D7CA2"/>
    <w:rsid w:val="004E2E4E"/>
    <w:rsid w:val="004E33E1"/>
    <w:rsid w:val="004E381B"/>
    <w:rsid w:val="004E48A6"/>
    <w:rsid w:val="004E5768"/>
    <w:rsid w:val="004E5FA1"/>
    <w:rsid w:val="004E6887"/>
    <w:rsid w:val="004E7409"/>
    <w:rsid w:val="004F012E"/>
    <w:rsid w:val="004F09EC"/>
    <w:rsid w:val="004F2481"/>
    <w:rsid w:val="004F2731"/>
    <w:rsid w:val="004F2993"/>
    <w:rsid w:val="004F34DD"/>
    <w:rsid w:val="004F40D6"/>
    <w:rsid w:val="004F4A4C"/>
    <w:rsid w:val="004F4C81"/>
    <w:rsid w:val="004F4D2F"/>
    <w:rsid w:val="004F67CE"/>
    <w:rsid w:val="004F6D46"/>
    <w:rsid w:val="004F713A"/>
    <w:rsid w:val="004F7598"/>
    <w:rsid w:val="004F762D"/>
    <w:rsid w:val="005012C0"/>
    <w:rsid w:val="00501591"/>
    <w:rsid w:val="0050181A"/>
    <w:rsid w:val="00501BCF"/>
    <w:rsid w:val="005020D9"/>
    <w:rsid w:val="00502717"/>
    <w:rsid w:val="00502CC2"/>
    <w:rsid w:val="005034D6"/>
    <w:rsid w:val="00503A28"/>
    <w:rsid w:val="005043EA"/>
    <w:rsid w:val="005047F3"/>
    <w:rsid w:val="005050CD"/>
    <w:rsid w:val="00506B6E"/>
    <w:rsid w:val="00507281"/>
    <w:rsid w:val="005074AE"/>
    <w:rsid w:val="005079B1"/>
    <w:rsid w:val="005079D4"/>
    <w:rsid w:val="005106AD"/>
    <w:rsid w:val="005119E1"/>
    <w:rsid w:val="00512273"/>
    <w:rsid w:val="00512A1A"/>
    <w:rsid w:val="005145E3"/>
    <w:rsid w:val="005155BC"/>
    <w:rsid w:val="005157E8"/>
    <w:rsid w:val="00516547"/>
    <w:rsid w:val="0051755B"/>
    <w:rsid w:val="00521413"/>
    <w:rsid w:val="0052151D"/>
    <w:rsid w:val="005215CF"/>
    <w:rsid w:val="00521BC4"/>
    <w:rsid w:val="0052428B"/>
    <w:rsid w:val="00524C2B"/>
    <w:rsid w:val="005254EE"/>
    <w:rsid w:val="00526EE7"/>
    <w:rsid w:val="00527440"/>
    <w:rsid w:val="00527A51"/>
    <w:rsid w:val="00531427"/>
    <w:rsid w:val="005345AD"/>
    <w:rsid w:val="00537647"/>
    <w:rsid w:val="00537C0B"/>
    <w:rsid w:val="005409B2"/>
    <w:rsid w:val="00541BDE"/>
    <w:rsid w:val="00541EA5"/>
    <w:rsid w:val="005423EE"/>
    <w:rsid w:val="005429B0"/>
    <w:rsid w:val="005432F2"/>
    <w:rsid w:val="005437C8"/>
    <w:rsid w:val="005440BE"/>
    <w:rsid w:val="00546B6B"/>
    <w:rsid w:val="005470B1"/>
    <w:rsid w:val="00547821"/>
    <w:rsid w:val="005479C0"/>
    <w:rsid w:val="00550932"/>
    <w:rsid w:val="005511B9"/>
    <w:rsid w:val="005519B5"/>
    <w:rsid w:val="00552125"/>
    <w:rsid w:val="00554A8E"/>
    <w:rsid w:val="005557CC"/>
    <w:rsid w:val="00555D1C"/>
    <w:rsid w:val="00556A0E"/>
    <w:rsid w:val="0055765E"/>
    <w:rsid w:val="00557B37"/>
    <w:rsid w:val="00557DDD"/>
    <w:rsid w:val="00560917"/>
    <w:rsid w:val="00561E9A"/>
    <w:rsid w:val="0056402F"/>
    <w:rsid w:val="005643D4"/>
    <w:rsid w:val="005655A7"/>
    <w:rsid w:val="0056614F"/>
    <w:rsid w:val="0056793E"/>
    <w:rsid w:val="00570C9C"/>
    <w:rsid w:val="00572FDF"/>
    <w:rsid w:val="00574AEC"/>
    <w:rsid w:val="00576B2E"/>
    <w:rsid w:val="0057718A"/>
    <w:rsid w:val="00577B1A"/>
    <w:rsid w:val="005801F3"/>
    <w:rsid w:val="00580C25"/>
    <w:rsid w:val="005820AA"/>
    <w:rsid w:val="00586A9B"/>
    <w:rsid w:val="0058757B"/>
    <w:rsid w:val="005902F1"/>
    <w:rsid w:val="0059194C"/>
    <w:rsid w:val="00592C9C"/>
    <w:rsid w:val="0059302D"/>
    <w:rsid w:val="00593C0A"/>
    <w:rsid w:val="0059546A"/>
    <w:rsid w:val="0059586F"/>
    <w:rsid w:val="00596785"/>
    <w:rsid w:val="005A0C7B"/>
    <w:rsid w:val="005A2F65"/>
    <w:rsid w:val="005A30CB"/>
    <w:rsid w:val="005A54FF"/>
    <w:rsid w:val="005A5850"/>
    <w:rsid w:val="005A58FD"/>
    <w:rsid w:val="005A5A01"/>
    <w:rsid w:val="005A5B69"/>
    <w:rsid w:val="005A5F0A"/>
    <w:rsid w:val="005A7719"/>
    <w:rsid w:val="005B04D6"/>
    <w:rsid w:val="005B11A6"/>
    <w:rsid w:val="005B35E0"/>
    <w:rsid w:val="005B3924"/>
    <w:rsid w:val="005B40DB"/>
    <w:rsid w:val="005B6614"/>
    <w:rsid w:val="005B7035"/>
    <w:rsid w:val="005B711F"/>
    <w:rsid w:val="005C292D"/>
    <w:rsid w:val="005C3DBD"/>
    <w:rsid w:val="005C3DF3"/>
    <w:rsid w:val="005C4148"/>
    <w:rsid w:val="005C4334"/>
    <w:rsid w:val="005C4452"/>
    <w:rsid w:val="005C5803"/>
    <w:rsid w:val="005C5D48"/>
    <w:rsid w:val="005C6135"/>
    <w:rsid w:val="005C62A9"/>
    <w:rsid w:val="005C7226"/>
    <w:rsid w:val="005C7530"/>
    <w:rsid w:val="005C7F54"/>
    <w:rsid w:val="005D0502"/>
    <w:rsid w:val="005D1863"/>
    <w:rsid w:val="005D22E9"/>
    <w:rsid w:val="005D3548"/>
    <w:rsid w:val="005D3BAF"/>
    <w:rsid w:val="005D3E0E"/>
    <w:rsid w:val="005D4AAA"/>
    <w:rsid w:val="005D4E08"/>
    <w:rsid w:val="005D5EFB"/>
    <w:rsid w:val="005D6847"/>
    <w:rsid w:val="005E0F7D"/>
    <w:rsid w:val="005E2F4B"/>
    <w:rsid w:val="005E3D38"/>
    <w:rsid w:val="005E4698"/>
    <w:rsid w:val="005E4864"/>
    <w:rsid w:val="005E5E93"/>
    <w:rsid w:val="005E78FA"/>
    <w:rsid w:val="005F0209"/>
    <w:rsid w:val="005F0543"/>
    <w:rsid w:val="005F14DD"/>
    <w:rsid w:val="005F39C5"/>
    <w:rsid w:val="005F44C7"/>
    <w:rsid w:val="005F5DDB"/>
    <w:rsid w:val="005F69D7"/>
    <w:rsid w:val="005F6C9D"/>
    <w:rsid w:val="005F75CF"/>
    <w:rsid w:val="005F7776"/>
    <w:rsid w:val="006006E5"/>
    <w:rsid w:val="00600BBC"/>
    <w:rsid w:val="0060186B"/>
    <w:rsid w:val="00601DC5"/>
    <w:rsid w:val="00605429"/>
    <w:rsid w:val="00605851"/>
    <w:rsid w:val="00605AED"/>
    <w:rsid w:val="00606489"/>
    <w:rsid w:val="00606B00"/>
    <w:rsid w:val="00606C80"/>
    <w:rsid w:val="00607BC4"/>
    <w:rsid w:val="00610AA7"/>
    <w:rsid w:val="00611022"/>
    <w:rsid w:val="0061257B"/>
    <w:rsid w:val="006129F5"/>
    <w:rsid w:val="006139A2"/>
    <w:rsid w:val="00614029"/>
    <w:rsid w:val="006141F2"/>
    <w:rsid w:val="006149D7"/>
    <w:rsid w:val="00615061"/>
    <w:rsid w:val="0061507B"/>
    <w:rsid w:val="00615853"/>
    <w:rsid w:val="006203C0"/>
    <w:rsid w:val="006212C2"/>
    <w:rsid w:val="00622E77"/>
    <w:rsid w:val="006231F5"/>
    <w:rsid w:val="00623430"/>
    <w:rsid w:val="00623592"/>
    <w:rsid w:val="00623DCA"/>
    <w:rsid w:val="00624015"/>
    <w:rsid w:val="00626025"/>
    <w:rsid w:val="006261DF"/>
    <w:rsid w:val="0063167E"/>
    <w:rsid w:val="00631859"/>
    <w:rsid w:val="00631AD5"/>
    <w:rsid w:val="006330AA"/>
    <w:rsid w:val="0063327E"/>
    <w:rsid w:val="0063375C"/>
    <w:rsid w:val="00633E32"/>
    <w:rsid w:val="00636592"/>
    <w:rsid w:val="00636FA8"/>
    <w:rsid w:val="0063731B"/>
    <w:rsid w:val="00640FE8"/>
    <w:rsid w:val="0064173E"/>
    <w:rsid w:val="00641F3F"/>
    <w:rsid w:val="006420D6"/>
    <w:rsid w:val="00643454"/>
    <w:rsid w:val="0064436D"/>
    <w:rsid w:val="0064453D"/>
    <w:rsid w:val="00644719"/>
    <w:rsid w:val="006449AE"/>
    <w:rsid w:val="00647DFD"/>
    <w:rsid w:val="00650ABA"/>
    <w:rsid w:val="006511C8"/>
    <w:rsid w:val="00651498"/>
    <w:rsid w:val="00653630"/>
    <w:rsid w:val="00654053"/>
    <w:rsid w:val="00655999"/>
    <w:rsid w:val="00656094"/>
    <w:rsid w:val="00656792"/>
    <w:rsid w:val="0065681A"/>
    <w:rsid w:val="0065695A"/>
    <w:rsid w:val="0065697D"/>
    <w:rsid w:val="00656B77"/>
    <w:rsid w:val="0066009E"/>
    <w:rsid w:val="0066049B"/>
    <w:rsid w:val="0066073D"/>
    <w:rsid w:val="0066106A"/>
    <w:rsid w:val="0066144E"/>
    <w:rsid w:val="006622AB"/>
    <w:rsid w:val="00662F6D"/>
    <w:rsid w:val="0066332D"/>
    <w:rsid w:val="00664E83"/>
    <w:rsid w:val="00664E8C"/>
    <w:rsid w:val="00665951"/>
    <w:rsid w:val="00665A6D"/>
    <w:rsid w:val="00665B3D"/>
    <w:rsid w:val="00665D99"/>
    <w:rsid w:val="00667F09"/>
    <w:rsid w:val="00670303"/>
    <w:rsid w:val="006709A5"/>
    <w:rsid w:val="00670BB9"/>
    <w:rsid w:val="00670C11"/>
    <w:rsid w:val="0067243F"/>
    <w:rsid w:val="00673576"/>
    <w:rsid w:val="006739E2"/>
    <w:rsid w:val="006746BC"/>
    <w:rsid w:val="00674D21"/>
    <w:rsid w:val="0067587B"/>
    <w:rsid w:val="00675FFD"/>
    <w:rsid w:val="006761DF"/>
    <w:rsid w:val="00676619"/>
    <w:rsid w:val="00676E27"/>
    <w:rsid w:val="00676F2F"/>
    <w:rsid w:val="00677615"/>
    <w:rsid w:val="00680375"/>
    <w:rsid w:val="00681242"/>
    <w:rsid w:val="00682262"/>
    <w:rsid w:val="0068271B"/>
    <w:rsid w:val="006837C7"/>
    <w:rsid w:val="00686D12"/>
    <w:rsid w:val="00686D86"/>
    <w:rsid w:val="0068700E"/>
    <w:rsid w:val="00690011"/>
    <w:rsid w:val="006912DF"/>
    <w:rsid w:val="00691927"/>
    <w:rsid w:val="00693507"/>
    <w:rsid w:val="00694064"/>
    <w:rsid w:val="00694EA0"/>
    <w:rsid w:val="006951DC"/>
    <w:rsid w:val="00696595"/>
    <w:rsid w:val="00696C01"/>
    <w:rsid w:val="00697440"/>
    <w:rsid w:val="0069750E"/>
    <w:rsid w:val="00697E68"/>
    <w:rsid w:val="006A013C"/>
    <w:rsid w:val="006A1093"/>
    <w:rsid w:val="006A1C1E"/>
    <w:rsid w:val="006A234C"/>
    <w:rsid w:val="006A2E61"/>
    <w:rsid w:val="006A327D"/>
    <w:rsid w:val="006A391D"/>
    <w:rsid w:val="006A3C0E"/>
    <w:rsid w:val="006A56C0"/>
    <w:rsid w:val="006A5C97"/>
    <w:rsid w:val="006A61C6"/>
    <w:rsid w:val="006A6352"/>
    <w:rsid w:val="006A6F98"/>
    <w:rsid w:val="006A78D3"/>
    <w:rsid w:val="006B03E1"/>
    <w:rsid w:val="006B106F"/>
    <w:rsid w:val="006B12F0"/>
    <w:rsid w:val="006B3AEA"/>
    <w:rsid w:val="006B3DC1"/>
    <w:rsid w:val="006B554F"/>
    <w:rsid w:val="006B5BA0"/>
    <w:rsid w:val="006B5F64"/>
    <w:rsid w:val="006B7675"/>
    <w:rsid w:val="006C1AE4"/>
    <w:rsid w:val="006C1C53"/>
    <w:rsid w:val="006C2158"/>
    <w:rsid w:val="006C2BD0"/>
    <w:rsid w:val="006C2DFD"/>
    <w:rsid w:val="006C3D30"/>
    <w:rsid w:val="006C3E80"/>
    <w:rsid w:val="006C4041"/>
    <w:rsid w:val="006C76CC"/>
    <w:rsid w:val="006C78E1"/>
    <w:rsid w:val="006D0C9A"/>
    <w:rsid w:val="006D11B4"/>
    <w:rsid w:val="006D4628"/>
    <w:rsid w:val="006D5B03"/>
    <w:rsid w:val="006D6280"/>
    <w:rsid w:val="006D723A"/>
    <w:rsid w:val="006E0FD4"/>
    <w:rsid w:val="006E1838"/>
    <w:rsid w:val="006E1CA8"/>
    <w:rsid w:val="006E2093"/>
    <w:rsid w:val="006E2D91"/>
    <w:rsid w:val="006E2DF7"/>
    <w:rsid w:val="006E31AA"/>
    <w:rsid w:val="006E6A40"/>
    <w:rsid w:val="006E6DA6"/>
    <w:rsid w:val="006E6EF9"/>
    <w:rsid w:val="006E748E"/>
    <w:rsid w:val="006F00B8"/>
    <w:rsid w:val="006F1B58"/>
    <w:rsid w:val="006F1D55"/>
    <w:rsid w:val="006F291A"/>
    <w:rsid w:val="006F3FCE"/>
    <w:rsid w:val="006F6832"/>
    <w:rsid w:val="006F73EF"/>
    <w:rsid w:val="00701A5C"/>
    <w:rsid w:val="00702C0A"/>
    <w:rsid w:val="0070394F"/>
    <w:rsid w:val="00704992"/>
    <w:rsid w:val="00705CA3"/>
    <w:rsid w:val="00705D3C"/>
    <w:rsid w:val="0070701F"/>
    <w:rsid w:val="00707579"/>
    <w:rsid w:val="00711A21"/>
    <w:rsid w:val="00713D4F"/>
    <w:rsid w:val="007140E2"/>
    <w:rsid w:val="007140EE"/>
    <w:rsid w:val="00714868"/>
    <w:rsid w:val="00716F53"/>
    <w:rsid w:val="00721770"/>
    <w:rsid w:val="00723B7B"/>
    <w:rsid w:val="00724266"/>
    <w:rsid w:val="0072448E"/>
    <w:rsid w:val="0072555C"/>
    <w:rsid w:val="00725C80"/>
    <w:rsid w:val="00726981"/>
    <w:rsid w:val="00727C47"/>
    <w:rsid w:val="0073079C"/>
    <w:rsid w:val="007309BA"/>
    <w:rsid w:val="00730A99"/>
    <w:rsid w:val="0073111F"/>
    <w:rsid w:val="00732EB8"/>
    <w:rsid w:val="00732F09"/>
    <w:rsid w:val="00733C84"/>
    <w:rsid w:val="00733F07"/>
    <w:rsid w:val="00734207"/>
    <w:rsid w:val="00734999"/>
    <w:rsid w:val="00740339"/>
    <w:rsid w:val="00740DB7"/>
    <w:rsid w:val="00740DC1"/>
    <w:rsid w:val="007413F9"/>
    <w:rsid w:val="0074176B"/>
    <w:rsid w:val="007419FC"/>
    <w:rsid w:val="007430C9"/>
    <w:rsid w:val="00743809"/>
    <w:rsid w:val="00743BE4"/>
    <w:rsid w:val="00745193"/>
    <w:rsid w:val="00745325"/>
    <w:rsid w:val="00745625"/>
    <w:rsid w:val="00746002"/>
    <w:rsid w:val="0074631A"/>
    <w:rsid w:val="00746379"/>
    <w:rsid w:val="0074765B"/>
    <w:rsid w:val="00747D37"/>
    <w:rsid w:val="00750295"/>
    <w:rsid w:val="00750824"/>
    <w:rsid w:val="00751400"/>
    <w:rsid w:val="00751BEA"/>
    <w:rsid w:val="00753167"/>
    <w:rsid w:val="007532D7"/>
    <w:rsid w:val="0075375E"/>
    <w:rsid w:val="007544E0"/>
    <w:rsid w:val="00755634"/>
    <w:rsid w:val="0075577F"/>
    <w:rsid w:val="0075619D"/>
    <w:rsid w:val="007566CF"/>
    <w:rsid w:val="0075731F"/>
    <w:rsid w:val="00757945"/>
    <w:rsid w:val="00760C22"/>
    <w:rsid w:val="00761C8E"/>
    <w:rsid w:val="00762545"/>
    <w:rsid w:val="00762E40"/>
    <w:rsid w:val="00762EC3"/>
    <w:rsid w:val="007632C3"/>
    <w:rsid w:val="00764371"/>
    <w:rsid w:val="00764E47"/>
    <w:rsid w:val="00764F31"/>
    <w:rsid w:val="0076515E"/>
    <w:rsid w:val="0076570F"/>
    <w:rsid w:val="00766751"/>
    <w:rsid w:val="00767CCC"/>
    <w:rsid w:val="00767DDD"/>
    <w:rsid w:val="00770219"/>
    <w:rsid w:val="007709A2"/>
    <w:rsid w:val="007724EE"/>
    <w:rsid w:val="007727EE"/>
    <w:rsid w:val="00773427"/>
    <w:rsid w:val="0077386C"/>
    <w:rsid w:val="00773BED"/>
    <w:rsid w:val="0077476F"/>
    <w:rsid w:val="0077506F"/>
    <w:rsid w:val="00775A68"/>
    <w:rsid w:val="007772EC"/>
    <w:rsid w:val="007806BF"/>
    <w:rsid w:val="007808F0"/>
    <w:rsid w:val="00780B2C"/>
    <w:rsid w:val="00781DD0"/>
    <w:rsid w:val="00782BB0"/>
    <w:rsid w:val="00782FBA"/>
    <w:rsid w:val="007831B1"/>
    <w:rsid w:val="007837D9"/>
    <w:rsid w:val="007848DE"/>
    <w:rsid w:val="00785575"/>
    <w:rsid w:val="00786907"/>
    <w:rsid w:val="00786F99"/>
    <w:rsid w:val="007871D8"/>
    <w:rsid w:val="007879B4"/>
    <w:rsid w:val="00787C3B"/>
    <w:rsid w:val="00790266"/>
    <w:rsid w:val="0079101A"/>
    <w:rsid w:val="0079165D"/>
    <w:rsid w:val="00791E01"/>
    <w:rsid w:val="00792575"/>
    <w:rsid w:val="0079268B"/>
    <w:rsid w:val="00792D2D"/>
    <w:rsid w:val="00793E26"/>
    <w:rsid w:val="00795CC6"/>
    <w:rsid w:val="007965AC"/>
    <w:rsid w:val="007A0A91"/>
    <w:rsid w:val="007A14A9"/>
    <w:rsid w:val="007A1E2D"/>
    <w:rsid w:val="007A262B"/>
    <w:rsid w:val="007A45EC"/>
    <w:rsid w:val="007A5BEF"/>
    <w:rsid w:val="007A6DBE"/>
    <w:rsid w:val="007A6E29"/>
    <w:rsid w:val="007A72D0"/>
    <w:rsid w:val="007A7341"/>
    <w:rsid w:val="007B00D6"/>
    <w:rsid w:val="007B0814"/>
    <w:rsid w:val="007B1435"/>
    <w:rsid w:val="007B1460"/>
    <w:rsid w:val="007B1AC0"/>
    <w:rsid w:val="007B2AA8"/>
    <w:rsid w:val="007B356C"/>
    <w:rsid w:val="007B3697"/>
    <w:rsid w:val="007B3D4D"/>
    <w:rsid w:val="007B3F3A"/>
    <w:rsid w:val="007B44D6"/>
    <w:rsid w:val="007B47AD"/>
    <w:rsid w:val="007B4B8A"/>
    <w:rsid w:val="007B4D4D"/>
    <w:rsid w:val="007B5A98"/>
    <w:rsid w:val="007B69C5"/>
    <w:rsid w:val="007B6DEF"/>
    <w:rsid w:val="007B719C"/>
    <w:rsid w:val="007B775C"/>
    <w:rsid w:val="007B7DDD"/>
    <w:rsid w:val="007C0B1B"/>
    <w:rsid w:val="007C1AD6"/>
    <w:rsid w:val="007C2625"/>
    <w:rsid w:val="007C31CD"/>
    <w:rsid w:val="007C36C0"/>
    <w:rsid w:val="007C3866"/>
    <w:rsid w:val="007C4020"/>
    <w:rsid w:val="007C53BA"/>
    <w:rsid w:val="007C6A62"/>
    <w:rsid w:val="007C765D"/>
    <w:rsid w:val="007C7732"/>
    <w:rsid w:val="007D0BA5"/>
    <w:rsid w:val="007D141D"/>
    <w:rsid w:val="007D242B"/>
    <w:rsid w:val="007D26FE"/>
    <w:rsid w:val="007D2A58"/>
    <w:rsid w:val="007D30FB"/>
    <w:rsid w:val="007D3300"/>
    <w:rsid w:val="007D3A44"/>
    <w:rsid w:val="007D427B"/>
    <w:rsid w:val="007D473E"/>
    <w:rsid w:val="007D4A7E"/>
    <w:rsid w:val="007D6972"/>
    <w:rsid w:val="007D6CAE"/>
    <w:rsid w:val="007D7011"/>
    <w:rsid w:val="007D74DE"/>
    <w:rsid w:val="007E073B"/>
    <w:rsid w:val="007E214E"/>
    <w:rsid w:val="007E22A6"/>
    <w:rsid w:val="007E2681"/>
    <w:rsid w:val="007E3BCB"/>
    <w:rsid w:val="007E3D0A"/>
    <w:rsid w:val="007E4440"/>
    <w:rsid w:val="007E48F8"/>
    <w:rsid w:val="007E4F00"/>
    <w:rsid w:val="007E4F95"/>
    <w:rsid w:val="007E540B"/>
    <w:rsid w:val="007E5F04"/>
    <w:rsid w:val="007E6E78"/>
    <w:rsid w:val="007E7B2E"/>
    <w:rsid w:val="007F242C"/>
    <w:rsid w:val="007F24D3"/>
    <w:rsid w:val="007F2FC3"/>
    <w:rsid w:val="007F2FE0"/>
    <w:rsid w:val="007F42EB"/>
    <w:rsid w:val="007F4CE5"/>
    <w:rsid w:val="007F539F"/>
    <w:rsid w:val="007F6122"/>
    <w:rsid w:val="007F76F3"/>
    <w:rsid w:val="00800005"/>
    <w:rsid w:val="008017D8"/>
    <w:rsid w:val="00801C6E"/>
    <w:rsid w:val="008034B4"/>
    <w:rsid w:val="0080369D"/>
    <w:rsid w:val="00803E08"/>
    <w:rsid w:val="0080422A"/>
    <w:rsid w:val="00804E39"/>
    <w:rsid w:val="0080534C"/>
    <w:rsid w:val="00806444"/>
    <w:rsid w:val="00806518"/>
    <w:rsid w:val="00807112"/>
    <w:rsid w:val="00807444"/>
    <w:rsid w:val="008076C6"/>
    <w:rsid w:val="008078F6"/>
    <w:rsid w:val="008102EF"/>
    <w:rsid w:val="00812F74"/>
    <w:rsid w:val="00812F79"/>
    <w:rsid w:val="008146F2"/>
    <w:rsid w:val="00814A16"/>
    <w:rsid w:val="00815C81"/>
    <w:rsid w:val="00815FA4"/>
    <w:rsid w:val="008161F2"/>
    <w:rsid w:val="0081681C"/>
    <w:rsid w:val="00816A38"/>
    <w:rsid w:val="00816D85"/>
    <w:rsid w:val="00817A5E"/>
    <w:rsid w:val="00817A6D"/>
    <w:rsid w:val="008209B1"/>
    <w:rsid w:val="008209EA"/>
    <w:rsid w:val="00821DDB"/>
    <w:rsid w:val="00822666"/>
    <w:rsid w:val="008229E6"/>
    <w:rsid w:val="008230A2"/>
    <w:rsid w:val="00823B2C"/>
    <w:rsid w:val="00824043"/>
    <w:rsid w:val="0082463E"/>
    <w:rsid w:val="00824913"/>
    <w:rsid w:val="00824FF0"/>
    <w:rsid w:val="00827DEB"/>
    <w:rsid w:val="008321DA"/>
    <w:rsid w:val="008324EE"/>
    <w:rsid w:val="00832654"/>
    <w:rsid w:val="0083267F"/>
    <w:rsid w:val="008334F6"/>
    <w:rsid w:val="00833FAE"/>
    <w:rsid w:val="008346CE"/>
    <w:rsid w:val="00835B66"/>
    <w:rsid w:val="00835FBE"/>
    <w:rsid w:val="00835FCC"/>
    <w:rsid w:val="0083674A"/>
    <w:rsid w:val="00836AEC"/>
    <w:rsid w:val="00837A75"/>
    <w:rsid w:val="00837BC7"/>
    <w:rsid w:val="0084179B"/>
    <w:rsid w:val="00842A44"/>
    <w:rsid w:val="00842CFD"/>
    <w:rsid w:val="00843B1F"/>
    <w:rsid w:val="00845091"/>
    <w:rsid w:val="008458D0"/>
    <w:rsid w:val="008461A3"/>
    <w:rsid w:val="008465A1"/>
    <w:rsid w:val="00846D79"/>
    <w:rsid w:val="00846DE5"/>
    <w:rsid w:val="00851386"/>
    <w:rsid w:val="00851C0C"/>
    <w:rsid w:val="00852C2C"/>
    <w:rsid w:val="00853CB7"/>
    <w:rsid w:val="0085531B"/>
    <w:rsid w:val="00856EDE"/>
    <w:rsid w:val="008570FB"/>
    <w:rsid w:val="00861E43"/>
    <w:rsid w:val="00862079"/>
    <w:rsid w:val="0086268A"/>
    <w:rsid w:val="00862921"/>
    <w:rsid w:val="00862D1A"/>
    <w:rsid w:val="00862EBD"/>
    <w:rsid w:val="008667A6"/>
    <w:rsid w:val="00866F28"/>
    <w:rsid w:val="008701D3"/>
    <w:rsid w:val="00870DC5"/>
    <w:rsid w:val="0087133E"/>
    <w:rsid w:val="00875472"/>
    <w:rsid w:val="008768E9"/>
    <w:rsid w:val="008777EE"/>
    <w:rsid w:val="00877807"/>
    <w:rsid w:val="00883D7A"/>
    <w:rsid w:val="008843FE"/>
    <w:rsid w:val="00886377"/>
    <w:rsid w:val="00886D3E"/>
    <w:rsid w:val="00887EC8"/>
    <w:rsid w:val="0089211A"/>
    <w:rsid w:val="00892D28"/>
    <w:rsid w:val="00892D4C"/>
    <w:rsid w:val="008936F7"/>
    <w:rsid w:val="008977DB"/>
    <w:rsid w:val="008A12CE"/>
    <w:rsid w:val="008A1C43"/>
    <w:rsid w:val="008A1DE5"/>
    <w:rsid w:val="008A21B1"/>
    <w:rsid w:val="008A374D"/>
    <w:rsid w:val="008A41CF"/>
    <w:rsid w:val="008A4EFF"/>
    <w:rsid w:val="008A6196"/>
    <w:rsid w:val="008A7739"/>
    <w:rsid w:val="008A7FD5"/>
    <w:rsid w:val="008B1471"/>
    <w:rsid w:val="008B1DF8"/>
    <w:rsid w:val="008B2AE2"/>
    <w:rsid w:val="008B3162"/>
    <w:rsid w:val="008B507E"/>
    <w:rsid w:val="008B52F8"/>
    <w:rsid w:val="008B6C96"/>
    <w:rsid w:val="008B7743"/>
    <w:rsid w:val="008B7EA8"/>
    <w:rsid w:val="008C0055"/>
    <w:rsid w:val="008C1650"/>
    <w:rsid w:val="008C1C24"/>
    <w:rsid w:val="008C2A0D"/>
    <w:rsid w:val="008C3731"/>
    <w:rsid w:val="008C41E1"/>
    <w:rsid w:val="008C5A24"/>
    <w:rsid w:val="008C6209"/>
    <w:rsid w:val="008C6963"/>
    <w:rsid w:val="008C7009"/>
    <w:rsid w:val="008C724A"/>
    <w:rsid w:val="008C7678"/>
    <w:rsid w:val="008D1178"/>
    <w:rsid w:val="008D136F"/>
    <w:rsid w:val="008D1711"/>
    <w:rsid w:val="008D1B1E"/>
    <w:rsid w:val="008D2216"/>
    <w:rsid w:val="008D2F47"/>
    <w:rsid w:val="008D3265"/>
    <w:rsid w:val="008D3522"/>
    <w:rsid w:val="008D3A4E"/>
    <w:rsid w:val="008D4376"/>
    <w:rsid w:val="008D4BAC"/>
    <w:rsid w:val="008D4DF9"/>
    <w:rsid w:val="008D4E3D"/>
    <w:rsid w:val="008D6ABE"/>
    <w:rsid w:val="008E01E6"/>
    <w:rsid w:val="008E0F41"/>
    <w:rsid w:val="008E14B1"/>
    <w:rsid w:val="008E14C9"/>
    <w:rsid w:val="008E3788"/>
    <w:rsid w:val="008E3D78"/>
    <w:rsid w:val="008E4394"/>
    <w:rsid w:val="008E45EB"/>
    <w:rsid w:val="008E6386"/>
    <w:rsid w:val="008E63D6"/>
    <w:rsid w:val="008F002B"/>
    <w:rsid w:val="008F144F"/>
    <w:rsid w:val="008F2531"/>
    <w:rsid w:val="008F25F0"/>
    <w:rsid w:val="008F34F5"/>
    <w:rsid w:val="008F39CA"/>
    <w:rsid w:val="008F4189"/>
    <w:rsid w:val="008F4F50"/>
    <w:rsid w:val="008F4FC5"/>
    <w:rsid w:val="008F50A8"/>
    <w:rsid w:val="008F57CA"/>
    <w:rsid w:val="008F6935"/>
    <w:rsid w:val="008F79BC"/>
    <w:rsid w:val="00900269"/>
    <w:rsid w:val="00900689"/>
    <w:rsid w:val="009045D8"/>
    <w:rsid w:val="00906F0A"/>
    <w:rsid w:val="00911CF3"/>
    <w:rsid w:val="009120A2"/>
    <w:rsid w:val="009127A2"/>
    <w:rsid w:val="009132D3"/>
    <w:rsid w:val="009149BA"/>
    <w:rsid w:val="00915C07"/>
    <w:rsid w:val="00915E94"/>
    <w:rsid w:val="00916E7F"/>
    <w:rsid w:val="009206DD"/>
    <w:rsid w:val="0092090F"/>
    <w:rsid w:val="00920B18"/>
    <w:rsid w:val="00920F2E"/>
    <w:rsid w:val="00921066"/>
    <w:rsid w:val="009215C4"/>
    <w:rsid w:val="00921BFB"/>
    <w:rsid w:val="00922511"/>
    <w:rsid w:val="00923FF5"/>
    <w:rsid w:val="009241A1"/>
    <w:rsid w:val="0092546C"/>
    <w:rsid w:val="0092640F"/>
    <w:rsid w:val="00926884"/>
    <w:rsid w:val="009269AC"/>
    <w:rsid w:val="00927443"/>
    <w:rsid w:val="0092764E"/>
    <w:rsid w:val="009277C9"/>
    <w:rsid w:val="009303B5"/>
    <w:rsid w:val="00933035"/>
    <w:rsid w:val="00934A74"/>
    <w:rsid w:val="009364E9"/>
    <w:rsid w:val="009366F9"/>
    <w:rsid w:val="00936EF5"/>
    <w:rsid w:val="009370C8"/>
    <w:rsid w:val="009374BB"/>
    <w:rsid w:val="00937527"/>
    <w:rsid w:val="009403CB"/>
    <w:rsid w:val="00941843"/>
    <w:rsid w:val="0094185A"/>
    <w:rsid w:val="009433B6"/>
    <w:rsid w:val="00943E56"/>
    <w:rsid w:val="009441A3"/>
    <w:rsid w:val="009443D6"/>
    <w:rsid w:val="00944C47"/>
    <w:rsid w:val="00944F47"/>
    <w:rsid w:val="0094559A"/>
    <w:rsid w:val="009455B8"/>
    <w:rsid w:val="00945B01"/>
    <w:rsid w:val="00945D2C"/>
    <w:rsid w:val="00945E8E"/>
    <w:rsid w:val="00945F9D"/>
    <w:rsid w:val="009462A1"/>
    <w:rsid w:val="00950BFE"/>
    <w:rsid w:val="00950F5D"/>
    <w:rsid w:val="009510B5"/>
    <w:rsid w:val="009511EB"/>
    <w:rsid w:val="0095139A"/>
    <w:rsid w:val="009522FF"/>
    <w:rsid w:val="00952C3F"/>
    <w:rsid w:val="0095512F"/>
    <w:rsid w:val="009563BE"/>
    <w:rsid w:val="00961907"/>
    <w:rsid w:val="00963A9F"/>
    <w:rsid w:val="0096410F"/>
    <w:rsid w:val="009643F3"/>
    <w:rsid w:val="00965489"/>
    <w:rsid w:val="009658CD"/>
    <w:rsid w:val="00966E34"/>
    <w:rsid w:val="00967611"/>
    <w:rsid w:val="00967958"/>
    <w:rsid w:val="009704AB"/>
    <w:rsid w:val="00970A66"/>
    <w:rsid w:val="00971018"/>
    <w:rsid w:val="00972636"/>
    <w:rsid w:val="00972D89"/>
    <w:rsid w:val="00973726"/>
    <w:rsid w:val="009738F8"/>
    <w:rsid w:val="0097444A"/>
    <w:rsid w:val="0097516D"/>
    <w:rsid w:val="009760A9"/>
    <w:rsid w:val="00977DFE"/>
    <w:rsid w:val="009813DE"/>
    <w:rsid w:val="009813F3"/>
    <w:rsid w:val="0098337A"/>
    <w:rsid w:val="00983EBA"/>
    <w:rsid w:val="00983F87"/>
    <w:rsid w:val="009845A5"/>
    <w:rsid w:val="0098495C"/>
    <w:rsid w:val="009857B4"/>
    <w:rsid w:val="00985B6D"/>
    <w:rsid w:val="0099023C"/>
    <w:rsid w:val="00990722"/>
    <w:rsid w:val="009909D5"/>
    <w:rsid w:val="0099238B"/>
    <w:rsid w:val="00993824"/>
    <w:rsid w:val="00996044"/>
    <w:rsid w:val="00996C80"/>
    <w:rsid w:val="009976F6"/>
    <w:rsid w:val="00997D82"/>
    <w:rsid w:val="00997FDB"/>
    <w:rsid w:val="009A0397"/>
    <w:rsid w:val="009A051F"/>
    <w:rsid w:val="009A05F8"/>
    <w:rsid w:val="009A18D3"/>
    <w:rsid w:val="009A1ABE"/>
    <w:rsid w:val="009A1ED0"/>
    <w:rsid w:val="009A243C"/>
    <w:rsid w:val="009A2937"/>
    <w:rsid w:val="009A2A45"/>
    <w:rsid w:val="009A380C"/>
    <w:rsid w:val="009A42D3"/>
    <w:rsid w:val="009A4BC9"/>
    <w:rsid w:val="009A5789"/>
    <w:rsid w:val="009B0496"/>
    <w:rsid w:val="009B30CE"/>
    <w:rsid w:val="009B3620"/>
    <w:rsid w:val="009B4095"/>
    <w:rsid w:val="009B47AD"/>
    <w:rsid w:val="009B4A5A"/>
    <w:rsid w:val="009B5AC4"/>
    <w:rsid w:val="009B65C1"/>
    <w:rsid w:val="009B6E12"/>
    <w:rsid w:val="009B7860"/>
    <w:rsid w:val="009C325F"/>
    <w:rsid w:val="009C3FE6"/>
    <w:rsid w:val="009C44B0"/>
    <w:rsid w:val="009C54F7"/>
    <w:rsid w:val="009C6E7F"/>
    <w:rsid w:val="009D0230"/>
    <w:rsid w:val="009D08BA"/>
    <w:rsid w:val="009D0E31"/>
    <w:rsid w:val="009D1107"/>
    <w:rsid w:val="009D157A"/>
    <w:rsid w:val="009D1AB2"/>
    <w:rsid w:val="009D28F5"/>
    <w:rsid w:val="009D309F"/>
    <w:rsid w:val="009D3B51"/>
    <w:rsid w:val="009D448E"/>
    <w:rsid w:val="009D4812"/>
    <w:rsid w:val="009D53DE"/>
    <w:rsid w:val="009D5F00"/>
    <w:rsid w:val="009D5F3C"/>
    <w:rsid w:val="009D6526"/>
    <w:rsid w:val="009D66D0"/>
    <w:rsid w:val="009E0ACF"/>
    <w:rsid w:val="009E156E"/>
    <w:rsid w:val="009E170D"/>
    <w:rsid w:val="009E27B4"/>
    <w:rsid w:val="009E311A"/>
    <w:rsid w:val="009E33A5"/>
    <w:rsid w:val="009E4032"/>
    <w:rsid w:val="009E576C"/>
    <w:rsid w:val="009E5C72"/>
    <w:rsid w:val="009E5DBF"/>
    <w:rsid w:val="009E6C5A"/>
    <w:rsid w:val="009E7A12"/>
    <w:rsid w:val="009F0AF4"/>
    <w:rsid w:val="009F104F"/>
    <w:rsid w:val="009F151B"/>
    <w:rsid w:val="009F1E07"/>
    <w:rsid w:val="009F35DF"/>
    <w:rsid w:val="009F5690"/>
    <w:rsid w:val="009F5D54"/>
    <w:rsid w:val="009F6517"/>
    <w:rsid w:val="009F67BE"/>
    <w:rsid w:val="009F76AF"/>
    <w:rsid w:val="009F7980"/>
    <w:rsid w:val="00A0032D"/>
    <w:rsid w:val="00A00ACF"/>
    <w:rsid w:val="00A00D9B"/>
    <w:rsid w:val="00A0200B"/>
    <w:rsid w:val="00A02D76"/>
    <w:rsid w:val="00A03D27"/>
    <w:rsid w:val="00A03EC2"/>
    <w:rsid w:val="00A04D61"/>
    <w:rsid w:val="00A054A7"/>
    <w:rsid w:val="00A05F8C"/>
    <w:rsid w:val="00A105B5"/>
    <w:rsid w:val="00A116E8"/>
    <w:rsid w:val="00A12633"/>
    <w:rsid w:val="00A14AAF"/>
    <w:rsid w:val="00A151EB"/>
    <w:rsid w:val="00A156C5"/>
    <w:rsid w:val="00A158D8"/>
    <w:rsid w:val="00A22124"/>
    <w:rsid w:val="00A22554"/>
    <w:rsid w:val="00A225A8"/>
    <w:rsid w:val="00A227D5"/>
    <w:rsid w:val="00A2298B"/>
    <w:rsid w:val="00A22C35"/>
    <w:rsid w:val="00A22E2A"/>
    <w:rsid w:val="00A239FA"/>
    <w:rsid w:val="00A2420F"/>
    <w:rsid w:val="00A26877"/>
    <w:rsid w:val="00A26A20"/>
    <w:rsid w:val="00A305AB"/>
    <w:rsid w:val="00A34146"/>
    <w:rsid w:val="00A34FE9"/>
    <w:rsid w:val="00A3515B"/>
    <w:rsid w:val="00A40383"/>
    <w:rsid w:val="00A4053F"/>
    <w:rsid w:val="00A41D31"/>
    <w:rsid w:val="00A42526"/>
    <w:rsid w:val="00A4275C"/>
    <w:rsid w:val="00A42FE4"/>
    <w:rsid w:val="00A43BB4"/>
    <w:rsid w:val="00A44B7C"/>
    <w:rsid w:val="00A4619F"/>
    <w:rsid w:val="00A474BA"/>
    <w:rsid w:val="00A47FA3"/>
    <w:rsid w:val="00A5019B"/>
    <w:rsid w:val="00A501D4"/>
    <w:rsid w:val="00A50F67"/>
    <w:rsid w:val="00A511D4"/>
    <w:rsid w:val="00A515CE"/>
    <w:rsid w:val="00A52443"/>
    <w:rsid w:val="00A52B3D"/>
    <w:rsid w:val="00A533A9"/>
    <w:rsid w:val="00A53E59"/>
    <w:rsid w:val="00A55151"/>
    <w:rsid w:val="00A551E5"/>
    <w:rsid w:val="00A5546D"/>
    <w:rsid w:val="00A55C92"/>
    <w:rsid w:val="00A56A4E"/>
    <w:rsid w:val="00A61C3E"/>
    <w:rsid w:val="00A61F3D"/>
    <w:rsid w:val="00A622B9"/>
    <w:rsid w:val="00A62563"/>
    <w:rsid w:val="00A62D4B"/>
    <w:rsid w:val="00A63B6A"/>
    <w:rsid w:val="00A642BF"/>
    <w:rsid w:val="00A643B4"/>
    <w:rsid w:val="00A65824"/>
    <w:rsid w:val="00A709F4"/>
    <w:rsid w:val="00A71559"/>
    <w:rsid w:val="00A72B2C"/>
    <w:rsid w:val="00A72EB7"/>
    <w:rsid w:val="00A72FD1"/>
    <w:rsid w:val="00A73EBF"/>
    <w:rsid w:val="00A745EB"/>
    <w:rsid w:val="00A75089"/>
    <w:rsid w:val="00A75B5D"/>
    <w:rsid w:val="00A76011"/>
    <w:rsid w:val="00A7619E"/>
    <w:rsid w:val="00A77159"/>
    <w:rsid w:val="00A80C3F"/>
    <w:rsid w:val="00A8218D"/>
    <w:rsid w:val="00A82AFD"/>
    <w:rsid w:val="00A8306C"/>
    <w:rsid w:val="00A83622"/>
    <w:rsid w:val="00A83D1D"/>
    <w:rsid w:val="00A83E5A"/>
    <w:rsid w:val="00A84795"/>
    <w:rsid w:val="00A84C3C"/>
    <w:rsid w:val="00A85552"/>
    <w:rsid w:val="00A85755"/>
    <w:rsid w:val="00A858E7"/>
    <w:rsid w:val="00A85ABC"/>
    <w:rsid w:val="00A85F34"/>
    <w:rsid w:val="00A86869"/>
    <w:rsid w:val="00A876B2"/>
    <w:rsid w:val="00A9013F"/>
    <w:rsid w:val="00A9069C"/>
    <w:rsid w:val="00A926AB"/>
    <w:rsid w:val="00A94A77"/>
    <w:rsid w:val="00A9524C"/>
    <w:rsid w:val="00A95259"/>
    <w:rsid w:val="00A96F66"/>
    <w:rsid w:val="00A971E9"/>
    <w:rsid w:val="00A972EF"/>
    <w:rsid w:val="00AA0EE5"/>
    <w:rsid w:val="00AA1FBE"/>
    <w:rsid w:val="00AA28FF"/>
    <w:rsid w:val="00AA2D16"/>
    <w:rsid w:val="00AA32D7"/>
    <w:rsid w:val="00AA3794"/>
    <w:rsid w:val="00AA52D5"/>
    <w:rsid w:val="00AA60CC"/>
    <w:rsid w:val="00AA63B7"/>
    <w:rsid w:val="00AA73F6"/>
    <w:rsid w:val="00AB0423"/>
    <w:rsid w:val="00AB0B98"/>
    <w:rsid w:val="00AB1750"/>
    <w:rsid w:val="00AB1DC4"/>
    <w:rsid w:val="00AB2225"/>
    <w:rsid w:val="00AB302C"/>
    <w:rsid w:val="00AB39FD"/>
    <w:rsid w:val="00AB3E99"/>
    <w:rsid w:val="00AB4309"/>
    <w:rsid w:val="00AB4590"/>
    <w:rsid w:val="00AB4941"/>
    <w:rsid w:val="00AB7059"/>
    <w:rsid w:val="00AB7F1C"/>
    <w:rsid w:val="00AB7FA2"/>
    <w:rsid w:val="00AC05F5"/>
    <w:rsid w:val="00AC0616"/>
    <w:rsid w:val="00AC1482"/>
    <w:rsid w:val="00AC1E22"/>
    <w:rsid w:val="00AC2BCD"/>
    <w:rsid w:val="00AC3481"/>
    <w:rsid w:val="00AC3841"/>
    <w:rsid w:val="00AC3BF3"/>
    <w:rsid w:val="00AC5C25"/>
    <w:rsid w:val="00AC5C86"/>
    <w:rsid w:val="00AC5CEE"/>
    <w:rsid w:val="00AC669D"/>
    <w:rsid w:val="00AC7CA6"/>
    <w:rsid w:val="00AD1AAE"/>
    <w:rsid w:val="00AD3920"/>
    <w:rsid w:val="00AD3AF3"/>
    <w:rsid w:val="00AD3BE7"/>
    <w:rsid w:val="00AD3FF7"/>
    <w:rsid w:val="00AD54A5"/>
    <w:rsid w:val="00AD55D4"/>
    <w:rsid w:val="00AD57B3"/>
    <w:rsid w:val="00AD69E7"/>
    <w:rsid w:val="00AD6C3C"/>
    <w:rsid w:val="00AD7097"/>
    <w:rsid w:val="00AD70BD"/>
    <w:rsid w:val="00AD7B37"/>
    <w:rsid w:val="00AE1473"/>
    <w:rsid w:val="00AE278E"/>
    <w:rsid w:val="00AE279E"/>
    <w:rsid w:val="00AE36D2"/>
    <w:rsid w:val="00AE48F7"/>
    <w:rsid w:val="00AE4A32"/>
    <w:rsid w:val="00AE58AF"/>
    <w:rsid w:val="00AE7035"/>
    <w:rsid w:val="00AE714F"/>
    <w:rsid w:val="00AF01B7"/>
    <w:rsid w:val="00AF05CE"/>
    <w:rsid w:val="00AF1BC2"/>
    <w:rsid w:val="00AF1D69"/>
    <w:rsid w:val="00AF2720"/>
    <w:rsid w:val="00AF32C8"/>
    <w:rsid w:val="00AF38E3"/>
    <w:rsid w:val="00AF3BB9"/>
    <w:rsid w:val="00AF47FB"/>
    <w:rsid w:val="00AF489E"/>
    <w:rsid w:val="00AF5D17"/>
    <w:rsid w:val="00AF612A"/>
    <w:rsid w:val="00AF72B4"/>
    <w:rsid w:val="00AF7496"/>
    <w:rsid w:val="00AF7FCD"/>
    <w:rsid w:val="00B00158"/>
    <w:rsid w:val="00B0024F"/>
    <w:rsid w:val="00B0163E"/>
    <w:rsid w:val="00B01CB5"/>
    <w:rsid w:val="00B033D4"/>
    <w:rsid w:val="00B045EB"/>
    <w:rsid w:val="00B04E1E"/>
    <w:rsid w:val="00B0508E"/>
    <w:rsid w:val="00B05941"/>
    <w:rsid w:val="00B07388"/>
    <w:rsid w:val="00B10824"/>
    <w:rsid w:val="00B1142D"/>
    <w:rsid w:val="00B11947"/>
    <w:rsid w:val="00B11CBC"/>
    <w:rsid w:val="00B14199"/>
    <w:rsid w:val="00B14AA4"/>
    <w:rsid w:val="00B16031"/>
    <w:rsid w:val="00B20371"/>
    <w:rsid w:val="00B20450"/>
    <w:rsid w:val="00B20C1C"/>
    <w:rsid w:val="00B217F7"/>
    <w:rsid w:val="00B22D7A"/>
    <w:rsid w:val="00B2394F"/>
    <w:rsid w:val="00B251D8"/>
    <w:rsid w:val="00B25BDC"/>
    <w:rsid w:val="00B26466"/>
    <w:rsid w:val="00B27571"/>
    <w:rsid w:val="00B27689"/>
    <w:rsid w:val="00B27F00"/>
    <w:rsid w:val="00B27F8C"/>
    <w:rsid w:val="00B317E2"/>
    <w:rsid w:val="00B31A61"/>
    <w:rsid w:val="00B33DE0"/>
    <w:rsid w:val="00B343ED"/>
    <w:rsid w:val="00B35007"/>
    <w:rsid w:val="00B36933"/>
    <w:rsid w:val="00B40BAD"/>
    <w:rsid w:val="00B41687"/>
    <w:rsid w:val="00B42841"/>
    <w:rsid w:val="00B42CDE"/>
    <w:rsid w:val="00B42DDC"/>
    <w:rsid w:val="00B44963"/>
    <w:rsid w:val="00B44B77"/>
    <w:rsid w:val="00B46EE3"/>
    <w:rsid w:val="00B47D5D"/>
    <w:rsid w:val="00B51AAD"/>
    <w:rsid w:val="00B51E11"/>
    <w:rsid w:val="00B52978"/>
    <w:rsid w:val="00B53051"/>
    <w:rsid w:val="00B535F7"/>
    <w:rsid w:val="00B53F4B"/>
    <w:rsid w:val="00B54609"/>
    <w:rsid w:val="00B5664F"/>
    <w:rsid w:val="00B566E0"/>
    <w:rsid w:val="00B56CC1"/>
    <w:rsid w:val="00B56E69"/>
    <w:rsid w:val="00B57C47"/>
    <w:rsid w:val="00B615F9"/>
    <w:rsid w:val="00B62542"/>
    <w:rsid w:val="00B62D8A"/>
    <w:rsid w:val="00B641DE"/>
    <w:rsid w:val="00B644F3"/>
    <w:rsid w:val="00B651AA"/>
    <w:rsid w:val="00B669EA"/>
    <w:rsid w:val="00B7095B"/>
    <w:rsid w:val="00B7110C"/>
    <w:rsid w:val="00B71CC1"/>
    <w:rsid w:val="00B720B1"/>
    <w:rsid w:val="00B721E6"/>
    <w:rsid w:val="00B73A0C"/>
    <w:rsid w:val="00B7405F"/>
    <w:rsid w:val="00B74B20"/>
    <w:rsid w:val="00B76F64"/>
    <w:rsid w:val="00B77C4B"/>
    <w:rsid w:val="00B77D8F"/>
    <w:rsid w:val="00B82738"/>
    <w:rsid w:val="00B828C8"/>
    <w:rsid w:val="00B82EC9"/>
    <w:rsid w:val="00B84381"/>
    <w:rsid w:val="00B846C7"/>
    <w:rsid w:val="00B860FD"/>
    <w:rsid w:val="00B862D5"/>
    <w:rsid w:val="00B871F5"/>
    <w:rsid w:val="00B8747F"/>
    <w:rsid w:val="00B904AF"/>
    <w:rsid w:val="00B90DC4"/>
    <w:rsid w:val="00B90E12"/>
    <w:rsid w:val="00B92637"/>
    <w:rsid w:val="00B959A0"/>
    <w:rsid w:val="00B96CA7"/>
    <w:rsid w:val="00B96F06"/>
    <w:rsid w:val="00B97107"/>
    <w:rsid w:val="00B97ABC"/>
    <w:rsid w:val="00BA0034"/>
    <w:rsid w:val="00BA2801"/>
    <w:rsid w:val="00BA3AA4"/>
    <w:rsid w:val="00BA41AE"/>
    <w:rsid w:val="00BA5FA4"/>
    <w:rsid w:val="00BA6EB0"/>
    <w:rsid w:val="00BA7085"/>
    <w:rsid w:val="00BB071D"/>
    <w:rsid w:val="00BB3AD8"/>
    <w:rsid w:val="00BB3EB1"/>
    <w:rsid w:val="00BB63E0"/>
    <w:rsid w:val="00BC0D15"/>
    <w:rsid w:val="00BC1CBA"/>
    <w:rsid w:val="00BC1E0A"/>
    <w:rsid w:val="00BC209B"/>
    <w:rsid w:val="00BC27A3"/>
    <w:rsid w:val="00BC292C"/>
    <w:rsid w:val="00BC330B"/>
    <w:rsid w:val="00BC3D68"/>
    <w:rsid w:val="00BC4180"/>
    <w:rsid w:val="00BC420D"/>
    <w:rsid w:val="00BC4386"/>
    <w:rsid w:val="00BC59FD"/>
    <w:rsid w:val="00BC64ED"/>
    <w:rsid w:val="00BC716A"/>
    <w:rsid w:val="00BC7DE9"/>
    <w:rsid w:val="00BD1B2D"/>
    <w:rsid w:val="00BD2E24"/>
    <w:rsid w:val="00BD3086"/>
    <w:rsid w:val="00BD4A32"/>
    <w:rsid w:val="00BD4DF3"/>
    <w:rsid w:val="00BE0F80"/>
    <w:rsid w:val="00BE1A3F"/>
    <w:rsid w:val="00BE4DC7"/>
    <w:rsid w:val="00BE5899"/>
    <w:rsid w:val="00BE5D58"/>
    <w:rsid w:val="00BE61C5"/>
    <w:rsid w:val="00BE62DC"/>
    <w:rsid w:val="00BE6318"/>
    <w:rsid w:val="00BE64F3"/>
    <w:rsid w:val="00BE72FD"/>
    <w:rsid w:val="00BE7900"/>
    <w:rsid w:val="00BF0A7D"/>
    <w:rsid w:val="00BF0D37"/>
    <w:rsid w:val="00BF1B26"/>
    <w:rsid w:val="00BF229F"/>
    <w:rsid w:val="00BF2C4D"/>
    <w:rsid w:val="00BF40D1"/>
    <w:rsid w:val="00BF4990"/>
    <w:rsid w:val="00BF5188"/>
    <w:rsid w:val="00BF5630"/>
    <w:rsid w:val="00BF5A38"/>
    <w:rsid w:val="00BF7C1B"/>
    <w:rsid w:val="00C016D1"/>
    <w:rsid w:val="00C03484"/>
    <w:rsid w:val="00C041E8"/>
    <w:rsid w:val="00C047B2"/>
    <w:rsid w:val="00C0758E"/>
    <w:rsid w:val="00C075D5"/>
    <w:rsid w:val="00C07F52"/>
    <w:rsid w:val="00C1029C"/>
    <w:rsid w:val="00C11B4A"/>
    <w:rsid w:val="00C11E3A"/>
    <w:rsid w:val="00C13633"/>
    <w:rsid w:val="00C1457E"/>
    <w:rsid w:val="00C15266"/>
    <w:rsid w:val="00C15B28"/>
    <w:rsid w:val="00C1682E"/>
    <w:rsid w:val="00C17891"/>
    <w:rsid w:val="00C1799E"/>
    <w:rsid w:val="00C202E4"/>
    <w:rsid w:val="00C215AF"/>
    <w:rsid w:val="00C216F9"/>
    <w:rsid w:val="00C2211B"/>
    <w:rsid w:val="00C2268A"/>
    <w:rsid w:val="00C22F0A"/>
    <w:rsid w:val="00C23FA5"/>
    <w:rsid w:val="00C24CB3"/>
    <w:rsid w:val="00C256CF"/>
    <w:rsid w:val="00C25981"/>
    <w:rsid w:val="00C2611D"/>
    <w:rsid w:val="00C27109"/>
    <w:rsid w:val="00C2713B"/>
    <w:rsid w:val="00C302BE"/>
    <w:rsid w:val="00C312A0"/>
    <w:rsid w:val="00C3144C"/>
    <w:rsid w:val="00C319DC"/>
    <w:rsid w:val="00C3273F"/>
    <w:rsid w:val="00C347EF"/>
    <w:rsid w:val="00C35248"/>
    <w:rsid w:val="00C36468"/>
    <w:rsid w:val="00C3706D"/>
    <w:rsid w:val="00C37158"/>
    <w:rsid w:val="00C37A48"/>
    <w:rsid w:val="00C37D98"/>
    <w:rsid w:val="00C402CF"/>
    <w:rsid w:val="00C419A6"/>
    <w:rsid w:val="00C435C0"/>
    <w:rsid w:val="00C43C04"/>
    <w:rsid w:val="00C44BDC"/>
    <w:rsid w:val="00C45859"/>
    <w:rsid w:val="00C45A67"/>
    <w:rsid w:val="00C45F50"/>
    <w:rsid w:val="00C46508"/>
    <w:rsid w:val="00C478EA"/>
    <w:rsid w:val="00C503F8"/>
    <w:rsid w:val="00C5047C"/>
    <w:rsid w:val="00C50F6D"/>
    <w:rsid w:val="00C51011"/>
    <w:rsid w:val="00C5324A"/>
    <w:rsid w:val="00C53486"/>
    <w:rsid w:val="00C53A1E"/>
    <w:rsid w:val="00C545EE"/>
    <w:rsid w:val="00C564A4"/>
    <w:rsid w:val="00C56F09"/>
    <w:rsid w:val="00C60A03"/>
    <w:rsid w:val="00C617DF"/>
    <w:rsid w:val="00C61CA6"/>
    <w:rsid w:val="00C6278D"/>
    <w:rsid w:val="00C6344F"/>
    <w:rsid w:val="00C638E5"/>
    <w:rsid w:val="00C63EB8"/>
    <w:rsid w:val="00C6534E"/>
    <w:rsid w:val="00C65661"/>
    <w:rsid w:val="00C65A92"/>
    <w:rsid w:val="00C6648F"/>
    <w:rsid w:val="00C67C8D"/>
    <w:rsid w:val="00C67F71"/>
    <w:rsid w:val="00C718A8"/>
    <w:rsid w:val="00C7299C"/>
    <w:rsid w:val="00C72CF8"/>
    <w:rsid w:val="00C72D5E"/>
    <w:rsid w:val="00C74027"/>
    <w:rsid w:val="00C76409"/>
    <w:rsid w:val="00C805ED"/>
    <w:rsid w:val="00C815F1"/>
    <w:rsid w:val="00C81BE7"/>
    <w:rsid w:val="00C81CC6"/>
    <w:rsid w:val="00C81CFD"/>
    <w:rsid w:val="00C8400D"/>
    <w:rsid w:val="00C8632E"/>
    <w:rsid w:val="00C866E7"/>
    <w:rsid w:val="00C90643"/>
    <w:rsid w:val="00C90B5B"/>
    <w:rsid w:val="00C90BF8"/>
    <w:rsid w:val="00C921DC"/>
    <w:rsid w:val="00C94C38"/>
    <w:rsid w:val="00C956D7"/>
    <w:rsid w:val="00C9570C"/>
    <w:rsid w:val="00C9600D"/>
    <w:rsid w:val="00C972A8"/>
    <w:rsid w:val="00C974AE"/>
    <w:rsid w:val="00C977D3"/>
    <w:rsid w:val="00CA0042"/>
    <w:rsid w:val="00CA0D44"/>
    <w:rsid w:val="00CA2043"/>
    <w:rsid w:val="00CA22E7"/>
    <w:rsid w:val="00CA25DE"/>
    <w:rsid w:val="00CA2B8D"/>
    <w:rsid w:val="00CA3202"/>
    <w:rsid w:val="00CA3A40"/>
    <w:rsid w:val="00CA3E7F"/>
    <w:rsid w:val="00CA5E6E"/>
    <w:rsid w:val="00CA5FDE"/>
    <w:rsid w:val="00CA6033"/>
    <w:rsid w:val="00CA67E3"/>
    <w:rsid w:val="00CA6E41"/>
    <w:rsid w:val="00CA7015"/>
    <w:rsid w:val="00CB00E8"/>
    <w:rsid w:val="00CB08A7"/>
    <w:rsid w:val="00CB140C"/>
    <w:rsid w:val="00CB1976"/>
    <w:rsid w:val="00CB19B3"/>
    <w:rsid w:val="00CB2593"/>
    <w:rsid w:val="00CB35F9"/>
    <w:rsid w:val="00CB38F5"/>
    <w:rsid w:val="00CB5019"/>
    <w:rsid w:val="00CB5CF9"/>
    <w:rsid w:val="00CB6981"/>
    <w:rsid w:val="00CB71A1"/>
    <w:rsid w:val="00CC054C"/>
    <w:rsid w:val="00CC0DA6"/>
    <w:rsid w:val="00CC291B"/>
    <w:rsid w:val="00CC3A8D"/>
    <w:rsid w:val="00CC4031"/>
    <w:rsid w:val="00CC42B6"/>
    <w:rsid w:val="00CC5655"/>
    <w:rsid w:val="00CC7394"/>
    <w:rsid w:val="00CD0C3E"/>
    <w:rsid w:val="00CD0FAA"/>
    <w:rsid w:val="00CD224F"/>
    <w:rsid w:val="00CD30EC"/>
    <w:rsid w:val="00CD3276"/>
    <w:rsid w:val="00CD50E5"/>
    <w:rsid w:val="00CD5130"/>
    <w:rsid w:val="00CD7329"/>
    <w:rsid w:val="00CE05EE"/>
    <w:rsid w:val="00CE0DAE"/>
    <w:rsid w:val="00CE1346"/>
    <w:rsid w:val="00CE1C5C"/>
    <w:rsid w:val="00CE491A"/>
    <w:rsid w:val="00CE5C76"/>
    <w:rsid w:val="00CE6F1B"/>
    <w:rsid w:val="00CE6FD1"/>
    <w:rsid w:val="00CE776E"/>
    <w:rsid w:val="00CF1BD6"/>
    <w:rsid w:val="00CF1C8E"/>
    <w:rsid w:val="00CF2849"/>
    <w:rsid w:val="00CF329C"/>
    <w:rsid w:val="00CF37CF"/>
    <w:rsid w:val="00CF3E86"/>
    <w:rsid w:val="00CF43E7"/>
    <w:rsid w:val="00CF4A07"/>
    <w:rsid w:val="00CF4B35"/>
    <w:rsid w:val="00CF502F"/>
    <w:rsid w:val="00CF528C"/>
    <w:rsid w:val="00CF58EC"/>
    <w:rsid w:val="00CF5AC9"/>
    <w:rsid w:val="00CF5CCF"/>
    <w:rsid w:val="00CF72F0"/>
    <w:rsid w:val="00CF7EA0"/>
    <w:rsid w:val="00D005D8"/>
    <w:rsid w:val="00D02288"/>
    <w:rsid w:val="00D025BB"/>
    <w:rsid w:val="00D02611"/>
    <w:rsid w:val="00D02A13"/>
    <w:rsid w:val="00D034A6"/>
    <w:rsid w:val="00D03613"/>
    <w:rsid w:val="00D04423"/>
    <w:rsid w:val="00D058F0"/>
    <w:rsid w:val="00D0657E"/>
    <w:rsid w:val="00D07A25"/>
    <w:rsid w:val="00D10B4A"/>
    <w:rsid w:val="00D110E5"/>
    <w:rsid w:val="00D12A20"/>
    <w:rsid w:val="00D1399A"/>
    <w:rsid w:val="00D13CA9"/>
    <w:rsid w:val="00D14087"/>
    <w:rsid w:val="00D149DF"/>
    <w:rsid w:val="00D15CE9"/>
    <w:rsid w:val="00D15E84"/>
    <w:rsid w:val="00D178BD"/>
    <w:rsid w:val="00D214D4"/>
    <w:rsid w:val="00D21961"/>
    <w:rsid w:val="00D22273"/>
    <w:rsid w:val="00D223E0"/>
    <w:rsid w:val="00D23943"/>
    <w:rsid w:val="00D24107"/>
    <w:rsid w:val="00D261AE"/>
    <w:rsid w:val="00D26960"/>
    <w:rsid w:val="00D26D58"/>
    <w:rsid w:val="00D336B0"/>
    <w:rsid w:val="00D34622"/>
    <w:rsid w:val="00D34D44"/>
    <w:rsid w:val="00D35384"/>
    <w:rsid w:val="00D35EE5"/>
    <w:rsid w:val="00D36560"/>
    <w:rsid w:val="00D36676"/>
    <w:rsid w:val="00D36EAC"/>
    <w:rsid w:val="00D36EDD"/>
    <w:rsid w:val="00D36F96"/>
    <w:rsid w:val="00D405A4"/>
    <w:rsid w:val="00D41927"/>
    <w:rsid w:val="00D42EC3"/>
    <w:rsid w:val="00D4301F"/>
    <w:rsid w:val="00D43651"/>
    <w:rsid w:val="00D46FCB"/>
    <w:rsid w:val="00D50226"/>
    <w:rsid w:val="00D50445"/>
    <w:rsid w:val="00D505FD"/>
    <w:rsid w:val="00D50AAC"/>
    <w:rsid w:val="00D51046"/>
    <w:rsid w:val="00D52797"/>
    <w:rsid w:val="00D52BC9"/>
    <w:rsid w:val="00D5351B"/>
    <w:rsid w:val="00D61D7A"/>
    <w:rsid w:val="00D621C2"/>
    <w:rsid w:val="00D6429E"/>
    <w:rsid w:val="00D65813"/>
    <w:rsid w:val="00D65A3A"/>
    <w:rsid w:val="00D6656A"/>
    <w:rsid w:val="00D67225"/>
    <w:rsid w:val="00D674B6"/>
    <w:rsid w:val="00D703B6"/>
    <w:rsid w:val="00D70A4E"/>
    <w:rsid w:val="00D740EF"/>
    <w:rsid w:val="00D7443B"/>
    <w:rsid w:val="00D7565F"/>
    <w:rsid w:val="00D75709"/>
    <w:rsid w:val="00D764BA"/>
    <w:rsid w:val="00D7708D"/>
    <w:rsid w:val="00D77E93"/>
    <w:rsid w:val="00D82D95"/>
    <w:rsid w:val="00D8311B"/>
    <w:rsid w:val="00D83DB1"/>
    <w:rsid w:val="00D84481"/>
    <w:rsid w:val="00D845CD"/>
    <w:rsid w:val="00D858D5"/>
    <w:rsid w:val="00D85DA0"/>
    <w:rsid w:val="00D86384"/>
    <w:rsid w:val="00D905EA"/>
    <w:rsid w:val="00D91101"/>
    <w:rsid w:val="00D91C8D"/>
    <w:rsid w:val="00D922F5"/>
    <w:rsid w:val="00D92655"/>
    <w:rsid w:val="00D93012"/>
    <w:rsid w:val="00D963BD"/>
    <w:rsid w:val="00D96542"/>
    <w:rsid w:val="00D9670E"/>
    <w:rsid w:val="00D969DB"/>
    <w:rsid w:val="00D97A6A"/>
    <w:rsid w:val="00D97F36"/>
    <w:rsid w:val="00DA067E"/>
    <w:rsid w:val="00DA09F4"/>
    <w:rsid w:val="00DA10C0"/>
    <w:rsid w:val="00DA35A0"/>
    <w:rsid w:val="00DA38E8"/>
    <w:rsid w:val="00DA57A1"/>
    <w:rsid w:val="00DA6F42"/>
    <w:rsid w:val="00DA700F"/>
    <w:rsid w:val="00DA7B7D"/>
    <w:rsid w:val="00DA7DD2"/>
    <w:rsid w:val="00DB0398"/>
    <w:rsid w:val="00DB07B2"/>
    <w:rsid w:val="00DB0F24"/>
    <w:rsid w:val="00DB1540"/>
    <w:rsid w:val="00DB33F1"/>
    <w:rsid w:val="00DB34D0"/>
    <w:rsid w:val="00DB3D47"/>
    <w:rsid w:val="00DB5A98"/>
    <w:rsid w:val="00DB6143"/>
    <w:rsid w:val="00DB62EF"/>
    <w:rsid w:val="00DB702B"/>
    <w:rsid w:val="00DB73B0"/>
    <w:rsid w:val="00DC10BB"/>
    <w:rsid w:val="00DC3750"/>
    <w:rsid w:val="00DC3831"/>
    <w:rsid w:val="00DC4CDC"/>
    <w:rsid w:val="00DC5691"/>
    <w:rsid w:val="00DC6A5D"/>
    <w:rsid w:val="00DC73C9"/>
    <w:rsid w:val="00DD026E"/>
    <w:rsid w:val="00DD0362"/>
    <w:rsid w:val="00DD0750"/>
    <w:rsid w:val="00DD0EA0"/>
    <w:rsid w:val="00DD2D94"/>
    <w:rsid w:val="00DD3044"/>
    <w:rsid w:val="00DD325A"/>
    <w:rsid w:val="00DD37C4"/>
    <w:rsid w:val="00DD3925"/>
    <w:rsid w:val="00DD4AD4"/>
    <w:rsid w:val="00DD55DE"/>
    <w:rsid w:val="00DD561D"/>
    <w:rsid w:val="00DD5A0E"/>
    <w:rsid w:val="00DD5D50"/>
    <w:rsid w:val="00DD6E1E"/>
    <w:rsid w:val="00DE058A"/>
    <w:rsid w:val="00DE090C"/>
    <w:rsid w:val="00DE0A0B"/>
    <w:rsid w:val="00DE1149"/>
    <w:rsid w:val="00DE1C12"/>
    <w:rsid w:val="00DE20DB"/>
    <w:rsid w:val="00DE2686"/>
    <w:rsid w:val="00DE2E99"/>
    <w:rsid w:val="00DE361C"/>
    <w:rsid w:val="00DE3C81"/>
    <w:rsid w:val="00DE4448"/>
    <w:rsid w:val="00DE5E14"/>
    <w:rsid w:val="00DF0156"/>
    <w:rsid w:val="00DF084E"/>
    <w:rsid w:val="00DF0B62"/>
    <w:rsid w:val="00DF0DA8"/>
    <w:rsid w:val="00DF1111"/>
    <w:rsid w:val="00DF133D"/>
    <w:rsid w:val="00DF2D3F"/>
    <w:rsid w:val="00DF3124"/>
    <w:rsid w:val="00DF3D6E"/>
    <w:rsid w:val="00DF43C4"/>
    <w:rsid w:val="00DF474D"/>
    <w:rsid w:val="00DF57FD"/>
    <w:rsid w:val="00DF6130"/>
    <w:rsid w:val="00DF6A2C"/>
    <w:rsid w:val="00DF7B96"/>
    <w:rsid w:val="00E00202"/>
    <w:rsid w:val="00E00661"/>
    <w:rsid w:val="00E00EB8"/>
    <w:rsid w:val="00E010F8"/>
    <w:rsid w:val="00E01A85"/>
    <w:rsid w:val="00E020BE"/>
    <w:rsid w:val="00E034B9"/>
    <w:rsid w:val="00E03908"/>
    <w:rsid w:val="00E04D41"/>
    <w:rsid w:val="00E052F7"/>
    <w:rsid w:val="00E060FB"/>
    <w:rsid w:val="00E064B8"/>
    <w:rsid w:val="00E06EB4"/>
    <w:rsid w:val="00E06ECA"/>
    <w:rsid w:val="00E07788"/>
    <w:rsid w:val="00E07CA7"/>
    <w:rsid w:val="00E10232"/>
    <w:rsid w:val="00E1081F"/>
    <w:rsid w:val="00E115AA"/>
    <w:rsid w:val="00E14018"/>
    <w:rsid w:val="00E146D4"/>
    <w:rsid w:val="00E14E83"/>
    <w:rsid w:val="00E2100C"/>
    <w:rsid w:val="00E223DE"/>
    <w:rsid w:val="00E225C1"/>
    <w:rsid w:val="00E25012"/>
    <w:rsid w:val="00E2538C"/>
    <w:rsid w:val="00E26B53"/>
    <w:rsid w:val="00E2729B"/>
    <w:rsid w:val="00E27B6F"/>
    <w:rsid w:val="00E30770"/>
    <w:rsid w:val="00E33C4C"/>
    <w:rsid w:val="00E3589F"/>
    <w:rsid w:val="00E366BA"/>
    <w:rsid w:val="00E36D9A"/>
    <w:rsid w:val="00E41568"/>
    <w:rsid w:val="00E41830"/>
    <w:rsid w:val="00E43872"/>
    <w:rsid w:val="00E43E5D"/>
    <w:rsid w:val="00E43F24"/>
    <w:rsid w:val="00E46EE4"/>
    <w:rsid w:val="00E47B9C"/>
    <w:rsid w:val="00E5181F"/>
    <w:rsid w:val="00E51AF6"/>
    <w:rsid w:val="00E51FE1"/>
    <w:rsid w:val="00E528CC"/>
    <w:rsid w:val="00E558C6"/>
    <w:rsid w:val="00E5594D"/>
    <w:rsid w:val="00E56C06"/>
    <w:rsid w:val="00E57197"/>
    <w:rsid w:val="00E60AF4"/>
    <w:rsid w:val="00E61929"/>
    <w:rsid w:val="00E61C52"/>
    <w:rsid w:val="00E64A35"/>
    <w:rsid w:val="00E64E51"/>
    <w:rsid w:val="00E6512C"/>
    <w:rsid w:val="00E65407"/>
    <w:rsid w:val="00E658DF"/>
    <w:rsid w:val="00E658FE"/>
    <w:rsid w:val="00E65D13"/>
    <w:rsid w:val="00E65D17"/>
    <w:rsid w:val="00E664F2"/>
    <w:rsid w:val="00E67228"/>
    <w:rsid w:val="00E6781C"/>
    <w:rsid w:val="00E70ADE"/>
    <w:rsid w:val="00E70B2F"/>
    <w:rsid w:val="00E7128C"/>
    <w:rsid w:val="00E71B14"/>
    <w:rsid w:val="00E72EE9"/>
    <w:rsid w:val="00E75246"/>
    <w:rsid w:val="00E7654B"/>
    <w:rsid w:val="00E76F47"/>
    <w:rsid w:val="00E7770C"/>
    <w:rsid w:val="00E77B9C"/>
    <w:rsid w:val="00E812EA"/>
    <w:rsid w:val="00E81F0E"/>
    <w:rsid w:val="00E82558"/>
    <w:rsid w:val="00E83445"/>
    <w:rsid w:val="00E8359C"/>
    <w:rsid w:val="00E8473E"/>
    <w:rsid w:val="00E85315"/>
    <w:rsid w:val="00E8563F"/>
    <w:rsid w:val="00E857C5"/>
    <w:rsid w:val="00E866FC"/>
    <w:rsid w:val="00E87AF4"/>
    <w:rsid w:val="00E90D78"/>
    <w:rsid w:val="00E92195"/>
    <w:rsid w:val="00E93021"/>
    <w:rsid w:val="00E9331E"/>
    <w:rsid w:val="00E93CD6"/>
    <w:rsid w:val="00E945DB"/>
    <w:rsid w:val="00E94990"/>
    <w:rsid w:val="00E95E8C"/>
    <w:rsid w:val="00E96DB0"/>
    <w:rsid w:val="00EA0081"/>
    <w:rsid w:val="00EA0B29"/>
    <w:rsid w:val="00EA15EF"/>
    <w:rsid w:val="00EA2C4F"/>
    <w:rsid w:val="00EA2D25"/>
    <w:rsid w:val="00EA6501"/>
    <w:rsid w:val="00EA6563"/>
    <w:rsid w:val="00EA6E51"/>
    <w:rsid w:val="00EA6E94"/>
    <w:rsid w:val="00EB03FC"/>
    <w:rsid w:val="00EB0416"/>
    <w:rsid w:val="00EB1783"/>
    <w:rsid w:val="00EB4814"/>
    <w:rsid w:val="00EB4931"/>
    <w:rsid w:val="00EB4E36"/>
    <w:rsid w:val="00EB5470"/>
    <w:rsid w:val="00EB5998"/>
    <w:rsid w:val="00EB5F68"/>
    <w:rsid w:val="00EB6C57"/>
    <w:rsid w:val="00EC160F"/>
    <w:rsid w:val="00EC19B9"/>
    <w:rsid w:val="00EC2104"/>
    <w:rsid w:val="00EC2E8A"/>
    <w:rsid w:val="00EC4781"/>
    <w:rsid w:val="00EC6357"/>
    <w:rsid w:val="00EC6717"/>
    <w:rsid w:val="00EC687D"/>
    <w:rsid w:val="00EC7270"/>
    <w:rsid w:val="00EC7C52"/>
    <w:rsid w:val="00EC7F9C"/>
    <w:rsid w:val="00ED11FE"/>
    <w:rsid w:val="00ED190C"/>
    <w:rsid w:val="00ED1C2A"/>
    <w:rsid w:val="00ED4C62"/>
    <w:rsid w:val="00ED4ED5"/>
    <w:rsid w:val="00ED5B11"/>
    <w:rsid w:val="00ED5E94"/>
    <w:rsid w:val="00EE0BB6"/>
    <w:rsid w:val="00EE1AAF"/>
    <w:rsid w:val="00EE372F"/>
    <w:rsid w:val="00EE397F"/>
    <w:rsid w:val="00EE438A"/>
    <w:rsid w:val="00EE4AC6"/>
    <w:rsid w:val="00EE58CB"/>
    <w:rsid w:val="00EE7070"/>
    <w:rsid w:val="00EF0017"/>
    <w:rsid w:val="00EF1EAE"/>
    <w:rsid w:val="00EF29F8"/>
    <w:rsid w:val="00EF4AC6"/>
    <w:rsid w:val="00EF4F9A"/>
    <w:rsid w:val="00EF56BD"/>
    <w:rsid w:val="00EF6B74"/>
    <w:rsid w:val="00EF718D"/>
    <w:rsid w:val="00EF74C5"/>
    <w:rsid w:val="00F00083"/>
    <w:rsid w:val="00F003F5"/>
    <w:rsid w:val="00F00E1C"/>
    <w:rsid w:val="00F02397"/>
    <w:rsid w:val="00F029F9"/>
    <w:rsid w:val="00F06A78"/>
    <w:rsid w:val="00F07124"/>
    <w:rsid w:val="00F071AA"/>
    <w:rsid w:val="00F07CD3"/>
    <w:rsid w:val="00F10001"/>
    <w:rsid w:val="00F10312"/>
    <w:rsid w:val="00F1070F"/>
    <w:rsid w:val="00F12C53"/>
    <w:rsid w:val="00F13C59"/>
    <w:rsid w:val="00F14852"/>
    <w:rsid w:val="00F15024"/>
    <w:rsid w:val="00F150FD"/>
    <w:rsid w:val="00F15227"/>
    <w:rsid w:val="00F17F4A"/>
    <w:rsid w:val="00F20B09"/>
    <w:rsid w:val="00F21A3B"/>
    <w:rsid w:val="00F2265F"/>
    <w:rsid w:val="00F23084"/>
    <w:rsid w:val="00F23D48"/>
    <w:rsid w:val="00F23EBD"/>
    <w:rsid w:val="00F241F1"/>
    <w:rsid w:val="00F24755"/>
    <w:rsid w:val="00F25356"/>
    <w:rsid w:val="00F26345"/>
    <w:rsid w:val="00F27E91"/>
    <w:rsid w:val="00F306EC"/>
    <w:rsid w:val="00F30F5C"/>
    <w:rsid w:val="00F31C08"/>
    <w:rsid w:val="00F3281B"/>
    <w:rsid w:val="00F34328"/>
    <w:rsid w:val="00F35333"/>
    <w:rsid w:val="00F3533C"/>
    <w:rsid w:val="00F356F6"/>
    <w:rsid w:val="00F3575D"/>
    <w:rsid w:val="00F3772B"/>
    <w:rsid w:val="00F37B4C"/>
    <w:rsid w:val="00F37F24"/>
    <w:rsid w:val="00F4181C"/>
    <w:rsid w:val="00F41CE6"/>
    <w:rsid w:val="00F42073"/>
    <w:rsid w:val="00F420BB"/>
    <w:rsid w:val="00F422EF"/>
    <w:rsid w:val="00F429E3"/>
    <w:rsid w:val="00F43497"/>
    <w:rsid w:val="00F437D3"/>
    <w:rsid w:val="00F44402"/>
    <w:rsid w:val="00F44A5E"/>
    <w:rsid w:val="00F45250"/>
    <w:rsid w:val="00F47266"/>
    <w:rsid w:val="00F47B9C"/>
    <w:rsid w:val="00F503EB"/>
    <w:rsid w:val="00F52373"/>
    <w:rsid w:val="00F53409"/>
    <w:rsid w:val="00F536A8"/>
    <w:rsid w:val="00F53F0D"/>
    <w:rsid w:val="00F54120"/>
    <w:rsid w:val="00F54A06"/>
    <w:rsid w:val="00F552DC"/>
    <w:rsid w:val="00F576F5"/>
    <w:rsid w:val="00F61173"/>
    <w:rsid w:val="00F6246B"/>
    <w:rsid w:val="00F6406F"/>
    <w:rsid w:val="00F640F0"/>
    <w:rsid w:val="00F64366"/>
    <w:rsid w:val="00F64577"/>
    <w:rsid w:val="00F679AB"/>
    <w:rsid w:val="00F70D9E"/>
    <w:rsid w:val="00F73208"/>
    <w:rsid w:val="00F75863"/>
    <w:rsid w:val="00F758CA"/>
    <w:rsid w:val="00F75E2F"/>
    <w:rsid w:val="00F7685D"/>
    <w:rsid w:val="00F8000D"/>
    <w:rsid w:val="00F81AA1"/>
    <w:rsid w:val="00F82A53"/>
    <w:rsid w:val="00F83827"/>
    <w:rsid w:val="00F838E4"/>
    <w:rsid w:val="00F84668"/>
    <w:rsid w:val="00F85921"/>
    <w:rsid w:val="00F8606C"/>
    <w:rsid w:val="00F8766A"/>
    <w:rsid w:val="00F9249B"/>
    <w:rsid w:val="00F927C4"/>
    <w:rsid w:val="00F92E02"/>
    <w:rsid w:val="00F94271"/>
    <w:rsid w:val="00F94A54"/>
    <w:rsid w:val="00F95FDE"/>
    <w:rsid w:val="00F96B9A"/>
    <w:rsid w:val="00F97143"/>
    <w:rsid w:val="00F97748"/>
    <w:rsid w:val="00F97A68"/>
    <w:rsid w:val="00F97CA5"/>
    <w:rsid w:val="00FA16A6"/>
    <w:rsid w:val="00FA213A"/>
    <w:rsid w:val="00FA4643"/>
    <w:rsid w:val="00FA4ADA"/>
    <w:rsid w:val="00FA51D2"/>
    <w:rsid w:val="00FA521C"/>
    <w:rsid w:val="00FA569C"/>
    <w:rsid w:val="00FA6458"/>
    <w:rsid w:val="00FA72A0"/>
    <w:rsid w:val="00FA7BC8"/>
    <w:rsid w:val="00FB0DBD"/>
    <w:rsid w:val="00FB323B"/>
    <w:rsid w:val="00FB477E"/>
    <w:rsid w:val="00FB4D35"/>
    <w:rsid w:val="00FB539F"/>
    <w:rsid w:val="00FB53F1"/>
    <w:rsid w:val="00FB6FD8"/>
    <w:rsid w:val="00FB7F3C"/>
    <w:rsid w:val="00FC036C"/>
    <w:rsid w:val="00FC0BC7"/>
    <w:rsid w:val="00FC1EBB"/>
    <w:rsid w:val="00FC35EC"/>
    <w:rsid w:val="00FC3EE5"/>
    <w:rsid w:val="00FC4E60"/>
    <w:rsid w:val="00FC5FE8"/>
    <w:rsid w:val="00FC7839"/>
    <w:rsid w:val="00FC7B7F"/>
    <w:rsid w:val="00FD1AE6"/>
    <w:rsid w:val="00FD25BE"/>
    <w:rsid w:val="00FD26E7"/>
    <w:rsid w:val="00FD2915"/>
    <w:rsid w:val="00FD3F70"/>
    <w:rsid w:val="00FD47B6"/>
    <w:rsid w:val="00FD49D9"/>
    <w:rsid w:val="00FD5A8A"/>
    <w:rsid w:val="00FD5BDB"/>
    <w:rsid w:val="00FD6AE1"/>
    <w:rsid w:val="00FE1B54"/>
    <w:rsid w:val="00FE1DE8"/>
    <w:rsid w:val="00FE2967"/>
    <w:rsid w:val="00FE2E19"/>
    <w:rsid w:val="00FE31E6"/>
    <w:rsid w:val="00FE434C"/>
    <w:rsid w:val="00FE4C13"/>
    <w:rsid w:val="00FE74EC"/>
    <w:rsid w:val="00FE7EE5"/>
    <w:rsid w:val="00FF2BBC"/>
    <w:rsid w:val="00FF3363"/>
    <w:rsid w:val="00FF36D3"/>
    <w:rsid w:val="00FF3F4B"/>
    <w:rsid w:val="00FF4B63"/>
    <w:rsid w:val="00FF4F3D"/>
    <w:rsid w:val="00FF719D"/>
    <w:rsid w:val="00FF7843"/>
    <w:rsid w:val="00FF7878"/>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04FFA231"/>
  <w15:docId w15:val="{4707EBEF-5377-4CC0-A6CA-8D003D7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0BA"/>
    <w:pPr>
      <w:spacing w:line="360" w:lineRule="auto"/>
      <w:jc w:val="both"/>
    </w:pPr>
    <w:rPr>
      <w:rFonts w:ascii="Arial" w:hAnsi="Arial"/>
      <w:sz w:val="22"/>
      <w:szCs w:val="24"/>
    </w:rPr>
  </w:style>
  <w:style w:type="paragraph" w:styleId="Heading1">
    <w:name w:val="heading 1"/>
    <w:basedOn w:val="Title"/>
    <w:link w:val="Heading1Char"/>
    <w:uiPriority w:val="9"/>
    <w:qFormat/>
    <w:rsid w:val="009E0ACF"/>
    <w:pPr>
      <w:numPr>
        <w:numId w:val="3"/>
      </w:numPr>
      <w:shd w:val="clear" w:color="auto" w:fill="8DB3E2" w:themeFill="text2" w:themeFillTint="66"/>
      <w:spacing w:before="100" w:beforeAutospacing="1" w:after="100" w:afterAutospacing="1" w:line="240" w:lineRule="auto"/>
      <w:ind w:left="360"/>
      <w:jc w:val="left"/>
      <w:outlineLvl w:val="0"/>
    </w:pPr>
    <w:rPr>
      <w:rFonts w:asciiTheme="minorHAnsi" w:hAnsiTheme="minorHAnsi"/>
      <w:b/>
      <w:bCs/>
      <w:color w:val="000000" w:themeColor="text1"/>
      <w:kern w:val="36"/>
      <w:sz w:val="56"/>
      <w:szCs w:val="48"/>
    </w:rPr>
  </w:style>
  <w:style w:type="paragraph" w:styleId="Heading2">
    <w:name w:val="heading 2"/>
    <w:basedOn w:val="Normal"/>
    <w:next w:val="Normal"/>
    <w:link w:val="Heading2Char"/>
    <w:unhideWhenUsed/>
    <w:qFormat/>
    <w:rsid w:val="009E0ACF"/>
    <w:pPr>
      <w:keepNext/>
      <w:keepLines/>
      <w:numPr>
        <w:ilvl w:val="1"/>
        <w:numId w:val="3"/>
      </w:numPr>
      <w:shd w:val="clear" w:color="auto" w:fill="8DB3E2" w:themeFill="text2" w:themeFillTint="66"/>
      <w:spacing w:before="100" w:after="100" w:line="240" w:lineRule="auto"/>
      <w:jc w:val="left"/>
      <w:outlineLvl w:val="1"/>
    </w:pPr>
    <w:rPr>
      <w:rFonts w:asciiTheme="minorHAnsi" w:eastAsiaTheme="majorEastAsia" w:hAnsiTheme="minorHAnsi" w:cstheme="majorBidi"/>
      <w:b/>
      <w:bCs/>
      <w:color w:val="000000" w:themeColor="text1"/>
      <w:sz w:val="40"/>
      <w:szCs w:val="26"/>
    </w:rPr>
  </w:style>
  <w:style w:type="paragraph" w:styleId="Heading3">
    <w:name w:val="heading 3"/>
    <w:basedOn w:val="Normal"/>
    <w:next w:val="Normal"/>
    <w:link w:val="Heading3Char"/>
    <w:unhideWhenUsed/>
    <w:qFormat/>
    <w:rsid w:val="00921066"/>
    <w:pPr>
      <w:keepNext/>
      <w:keepLines/>
      <w:numPr>
        <w:ilvl w:val="2"/>
        <w:numId w:val="3"/>
      </w:numPr>
      <w:spacing w:before="200"/>
      <w:ind w:left="720"/>
      <w:outlineLvl w:val="2"/>
    </w:pPr>
    <w:rPr>
      <w:rFonts w:eastAsiaTheme="majorEastAsia" w:cstheme="majorBidi"/>
      <w:bCs/>
    </w:rPr>
  </w:style>
  <w:style w:type="paragraph" w:styleId="Heading4">
    <w:name w:val="heading 4"/>
    <w:basedOn w:val="Normal"/>
    <w:next w:val="Normal"/>
    <w:link w:val="Heading4Char"/>
    <w:unhideWhenUsed/>
    <w:qFormat/>
    <w:rsid w:val="0058757B"/>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8757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8757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8757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8757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8757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BED"/>
    <w:pPr>
      <w:ind w:left="720"/>
      <w:contextualSpacing/>
    </w:pPr>
  </w:style>
  <w:style w:type="paragraph" w:styleId="Header">
    <w:name w:val="header"/>
    <w:basedOn w:val="Normal"/>
    <w:link w:val="HeaderChar"/>
    <w:uiPriority w:val="99"/>
    <w:rsid w:val="00113794"/>
    <w:pPr>
      <w:tabs>
        <w:tab w:val="center" w:pos="4513"/>
        <w:tab w:val="right" w:pos="9026"/>
      </w:tabs>
    </w:pPr>
  </w:style>
  <w:style w:type="character" w:customStyle="1" w:styleId="HeaderChar">
    <w:name w:val="Header Char"/>
    <w:basedOn w:val="DefaultParagraphFont"/>
    <w:link w:val="Header"/>
    <w:uiPriority w:val="99"/>
    <w:rsid w:val="00113794"/>
    <w:rPr>
      <w:rFonts w:ascii="Arial" w:hAnsi="Arial"/>
      <w:sz w:val="24"/>
      <w:szCs w:val="24"/>
    </w:rPr>
  </w:style>
  <w:style w:type="paragraph" w:styleId="Footer">
    <w:name w:val="footer"/>
    <w:basedOn w:val="Normal"/>
    <w:link w:val="FooterChar"/>
    <w:uiPriority w:val="99"/>
    <w:rsid w:val="00113794"/>
    <w:pPr>
      <w:tabs>
        <w:tab w:val="center" w:pos="4513"/>
        <w:tab w:val="right" w:pos="9026"/>
      </w:tabs>
    </w:pPr>
  </w:style>
  <w:style w:type="character" w:customStyle="1" w:styleId="FooterChar">
    <w:name w:val="Footer Char"/>
    <w:basedOn w:val="DefaultParagraphFont"/>
    <w:link w:val="Footer"/>
    <w:uiPriority w:val="99"/>
    <w:rsid w:val="00113794"/>
    <w:rPr>
      <w:rFonts w:ascii="Arial" w:hAnsi="Arial"/>
      <w:sz w:val="24"/>
      <w:szCs w:val="24"/>
    </w:rPr>
  </w:style>
  <w:style w:type="paragraph" w:styleId="BalloonText">
    <w:name w:val="Balloon Text"/>
    <w:basedOn w:val="Normal"/>
    <w:link w:val="BalloonTextChar"/>
    <w:uiPriority w:val="99"/>
    <w:rsid w:val="001D6123"/>
    <w:rPr>
      <w:rFonts w:ascii="Tahoma" w:hAnsi="Tahoma" w:cs="Tahoma"/>
      <w:sz w:val="16"/>
      <w:szCs w:val="16"/>
    </w:rPr>
  </w:style>
  <w:style w:type="character" w:customStyle="1" w:styleId="BalloonTextChar">
    <w:name w:val="Balloon Text Char"/>
    <w:basedOn w:val="DefaultParagraphFont"/>
    <w:link w:val="BalloonText"/>
    <w:uiPriority w:val="99"/>
    <w:rsid w:val="001D6123"/>
    <w:rPr>
      <w:rFonts w:ascii="Tahoma" w:hAnsi="Tahoma" w:cs="Tahoma"/>
      <w:sz w:val="16"/>
      <w:szCs w:val="16"/>
    </w:rPr>
  </w:style>
  <w:style w:type="paragraph" w:styleId="EndnoteText">
    <w:name w:val="endnote text"/>
    <w:basedOn w:val="Normal"/>
    <w:link w:val="EndnoteTextChar"/>
    <w:rsid w:val="00E8473E"/>
    <w:rPr>
      <w:sz w:val="20"/>
      <w:szCs w:val="20"/>
    </w:rPr>
  </w:style>
  <w:style w:type="character" w:customStyle="1" w:styleId="EndnoteTextChar">
    <w:name w:val="Endnote Text Char"/>
    <w:basedOn w:val="DefaultParagraphFont"/>
    <w:link w:val="EndnoteText"/>
    <w:rsid w:val="00E8473E"/>
    <w:rPr>
      <w:rFonts w:ascii="Arial" w:hAnsi="Arial"/>
    </w:rPr>
  </w:style>
  <w:style w:type="character" w:styleId="EndnoteReference">
    <w:name w:val="endnote reference"/>
    <w:basedOn w:val="DefaultParagraphFont"/>
    <w:rsid w:val="00E8473E"/>
    <w:rPr>
      <w:vertAlign w:val="superscript"/>
    </w:rPr>
  </w:style>
  <w:style w:type="paragraph" w:styleId="FootnoteText">
    <w:name w:val="footnote text"/>
    <w:basedOn w:val="Normal"/>
    <w:link w:val="FootnoteTextChar"/>
    <w:uiPriority w:val="99"/>
    <w:rsid w:val="00E8473E"/>
    <w:rPr>
      <w:sz w:val="20"/>
      <w:szCs w:val="20"/>
    </w:rPr>
  </w:style>
  <w:style w:type="character" w:customStyle="1" w:styleId="FootnoteTextChar">
    <w:name w:val="Footnote Text Char"/>
    <w:basedOn w:val="DefaultParagraphFont"/>
    <w:link w:val="FootnoteText"/>
    <w:uiPriority w:val="99"/>
    <w:rsid w:val="00E8473E"/>
    <w:rPr>
      <w:rFonts w:ascii="Arial" w:hAnsi="Arial"/>
    </w:rPr>
  </w:style>
  <w:style w:type="character" w:styleId="FootnoteReference">
    <w:name w:val="footnote reference"/>
    <w:basedOn w:val="DefaultParagraphFont"/>
    <w:uiPriority w:val="99"/>
    <w:rsid w:val="00E8473E"/>
    <w:rPr>
      <w:vertAlign w:val="superscript"/>
    </w:rPr>
  </w:style>
  <w:style w:type="numbering" w:styleId="111111">
    <w:name w:val="Outline List 2"/>
    <w:aliases w:val="1.0 / 1.1 / 1.1.1"/>
    <w:basedOn w:val="NoList"/>
    <w:rsid w:val="004B2FB1"/>
    <w:pPr>
      <w:numPr>
        <w:numId w:val="1"/>
      </w:numPr>
    </w:pPr>
  </w:style>
  <w:style w:type="paragraph" w:customStyle="1" w:styleId="StyleBodyText12pt">
    <w:name w:val="Style Body Text + 12 pt"/>
    <w:basedOn w:val="BodyText"/>
    <w:rsid w:val="003544FD"/>
    <w:pPr>
      <w:numPr>
        <w:ilvl w:val="0"/>
      </w:numPr>
      <w:spacing w:after="0"/>
    </w:pPr>
    <w:rPr>
      <w:rFonts w:ascii="Arial" w:hAnsi="Arial"/>
      <w:szCs w:val="20"/>
      <w:lang w:eastAsia="en-US"/>
    </w:rPr>
  </w:style>
  <w:style w:type="paragraph" w:styleId="BodyText">
    <w:name w:val="Body Text"/>
    <w:basedOn w:val="Normal"/>
    <w:link w:val="BodyTextChar"/>
    <w:rsid w:val="003544FD"/>
    <w:pPr>
      <w:numPr>
        <w:ilvl w:val="1"/>
        <w:numId w:val="2"/>
      </w:numPr>
      <w:spacing w:after="120"/>
    </w:pPr>
    <w:rPr>
      <w:rFonts w:ascii="Times New Roman" w:hAnsi="Times New Roman"/>
    </w:rPr>
  </w:style>
  <w:style w:type="character" w:customStyle="1" w:styleId="BodyTextChar">
    <w:name w:val="Body Text Char"/>
    <w:basedOn w:val="DefaultParagraphFont"/>
    <w:link w:val="BodyText"/>
    <w:rsid w:val="003544FD"/>
    <w:rPr>
      <w:sz w:val="22"/>
      <w:szCs w:val="24"/>
    </w:rPr>
  </w:style>
  <w:style w:type="character" w:customStyle="1" w:styleId="Heading1Char">
    <w:name w:val="Heading 1 Char"/>
    <w:basedOn w:val="DefaultParagraphFont"/>
    <w:link w:val="Heading1"/>
    <w:uiPriority w:val="9"/>
    <w:rsid w:val="009E0ACF"/>
    <w:rPr>
      <w:rFonts w:asciiTheme="minorHAnsi" w:eastAsiaTheme="majorEastAsia" w:hAnsiTheme="minorHAnsi" w:cstheme="majorBidi"/>
      <w:b/>
      <w:bCs/>
      <w:color w:val="000000" w:themeColor="text1"/>
      <w:spacing w:val="5"/>
      <w:kern w:val="36"/>
      <w:sz w:val="56"/>
      <w:szCs w:val="48"/>
      <w:shd w:val="clear" w:color="auto" w:fill="8DB3E2" w:themeFill="text2" w:themeFillTint="66"/>
    </w:rPr>
  </w:style>
  <w:style w:type="character" w:customStyle="1" w:styleId="Heading2Char">
    <w:name w:val="Heading 2 Char"/>
    <w:basedOn w:val="DefaultParagraphFont"/>
    <w:link w:val="Heading2"/>
    <w:rsid w:val="009E0ACF"/>
    <w:rPr>
      <w:rFonts w:asciiTheme="minorHAnsi" w:eastAsiaTheme="majorEastAsia" w:hAnsiTheme="minorHAnsi" w:cstheme="majorBidi"/>
      <w:b/>
      <w:bCs/>
      <w:color w:val="000000" w:themeColor="text1"/>
      <w:sz w:val="40"/>
      <w:szCs w:val="26"/>
      <w:shd w:val="clear" w:color="auto" w:fill="8DB3E2" w:themeFill="text2" w:themeFillTint="66"/>
    </w:rPr>
  </w:style>
  <w:style w:type="character" w:customStyle="1" w:styleId="Heading3Char">
    <w:name w:val="Heading 3 Char"/>
    <w:basedOn w:val="DefaultParagraphFont"/>
    <w:link w:val="Heading3"/>
    <w:rsid w:val="00921066"/>
    <w:rPr>
      <w:rFonts w:ascii="Arial" w:eastAsiaTheme="majorEastAsia" w:hAnsi="Arial" w:cstheme="majorBidi"/>
      <w:bCs/>
      <w:sz w:val="22"/>
      <w:szCs w:val="24"/>
    </w:rPr>
  </w:style>
  <w:style w:type="character" w:styleId="Strong">
    <w:name w:val="Strong"/>
    <w:qFormat/>
    <w:rsid w:val="00713D4F"/>
    <w:rPr>
      <w:b/>
      <w:bCs/>
    </w:rPr>
  </w:style>
  <w:style w:type="paragraph" w:styleId="Title">
    <w:name w:val="Title"/>
    <w:basedOn w:val="Normal"/>
    <w:next w:val="Normal"/>
    <w:link w:val="TitleChar"/>
    <w:qFormat/>
    <w:rsid w:val="00AA52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A52D5"/>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58757B"/>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rsid w:val="0058757B"/>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58757B"/>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58757B"/>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58757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8757B"/>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9D4812"/>
    <w:pPr>
      <w:keepNext/>
      <w:keepLines/>
      <w:numPr>
        <w:numId w:val="0"/>
      </w:numPr>
      <w:pBdr>
        <w:bottom w:val="none" w:sz="0" w:space="0" w:color="auto"/>
      </w:pBdr>
      <w:shd w:val="clear" w:color="auto" w:fill="auto"/>
      <w:spacing w:before="480" w:beforeAutospacing="0" w:after="0" w:afterAutospacing="0" w:line="276" w:lineRule="auto"/>
      <w:contextualSpacing w:val="0"/>
      <w:outlineLvl w:val="9"/>
    </w:pPr>
    <w:rPr>
      <w:rFonts w:asciiTheme="majorHAnsi" w:hAnsiTheme="majorHAnsi"/>
      <w:color w:val="365F91" w:themeColor="accent1" w:themeShade="BF"/>
      <w:spacing w:val="0"/>
      <w:kern w:val="0"/>
      <w:sz w:val="28"/>
      <w:szCs w:val="28"/>
      <w:lang w:val="en-US" w:eastAsia="ja-JP"/>
    </w:rPr>
  </w:style>
  <w:style w:type="paragraph" w:styleId="TOC1">
    <w:name w:val="toc 1"/>
    <w:basedOn w:val="Normal"/>
    <w:next w:val="Normal"/>
    <w:autoRedefine/>
    <w:uiPriority w:val="39"/>
    <w:rsid w:val="00DF6A2C"/>
    <w:pPr>
      <w:tabs>
        <w:tab w:val="left" w:pos="426"/>
        <w:tab w:val="right" w:leader="dot" w:pos="13948"/>
      </w:tabs>
      <w:spacing w:after="100"/>
    </w:pPr>
  </w:style>
  <w:style w:type="paragraph" w:styleId="TOC3">
    <w:name w:val="toc 3"/>
    <w:basedOn w:val="Normal"/>
    <w:next w:val="Normal"/>
    <w:autoRedefine/>
    <w:uiPriority w:val="39"/>
    <w:rsid w:val="009D4812"/>
    <w:pPr>
      <w:spacing w:after="100"/>
      <w:ind w:left="440"/>
    </w:pPr>
  </w:style>
  <w:style w:type="paragraph" w:styleId="TOC2">
    <w:name w:val="toc 2"/>
    <w:basedOn w:val="Normal"/>
    <w:next w:val="Normal"/>
    <w:autoRedefine/>
    <w:uiPriority w:val="39"/>
    <w:rsid w:val="00F53409"/>
    <w:pPr>
      <w:spacing w:after="100"/>
    </w:pPr>
  </w:style>
  <w:style w:type="character" w:styleId="Hyperlink">
    <w:name w:val="Hyperlink"/>
    <w:basedOn w:val="DefaultParagraphFont"/>
    <w:uiPriority w:val="99"/>
    <w:unhideWhenUsed/>
    <w:rsid w:val="009D4812"/>
    <w:rPr>
      <w:color w:val="0000FF" w:themeColor="hyperlink"/>
      <w:u w:val="single"/>
    </w:rPr>
  </w:style>
  <w:style w:type="character" w:styleId="PageNumber">
    <w:name w:val="page number"/>
    <w:basedOn w:val="DefaultParagraphFont"/>
    <w:rsid w:val="00BE0F80"/>
  </w:style>
  <w:style w:type="paragraph" w:styleId="DocumentMap">
    <w:name w:val="Document Map"/>
    <w:basedOn w:val="Normal"/>
    <w:link w:val="DocumentMapChar"/>
    <w:semiHidden/>
    <w:rsid w:val="00BE0F80"/>
    <w:pPr>
      <w:shd w:val="clear" w:color="auto" w:fill="000080"/>
      <w:spacing w:line="240" w:lineRule="auto"/>
      <w:jc w:val="left"/>
    </w:pPr>
    <w:rPr>
      <w:rFonts w:ascii="Tahoma" w:hAnsi="Tahoma" w:cs="Tahoma"/>
      <w:sz w:val="20"/>
      <w:szCs w:val="20"/>
    </w:rPr>
  </w:style>
  <w:style w:type="character" w:customStyle="1" w:styleId="DocumentMapChar">
    <w:name w:val="Document Map Char"/>
    <w:basedOn w:val="DefaultParagraphFont"/>
    <w:link w:val="DocumentMap"/>
    <w:semiHidden/>
    <w:rsid w:val="00BE0F80"/>
    <w:rPr>
      <w:rFonts w:ascii="Tahoma" w:hAnsi="Tahoma" w:cs="Tahoma"/>
      <w:shd w:val="clear" w:color="auto" w:fill="000080"/>
    </w:rPr>
  </w:style>
  <w:style w:type="paragraph" w:styleId="NoSpacing">
    <w:name w:val="No Spacing"/>
    <w:uiPriority w:val="1"/>
    <w:qFormat/>
    <w:rsid w:val="00BE0F80"/>
    <w:rPr>
      <w:rFonts w:ascii="Calibri" w:eastAsia="Calibri" w:hAnsi="Calibri"/>
      <w:sz w:val="22"/>
      <w:szCs w:val="22"/>
      <w:lang w:eastAsia="en-US"/>
    </w:rPr>
  </w:style>
  <w:style w:type="table" w:customStyle="1" w:styleId="TableGrid1">
    <w:name w:val="Table Grid1"/>
    <w:basedOn w:val="TableNormal"/>
    <w:next w:val="TableGrid"/>
    <w:uiPriority w:val="59"/>
    <w:rsid w:val="00BE0F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7218">
      <w:bodyDiv w:val="1"/>
      <w:marLeft w:val="0"/>
      <w:marRight w:val="0"/>
      <w:marTop w:val="0"/>
      <w:marBottom w:val="0"/>
      <w:divBdr>
        <w:top w:val="none" w:sz="0" w:space="0" w:color="auto"/>
        <w:left w:val="none" w:sz="0" w:space="0" w:color="auto"/>
        <w:bottom w:val="none" w:sz="0" w:space="0" w:color="auto"/>
        <w:right w:val="none" w:sz="0" w:space="0" w:color="auto"/>
      </w:divBdr>
    </w:div>
    <w:div w:id="93551786">
      <w:bodyDiv w:val="1"/>
      <w:marLeft w:val="0"/>
      <w:marRight w:val="0"/>
      <w:marTop w:val="0"/>
      <w:marBottom w:val="0"/>
      <w:divBdr>
        <w:top w:val="none" w:sz="0" w:space="0" w:color="auto"/>
        <w:left w:val="none" w:sz="0" w:space="0" w:color="auto"/>
        <w:bottom w:val="none" w:sz="0" w:space="0" w:color="auto"/>
        <w:right w:val="none" w:sz="0" w:space="0" w:color="auto"/>
      </w:divBdr>
    </w:div>
    <w:div w:id="120881145">
      <w:bodyDiv w:val="1"/>
      <w:marLeft w:val="0"/>
      <w:marRight w:val="0"/>
      <w:marTop w:val="0"/>
      <w:marBottom w:val="0"/>
      <w:divBdr>
        <w:top w:val="none" w:sz="0" w:space="0" w:color="auto"/>
        <w:left w:val="none" w:sz="0" w:space="0" w:color="auto"/>
        <w:bottom w:val="none" w:sz="0" w:space="0" w:color="auto"/>
        <w:right w:val="none" w:sz="0" w:space="0" w:color="auto"/>
      </w:divBdr>
    </w:div>
    <w:div w:id="127600210">
      <w:bodyDiv w:val="1"/>
      <w:marLeft w:val="0"/>
      <w:marRight w:val="0"/>
      <w:marTop w:val="0"/>
      <w:marBottom w:val="0"/>
      <w:divBdr>
        <w:top w:val="none" w:sz="0" w:space="0" w:color="auto"/>
        <w:left w:val="none" w:sz="0" w:space="0" w:color="auto"/>
        <w:bottom w:val="none" w:sz="0" w:space="0" w:color="auto"/>
        <w:right w:val="none" w:sz="0" w:space="0" w:color="auto"/>
      </w:divBdr>
    </w:div>
    <w:div w:id="157506244">
      <w:bodyDiv w:val="1"/>
      <w:marLeft w:val="0"/>
      <w:marRight w:val="0"/>
      <w:marTop w:val="0"/>
      <w:marBottom w:val="0"/>
      <w:divBdr>
        <w:top w:val="none" w:sz="0" w:space="0" w:color="auto"/>
        <w:left w:val="none" w:sz="0" w:space="0" w:color="auto"/>
        <w:bottom w:val="none" w:sz="0" w:space="0" w:color="auto"/>
        <w:right w:val="none" w:sz="0" w:space="0" w:color="auto"/>
      </w:divBdr>
    </w:div>
    <w:div w:id="162742041">
      <w:bodyDiv w:val="1"/>
      <w:marLeft w:val="0"/>
      <w:marRight w:val="0"/>
      <w:marTop w:val="0"/>
      <w:marBottom w:val="0"/>
      <w:divBdr>
        <w:top w:val="none" w:sz="0" w:space="0" w:color="auto"/>
        <w:left w:val="none" w:sz="0" w:space="0" w:color="auto"/>
        <w:bottom w:val="none" w:sz="0" w:space="0" w:color="auto"/>
        <w:right w:val="none" w:sz="0" w:space="0" w:color="auto"/>
      </w:divBdr>
    </w:div>
    <w:div w:id="175656856">
      <w:bodyDiv w:val="1"/>
      <w:marLeft w:val="0"/>
      <w:marRight w:val="0"/>
      <w:marTop w:val="0"/>
      <w:marBottom w:val="0"/>
      <w:divBdr>
        <w:top w:val="none" w:sz="0" w:space="0" w:color="auto"/>
        <w:left w:val="none" w:sz="0" w:space="0" w:color="auto"/>
        <w:bottom w:val="none" w:sz="0" w:space="0" w:color="auto"/>
        <w:right w:val="none" w:sz="0" w:space="0" w:color="auto"/>
      </w:divBdr>
    </w:div>
    <w:div w:id="191041615">
      <w:bodyDiv w:val="1"/>
      <w:marLeft w:val="0"/>
      <w:marRight w:val="0"/>
      <w:marTop w:val="0"/>
      <w:marBottom w:val="0"/>
      <w:divBdr>
        <w:top w:val="none" w:sz="0" w:space="0" w:color="auto"/>
        <w:left w:val="none" w:sz="0" w:space="0" w:color="auto"/>
        <w:bottom w:val="none" w:sz="0" w:space="0" w:color="auto"/>
        <w:right w:val="none" w:sz="0" w:space="0" w:color="auto"/>
      </w:divBdr>
    </w:div>
    <w:div w:id="204024155">
      <w:bodyDiv w:val="1"/>
      <w:marLeft w:val="0"/>
      <w:marRight w:val="0"/>
      <w:marTop w:val="0"/>
      <w:marBottom w:val="0"/>
      <w:divBdr>
        <w:top w:val="none" w:sz="0" w:space="0" w:color="auto"/>
        <w:left w:val="none" w:sz="0" w:space="0" w:color="auto"/>
        <w:bottom w:val="none" w:sz="0" w:space="0" w:color="auto"/>
        <w:right w:val="none" w:sz="0" w:space="0" w:color="auto"/>
      </w:divBdr>
    </w:div>
    <w:div w:id="211158046">
      <w:bodyDiv w:val="1"/>
      <w:marLeft w:val="0"/>
      <w:marRight w:val="0"/>
      <w:marTop w:val="0"/>
      <w:marBottom w:val="0"/>
      <w:divBdr>
        <w:top w:val="none" w:sz="0" w:space="0" w:color="auto"/>
        <w:left w:val="none" w:sz="0" w:space="0" w:color="auto"/>
        <w:bottom w:val="none" w:sz="0" w:space="0" w:color="auto"/>
        <w:right w:val="none" w:sz="0" w:space="0" w:color="auto"/>
      </w:divBdr>
    </w:div>
    <w:div w:id="217086720">
      <w:bodyDiv w:val="1"/>
      <w:marLeft w:val="0"/>
      <w:marRight w:val="0"/>
      <w:marTop w:val="0"/>
      <w:marBottom w:val="0"/>
      <w:divBdr>
        <w:top w:val="none" w:sz="0" w:space="0" w:color="auto"/>
        <w:left w:val="none" w:sz="0" w:space="0" w:color="auto"/>
        <w:bottom w:val="none" w:sz="0" w:space="0" w:color="auto"/>
        <w:right w:val="none" w:sz="0" w:space="0" w:color="auto"/>
      </w:divBdr>
    </w:div>
    <w:div w:id="238247147">
      <w:bodyDiv w:val="1"/>
      <w:marLeft w:val="0"/>
      <w:marRight w:val="0"/>
      <w:marTop w:val="0"/>
      <w:marBottom w:val="0"/>
      <w:divBdr>
        <w:top w:val="none" w:sz="0" w:space="0" w:color="auto"/>
        <w:left w:val="none" w:sz="0" w:space="0" w:color="auto"/>
        <w:bottom w:val="none" w:sz="0" w:space="0" w:color="auto"/>
        <w:right w:val="none" w:sz="0" w:space="0" w:color="auto"/>
      </w:divBdr>
    </w:div>
    <w:div w:id="293340236">
      <w:bodyDiv w:val="1"/>
      <w:marLeft w:val="0"/>
      <w:marRight w:val="0"/>
      <w:marTop w:val="0"/>
      <w:marBottom w:val="0"/>
      <w:divBdr>
        <w:top w:val="none" w:sz="0" w:space="0" w:color="auto"/>
        <w:left w:val="none" w:sz="0" w:space="0" w:color="auto"/>
        <w:bottom w:val="none" w:sz="0" w:space="0" w:color="auto"/>
        <w:right w:val="none" w:sz="0" w:space="0" w:color="auto"/>
      </w:divBdr>
    </w:div>
    <w:div w:id="307252381">
      <w:bodyDiv w:val="1"/>
      <w:marLeft w:val="0"/>
      <w:marRight w:val="0"/>
      <w:marTop w:val="0"/>
      <w:marBottom w:val="0"/>
      <w:divBdr>
        <w:top w:val="none" w:sz="0" w:space="0" w:color="auto"/>
        <w:left w:val="none" w:sz="0" w:space="0" w:color="auto"/>
        <w:bottom w:val="none" w:sz="0" w:space="0" w:color="auto"/>
        <w:right w:val="none" w:sz="0" w:space="0" w:color="auto"/>
      </w:divBdr>
    </w:div>
    <w:div w:id="311905383">
      <w:bodyDiv w:val="1"/>
      <w:marLeft w:val="0"/>
      <w:marRight w:val="0"/>
      <w:marTop w:val="0"/>
      <w:marBottom w:val="0"/>
      <w:divBdr>
        <w:top w:val="none" w:sz="0" w:space="0" w:color="auto"/>
        <w:left w:val="none" w:sz="0" w:space="0" w:color="auto"/>
        <w:bottom w:val="none" w:sz="0" w:space="0" w:color="auto"/>
        <w:right w:val="none" w:sz="0" w:space="0" w:color="auto"/>
      </w:divBdr>
    </w:div>
    <w:div w:id="352462080">
      <w:bodyDiv w:val="1"/>
      <w:marLeft w:val="0"/>
      <w:marRight w:val="0"/>
      <w:marTop w:val="0"/>
      <w:marBottom w:val="0"/>
      <w:divBdr>
        <w:top w:val="none" w:sz="0" w:space="0" w:color="auto"/>
        <w:left w:val="none" w:sz="0" w:space="0" w:color="auto"/>
        <w:bottom w:val="none" w:sz="0" w:space="0" w:color="auto"/>
        <w:right w:val="none" w:sz="0" w:space="0" w:color="auto"/>
      </w:divBdr>
    </w:div>
    <w:div w:id="356277608">
      <w:bodyDiv w:val="1"/>
      <w:marLeft w:val="0"/>
      <w:marRight w:val="0"/>
      <w:marTop w:val="0"/>
      <w:marBottom w:val="0"/>
      <w:divBdr>
        <w:top w:val="none" w:sz="0" w:space="0" w:color="auto"/>
        <w:left w:val="none" w:sz="0" w:space="0" w:color="auto"/>
        <w:bottom w:val="none" w:sz="0" w:space="0" w:color="auto"/>
        <w:right w:val="none" w:sz="0" w:space="0" w:color="auto"/>
      </w:divBdr>
    </w:div>
    <w:div w:id="444159182">
      <w:bodyDiv w:val="1"/>
      <w:marLeft w:val="0"/>
      <w:marRight w:val="0"/>
      <w:marTop w:val="0"/>
      <w:marBottom w:val="0"/>
      <w:divBdr>
        <w:top w:val="none" w:sz="0" w:space="0" w:color="auto"/>
        <w:left w:val="none" w:sz="0" w:space="0" w:color="auto"/>
        <w:bottom w:val="none" w:sz="0" w:space="0" w:color="auto"/>
        <w:right w:val="none" w:sz="0" w:space="0" w:color="auto"/>
      </w:divBdr>
    </w:div>
    <w:div w:id="465778726">
      <w:bodyDiv w:val="1"/>
      <w:marLeft w:val="0"/>
      <w:marRight w:val="0"/>
      <w:marTop w:val="0"/>
      <w:marBottom w:val="0"/>
      <w:divBdr>
        <w:top w:val="none" w:sz="0" w:space="0" w:color="auto"/>
        <w:left w:val="none" w:sz="0" w:space="0" w:color="auto"/>
        <w:bottom w:val="none" w:sz="0" w:space="0" w:color="auto"/>
        <w:right w:val="none" w:sz="0" w:space="0" w:color="auto"/>
      </w:divBdr>
    </w:div>
    <w:div w:id="466243293">
      <w:bodyDiv w:val="1"/>
      <w:marLeft w:val="0"/>
      <w:marRight w:val="0"/>
      <w:marTop w:val="0"/>
      <w:marBottom w:val="0"/>
      <w:divBdr>
        <w:top w:val="none" w:sz="0" w:space="0" w:color="auto"/>
        <w:left w:val="none" w:sz="0" w:space="0" w:color="auto"/>
        <w:bottom w:val="none" w:sz="0" w:space="0" w:color="auto"/>
        <w:right w:val="none" w:sz="0" w:space="0" w:color="auto"/>
      </w:divBdr>
    </w:div>
    <w:div w:id="486211636">
      <w:bodyDiv w:val="1"/>
      <w:marLeft w:val="0"/>
      <w:marRight w:val="0"/>
      <w:marTop w:val="0"/>
      <w:marBottom w:val="0"/>
      <w:divBdr>
        <w:top w:val="none" w:sz="0" w:space="0" w:color="auto"/>
        <w:left w:val="none" w:sz="0" w:space="0" w:color="auto"/>
        <w:bottom w:val="none" w:sz="0" w:space="0" w:color="auto"/>
        <w:right w:val="none" w:sz="0" w:space="0" w:color="auto"/>
      </w:divBdr>
    </w:div>
    <w:div w:id="502166092">
      <w:bodyDiv w:val="1"/>
      <w:marLeft w:val="0"/>
      <w:marRight w:val="0"/>
      <w:marTop w:val="0"/>
      <w:marBottom w:val="0"/>
      <w:divBdr>
        <w:top w:val="none" w:sz="0" w:space="0" w:color="auto"/>
        <w:left w:val="none" w:sz="0" w:space="0" w:color="auto"/>
        <w:bottom w:val="none" w:sz="0" w:space="0" w:color="auto"/>
        <w:right w:val="none" w:sz="0" w:space="0" w:color="auto"/>
      </w:divBdr>
    </w:div>
    <w:div w:id="569852280">
      <w:bodyDiv w:val="1"/>
      <w:marLeft w:val="0"/>
      <w:marRight w:val="0"/>
      <w:marTop w:val="0"/>
      <w:marBottom w:val="0"/>
      <w:divBdr>
        <w:top w:val="none" w:sz="0" w:space="0" w:color="auto"/>
        <w:left w:val="none" w:sz="0" w:space="0" w:color="auto"/>
        <w:bottom w:val="none" w:sz="0" w:space="0" w:color="auto"/>
        <w:right w:val="none" w:sz="0" w:space="0" w:color="auto"/>
      </w:divBdr>
    </w:div>
    <w:div w:id="642929630">
      <w:bodyDiv w:val="1"/>
      <w:marLeft w:val="0"/>
      <w:marRight w:val="0"/>
      <w:marTop w:val="0"/>
      <w:marBottom w:val="0"/>
      <w:divBdr>
        <w:top w:val="none" w:sz="0" w:space="0" w:color="auto"/>
        <w:left w:val="none" w:sz="0" w:space="0" w:color="auto"/>
        <w:bottom w:val="none" w:sz="0" w:space="0" w:color="auto"/>
        <w:right w:val="none" w:sz="0" w:space="0" w:color="auto"/>
      </w:divBdr>
    </w:div>
    <w:div w:id="687871824">
      <w:bodyDiv w:val="1"/>
      <w:marLeft w:val="0"/>
      <w:marRight w:val="0"/>
      <w:marTop w:val="0"/>
      <w:marBottom w:val="0"/>
      <w:divBdr>
        <w:top w:val="none" w:sz="0" w:space="0" w:color="auto"/>
        <w:left w:val="none" w:sz="0" w:space="0" w:color="auto"/>
        <w:bottom w:val="none" w:sz="0" w:space="0" w:color="auto"/>
        <w:right w:val="none" w:sz="0" w:space="0" w:color="auto"/>
      </w:divBdr>
    </w:div>
    <w:div w:id="701202017">
      <w:bodyDiv w:val="1"/>
      <w:marLeft w:val="0"/>
      <w:marRight w:val="0"/>
      <w:marTop w:val="0"/>
      <w:marBottom w:val="0"/>
      <w:divBdr>
        <w:top w:val="none" w:sz="0" w:space="0" w:color="auto"/>
        <w:left w:val="none" w:sz="0" w:space="0" w:color="auto"/>
        <w:bottom w:val="none" w:sz="0" w:space="0" w:color="auto"/>
        <w:right w:val="none" w:sz="0" w:space="0" w:color="auto"/>
      </w:divBdr>
    </w:div>
    <w:div w:id="807669813">
      <w:bodyDiv w:val="1"/>
      <w:marLeft w:val="0"/>
      <w:marRight w:val="0"/>
      <w:marTop w:val="0"/>
      <w:marBottom w:val="0"/>
      <w:divBdr>
        <w:top w:val="none" w:sz="0" w:space="0" w:color="auto"/>
        <w:left w:val="none" w:sz="0" w:space="0" w:color="auto"/>
        <w:bottom w:val="none" w:sz="0" w:space="0" w:color="auto"/>
        <w:right w:val="none" w:sz="0" w:space="0" w:color="auto"/>
      </w:divBdr>
    </w:div>
    <w:div w:id="810634968">
      <w:bodyDiv w:val="1"/>
      <w:marLeft w:val="0"/>
      <w:marRight w:val="0"/>
      <w:marTop w:val="0"/>
      <w:marBottom w:val="0"/>
      <w:divBdr>
        <w:top w:val="none" w:sz="0" w:space="0" w:color="auto"/>
        <w:left w:val="none" w:sz="0" w:space="0" w:color="auto"/>
        <w:bottom w:val="none" w:sz="0" w:space="0" w:color="auto"/>
        <w:right w:val="none" w:sz="0" w:space="0" w:color="auto"/>
      </w:divBdr>
    </w:div>
    <w:div w:id="821585878">
      <w:bodyDiv w:val="1"/>
      <w:marLeft w:val="0"/>
      <w:marRight w:val="0"/>
      <w:marTop w:val="0"/>
      <w:marBottom w:val="0"/>
      <w:divBdr>
        <w:top w:val="none" w:sz="0" w:space="0" w:color="auto"/>
        <w:left w:val="none" w:sz="0" w:space="0" w:color="auto"/>
        <w:bottom w:val="none" w:sz="0" w:space="0" w:color="auto"/>
        <w:right w:val="none" w:sz="0" w:space="0" w:color="auto"/>
      </w:divBdr>
    </w:div>
    <w:div w:id="849610116">
      <w:bodyDiv w:val="1"/>
      <w:marLeft w:val="0"/>
      <w:marRight w:val="0"/>
      <w:marTop w:val="0"/>
      <w:marBottom w:val="0"/>
      <w:divBdr>
        <w:top w:val="none" w:sz="0" w:space="0" w:color="auto"/>
        <w:left w:val="none" w:sz="0" w:space="0" w:color="auto"/>
        <w:bottom w:val="none" w:sz="0" w:space="0" w:color="auto"/>
        <w:right w:val="none" w:sz="0" w:space="0" w:color="auto"/>
      </w:divBdr>
    </w:div>
    <w:div w:id="888609753">
      <w:bodyDiv w:val="1"/>
      <w:marLeft w:val="0"/>
      <w:marRight w:val="0"/>
      <w:marTop w:val="0"/>
      <w:marBottom w:val="0"/>
      <w:divBdr>
        <w:top w:val="none" w:sz="0" w:space="0" w:color="auto"/>
        <w:left w:val="none" w:sz="0" w:space="0" w:color="auto"/>
        <w:bottom w:val="none" w:sz="0" w:space="0" w:color="auto"/>
        <w:right w:val="none" w:sz="0" w:space="0" w:color="auto"/>
      </w:divBdr>
    </w:div>
    <w:div w:id="946808712">
      <w:bodyDiv w:val="1"/>
      <w:marLeft w:val="0"/>
      <w:marRight w:val="0"/>
      <w:marTop w:val="0"/>
      <w:marBottom w:val="0"/>
      <w:divBdr>
        <w:top w:val="none" w:sz="0" w:space="0" w:color="auto"/>
        <w:left w:val="none" w:sz="0" w:space="0" w:color="auto"/>
        <w:bottom w:val="none" w:sz="0" w:space="0" w:color="auto"/>
        <w:right w:val="none" w:sz="0" w:space="0" w:color="auto"/>
      </w:divBdr>
    </w:div>
    <w:div w:id="975528095">
      <w:bodyDiv w:val="1"/>
      <w:marLeft w:val="0"/>
      <w:marRight w:val="0"/>
      <w:marTop w:val="0"/>
      <w:marBottom w:val="0"/>
      <w:divBdr>
        <w:top w:val="none" w:sz="0" w:space="0" w:color="auto"/>
        <w:left w:val="none" w:sz="0" w:space="0" w:color="auto"/>
        <w:bottom w:val="none" w:sz="0" w:space="0" w:color="auto"/>
        <w:right w:val="none" w:sz="0" w:space="0" w:color="auto"/>
      </w:divBdr>
    </w:div>
    <w:div w:id="1006714423">
      <w:bodyDiv w:val="1"/>
      <w:marLeft w:val="0"/>
      <w:marRight w:val="0"/>
      <w:marTop w:val="0"/>
      <w:marBottom w:val="0"/>
      <w:divBdr>
        <w:top w:val="none" w:sz="0" w:space="0" w:color="auto"/>
        <w:left w:val="none" w:sz="0" w:space="0" w:color="auto"/>
        <w:bottom w:val="none" w:sz="0" w:space="0" w:color="auto"/>
        <w:right w:val="none" w:sz="0" w:space="0" w:color="auto"/>
      </w:divBdr>
    </w:div>
    <w:div w:id="1008947412">
      <w:bodyDiv w:val="1"/>
      <w:marLeft w:val="0"/>
      <w:marRight w:val="0"/>
      <w:marTop w:val="0"/>
      <w:marBottom w:val="0"/>
      <w:divBdr>
        <w:top w:val="none" w:sz="0" w:space="0" w:color="auto"/>
        <w:left w:val="none" w:sz="0" w:space="0" w:color="auto"/>
        <w:bottom w:val="none" w:sz="0" w:space="0" w:color="auto"/>
        <w:right w:val="none" w:sz="0" w:space="0" w:color="auto"/>
      </w:divBdr>
    </w:div>
    <w:div w:id="1051534941">
      <w:bodyDiv w:val="1"/>
      <w:marLeft w:val="0"/>
      <w:marRight w:val="0"/>
      <w:marTop w:val="0"/>
      <w:marBottom w:val="0"/>
      <w:divBdr>
        <w:top w:val="none" w:sz="0" w:space="0" w:color="auto"/>
        <w:left w:val="none" w:sz="0" w:space="0" w:color="auto"/>
        <w:bottom w:val="none" w:sz="0" w:space="0" w:color="auto"/>
        <w:right w:val="none" w:sz="0" w:space="0" w:color="auto"/>
      </w:divBdr>
    </w:div>
    <w:div w:id="1056391327">
      <w:bodyDiv w:val="1"/>
      <w:marLeft w:val="0"/>
      <w:marRight w:val="0"/>
      <w:marTop w:val="0"/>
      <w:marBottom w:val="0"/>
      <w:divBdr>
        <w:top w:val="none" w:sz="0" w:space="0" w:color="auto"/>
        <w:left w:val="none" w:sz="0" w:space="0" w:color="auto"/>
        <w:bottom w:val="none" w:sz="0" w:space="0" w:color="auto"/>
        <w:right w:val="none" w:sz="0" w:space="0" w:color="auto"/>
      </w:divBdr>
    </w:div>
    <w:div w:id="1156259062">
      <w:bodyDiv w:val="1"/>
      <w:marLeft w:val="0"/>
      <w:marRight w:val="0"/>
      <w:marTop w:val="0"/>
      <w:marBottom w:val="0"/>
      <w:divBdr>
        <w:top w:val="none" w:sz="0" w:space="0" w:color="auto"/>
        <w:left w:val="none" w:sz="0" w:space="0" w:color="auto"/>
        <w:bottom w:val="none" w:sz="0" w:space="0" w:color="auto"/>
        <w:right w:val="none" w:sz="0" w:space="0" w:color="auto"/>
      </w:divBdr>
    </w:div>
    <w:div w:id="1241409278">
      <w:bodyDiv w:val="1"/>
      <w:marLeft w:val="0"/>
      <w:marRight w:val="0"/>
      <w:marTop w:val="0"/>
      <w:marBottom w:val="0"/>
      <w:divBdr>
        <w:top w:val="none" w:sz="0" w:space="0" w:color="auto"/>
        <w:left w:val="none" w:sz="0" w:space="0" w:color="auto"/>
        <w:bottom w:val="none" w:sz="0" w:space="0" w:color="auto"/>
        <w:right w:val="none" w:sz="0" w:space="0" w:color="auto"/>
      </w:divBdr>
    </w:div>
    <w:div w:id="1287854185">
      <w:bodyDiv w:val="1"/>
      <w:marLeft w:val="0"/>
      <w:marRight w:val="0"/>
      <w:marTop w:val="0"/>
      <w:marBottom w:val="0"/>
      <w:divBdr>
        <w:top w:val="none" w:sz="0" w:space="0" w:color="auto"/>
        <w:left w:val="none" w:sz="0" w:space="0" w:color="auto"/>
        <w:bottom w:val="none" w:sz="0" w:space="0" w:color="auto"/>
        <w:right w:val="none" w:sz="0" w:space="0" w:color="auto"/>
      </w:divBdr>
    </w:div>
    <w:div w:id="1323508808">
      <w:bodyDiv w:val="1"/>
      <w:marLeft w:val="0"/>
      <w:marRight w:val="0"/>
      <w:marTop w:val="0"/>
      <w:marBottom w:val="0"/>
      <w:divBdr>
        <w:top w:val="none" w:sz="0" w:space="0" w:color="auto"/>
        <w:left w:val="none" w:sz="0" w:space="0" w:color="auto"/>
        <w:bottom w:val="none" w:sz="0" w:space="0" w:color="auto"/>
        <w:right w:val="none" w:sz="0" w:space="0" w:color="auto"/>
      </w:divBdr>
    </w:div>
    <w:div w:id="1367757814">
      <w:bodyDiv w:val="1"/>
      <w:marLeft w:val="0"/>
      <w:marRight w:val="0"/>
      <w:marTop w:val="0"/>
      <w:marBottom w:val="0"/>
      <w:divBdr>
        <w:top w:val="none" w:sz="0" w:space="0" w:color="auto"/>
        <w:left w:val="none" w:sz="0" w:space="0" w:color="auto"/>
        <w:bottom w:val="none" w:sz="0" w:space="0" w:color="auto"/>
        <w:right w:val="none" w:sz="0" w:space="0" w:color="auto"/>
      </w:divBdr>
    </w:div>
    <w:div w:id="1406489029">
      <w:bodyDiv w:val="1"/>
      <w:marLeft w:val="0"/>
      <w:marRight w:val="0"/>
      <w:marTop w:val="0"/>
      <w:marBottom w:val="0"/>
      <w:divBdr>
        <w:top w:val="none" w:sz="0" w:space="0" w:color="auto"/>
        <w:left w:val="none" w:sz="0" w:space="0" w:color="auto"/>
        <w:bottom w:val="none" w:sz="0" w:space="0" w:color="auto"/>
        <w:right w:val="none" w:sz="0" w:space="0" w:color="auto"/>
      </w:divBdr>
    </w:div>
    <w:div w:id="1447888862">
      <w:bodyDiv w:val="1"/>
      <w:marLeft w:val="0"/>
      <w:marRight w:val="0"/>
      <w:marTop w:val="0"/>
      <w:marBottom w:val="0"/>
      <w:divBdr>
        <w:top w:val="none" w:sz="0" w:space="0" w:color="auto"/>
        <w:left w:val="none" w:sz="0" w:space="0" w:color="auto"/>
        <w:bottom w:val="none" w:sz="0" w:space="0" w:color="auto"/>
        <w:right w:val="none" w:sz="0" w:space="0" w:color="auto"/>
      </w:divBdr>
    </w:div>
    <w:div w:id="1480027869">
      <w:bodyDiv w:val="1"/>
      <w:marLeft w:val="0"/>
      <w:marRight w:val="0"/>
      <w:marTop w:val="0"/>
      <w:marBottom w:val="0"/>
      <w:divBdr>
        <w:top w:val="none" w:sz="0" w:space="0" w:color="auto"/>
        <w:left w:val="none" w:sz="0" w:space="0" w:color="auto"/>
        <w:bottom w:val="none" w:sz="0" w:space="0" w:color="auto"/>
        <w:right w:val="none" w:sz="0" w:space="0" w:color="auto"/>
      </w:divBdr>
    </w:div>
    <w:div w:id="1528637455">
      <w:bodyDiv w:val="1"/>
      <w:marLeft w:val="0"/>
      <w:marRight w:val="0"/>
      <w:marTop w:val="0"/>
      <w:marBottom w:val="0"/>
      <w:divBdr>
        <w:top w:val="none" w:sz="0" w:space="0" w:color="auto"/>
        <w:left w:val="none" w:sz="0" w:space="0" w:color="auto"/>
        <w:bottom w:val="none" w:sz="0" w:space="0" w:color="auto"/>
        <w:right w:val="none" w:sz="0" w:space="0" w:color="auto"/>
      </w:divBdr>
    </w:div>
    <w:div w:id="1568421780">
      <w:bodyDiv w:val="1"/>
      <w:marLeft w:val="0"/>
      <w:marRight w:val="0"/>
      <w:marTop w:val="0"/>
      <w:marBottom w:val="0"/>
      <w:divBdr>
        <w:top w:val="none" w:sz="0" w:space="0" w:color="auto"/>
        <w:left w:val="none" w:sz="0" w:space="0" w:color="auto"/>
        <w:bottom w:val="none" w:sz="0" w:space="0" w:color="auto"/>
        <w:right w:val="none" w:sz="0" w:space="0" w:color="auto"/>
      </w:divBdr>
    </w:div>
    <w:div w:id="1608394157">
      <w:bodyDiv w:val="1"/>
      <w:marLeft w:val="0"/>
      <w:marRight w:val="0"/>
      <w:marTop w:val="0"/>
      <w:marBottom w:val="0"/>
      <w:divBdr>
        <w:top w:val="none" w:sz="0" w:space="0" w:color="auto"/>
        <w:left w:val="none" w:sz="0" w:space="0" w:color="auto"/>
        <w:bottom w:val="none" w:sz="0" w:space="0" w:color="auto"/>
        <w:right w:val="none" w:sz="0" w:space="0" w:color="auto"/>
      </w:divBdr>
    </w:div>
    <w:div w:id="1614746015">
      <w:bodyDiv w:val="1"/>
      <w:marLeft w:val="0"/>
      <w:marRight w:val="0"/>
      <w:marTop w:val="0"/>
      <w:marBottom w:val="0"/>
      <w:divBdr>
        <w:top w:val="none" w:sz="0" w:space="0" w:color="auto"/>
        <w:left w:val="none" w:sz="0" w:space="0" w:color="auto"/>
        <w:bottom w:val="none" w:sz="0" w:space="0" w:color="auto"/>
        <w:right w:val="none" w:sz="0" w:space="0" w:color="auto"/>
      </w:divBdr>
    </w:div>
    <w:div w:id="1635719880">
      <w:bodyDiv w:val="1"/>
      <w:marLeft w:val="0"/>
      <w:marRight w:val="0"/>
      <w:marTop w:val="0"/>
      <w:marBottom w:val="0"/>
      <w:divBdr>
        <w:top w:val="none" w:sz="0" w:space="0" w:color="auto"/>
        <w:left w:val="none" w:sz="0" w:space="0" w:color="auto"/>
        <w:bottom w:val="none" w:sz="0" w:space="0" w:color="auto"/>
        <w:right w:val="none" w:sz="0" w:space="0" w:color="auto"/>
      </w:divBdr>
    </w:div>
    <w:div w:id="1640643275">
      <w:bodyDiv w:val="1"/>
      <w:marLeft w:val="0"/>
      <w:marRight w:val="0"/>
      <w:marTop w:val="0"/>
      <w:marBottom w:val="0"/>
      <w:divBdr>
        <w:top w:val="none" w:sz="0" w:space="0" w:color="auto"/>
        <w:left w:val="none" w:sz="0" w:space="0" w:color="auto"/>
        <w:bottom w:val="none" w:sz="0" w:space="0" w:color="auto"/>
        <w:right w:val="none" w:sz="0" w:space="0" w:color="auto"/>
      </w:divBdr>
    </w:div>
    <w:div w:id="1683700448">
      <w:bodyDiv w:val="1"/>
      <w:marLeft w:val="0"/>
      <w:marRight w:val="0"/>
      <w:marTop w:val="0"/>
      <w:marBottom w:val="0"/>
      <w:divBdr>
        <w:top w:val="none" w:sz="0" w:space="0" w:color="auto"/>
        <w:left w:val="none" w:sz="0" w:space="0" w:color="auto"/>
        <w:bottom w:val="none" w:sz="0" w:space="0" w:color="auto"/>
        <w:right w:val="none" w:sz="0" w:space="0" w:color="auto"/>
      </w:divBdr>
      <w:divsChild>
        <w:div w:id="554632071">
          <w:marLeft w:val="547"/>
          <w:marRight w:val="0"/>
          <w:marTop w:val="0"/>
          <w:marBottom w:val="0"/>
          <w:divBdr>
            <w:top w:val="none" w:sz="0" w:space="0" w:color="auto"/>
            <w:left w:val="none" w:sz="0" w:space="0" w:color="auto"/>
            <w:bottom w:val="none" w:sz="0" w:space="0" w:color="auto"/>
            <w:right w:val="none" w:sz="0" w:space="0" w:color="auto"/>
          </w:divBdr>
        </w:div>
      </w:divsChild>
    </w:div>
    <w:div w:id="1688171546">
      <w:bodyDiv w:val="1"/>
      <w:marLeft w:val="0"/>
      <w:marRight w:val="0"/>
      <w:marTop w:val="0"/>
      <w:marBottom w:val="0"/>
      <w:divBdr>
        <w:top w:val="none" w:sz="0" w:space="0" w:color="auto"/>
        <w:left w:val="none" w:sz="0" w:space="0" w:color="auto"/>
        <w:bottom w:val="none" w:sz="0" w:space="0" w:color="auto"/>
        <w:right w:val="none" w:sz="0" w:space="0" w:color="auto"/>
      </w:divBdr>
    </w:div>
    <w:div w:id="1759518603">
      <w:bodyDiv w:val="1"/>
      <w:marLeft w:val="0"/>
      <w:marRight w:val="0"/>
      <w:marTop w:val="0"/>
      <w:marBottom w:val="0"/>
      <w:divBdr>
        <w:top w:val="none" w:sz="0" w:space="0" w:color="auto"/>
        <w:left w:val="none" w:sz="0" w:space="0" w:color="auto"/>
        <w:bottom w:val="none" w:sz="0" w:space="0" w:color="auto"/>
        <w:right w:val="none" w:sz="0" w:space="0" w:color="auto"/>
      </w:divBdr>
    </w:div>
    <w:div w:id="1797333028">
      <w:bodyDiv w:val="1"/>
      <w:marLeft w:val="0"/>
      <w:marRight w:val="0"/>
      <w:marTop w:val="0"/>
      <w:marBottom w:val="0"/>
      <w:divBdr>
        <w:top w:val="none" w:sz="0" w:space="0" w:color="auto"/>
        <w:left w:val="none" w:sz="0" w:space="0" w:color="auto"/>
        <w:bottom w:val="none" w:sz="0" w:space="0" w:color="auto"/>
        <w:right w:val="none" w:sz="0" w:space="0" w:color="auto"/>
      </w:divBdr>
    </w:div>
    <w:div w:id="1842551224">
      <w:bodyDiv w:val="1"/>
      <w:marLeft w:val="0"/>
      <w:marRight w:val="0"/>
      <w:marTop w:val="0"/>
      <w:marBottom w:val="0"/>
      <w:divBdr>
        <w:top w:val="none" w:sz="0" w:space="0" w:color="auto"/>
        <w:left w:val="none" w:sz="0" w:space="0" w:color="auto"/>
        <w:bottom w:val="none" w:sz="0" w:space="0" w:color="auto"/>
        <w:right w:val="none" w:sz="0" w:space="0" w:color="auto"/>
      </w:divBdr>
    </w:div>
    <w:div w:id="1854027297">
      <w:bodyDiv w:val="1"/>
      <w:marLeft w:val="0"/>
      <w:marRight w:val="0"/>
      <w:marTop w:val="0"/>
      <w:marBottom w:val="0"/>
      <w:divBdr>
        <w:top w:val="none" w:sz="0" w:space="0" w:color="auto"/>
        <w:left w:val="none" w:sz="0" w:space="0" w:color="auto"/>
        <w:bottom w:val="none" w:sz="0" w:space="0" w:color="auto"/>
        <w:right w:val="none" w:sz="0" w:space="0" w:color="auto"/>
      </w:divBdr>
      <w:divsChild>
        <w:div w:id="702824662">
          <w:marLeft w:val="547"/>
          <w:marRight w:val="0"/>
          <w:marTop w:val="0"/>
          <w:marBottom w:val="0"/>
          <w:divBdr>
            <w:top w:val="none" w:sz="0" w:space="0" w:color="auto"/>
            <w:left w:val="none" w:sz="0" w:space="0" w:color="auto"/>
            <w:bottom w:val="none" w:sz="0" w:space="0" w:color="auto"/>
            <w:right w:val="none" w:sz="0" w:space="0" w:color="auto"/>
          </w:divBdr>
        </w:div>
      </w:divsChild>
    </w:div>
    <w:div w:id="1880976185">
      <w:bodyDiv w:val="1"/>
      <w:marLeft w:val="0"/>
      <w:marRight w:val="0"/>
      <w:marTop w:val="0"/>
      <w:marBottom w:val="0"/>
      <w:divBdr>
        <w:top w:val="none" w:sz="0" w:space="0" w:color="auto"/>
        <w:left w:val="none" w:sz="0" w:space="0" w:color="auto"/>
        <w:bottom w:val="none" w:sz="0" w:space="0" w:color="auto"/>
        <w:right w:val="none" w:sz="0" w:space="0" w:color="auto"/>
      </w:divBdr>
      <w:divsChild>
        <w:div w:id="1338507980">
          <w:marLeft w:val="547"/>
          <w:marRight w:val="0"/>
          <w:marTop w:val="0"/>
          <w:marBottom w:val="0"/>
          <w:divBdr>
            <w:top w:val="none" w:sz="0" w:space="0" w:color="auto"/>
            <w:left w:val="none" w:sz="0" w:space="0" w:color="auto"/>
            <w:bottom w:val="none" w:sz="0" w:space="0" w:color="auto"/>
            <w:right w:val="none" w:sz="0" w:space="0" w:color="auto"/>
          </w:divBdr>
        </w:div>
        <w:div w:id="40790413">
          <w:marLeft w:val="547"/>
          <w:marRight w:val="0"/>
          <w:marTop w:val="0"/>
          <w:marBottom w:val="0"/>
          <w:divBdr>
            <w:top w:val="none" w:sz="0" w:space="0" w:color="auto"/>
            <w:left w:val="none" w:sz="0" w:space="0" w:color="auto"/>
            <w:bottom w:val="none" w:sz="0" w:space="0" w:color="auto"/>
            <w:right w:val="none" w:sz="0" w:space="0" w:color="auto"/>
          </w:divBdr>
        </w:div>
      </w:divsChild>
    </w:div>
    <w:div w:id="1928532747">
      <w:bodyDiv w:val="1"/>
      <w:marLeft w:val="0"/>
      <w:marRight w:val="0"/>
      <w:marTop w:val="0"/>
      <w:marBottom w:val="0"/>
      <w:divBdr>
        <w:top w:val="none" w:sz="0" w:space="0" w:color="auto"/>
        <w:left w:val="none" w:sz="0" w:space="0" w:color="auto"/>
        <w:bottom w:val="none" w:sz="0" w:space="0" w:color="auto"/>
        <w:right w:val="none" w:sz="0" w:space="0" w:color="auto"/>
      </w:divBdr>
    </w:div>
    <w:div w:id="1938321402">
      <w:bodyDiv w:val="1"/>
      <w:marLeft w:val="0"/>
      <w:marRight w:val="0"/>
      <w:marTop w:val="0"/>
      <w:marBottom w:val="0"/>
      <w:divBdr>
        <w:top w:val="none" w:sz="0" w:space="0" w:color="auto"/>
        <w:left w:val="none" w:sz="0" w:space="0" w:color="auto"/>
        <w:bottom w:val="none" w:sz="0" w:space="0" w:color="auto"/>
        <w:right w:val="none" w:sz="0" w:space="0" w:color="auto"/>
      </w:divBdr>
    </w:div>
    <w:div w:id="2005744142">
      <w:bodyDiv w:val="1"/>
      <w:marLeft w:val="0"/>
      <w:marRight w:val="0"/>
      <w:marTop w:val="0"/>
      <w:marBottom w:val="0"/>
      <w:divBdr>
        <w:top w:val="none" w:sz="0" w:space="0" w:color="auto"/>
        <w:left w:val="none" w:sz="0" w:space="0" w:color="auto"/>
        <w:bottom w:val="none" w:sz="0" w:space="0" w:color="auto"/>
        <w:right w:val="none" w:sz="0" w:space="0" w:color="auto"/>
      </w:divBdr>
    </w:div>
    <w:div w:id="2059669092">
      <w:bodyDiv w:val="1"/>
      <w:marLeft w:val="0"/>
      <w:marRight w:val="0"/>
      <w:marTop w:val="0"/>
      <w:marBottom w:val="0"/>
      <w:divBdr>
        <w:top w:val="none" w:sz="0" w:space="0" w:color="auto"/>
        <w:left w:val="none" w:sz="0" w:space="0" w:color="auto"/>
        <w:bottom w:val="none" w:sz="0" w:space="0" w:color="auto"/>
        <w:right w:val="none" w:sz="0" w:space="0" w:color="auto"/>
      </w:divBdr>
    </w:div>
    <w:div w:id="2084721009">
      <w:bodyDiv w:val="1"/>
      <w:marLeft w:val="0"/>
      <w:marRight w:val="0"/>
      <w:marTop w:val="0"/>
      <w:marBottom w:val="0"/>
      <w:divBdr>
        <w:top w:val="none" w:sz="0" w:space="0" w:color="auto"/>
        <w:left w:val="none" w:sz="0" w:space="0" w:color="auto"/>
        <w:bottom w:val="none" w:sz="0" w:space="0" w:color="auto"/>
        <w:right w:val="none" w:sz="0" w:space="0" w:color="auto"/>
      </w:divBdr>
    </w:div>
    <w:div w:id="2115321563">
      <w:bodyDiv w:val="1"/>
      <w:marLeft w:val="0"/>
      <w:marRight w:val="0"/>
      <w:marTop w:val="0"/>
      <w:marBottom w:val="0"/>
      <w:divBdr>
        <w:top w:val="none" w:sz="0" w:space="0" w:color="auto"/>
        <w:left w:val="none" w:sz="0" w:space="0" w:color="auto"/>
        <w:bottom w:val="none" w:sz="0" w:space="0" w:color="auto"/>
        <w:right w:val="none" w:sz="0" w:space="0" w:color="auto"/>
      </w:divBdr>
    </w:div>
    <w:div w:id="21441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DDF6E-4504-49ED-B693-C1328716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4232</Words>
  <Characters>22823</Characters>
  <Application>Microsoft Office Word</Application>
  <DocSecurity>4</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James Cook, Management Accounting, ext 150180</dc:creator>
  <cp:lastModifiedBy>Anna Hook 42078328</cp:lastModifiedBy>
  <cp:revision>2</cp:revision>
  <cp:lastPrinted>2019-04-23T17:58:00Z</cp:lastPrinted>
  <dcterms:created xsi:type="dcterms:W3CDTF">2019-05-17T14:05:00Z</dcterms:created>
  <dcterms:modified xsi:type="dcterms:W3CDTF">2019-05-17T14:05:00Z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7161</vt:lpwstr>
  </property>
  <property fmtid="{D5CDD505-2E9C-101B-9397-08002B2CF9AE}" pid="3" name="Protective Marking">
    <vt:lpwstr>NOT PROTECTIVELY MARKED</vt:lpwstr>
  </property>
  <property fmtid="{D5CDD505-2E9C-101B-9397-08002B2CF9AE}" pid="4" name="Descriptor">
    <vt:lpwstr/>
  </property>
</Properties>
</file>