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87D" w:rsidRDefault="00E9387D" w:rsidP="00E9387D">
      <w:pPr>
        <w:spacing w:line="240" w:lineRule="auto"/>
        <w:jc w:val="center"/>
        <w:rPr>
          <w:rFonts w:cs="Arial"/>
          <w:b/>
          <w:sz w:val="24"/>
        </w:rPr>
      </w:pPr>
      <w:bookmarkStart w:id="0" w:name="_Toc424893992"/>
      <w:bookmarkStart w:id="1" w:name="_Toc424896271"/>
      <w:bookmarkStart w:id="2" w:name="_Toc431290606"/>
      <w:bookmarkStart w:id="3" w:name="_Toc432146302"/>
      <w:bookmarkStart w:id="4" w:name="_Toc432146390"/>
      <w:bookmarkStart w:id="5" w:name="_Toc432158487"/>
      <w:bookmarkStart w:id="6" w:name="_Toc440901931"/>
      <w:bookmarkStart w:id="7" w:name="_Toc445373701"/>
      <w:bookmarkStart w:id="8" w:name="_Toc450572663"/>
      <w:r>
        <w:rPr>
          <w:rFonts w:cs="Arial"/>
          <w:b/>
          <w:sz w:val="24"/>
        </w:rPr>
        <w:t>Performance and Resources Scrutiny Programme 2018/2019</w:t>
      </w:r>
    </w:p>
    <w:p w:rsidR="00E9387D" w:rsidRDefault="00E9387D" w:rsidP="00E9387D">
      <w:pPr>
        <w:spacing w:line="240" w:lineRule="auto"/>
        <w:jc w:val="center"/>
        <w:rPr>
          <w:rFonts w:cs="Arial"/>
          <w:b/>
          <w:sz w:val="24"/>
        </w:rPr>
      </w:pPr>
    </w:p>
    <w:p w:rsidR="00E9387D" w:rsidRDefault="00E9387D" w:rsidP="00E9387D">
      <w:pPr>
        <w:spacing w:line="240" w:lineRule="auto"/>
        <w:jc w:val="center"/>
        <w:rPr>
          <w:rFonts w:cs="Arial"/>
          <w:b/>
          <w:sz w:val="24"/>
        </w:rPr>
      </w:pPr>
      <w:r>
        <w:rPr>
          <w:rFonts w:cs="Arial"/>
          <w:b/>
          <w:sz w:val="24"/>
        </w:rPr>
        <w:t>Report to: the Office of the Police, Fire and Crime Commissioner for Essex</w:t>
      </w:r>
    </w:p>
    <w:p w:rsidR="00E9387D" w:rsidRDefault="00E9387D" w:rsidP="00E9387D">
      <w:pPr>
        <w:spacing w:line="240" w:lineRule="auto"/>
        <w:jc w:val="center"/>
        <w:rPr>
          <w:rFonts w:cs="Arial"/>
          <w:b/>
          <w:sz w:val="24"/>
        </w:rPr>
      </w:pPr>
    </w:p>
    <w:p w:rsidR="00E9387D" w:rsidRDefault="00E9387D" w:rsidP="00E9387D">
      <w:pPr>
        <w:spacing w:line="240" w:lineRule="auto"/>
        <w:jc w:val="center"/>
        <w:rPr>
          <w:rFonts w:cs="Arial"/>
          <w:b/>
          <w:sz w:val="24"/>
        </w:rPr>
      </w:pPr>
    </w:p>
    <w:tbl>
      <w:tblPr>
        <w:tblStyle w:val="TableGrid"/>
        <w:tblW w:w="0" w:type="auto"/>
        <w:tblInd w:w="817" w:type="dxa"/>
        <w:tblLook w:val="04A0" w:firstRow="1" w:lastRow="0" w:firstColumn="1" w:lastColumn="0" w:noHBand="0" w:noVBand="1"/>
      </w:tblPr>
      <w:tblGrid>
        <w:gridCol w:w="3260"/>
        <w:gridCol w:w="5103"/>
      </w:tblGrid>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Title of Report:</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E9387D" w:rsidP="00541776">
            <w:pPr>
              <w:rPr>
                <w:rFonts w:cs="Arial"/>
                <w:b/>
                <w:szCs w:val="22"/>
              </w:rPr>
            </w:pPr>
            <w:r>
              <w:rPr>
                <w:rFonts w:cs="Arial"/>
                <w:b/>
              </w:rPr>
              <w:t xml:space="preserve">2018/19 </w:t>
            </w:r>
            <w:r w:rsidR="007C57D2">
              <w:rPr>
                <w:rFonts w:cs="Arial"/>
                <w:b/>
              </w:rPr>
              <w:t>Provisional Revenue</w:t>
            </w:r>
            <w:r w:rsidR="00541776">
              <w:rPr>
                <w:rFonts w:cs="Arial"/>
                <w:b/>
              </w:rPr>
              <w:t xml:space="preserve">, </w:t>
            </w:r>
            <w:r w:rsidR="007C57D2">
              <w:rPr>
                <w:rFonts w:cs="Arial"/>
                <w:b/>
              </w:rPr>
              <w:t>Capital Outturn Report</w:t>
            </w:r>
            <w:r w:rsidR="00541776">
              <w:rPr>
                <w:rFonts w:cs="Arial"/>
                <w:b/>
              </w:rPr>
              <w:t xml:space="preserve"> &amp; Draft Unaudited</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color w:val="0070C0"/>
                <w:sz w:val="24"/>
              </w:rPr>
              <w:t>Agenda Number:</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9074B6" w:rsidP="0071200E">
            <w:pPr>
              <w:spacing w:line="480" w:lineRule="auto"/>
              <w:rPr>
                <w:rFonts w:cs="Arial"/>
                <w:b/>
                <w:sz w:val="24"/>
              </w:rPr>
            </w:pPr>
            <w:r>
              <w:rPr>
                <w:rFonts w:cs="Arial"/>
                <w:b/>
                <w:color w:val="0070C0"/>
                <w:sz w:val="24"/>
              </w:rPr>
              <w:t>12. ii (a)</w:t>
            </w:r>
            <w:bookmarkStart w:id="9" w:name="_GoBack"/>
            <w:bookmarkEnd w:id="9"/>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Chief Officer</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E9387D" w:rsidP="0071200E">
            <w:pPr>
              <w:rPr>
                <w:rFonts w:cs="Arial"/>
                <w:b/>
                <w:sz w:val="24"/>
              </w:rPr>
            </w:pPr>
            <w:r>
              <w:rPr>
                <w:rFonts w:cs="Arial"/>
                <w:b/>
                <w:sz w:val="24"/>
              </w:rPr>
              <w:t xml:space="preserve">Mark </w:t>
            </w:r>
            <w:r>
              <w:rPr>
                <w:b/>
                <w:sz w:val="24"/>
              </w:rPr>
              <w:t>Gilmartin</w:t>
            </w:r>
            <w:r>
              <w:rPr>
                <w:rFonts w:cs="Arial"/>
                <w:b/>
                <w:sz w:val="24"/>
              </w:rPr>
              <w:t>, Director of Essex and Kent Support Services</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Date Paper was Written</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7C57D2" w:rsidP="007C57D2">
            <w:pPr>
              <w:spacing w:line="480" w:lineRule="auto"/>
              <w:rPr>
                <w:rFonts w:cs="Arial"/>
                <w:b/>
                <w:sz w:val="24"/>
              </w:rPr>
            </w:pPr>
            <w:r>
              <w:rPr>
                <w:rFonts w:cs="Arial"/>
                <w:b/>
                <w:sz w:val="24"/>
              </w:rPr>
              <w:t>17</w:t>
            </w:r>
            <w:r w:rsidRPr="007C57D2">
              <w:rPr>
                <w:rFonts w:cs="Arial"/>
                <w:b/>
                <w:sz w:val="24"/>
                <w:vertAlign w:val="superscript"/>
              </w:rPr>
              <w:t>th</w:t>
            </w:r>
            <w:r>
              <w:rPr>
                <w:rFonts w:cs="Arial"/>
                <w:b/>
                <w:sz w:val="24"/>
              </w:rPr>
              <w:t xml:space="preserve"> May</w:t>
            </w:r>
            <w:r w:rsidR="00E9387D">
              <w:rPr>
                <w:rFonts w:cs="Arial"/>
                <w:b/>
                <w:sz w:val="24"/>
              </w:rPr>
              <w:t xml:space="preserve"> 2019</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Version Number</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Version 1</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 xml:space="preserve">Report from: </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Essex Police: Corporate Finance</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Date of Meeting:</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7C57D2" w:rsidP="0071200E">
            <w:pPr>
              <w:spacing w:line="480" w:lineRule="auto"/>
              <w:rPr>
                <w:rFonts w:cs="Arial"/>
                <w:b/>
                <w:sz w:val="24"/>
              </w:rPr>
            </w:pPr>
            <w:r>
              <w:rPr>
                <w:rFonts w:cs="Arial"/>
                <w:b/>
                <w:sz w:val="24"/>
              </w:rPr>
              <w:t>23</w:t>
            </w:r>
            <w:r w:rsidRPr="007C57D2">
              <w:rPr>
                <w:rFonts w:cs="Arial"/>
                <w:b/>
                <w:sz w:val="24"/>
                <w:vertAlign w:val="superscript"/>
              </w:rPr>
              <w:t>rd</w:t>
            </w:r>
            <w:r>
              <w:rPr>
                <w:rFonts w:cs="Arial"/>
                <w:b/>
                <w:sz w:val="24"/>
              </w:rPr>
              <w:t xml:space="preserve"> May</w:t>
            </w:r>
            <w:r w:rsidR="00E9387D">
              <w:rPr>
                <w:rFonts w:cs="Arial"/>
                <w:b/>
                <w:sz w:val="24"/>
              </w:rPr>
              <w:t xml:space="preserve"> 2019</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rPr>
                <w:rFonts w:cs="Arial"/>
                <w:b/>
                <w:sz w:val="24"/>
              </w:rPr>
            </w:pPr>
            <w:r>
              <w:rPr>
                <w:rFonts w:cs="Arial"/>
                <w:b/>
                <w:sz w:val="24"/>
              </w:rPr>
              <w:t>Author on behalf of Chief Officer:</w:t>
            </w:r>
          </w:p>
        </w:tc>
        <w:tc>
          <w:tcPr>
            <w:tcW w:w="5103" w:type="dxa"/>
            <w:tcBorders>
              <w:top w:val="single" w:sz="4" w:space="0" w:color="auto"/>
              <w:left w:val="single" w:sz="4" w:space="0" w:color="auto"/>
              <w:bottom w:val="single" w:sz="4" w:space="0" w:color="auto"/>
              <w:right w:val="single" w:sz="4" w:space="0" w:color="auto"/>
            </w:tcBorders>
            <w:hideMark/>
          </w:tcPr>
          <w:p w:rsidR="00E9387D" w:rsidRDefault="00E9387D" w:rsidP="00541776">
            <w:pPr>
              <w:spacing w:line="240" w:lineRule="auto"/>
              <w:rPr>
                <w:rFonts w:cs="Arial"/>
                <w:b/>
                <w:sz w:val="24"/>
              </w:rPr>
            </w:pPr>
            <w:r>
              <w:rPr>
                <w:rFonts w:cs="Arial"/>
                <w:b/>
                <w:sz w:val="24"/>
              </w:rPr>
              <w:t>Richard Jones, Head of Business Partnering and Management Accounting</w:t>
            </w:r>
          </w:p>
          <w:p w:rsidR="00541776" w:rsidRDefault="00541776" w:rsidP="00541776">
            <w:pPr>
              <w:spacing w:line="240" w:lineRule="auto"/>
              <w:rPr>
                <w:rFonts w:cs="Arial"/>
                <w:b/>
                <w:sz w:val="24"/>
              </w:rPr>
            </w:pPr>
          </w:p>
          <w:p w:rsidR="00541776" w:rsidRDefault="00541776" w:rsidP="00541776">
            <w:pPr>
              <w:spacing w:line="240" w:lineRule="auto"/>
              <w:rPr>
                <w:rFonts w:cs="Arial"/>
                <w:b/>
                <w:sz w:val="24"/>
              </w:rPr>
            </w:pPr>
            <w:r>
              <w:rPr>
                <w:rFonts w:cs="Arial"/>
                <w:b/>
                <w:sz w:val="24"/>
              </w:rPr>
              <w:t>Denise Breckon, Chief Accountant</w:t>
            </w:r>
          </w:p>
        </w:tc>
      </w:tr>
      <w:tr w:rsidR="00E9387D" w:rsidTr="0071200E">
        <w:tc>
          <w:tcPr>
            <w:tcW w:w="3260" w:type="dxa"/>
            <w:tcBorders>
              <w:top w:val="single" w:sz="4" w:space="0" w:color="auto"/>
              <w:left w:val="single" w:sz="4" w:space="0" w:color="auto"/>
              <w:bottom w:val="single" w:sz="4" w:space="0" w:color="auto"/>
              <w:right w:val="single" w:sz="4" w:space="0" w:color="auto"/>
            </w:tcBorders>
            <w:hideMark/>
          </w:tcPr>
          <w:p w:rsidR="00E9387D" w:rsidRDefault="00E9387D" w:rsidP="0071200E">
            <w:pPr>
              <w:spacing w:line="480" w:lineRule="auto"/>
              <w:rPr>
                <w:rFonts w:cs="Arial"/>
                <w:b/>
                <w:sz w:val="24"/>
              </w:rPr>
            </w:pPr>
            <w:r>
              <w:rPr>
                <w:rFonts w:cs="Arial"/>
                <w:b/>
                <w:sz w:val="24"/>
              </w:rPr>
              <w:t>Date of Approval:</w:t>
            </w:r>
          </w:p>
        </w:tc>
        <w:tc>
          <w:tcPr>
            <w:tcW w:w="5103" w:type="dxa"/>
            <w:tcBorders>
              <w:top w:val="single" w:sz="4" w:space="0" w:color="auto"/>
              <w:left w:val="single" w:sz="4" w:space="0" w:color="auto"/>
              <w:bottom w:val="single" w:sz="4" w:space="0" w:color="auto"/>
              <w:right w:val="single" w:sz="4" w:space="0" w:color="auto"/>
            </w:tcBorders>
          </w:tcPr>
          <w:p w:rsidR="00E9387D" w:rsidRDefault="00E9387D" w:rsidP="0071200E">
            <w:pPr>
              <w:spacing w:line="480" w:lineRule="auto"/>
              <w:rPr>
                <w:rFonts w:cs="Arial"/>
                <w:b/>
                <w:sz w:val="24"/>
              </w:rPr>
            </w:pPr>
          </w:p>
        </w:tc>
      </w:tr>
    </w:tbl>
    <w:p w:rsidR="00E9387D" w:rsidRDefault="00E9387D" w:rsidP="00E9387D">
      <w:pPr>
        <w:pStyle w:val="NoSpacing"/>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Purpose of Report</w:t>
      </w:r>
    </w:p>
    <w:p w:rsidR="00E9387D" w:rsidRDefault="00E9387D" w:rsidP="00E9387D">
      <w:pPr>
        <w:pStyle w:val="NoSpacing"/>
        <w:ind w:left="720"/>
        <w:rPr>
          <w:rFonts w:ascii="Arial" w:hAnsi="Arial" w:cs="Arial"/>
          <w:b/>
          <w:sz w:val="24"/>
          <w:szCs w:val="24"/>
          <w:u w:val="single"/>
        </w:rPr>
      </w:pPr>
    </w:p>
    <w:p w:rsidR="00E9387D" w:rsidRDefault="00E9387D" w:rsidP="00E9387D">
      <w:pPr>
        <w:pStyle w:val="NoSpacing"/>
        <w:numPr>
          <w:ilvl w:val="1"/>
          <w:numId w:val="6"/>
        </w:numPr>
        <w:ind w:left="709"/>
        <w:rPr>
          <w:rFonts w:ascii="Arial" w:hAnsi="Arial" w:cs="Arial"/>
          <w:sz w:val="24"/>
          <w:szCs w:val="24"/>
        </w:rPr>
      </w:pPr>
      <w:r>
        <w:rPr>
          <w:rFonts w:ascii="Arial" w:hAnsi="Arial" w:cs="Arial"/>
          <w:sz w:val="24"/>
          <w:szCs w:val="24"/>
        </w:rPr>
        <w:t xml:space="preserve">This report identifies the 2018/19 </w:t>
      </w:r>
      <w:r w:rsidR="007C57D2">
        <w:rPr>
          <w:rFonts w:ascii="Arial" w:hAnsi="Arial" w:cs="Arial"/>
          <w:sz w:val="24"/>
          <w:szCs w:val="24"/>
        </w:rPr>
        <w:t>provisional outturn position</w:t>
      </w:r>
      <w:r>
        <w:rPr>
          <w:rFonts w:ascii="Arial" w:hAnsi="Arial" w:cs="Arial"/>
          <w:sz w:val="24"/>
          <w:szCs w:val="24"/>
        </w:rPr>
        <w:t xml:space="preserve"> for the Force</w:t>
      </w:r>
      <w:r w:rsidR="00541776">
        <w:rPr>
          <w:rFonts w:ascii="Arial" w:hAnsi="Arial" w:cs="Arial"/>
          <w:sz w:val="24"/>
          <w:szCs w:val="24"/>
        </w:rPr>
        <w:t xml:space="preserve"> and the draft Unaudited Statement of Accounts</w:t>
      </w:r>
      <w:r>
        <w:rPr>
          <w:rFonts w:ascii="Arial" w:hAnsi="Arial" w:cs="Arial"/>
          <w:sz w:val="24"/>
          <w:szCs w:val="24"/>
        </w:rPr>
        <w:t>.</w:t>
      </w:r>
    </w:p>
    <w:p w:rsidR="00E9387D" w:rsidRDefault="00E9387D" w:rsidP="00E9387D">
      <w:pPr>
        <w:pStyle w:val="NoSpacing"/>
        <w:ind w:left="720"/>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Recommendations</w:t>
      </w:r>
    </w:p>
    <w:p w:rsidR="00E9387D" w:rsidRDefault="00E9387D" w:rsidP="00E9387D">
      <w:pPr>
        <w:pStyle w:val="NoSpacing"/>
        <w:ind w:left="720"/>
        <w:rPr>
          <w:rFonts w:ascii="Arial" w:hAnsi="Arial" w:cs="Arial"/>
          <w:b/>
          <w:sz w:val="24"/>
          <w:szCs w:val="24"/>
          <w:u w:val="single"/>
        </w:rPr>
      </w:pPr>
    </w:p>
    <w:p w:rsidR="00E9387D" w:rsidRDefault="00E9387D" w:rsidP="00E9387D">
      <w:pPr>
        <w:pStyle w:val="NoSpacing"/>
        <w:numPr>
          <w:ilvl w:val="1"/>
          <w:numId w:val="6"/>
        </w:numPr>
        <w:ind w:left="709"/>
        <w:rPr>
          <w:rFonts w:ascii="Arial" w:hAnsi="Arial" w:cs="Arial"/>
          <w:sz w:val="24"/>
          <w:szCs w:val="24"/>
        </w:rPr>
      </w:pPr>
      <w:r>
        <w:rPr>
          <w:rFonts w:ascii="Arial" w:hAnsi="Arial" w:cs="Arial"/>
          <w:sz w:val="24"/>
          <w:szCs w:val="24"/>
        </w:rPr>
        <w:t>T</w:t>
      </w:r>
      <w:r w:rsidR="006E46EB">
        <w:rPr>
          <w:rFonts w:ascii="Arial" w:hAnsi="Arial" w:cs="Arial"/>
          <w:sz w:val="24"/>
          <w:szCs w:val="24"/>
        </w:rPr>
        <w:t>o approve the level of earmarked reserves and the General Reserve balances (para 9)</w:t>
      </w:r>
      <w:r>
        <w:rPr>
          <w:rFonts w:ascii="Arial" w:hAnsi="Arial" w:cs="Arial"/>
          <w:sz w:val="24"/>
          <w:szCs w:val="24"/>
        </w:rPr>
        <w:t>.</w:t>
      </w:r>
      <w:r w:rsidR="006E46EB">
        <w:rPr>
          <w:rFonts w:ascii="Arial" w:hAnsi="Arial" w:cs="Arial"/>
          <w:sz w:val="24"/>
          <w:szCs w:val="24"/>
        </w:rPr>
        <w:t xml:space="preserve">  </w:t>
      </w:r>
    </w:p>
    <w:p w:rsidR="006E46EB" w:rsidRDefault="006E46EB" w:rsidP="006E46EB">
      <w:pPr>
        <w:pStyle w:val="NoSpacing"/>
        <w:ind w:left="709"/>
        <w:rPr>
          <w:rFonts w:ascii="Arial" w:hAnsi="Arial" w:cs="Arial"/>
          <w:sz w:val="24"/>
          <w:szCs w:val="24"/>
        </w:rPr>
      </w:pPr>
    </w:p>
    <w:p w:rsidR="006E46EB" w:rsidRDefault="006E46EB" w:rsidP="00E9387D">
      <w:pPr>
        <w:pStyle w:val="NoSpacing"/>
        <w:numPr>
          <w:ilvl w:val="1"/>
          <w:numId w:val="6"/>
        </w:numPr>
        <w:ind w:left="709"/>
        <w:rPr>
          <w:rFonts w:ascii="Arial" w:hAnsi="Arial" w:cs="Arial"/>
          <w:sz w:val="24"/>
          <w:szCs w:val="24"/>
        </w:rPr>
      </w:pPr>
      <w:r>
        <w:rPr>
          <w:rFonts w:ascii="Arial" w:hAnsi="Arial" w:cs="Arial"/>
          <w:sz w:val="24"/>
          <w:szCs w:val="24"/>
        </w:rPr>
        <w:t>To review the 2018/19 draft unaudited Statement of Accounts.</w:t>
      </w:r>
    </w:p>
    <w:p w:rsidR="00E9387D" w:rsidRDefault="00E9387D" w:rsidP="00E9387D">
      <w:pPr>
        <w:pStyle w:val="NoSpacing"/>
        <w:ind w:left="720"/>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Executive Summary</w:t>
      </w:r>
    </w:p>
    <w:p w:rsidR="00E9387D" w:rsidRDefault="00E9387D" w:rsidP="00E9387D">
      <w:pPr>
        <w:pStyle w:val="NoSpacing"/>
        <w:ind w:left="720"/>
        <w:rPr>
          <w:rFonts w:ascii="Arial" w:hAnsi="Arial" w:cs="Arial"/>
          <w:sz w:val="24"/>
          <w:szCs w:val="24"/>
          <w:u w:val="single"/>
        </w:rPr>
      </w:pPr>
    </w:p>
    <w:p w:rsidR="00E9387D" w:rsidRPr="009F00D8" w:rsidRDefault="00E9387D" w:rsidP="009F00D8">
      <w:pPr>
        <w:pStyle w:val="NoSpacing"/>
        <w:numPr>
          <w:ilvl w:val="1"/>
          <w:numId w:val="6"/>
        </w:numPr>
        <w:ind w:left="720"/>
        <w:rPr>
          <w:rFonts w:cs="Arial"/>
          <w:sz w:val="24"/>
        </w:rPr>
      </w:pPr>
      <w:r>
        <w:rPr>
          <w:rFonts w:ascii="Arial" w:hAnsi="Arial" w:cs="Arial"/>
          <w:sz w:val="24"/>
          <w:szCs w:val="24"/>
        </w:rPr>
        <w:lastRenderedPageBreak/>
        <w:t xml:space="preserve">The </w:t>
      </w:r>
      <w:r w:rsidR="007C57D2">
        <w:rPr>
          <w:rFonts w:ascii="Arial" w:hAnsi="Arial" w:cs="Arial"/>
          <w:sz w:val="24"/>
          <w:szCs w:val="24"/>
        </w:rPr>
        <w:t>provisional revenue outturn</w:t>
      </w:r>
      <w:r w:rsidR="009F00D8">
        <w:rPr>
          <w:rFonts w:ascii="Arial" w:hAnsi="Arial" w:cs="Arial"/>
          <w:sz w:val="24"/>
          <w:szCs w:val="24"/>
        </w:rPr>
        <w:t xml:space="preserve"> underspend is</w:t>
      </w:r>
      <w:r>
        <w:rPr>
          <w:rFonts w:ascii="Arial" w:hAnsi="Arial" w:cs="Arial"/>
          <w:sz w:val="24"/>
          <w:szCs w:val="24"/>
        </w:rPr>
        <w:t xml:space="preserve"> </w:t>
      </w:r>
      <w:r w:rsidR="009F00D8">
        <w:rPr>
          <w:rFonts w:ascii="Arial" w:hAnsi="Arial" w:cs="Arial"/>
          <w:b/>
          <w:sz w:val="24"/>
          <w:szCs w:val="24"/>
        </w:rPr>
        <w:t>£0.3</w:t>
      </w:r>
      <w:r>
        <w:rPr>
          <w:rFonts w:ascii="Arial" w:hAnsi="Arial" w:cs="Arial"/>
          <w:b/>
          <w:sz w:val="24"/>
          <w:szCs w:val="24"/>
        </w:rPr>
        <w:t>73m</w:t>
      </w:r>
      <w:r w:rsidR="009F00D8">
        <w:rPr>
          <w:rFonts w:ascii="Arial" w:hAnsi="Arial" w:cs="Arial"/>
          <w:sz w:val="24"/>
          <w:szCs w:val="24"/>
        </w:rPr>
        <w:t xml:space="preserve">, </w:t>
      </w:r>
      <w:r w:rsidR="004B173E" w:rsidRPr="009F00D8">
        <w:rPr>
          <w:rFonts w:ascii="Arial" w:hAnsi="Arial" w:cs="Arial"/>
          <w:sz w:val="24"/>
          <w:szCs w:val="24"/>
        </w:rPr>
        <w:t xml:space="preserve">a reduction of £0.546m from the month 11 overspend of £0.173m.  </w:t>
      </w:r>
    </w:p>
    <w:p w:rsidR="00E9387D" w:rsidRDefault="00E9387D" w:rsidP="00E9387D">
      <w:pPr>
        <w:pStyle w:val="NoSpacing"/>
        <w:ind w:left="720"/>
        <w:rPr>
          <w:rFonts w:ascii="Arial" w:hAnsi="Arial" w:cs="Arial"/>
          <w:b/>
          <w:sz w:val="24"/>
          <w:szCs w:val="24"/>
          <w:u w:val="single"/>
        </w:rPr>
      </w:pPr>
    </w:p>
    <w:p w:rsidR="00371267" w:rsidRDefault="00E9387D" w:rsidP="00371267">
      <w:pPr>
        <w:pStyle w:val="NoSpacing"/>
        <w:numPr>
          <w:ilvl w:val="1"/>
          <w:numId w:val="6"/>
        </w:numPr>
        <w:ind w:left="720"/>
        <w:rPr>
          <w:rFonts w:ascii="Arial" w:hAnsi="Arial" w:cs="Arial"/>
          <w:sz w:val="24"/>
          <w:szCs w:val="24"/>
          <w:u w:val="single"/>
        </w:rPr>
      </w:pPr>
      <w:r>
        <w:rPr>
          <w:rFonts w:ascii="Arial" w:hAnsi="Arial" w:cs="Arial"/>
          <w:sz w:val="24"/>
          <w:szCs w:val="24"/>
        </w:rPr>
        <w:t xml:space="preserve">The police officer strength </w:t>
      </w:r>
      <w:r w:rsidR="00371267">
        <w:rPr>
          <w:rFonts w:ascii="Arial" w:hAnsi="Arial" w:cs="Arial"/>
          <w:sz w:val="24"/>
          <w:szCs w:val="24"/>
        </w:rPr>
        <w:t>was</w:t>
      </w:r>
      <w:r>
        <w:rPr>
          <w:rFonts w:ascii="Arial" w:hAnsi="Arial" w:cs="Arial"/>
          <w:sz w:val="24"/>
          <w:szCs w:val="24"/>
        </w:rPr>
        <w:t xml:space="preserve"> </w:t>
      </w:r>
      <w:r w:rsidR="00371267">
        <w:rPr>
          <w:rFonts w:ascii="Arial" w:hAnsi="Arial" w:cs="Arial"/>
          <w:b/>
          <w:sz w:val="24"/>
          <w:szCs w:val="24"/>
        </w:rPr>
        <w:t>3,064</w:t>
      </w:r>
      <w:r>
        <w:rPr>
          <w:rFonts w:ascii="Arial" w:hAnsi="Arial" w:cs="Arial"/>
          <w:b/>
          <w:sz w:val="24"/>
          <w:szCs w:val="24"/>
        </w:rPr>
        <w:t xml:space="preserve"> FTE</w:t>
      </w:r>
      <w:r>
        <w:rPr>
          <w:rFonts w:ascii="Arial" w:hAnsi="Arial" w:cs="Arial"/>
          <w:sz w:val="24"/>
          <w:szCs w:val="24"/>
        </w:rPr>
        <w:t xml:space="preserve"> at year end</w:t>
      </w:r>
      <w:r w:rsidR="00541776">
        <w:rPr>
          <w:rFonts w:ascii="Arial" w:hAnsi="Arial" w:cs="Arial"/>
          <w:sz w:val="24"/>
          <w:szCs w:val="24"/>
        </w:rPr>
        <w:t>, 61</w:t>
      </w:r>
      <w:r w:rsidR="00371267">
        <w:rPr>
          <w:rFonts w:ascii="Arial" w:hAnsi="Arial" w:cs="Arial"/>
          <w:sz w:val="24"/>
          <w:szCs w:val="24"/>
        </w:rPr>
        <w:t xml:space="preserve"> FTE above establishment</w:t>
      </w:r>
      <w:r w:rsidR="00541776">
        <w:rPr>
          <w:rFonts w:ascii="Arial" w:hAnsi="Arial" w:cs="Arial"/>
          <w:sz w:val="24"/>
          <w:szCs w:val="24"/>
        </w:rPr>
        <w:t xml:space="preserve"> of 3,003</w:t>
      </w:r>
      <w:r w:rsidR="006E46EB">
        <w:rPr>
          <w:rFonts w:ascii="Arial" w:hAnsi="Arial" w:cs="Arial"/>
          <w:sz w:val="24"/>
          <w:szCs w:val="24"/>
        </w:rPr>
        <w:t xml:space="preserve"> FTE</w:t>
      </w:r>
      <w:r w:rsidR="00371267">
        <w:rPr>
          <w:rFonts w:ascii="Arial" w:hAnsi="Arial" w:cs="Arial"/>
          <w:sz w:val="24"/>
          <w:szCs w:val="24"/>
        </w:rPr>
        <w:t>.</w:t>
      </w:r>
    </w:p>
    <w:p w:rsidR="00371267" w:rsidRDefault="00371267" w:rsidP="00371267">
      <w:pPr>
        <w:pStyle w:val="NoSpacing"/>
        <w:rPr>
          <w:rFonts w:ascii="Arial" w:hAnsi="Arial" w:cs="Arial"/>
          <w:sz w:val="24"/>
          <w:szCs w:val="24"/>
        </w:rPr>
      </w:pPr>
    </w:p>
    <w:p w:rsidR="00371267" w:rsidRPr="00371267" w:rsidRDefault="00371267" w:rsidP="00371267">
      <w:pPr>
        <w:pStyle w:val="NoSpacing"/>
        <w:numPr>
          <w:ilvl w:val="1"/>
          <w:numId w:val="6"/>
        </w:numPr>
        <w:ind w:left="720"/>
        <w:rPr>
          <w:rFonts w:ascii="Arial" w:hAnsi="Arial" w:cs="Arial"/>
          <w:sz w:val="24"/>
          <w:szCs w:val="24"/>
          <w:u w:val="single"/>
        </w:rPr>
      </w:pPr>
      <w:r w:rsidRPr="00371267">
        <w:rPr>
          <w:rFonts w:ascii="Arial" w:hAnsi="Arial" w:cs="Arial"/>
          <w:sz w:val="24"/>
          <w:szCs w:val="24"/>
        </w:rPr>
        <w:t xml:space="preserve">The General Reserve balance is </w:t>
      </w:r>
      <w:r w:rsidRPr="00371267">
        <w:rPr>
          <w:rFonts w:ascii="Arial" w:hAnsi="Arial" w:cs="Arial"/>
          <w:b/>
          <w:sz w:val="24"/>
          <w:szCs w:val="24"/>
        </w:rPr>
        <w:t>£</w:t>
      </w:r>
      <w:r w:rsidR="00C17775">
        <w:rPr>
          <w:rFonts w:ascii="Arial" w:hAnsi="Arial" w:cs="Arial"/>
          <w:b/>
          <w:sz w:val="24"/>
          <w:szCs w:val="24"/>
        </w:rPr>
        <w:t>9.226</w:t>
      </w:r>
      <w:r>
        <w:rPr>
          <w:rFonts w:ascii="Arial" w:hAnsi="Arial" w:cs="Arial"/>
          <w:b/>
          <w:sz w:val="24"/>
          <w:szCs w:val="24"/>
        </w:rPr>
        <w:t>m</w:t>
      </w:r>
      <w:r w:rsidRPr="00371267">
        <w:rPr>
          <w:rFonts w:ascii="Arial" w:hAnsi="Arial" w:cs="Arial"/>
          <w:sz w:val="24"/>
          <w:szCs w:val="24"/>
        </w:rPr>
        <w:t xml:space="preserve">, </w:t>
      </w:r>
      <w:r w:rsidR="007274B5">
        <w:rPr>
          <w:rFonts w:ascii="Arial" w:hAnsi="Arial" w:cs="Arial"/>
          <w:sz w:val="24"/>
          <w:szCs w:val="24"/>
        </w:rPr>
        <w:t xml:space="preserve">after the transfer of the underspend of </w:t>
      </w:r>
      <w:r w:rsidR="007274B5" w:rsidRPr="007274B5">
        <w:rPr>
          <w:rFonts w:ascii="Arial" w:hAnsi="Arial" w:cs="Arial"/>
          <w:b/>
          <w:sz w:val="24"/>
          <w:szCs w:val="24"/>
        </w:rPr>
        <w:t>£0.373m</w:t>
      </w:r>
      <w:r w:rsidR="007274B5">
        <w:rPr>
          <w:rFonts w:ascii="Arial" w:hAnsi="Arial" w:cs="Arial"/>
          <w:sz w:val="24"/>
          <w:szCs w:val="24"/>
        </w:rPr>
        <w:t xml:space="preserve">, </w:t>
      </w:r>
      <w:r w:rsidRPr="00371267">
        <w:rPr>
          <w:rFonts w:ascii="Arial" w:hAnsi="Arial" w:cs="Arial"/>
          <w:sz w:val="24"/>
          <w:szCs w:val="24"/>
        </w:rPr>
        <w:t>a</w:t>
      </w:r>
      <w:r w:rsidR="006E46EB">
        <w:rPr>
          <w:rFonts w:ascii="Arial" w:hAnsi="Arial" w:cs="Arial"/>
          <w:sz w:val="24"/>
          <w:szCs w:val="24"/>
        </w:rPr>
        <w:t>n overall</w:t>
      </w:r>
      <w:r w:rsidRPr="00371267">
        <w:rPr>
          <w:rFonts w:ascii="Arial" w:hAnsi="Arial" w:cs="Arial"/>
          <w:sz w:val="24"/>
          <w:szCs w:val="24"/>
        </w:rPr>
        <w:t xml:space="preserve"> reduction of </w:t>
      </w:r>
      <w:r w:rsidRPr="00371267">
        <w:rPr>
          <w:rFonts w:ascii="Arial" w:hAnsi="Arial" w:cs="Arial"/>
          <w:b/>
          <w:sz w:val="24"/>
          <w:szCs w:val="24"/>
        </w:rPr>
        <w:t>£</w:t>
      </w:r>
      <w:r w:rsidR="006E46EB">
        <w:rPr>
          <w:rFonts w:ascii="Arial" w:hAnsi="Arial" w:cs="Arial"/>
          <w:b/>
          <w:sz w:val="24"/>
          <w:szCs w:val="24"/>
        </w:rPr>
        <w:t>2.996</w:t>
      </w:r>
      <w:r w:rsidRPr="00371267">
        <w:rPr>
          <w:rFonts w:ascii="Arial" w:hAnsi="Arial" w:cs="Arial"/>
          <w:b/>
          <w:sz w:val="24"/>
          <w:szCs w:val="24"/>
        </w:rPr>
        <w:t>m</w:t>
      </w:r>
      <w:r>
        <w:rPr>
          <w:rFonts w:ascii="Arial" w:hAnsi="Arial" w:cs="Arial"/>
          <w:sz w:val="24"/>
          <w:szCs w:val="24"/>
        </w:rPr>
        <w:t xml:space="preserve"> during 2018/19</w:t>
      </w:r>
      <w:r w:rsidRPr="00371267">
        <w:rPr>
          <w:rFonts w:ascii="Arial" w:hAnsi="Arial" w:cs="Arial"/>
          <w:sz w:val="24"/>
          <w:szCs w:val="24"/>
        </w:rPr>
        <w:t>.</w:t>
      </w:r>
    </w:p>
    <w:p w:rsidR="00E9387D" w:rsidRDefault="00E9387D" w:rsidP="00E9387D">
      <w:pPr>
        <w:pStyle w:val="NoSpacing"/>
        <w:rPr>
          <w:rFonts w:ascii="Arial" w:hAnsi="Arial" w:cs="Arial"/>
          <w:b/>
          <w:sz w:val="24"/>
          <w:szCs w:val="24"/>
          <w:u w:val="single"/>
        </w:rPr>
      </w:pPr>
    </w:p>
    <w:p w:rsidR="00E9387D" w:rsidRPr="00511DF1" w:rsidRDefault="00E9387D" w:rsidP="00E9387D">
      <w:pPr>
        <w:pStyle w:val="NoSpacing"/>
        <w:numPr>
          <w:ilvl w:val="1"/>
          <w:numId w:val="6"/>
        </w:numPr>
        <w:ind w:left="720"/>
        <w:rPr>
          <w:rFonts w:ascii="Arial" w:hAnsi="Arial" w:cs="Arial"/>
          <w:sz w:val="24"/>
          <w:szCs w:val="24"/>
          <w:u w:val="single"/>
        </w:rPr>
      </w:pPr>
      <w:r>
        <w:rPr>
          <w:rFonts w:ascii="Arial" w:hAnsi="Arial" w:cs="Arial"/>
          <w:sz w:val="24"/>
          <w:szCs w:val="24"/>
        </w:rPr>
        <w:t xml:space="preserve">The </w:t>
      </w:r>
      <w:r w:rsidR="00371267">
        <w:rPr>
          <w:rFonts w:ascii="Arial" w:hAnsi="Arial" w:cs="Arial"/>
          <w:sz w:val="24"/>
          <w:szCs w:val="24"/>
        </w:rPr>
        <w:t xml:space="preserve">provisional year-end balance on the Capital Reserve </w:t>
      </w:r>
      <w:r w:rsidR="00371267" w:rsidRPr="00511DF1">
        <w:rPr>
          <w:rFonts w:ascii="Arial" w:hAnsi="Arial" w:cs="Arial"/>
          <w:sz w:val="24"/>
          <w:szCs w:val="24"/>
        </w:rPr>
        <w:t>is</w:t>
      </w:r>
      <w:r w:rsidRPr="00511DF1">
        <w:rPr>
          <w:rFonts w:ascii="Arial" w:hAnsi="Arial" w:cs="Arial"/>
          <w:sz w:val="24"/>
          <w:szCs w:val="24"/>
        </w:rPr>
        <w:t xml:space="preserve"> </w:t>
      </w:r>
      <w:r w:rsidRPr="00511DF1">
        <w:rPr>
          <w:rFonts w:ascii="Arial" w:hAnsi="Arial" w:cs="Arial"/>
          <w:b/>
          <w:sz w:val="24"/>
          <w:szCs w:val="24"/>
        </w:rPr>
        <w:t>£</w:t>
      </w:r>
      <w:r w:rsidR="00371267" w:rsidRPr="00511DF1">
        <w:rPr>
          <w:rFonts w:ascii="Arial" w:hAnsi="Arial" w:cs="Arial"/>
          <w:b/>
          <w:sz w:val="24"/>
          <w:szCs w:val="24"/>
        </w:rPr>
        <w:t>7.3</w:t>
      </w:r>
      <w:r w:rsidR="00703D27" w:rsidRPr="00511DF1">
        <w:rPr>
          <w:rFonts w:ascii="Arial" w:hAnsi="Arial" w:cs="Arial"/>
          <w:b/>
          <w:sz w:val="24"/>
          <w:szCs w:val="24"/>
        </w:rPr>
        <w:t>24</w:t>
      </w:r>
      <w:r w:rsidR="00371267" w:rsidRPr="00511DF1">
        <w:rPr>
          <w:rFonts w:ascii="Arial" w:hAnsi="Arial" w:cs="Arial"/>
          <w:b/>
          <w:sz w:val="24"/>
          <w:szCs w:val="24"/>
        </w:rPr>
        <w:t>m</w:t>
      </w:r>
      <w:r w:rsidRPr="00511DF1">
        <w:rPr>
          <w:rFonts w:ascii="Arial" w:hAnsi="Arial" w:cs="Arial"/>
          <w:b/>
          <w:sz w:val="24"/>
          <w:szCs w:val="24"/>
        </w:rPr>
        <w:t xml:space="preserve"> </w:t>
      </w:r>
      <w:r w:rsidR="00371267" w:rsidRPr="00511DF1">
        <w:rPr>
          <w:rFonts w:ascii="Arial" w:hAnsi="Arial" w:cs="Arial"/>
          <w:sz w:val="24"/>
          <w:szCs w:val="24"/>
        </w:rPr>
        <w:t>surplus</w:t>
      </w:r>
      <w:r w:rsidRPr="00511DF1">
        <w:rPr>
          <w:rFonts w:ascii="Arial" w:hAnsi="Arial" w:cs="Arial"/>
          <w:sz w:val="24"/>
          <w:szCs w:val="24"/>
        </w:rPr>
        <w:t>.</w:t>
      </w:r>
    </w:p>
    <w:p w:rsidR="00E9387D" w:rsidRDefault="00E9387D" w:rsidP="00E9387D">
      <w:pPr>
        <w:pStyle w:val="NoSpacing"/>
        <w:rPr>
          <w:rFonts w:ascii="Arial" w:hAnsi="Arial" w:cs="Arial"/>
          <w:sz w:val="24"/>
          <w:szCs w:val="24"/>
          <w:u w:val="single"/>
        </w:rPr>
      </w:pPr>
    </w:p>
    <w:p w:rsidR="00E9387D" w:rsidRDefault="00E9387D" w:rsidP="00E9387D">
      <w:pPr>
        <w:pStyle w:val="NoSpacing"/>
        <w:numPr>
          <w:ilvl w:val="1"/>
          <w:numId w:val="6"/>
        </w:numPr>
        <w:ind w:left="720"/>
        <w:rPr>
          <w:rFonts w:ascii="Arial" w:hAnsi="Arial" w:cs="Arial"/>
          <w:sz w:val="24"/>
          <w:szCs w:val="24"/>
          <w:u w:val="single"/>
        </w:rPr>
      </w:pPr>
      <w:r>
        <w:rPr>
          <w:rFonts w:ascii="Arial" w:hAnsi="Arial" w:cs="Arial"/>
          <w:sz w:val="24"/>
          <w:szCs w:val="24"/>
        </w:rPr>
        <w:t xml:space="preserve">The </w:t>
      </w:r>
      <w:r w:rsidR="00371267">
        <w:rPr>
          <w:rFonts w:ascii="Arial" w:hAnsi="Arial" w:cs="Arial"/>
          <w:sz w:val="24"/>
          <w:szCs w:val="24"/>
        </w:rPr>
        <w:t xml:space="preserve">provisional </w:t>
      </w:r>
      <w:r>
        <w:rPr>
          <w:rFonts w:ascii="Arial" w:hAnsi="Arial" w:cs="Arial"/>
          <w:sz w:val="24"/>
          <w:szCs w:val="24"/>
        </w:rPr>
        <w:t xml:space="preserve">capital expenditure </w:t>
      </w:r>
      <w:r w:rsidRPr="00511DF1">
        <w:rPr>
          <w:rFonts w:ascii="Arial" w:hAnsi="Arial" w:cs="Arial"/>
          <w:sz w:val="24"/>
          <w:szCs w:val="24"/>
        </w:rPr>
        <w:t xml:space="preserve">is </w:t>
      </w:r>
      <w:r w:rsidR="00511DF1" w:rsidRPr="00511DF1">
        <w:rPr>
          <w:rFonts w:ascii="Arial" w:hAnsi="Arial" w:cs="Arial"/>
          <w:b/>
          <w:sz w:val="24"/>
          <w:szCs w:val="24"/>
        </w:rPr>
        <w:t>£8.178</w:t>
      </w:r>
      <w:r w:rsidRPr="00511DF1">
        <w:rPr>
          <w:rFonts w:ascii="Arial" w:hAnsi="Arial" w:cs="Arial"/>
          <w:b/>
          <w:sz w:val="24"/>
          <w:szCs w:val="24"/>
        </w:rPr>
        <w:t>m</w:t>
      </w:r>
      <w:r>
        <w:rPr>
          <w:rFonts w:ascii="Arial" w:hAnsi="Arial" w:cs="Arial"/>
          <w:sz w:val="24"/>
          <w:szCs w:val="24"/>
        </w:rPr>
        <w:t xml:space="preserve"> and the </w:t>
      </w:r>
      <w:r w:rsidR="00371267">
        <w:rPr>
          <w:rFonts w:ascii="Arial" w:hAnsi="Arial" w:cs="Arial"/>
          <w:sz w:val="24"/>
          <w:szCs w:val="24"/>
        </w:rPr>
        <w:t>provisional</w:t>
      </w:r>
      <w:r>
        <w:rPr>
          <w:rFonts w:ascii="Arial" w:hAnsi="Arial" w:cs="Arial"/>
          <w:sz w:val="24"/>
          <w:szCs w:val="24"/>
        </w:rPr>
        <w:t xml:space="preserve"> capital income from property disposals is </w:t>
      </w:r>
      <w:r w:rsidR="00371267">
        <w:rPr>
          <w:rFonts w:ascii="Arial" w:hAnsi="Arial" w:cs="Arial"/>
          <w:b/>
          <w:sz w:val="24"/>
          <w:szCs w:val="24"/>
        </w:rPr>
        <w:t>£14.867</w:t>
      </w:r>
      <w:r>
        <w:rPr>
          <w:rFonts w:ascii="Arial" w:hAnsi="Arial" w:cs="Arial"/>
          <w:b/>
          <w:sz w:val="24"/>
          <w:szCs w:val="24"/>
        </w:rPr>
        <w:t>m</w:t>
      </w:r>
      <w:r>
        <w:rPr>
          <w:rFonts w:ascii="Arial" w:hAnsi="Arial" w:cs="Arial"/>
          <w:sz w:val="24"/>
          <w:szCs w:val="24"/>
        </w:rPr>
        <w:t>.</w:t>
      </w:r>
    </w:p>
    <w:p w:rsidR="00E9387D" w:rsidRDefault="00E9387D" w:rsidP="00E9387D">
      <w:pPr>
        <w:pStyle w:val="NoSpacing"/>
        <w:ind w:left="720"/>
        <w:rPr>
          <w:rFonts w:ascii="Arial" w:hAnsi="Arial" w:cs="Arial"/>
          <w:b/>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 xml:space="preserve">Introduction/Background </w:t>
      </w:r>
    </w:p>
    <w:p w:rsidR="00E9387D" w:rsidRDefault="00E9387D" w:rsidP="00E9387D">
      <w:pPr>
        <w:pStyle w:val="NoSpacing"/>
        <w:ind w:left="720"/>
        <w:rPr>
          <w:rFonts w:ascii="Arial" w:hAnsi="Arial" w:cs="Arial"/>
          <w:sz w:val="24"/>
          <w:szCs w:val="24"/>
          <w:u w:val="single"/>
        </w:rPr>
      </w:pPr>
    </w:p>
    <w:p w:rsidR="00371267" w:rsidRPr="005314A6" w:rsidRDefault="00371267" w:rsidP="00371267">
      <w:pPr>
        <w:pStyle w:val="NoSpacing"/>
        <w:numPr>
          <w:ilvl w:val="1"/>
          <w:numId w:val="8"/>
        </w:numPr>
        <w:ind w:left="709"/>
        <w:rPr>
          <w:rFonts w:ascii="Arial" w:hAnsi="Arial" w:cs="Arial"/>
          <w:sz w:val="24"/>
          <w:szCs w:val="24"/>
          <w:u w:val="single"/>
        </w:rPr>
      </w:pPr>
      <w:r w:rsidRPr="00553D65">
        <w:rPr>
          <w:rFonts w:ascii="Arial" w:hAnsi="Arial" w:cs="Arial"/>
          <w:sz w:val="24"/>
          <w:szCs w:val="24"/>
        </w:rPr>
        <w:t>This repor</w:t>
      </w:r>
      <w:r>
        <w:rPr>
          <w:rFonts w:ascii="Arial" w:hAnsi="Arial" w:cs="Arial"/>
          <w:sz w:val="24"/>
          <w:szCs w:val="24"/>
        </w:rPr>
        <w:t>ts sets out the provisional outturn,</w:t>
      </w:r>
      <w:r w:rsidRPr="005314A6">
        <w:rPr>
          <w:rFonts w:ascii="Arial" w:hAnsi="Arial" w:cs="Arial"/>
          <w:sz w:val="24"/>
          <w:szCs w:val="24"/>
        </w:rPr>
        <w:t xml:space="preserve"> highlighting the changes from </w:t>
      </w:r>
      <w:r>
        <w:rPr>
          <w:rFonts w:ascii="Arial" w:hAnsi="Arial" w:cs="Arial"/>
          <w:sz w:val="24"/>
          <w:szCs w:val="24"/>
        </w:rPr>
        <w:t>February</w:t>
      </w:r>
      <w:r w:rsidRPr="005314A6">
        <w:rPr>
          <w:rFonts w:ascii="Arial" w:hAnsi="Arial" w:cs="Arial"/>
          <w:sz w:val="24"/>
          <w:szCs w:val="24"/>
        </w:rPr>
        <w:t xml:space="preserve">, month </w:t>
      </w:r>
      <w:r>
        <w:rPr>
          <w:rFonts w:ascii="Arial" w:hAnsi="Arial" w:cs="Arial"/>
          <w:sz w:val="24"/>
          <w:szCs w:val="24"/>
        </w:rPr>
        <w:t xml:space="preserve">11 and the </w:t>
      </w:r>
      <w:r w:rsidR="00541776">
        <w:rPr>
          <w:rFonts w:ascii="Arial" w:hAnsi="Arial" w:cs="Arial"/>
          <w:sz w:val="24"/>
          <w:szCs w:val="24"/>
        </w:rPr>
        <w:t>draft U</w:t>
      </w:r>
      <w:r>
        <w:rPr>
          <w:rFonts w:ascii="Arial" w:hAnsi="Arial" w:cs="Arial"/>
          <w:sz w:val="24"/>
          <w:szCs w:val="24"/>
        </w:rPr>
        <w:t>naudited Statement of Accounts</w:t>
      </w:r>
      <w:r w:rsidRPr="005314A6">
        <w:rPr>
          <w:rFonts w:ascii="Arial" w:hAnsi="Arial" w:cs="Arial"/>
          <w:sz w:val="24"/>
          <w:szCs w:val="24"/>
        </w:rPr>
        <w:t>.</w:t>
      </w:r>
    </w:p>
    <w:p w:rsidR="00E9387D" w:rsidRDefault="00E9387D" w:rsidP="00E9387D">
      <w:pPr>
        <w:pStyle w:val="NoSpacing"/>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Current Work and Performance</w:t>
      </w:r>
    </w:p>
    <w:p w:rsidR="00E9387D" w:rsidRDefault="00E9387D" w:rsidP="00E9387D">
      <w:pPr>
        <w:pStyle w:val="NoSpacing"/>
        <w:rPr>
          <w:rFonts w:ascii="Arial" w:hAnsi="Arial" w:cs="Arial"/>
          <w:b/>
          <w:sz w:val="24"/>
          <w:szCs w:val="24"/>
          <w:u w:val="single"/>
        </w:rPr>
      </w:pPr>
    </w:p>
    <w:p w:rsidR="00371267" w:rsidRDefault="00371267" w:rsidP="00371267">
      <w:pPr>
        <w:pStyle w:val="NoSpacing"/>
        <w:numPr>
          <w:ilvl w:val="1"/>
          <w:numId w:val="8"/>
        </w:numPr>
        <w:ind w:left="709"/>
        <w:rPr>
          <w:rFonts w:ascii="Arial" w:hAnsi="Arial" w:cs="Arial"/>
          <w:sz w:val="24"/>
          <w:szCs w:val="24"/>
        </w:rPr>
      </w:pPr>
      <w:r>
        <w:rPr>
          <w:rFonts w:ascii="Arial" w:hAnsi="Arial" w:cs="Arial"/>
          <w:sz w:val="24"/>
          <w:szCs w:val="24"/>
        </w:rPr>
        <w:t xml:space="preserve">The provisional outturn </w:t>
      </w:r>
      <w:r w:rsidRPr="00553D65">
        <w:rPr>
          <w:rFonts w:ascii="Arial" w:hAnsi="Arial" w:cs="Arial"/>
          <w:sz w:val="24"/>
          <w:szCs w:val="24"/>
        </w:rPr>
        <w:t>financial position is shown at Annex 1</w:t>
      </w:r>
      <w:r>
        <w:rPr>
          <w:rFonts w:ascii="Arial" w:hAnsi="Arial" w:cs="Arial"/>
          <w:sz w:val="24"/>
          <w:szCs w:val="24"/>
        </w:rPr>
        <w:t>.</w:t>
      </w:r>
    </w:p>
    <w:p w:rsidR="004B173E" w:rsidRDefault="004B173E" w:rsidP="004B173E">
      <w:pPr>
        <w:pStyle w:val="NoSpacing"/>
        <w:ind w:left="709"/>
        <w:rPr>
          <w:rFonts w:ascii="Arial" w:hAnsi="Arial" w:cs="Arial"/>
          <w:sz w:val="24"/>
          <w:szCs w:val="24"/>
        </w:rPr>
      </w:pPr>
    </w:p>
    <w:p w:rsidR="004B173E" w:rsidRPr="004B173E" w:rsidRDefault="004B173E" w:rsidP="004B173E">
      <w:pPr>
        <w:pStyle w:val="NoSpacing"/>
        <w:numPr>
          <w:ilvl w:val="1"/>
          <w:numId w:val="8"/>
        </w:numPr>
        <w:ind w:left="709"/>
        <w:rPr>
          <w:rFonts w:ascii="Arial" w:hAnsi="Arial" w:cs="Arial"/>
          <w:sz w:val="24"/>
          <w:szCs w:val="24"/>
        </w:rPr>
      </w:pPr>
      <w:r>
        <w:rPr>
          <w:rFonts w:ascii="Arial" w:hAnsi="Arial" w:cs="Arial"/>
          <w:sz w:val="24"/>
          <w:szCs w:val="24"/>
        </w:rPr>
        <w:t xml:space="preserve">The </w:t>
      </w:r>
      <w:r w:rsidR="00541776">
        <w:rPr>
          <w:rFonts w:ascii="Arial" w:hAnsi="Arial" w:cs="Arial"/>
          <w:sz w:val="24"/>
          <w:szCs w:val="24"/>
        </w:rPr>
        <w:t>draft U</w:t>
      </w:r>
      <w:r>
        <w:rPr>
          <w:rFonts w:ascii="Arial" w:hAnsi="Arial" w:cs="Arial"/>
          <w:sz w:val="24"/>
          <w:szCs w:val="24"/>
        </w:rPr>
        <w:t xml:space="preserve">naudited Statement of Accounts are shown at </w:t>
      </w:r>
      <w:r w:rsidR="00541776">
        <w:rPr>
          <w:rFonts w:ascii="Arial" w:hAnsi="Arial" w:cs="Arial"/>
          <w:sz w:val="24"/>
          <w:szCs w:val="24"/>
        </w:rPr>
        <w:t>Part B</w:t>
      </w:r>
      <w:r>
        <w:rPr>
          <w:rFonts w:ascii="Arial" w:hAnsi="Arial" w:cs="Arial"/>
          <w:sz w:val="24"/>
          <w:szCs w:val="24"/>
        </w:rPr>
        <w:t xml:space="preserve">.  </w:t>
      </w:r>
      <w:r w:rsidR="00541776" w:rsidRPr="00541776">
        <w:rPr>
          <w:rFonts w:ascii="Arial" w:hAnsi="Arial" w:cs="Arial"/>
          <w:sz w:val="24"/>
          <w:szCs w:val="24"/>
        </w:rPr>
        <w:t xml:space="preserve">There are three Statement of Accounts within two documents. The Group &amp; PFCC accounts are within one document and the Chief Constable’s accounts are in the second.  The performance information within the Narrative Report is the </w:t>
      </w:r>
      <w:r w:rsidR="00541776" w:rsidRPr="00541776">
        <w:rPr>
          <w:rFonts w:ascii="Arial" w:hAnsi="Arial" w:cs="Arial"/>
          <w:sz w:val="24"/>
          <w:szCs w:val="24"/>
        </w:rPr>
        <w:lastRenderedPageBreak/>
        <w:t xml:space="preserve">same in the Group and Chief Constable’s Statement of Accounts.  </w:t>
      </w:r>
    </w:p>
    <w:p w:rsidR="00E9387D" w:rsidRDefault="00E9387D" w:rsidP="00E9387D">
      <w:pPr>
        <w:pStyle w:val="NoSpacing"/>
        <w:ind w:left="720"/>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Implications (Issues)</w:t>
      </w:r>
    </w:p>
    <w:p w:rsidR="00E9387D" w:rsidRDefault="00E9387D" w:rsidP="00E9387D">
      <w:pPr>
        <w:pStyle w:val="NoSpacing"/>
        <w:ind w:left="720"/>
        <w:rPr>
          <w:rFonts w:ascii="Arial" w:hAnsi="Arial" w:cs="Arial"/>
          <w:b/>
          <w:szCs w:val="24"/>
          <w:u w:val="single"/>
        </w:rPr>
      </w:pPr>
    </w:p>
    <w:p w:rsidR="00E9387D" w:rsidRDefault="00E9387D" w:rsidP="00E9387D">
      <w:pPr>
        <w:pStyle w:val="NoSpacing"/>
        <w:numPr>
          <w:ilvl w:val="1"/>
          <w:numId w:val="6"/>
        </w:numPr>
        <w:ind w:left="709"/>
        <w:rPr>
          <w:rFonts w:ascii="Arial" w:hAnsi="Arial" w:cs="Arial"/>
          <w:sz w:val="24"/>
          <w:szCs w:val="24"/>
        </w:rPr>
      </w:pPr>
      <w:r>
        <w:rPr>
          <w:rFonts w:ascii="Arial" w:hAnsi="Arial" w:cs="Arial"/>
          <w:sz w:val="24"/>
          <w:szCs w:val="24"/>
        </w:rPr>
        <w:t>The implications are reported in Annex 1.</w:t>
      </w:r>
    </w:p>
    <w:p w:rsidR="00E9387D" w:rsidRDefault="00E9387D" w:rsidP="00E9387D">
      <w:pPr>
        <w:pStyle w:val="NoSpacing"/>
        <w:rPr>
          <w:rFonts w:ascii="Arial" w:hAnsi="Arial" w:cs="Arial"/>
          <w:b/>
          <w:sz w:val="24"/>
          <w:szCs w:val="24"/>
          <w:u w:val="single"/>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Links to Police and Crime Plan Priorities</w:t>
      </w:r>
    </w:p>
    <w:p w:rsidR="00E9387D" w:rsidRDefault="00E9387D" w:rsidP="00E9387D">
      <w:pPr>
        <w:pStyle w:val="NoSpacing"/>
        <w:ind w:left="720"/>
        <w:rPr>
          <w:rFonts w:ascii="Arial" w:hAnsi="Arial" w:cs="Arial"/>
          <w:b/>
          <w:szCs w:val="24"/>
          <w:u w:val="single"/>
        </w:rPr>
      </w:pPr>
    </w:p>
    <w:p w:rsidR="00E9387D" w:rsidRDefault="00E9387D" w:rsidP="00E9387D">
      <w:pPr>
        <w:pStyle w:val="NoSpacing"/>
        <w:numPr>
          <w:ilvl w:val="1"/>
          <w:numId w:val="6"/>
        </w:numPr>
        <w:ind w:left="709"/>
        <w:rPr>
          <w:rFonts w:ascii="Arial" w:hAnsi="Arial" w:cs="Arial"/>
          <w:sz w:val="24"/>
          <w:szCs w:val="24"/>
          <w:u w:val="single"/>
        </w:rPr>
      </w:pPr>
      <w:r>
        <w:rPr>
          <w:rFonts w:ascii="Arial" w:hAnsi="Arial" w:cs="Arial"/>
          <w:sz w:val="24"/>
          <w:szCs w:val="24"/>
        </w:rPr>
        <w:t>The Force budget is used to help meet the priorities of the Police and Crime plan.</w:t>
      </w:r>
    </w:p>
    <w:p w:rsidR="00E9387D" w:rsidRDefault="00E9387D" w:rsidP="00E9387D">
      <w:pPr>
        <w:pStyle w:val="NoSpacing"/>
        <w:ind w:left="709"/>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Demand</w:t>
      </w:r>
    </w:p>
    <w:p w:rsidR="00E9387D" w:rsidRDefault="00E9387D" w:rsidP="00E9387D">
      <w:pPr>
        <w:pStyle w:val="NoSpacing"/>
        <w:ind w:left="720"/>
        <w:rPr>
          <w:rFonts w:ascii="Arial" w:hAnsi="Arial" w:cs="Arial"/>
          <w:b/>
          <w:szCs w:val="24"/>
          <w:u w:val="single"/>
        </w:rPr>
      </w:pPr>
    </w:p>
    <w:p w:rsidR="00E9387D" w:rsidRDefault="00E9387D" w:rsidP="00E9387D">
      <w:pPr>
        <w:pStyle w:val="NoSpacing"/>
        <w:numPr>
          <w:ilvl w:val="1"/>
          <w:numId w:val="6"/>
        </w:numPr>
        <w:ind w:left="709"/>
        <w:rPr>
          <w:rFonts w:ascii="Arial" w:hAnsi="Arial" w:cs="Arial"/>
          <w:sz w:val="24"/>
          <w:szCs w:val="24"/>
          <w:u w:val="single"/>
        </w:rPr>
      </w:pPr>
      <w:r>
        <w:rPr>
          <w:rFonts w:ascii="Arial" w:hAnsi="Arial" w:cs="Arial"/>
          <w:sz w:val="24"/>
          <w:szCs w:val="24"/>
        </w:rPr>
        <w:t xml:space="preserve">The Force budget is reviewed and re-allocated within virement rules to match demand e.g. overtime funded by vacancies.  </w:t>
      </w:r>
    </w:p>
    <w:p w:rsidR="00E9387D" w:rsidRDefault="00E9387D" w:rsidP="00E9387D">
      <w:pPr>
        <w:pStyle w:val="NoSpacing"/>
        <w:ind w:left="1418" w:hanging="709"/>
        <w:rPr>
          <w:rFonts w:ascii="Arial" w:hAnsi="Arial" w:cs="Arial"/>
          <w:b/>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Risks/Mitigation</w:t>
      </w:r>
    </w:p>
    <w:p w:rsidR="00E9387D" w:rsidRDefault="00E9387D" w:rsidP="00E9387D">
      <w:pPr>
        <w:pStyle w:val="NoSpacing"/>
        <w:ind w:left="720"/>
        <w:rPr>
          <w:rFonts w:ascii="Arial" w:hAnsi="Arial" w:cs="Arial"/>
          <w:b/>
          <w:szCs w:val="24"/>
          <w:u w:val="single"/>
        </w:rPr>
      </w:pPr>
    </w:p>
    <w:p w:rsidR="00E9387D" w:rsidRDefault="00E9387D" w:rsidP="00E9387D">
      <w:pPr>
        <w:pStyle w:val="NoSpacing"/>
        <w:numPr>
          <w:ilvl w:val="1"/>
          <w:numId w:val="6"/>
        </w:numPr>
        <w:ind w:left="709"/>
        <w:rPr>
          <w:rFonts w:ascii="Arial" w:hAnsi="Arial" w:cs="Arial"/>
          <w:sz w:val="24"/>
          <w:szCs w:val="24"/>
        </w:rPr>
      </w:pPr>
      <w:r>
        <w:rPr>
          <w:rFonts w:ascii="Arial" w:hAnsi="Arial" w:cs="Arial"/>
          <w:sz w:val="24"/>
          <w:szCs w:val="24"/>
        </w:rPr>
        <w:t>Risk Register URN 452 - Short and Long Term Capital Finance.</w:t>
      </w:r>
    </w:p>
    <w:p w:rsidR="00E9387D" w:rsidRDefault="00E9387D" w:rsidP="00E9387D">
      <w:pPr>
        <w:pStyle w:val="NoSpacing"/>
        <w:ind w:left="720"/>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 xml:space="preserve">Equality and/or Human Rights Implications </w:t>
      </w:r>
    </w:p>
    <w:p w:rsidR="00E9387D" w:rsidRDefault="00E9387D" w:rsidP="00E9387D">
      <w:pPr>
        <w:pStyle w:val="NoSpacing"/>
        <w:ind w:left="709"/>
        <w:rPr>
          <w:rFonts w:ascii="Arial" w:hAnsi="Arial" w:cs="Arial"/>
          <w:szCs w:val="24"/>
        </w:rPr>
      </w:pPr>
    </w:p>
    <w:p w:rsidR="00E9387D" w:rsidRDefault="00E9387D" w:rsidP="00E9387D">
      <w:pPr>
        <w:pStyle w:val="NoSpacing"/>
        <w:ind w:left="720"/>
        <w:rPr>
          <w:rFonts w:ascii="Arial" w:hAnsi="Arial" w:cs="Arial"/>
          <w:sz w:val="24"/>
          <w:szCs w:val="24"/>
        </w:rPr>
      </w:pPr>
      <w:r>
        <w:rPr>
          <w:rFonts w:ascii="Arial" w:hAnsi="Arial" w:cs="Arial"/>
          <w:sz w:val="24"/>
          <w:szCs w:val="24"/>
        </w:rPr>
        <w:t>N/A</w:t>
      </w:r>
    </w:p>
    <w:p w:rsidR="00E9387D" w:rsidRDefault="00E9387D" w:rsidP="00E9387D">
      <w:pPr>
        <w:pStyle w:val="NoSpacing"/>
        <w:rPr>
          <w:rFonts w:ascii="Arial" w:hAnsi="Arial" w:cs="Arial"/>
          <w:b/>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Health and Safety Implications</w:t>
      </w:r>
    </w:p>
    <w:p w:rsidR="00E9387D" w:rsidRDefault="00E9387D" w:rsidP="00E9387D">
      <w:pPr>
        <w:pStyle w:val="NoSpacing"/>
        <w:ind w:left="720"/>
        <w:rPr>
          <w:rFonts w:ascii="Arial" w:hAnsi="Arial" w:cs="Arial"/>
          <w:b/>
          <w:szCs w:val="24"/>
          <w:u w:val="single"/>
        </w:rPr>
      </w:pPr>
    </w:p>
    <w:p w:rsidR="00E9387D" w:rsidRDefault="00E9387D" w:rsidP="00E9387D">
      <w:pPr>
        <w:pStyle w:val="NoSpacing"/>
        <w:ind w:left="720"/>
        <w:rPr>
          <w:rFonts w:ascii="Arial" w:hAnsi="Arial" w:cs="Arial"/>
          <w:sz w:val="24"/>
          <w:szCs w:val="24"/>
        </w:rPr>
      </w:pPr>
      <w:r>
        <w:rPr>
          <w:rFonts w:ascii="Arial" w:hAnsi="Arial" w:cs="Arial"/>
          <w:sz w:val="24"/>
          <w:szCs w:val="24"/>
        </w:rPr>
        <w:t>N/A</w:t>
      </w:r>
    </w:p>
    <w:p w:rsidR="00E9387D" w:rsidRDefault="00E9387D" w:rsidP="00E9387D">
      <w:pPr>
        <w:pStyle w:val="NoSpacing"/>
        <w:ind w:left="709"/>
        <w:rPr>
          <w:rFonts w:ascii="Arial" w:hAnsi="Arial" w:cs="Arial"/>
          <w:b/>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Consultation/Engagement</w:t>
      </w:r>
    </w:p>
    <w:p w:rsidR="00E9387D" w:rsidRDefault="00E9387D" w:rsidP="00E9387D">
      <w:pPr>
        <w:pStyle w:val="NoSpacing"/>
        <w:ind w:left="720"/>
        <w:rPr>
          <w:rFonts w:ascii="Arial" w:hAnsi="Arial" w:cs="Arial"/>
          <w:b/>
          <w:szCs w:val="24"/>
          <w:u w:val="single"/>
        </w:rPr>
      </w:pPr>
    </w:p>
    <w:p w:rsidR="00E9387D" w:rsidRDefault="004B173E" w:rsidP="00E9387D">
      <w:pPr>
        <w:pStyle w:val="NoSpacing"/>
        <w:numPr>
          <w:ilvl w:val="1"/>
          <w:numId w:val="6"/>
        </w:numPr>
        <w:ind w:left="709"/>
        <w:rPr>
          <w:rFonts w:ascii="Arial" w:hAnsi="Arial" w:cs="Arial"/>
          <w:sz w:val="24"/>
          <w:szCs w:val="24"/>
          <w:u w:val="single"/>
        </w:rPr>
      </w:pPr>
      <w:r>
        <w:rPr>
          <w:rFonts w:ascii="Arial" w:hAnsi="Arial" w:cs="Arial"/>
          <w:sz w:val="24"/>
          <w:szCs w:val="24"/>
        </w:rPr>
        <w:t>N/A</w:t>
      </w:r>
    </w:p>
    <w:p w:rsidR="00E9387D" w:rsidRDefault="00E9387D" w:rsidP="00E9387D">
      <w:pPr>
        <w:pStyle w:val="NoSpacing"/>
        <w:ind w:left="709"/>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Actions for Improvement</w:t>
      </w:r>
    </w:p>
    <w:p w:rsidR="00E9387D" w:rsidRDefault="00E9387D" w:rsidP="00E9387D">
      <w:pPr>
        <w:pStyle w:val="NoSpacing"/>
        <w:ind w:left="720"/>
        <w:rPr>
          <w:rFonts w:ascii="Arial" w:hAnsi="Arial" w:cs="Arial"/>
          <w:sz w:val="24"/>
          <w:szCs w:val="24"/>
        </w:rPr>
      </w:pPr>
    </w:p>
    <w:p w:rsidR="00E9387D" w:rsidRDefault="004B173E" w:rsidP="00E9387D">
      <w:pPr>
        <w:pStyle w:val="NoSpacing"/>
        <w:ind w:left="720"/>
        <w:rPr>
          <w:rFonts w:ascii="Arial" w:hAnsi="Arial" w:cs="Arial"/>
          <w:sz w:val="24"/>
          <w:szCs w:val="24"/>
        </w:rPr>
      </w:pPr>
      <w:r>
        <w:rPr>
          <w:rFonts w:ascii="Arial" w:hAnsi="Arial" w:cs="Arial"/>
          <w:sz w:val="24"/>
          <w:szCs w:val="24"/>
        </w:rPr>
        <w:lastRenderedPageBreak/>
        <w:t>N/A</w:t>
      </w:r>
    </w:p>
    <w:p w:rsidR="00DC64A8" w:rsidRDefault="00DC64A8" w:rsidP="00E9387D">
      <w:pPr>
        <w:pStyle w:val="NoSpacing"/>
        <w:ind w:left="720"/>
        <w:rPr>
          <w:rFonts w:ascii="Arial" w:hAnsi="Arial" w:cs="Arial"/>
          <w:sz w:val="24"/>
          <w:szCs w:val="24"/>
        </w:rPr>
      </w:pPr>
    </w:p>
    <w:p w:rsidR="00DC64A8" w:rsidRDefault="00DC64A8" w:rsidP="00E9387D">
      <w:pPr>
        <w:pStyle w:val="NoSpacing"/>
        <w:ind w:left="720"/>
        <w:rPr>
          <w:rFonts w:ascii="Arial" w:hAnsi="Arial" w:cs="Arial"/>
          <w:sz w:val="24"/>
          <w:szCs w:val="24"/>
        </w:rPr>
      </w:pPr>
    </w:p>
    <w:p w:rsidR="00DC64A8" w:rsidRDefault="00DC64A8" w:rsidP="00E9387D">
      <w:pPr>
        <w:pStyle w:val="NoSpacing"/>
        <w:ind w:left="720"/>
        <w:rPr>
          <w:rFonts w:ascii="Arial" w:hAnsi="Arial" w:cs="Arial"/>
          <w:sz w:val="24"/>
          <w:szCs w:val="24"/>
        </w:rPr>
      </w:pPr>
    </w:p>
    <w:p w:rsidR="00DC64A8" w:rsidRDefault="00DC64A8" w:rsidP="00E9387D">
      <w:pPr>
        <w:pStyle w:val="NoSpacing"/>
        <w:ind w:left="720"/>
        <w:rPr>
          <w:rFonts w:ascii="Arial" w:hAnsi="Arial" w:cs="Arial"/>
          <w:sz w:val="24"/>
          <w:szCs w:val="24"/>
        </w:rPr>
      </w:pPr>
    </w:p>
    <w:p w:rsidR="00DC64A8" w:rsidRDefault="00DC64A8" w:rsidP="00E9387D">
      <w:pPr>
        <w:pStyle w:val="NoSpacing"/>
        <w:ind w:left="720"/>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Future Work/Development and Expected Outcome</w:t>
      </w:r>
    </w:p>
    <w:p w:rsidR="00E9387D" w:rsidRDefault="00E9387D" w:rsidP="00E9387D">
      <w:pPr>
        <w:pStyle w:val="NoSpacing"/>
        <w:ind w:left="720"/>
        <w:rPr>
          <w:rFonts w:ascii="Arial" w:hAnsi="Arial" w:cs="Arial"/>
          <w:b/>
          <w:sz w:val="24"/>
          <w:szCs w:val="24"/>
          <w:u w:val="single"/>
        </w:rPr>
      </w:pPr>
    </w:p>
    <w:p w:rsidR="007274B5" w:rsidRDefault="007274B5" w:rsidP="007274B5">
      <w:pPr>
        <w:pStyle w:val="NoSpacing"/>
        <w:numPr>
          <w:ilvl w:val="1"/>
          <w:numId w:val="6"/>
        </w:numPr>
        <w:ind w:left="709"/>
        <w:rPr>
          <w:rFonts w:ascii="Arial" w:hAnsi="Arial" w:cs="Arial"/>
          <w:sz w:val="24"/>
          <w:szCs w:val="24"/>
        </w:rPr>
      </w:pPr>
      <w:r>
        <w:rPr>
          <w:rFonts w:ascii="Arial" w:hAnsi="Arial" w:cs="Arial"/>
          <w:sz w:val="24"/>
          <w:szCs w:val="24"/>
        </w:rPr>
        <w:t xml:space="preserve">The transfer of the £0.373m to the General Fund is a </w:t>
      </w:r>
      <w:r w:rsidRPr="007274B5">
        <w:rPr>
          <w:rFonts w:ascii="Arial" w:hAnsi="Arial" w:cs="Arial"/>
          <w:sz w:val="24"/>
          <w:szCs w:val="24"/>
        </w:rPr>
        <w:t>decision based upon the understanding that if there are cost pressures in year that require additional revenue</w:t>
      </w:r>
      <w:r>
        <w:rPr>
          <w:rFonts w:ascii="Arial" w:hAnsi="Arial" w:cs="Arial"/>
          <w:sz w:val="24"/>
          <w:szCs w:val="24"/>
        </w:rPr>
        <w:t>,</w:t>
      </w:r>
      <w:r w:rsidRPr="007274B5">
        <w:rPr>
          <w:rFonts w:ascii="Arial" w:hAnsi="Arial" w:cs="Arial"/>
          <w:sz w:val="24"/>
          <w:szCs w:val="24"/>
        </w:rPr>
        <w:t xml:space="preserve"> </w:t>
      </w:r>
      <w:r>
        <w:rPr>
          <w:rFonts w:ascii="Arial" w:hAnsi="Arial" w:cs="Arial"/>
          <w:sz w:val="24"/>
          <w:szCs w:val="24"/>
        </w:rPr>
        <w:t xml:space="preserve">the Chief Constable </w:t>
      </w:r>
      <w:r w:rsidRPr="007274B5">
        <w:rPr>
          <w:rFonts w:ascii="Arial" w:hAnsi="Arial" w:cs="Arial"/>
          <w:sz w:val="24"/>
          <w:szCs w:val="24"/>
        </w:rPr>
        <w:t xml:space="preserve">will call upon </w:t>
      </w:r>
      <w:r>
        <w:rPr>
          <w:rFonts w:ascii="Arial" w:hAnsi="Arial" w:cs="Arial"/>
          <w:sz w:val="24"/>
          <w:szCs w:val="24"/>
        </w:rPr>
        <w:t xml:space="preserve">the </w:t>
      </w:r>
      <w:r w:rsidRPr="007274B5">
        <w:rPr>
          <w:rFonts w:ascii="Arial" w:hAnsi="Arial" w:cs="Arial"/>
          <w:sz w:val="24"/>
          <w:szCs w:val="24"/>
        </w:rPr>
        <w:t>PFCC to authorise a draw down on reserves to meet this rather than put the additional money in an operational contingency fund.</w:t>
      </w:r>
    </w:p>
    <w:p w:rsidR="007274B5" w:rsidRPr="007274B5" w:rsidRDefault="007274B5" w:rsidP="007274B5">
      <w:pPr>
        <w:pStyle w:val="NoSpacing"/>
        <w:ind w:left="709"/>
        <w:rPr>
          <w:rFonts w:ascii="Arial" w:hAnsi="Arial" w:cs="Arial"/>
          <w:sz w:val="24"/>
          <w:szCs w:val="24"/>
        </w:rPr>
      </w:pPr>
      <w:r w:rsidRPr="007274B5">
        <w:rPr>
          <w:rFonts w:ascii="Arial" w:hAnsi="Arial" w:cs="Arial"/>
          <w:sz w:val="24"/>
          <w:szCs w:val="24"/>
        </w:rPr>
        <w:t xml:space="preserve"> </w:t>
      </w:r>
    </w:p>
    <w:p w:rsidR="00FF7BF6" w:rsidRDefault="007274B5" w:rsidP="00DC64A8">
      <w:pPr>
        <w:pStyle w:val="NoSpacing"/>
        <w:numPr>
          <w:ilvl w:val="1"/>
          <w:numId w:val="6"/>
        </w:numPr>
        <w:ind w:left="709"/>
        <w:rPr>
          <w:rFonts w:ascii="Arial" w:hAnsi="Arial" w:cs="Arial"/>
          <w:sz w:val="24"/>
          <w:szCs w:val="24"/>
        </w:rPr>
      </w:pPr>
      <w:r>
        <w:rPr>
          <w:rFonts w:ascii="Arial" w:hAnsi="Arial" w:cs="Arial"/>
          <w:sz w:val="24"/>
          <w:szCs w:val="24"/>
        </w:rPr>
        <w:t>The u</w:t>
      </w:r>
      <w:r w:rsidR="00541776">
        <w:rPr>
          <w:rFonts w:ascii="Arial" w:hAnsi="Arial" w:cs="Arial"/>
          <w:sz w:val="24"/>
          <w:szCs w:val="24"/>
        </w:rPr>
        <w:t xml:space="preserve">naudited </w:t>
      </w:r>
      <w:r w:rsidR="00DC64A8" w:rsidRPr="00DC64A8">
        <w:rPr>
          <w:rFonts w:ascii="Arial" w:hAnsi="Arial" w:cs="Arial"/>
          <w:sz w:val="24"/>
          <w:szCs w:val="24"/>
        </w:rPr>
        <w:t xml:space="preserve">Statement of Accounts are timetabled to be signed by the two </w:t>
      </w:r>
      <w:r w:rsidR="00541776">
        <w:rPr>
          <w:rFonts w:ascii="Arial" w:hAnsi="Arial" w:cs="Arial"/>
          <w:sz w:val="24"/>
          <w:szCs w:val="24"/>
        </w:rPr>
        <w:t xml:space="preserve">Chief Financial Officer’s </w:t>
      </w:r>
      <w:r w:rsidR="00DC64A8" w:rsidRPr="00DC64A8">
        <w:rPr>
          <w:rFonts w:ascii="Arial" w:hAnsi="Arial" w:cs="Arial"/>
          <w:sz w:val="24"/>
          <w:szCs w:val="24"/>
        </w:rPr>
        <w:t>on Friday 24th May and published on the external websites on Tuesday 28th May.  The statutory deadline for signing the draft Statement of Accounts is 31st May.</w:t>
      </w:r>
    </w:p>
    <w:p w:rsidR="00DC64A8" w:rsidRPr="00DC64A8" w:rsidRDefault="00DC64A8" w:rsidP="00DC64A8">
      <w:pPr>
        <w:pStyle w:val="NoSpacing"/>
        <w:ind w:left="709"/>
        <w:rPr>
          <w:rFonts w:ascii="Arial" w:hAnsi="Arial" w:cs="Arial"/>
          <w:sz w:val="24"/>
          <w:szCs w:val="24"/>
        </w:rPr>
      </w:pPr>
    </w:p>
    <w:p w:rsidR="00FF7BF6" w:rsidRDefault="00DC64A8" w:rsidP="00DC64A8">
      <w:pPr>
        <w:pStyle w:val="NoSpacing"/>
        <w:numPr>
          <w:ilvl w:val="1"/>
          <w:numId w:val="6"/>
        </w:numPr>
        <w:ind w:left="709"/>
        <w:rPr>
          <w:rFonts w:ascii="Arial" w:hAnsi="Arial" w:cs="Arial"/>
          <w:sz w:val="24"/>
          <w:szCs w:val="24"/>
        </w:rPr>
      </w:pPr>
      <w:r w:rsidRPr="00DC64A8">
        <w:rPr>
          <w:rFonts w:ascii="Arial" w:hAnsi="Arial" w:cs="Arial"/>
          <w:sz w:val="24"/>
          <w:szCs w:val="24"/>
        </w:rPr>
        <w:t>The on-site external audit inspection is due to commence on Monday 10th June</w:t>
      </w:r>
      <w:r w:rsidR="00541776">
        <w:rPr>
          <w:rFonts w:ascii="Arial" w:hAnsi="Arial" w:cs="Arial"/>
          <w:sz w:val="24"/>
          <w:szCs w:val="24"/>
        </w:rPr>
        <w:t xml:space="preserve"> </w:t>
      </w:r>
      <w:r w:rsidR="00541776" w:rsidRPr="00541776">
        <w:rPr>
          <w:rFonts w:ascii="Arial" w:hAnsi="Arial" w:cs="Arial"/>
          <w:sz w:val="24"/>
          <w:szCs w:val="24"/>
        </w:rPr>
        <w:t>and finish on 19</w:t>
      </w:r>
      <w:r w:rsidR="00541776" w:rsidRPr="00541776">
        <w:rPr>
          <w:rFonts w:ascii="Arial" w:hAnsi="Arial" w:cs="Arial"/>
          <w:sz w:val="24"/>
          <w:szCs w:val="24"/>
          <w:vertAlign w:val="superscript"/>
        </w:rPr>
        <w:t>th</w:t>
      </w:r>
      <w:r w:rsidR="00541776" w:rsidRPr="00541776">
        <w:rPr>
          <w:rFonts w:ascii="Arial" w:hAnsi="Arial" w:cs="Arial"/>
          <w:sz w:val="24"/>
          <w:szCs w:val="24"/>
        </w:rPr>
        <w:t xml:space="preserve"> July.  During this time, they will be on-site for four weeks</w:t>
      </w:r>
      <w:r w:rsidRPr="00DC64A8">
        <w:rPr>
          <w:rFonts w:ascii="Arial" w:hAnsi="Arial" w:cs="Arial"/>
          <w:sz w:val="24"/>
          <w:szCs w:val="24"/>
        </w:rPr>
        <w:t xml:space="preserve">.  </w:t>
      </w:r>
    </w:p>
    <w:p w:rsidR="00DC64A8" w:rsidRPr="00DC64A8" w:rsidRDefault="00DC64A8" w:rsidP="00DC64A8">
      <w:pPr>
        <w:pStyle w:val="NoSpacing"/>
        <w:rPr>
          <w:rFonts w:ascii="Arial" w:hAnsi="Arial" w:cs="Arial"/>
          <w:sz w:val="24"/>
          <w:szCs w:val="24"/>
        </w:rPr>
      </w:pPr>
    </w:p>
    <w:p w:rsidR="00FF7BF6" w:rsidRDefault="00DC64A8" w:rsidP="00DC64A8">
      <w:pPr>
        <w:pStyle w:val="NoSpacing"/>
        <w:numPr>
          <w:ilvl w:val="1"/>
          <w:numId w:val="6"/>
        </w:numPr>
        <w:ind w:left="709"/>
        <w:rPr>
          <w:rFonts w:ascii="Arial" w:hAnsi="Arial" w:cs="Arial"/>
          <w:sz w:val="24"/>
          <w:szCs w:val="24"/>
        </w:rPr>
      </w:pPr>
      <w:r w:rsidRPr="00DC64A8">
        <w:rPr>
          <w:rFonts w:ascii="Arial" w:hAnsi="Arial" w:cs="Arial"/>
          <w:sz w:val="24"/>
          <w:szCs w:val="24"/>
        </w:rPr>
        <w:t>The unaudited Statements of Accounts are due to be presented to the Joint Audit Committee on Friday 21st June.</w:t>
      </w:r>
    </w:p>
    <w:p w:rsidR="00DC64A8" w:rsidRPr="00DC64A8" w:rsidRDefault="00DC64A8" w:rsidP="00DC64A8">
      <w:pPr>
        <w:pStyle w:val="NoSpacing"/>
        <w:rPr>
          <w:rFonts w:ascii="Arial" w:hAnsi="Arial" w:cs="Arial"/>
          <w:sz w:val="24"/>
          <w:szCs w:val="24"/>
        </w:rPr>
      </w:pPr>
    </w:p>
    <w:p w:rsidR="00FF7BF6" w:rsidRDefault="00DC64A8" w:rsidP="00DC64A8">
      <w:pPr>
        <w:pStyle w:val="NoSpacing"/>
        <w:numPr>
          <w:ilvl w:val="1"/>
          <w:numId w:val="6"/>
        </w:numPr>
        <w:ind w:left="709"/>
        <w:rPr>
          <w:rFonts w:ascii="Arial" w:hAnsi="Arial" w:cs="Arial"/>
          <w:sz w:val="24"/>
          <w:szCs w:val="24"/>
        </w:rPr>
      </w:pPr>
      <w:r w:rsidRPr="00DC64A8">
        <w:rPr>
          <w:rFonts w:ascii="Arial" w:hAnsi="Arial" w:cs="Arial"/>
          <w:sz w:val="24"/>
          <w:szCs w:val="24"/>
        </w:rPr>
        <w:t>A closure update is due to be presented to Performance and Resources Board on Thursday 27th June.</w:t>
      </w:r>
    </w:p>
    <w:p w:rsidR="00DC64A8" w:rsidRPr="00DC64A8" w:rsidRDefault="00DC64A8" w:rsidP="00DC64A8">
      <w:pPr>
        <w:pStyle w:val="NoSpacing"/>
        <w:rPr>
          <w:rFonts w:ascii="Arial" w:hAnsi="Arial" w:cs="Arial"/>
          <w:sz w:val="24"/>
          <w:szCs w:val="24"/>
        </w:rPr>
      </w:pPr>
    </w:p>
    <w:p w:rsidR="00FF7BF6" w:rsidRPr="00DC64A8" w:rsidRDefault="00DC64A8" w:rsidP="00DC64A8">
      <w:pPr>
        <w:pStyle w:val="NoSpacing"/>
        <w:numPr>
          <w:ilvl w:val="1"/>
          <w:numId w:val="6"/>
        </w:numPr>
        <w:ind w:left="709"/>
        <w:rPr>
          <w:rFonts w:ascii="Arial" w:hAnsi="Arial" w:cs="Arial"/>
          <w:sz w:val="24"/>
          <w:szCs w:val="24"/>
        </w:rPr>
      </w:pPr>
      <w:r w:rsidRPr="00DC64A8">
        <w:rPr>
          <w:rFonts w:ascii="Arial" w:hAnsi="Arial" w:cs="Arial"/>
          <w:sz w:val="24"/>
          <w:szCs w:val="24"/>
        </w:rPr>
        <w:lastRenderedPageBreak/>
        <w:t xml:space="preserve">The Joint Audit Committee followed by the signing of the audited Statement of Accounts is planned for Friday 26th July.  The statutory deadline for the final audited Statement of Accounts is 31st July.  </w:t>
      </w:r>
    </w:p>
    <w:p w:rsidR="00E9387D" w:rsidRDefault="00E9387D" w:rsidP="00E9387D">
      <w:pPr>
        <w:pStyle w:val="NoSpacing"/>
        <w:ind w:left="720"/>
        <w:rPr>
          <w:rFonts w:ascii="Arial" w:hAnsi="Arial" w:cs="Arial"/>
          <w:sz w:val="24"/>
          <w:szCs w:val="24"/>
        </w:rPr>
      </w:pPr>
    </w:p>
    <w:p w:rsidR="00E9387D" w:rsidRDefault="00E9387D" w:rsidP="00E9387D">
      <w:pPr>
        <w:pStyle w:val="NoSpacing"/>
        <w:numPr>
          <w:ilvl w:val="0"/>
          <w:numId w:val="6"/>
        </w:numPr>
        <w:rPr>
          <w:rFonts w:ascii="Arial" w:hAnsi="Arial" w:cs="Arial"/>
          <w:b/>
          <w:sz w:val="24"/>
          <w:szCs w:val="24"/>
          <w:u w:val="single"/>
        </w:rPr>
      </w:pPr>
      <w:r>
        <w:rPr>
          <w:rFonts w:ascii="Arial" w:hAnsi="Arial" w:cs="Arial"/>
          <w:b/>
          <w:sz w:val="24"/>
          <w:szCs w:val="24"/>
          <w:u w:val="single"/>
        </w:rPr>
        <w:t>Decisions Required by the Police, Fire and Crime Commissioner</w:t>
      </w:r>
    </w:p>
    <w:p w:rsidR="00E9387D" w:rsidRDefault="00E9387D" w:rsidP="00E9387D">
      <w:pPr>
        <w:pStyle w:val="NoSpacing"/>
        <w:ind w:left="720"/>
        <w:rPr>
          <w:rFonts w:ascii="Arial" w:hAnsi="Arial" w:cs="Arial"/>
          <w:b/>
          <w:sz w:val="24"/>
          <w:szCs w:val="24"/>
          <w:u w:val="single"/>
        </w:rPr>
      </w:pPr>
    </w:p>
    <w:p w:rsidR="006E46EB" w:rsidRDefault="006E46EB" w:rsidP="00E9387D">
      <w:pPr>
        <w:pStyle w:val="NoSpacing"/>
        <w:numPr>
          <w:ilvl w:val="1"/>
          <w:numId w:val="6"/>
        </w:numPr>
        <w:ind w:left="709"/>
        <w:rPr>
          <w:rFonts w:ascii="Arial" w:hAnsi="Arial" w:cs="Arial"/>
          <w:sz w:val="24"/>
          <w:szCs w:val="24"/>
        </w:rPr>
      </w:pPr>
      <w:r>
        <w:rPr>
          <w:rFonts w:ascii="Arial" w:hAnsi="Arial" w:cs="Arial"/>
          <w:sz w:val="24"/>
          <w:szCs w:val="24"/>
        </w:rPr>
        <w:t xml:space="preserve">To approve the level of earmarked marked reserves and General Reserve balances. </w:t>
      </w:r>
    </w:p>
    <w:p w:rsidR="006E46EB" w:rsidRDefault="006E46EB" w:rsidP="006E46EB">
      <w:pPr>
        <w:pStyle w:val="NoSpacing"/>
        <w:ind w:left="709"/>
        <w:rPr>
          <w:rFonts w:ascii="Arial" w:hAnsi="Arial" w:cs="Arial"/>
          <w:sz w:val="24"/>
          <w:szCs w:val="24"/>
        </w:rPr>
      </w:pPr>
    </w:p>
    <w:p w:rsidR="00E9387D" w:rsidRDefault="007274B5" w:rsidP="00E9387D">
      <w:pPr>
        <w:pStyle w:val="NoSpacing"/>
        <w:numPr>
          <w:ilvl w:val="1"/>
          <w:numId w:val="6"/>
        </w:numPr>
        <w:ind w:left="709"/>
        <w:rPr>
          <w:rFonts w:ascii="Arial" w:hAnsi="Arial" w:cs="Arial"/>
          <w:sz w:val="24"/>
          <w:szCs w:val="24"/>
        </w:rPr>
      </w:pPr>
      <w:r>
        <w:rPr>
          <w:rFonts w:ascii="Arial" w:hAnsi="Arial" w:cs="Arial"/>
          <w:sz w:val="24"/>
          <w:szCs w:val="24"/>
        </w:rPr>
        <w:t>To review the 2018/19 draft u</w:t>
      </w:r>
      <w:r w:rsidR="00373F7A" w:rsidRPr="00373F7A">
        <w:rPr>
          <w:rFonts w:ascii="Arial" w:hAnsi="Arial" w:cs="Arial"/>
          <w:sz w:val="24"/>
          <w:szCs w:val="24"/>
        </w:rPr>
        <w:t>naudited Statement of Accounts for sign off by the Chief Financial Officers on 24</w:t>
      </w:r>
      <w:r w:rsidR="00373F7A" w:rsidRPr="00373F7A">
        <w:rPr>
          <w:rFonts w:ascii="Arial" w:hAnsi="Arial" w:cs="Arial"/>
          <w:sz w:val="24"/>
          <w:szCs w:val="24"/>
          <w:vertAlign w:val="superscript"/>
        </w:rPr>
        <w:t>th</w:t>
      </w:r>
      <w:r w:rsidR="00373F7A" w:rsidRPr="00373F7A">
        <w:rPr>
          <w:rFonts w:ascii="Arial" w:hAnsi="Arial" w:cs="Arial"/>
          <w:sz w:val="24"/>
          <w:szCs w:val="24"/>
        </w:rPr>
        <w:t xml:space="preserve"> May and publication on the external websites on Tuesday 28</w:t>
      </w:r>
      <w:r w:rsidR="00373F7A" w:rsidRPr="00373F7A">
        <w:rPr>
          <w:rFonts w:ascii="Arial" w:hAnsi="Arial" w:cs="Arial"/>
          <w:sz w:val="24"/>
          <w:szCs w:val="24"/>
          <w:vertAlign w:val="superscript"/>
        </w:rPr>
        <w:t>th</w:t>
      </w:r>
      <w:r w:rsidR="00373F7A" w:rsidRPr="00373F7A">
        <w:rPr>
          <w:rFonts w:ascii="Arial" w:hAnsi="Arial" w:cs="Arial"/>
          <w:sz w:val="24"/>
          <w:szCs w:val="24"/>
        </w:rPr>
        <w:t xml:space="preserve"> May.</w:t>
      </w:r>
    </w:p>
    <w:p w:rsidR="00D03613" w:rsidRDefault="00D03613" w:rsidP="00D03613">
      <w:pPr>
        <w:spacing w:after="200" w:line="276" w:lineRule="auto"/>
        <w:jc w:val="center"/>
        <w:rPr>
          <w:rFonts w:ascii="Calibri" w:hAnsi="Calibri" w:cs="Calibri"/>
          <w:b/>
          <w:noProof/>
          <w:sz w:val="24"/>
        </w:rPr>
      </w:pPr>
    </w:p>
    <w:p w:rsidR="00C53486" w:rsidRDefault="00C53486" w:rsidP="00AC05F5">
      <w:pPr>
        <w:jc w:val="center"/>
        <w:outlineLvl w:val="0"/>
        <w:rPr>
          <w:rFonts w:ascii="Tahoma" w:hAnsi="Tahoma" w:cs="Tahoma"/>
          <w:b/>
        </w:rPr>
        <w:sectPr w:rsidR="00C53486" w:rsidSect="009E6C5A">
          <w:headerReference w:type="default" r:id="rId8"/>
          <w:footerReference w:type="default" r:id="rId9"/>
          <w:pgSz w:w="11906" w:h="16838"/>
          <w:pgMar w:top="1135" w:right="707" w:bottom="1440" w:left="851" w:header="708" w:footer="708" w:gutter="0"/>
          <w:cols w:space="708"/>
          <w:docGrid w:linePitch="360"/>
        </w:sectPr>
      </w:pPr>
    </w:p>
    <w:p w:rsidR="00FB0DBD" w:rsidRPr="009E0ACF" w:rsidRDefault="00A058AD" w:rsidP="00A66A50">
      <w:pPr>
        <w:pStyle w:val="Heading1"/>
        <w:ind w:left="-993" w:firstLine="0"/>
        <w:rPr>
          <w:noProof/>
        </w:rPr>
      </w:pPr>
      <w:bookmarkStart w:id="10" w:name="_Toc456249285"/>
      <w:bookmarkStart w:id="11" w:name="_Toc456335426"/>
      <w:bookmarkStart w:id="12" w:name="_Toc464397750"/>
      <w:bookmarkStart w:id="13" w:name="_Toc464397838"/>
      <w:bookmarkStart w:id="14" w:name="_Toc475009493"/>
      <w:bookmarkStart w:id="15" w:name="_Toc487212537"/>
      <w:bookmarkStart w:id="16" w:name="_Toc487212640"/>
      <w:bookmarkStart w:id="17" w:name="_Toc487639463"/>
      <w:bookmarkStart w:id="18" w:name="_Toc487642206"/>
      <w:bookmarkStart w:id="19" w:name="_Toc487644106"/>
      <w:bookmarkStart w:id="20" w:name="_Toc487644968"/>
      <w:bookmarkStart w:id="21" w:name="_Toc487645494"/>
      <w:bookmarkStart w:id="22" w:name="_Toc487730305"/>
      <w:bookmarkStart w:id="23" w:name="_Toc495874919"/>
      <w:bookmarkStart w:id="24" w:name="_Toc495920591"/>
      <w:bookmarkStart w:id="25" w:name="_Toc495920708"/>
      <w:bookmarkStart w:id="26" w:name="_Toc506309643"/>
      <w:bookmarkStart w:id="27" w:name="_Toc507149729"/>
      <w:bookmarkStart w:id="28" w:name="_Toc519251374"/>
      <w:bookmarkStart w:id="29" w:name="_Toc519698142"/>
      <w:bookmarkStart w:id="30" w:name="_Toc519698264"/>
      <w:bookmarkStart w:id="31" w:name="_Toc950019"/>
      <w:bookmarkStart w:id="32" w:name="_Toc8720580"/>
      <w:bookmarkStart w:id="33" w:name="_Toc8720665"/>
      <w:r>
        <w:rPr>
          <w:rFonts w:ascii="Tahoma" w:hAnsi="Tahoma" w:cs="Tahoma"/>
          <w:b w:val="0"/>
          <w:noProof/>
          <w:u w:val="single"/>
        </w:rPr>
        <w:lastRenderedPageBreak/>
        <w:drawing>
          <wp:anchor distT="0" distB="0" distL="114300" distR="114300" simplePos="0" relativeHeight="252234752" behindDoc="0" locked="0" layoutInCell="1" allowOverlap="1" wp14:anchorId="7E972050" wp14:editId="06BF9554">
            <wp:simplePos x="0" y="0"/>
            <wp:positionH relativeFrom="column">
              <wp:posOffset>-647700</wp:posOffset>
            </wp:positionH>
            <wp:positionV relativeFrom="paragraph">
              <wp:posOffset>725805</wp:posOffset>
            </wp:positionV>
            <wp:extent cx="9791700" cy="5219700"/>
            <wp:effectExtent l="0" t="0" r="5633085" b="169545"/>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FB0DBD" w:rsidRPr="009E0ACF">
        <w:t>Executive Summary</w:t>
      </w:r>
      <w:r w:rsidR="00F23D48">
        <w:t xml:space="preserve"> – </w:t>
      </w:r>
      <w:bookmarkEnd w:id="10"/>
      <w:bookmarkEnd w:id="11"/>
      <w:bookmarkEnd w:id="12"/>
      <w:bookmarkEnd w:id="13"/>
      <w:bookmarkEnd w:id="14"/>
      <w:r w:rsidR="00C51011">
        <w:t xml:space="preserve">2018/19 </w:t>
      </w:r>
      <w:r w:rsidR="00FC4E60">
        <w:t>–</w:t>
      </w:r>
      <w:r w:rsidR="00DD0750">
        <w:t xml:space="preser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950A36">
        <w:t>Provisional Outturn</w:t>
      </w:r>
      <w:bookmarkEnd w:id="32"/>
      <w:bookmarkEnd w:id="33"/>
    </w:p>
    <w:p w:rsidR="00FB0DBD" w:rsidRDefault="00FB0DBD"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FB0DBD" w:rsidRDefault="00FB0DBD" w:rsidP="00FB0DBD">
      <w:pPr>
        <w:ind w:left="-851" w:right="-643"/>
        <w:jc w:val="center"/>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Pr="009E0ACF" w:rsidRDefault="001D6905" w:rsidP="00EB20B8">
      <w:pPr>
        <w:pStyle w:val="Heading1"/>
        <w:ind w:left="-993" w:firstLine="0"/>
        <w:rPr>
          <w:noProof/>
        </w:rPr>
      </w:pPr>
      <w:bookmarkStart w:id="34" w:name="_Toc8720581"/>
      <w:bookmarkStart w:id="35" w:name="_Toc8720666"/>
      <w:r>
        <w:rPr>
          <w:rFonts w:ascii="Tahoma" w:hAnsi="Tahoma" w:cs="Tahoma"/>
          <w:b w:val="0"/>
          <w:noProof/>
          <w:u w:val="single"/>
        </w:rPr>
        <w:lastRenderedPageBreak/>
        <w:drawing>
          <wp:anchor distT="0" distB="0" distL="114300" distR="114300" simplePos="0" relativeHeight="252261376" behindDoc="0" locked="0" layoutInCell="1" allowOverlap="1">
            <wp:simplePos x="0" y="0"/>
            <wp:positionH relativeFrom="column">
              <wp:posOffset>-695326</wp:posOffset>
            </wp:positionH>
            <wp:positionV relativeFrom="paragraph">
              <wp:posOffset>605154</wp:posOffset>
            </wp:positionV>
            <wp:extent cx="9782175" cy="340266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86649" cy="3404219"/>
                    </a:xfrm>
                    <a:prstGeom prst="rect">
                      <a:avLst/>
                    </a:prstGeom>
                    <a:noFill/>
                  </pic:spPr>
                </pic:pic>
              </a:graphicData>
            </a:graphic>
            <wp14:sizeRelH relativeFrom="page">
              <wp14:pctWidth>0</wp14:pctWidth>
            </wp14:sizeRelH>
            <wp14:sizeRelV relativeFrom="page">
              <wp14:pctHeight>0</wp14:pctHeight>
            </wp14:sizeRelV>
          </wp:anchor>
        </w:drawing>
      </w:r>
      <w:r w:rsidR="00EB20B8">
        <w:t>Current Position</w:t>
      </w:r>
      <w:bookmarkEnd w:id="34"/>
      <w:bookmarkEnd w:id="35"/>
    </w:p>
    <w:p w:rsidR="00EB20B8" w:rsidRDefault="00EB20B8" w:rsidP="00EB20B8">
      <w:pPr>
        <w:ind w:left="-851" w:right="-643"/>
        <w:jc w:val="left"/>
        <w:rPr>
          <w:rFonts w:ascii="Tahoma" w:hAnsi="Tahoma" w:cs="Tahoma"/>
          <w:b/>
          <w:u w:val="single"/>
        </w:rPr>
      </w:pPr>
    </w:p>
    <w:p w:rsidR="00EB20B8" w:rsidRDefault="00EB20B8" w:rsidP="00FB0DBD">
      <w:pPr>
        <w:ind w:left="-851" w:right="-643"/>
        <w:jc w:val="center"/>
        <w:rPr>
          <w:rFonts w:ascii="Tahoma" w:hAnsi="Tahoma" w:cs="Tahoma"/>
          <w:b/>
          <w:u w:val="single"/>
        </w:rPr>
      </w:pPr>
    </w:p>
    <w:p w:rsidR="00EB20B8" w:rsidRDefault="00EB20B8" w:rsidP="00EB20B8">
      <w:pPr>
        <w:ind w:left="-851" w:right="-643"/>
        <w:rPr>
          <w:rFonts w:ascii="Tahoma" w:hAnsi="Tahoma" w:cs="Tahoma"/>
          <w:b/>
          <w:u w:val="single"/>
        </w:rPr>
        <w:sectPr w:rsidR="00EB20B8" w:rsidSect="009E6C5A">
          <w:headerReference w:type="even" r:id="rId16"/>
          <w:headerReference w:type="default" r:id="rId17"/>
          <w:footerReference w:type="default" r:id="rId18"/>
          <w:headerReference w:type="first" r:id="rId19"/>
          <w:pgSz w:w="16838" w:h="11906" w:orient="landscape"/>
          <w:pgMar w:top="851" w:right="1135" w:bottom="707" w:left="1440" w:header="708" w:footer="708" w:gutter="0"/>
          <w:cols w:space="708"/>
          <w:docGrid w:linePitch="360"/>
        </w:sectPr>
      </w:pPr>
    </w:p>
    <w:p w:rsidR="00AA52D5" w:rsidRPr="0024647F" w:rsidRDefault="00AA52D5" w:rsidP="00A66A50">
      <w:pPr>
        <w:pStyle w:val="Heading1"/>
      </w:pPr>
      <w:bookmarkStart w:id="36" w:name="_Toc424893993"/>
      <w:bookmarkStart w:id="37" w:name="_Toc424896272"/>
      <w:bookmarkStart w:id="38" w:name="_Toc431290610"/>
      <w:bookmarkStart w:id="39" w:name="_Toc432146304"/>
      <w:bookmarkStart w:id="40" w:name="_Toc432146392"/>
      <w:bookmarkStart w:id="41" w:name="_Toc432158490"/>
      <w:bookmarkStart w:id="42" w:name="_Toc440901935"/>
      <w:bookmarkStart w:id="43" w:name="_Toc445373703"/>
      <w:bookmarkStart w:id="44" w:name="_Toc450572664"/>
      <w:bookmarkStart w:id="45" w:name="_Toc456249286"/>
      <w:bookmarkStart w:id="46" w:name="_Toc456335427"/>
      <w:bookmarkStart w:id="47" w:name="_Toc464397751"/>
      <w:bookmarkStart w:id="48" w:name="_Toc464397839"/>
      <w:bookmarkStart w:id="49" w:name="_Toc475009494"/>
      <w:bookmarkStart w:id="50" w:name="_Toc487212538"/>
      <w:bookmarkStart w:id="51" w:name="_Toc487212641"/>
      <w:bookmarkStart w:id="52" w:name="_Toc487639464"/>
      <w:bookmarkStart w:id="53" w:name="_Toc487642207"/>
      <w:bookmarkStart w:id="54" w:name="_Toc487644107"/>
      <w:bookmarkStart w:id="55" w:name="_Toc487644969"/>
      <w:bookmarkStart w:id="56" w:name="_Toc487645495"/>
      <w:bookmarkStart w:id="57" w:name="_Toc487730306"/>
      <w:bookmarkStart w:id="58" w:name="_Toc495874920"/>
      <w:bookmarkStart w:id="59" w:name="_Toc495920592"/>
      <w:bookmarkStart w:id="60" w:name="_Toc495920709"/>
      <w:bookmarkStart w:id="61" w:name="_Toc506309644"/>
      <w:bookmarkStart w:id="62" w:name="_Toc507149730"/>
      <w:bookmarkStart w:id="63" w:name="_Toc519251375"/>
      <w:bookmarkStart w:id="64" w:name="_Toc519698143"/>
      <w:bookmarkStart w:id="65" w:name="_Toc519698265"/>
      <w:bookmarkStart w:id="66" w:name="_Toc950020"/>
      <w:bookmarkStart w:id="67" w:name="_Toc8720582"/>
      <w:bookmarkStart w:id="68" w:name="_Toc8720667"/>
      <w:bookmarkEnd w:id="0"/>
      <w:bookmarkEnd w:id="1"/>
      <w:bookmarkEnd w:id="2"/>
      <w:bookmarkEnd w:id="3"/>
      <w:bookmarkEnd w:id="4"/>
      <w:bookmarkEnd w:id="5"/>
      <w:bookmarkEnd w:id="6"/>
      <w:bookmarkEnd w:id="7"/>
      <w:bookmarkEnd w:id="8"/>
      <w:r w:rsidRPr="0024647F">
        <w:lastRenderedPageBreak/>
        <w:t>R</w:t>
      </w:r>
      <w:r w:rsidR="005E4864" w:rsidRPr="0024647F">
        <w:t>evenue</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001F762C">
        <w:rPr>
          <w:i/>
        </w:rPr>
        <w:t xml:space="preserve"> </w:t>
      </w:r>
    </w:p>
    <w:p w:rsidR="006B3DC1" w:rsidRPr="008334F6" w:rsidRDefault="006B3DC1" w:rsidP="006B3DC1">
      <w:pPr>
        <w:pStyle w:val="Heading2"/>
        <w:rPr>
          <w:i/>
          <w:sz w:val="28"/>
          <w:szCs w:val="28"/>
        </w:rPr>
      </w:pPr>
      <w:bookmarkStart w:id="69" w:name="_Toc456249287"/>
      <w:bookmarkStart w:id="70" w:name="_Toc456335428"/>
      <w:bookmarkStart w:id="71" w:name="_Toc464397752"/>
      <w:bookmarkStart w:id="72" w:name="_Toc464397840"/>
      <w:bookmarkStart w:id="73" w:name="_Toc475009495"/>
      <w:bookmarkStart w:id="74" w:name="_Toc487212539"/>
      <w:bookmarkStart w:id="75" w:name="_Toc487212642"/>
      <w:bookmarkStart w:id="76" w:name="_Toc487639465"/>
      <w:bookmarkStart w:id="77" w:name="_Toc487642208"/>
      <w:bookmarkStart w:id="78" w:name="_Toc487644108"/>
      <w:bookmarkStart w:id="79" w:name="_Toc487644970"/>
      <w:bookmarkStart w:id="80" w:name="_Toc487645496"/>
      <w:bookmarkStart w:id="81" w:name="_Toc487730307"/>
      <w:bookmarkStart w:id="82" w:name="_Toc495874921"/>
      <w:bookmarkStart w:id="83" w:name="_Toc495920593"/>
      <w:bookmarkStart w:id="84" w:name="_Toc495920710"/>
      <w:bookmarkStart w:id="85" w:name="_Toc506309645"/>
      <w:bookmarkStart w:id="86" w:name="_Toc507149731"/>
      <w:bookmarkStart w:id="87" w:name="_Toc519251376"/>
      <w:bookmarkStart w:id="88" w:name="_Toc519698144"/>
      <w:bookmarkStart w:id="89" w:name="_Toc519698266"/>
      <w:bookmarkStart w:id="90" w:name="_Toc950021"/>
      <w:bookmarkStart w:id="91" w:name="_Toc8720583"/>
      <w:bookmarkStart w:id="92" w:name="_Toc8720668"/>
      <w:bookmarkStart w:id="93" w:name="_Toc424893995"/>
      <w:bookmarkStart w:id="94" w:name="_Toc424896274"/>
      <w:bookmarkStart w:id="95" w:name="_Toc431290612"/>
      <w:bookmarkStart w:id="96" w:name="_Toc432146312"/>
      <w:bookmarkStart w:id="97" w:name="_Toc432146400"/>
      <w:bookmarkStart w:id="98" w:name="_Toc432158498"/>
      <w:bookmarkStart w:id="99" w:name="_Toc440901943"/>
      <w:bookmarkStart w:id="100" w:name="_Toc450572665"/>
      <w:bookmarkStart w:id="101" w:name="_Toc424893997"/>
      <w:bookmarkStart w:id="102" w:name="_Toc424896276"/>
      <w:bookmarkStart w:id="103" w:name="_Toc431290614"/>
      <w:bookmarkStart w:id="104" w:name="_Toc432146307"/>
      <w:bookmarkStart w:id="105" w:name="_Toc432146395"/>
      <w:bookmarkStart w:id="106" w:name="_Toc432158493"/>
      <w:bookmarkStart w:id="107" w:name="_Toc440901938"/>
      <w:r>
        <w:t>Revenue Summary</w:t>
      </w:r>
      <w:r w:rsidR="00CF37CF">
        <w:t xml:space="preserve"> –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E66170">
        <w:t>Provisional Outturn 2018/19</w:t>
      </w:r>
      <w:bookmarkEnd w:id="91"/>
      <w:bookmarkEnd w:id="92"/>
    </w:p>
    <w:p w:rsidR="001F762C" w:rsidRDefault="008614B8" w:rsidP="006B3DC1">
      <w:pPr>
        <w:spacing w:line="240" w:lineRule="auto"/>
        <w:jc w:val="center"/>
      </w:pPr>
      <w:r w:rsidRPr="008614B8">
        <w:rPr>
          <w:noProof/>
        </w:rPr>
        <w:drawing>
          <wp:anchor distT="0" distB="0" distL="114300" distR="114300" simplePos="0" relativeHeight="252257280" behindDoc="0" locked="0" layoutInCell="1" allowOverlap="1">
            <wp:simplePos x="0" y="0"/>
            <wp:positionH relativeFrom="margin">
              <wp:posOffset>-635</wp:posOffset>
            </wp:positionH>
            <wp:positionV relativeFrom="paragraph">
              <wp:posOffset>3810</wp:posOffset>
            </wp:positionV>
            <wp:extent cx="7901940" cy="477075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11865" cy="4776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1F762C" w:rsidRDefault="001F762C" w:rsidP="006B3DC1">
      <w:pPr>
        <w:spacing w:line="240" w:lineRule="auto"/>
        <w:jc w:val="center"/>
      </w:pPr>
    </w:p>
    <w:p w:rsidR="00665951" w:rsidRDefault="00665951" w:rsidP="007727EE">
      <w:pPr>
        <w:rPr>
          <w:rFonts w:eastAsiaTheme="minorHAnsi"/>
        </w:rPr>
        <w:sectPr w:rsidR="00665951" w:rsidSect="00124BBC">
          <w:headerReference w:type="even" r:id="rId21"/>
          <w:headerReference w:type="default" r:id="rId22"/>
          <w:footerReference w:type="default" r:id="rId23"/>
          <w:headerReference w:type="first" r:id="rId24"/>
          <w:pgSz w:w="16838" w:h="11906" w:orient="landscape"/>
          <w:pgMar w:top="1134" w:right="1134" w:bottom="1134" w:left="709" w:header="709" w:footer="709" w:gutter="0"/>
          <w:cols w:space="708"/>
          <w:docGrid w:linePitch="360"/>
        </w:sectPr>
      </w:pPr>
      <w:bookmarkStart w:id="108" w:name="_Toc450572666"/>
      <w:bookmarkStart w:id="109" w:name="_Toc456249288"/>
      <w:bookmarkStart w:id="110" w:name="_Toc456335429"/>
      <w:bookmarkStart w:id="111" w:name="_Toc464397754"/>
      <w:bookmarkStart w:id="112" w:name="_Toc464397842"/>
      <w:bookmarkStart w:id="113" w:name="_Toc475009498"/>
      <w:bookmarkStart w:id="114" w:name="_Toc487212542"/>
      <w:bookmarkStart w:id="115" w:name="_Toc487212645"/>
      <w:bookmarkStart w:id="116" w:name="_Toc487639466"/>
      <w:bookmarkStart w:id="117" w:name="_Toc487642209"/>
      <w:bookmarkStart w:id="118" w:name="_Toc487644110"/>
      <w:bookmarkStart w:id="119" w:name="_Toc487644972"/>
      <w:bookmarkStart w:id="120" w:name="_Toc487645498"/>
      <w:bookmarkStart w:id="121" w:name="_Toc487730309"/>
    </w:p>
    <w:p w:rsidR="00345828" w:rsidRDefault="00345828" w:rsidP="00345828">
      <w:pPr>
        <w:pStyle w:val="Heading2"/>
      </w:pPr>
      <w:bookmarkStart w:id="122" w:name="_Toc950022"/>
      <w:bookmarkStart w:id="123" w:name="_Toc8720584"/>
      <w:bookmarkStart w:id="124" w:name="_Toc8720669"/>
      <w:bookmarkStart w:id="125" w:name="_Toc456249290"/>
      <w:bookmarkStart w:id="126" w:name="_Toc456335431"/>
      <w:bookmarkStart w:id="127" w:name="_Toc464397756"/>
      <w:bookmarkStart w:id="128" w:name="_Toc464397844"/>
      <w:bookmarkStart w:id="129" w:name="_Toc475009500"/>
      <w:bookmarkStart w:id="130" w:name="_Toc487212547"/>
      <w:bookmarkStart w:id="131" w:name="_Toc487212650"/>
      <w:bookmarkStart w:id="132" w:name="_Toc487639471"/>
      <w:bookmarkStart w:id="133" w:name="_Toc487642214"/>
      <w:bookmarkStart w:id="134" w:name="_Toc487644115"/>
      <w:bookmarkStart w:id="135" w:name="_Toc487644977"/>
      <w:bookmarkStart w:id="136" w:name="_Toc487645503"/>
      <w:bookmarkStart w:id="137" w:name="_Toc487730314"/>
      <w:bookmarkStart w:id="138" w:name="_Toc424893998"/>
      <w:bookmarkStart w:id="139" w:name="_Toc424896278"/>
      <w:bookmarkStart w:id="140" w:name="_Toc431290607"/>
      <w:bookmarkStart w:id="141" w:name="_Toc432146308"/>
      <w:bookmarkStart w:id="142" w:name="_Toc432146396"/>
      <w:bookmarkStart w:id="143" w:name="_Toc432158494"/>
      <w:bookmarkStart w:id="144" w:name="_Toc440901939"/>
      <w:bookmarkStart w:id="145" w:name="_Toc445373704"/>
      <w:bookmarkStart w:id="146" w:name="_Toc45057266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lastRenderedPageBreak/>
        <w:t xml:space="preserve">Main </w:t>
      </w:r>
      <w:r w:rsidRPr="008D1B1E">
        <w:t xml:space="preserve">Forecast </w:t>
      </w:r>
      <w:r w:rsidR="00D26960">
        <w:t xml:space="preserve">Movements since </w:t>
      </w:r>
      <w:r w:rsidR="00CF533A">
        <w:t xml:space="preserve">month </w:t>
      </w:r>
      <w:bookmarkEnd w:id="122"/>
      <w:r w:rsidR="00AE11D4">
        <w:t>11</w:t>
      </w:r>
      <w:bookmarkEnd w:id="123"/>
      <w:bookmarkEnd w:id="124"/>
    </w:p>
    <w:p w:rsidR="00FF5EBC" w:rsidRDefault="00985D5D" w:rsidP="00345828">
      <w:r w:rsidRPr="00985D5D">
        <w:rPr>
          <w:noProof/>
        </w:rPr>
        <w:drawing>
          <wp:inline distT="0" distB="0" distL="0" distR="0">
            <wp:extent cx="9541566" cy="5430368"/>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65549" cy="5444017"/>
                    </a:xfrm>
                    <a:prstGeom prst="rect">
                      <a:avLst/>
                    </a:prstGeom>
                    <a:noFill/>
                    <a:ln>
                      <a:noFill/>
                    </a:ln>
                  </pic:spPr>
                </pic:pic>
              </a:graphicData>
            </a:graphic>
          </wp:inline>
        </w:drawing>
      </w:r>
    </w:p>
    <w:p w:rsidR="00C640BB" w:rsidRDefault="00C640BB" w:rsidP="00C640BB">
      <w:pPr>
        <w:pStyle w:val="Heading2"/>
        <w:rPr>
          <w:rFonts w:eastAsiaTheme="minorHAnsi"/>
          <w:noProof/>
        </w:rPr>
      </w:pPr>
      <w:bookmarkStart w:id="147" w:name="_Toc506309648"/>
      <w:bookmarkStart w:id="148" w:name="_Toc507149734"/>
      <w:bookmarkStart w:id="149" w:name="_Toc512618549"/>
      <w:bookmarkStart w:id="150" w:name="_Toc512796253"/>
      <w:bookmarkStart w:id="151" w:name="_Toc512796424"/>
      <w:bookmarkStart w:id="152" w:name="_Toc513112450"/>
      <w:bookmarkStart w:id="153" w:name="_Toc513184425"/>
      <w:bookmarkStart w:id="154" w:name="_Toc8720585"/>
      <w:bookmarkStart w:id="155" w:name="_Toc8720670"/>
      <w:r w:rsidRPr="00264854">
        <w:t>Analysis of Main Variance Areas</w:t>
      </w:r>
      <w:bookmarkEnd w:id="147"/>
      <w:bookmarkEnd w:id="148"/>
      <w:bookmarkEnd w:id="149"/>
      <w:bookmarkEnd w:id="150"/>
      <w:bookmarkEnd w:id="151"/>
      <w:bookmarkEnd w:id="152"/>
      <w:bookmarkEnd w:id="153"/>
      <w:bookmarkEnd w:id="154"/>
      <w:bookmarkEnd w:id="155"/>
    </w:p>
    <w:p w:rsidR="00C640BB" w:rsidRDefault="00875746" w:rsidP="00345828">
      <w:r w:rsidRPr="00875746">
        <w:rPr>
          <w:noProof/>
        </w:rPr>
        <w:drawing>
          <wp:inline distT="0" distB="0" distL="0" distR="0">
            <wp:extent cx="9521825" cy="505751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1825" cy="5057511"/>
                    </a:xfrm>
                    <a:prstGeom prst="rect">
                      <a:avLst/>
                    </a:prstGeom>
                    <a:noFill/>
                    <a:ln>
                      <a:noFill/>
                    </a:ln>
                  </pic:spPr>
                </pic:pic>
              </a:graphicData>
            </a:graphic>
          </wp:inline>
        </w:drawing>
      </w:r>
    </w:p>
    <w:p w:rsidR="00C640BB" w:rsidRDefault="00C640BB">
      <w:pPr>
        <w:spacing w:line="240" w:lineRule="auto"/>
        <w:jc w:val="left"/>
      </w:pPr>
      <w:r>
        <w:br w:type="page"/>
      </w:r>
    </w:p>
    <w:p w:rsidR="00C640BB" w:rsidRPr="002D216D" w:rsidRDefault="00C640BB" w:rsidP="00C640BB">
      <w:pPr>
        <w:pStyle w:val="Heading2"/>
        <w:rPr>
          <w:rFonts w:eastAsiaTheme="minorHAnsi"/>
          <w:noProof/>
        </w:rPr>
      </w:pPr>
      <w:bookmarkStart w:id="156" w:name="_Toc8720586"/>
      <w:bookmarkStart w:id="157" w:name="_Toc8720671"/>
      <w:r w:rsidRPr="002D216D">
        <w:rPr>
          <w:rFonts w:eastAsiaTheme="minorHAnsi"/>
          <w:noProof/>
        </w:rPr>
        <w:lastRenderedPageBreak/>
        <w:t xml:space="preserve">Top Five Forecast Overspends </w:t>
      </w:r>
      <w:r w:rsidRPr="002D216D">
        <w:rPr>
          <w:rFonts w:eastAsiaTheme="minorHAnsi"/>
          <w:i/>
          <w:noProof/>
        </w:rPr>
        <w:t>(Current budget)</w:t>
      </w:r>
      <w:bookmarkEnd w:id="156"/>
      <w:bookmarkEnd w:id="157"/>
    </w:p>
    <w:p w:rsidR="00C640BB" w:rsidRDefault="001063E5" w:rsidP="00345828">
      <w:pPr>
        <w:rPr>
          <w:noProof/>
        </w:rPr>
      </w:pPr>
      <w:r>
        <w:rPr>
          <w:noProof/>
        </w:rPr>
        <w:drawing>
          <wp:inline distT="0" distB="0" distL="0" distR="0" wp14:anchorId="4DF22D74">
            <wp:extent cx="9699625" cy="5499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99625" cy="5499100"/>
                    </a:xfrm>
                    <a:prstGeom prst="rect">
                      <a:avLst/>
                    </a:prstGeom>
                    <a:noFill/>
                  </pic:spPr>
                </pic:pic>
              </a:graphicData>
            </a:graphic>
          </wp:inline>
        </w:drawing>
      </w:r>
    </w:p>
    <w:p w:rsidR="00B91C86" w:rsidRDefault="00B91C86" w:rsidP="00B91C86">
      <w:pPr>
        <w:pStyle w:val="Heading2"/>
        <w:rPr>
          <w:rFonts w:eastAsiaTheme="minorHAnsi"/>
          <w:i/>
          <w:noProof/>
        </w:rPr>
      </w:pPr>
      <w:bookmarkStart w:id="158" w:name="_Toc456249289"/>
      <w:bookmarkStart w:id="159" w:name="_Toc456335430"/>
      <w:bookmarkStart w:id="160" w:name="_Toc464397755"/>
      <w:bookmarkStart w:id="161" w:name="_Toc464397843"/>
      <w:bookmarkStart w:id="162" w:name="_Toc475009499"/>
      <w:bookmarkStart w:id="163" w:name="_Toc487212543"/>
      <w:bookmarkStart w:id="164" w:name="_Toc487212646"/>
      <w:bookmarkStart w:id="165" w:name="_Toc487639467"/>
      <w:bookmarkStart w:id="166" w:name="_Toc487642210"/>
      <w:bookmarkStart w:id="167" w:name="_Toc487644111"/>
      <w:bookmarkStart w:id="168" w:name="_Toc487644973"/>
      <w:bookmarkStart w:id="169" w:name="_Toc487645499"/>
      <w:bookmarkStart w:id="170" w:name="_Toc487730310"/>
      <w:bookmarkStart w:id="171" w:name="_Toc495874925"/>
      <w:bookmarkStart w:id="172" w:name="_Toc495920597"/>
      <w:bookmarkStart w:id="173" w:name="_Toc495920714"/>
      <w:bookmarkStart w:id="174" w:name="_Toc506309650"/>
      <w:bookmarkStart w:id="175" w:name="_Toc507149736"/>
      <w:bookmarkStart w:id="176" w:name="_Toc519251379"/>
      <w:bookmarkStart w:id="177" w:name="_Toc519698146"/>
      <w:bookmarkStart w:id="178" w:name="_Toc519698268"/>
      <w:bookmarkStart w:id="179" w:name="_Toc526708536"/>
      <w:bookmarkStart w:id="180" w:name="_Toc526781372"/>
      <w:bookmarkStart w:id="181" w:name="_Toc526783954"/>
      <w:bookmarkStart w:id="182" w:name="_Toc950024"/>
      <w:bookmarkStart w:id="183" w:name="_Toc8720587"/>
      <w:bookmarkStart w:id="184" w:name="_Toc8720672"/>
      <w:r>
        <w:t xml:space="preserve">Top Five </w:t>
      </w:r>
      <w:r w:rsidRPr="008D1B1E">
        <w:t>Forecast Underspends</w:t>
      </w:r>
      <w:r>
        <w:t xml:space="preserve"> </w:t>
      </w:r>
      <w:r>
        <w:rPr>
          <w:rFonts w:eastAsiaTheme="minorHAnsi"/>
          <w:i/>
          <w:noProof/>
        </w:rPr>
        <w:t>(Current budget</w:t>
      </w:r>
      <w:r w:rsidRPr="006D5B03">
        <w:rPr>
          <w:rFonts w:eastAsiaTheme="minorHAnsi"/>
          <w:i/>
          <w:noProof/>
        </w:rPr>
        <w: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1F7CC3" w:rsidRDefault="001063E5" w:rsidP="00345828">
      <w:r>
        <w:rPr>
          <w:noProof/>
        </w:rPr>
        <w:drawing>
          <wp:inline distT="0" distB="0" distL="0" distR="0" wp14:anchorId="3AE84CC1">
            <wp:extent cx="8915400" cy="55058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25443" cy="5512087"/>
                    </a:xfrm>
                    <a:prstGeom prst="rect">
                      <a:avLst/>
                    </a:prstGeom>
                    <a:noFill/>
                  </pic:spPr>
                </pic:pic>
              </a:graphicData>
            </a:graphic>
          </wp:inline>
        </w:drawing>
      </w:r>
      <w:r w:rsidR="001F7CC3">
        <w:br w:type="page"/>
      </w:r>
    </w:p>
    <w:p w:rsidR="00B91C86" w:rsidRPr="00745625" w:rsidRDefault="00B91C86" w:rsidP="00A66A50">
      <w:pPr>
        <w:pStyle w:val="Heading1"/>
      </w:pPr>
      <w:bookmarkStart w:id="185" w:name="_Toc507149737"/>
      <w:bookmarkStart w:id="186" w:name="_Toc519251380"/>
      <w:bookmarkStart w:id="187" w:name="_Toc519698147"/>
      <w:bookmarkStart w:id="188" w:name="_Toc519698269"/>
      <w:bookmarkStart w:id="189" w:name="_Toc526708537"/>
      <w:bookmarkStart w:id="190" w:name="_Toc526781373"/>
      <w:bookmarkStart w:id="191" w:name="_Toc526783955"/>
      <w:bookmarkStart w:id="192" w:name="_Toc950025"/>
      <w:bookmarkStart w:id="193" w:name="_Toc8720588"/>
      <w:bookmarkStart w:id="194" w:name="_Toc8720673"/>
      <w:r>
        <w:lastRenderedPageBreak/>
        <w:t xml:space="preserve">Police Officer </w:t>
      </w:r>
      <w:r w:rsidRPr="00745625">
        <w:t>Overtime</w:t>
      </w:r>
      <w:bookmarkEnd w:id="185"/>
      <w:bookmarkEnd w:id="186"/>
      <w:bookmarkEnd w:id="187"/>
      <w:bookmarkEnd w:id="188"/>
      <w:bookmarkEnd w:id="189"/>
      <w:bookmarkEnd w:id="190"/>
      <w:bookmarkEnd w:id="191"/>
      <w:bookmarkEnd w:id="192"/>
      <w:bookmarkEnd w:id="193"/>
      <w:bookmarkEnd w:id="194"/>
      <w:r w:rsidRPr="00745625">
        <w:t xml:space="preserve">  </w:t>
      </w:r>
    </w:p>
    <w:p w:rsidR="00B91C86" w:rsidRDefault="00B91C86" w:rsidP="00B91C86">
      <w:pPr>
        <w:pStyle w:val="Heading2"/>
      </w:pPr>
      <w:bookmarkStart w:id="195" w:name="_Toc487212545"/>
      <w:bookmarkStart w:id="196" w:name="_Toc487212648"/>
      <w:bookmarkStart w:id="197" w:name="_Toc487639469"/>
      <w:bookmarkStart w:id="198" w:name="_Toc487642212"/>
      <w:bookmarkStart w:id="199" w:name="_Toc487644113"/>
      <w:bookmarkStart w:id="200" w:name="_Toc487644975"/>
      <w:bookmarkStart w:id="201" w:name="_Toc487645501"/>
      <w:bookmarkStart w:id="202" w:name="_Toc487730312"/>
      <w:bookmarkStart w:id="203" w:name="_Toc495874927"/>
      <w:bookmarkStart w:id="204" w:name="_Toc495920599"/>
      <w:bookmarkStart w:id="205" w:name="_Toc495920716"/>
      <w:bookmarkStart w:id="206" w:name="_Toc506309652"/>
      <w:bookmarkStart w:id="207" w:name="_Toc507149738"/>
      <w:bookmarkStart w:id="208" w:name="_Toc519251381"/>
      <w:bookmarkStart w:id="209" w:name="_Toc519698148"/>
      <w:bookmarkStart w:id="210" w:name="_Toc519698270"/>
      <w:bookmarkStart w:id="211" w:name="_Toc526708538"/>
      <w:bookmarkStart w:id="212" w:name="_Toc526781374"/>
      <w:bookmarkStart w:id="213" w:name="_Toc526783956"/>
      <w:bookmarkStart w:id="214" w:name="_Toc950026"/>
      <w:bookmarkStart w:id="215" w:name="_Toc8720589"/>
      <w:bookmarkStart w:id="216" w:name="_Toc8720674"/>
      <w:r>
        <w:t>Summary</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B91C86" w:rsidRDefault="008C485E" w:rsidP="00345828">
      <w:pPr>
        <w:rPr>
          <w:rFonts w:eastAsiaTheme="minorHAnsi"/>
        </w:rPr>
      </w:pPr>
      <w:r>
        <w:rPr>
          <w:rFonts w:eastAsiaTheme="minorHAnsi"/>
          <w:noProof/>
        </w:rPr>
        <w:drawing>
          <wp:inline distT="0" distB="0" distL="0" distR="0" wp14:anchorId="2CF78ACC">
            <wp:extent cx="9699625" cy="8839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99625" cy="883920"/>
                    </a:xfrm>
                    <a:prstGeom prst="rect">
                      <a:avLst/>
                    </a:prstGeom>
                    <a:noFill/>
                  </pic:spPr>
                </pic:pic>
              </a:graphicData>
            </a:graphic>
          </wp:inline>
        </w:drawing>
      </w:r>
    </w:p>
    <w:p w:rsidR="00B91C86" w:rsidRDefault="003D275A" w:rsidP="00B91C86">
      <w:pPr>
        <w:pStyle w:val="Heading2"/>
      </w:pPr>
      <w:bookmarkStart w:id="217" w:name="_Toc487212546"/>
      <w:bookmarkStart w:id="218" w:name="_Toc487212649"/>
      <w:bookmarkStart w:id="219" w:name="_Toc487639470"/>
      <w:bookmarkStart w:id="220" w:name="_Toc487642213"/>
      <w:bookmarkStart w:id="221" w:name="_Toc487644114"/>
      <w:bookmarkStart w:id="222" w:name="_Toc487644976"/>
      <w:bookmarkStart w:id="223" w:name="_Toc487645502"/>
      <w:bookmarkStart w:id="224" w:name="_Toc487730313"/>
      <w:bookmarkStart w:id="225" w:name="_Toc495874928"/>
      <w:bookmarkStart w:id="226" w:name="_Toc495920600"/>
      <w:bookmarkStart w:id="227" w:name="_Toc495920717"/>
      <w:bookmarkStart w:id="228" w:name="_Toc506309653"/>
      <w:bookmarkStart w:id="229" w:name="_Toc507149739"/>
      <w:bookmarkStart w:id="230" w:name="_Toc519251382"/>
      <w:bookmarkStart w:id="231" w:name="_Toc519698149"/>
      <w:bookmarkStart w:id="232" w:name="_Toc519698271"/>
      <w:bookmarkStart w:id="233" w:name="_Toc526708539"/>
      <w:bookmarkStart w:id="234" w:name="_Toc526781375"/>
      <w:bookmarkStart w:id="235" w:name="_Toc526783957"/>
      <w:bookmarkStart w:id="236" w:name="_Toc950027"/>
      <w:bookmarkStart w:id="237" w:name="_Toc8720590"/>
      <w:bookmarkStart w:id="238" w:name="_Toc8720675"/>
      <w:r>
        <w:t>M</w:t>
      </w:r>
      <w:r w:rsidR="00B91C86">
        <w:t>ain overspends</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B91C86" w:rsidRDefault="008C485E" w:rsidP="00345828">
      <w:pPr>
        <w:rPr>
          <w:rFonts w:eastAsiaTheme="minorHAnsi"/>
        </w:rPr>
      </w:pPr>
      <w:r>
        <w:rPr>
          <w:noProof/>
        </w:rPr>
        <w:drawing>
          <wp:inline distT="0" distB="0" distL="0" distR="0" wp14:anchorId="0598FEAA" wp14:editId="596E75DB">
            <wp:extent cx="9172575" cy="3238500"/>
            <wp:effectExtent l="19050" t="0" r="28575" b="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B91C86" w:rsidRDefault="00B91C86" w:rsidP="00A66A50">
      <w:pPr>
        <w:pStyle w:val="Heading1"/>
      </w:pPr>
      <w:bookmarkStart w:id="239" w:name="_Toc495874929"/>
      <w:bookmarkStart w:id="240" w:name="_Toc495920601"/>
      <w:bookmarkStart w:id="241" w:name="_Toc495920718"/>
      <w:bookmarkStart w:id="242" w:name="_Toc506309654"/>
      <w:bookmarkStart w:id="243" w:name="_Toc507149740"/>
      <w:bookmarkStart w:id="244" w:name="_Toc519251383"/>
      <w:bookmarkStart w:id="245" w:name="_Toc519698150"/>
      <w:bookmarkStart w:id="246" w:name="_Toc519698272"/>
      <w:bookmarkStart w:id="247" w:name="_Toc526708540"/>
      <w:bookmarkStart w:id="248" w:name="_Toc526781376"/>
      <w:bookmarkStart w:id="249" w:name="_Toc526783958"/>
      <w:bookmarkStart w:id="250" w:name="_Toc950028"/>
      <w:bookmarkStart w:id="251" w:name="_Toc8720591"/>
      <w:bookmarkStart w:id="252" w:name="_Toc8720676"/>
      <w:r>
        <w:t>Police Staff Overtime</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B91C86" w:rsidRDefault="00B91C86" w:rsidP="00B91C86">
      <w:pPr>
        <w:pStyle w:val="Heading2"/>
      </w:pPr>
      <w:bookmarkStart w:id="253" w:name="_Toc495874930"/>
      <w:bookmarkStart w:id="254" w:name="_Toc495920602"/>
      <w:bookmarkStart w:id="255" w:name="_Toc495920719"/>
      <w:bookmarkStart w:id="256" w:name="_Toc506309655"/>
      <w:bookmarkStart w:id="257" w:name="_Toc507149741"/>
      <w:bookmarkStart w:id="258" w:name="_Toc519251384"/>
      <w:bookmarkStart w:id="259" w:name="_Toc519698151"/>
      <w:bookmarkStart w:id="260" w:name="_Toc519698273"/>
      <w:bookmarkStart w:id="261" w:name="_Toc526708541"/>
      <w:bookmarkStart w:id="262" w:name="_Toc526781377"/>
      <w:bookmarkStart w:id="263" w:name="_Toc526783959"/>
      <w:bookmarkStart w:id="264" w:name="_Toc950029"/>
      <w:bookmarkStart w:id="265" w:name="_Toc8720592"/>
      <w:bookmarkStart w:id="266" w:name="_Toc8720677"/>
      <w:r>
        <w:t>Summary</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B91C86" w:rsidRDefault="008C485E" w:rsidP="00345828">
      <w:pPr>
        <w:rPr>
          <w:rFonts w:eastAsiaTheme="minorHAnsi"/>
        </w:rPr>
      </w:pPr>
      <w:r>
        <w:rPr>
          <w:rFonts w:eastAsiaTheme="minorHAnsi"/>
          <w:noProof/>
        </w:rPr>
        <w:drawing>
          <wp:inline distT="0" distB="0" distL="0" distR="0" wp14:anchorId="691A7F02">
            <wp:extent cx="8925560" cy="85979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25560" cy="859790"/>
                    </a:xfrm>
                    <a:prstGeom prst="rect">
                      <a:avLst/>
                    </a:prstGeom>
                    <a:noFill/>
                  </pic:spPr>
                </pic:pic>
              </a:graphicData>
            </a:graphic>
          </wp:inline>
        </w:drawing>
      </w:r>
    </w:p>
    <w:p w:rsidR="00B91C86" w:rsidRDefault="003D275A" w:rsidP="00B91C86">
      <w:pPr>
        <w:pStyle w:val="Heading2"/>
      </w:pPr>
      <w:bookmarkStart w:id="267" w:name="_Toc495874931"/>
      <w:bookmarkStart w:id="268" w:name="_Toc495920603"/>
      <w:bookmarkStart w:id="269" w:name="_Toc495920720"/>
      <w:bookmarkStart w:id="270" w:name="_Toc506309656"/>
      <w:bookmarkStart w:id="271" w:name="_Toc507149742"/>
      <w:bookmarkStart w:id="272" w:name="_Toc519251385"/>
      <w:bookmarkStart w:id="273" w:name="_Toc519698152"/>
      <w:bookmarkStart w:id="274" w:name="_Toc519698274"/>
      <w:bookmarkStart w:id="275" w:name="_Toc526708542"/>
      <w:bookmarkStart w:id="276" w:name="_Toc526781378"/>
      <w:bookmarkStart w:id="277" w:name="_Toc526783960"/>
      <w:bookmarkStart w:id="278" w:name="_Toc950030"/>
      <w:bookmarkStart w:id="279" w:name="_Toc8720593"/>
      <w:bookmarkStart w:id="280" w:name="_Toc8720678"/>
      <w:r>
        <w:lastRenderedPageBreak/>
        <w:t>Ma</w:t>
      </w:r>
      <w:r w:rsidR="00B91C86">
        <w:t>in overspends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B91C86" w:rsidRDefault="008C485E" w:rsidP="00345828">
      <w:pPr>
        <w:rPr>
          <w:rFonts w:eastAsiaTheme="minorHAnsi"/>
        </w:rPr>
      </w:pPr>
      <w:r>
        <w:rPr>
          <w:noProof/>
        </w:rPr>
        <w:drawing>
          <wp:inline distT="0" distB="0" distL="0" distR="0" wp14:anchorId="4FEC5A98" wp14:editId="395C4A97">
            <wp:extent cx="8891270" cy="3235609"/>
            <wp:effectExtent l="19050" t="0" r="2413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B91C86" w:rsidRDefault="00B91C86" w:rsidP="00345828">
      <w:pPr>
        <w:rPr>
          <w:rFonts w:eastAsiaTheme="minorHAnsi"/>
        </w:rPr>
      </w:pPr>
    </w:p>
    <w:p w:rsidR="002767F0" w:rsidRPr="002767F0" w:rsidRDefault="0031551B" w:rsidP="00A66A50">
      <w:pPr>
        <w:pStyle w:val="Heading1"/>
        <w:rPr>
          <w:i/>
          <w:color w:val="auto"/>
          <w:sz w:val="52"/>
        </w:rPr>
      </w:pPr>
      <w:bookmarkStart w:id="281" w:name="_Toc495874932"/>
      <w:bookmarkStart w:id="282" w:name="_Toc495920604"/>
      <w:bookmarkStart w:id="283" w:name="_Toc495920721"/>
      <w:bookmarkStart w:id="284" w:name="_Toc506309657"/>
      <w:bookmarkStart w:id="285" w:name="_Toc507149743"/>
      <w:bookmarkStart w:id="286" w:name="_Toc519251386"/>
      <w:bookmarkStart w:id="287" w:name="_Toc519698153"/>
      <w:bookmarkStart w:id="288" w:name="_Toc519698275"/>
      <w:bookmarkStart w:id="289" w:name="_Toc950031"/>
      <w:bookmarkStart w:id="290" w:name="_Toc8720594"/>
      <w:bookmarkStart w:id="291" w:name="_Toc8720679"/>
      <w:r w:rsidRPr="004F34DD">
        <w:t>Workforce Analysis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281"/>
      <w:bookmarkEnd w:id="282"/>
      <w:bookmarkEnd w:id="283"/>
      <w:bookmarkEnd w:id="284"/>
      <w:bookmarkEnd w:id="285"/>
      <w:bookmarkEnd w:id="286"/>
      <w:bookmarkEnd w:id="287"/>
      <w:bookmarkEnd w:id="288"/>
      <w:bookmarkEnd w:id="289"/>
      <w:bookmarkEnd w:id="290"/>
      <w:bookmarkEnd w:id="291"/>
      <w:r w:rsidR="002767F0">
        <w:t xml:space="preserve"> </w:t>
      </w:r>
      <w:bookmarkStart w:id="292" w:name="_Toc456249291"/>
      <w:bookmarkStart w:id="293" w:name="_Toc456335432"/>
      <w:bookmarkStart w:id="294" w:name="_Toc464397757"/>
      <w:bookmarkStart w:id="295" w:name="_Toc464397845"/>
      <w:bookmarkStart w:id="296" w:name="_Toc475009501"/>
      <w:bookmarkStart w:id="297" w:name="_Toc487212548"/>
      <w:bookmarkStart w:id="298" w:name="_Toc487212651"/>
      <w:bookmarkStart w:id="299" w:name="_Toc487639472"/>
      <w:bookmarkStart w:id="300" w:name="_Toc487642215"/>
      <w:bookmarkStart w:id="301" w:name="_Toc487644116"/>
      <w:bookmarkStart w:id="302" w:name="_Toc487644978"/>
      <w:bookmarkStart w:id="303" w:name="_Toc487645504"/>
      <w:bookmarkStart w:id="304" w:name="_Toc487730315"/>
      <w:bookmarkStart w:id="305" w:name="_Toc495874933"/>
      <w:bookmarkStart w:id="306" w:name="_Toc495920605"/>
      <w:bookmarkStart w:id="307" w:name="_Toc495920722"/>
    </w:p>
    <w:p w:rsidR="007C36C0" w:rsidRPr="00437118" w:rsidRDefault="007C36C0" w:rsidP="007C36C0">
      <w:pPr>
        <w:pStyle w:val="Heading2"/>
        <w:rPr>
          <w:i/>
          <w:color w:val="auto"/>
          <w:sz w:val="36"/>
          <w:szCs w:val="36"/>
        </w:rPr>
      </w:pPr>
      <w:bookmarkStart w:id="308" w:name="_Toc495874934"/>
      <w:bookmarkStart w:id="309" w:name="_Toc495920606"/>
      <w:bookmarkStart w:id="310" w:name="_Toc495920723"/>
      <w:bookmarkStart w:id="311" w:name="_Toc506309658"/>
      <w:bookmarkStart w:id="312" w:name="_Toc507149744"/>
      <w:bookmarkStart w:id="313" w:name="_Toc519251387"/>
      <w:bookmarkStart w:id="314" w:name="_Toc519698154"/>
      <w:bookmarkStart w:id="315" w:name="_Toc519698276"/>
      <w:bookmarkStart w:id="316" w:name="_Toc950032"/>
      <w:bookmarkStart w:id="317" w:name="_Toc8720595"/>
      <w:bookmarkStart w:id="318" w:name="_Toc8720680"/>
      <w:bookmarkStart w:id="319" w:name="_Toc456249292"/>
      <w:bookmarkStart w:id="320" w:name="_Toc456335433"/>
      <w:bookmarkStart w:id="321" w:name="_Toc464397758"/>
      <w:bookmarkStart w:id="322" w:name="_Toc464397846"/>
      <w:bookmarkStart w:id="323" w:name="_Toc475009502"/>
      <w:bookmarkStart w:id="324" w:name="_Toc487212549"/>
      <w:bookmarkStart w:id="325" w:name="_Toc487212652"/>
      <w:bookmarkStart w:id="326" w:name="_Toc487639473"/>
      <w:bookmarkStart w:id="327" w:name="_Toc487642216"/>
      <w:bookmarkStart w:id="328" w:name="_Toc487644117"/>
      <w:bookmarkStart w:id="329" w:name="_Toc487644979"/>
      <w:bookmarkStart w:id="330" w:name="_Toc487645505"/>
      <w:bookmarkStart w:id="331" w:name="_Toc487730316"/>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Pay Summary</w:t>
      </w:r>
      <w:bookmarkEnd w:id="308"/>
      <w:bookmarkEnd w:id="309"/>
      <w:bookmarkEnd w:id="310"/>
      <w:bookmarkEnd w:id="311"/>
      <w:bookmarkEnd w:id="312"/>
      <w:bookmarkEnd w:id="313"/>
      <w:bookmarkEnd w:id="314"/>
      <w:bookmarkEnd w:id="315"/>
      <w:bookmarkEnd w:id="316"/>
      <w:bookmarkEnd w:id="317"/>
      <w:bookmarkEnd w:id="318"/>
    </w:p>
    <w:p w:rsidR="00B644F3" w:rsidRDefault="001063E5" w:rsidP="007C36C0">
      <w:r w:rsidRPr="001063E5">
        <w:rPr>
          <w:noProof/>
        </w:rPr>
        <w:drawing>
          <wp:inline distT="0" distB="0" distL="0" distR="0">
            <wp:extent cx="9521825" cy="4559631"/>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1825" cy="4559631"/>
                    </a:xfrm>
                    <a:prstGeom prst="rect">
                      <a:avLst/>
                    </a:prstGeom>
                    <a:noFill/>
                    <a:ln>
                      <a:noFill/>
                    </a:ln>
                  </pic:spPr>
                </pic:pic>
              </a:graphicData>
            </a:graphic>
          </wp:inline>
        </w:drawing>
      </w:r>
    </w:p>
    <w:p w:rsidR="00641F3F" w:rsidRDefault="00641F3F" w:rsidP="00641F3F">
      <w:pPr>
        <w:pStyle w:val="Heading2"/>
      </w:pPr>
      <w:bookmarkStart w:id="332" w:name="_Toc519251388"/>
      <w:bookmarkStart w:id="333" w:name="_Toc519698155"/>
      <w:bookmarkStart w:id="334" w:name="_Toc519698277"/>
      <w:bookmarkStart w:id="335" w:name="_Toc950033"/>
      <w:bookmarkStart w:id="336" w:name="_Toc8720596"/>
      <w:bookmarkStart w:id="337" w:name="_Toc8720681"/>
      <w:bookmarkStart w:id="338" w:name="_Toc495874935"/>
      <w:bookmarkStart w:id="339" w:name="_Toc495920607"/>
      <w:bookmarkStart w:id="340" w:name="_Toc495920724"/>
      <w:bookmarkStart w:id="341" w:name="_Toc506309659"/>
      <w:bookmarkStart w:id="342" w:name="_Toc507149745"/>
      <w:bookmarkEnd w:id="319"/>
      <w:bookmarkEnd w:id="320"/>
      <w:bookmarkEnd w:id="321"/>
      <w:bookmarkEnd w:id="322"/>
      <w:bookmarkEnd w:id="323"/>
      <w:bookmarkEnd w:id="324"/>
      <w:bookmarkEnd w:id="325"/>
      <w:bookmarkEnd w:id="326"/>
      <w:bookmarkEnd w:id="327"/>
      <w:bookmarkEnd w:id="328"/>
      <w:bookmarkEnd w:id="329"/>
      <w:bookmarkEnd w:id="330"/>
      <w:bookmarkEnd w:id="331"/>
      <w:r>
        <w:lastRenderedPageBreak/>
        <w:t xml:space="preserve">Police Officer </w:t>
      </w:r>
      <w:r w:rsidRPr="009E576C">
        <w:t>FTEs</w:t>
      </w:r>
      <w:bookmarkEnd w:id="332"/>
      <w:bookmarkEnd w:id="333"/>
      <w:bookmarkEnd w:id="334"/>
      <w:bookmarkEnd w:id="335"/>
      <w:bookmarkEnd w:id="336"/>
      <w:bookmarkEnd w:id="337"/>
      <w:r>
        <w:t xml:space="preserve"> </w:t>
      </w:r>
      <w:bookmarkEnd w:id="338"/>
      <w:bookmarkEnd w:id="339"/>
      <w:bookmarkEnd w:id="340"/>
      <w:bookmarkEnd w:id="341"/>
      <w:bookmarkEnd w:id="342"/>
    </w:p>
    <w:p w:rsidR="0092640F" w:rsidRDefault="00136E42" w:rsidP="005E5E93">
      <w:pPr>
        <w:pStyle w:val="Heading3"/>
        <w:numPr>
          <w:ilvl w:val="0"/>
          <w:numId w:val="0"/>
        </w:numPr>
        <w:spacing w:before="0" w:line="240" w:lineRule="auto"/>
        <w:jc w:val="left"/>
      </w:pPr>
      <w:r w:rsidRPr="00136E42">
        <w:rPr>
          <w:noProof/>
        </w:rPr>
        <w:drawing>
          <wp:inline distT="0" distB="0" distL="0" distR="0">
            <wp:extent cx="9426802" cy="544883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47738" cy="5460931"/>
                    </a:xfrm>
                    <a:prstGeom prst="rect">
                      <a:avLst/>
                    </a:prstGeom>
                    <a:noFill/>
                    <a:ln>
                      <a:noFill/>
                    </a:ln>
                  </pic:spPr>
                </pic:pic>
              </a:graphicData>
            </a:graphic>
          </wp:inline>
        </w:drawing>
      </w:r>
      <w:r w:rsidR="0092640F">
        <w:br w:type="page"/>
      </w:r>
    </w:p>
    <w:p w:rsidR="006739E2" w:rsidRDefault="00136E42" w:rsidP="006739E2">
      <w:r w:rsidRPr="00136E42">
        <w:rPr>
          <w:noProof/>
        </w:rPr>
        <w:lastRenderedPageBreak/>
        <w:drawing>
          <wp:inline distT="0" distB="0" distL="0" distR="0">
            <wp:extent cx="9521825" cy="33420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21825" cy="3342098"/>
                    </a:xfrm>
                    <a:prstGeom prst="rect">
                      <a:avLst/>
                    </a:prstGeom>
                    <a:noFill/>
                    <a:ln>
                      <a:noFill/>
                    </a:ln>
                  </pic:spPr>
                </pic:pic>
              </a:graphicData>
            </a:graphic>
          </wp:inline>
        </w:drawing>
      </w:r>
    </w:p>
    <w:p w:rsidR="0092640F" w:rsidRDefault="001063E5" w:rsidP="006739E2">
      <w:r>
        <w:rPr>
          <w:noProof/>
        </w:rPr>
        <w:drawing>
          <wp:anchor distT="0" distB="0" distL="114300" distR="114300" simplePos="0" relativeHeight="252253184" behindDoc="0" locked="0" layoutInCell="1" allowOverlap="1">
            <wp:simplePos x="0" y="0"/>
            <wp:positionH relativeFrom="page">
              <wp:align>center</wp:align>
            </wp:positionH>
            <wp:positionV relativeFrom="paragraph">
              <wp:posOffset>5715</wp:posOffset>
            </wp:positionV>
            <wp:extent cx="6099933" cy="30099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9933" cy="3009900"/>
                    </a:xfrm>
                    <a:prstGeom prst="rect">
                      <a:avLst/>
                    </a:prstGeom>
                    <a:noFill/>
                  </pic:spPr>
                </pic:pic>
              </a:graphicData>
            </a:graphic>
            <wp14:sizeRelH relativeFrom="page">
              <wp14:pctWidth>0</wp14:pctWidth>
            </wp14:sizeRelH>
            <wp14:sizeRelV relativeFrom="page">
              <wp14:pctHeight>0</wp14:pctHeight>
            </wp14:sizeRelV>
          </wp:anchor>
        </w:drawing>
      </w:r>
    </w:p>
    <w:p w:rsidR="0092640F" w:rsidRDefault="0092640F">
      <w:pPr>
        <w:spacing w:line="240" w:lineRule="auto"/>
        <w:jc w:val="left"/>
      </w:pPr>
    </w:p>
    <w:p w:rsidR="006739E2" w:rsidRDefault="006739E2">
      <w:pPr>
        <w:spacing w:line="240" w:lineRule="auto"/>
        <w:jc w:val="left"/>
      </w:pPr>
    </w:p>
    <w:p w:rsidR="006739E2" w:rsidRDefault="006739E2">
      <w:pPr>
        <w:spacing w:line="240" w:lineRule="auto"/>
        <w:jc w:val="left"/>
      </w:pPr>
    </w:p>
    <w:p w:rsidR="006739E2" w:rsidRDefault="006739E2">
      <w:pPr>
        <w:spacing w:line="240" w:lineRule="auto"/>
        <w:jc w:val="left"/>
      </w:pPr>
    </w:p>
    <w:p w:rsidR="00080A8F" w:rsidRDefault="00080A8F">
      <w:pPr>
        <w:spacing w:line="240" w:lineRule="auto"/>
        <w:jc w:val="left"/>
      </w:pPr>
    </w:p>
    <w:p w:rsidR="00080A8F" w:rsidRDefault="00080A8F">
      <w:pPr>
        <w:spacing w:line="240" w:lineRule="auto"/>
        <w:jc w:val="left"/>
      </w:pPr>
    </w:p>
    <w:p w:rsidR="00080A8F" w:rsidRDefault="00080A8F">
      <w:pPr>
        <w:spacing w:line="240" w:lineRule="auto"/>
        <w:jc w:val="left"/>
      </w:pPr>
    </w:p>
    <w:p w:rsidR="00080A8F" w:rsidRDefault="00080A8F">
      <w:pPr>
        <w:spacing w:line="240" w:lineRule="auto"/>
        <w:jc w:val="left"/>
      </w:pPr>
    </w:p>
    <w:p w:rsidR="00080A8F" w:rsidRDefault="00080A8F">
      <w:pPr>
        <w:spacing w:line="240" w:lineRule="auto"/>
        <w:jc w:val="left"/>
      </w:pPr>
    </w:p>
    <w:p w:rsidR="00080A8F" w:rsidRDefault="00080A8F">
      <w:pPr>
        <w:spacing w:line="240" w:lineRule="auto"/>
        <w:jc w:val="left"/>
      </w:pPr>
    </w:p>
    <w:p w:rsidR="00080A8F" w:rsidRDefault="00080A8F">
      <w:pPr>
        <w:spacing w:line="240" w:lineRule="auto"/>
        <w:jc w:val="left"/>
      </w:pPr>
    </w:p>
    <w:p w:rsidR="00A926AB" w:rsidRDefault="00A926AB">
      <w:pPr>
        <w:spacing w:line="240" w:lineRule="auto"/>
        <w:jc w:val="left"/>
      </w:pPr>
      <w:r>
        <w:br w:type="page"/>
      </w:r>
    </w:p>
    <w:p w:rsidR="00080A8F" w:rsidRDefault="001063E5">
      <w:pPr>
        <w:spacing w:line="240" w:lineRule="auto"/>
        <w:jc w:val="left"/>
      </w:pPr>
      <w:r>
        <w:rPr>
          <w:noProof/>
        </w:rPr>
        <w:lastRenderedPageBreak/>
        <w:drawing>
          <wp:anchor distT="0" distB="0" distL="114300" distR="114300" simplePos="0" relativeHeight="252254208" behindDoc="0" locked="0" layoutInCell="1" allowOverlap="1">
            <wp:simplePos x="0" y="0"/>
            <wp:positionH relativeFrom="column">
              <wp:posOffset>4972685</wp:posOffset>
            </wp:positionH>
            <wp:positionV relativeFrom="paragraph">
              <wp:posOffset>-2540</wp:posOffset>
            </wp:positionV>
            <wp:extent cx="4756150" cy="3113108"/>
            <wp:effectExtent l="0" t="0" r="635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992" cy="3117586"/>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07F915">
            <wp:extent cx="4921250" cy="3123464"/>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34760" cy="3132038"/>
                    </a:xfrm>
                    <a:prstGeom prst="rect">
                      <a:avLst/>
                    </a:prstGeom>
                    <a:noFill/>
                  </pic:spPr>
                </pic:pic>
              </a:graphicData>
            </a:graphic>
          </wp:inline>
        </w:drawing>
      </w:r>
    </w:p>
    <w:p w:rsidR="006739E2" w:rsidRDefault="006739E2">
      <w:pPr>
        <w:spacing w:line="240" w:lineRule="auto"/>
        <w:jc w:val="left"/>
      </w:pPr>
    </w:p>
    <w:p w:rsidR="006739E2" w:rsidRDefault="006739E2">
      <w:pPr>
        <w:spacing w:line="240" w:lineRule="auto"/>
        <w:jc w:val="left"/>
      </w:pPr>
    </w:p>
    <w:p w:rsidR="006739E2" w:rsidRDefault="006739E2">
      <w:pPr>
        <w:spacing w:line="240" w:lineRule="auto"/>
        <w:jc w:val="left"/>
      </w:pPr>
    </w:p>
    <w:p w:rsidR="006739E2" w:rsidRDefault="006739E2">
      <w:pPr>
        <w:spacing w:line="240" w:lineRule="auto"/>
        <w:jc w:val="left"/>
      </w:pPr>
    </w:p>
    <w:p w:rsidR="006739E2" w:rsidRDefault="006739E2">
      <w:pPr>
        <w:spacing w:line="240" w:lineRule="auto"/>
        <w:jc w:val="left"/>
      </w:pPr>
    </w:p>
    <w:p w:rsidR="006739E2" w:rsidRDefault="006739E2">
      <w:pPr>
        <w:spacing w:line="240" w:lineRule="auto"/>
        <w:jc w:val="left"/>
      </w:pPr>
    </w:p>
    <w:p w:rsidR="006739E2" w:rsidRDefault="006739E2">
      <w:pPr>
        <w:spacing w:line="240" w:lineRule="auto"/>
        <w:jc w:val="left"/>
      </w:pPr>
    </w:p>
    <w:p w:rsidR="00080A8F" w:rsidRDefault="00080A8F">
      <w:pPr>
        <w:spacing w:line="240" w:lineRule="auto"/>
        <w:jc w:val="left"/>
      </w:pPr>
      <w:r>
        <w:br w:type="page"/>
      </w:r>
    </w:p>
    <w:p w:rsidR="006739E2" w:rsidRPr="00A926AB" w:rsidRDefault="00080A8F" w:rsidP="00641F3F">
      <w:pPr>
        <w:pStyle w:val="Heading2"/>
      </w:pPr>
      <w:bookmarkStart w:id="343" w:name="_Toc495874936"/>
      <w:bookmarkStart w:id="344" w:name="_Toc495920608"/>
      <w:bookmarkStart w:id="345" w:name="_Toc495920725"/>
      <w:bookmarkStart w:id="346" w:name="_Toc506309660"/>
      <w:bookmarkStart w:id="347" w:name="_Toc507149746"/>
      <w:bookmarkStart w:id="348" w:name="_Toc519251389"/>
      <w:bookmarkStart w:id="349" w:name="_Toc519698156"/>
      <w:bookmarkStart w:id="350" w:name="_Toc519698278"/>
      <w:bookmarkStart w:id="351" w:name="_Toc950034"/>
      <w:bookmarkStart w:id="352" w:name="_Toc8720597"/>
      <w:bookmarkStart w:id="353" w:name="_Toc8720682"/>
      <w:r w:rsidRPr="00A926AB">
        <w:lastRenderedPageBreak/>
        <w:t>P</w:t>
      </w:r>
      <w:r w:rsidR="00911CF3" w:rsidRPr="00A926AB">
        <w:t xml:space="preserve">olice </w:t>
      </w:r>
      <w:r w:rsidR="007724EE">
        <w:t xml:space="preserve">Officers, </w:t>
      </w:r>
      <w:r w:rsidR="004F2993">
        <w:t xml:space="preserve">Police </w:t>
      </w:r>
      <w:r w:rsidR="00911CF3" w:rsidRPr="00A926AB">
        <w:t>Staff, PCSOs and Specials</w:t>
      </w:r>
      <w:bookmarkEnd w:id="343"/>
      <w:bookmarkEnd w:id="344"/>
      <w:bookmarkEnd w:id="345"/>
      <w:bookmarkEnd w:id="346"/>
      <w:bookmarkEnd w:id="347"/>
      <w:bookmarkEnd w:id="348"/>
      <w:bookmarkEnd w:id="349"/>
      <w:bookmarkEnd w:id="350"/>
      <w:bookmarkEnd w:id="351"/>
      <w:bookmarkEnd w:id="352"/>
      <w:bookmarkEnd w:id="353"/>
    </w:p>
    <w:p w:rsidR="001B7C70" w:rsidRDefault="00136E42" w:rsidP="001B7C70">
      <w:pPr>
        <w:spacing w:line="240" w:lineRule="auto"/>
        <w:jc w:val="left"/>
      </w:pPr>
      <w:r w:rsidRPr="00136E42">
        <w:rPr>
          <w:noProof/>
        </w:rPr>
        <w:drawing>
          <wp:inline distT="0" distB="0" distL="0" distR="0">
            <wp:extent cx="7061200" cy="55111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084287" cy="5529184"/>
                    </a:xfrm>
                    <a:prstGeom prst="rect">
                      <a:avLst/>
                    </a:prstGeom>
                    <a:noFill/>
                    <a:ln>
                      <a:noFill/>
                    </a:ln>
                  </pic:spPr>
                </pic:pic>
              </a:graphicData>
            </a:graphic>
          </wp:inline>
        </w:drawing>
      </w:r>
    </w:p>
    <w:p w:rsidR="00B91C86" w:rsidRDefault="00B91C86" w:rsidP="00B91C86">
      <w:pPr>
        <w:pStyle w:val="Heading1"/>
        <w:rPr>
          <w:szCs w:val="56"/>
        </w:rPr>
      </w:pPr>
      <w:bookmarkStart w:id="354" w:name="_Toc519698157"/>
      <w:bookmarkStart w:id="355" w:name="_Toc519698279"/>
      <w:bookmarkStart w:id="356" w:name="_Toc526708547"/>
      <w:bookmarkStart w:id="357" w:name="_Toc526781383"/>
      <w:bookmarkStart w:id="358" w:name="_Toc526783965"/>
      <w:bookmarkStart w:id="359" w:name="_Toc950035"/>
      <w:bookmarkStart w:id="360" w:name="_Toc8720598"/>
      <w:bookmarkStart w:id="361" w:name="_Toc8720683"/>
      <w:r>
        <w:rPr>
          <w:szCs w:val="56"/>
        </w:rPr>
        <w:t>Police Objective Analysis – Level 1</w:t>
      </w:r>
      <w:bookmarkEnd w:id="354"/>
      <w:bookmarkEnd w:id="355"/>
      <w:bookmarkEnd w:id="356"/>
      <w:bookmarkEnd w:id="357"/>
      <w:bookmarkEnd w:id="358"/>
      <w:bookmarkEnd w:id="359"/>
      <w:bookmarkEnd w:id="360"/>
      <w:bookmarkEnd w:id="361"/>
    </w:p>
    <w:p w:rsidR="007909C5" w:rsidRDefault="007909C5" w:rsidP="001B7C70">
      <w:pPr>
        <w:spacing w:line="240" w:lineRule="auto"/>
        <w:jc w:val="left"/>
        <w:rPr>
          <w:noProof/>
        </w:rPr>
      </w:pPr>
      <w:r w:rsidRPr="007909C5">
        <w:rPr>
          <w:noProof/>
        </w:rPr>
        <w:lastRenderedPageBreak/>
        <w:drawing>
          <wp:inline distT="0" distB="0" distL="0" distR="0">
            <wp:extent cx="9547860" cy="518142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60180" cy="5188107"/>
                    </a:xfrm>
                    <a:prstGeom prst="rect">
                      <a:avLst/>
                    </a:prstGeom>
                    <a:noFill/>
                    <a:ln>
                      <a:noFill/>
                    </a:ln>
                  </pic:spPr>
                </pic:pic>
              </a:graphicData>
            </a:graphic>
          </wp:inline>
        </w:drawing>
      </w:r>
    </w:p>
    <w:p w:rsidR="001B7C70" w:rsidRPr="00A22C35" w:rsidRDefault="001435AA" w:rsidP="001B7C70">
      <w:pPr>
        <w:pStyle w:val="Heading1"/>
        <w:tabs>
          <w:tab w:val="left" w:pos="709"/>
          <w:tab w:val="left" w:pos="851"/>
        </w:tabs>
        <w:spacing w:before="0" w:beforeAutospacing="0" w:after="0" w:afterAutospacing="0"/>
        <w:ind w:left="357" w:hanging="357"/>
        <w:rPr>
          <w:rFonts w:eastAsiaTheme="minorHAnsi"/>
          <w:noProof/>
          <w:szCs w:val="56"/>
        </w:rPr>
      </w:pPr>
      <w:bookmarkStart w:id="362" w:name="_Toc950036"/>
      <w:bookmarkStart w:id="363" w:name="_Toc8720599"/>
      <w:bookmarkStart w:id="364" w:name="_Toc8720684"/>
      <w:r>
        <w:rPr>
          <w:rFonts w:eastAsiaTheme="minorHAnsi"/>
          <w:noProof/>
          <w:szCs w:val="56"/>
        </w:rPr>
        <w:t xml:space="preserve">Virement </w:t>
      </w:r>
      <w:r w:rsidR="00567C25">
        <w:rPr>
          <w:rFonts w:eastAsiaTheme="minorHAnsi"/>
          <w:noProof/>
          <w:szCs w:val="56"/>
        </w:rPr>
        <w:t>Analysis</w:t>
      </w:r>
      <w:bookmarkEnd w:id="362"/>
      <w:bookmarkEnd w:id="363"/>
      <w:bookmarkEnd w:id="364"/>
    </w:p>
    <w:p w:rsidR="001B7C70" w:rsidRPr="000E1B25" w:rsidRDefault="001B7C70" w:rsidP="001B7C70">
      <w:pPr>
        <w:pStyle w:val="Heading2"/>
        <w:rPr>
          <w:i/>
          <w:sz w:val="28"/>
          <w:szCs w:val="28"/>
        </w:rPr>
      </w:pPr>
      <w:r>
        <w:t xml:space="preserve"> </w:t>
      </w:r>
      <w:bookmarkStart w:id="365" w:name="_Toc950037"/>
      <w:bookmarkStart w:id="366" w:name="_Toc8720600"/>
      <w:bookmarkStart w:id="367" w:name="_Toc8720685"/>
      <w:r>
        <w:t>Virement Analysis – Summary</w:t>
      </w:r>
      <w:bookmarkEnd w:id="365"/>
      <w:bookmarkEnd w:id="366"/>
      <w:bookmarkEnd w:id="367"/>
    </w:p>
    <w:p w:rsidR="001B7C70" w:rsidRDefault="00071588">
      <w:pPr>
        <w:spacing w:line="240" w:lineRule="auto"/>
        <w:jc w:val="left"/>
      </w:pPr>
      <w:r w:rsidRPr="00071588">
        <w:rPr>
          <w:noProof/>
        </w:rPr>
        <w:drawing>
          <wp:inline distT="0" distB="0" distL="0" distR="0">
            <wp:extent cx="9521825" cy="2320779"/>
            <wp:effectExtent l="0" t="0" r="317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21825" cy="2320779"/>
                    </a:xfrm>
                    <a:prstGeom prst="rect">
                      <a:avLst/>
                    </a:prstGeom>
                    <a:noFill/>
                    <a:ln>
                      <a:noFill/>
                    </a:ln>
                  </pic:spPr>
                </pic:pic>
              </a:graphicData>
            </a:graphic>
          </wp:inline>
        </w:drawing>
      </w:r>
      <w:r w:rsidR="001B7C70">
        <w:br w:type="page"/>
      </w:r>
    </w:p>
    <w:p w:rsidR="001B7C70" w:rsidRPr="008334F6" w:rsidRDefault="001B7C70" w:rsidP="001B7C70">
      <w:pPr>
        <w:pStyle w:val="Heading2"/>
        <w:rPr>
          <w:i/>
          <w:sz w:val="28"/>
          <w:szCs w:val="28"/>
        </w:rPr>
      </w:pPr>
      <w:bookmarkStart w:id="368" w:name="_Toc950038"/>
      <w:bookmarkStart w:id="369" w:name="_Toc8720601"/>
      <w:bookmarkStart w:id="370" w:name="_Toc8720686"/>
      <w:r>
        <w:lastRenderedPageBreak/>
        <w:t>Virement Analysis – Detail</w:t>
      </w:r>
      <w:bookmarkEnd w:id="368"/>
      <w:bookmarkEnd w:id="369"/>
      <w:bookmarkEnd w:id="370"/>
    </w:p>
    <w:p w:rsidR="00DE5E14" w:rsidRDefault="00024CBF">
      <w:pPr>
        <w:spacing w:line="240" w:lineRule="auto"/>
        <w:jc w:val="left"/>
      </w:pPr>
      <w:r w:rsidRPr="00024CBF">
        <w:rPr>
          <w:noProof/>
        </w:rPr>
        <w:drawing>
          <wp:inline distT="0" distB="0" distL="0" distR="0">
            <wp:extent cx="9521825" cy="2535151"/>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1825" cy="2535151"/>
                    </a:xfrm>
                    <a:prstGeom prst="rect">
                      <a:avLst/>
                    </a:prstGeom>
                    <a:noFill/>
                    <a:ln>
                      <a:noFill/>
                    </a:ln>
                  </pic:spPr>
                </pic:pic>
              </a:graphicData>
            </a:graphic>
          </wp:inline>
        </w:drawing>
      </w:r>
    </w:p>
    <w:p w:rsidR="00391A80" w:rsidRDefault="00E66170">
      <w:pPr>
        <w:spacing w:line="240" w:lineRule="auto"/>
        <w:jc w:val="left"/>
      </w:pPr>
      <w:r>
        <w:rPr>
          <w:noProof/>
        </w:rPr>
        <w:drawing>
          <wp:anchor distT="0" distB="0" distL="114300" distR="114300" simplePos="0" relativeHeight="252229632" behindDoc="0" locked="0" layoutInCell="1" allowOverlap="1">
            <wp:simplePos x="0" y="0"/>
            <wp:positionH relativeFrom="column">
              <wp:posOffset>1429385</wp:posOffset>
            </wp:positionH>
            <wp:positionV relativeFrom="paragraph">
              <wp:posOffset>103505</wp:posOffset>
            </wp:positionV>
            <wp:extent cx="6584315" cy="694690"/>
            <wp:effectExtent l="0" t="0" r="698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84315" cy="694690"/>
                    </a:xfrm>
                    <a:prstGeom prst="rect">
                      <a:avLst/>
                    </a:prstGeom>
                    <a:noFill/>
                  </pic:spPr>
                </pic:pic>
              </a:graphicData>
            </a:graphic>
            <wp14:sizeRelH relativeFrom="page">
              <wp14:pctWidth>0</wp14:pctWidth>
            </wp14:sizeRelH>
            <wp14:sizeRelV relativeFrom="page">
              <wp14:pctHeight>0</wp14:pctHeight>
            </wp14:sizeRelV>
          </wp:anchor>
        </w:drawing>
      </w:r>
    </w:p>
    <w:p w:rsidR="00391A80" w:rsidRDefault="00391A80">
      <w:pPr>
        <w:spacing w:line="240" w:lineRule="auto"/>
        <w:jc w:val="left"/>
      </w:pPr>
    </w:p>
    <w:p w:rsidR="00391A80" w:rsidRDefault="00391A80">
      <w:pPr>
        <w:spacing w:line="240" w:lineRule="auto"/>
        <w:jc w:val="left"/>
      </w:pPr>
    </w:p>
    <w:p w:rsidR="00391A80" w:rsidRDefault="00391A80">
      <w:pPr>
        <w:spacing w:line="240" w:lineRule="auto"/>
        <w:jc w:val="left"/>
        <w:sectPr w:rsidR="00391A80" w:rsidSect="009269AC">
          <w:pgSz w:w="16838" w:h="11906" w:orient="landscape"/>
          <w:pgMar w:top="1134" w:right="1134" w:bottom="1134" w:left="709" w:header="709" w:footer="709" w:gutter="0"/>
          <w:cols w:space="708"/>
          <w:docGrid w:linePitch="360"/>
        </w:sectPr>
      </w:pPr>
    </w:p>
    <w:p w:rsidR="009269AC" w:rsidRDefault="009269AC" w:rsidP="009269AC">
      <w:pPr>
        <w:pStyle w:val="Heading1"/>
        <w:rPr>
          <w:szCs w:val="56"/>
        </w:rPr>
      </w:pPr>
      <w:bookmarkStart w:id="371" w:name="_Toc950039"/>
      <w:bookmarkStart w:id="372" w:name="_Toc8720602"/>
      <w:bookmarkStart w:id="373" w:name="_Toc8720687"/>
      <w:r>
        <w:rPr>
          <w:szCs w:val="56"/>
        </w:rPr>
        <w:lastRenderedPageBreak/>
        <w:t>Reserves</w:t>
      </w:r>
      <w:bookmarkEnd w:id="371"/>
      <w:bookmarkEnd w:id="372"/>
      <w:bookmarkEnd w:id="373"/>
    </w:p>
    <w:p w:rsidR="009269AC" w:rsidRDefault="009269AC" w:rsidP="009269AC">
      <w:pPr>
        <w:pStyle w:val="Heading2"/>
      </w:pPr>
      <w:bookmarkStart w:id="374" w:name="_Toc950040"/>
      <w:bookmarkStart w:id="375" w:name="_Toc8720603"/>
      <w:bookmarkStart w:id="376" w:name="_Toc8720688"/>
      <w:r>
        <w:t>Detail Reserve Analysis</w:t>
      </w:r>
      <w:bookmarkEnd w:id="374"/>
      <w:bookmarkEnd w:id="375"/>
      <w:bookmarkEnd w:id="376"/>
    </w:p>
    <w:p w:rsidR="009269AC" w:rsidRDefault="001F7EE8" w:rsidP="009269AC">
      <w:pPr>
        <w:spacing w:line="240" w:lineRule="auto"/>
        <w:jc w:val="left"/>
        <w:sectPr w:rsidR="009269AC" w:rsidSect="009269AC">
          <w:pgSz w:w="11906" w:h="16838"/>
          <w:pgMar w:top="1134" w:right="1134" w:bottom="709" w:left="1134" w:header="709" w:footer="709" w:gutter="0"/>
          <w:cols w:space="708"/>
          <w:docGrid w:linePitch="360"/>
        </w:sectPr>
      </w:pPr>
      <w:r w:rsidRPr="001F7EE8">
        <w:rPr>
          <w:noProof/>
        </w:rPr>
        <w:drawing>
          <wp:anchor distT="0" distB="0" distL="114300" distR="114300" simplePos="0" relativeHeight="252264448" behindDoc="0" locked="0" layoutInCell="1" allowOverlap="1">
            <wp:simplePos x="0" y="0"/>
            <wp:positionH relativeFrom="column">
              <wp:posOffset>-4473</wp:posOffset>
            </wp:positionH>
            <wp:positionV relativeFrom="paragraph">
              <wp:posOffset>-3810</wp:posOffset>
            </wp:positionV>
            <wp:extent cx="6120130" cy="72063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7206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C35">
        <w:br w:type="page"/>
      </w:r>
    </w:p>
    <w:p w:rsidR="009269AC" w:rsidRDefault="009269AC" w:rsidP="009269AC">
      <w:pPr>
        <w:pStyle w:val="Heading2"/>
      </w:pPr>
      <w:bookmarkStart w:id="377" w:name="_Toc950041"/>
      <w:bookmarkStart w:id="378" w:name="_Toc8720604"/>
      <w:bookmarkStart w:id="379" w:name="_Toc8720689"/>
      <w:r>
        <w:lastRenderedPageBreak/>
        <w:t>Transformation Reserve</w:t>
      </w:r>
      <w:bookmarkEnd w:id="377"/>
      <w:bookmarkEnd w:id="378"/>
      <w:bookmarkEnd w:id="379"/>
      <w:r>
        <w:t xml:space="preserve"> </w:t>
      </w:r>
    </w:p>
    <w:p w:rsidR="00E57197" w:rsidRDefault="00F45699" w:rsidP="009269AC">
      <w:pPr>
        <w:spacing w:line="240" w:lineRule="auto"/>
        <w:jc w:val="left"/>
      </w:pPr>
      <w:r w:rsidRPr="00F45699">
        <w:rPr>
          <w:noProof/>
        </w:rPr>
        <w:drawing>
          <wp:inline distT="0" distB="0" distL="0" distR="0">
            <wp:extent cx="6400800" cy="3765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3765550"/>
                    </a:xfrm>
                    <a:prstGeom prst="rect">
                      <a:avLst/>
                    </a:prstGeom>
                    <a:noFill/>
                    <a:ln>
                      <a:noFill/>
                    </a:ln>
                  </pic:spPr>
                </pic:pic>
              </a:graphicData>
            </a:graphic>
          </wp:inline>
        </w:drawing>
      </w:r>
    </w:p>
    <w:p w:rsidR="00641F3F" w:rsidRDefault="00641F3F" w:rsidP="00641F3F">
      <w:bookmarkStart w:id="380" w:name="_Toc464397768"/>
      <w:bookmarkStart w:id="381" w:name="_Toc464397856"/>
      <w:bookmarkStart w:id="382" w:name="_Toc475009506"/>
      <w:bookmarkStart w:id="383" w:name="_Toc487212553"/>
      <w:bookmarkStart w:id="384" w:name="_Toc487212656"/>
      <w:bookmarkStart w:id="385" w:name="_Toc487639477"/>
      <w:bookmarkStart w:id="386" w:name="_Toc487642220"/>
      <w:bookmarkStart w:id="387" w:name="_Toc487644121"/>
      <w:bookmarkStart w:id="388" w:name="_Toc487644983"/>
      <w:bookmarkStart w:id="389" w:name="_Toc487645509"/>
      <w:bookmarkStart w:id="390" w:name="_Toc487730320"/>
      <w:bookmarkStart w:id="391" w:name="_Toc424894005"/>
      <w:bookmarkStart w:id="392" w:name="_Toc424896285"/>
      <w:bookmarkStart w:id="393" w:name="_Toc431290623"/>
      <w:bookmarkStart w:id="394" w:name="_Toc432146324"/>
      <w:bookmarkStart w:id="395" w:name="_Toc432146412"/>
      <w:bookmarkStart w:id="396" w:name="_Toc432158510"/>
      <w:bookmarkStart w:id="397" w:name="_Toc440901955"/>
      <w:bookmarkStart w:id="398" w:name="_Toc445373710"/>
      <w:bookmarkStart w:id="399" w:name="_Toc450572677"/>
      <w:bookmarkStart w:id="400" w:name="_Toc456249301"/>
      <w:bookmarkStart w:id="401" w:name="_Toc456335442"/>
      <w:bookmarkEnd w:id="138"/>
      <w:bookmarkEnd w:id="139"/>
      <w:bookmarkEnd w:id="140"/>
      <w:bookmarkEnd w:id="141"/>
      <w:bookmarkEnd w:id="142"/>
      <w:bookmarkEnd w:id="143"/>
      <w:bookmarkEnd w:id="144"/>
      <w:bookmarkEnd w:id="145"/>
      <w:bookmarkEnd w:id="146"/>
    </w:p>
    <w:p w:rsidR="00DD2D94" w:rsidRDefault="00DD2D94" w:rsidP="00641F3F"/>
    <w:p w:rsidR="00B91C86" w:rsidRDefault="00B91C86" w:rsidP="00641F3F"/>
    <w:p w:rsidR="00B91C86" w:rsidRDefault="00B91C86" w:rsidP="00641F3F"/>
    <w:p w:rsidR="00DD2D94" w:rsidRDefault="00DD2D94" w:rsidP="00641F3F"/>
    <w:p w:rsidR="0005344F" w:rsidRDefault="0005344F" w:rsidP="00641F3F"/>
    <w:p w:rsidR="00B91C86" w:rsidRDefault="00B91C86" w:rsidP="00641F3F"/>
    <w:p w:rsidR="005D6847" w:rsidRPr="004F34DD" w:rsidRDefault="005D6847" w:rsidP="00567C25">
      <w:pPr>
        <w:pStyle w:val="Heading1"/>
      </w:pPr>
      <w:bookmarkStart w:id="402" w:name="_Toc464397769"/>
      <w:bookmarkStart w:id="403" w:name="_Toc464397857"/>
      <w:bookmarkStart w:id="404" w:name="_Toc475009507"/>
      <w:bookmarkStart w:id="405" w:name="_Toc487212554"/>
      <w:bookmarkStart w:id="406" w:name="_Toc487212657"/>
      <w:bookmarkStart w:id="407" w:name="_Toc487639478"/>
      <w:bookmarkStart w:id="408" w:name="_Toc487642221"/>
      <w:bookmarkStart w:id="409" w:name="_Toc487644122"/>
      <w:bookmarkStart w:id="410" w:name="_Toc487644984"/>
      <w:bookmarkStart w:id="411" w:name="_Toc487645510"/>
      <w:bookmarkStart w:id="412" w:name="_Toc487730321"/>
      <w:bookmarkStart w:id="413" w:name="_Toc495874939"/>
      <w:bookmarkStart w:id="414" w:name="_Toc495920611"/>
      <w:bookmarkStart w:id="415" w:name="_Toc495920728"/>
      <w:bookmarkStart w:id="416" w:name="_Toc506309663"/>
      <w:bookmarkStart w:id="417" w:name="_Toc507149749"/>
      <w:bookmarkStart w:id="418" w:name="_Toc519251392"/>
      <w:bookmarkStart w:id="419" w:name="_Toc519698160"/>
      <w:bookmarkStart w:id="420" w:name="_Toc519698282"/>
      <w:bookmarkStart w:id="421" w:name="_Toc950043"/>
      <w:bookmarkStart w:id="422" w:name="_Toc8720606"/>
      <w:bookmarkStart w:id="423" w:name="_Toc8720690"/>
      <w:bookmarkEnd w:id="380"/>
      <w:bookmarkEnd w:id="381"/>
      <w:bookmarkEnd w:id="382"/>
      <w:bookmarkEnd w:id="383"/>
      <w:bookmarkEnd w:id="384"/>
      <w:bookmarkEnd w:id="385"/>
      <w:bookmarkEnd w:id="386"/>
      <w:bookmarkEnd w:id="387"/>
      <w:bookmarkEnd w:id="388"/>
      <w:bookmarkEnd w:id="389"/>
      <w:bookmarkEnd w:id="390"/>
      <w:r w:rsidRPr="004F34DD">
        <w:t>C</w:t>
      </w:r>
      <w:r w:rsidR="005E4864" w:rsidRPr="004F34DD">
        <w:t>apital</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491063" w:rsidRDefault="00356AD2" w:rsidP="00491063">
      <w:pPr>
        <w:pStyle w:val="Heading2"/>
      </w:pPr>
      <w:bookmarkStart w:id="424" w:name="_Toc487212556"/>
      <w:bookmarkStart w:id="425" w:name="_Toc487212659"/>
      <w:bookmarkStart w:id="426" w:name="_Toc487639480"/>
      <w:bookmarkStart w:id="427" w:name="_Toc487642223"/>
      <w:bookmarkStart w:id="428" w:name="_Toc487644124"/>
      <w:bookmarkStart w:id="429" w:name="_Toc487644986"/>
      <w:bookmarkStart w:id="430" w:name="_Toc487645512"/>
      <w:bookmarkStart w:id="431" w:name="_Toc487730323"/>
      <w:bookmarkStart w:id="432" w:name="_Toc424894008"/>
      <w:bookmarkStart w:id="433" w:name="_Toc424896288"/>
      <w:bookmarkStart w:id="434" w:name="_Toc431290626"/>
      <w:bookmarkStart w:id="435" w:name="_Toc432146327"/>
      <w:bookmarkStart w:id="436" w:name="_Toc432146415"/>
      <w:bookmarkStart w:id="437" w:name="_Toc432158513"/>
      <w:bookmarkStart w:id="438" w:name="_Toc440901959"/>
      <w:bookmarkStart w:id="439" w:name="_Toc450572681"/>
      <w:bookmarkStart w:id="440" w:name="_Toc8720607"/>
      <w:bookmarkStart w:id="441" w:name="_Toc8720691"/>
      <w:r>
        <w:rPr>
          <w:noProof/>
        </w:rPr>
        <w:lastRenderedPageBreak/>
        <w:drawing>
          <wp:anchor distT="0" distB="0" distL="114300" distR="114300" simplePos="0" relativeHeight="252220416" behindDoc="0" locked="0" layoutInCell="1" allowOverlap="1">
            <wp:simplePos x="0" y="0"/>
            <wp:positionH relativeFrom="column">
              <wp:posOffset>6303645</wp:posOffset>
            </wp:positionH>
            <wp:positionV relativeFrom="paragraph">
              <wp:posOffset>426720</wp:posOffset>
            </wp:positionV>
            <wp:extent cx="3286125" cy="12516485"/>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86125" cy="12516485"/>
                    </a:xfrm>
                    <a:prstGeom prst="rect">
                      <a:avLst/>
                    </a:prstGeom>
                    <a:noFill/>
                  </pic:spPr>
                </pic:pic>
              </a:graphicData>
            </a:graphic>
            <wp14:sizeRelH relativeFrom="page">
              <wp14:pctWidth>0</wp14:pctWidth>
            </wp14:sizeRelH>
            <wp14:sizeRelV relativeFrom="page">
              <wp14:pctHeight>0</wp14:pctHeight>
            </wp14:sizeRelV>
          </wp:anchor>
        </w:drawing>
      </w:r>
      <w:r w:rsidR="00C8400D">
        <w:t xml:space="preserve"> </w:t>
      </w:r>
      <w:bookmarkStart w:id="442" w:name="_Toc424894007"/>
      <w:bookmarkStart w:id="443" w:name="_Toc424896287"/>
      <w:bookmarkStart w:id="444" w:name="_Toc431290625"/>
      <w:bookmarkStart w:id="445" w:name="_Toc432146326"/>
      <w:bookmarkStart w:id="446" w:name="_Toc432146414"/>
      <w:bookmarkStart w:id="447" w:name="_Toc432158512"/>
      <w:bookmarkStart w:id="448" w:name="_Toc440901958"/>
      <w:bookmarkStart w:id="449" w:name="_Toc450572680"/>
      <w:bookmarkStart w:id="450" w:name="_Toc456249302"/>
      <w:bookmarkStart w:id="451" w:name="_Toc456335443"/>
      <w:bookmarkStart w:id="452" w:name="_Toc464397770"/>
      <w:bookmarkStart w:id="453" w:name="_Toc464397858"/>
      <w:bookmarkStart w:id="454" w:name="_Toc475009508"/>
      <w:bookmarkStart w:id="455" w:name="_Toc487212555"/>
      <w:bookmarkStart w:id="456" w:name="_Toc487212658"/>
      <w:bookmarkStart w:id="457" w:name="_Toc487639479"/>
      <w:bookmarkStart w:id="458" w:name="_Toc487642222"/>
      <w:bookmarkStart w:id="459" w:name="_Toc487644123"/>
      <w:bookmarkStart w:id="460" w:name="_Toc487644985"/>
      <w:bookmarkStart w:id="461" w:name="_Toc487645511"/>
      <w:bookmarkStart w:id="462" w:name="_Toc487730322"/>
      <w:bookmarkStart w:id="463" w:name="_Toc495874940"/>
      <w:bookmarkStart w:id="464" w:name="_Toc495920612"/>
      <w:bookmarkStart w:id="465" w:name="_Toc495920729"/>
      <w:bookmarkStart w:id="466" w:name="_Toc506309664"/>
      <w:bookmarkStart w:id="467" w:name="_Toc507149750"/>
      <w:bookmarkStart w:id="468" w:name="_Toc519251393"/>
      <w:bookmarkStart w:id="469" w:name="_Toc519698161"/>
      <w:bookmarkStart w:id="470" w:name="_Toc519698283"/>
      <w:bookmarkStart w:id="471" w:name="_Toc526708551"/>
      <w:bookmarkStart w:id="472" w:name="_Toc526781387"/>
      <w:bookmarkStart w:id="473" w:name="_Toc526783969"/>
      <w:bookmarkStart w:id="474" w:name="_Toc95004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00491063">
        <w:t>Capital Expenditure Forecast</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40"/>
      <w:bookmarkEnd w:id="441"/>
      <w:r w:rsidR="00491063">
        <w:t xml:space="preserve"> </w:t>
      </w:r>
    </w:p>
    <w:p w:rsidR="00491063" w:rsidRDefault="00356AD2" w:rsidP="00491063">
      <w:r>
        <w:rPr>
          <w:noProof/>
        </w:rPr>
        <w:drawing>
          <wp:inline distT="0" distB="0" distL="0" distR="0" wp14:anchorId="11A41BA8">
            <wp:extent cx="6303150" cy="462915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9400" cy="4633740"/>
                    </a:xfrm>
                    <a:prstGeom prst="rect">
                      <a:avLst/>
                    </a:prstGeom>
                    <a:noFill/>
                  </pic:spPr>
                </pic:pic>
              </a:graphicData>
            </a:graphic>
          </wp:inline>
        </w:drawing>
      </w:r>
    </w:p>
    <w:p w:rsidR="00491063" w:rsidRDefault="00491063" w:rsidP="00491063">
      <w:pPr>
        <w:spacing w:line="240" w:lineRule="auto"/>
        <w:jc w:val="left"/>
      </w:pPr>
    </w:p>
    <w:p w:rsidR="00491063" w:rsidRDefault="006E46EB" w:rsidP="00491063">
      <w:pPr>
        <w:pStyle w:val="Heading2"/>
      </w:pPr>
      <w:r w:rsidRPr="006E46EB">
        <w:rPr>
          <w:noProof/>
        </w:rPr>
        <w:drawing>
          <wp:anchor distT="0" distB="0" distL="114300" distR="114300" simplePos="0" relativeHeight="252263424" behindDoc="0" locked="0" layoutInCell="1" allowOverlap="1" wp14:anchorId="06EF47FE" wp14:editId="24A993EC">
            <wp:simplePos x="0" y="0"/>
            <wp:positionH relativeFrom="column">
              <wp:posOffset>26863</wp:posOffset>
            </wp:positionH>
            <wp:positionV relativeFrom="paragraph">
              <wp:posOffset>353336</wp:posOffset>
            </wp:positionV>
            <wp:extent cx="8130209" cy="551112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40279" cy="5517946"/>
                    </a:xfrm>
                    <a:prstGeom prst="rect">
                      <a:avLst/>
                    </a:prstGeom>
                    <a:noFill/>
                    <a:ln>
                      <a:noFill/>
                    </a:ln>
                  </pic:spPr>
                </pic:pic>
              </a:graphicData>
            </a:graphic>
            <wp14:sizeRelH relativeFrom="page">
              <wp14:pctWidth>0</wp14:pctWidth>
            </wp14:sizeRelH>
            <wp14:sizeRelV relativeFrom="page">
              <wp14:pctHeight>0</wp14:pctHeight>
            </wp14:sizeRelV>
          </wp:anchor>
        </w:drawing>
      </w:r>
      <w:r w:rsidR="00491063">
        <w:t xml:space="preserve"> </w:t>
      </w:r>
      <w:bookmarkStart w:id="475" w:name="_Toc464397771"/>
      <w:bookmarkStart w:id="476" w:name="_Toc464397859"/>
      <w:bookmarkStart w:id="477" w:name="_Toc475009509"/>
      <w:bookmarkStart w:id="478" w:name="_Toc495874941"/>
      <w:bookmarkStart w:id="479" w:name="_Toc495920613"/>
      <w:bookmarkStart w:id="480" w:name="_Toc495920730"/>
      <w:bookmarkStart w:id="481" w:name="_Toc506309665"/>
      <w:bookmarkStart w:id="482" w:name="_Toc507149751"/>
      <w:bookmarkStart w:id="483" w:name="_Toc519251394"/>
      <w:bookmarkStart w:id="484" w:name="_Toc519698162"/>
      <w:bookmarkStart w:id="485" w:name="_Toc519698284"/>
      <w:bookmarkStart w:id="486" w:name="_Toc526708552"/>
      <w:bookmarkStart w:id="487" w:name="_Toc526781388"/>
      <w:bookmarkStart w:id="488" w:name="_Toc526783970"/>
      <w:bookmarkStart w:id="489" w:name="_Toc950045"/>
      <w:bookmarkStart w:id="490" w:name="_Toc8720608"/>
      <w:bookmarkStart w:id="491" w:name="_Toc8720692"/>
      <w:r w:rsidR="00491063">
        <w:t>Movement in Capital Reserve Forecast</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rsidR="00491063" w:rsidRDefault="00491063" w:rsidP="00491063"/>
    <w:p w:rsidR="00491063" w:rsidRPr="007D2A58" w:rsidRDefault="00343C7D" w:rsidP="00491063">
      <w:pPr>
        <w:pStyle w:val="Heading2"/>
      </w:pPr>
      <w:bookmarkStart w:id="492" w:name="_Toc456249303"/>
      <w:bookmarkStart w:id="493" w:name="_Toc456335444"/>
      <w:bookmarkStart w:id="494" w:name="_Toc464397772"/>
      <w:bookmarkStart w:id="495" w:name="_Toc464397860"/>
      <w:bookmarkStart w:id="496" w:name="_Toc475009510"/>
      <w:bookmarkStart w:id="497" w:name="_Toc487212557"/>
      <w:bookmarkStart w:id="498" w:name="_Toc487212660"/>
      <w:bookmarkStart w:id="499" w:name="_Toc487639481"/>
      <w:bookmarkStart w:id="500" w:name="_Toc487642224"/>
      <w:bookmarkStart w:id="501" w:name="_Toc487644125"/>
      <w:bookmarkStart w:id="502" w:name="_Toc487644987"/>
      <w:bookmarkStart w:id="503" w:name="_Toc487645513"/>
      <w:bookmarkStart w:id="504" w:name="_Toc487730324"/>
      <w:bookmarkStart w:id="505" w:name="_Toc495874942"/>
      <w:bookmarkStart w:id="506" w:name="_Toc495920614"/>
      <w:bookmarkStart w:id="507" w:name="_Toc495920731"/>
      <w:bookmarkStart w:id="508" w:name="_Toc506309666"/>
      <w:bookmarkStart w:id="509" w:name="_Toc507149752"/>
      <w:bookmarkStart w:id="510" w:name="_Toc519251395"/>
      <w:bookmarkStart w:id="511" w:name="_Toc519698163"/>
      <w:bookmarkStart w:id="512" w:name="_Toc519698285"/>
      <w:bookmarkStart w:id="513" w:name="_Toc526708553"/>
      <w:bookmarkStart w:id="514" w:name="_Toc526781389"/>
      <w:bookmarkStart w:id="515" w:name="_Toc526783971"/>
      <w:bookmarkStart w:id="516" w:name="_Toc950046"/>
      <w:r>
        <w:lastRenderedPageBreak/>
        <w:t xml:space="preserve"> </w:t>
      </w:r>
      <w:bookmarkStart w:id="517" w:name="_Toc8720609"/>
      <w:bookmarkStart w:id="518" w:name="_Toc8720693"/>
      <w:r w:rsidR="00491063">
        <w:t>Capital Income</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r w:rsidR="00491063">
        <w:t xml:space="preserve"> </w:t>
      </w:r>
    </w:p>
    <w:p w:rsidR="00491063" w:rsidRDefault="0033443A" w:rsidP="00491063">
      <w:pPr>
        <w:pStyle w:val="ListParagraph"/>
        <w:ind w:left="0"/>
        <w:jc w:val="left"/>
        <w:rPr>
          <w:rFonts w:cs="Arial"/>
          <w:b/>
        </w:rPr>
      </w:pPr>
      <w:r>
        <w:rPr>
          <w:rFonts w:cs="Arial"/>
          <w:b/>
          <w:noProof/>
        </w:rPr>
        <w:drawing>
          <wp:anchor distT="0" distB="0" distL="114300" distR="114300" simplePos="0" relativeHeight="252221440" behindDoc="0" locked="0" layoutInCell="1" allowOverlap="1">
            <wp:simplePos x="0" y="0"/>
            <wp:positionH relativeFrom="column">
              <wp:posOffset>6661785</wp:posOffset>
            </wp:positionH>
            <wp:positionV relativeFrom="paragraph">
              <wp:posOffset>24130</wp:posOffset>
            </wp:positionV>
            <wp:extent cx="2950661" cy="4851400"/>
            <wp:effectExtent l="0" t="0" r="254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55613" cy="4859542"/>
                    </a:xfrm>
                    <a:prstGeom prst="rect">
                      <a:avLst/>
                    </a:prstGeom>
                    <a:noFill/>
                  </pic:spPr>
                </pic:pic>
              </a:graphicData>
            </a:graphic>
            <wp14:sizeRelH relativeFrom="page">
              <wp14:pctWidth>0</wp14:pctWidth>
            </wp14:sizeRelH>
            <wp14:sizeRelV relativeFrom="page">
              <wp14:pctHeight>0</wp14:pctHeight>
            </wp14:sizeRelV>
          </wp:anchor>
        </w:drawing>
      </w:r>
      <w:r>
        <w:rPr>
          <w:rFonts w:cs="Arial"/>
          <w:b/>
          <w:noProof/>
        </w:rPr>
        <w:drawing>
          <wp:inline distT="0" distB="0" distL="0" distR="0" wp14:anchorId="03C38525">
            <wp:extent cx="6694170" cy="49993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4170" cy="4999355"/>
                    </a:xfrm>
                    <a:prstGeom prst="rect">
                      <a:avLst/>
                    </a:prstGeom>
                    <a:noFill/>
                  </pic:spPr>
                </pic:pic>
              </a:graphicData>
            </a:graphic>
          </wp:inline>
        </w:drawing>
      </w:r>
    </w:p>
    <w:p w:rsidR="00491063" w:rsidRDefault="00491063" w:rsidP="00491063">
      <w:pPr>
        <w:pStyle w:val="ListParagraph"/>
        <w:tabs>
          <w:tab w:val="left" w:pos="1404"/>
        </w:tabs>
        <w:ind w:left="0"/>
        <w:jc w:val="left"/>
        <w:rPr>
          <w:rFonts w:cs="Arial"/>
          <w:b/>
        </w:rPr>
      </w:pPr>
      <w:r>
        <w:rPr>
          <w:rFonts w:cs="Arial"/>
          <w:b/>
        </w:rPr>
        <w:tab/>
      </w:r>
      <w:r>
        <w:rPr>
          <w:rFonts w:cs="Arial"/>
          <w:b/>
        </w:rPr>
        <w:br w:type="textWrapping" w:clear="all"/>
      </w:r>
      <w:r>
        <w:rPr>
          <w:rFonts w:cs="Arial"/>
          <w:b/>
        </w:rPr>
        <w:br w:type="page"/>
      </w:r>
    </w:p>
    <w:p w:rsidR="00491063" w:rsidRDefault="00BA6402" w:rsidP="00491063">
      <w:pPr>
        <w:pStyle w:val="Heading2"/>
      </w:pPr>
      <w:bookmarkStart w:id="519" w:name="_Toc475009511"/>
      <w:bookmarkStart w:id="520" w:name="_Toc487212558"/>
      <w:bookmarkStart w:id="521" w:name="_Toc487212661"/>
      <w:bookmarkStart w:id="522" w:name="_Toc487639482"/>
      <w:bookmarkStart w:id="523" w:name="_Toc487642225"/>
      <w:bookmarkStart w:id="524" w:name="_Toc487644126"/>
      <w:bookmarkStart w:id="525" w:name="_Toc487644988"/>
      <w:bookmarkStart w:id="526" w:name="_Toc487645514"/>
      <w:bookmarkStart w:id="527" w:name="_Toc487730325"/>
      <w:bookmarkStart w:id="528" w:name="_Toc495874943"/>
      <w:bookmarkStart w:id="529" w:name="_Toc495920615"/>
      <w:bookmarkStart w:id="530" w:name="_Toc495920732"/>
      <w:bookmarkStart w:id="531" w:name="_Toc506309667"/>
      <w:bookmarkStart w:id="532" w:name="_Toc507149753"/>
      <w:bookmarkStart w:id="533" w:name="_Toc519251396"/>
      <w:bookmarkStart w:id="534" w:name="_Toc519698164"/>
      <w:bookmarkStart w:id="535" w:name="_Toc519698286"/>
      <w:bookmarkStart w:id="536" w:name="_Toc526708554"/>
      <w:bookmarkStart w:id="537" w:name="_Toc526781390"/>
      <w:bookmarkStart w:id="538" w:name="_Toc526783972"/>
      <w:r w:rsidRPr="00BA6402">
        <w:rPr>
          <w:noProof/>
        </w:rPr>
        <w:lastRenderedPageBreak/>
        <w:drawing>
          <wp:anchor distT="0" distB="0" distL="114300" distR="114300" simplePos="0" relativeHeight="252262400" behindDoc="0" locked="0" layoutInCell="1" allowOverlap="1" wp14:anchorId="2B7C8B57" wp14:editId="63FA4B4A">
            <wp:simplePos x="0" y="0"/>
            <wp:positionH relativeFrom="column">
              <wp:posOffset>36830</wp:posOffset>
            </wp:positionH>
            <wp:positionV relativeFrom="paragraph">
              <wp:posOffset>342900</wp:posOffset>
            </wp:positionV>
            <wp:extent cx="6112510" cy="4091305"/>
            <wp:effectExtent l="0" t="0" r="254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2510" cy="409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3C7D">
        <w:t xml:space="preserve"> </w:t>
      </w:r>
      <w:bookmarkStart w:id="539" w:name="_Toc950047"/>
      <w:bookmarkStart w:id="540" w:name="_Toc8720610"/>
      <w:bookmarkStart w:id="541" w:name="_Toc8720694"/>
      <w:r w:rsidR="00491063">
        <w:t>Projection of Capital Reserves – Cashflow Profile</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rsidR="00491063" w:rsidRDefault="00B427F1" w:rsidP="00491063">
      <w:r>
        <w:rPr>
          <w:noProof/>
        </w:rPr>
        <w:drawing>
          <wp:anchor distT="0" distB="0" distL="114300" distR="114300" simplePos="0" relativeHeight="252248064" behindDoc="0" locked="0" layoutInCell="1" allowOverlap="1" wp14:anchorId="007E8FE9" wp14:editId="1263824A">
            <wp:simplePos x="0" y="0"/>
            <wp:positionH relativeFrom="column">
              <wp:posOffset>-20651</wp:posOffset>
            </wp:positionH>
            <wp:positionV relativeFrom="paragraph">
              <wp:posOffset>4098263</wp:posOffset>
            </wp:positionV>
            <wp:extent cx="6638925" cy="1290320"/>
            <wp:effectExtent l="0" t="0" r="0" b="508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38925" cy="1290320"/>
                    </a:xfrm>
                    <a:prstGeom prst="rect">
                      <a:avLst/>
                    </a:prstGeom>
                    <a:noFill/>
                  </pic:spPr>
                </pic:pic>
              </a:graphicData>
            </a:graphic>
            <wp14:sizeRelH relativeFrom="page">
              <wp14:pctWidth>0</wp14:pctWidth>
            </wp14:sizeRelH>
            <wp14:sizeRelV relativeFrom="page">
              <wp14:pctHeight>0</wp14:pctHeight>
            </wp14:sizeRelV>
          </wp:anchor>
        </w:drawing>
      </w:r>
    </w:p>
    <w:p w:rsidR="00F83827" w:rsidRDefault="00F83827" w:rsidP="00491063"/>
    <w:p w:rsidR="004261C9" w:rsidRDefault="004261C9" w:rsidP="00491063"/>
    <w:p w:rsidR="004261C9" w:rsidRDefault="004261C9" w:rsidP="00491063"/>
    <w:p w:rsidR="00BA6402" w:rsidRDefault="00BA6402">
      <w:pPr>
        <w:spacing w:line="240" w:lineRule="auto"/>
        <w:jc w:val="left"/>
      </w:pPr>
      <w:r>
        <w:br w:type="page"/>
      </w:r>
    </w:p>
    <w:p w:rsidR="004261C9" w:rsidRDefault="004261C9" w:rsidP="00491063"/>
    <w:p w:rsidR="004261C9" w:rsidRDefault="004261C9" w:rsidP="00491063"/>
    <w:p w:rsidR="00E9387D" w:rsidRPr="00E9387D" w:rsidRDefault="004261C9" w:rsidP="00E9387D">
      <w:pPr>
        <w:pStyle w:val="Title"/>
        <w:jc w:val="center"/>
        <w:outlineLvl w:val="0"/>
        <w:rPr>
          <w:noProof/>
        </w:rPr>
      </w:pPr>
      <w:bookmarkStart w:id="542" w:name="_Toc431290627"/>
      <w:bookmarkStart w:id="543" w:name="_Toc432158514"/>
      <w:bookmarkStart w:id="544" w:name="_Toc440901960"/>
      <w:bookmarkStart w:id="545" w:name="_Toc445373711"/>
      <w:bookmarkStart w:id="546" w:name="_Toc450572682"/>
      <w:bookmarkStart w:id="547" w:name="_Toc432146328"/>
      <w:bookmarkStart w:id="548" w:name="_Toc432146416"/>
      <w:bookmarkStart w:id="549" w:name="_Toc452112053"/>
      <w:bookmarkStart w:id="550" w:name="_Toc452703385"/>
      <w:bookmarkStart w:id="551" w:name="_Toc456249305"/>
      <w:bookmarkStart w:id="552" w:name="_Toc456335446"/>
      <w:bookmarkStart w:id="553" w:name="_Toc464397774"/>
      <w:bookmarkStart w:id="554" w:name="_Toc464397862"/>
      <w:bookmarkStart w:id="555" w:name="_Toc475009513"/>
      <w:bookmarkStart w:id="556" w:name="_Toc487212560"/>
      <w:bookmarkStart w:id="557" w:name="_Toc487212663"/>
      <w:bookmarkStart w:id="558" w:name="_Toc487639484"/>
      <w:bookmarkStart w:id="559" w:name="_Toc487642227"/>
      <w:bookmarkStart w:id="560" w:name="_Toc487644128"/>
      <w:bookmarkStart w:id="561" w:name="_Toc487644990"/>
      <w:bookmarkStart w:id="562" w:name="_Toc487645516"/>
      <w:bookmarkStart w:id="563" w:name="_Toc487730327"/>
      <w:bookmarkStart w:id="564" w:name="_Toc495874945"/>
      <w:bookmarkStart w:id="565" w:name="_Toc495920617"/>
      <w:bookmarkStart w:id="566" w:name="_Toc495920734"/>
      <w:bookmarkStart w:id="567" w:name="_Toc506309669"/>
      <w:bookmarkStart w:id="568" w:name="_Toc507149755"/>
      <w:bookmarkStart w:id="569" w:name="_Toc519698288"/>
      <w:bookmarkStart w:id="570" w:name="_Toc526708555"/>
      <w:bookmarkStart w:id="571" w:name="_Toc526781391"/>
      <w:bookmarkStart w:id="572" w:name="_Toc526783973"/>
      <w:bookmarkStart w:id="573" w:name="_Toc950048"/>
      <w:bookmarkStart w:id="574" w:name="_Toc8720611"/>
      <w:bookmarkStart w:id="575" w:name="_Toc8720695"/>
      <w:r w:rsidRPr="00AA73F6">
        <w:rPr>
          <w:rFonts w:asciiTheme="minorHAnsi" w:hAnsiTheme="minorHAnsi"/>
          <w:b/>
          <w:spacing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Appendices</w:t>
      </w:r>
      <w:bookmarkEnd w:id="542"/>
      <w:bookmarkEnd w:id="543"/>
      <w:bookmarkEnd w:id="544"/>
      <w:bookmarkEnd w:id="545"/>
      <w:bookmarkEnd w:id="546"/>
      <w:r w:rsidRPr="00AA73F6">
        <w:rPr>
          <w:rFonts w:asciiTheme="minorHAnsi" w:hAnsiTheme="minorHAnsi"/>
          <w:b/>
          <w:spacing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bookmarkEnd w:id="547"/>
      <w:bookmarkEnd w:id="548"/>
      <w:r w:rsidRPr="00AA73F6">
        <w:rPr>
          <w:rFonts w:asciiTheme="minorHAnsi" w:hAnsiTheme="minorHAnsi"/>
          <w:b/>
          <w:spacing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to Revenue Report 201</w:t>
      </w:r>
      <w:r>
        <w:rPr>
          <w:rFonts w:asciiTheme="minorHAnsi" w:hAnsiTheme="minorHAnsi"/>
          <w:b/>
          <w:spacing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w:t>
      </w:r>
      <w:bookmarkEnd w:id="549"/>
      <w:bookmarkEnd w:id="550"/>
      <w:bookmarkEnd w:id="551"/>
      <w:bookmarkEnd w:id="552"/>
      <w:bookmarkEnd w:id="553"/>
      <w:bookmarkEnd w:id="554"/>
      <w:bookmarkEnd w:id="555"/>
      <w:r>
        <w:rPr>
          <w:rFonts w:asciiTheme="minorHAnsi" w:hAnsiTheme="minorHAnsi"/>
          <w:b/>
          <w:spacing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9 –</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00C05D9F">
        <w:rPr>
          <w:rFonts w:asciiTheme="minorHAnsi" w:hAnsiTheme="minorHAnsi"/>
          <w:b/>
          <w:spacing w:val="0"/>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Provisional Outturn</w:t>
      </w:r>
      <w:bookmarkEnd w:id="574"/>
      <w:bookmarkEnd w:id="575"/>
      <w:r>
        <w:rPr>
          <w:rFonts w:asciiTheme="minorHAnsi" w:hAnsiTheme="minorHAnsi"/>
          <w:bCs/>
          <w:color w:val="FFFFFF" w:themeColor="background1"/>
          <w:kern w:val="36"/>
          <w:sz w:val="56"/>
          <w:szCs w:val="56"/>
        </w:rPr>
        <w:fldChar w:fldCharType="begin"/>
      </w:r>
      <w:r w:rsidRPr="00AA73F6">
        <w:rPr>
          <w:rFonts w:asciiTheme="minorHAnsi" w:hAnsiTheme="minorHAnsi"/>
          <w:sz w:val="56"/>
          <w:szCs w:val="56"/>
        </w:rPr>
        <w:instrText xml:space="preserve"> TOC \o "1-2" \h \z \u </w:instrText>
      </w:r>
      <w:r>
        <w:rPr>
          <w:rFonts w:asciiTheme="minorHAnsi" w:hAnsiTheme="minorHAnsi"/>
          <w:bCs/>
          <w:color w:val="FFFFFF" w:themeColor="background1"/>
          <w:kern w:val="36"/>
          <w:sz w:val="56"/>
          <w:szCs w:val="56"/>
        </w:rPr>
        <w:fldChar w:fldCharType="separate"/>
      </w:r>
    </w:p>
    <w:p w:rsidR="00E9387D" w:rsidRDefault="009074B6">
      <w:pPr>
        <w:pStyle w:val="TOC1"/>
        <w:rPr>
          <w:rFonts w:asciiTheme="minorHAnsi" w:eastAsiaTheme="minorEastAsia" w:hAnsiTheme="minorHAnsi" w:cstheme="minorBidi"/>
          <w:noProof/>
          <w:szCs w:val="22"/>
        </w:rPr>
      </w:pPr>
      <w:hyperlink w:anchor="_Toc8720696" w:history="1">
        <w:r w:rsidR="00E9387D" w:rsidRPr="00AD0423">
          <w:rPr>
            <w:rStyle w:val="Hyperlink"/>
            <w:noProof/>
          </w:rPr>
          <w:t>11.</w:t>
        </w:r>
        <w:r w:rsidR="00E9387D">
          <w:rPr>
            <w:rFonts w:asciiTheme="minorHAnsi" w:eastAsiaTheme="minorEastAsia" w:hAnsiTheme="minorHAnsi" w:cstheme="minorBidi"/>
            <w:noProof/>
            <w:szCs w:val="22"/>
          </w:rPr>
          <w:tab/>
        </w:r>
        <w:r w:rsidR="00E9387D" w:rsidRPr="00AD0423">
          <w:rPr>
            <w:rStyle w:val="Hyperlink"/>
            <w:noProof/>
          </w:rPr>
          <w:t>APPENDIX A – Detail Revenue Report</w:t>
        </w:r>
        <w:r w:rsidR="00E9387D">
          <w:rPr>
            <w:noProof/>
            <w:webHidden/>
          </w:rPr>
          <w:tab/>
        </w:r>
        <w:r w:rsidR="00E9387D">
          <w:rPr>
            <w:noProof/>
            <w:webHidden/>
          </w:rPr>
          <w:fldChar w:fldCharType="begin"/>
        </w:r>
        <w:r w:rsidR="00E9387D">
          <w:rPr>
            <w:noProof/>
            <w:webHidden/>
          </w:rPr>
          <w:instrText xml:space="preserve"> PAGEREF _Toc8720696 \h </w:instrText>
        </w:r>
        <w:r w:rsidR="00E9387D">
          <w:rPr>
            <w:noProof/>
            <w:webHidden/>
          </w:rPr>
        </w:r>
        <w:r w:rsidR="00E9387D">
          <w:rPr>
            <w:noProof/>
            <w:webHidden/>
          </w:rPr>
          <w:fldChar w:fldCharType="separate"/>
        </w:r>
        <w:r w:rsidR="00FA0A30">
          <w:rPr>
            <w:noProof/>
            <w:webHidden/>
          </w:rPr>
          <w:t>28</w:t>
        </w:r>
        <w:r w:rsidR="00E9387D">
          <w:rPr>
            <w:noProof/>
            <w:webHidden/>
          </w:rPr>
          <w:fldChar w:fldCharType="end"/>
        </w:r>
      </w:hyperlink>
    </w:p>
    <w:p w:rsidR="00E9387D" w:rsidRDefault="009074B6">
      <w:pPr>
        <w:pStyle w:val="TOC1"/>
        <w:rPr>
          <w:rFonts w:asciiTheme="minorHAnsi" w:eastAsiaTheme="minorEastAsia" w:hAnsiTheme="minorHAnsi" w:cstheme="minorBidi"/>
          <w:noProof/>
          <w:szCs w:val="22"/>
        </w:rPr>
      </w:pPr>
      <w:hyperlink w:anchor="_Toc8720697" w:history="1">
        <w:r w:rsidR="00E9387D" w:rsidRPr="00AD0423">
          <w:rPr>
            <w:rStyle w:val="Hyperlink"/>
            <w:noProof/>
          </w:rPr>
          <w:t>12.</w:t>
        </w:r>
        <w:r w:rsidR="00E9387D">
          <w:rPr>
            <w:rFonts w:asciiTheme="minorHAnsi" w:eastAsiaTheme="minorEastAsia" w:hAnsiTheme="minorHAnsi" w:cstheme="minorBidi"/>
            <w:noProof/>
            <w:szCs w:val="22"/>
          </w:rPr>
          <w:tab/>
        </w:r>
        <w:r w:rsidR="00E9387D" w:rsidRPr="00AD0423">
          <w:rPr>
            <w:rStyle w:val="Hyperlink"/>
            <w:noProof/>
          </w:rPr>
          <w:t>APPENDIX B – Police Objective Analysis – Level 2</w:t>
        </w:r>
        <w:r w:rsidR="00E9387D">
          <w:rPr>
            <w:noProof/>
            <w:webHidden/>
          </w:rPr>
          <w:tab/>
        </w:r>
        <w:r w:rsidR="00E9387D">
          <w:rPr>
            <w:noProof/>
            <w:webHidden/>
          </w:rPr>
          <w:fldChar w:fldCharType="begin"/>
        </w:r>
        <w:r w:rsidR="00E9387D">
          <w:rPr>
            <w:noProof/>
            <w:webHidden/>
          </w:rPr>
          <w:instrText xml:space="preserve"> PAGEREF _Toc8720697 \h </w:instrText>
        </w:r>
        <w:r w:rsidR="00E9387D">
          <w:rPr>
            <w:noProof/>
            <w:webHidden/>
          </w:rPr>
        </w:r>
        <w:r w:rsidR="00E9387D">
          <w:rPr>
            <w:noProof/>
            <w:webHidden/>
          </w:rPr>
          <w:fldChar w:fldCharType="separate"/>
        </w:r>
        <w:r w:rsidR="00FA0A30">
          <w:rPr>
            <w:noProof/>
            <w:webHidden/>
          </w:rPr>
          <w:t>29</w:t>
        </w:r>
        <w:r w:rsidR="00E9387D">
          <w:rPr>
            <w:noProof/>
            <w:webHidden/>
          </w:rPr>
          <w:fldChar w:fldCharType="end"/>
        </w:r>
      </w:hyperlink>
    </w:p>
    <w:p w:rsidR="00E9387D" w:rsidRDefault="009074B6">
      <w:pPr>
        <w:pStyle w:val="TOC1"/>
        <w:rPr>
          <w:rFonts w:asciiTheme="minorHAnsi" w:eastAsiaTheme="minorEastAsia" w:hAnsiTheme="minorHAnsi" w:cstheme="minorBidi"/>
          <w:noProof/>
          <w:szCs w:val="22"/>
        </w:rPr>
      </w:pPr>
      <w:hyperlink w:anchor="_Toc8720698" w:history="1">
        <w:r w:rsidR="00E9387D" w:rsidRPr="00AD0423">
          <w:rPr>
            <w:rStyle w:val="Hyperlink"/>
            <w:rFonts w:eastAsiaTheme="minorHAnsi"/>
            <w:noProof/>
          </w:rPr>
          <w:t>13.</w:t>
        </w:r>
        <w:r w:rsidR="00E9387D">
          <w:rPr>
            <w:rFonts w:asciiTheme="minorHAnsi" w:eastAsiaTheme="minorEastAsia" w:hAnsiTheme="minorHAnsi" w:cstheme="minorBidi"/>
            <w:noProof/>
            <w:szCs w:val="22"/>
          </w:rPr>
          <w:tab/>
        </w:r>
        <w:r w:rsidR="00E9387D" w:rsidRPr="00AD0423">
          <w:rPr>
            <w:rStyle w:val="Hyperlink"/>
            <w:rFonts w:eastAsiaTheme="minorHAnsi"/>
            <w:noProof/>
          </w:rPr>
          <w:t>APPENDIX C – Virement Analysis – Other Virements</w:t>
        </w:r>
        <w:r w:rsidR="00E9387D">
          <w:rPr>
            <w:noProof/>
            <w:webHidden/>
          </w:rPr>
          <w:tab/>
        </w:r>
        <w:r w:rsidR="00E9387D">
          <w:rPr>
            <w:noProof/>
            <w:webHidden/>
          </w:rPr>
          <w:fldChar w:fldCharType="begin"/>
        </w:r>
        <w:r w:rsidR="00E9387D">
          <w:rPr>
            <w:noProof/>
            <w:webHidden/>
          </w:rPr>
          <w:instrText xml:space="preserve"> PAGEREF _Toc8720698 \h </w:instrText>
        </w:r>
        <w:r w:rsidR="00E9387D">
          <w:rPr>
            <w:noProof/>
            <w:webHidden/>
          </w:rPr>
        </w:r>
        <w:r w:rsidR="00E9387D">
          <w:rPr>
            <w:noProof/>
            <w:webHidden/>
          </w:rPr>
          <w:fldChar w:fldCharType="separate"/>
        </w:r>
        <w:r w:rsidR="00FA0A30">
          <w:rPr>
            <w:noProof/>
            <w:webHidden/>
          </w:rPr>
          <w:t>30</w:t>
        </w:r>
        <w:r w:rsidR="00E9387D">
          <w:rPr>
            <w:noProof/>
            <w:webHidden/>
          </w:rPr>
          <w:fldChar w:fldCharType="end"/>
        </w:r>
      </w:hyperlink>
    </w:p>
    <w:p w:rsidR="00E9387D" w:rsidRDefault="009074B6">
      <w:pPr>
        <w:pStyle w:val="TOC1"/>
        <w:rPr>
          <w:rFonts w:asciiTheme="minorHAnsi" w:eastAsiaTheme="minorEastAsia" w:hAnsiTheme="minorHAnsi" w:cstheme="minorBidi"/>
          <w:noProof/>
          <w:szCs w:val="22"/>
        </w:rPr>
      </w:pPr>
      <w:hyperlink w:anchor="_Toc8720699" w:history="1">
        <w:r w:rsidR="00E9387D" w:rsidRPr="00AD0423">
          <w:rPr>
            <w:rStyle w:val="Hyperlink"/>
            <w:noProof/>
          </w:rPr>
          <w:t>14.</w:t>
        </w:r>
        <w:r w:rsidR="00E9387D">
          <w:rPr>
            <w:rFonts w:asciiTheme="minorHAnsi" w:eastAsiaTheme="minorEastAsia" w:hAnsiTheme="minorHAnsi" w:cstheme="minorBidi"/>
            <w:noProof/>
            <w:szCs w:val="22"/>
          </w:rPr>
          <w:tab/>
        </w:r>
        <w:r w:rsidR="00E9387D" w:rsidRPr="00AD0423">
          <w:rPr>
            <w:rStyle w:val="Hyperlink"/>
            <w:noProof/>
          </w:rPr>
          <w:t>APPENDIX D – Detail Reserves Analysis</w:t>
        </w:r>
        <w:r w:rsidR="00E9387D">
          <w:rPr>
            <w:noProof/>
            <w:webHidden/>
          </w:rPr>
          <w:tab/>
        </w:r>
        <w:r w:rsidR="00E9387D">
          <w:rPr>
            <w:noProof/>
            <w:webHidden/>
          </w:rPr>
          <w:fldChar w:fldCharType="begin"/>
        </w:r>
        <w:r w:rsidR="00E9387D">
          <w:rPr>
            <w:noProof/>
            <w:webHidden/>
          </w:rPr>
          <w:instrText xml:space="preserve"> PAGEREF _Toc8720699 \h </w:instrText>
        </w:r>
        <w:r w:rsidR="00E9387D">
          <w:rPr>
            <w:noProof/>
            <w:webHidden/>
          </w:rPr>
        </w:r>
        <w:r w:rsidR="00E9387D">
          <w:rPr>
            <w:noProof/>
            <w:webHidden/>
          </w:rPr>
          <w:fldChar w:fldCharType="separate"/>
        </w:r>
        <w:r w:rsidR="00FA0A30">
          <w:rPr>
            <w:noProof/>
            <w:webHidden/>
          </w:rPr>
          <w:t>33</w:t>
        </w:r>
        <w:r w:rsidR="00E9387D">
          <w:rPr>
            <w:noProof/>
            <w:webHidden/>
          </w:rPr>
          <w:fldChar w:fldCharType="end"/>
        </w:r>
      </w:hyperlink>
    </w:p>
    <w:p w:rsidR="004261C9" w:rsidRDefault="004261C9" w:rsidP="004261C9">
      <w:pPr>
        <w:rPr>
          <w:b/>
        </w:rPr>
      </w:pPr>
      <w:r>
        <w:rPr>
          <w:b/>
        </w:rPr>
        <w:fldChar w:fldCharType="end"/>
      </w:r>
    </w:p>
    <w:p w:rsidR="004261C9" w:rsidRDefault="004261C9" w:rsidP="004261C9">
      <w:pPr>
        <w:rPr>
          <w:b/>
        </w:rPr>
      </w:pPr>
    </w:p>
    <w:p w:rsidR="004261C9" w:rsidRDefault="004261C9" w:rsidP="004261C9">
      <w:pPr>
        <w:rPr>
          <w:b/>
        </w:rPr>
      </w:pPr>
    </w:p>
    <w:p w:rsidR="004261C9" w:rsidRDefault="004261C9" w:rsidP="004261C9">
      <w:pPr>
        <w:rPr>
          <w:b/>
        </w:rPr>
      </w:pPr>
    </w:p>
    <w:p w:rsidR="004261C9" w:rsidRDefault="004261C9" w:rsidP="004261C9">
      <w:pPr>
        <w:rPr>
          <w:b/>
        </w:rPr>
      </w:pPr>
    </w:p>
    <w:p w:rsidR="004261C9" w:rsidRDefault="004261C9" w:rsidP="004261C9">
      <w:pPr>
        <w:rPr>
          <w:b/>
        </w:rPr>
      </w:pPr>
    </w:p>
    <w:p w:rsidR="004261C9" w:rsidRDefault="004261C9" w:rsidP="004261C9">
      <w:pPr>
        <w:rPr>
          <w:b/>
        </w:rPr>
      </w:pPr>
    </w:p>
    <w:p w:rsidR="004261C9" w:rsidRDefault="004261C9" w:rsidP="004261C9">
      <w:pPr>
        <w:rPr>
          <w:b/>
        </w:rPr>
      </w:pPr>
    </w:p>
    <w:p w:rsidR="004261C9" w:rsidRDefault="004261C9" w:rsidP="004261C9">
      <w:pPr>
        <w:rPr>
          <w:b/>
        </w:rPr>
      </w:pPr>
    </w:p>
    <w:p w:rsidR="0041501A" w:rsidRDefault="0041501A" w:rsidP="004261C9">
      <w:pPr>
        <w:rPr>
          <w:b/>
        </w:rPr>
        <w:sectPr w:rsidR="0041501A" w:rsidSect="009269AC">
          <w:pgSz w:w="16838" w:h="11906" w:orient="landscape"/>
          <w:pgMar w:top="1134" w:right="1134" w:bottom="1134" w:left="709" w:header="709" w:footer="709" w:gutter="0"/>
          <w:cols w:space="708"/>
          <w:docGrid w:linePitch="360"/>
        </w:sectPr>
      </w:pPr>
    </w:p>
    <w:p w:rsidR="0041501A" w:rsidRPr="006D6816" w:rsidRDefault="0041501A" w:rsidP="0041501A">
      <w:pPr>
        <w:pStyle w:val="Heading1"/>
        <w:rPr>
          <w:sz w:val="40"/>
          <w:szCs w:val="40"/>
        </w:rPr>
      </w:pPr>
      <w:bookmarkStart w:id="576" w:name="_Toc8720696"/>
      <w:r w:rsidRPr="006D6816">
        <w:rPr>
          <w:sz w:val="40"/>
          <w:szCs w:val="40"/>
        </w:rPr>
        <w:lastRenderedPageBreak/>
        <w:t>APPENDIX A – Detail Revenue Report</w:t>
      </w:r>
      <w:bookmarkEnd w:id="576"/>
    </w:p>
    <w:p w:rsidR="0041501A" w:rsidRDefault="008614B8">
      <w:pPr>
        <w:spacing w:line="240" w:lineRule="auto"/>
        <w:jc w:val="left"/>
      </w:pPr>
      <w:r w:rsidRPr="008614B8">
        <w:rPr>
          <w:noProof/>
        </w:rPr>
        <w:drawing>
          <wp:inline distT="0" distB="0" distL="0" distR="0">
            <wp:extent cx="6120130" cy="78586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130" cy="7858643"/>
                    </a:xfrm>
                    <a:prstGeom prst="rect">
                      <a:avLst/>
                    </a:prstGeom>
                    <a:noFill/>
                    <a:ln>
                      <a:noFill/>
                    </a:ln>
                  </pic:spPr>
                </pic:pic>
              </a:graphicData>
            </a:graphic>
          </wp:inline>
        </w:drawing>
      </w:r>
      <w:r w:rsidR="0041501A">
        <w:br w:type="page"/>
      </w:r>
    </w:p>
    <w:p w:rsidR="0041501A" w:rsidRDefault="007909C5" w:rsidP="00F43057">
      <w:pPr>
        <w:pStyle w:val="Heading1"/>
        <w:rPr>
          <w:sz w:val="40"/>
          <w:szCs w:val="40"/>
        </w:rPr>
      </w:pPr>
      <w:bookmarkStart w:id="577" w:name="_Toc8720697"/>
      <w:r w:rsidRPr="007909C5">
        <w:rPr>
          <w:noProof/>
        </w:rPr>
        <w:lastRenderedPageBreak/>
        <w:drawing>
          <wp:anchor distT="0" distB="0" distL="114300" distR="114300" simplePos="0" relativeHeight="252260352" behindDoc="0" locked="0" layoutInCell="1" allowOverlap="1">
            <wp:simplePos x="0" y="0"/>
            <wp:positionH relativeFrom="margin">
              <wp:align>right</wp:align>
            </wp:positionH>
            <wp:positionV relativeFrom="paragraph">
              <wp:posOffset>491490</wp:posOffset>
            </wp:positionV>
            <wp:extent cx="6126480" cy="8545830"/>
            <wp:effectExtent l="0" t="0" r="762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6480" cy="854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01A" w:rsidRPr="00DB0398">
        <w:rPr>
          <w:sz w:val="40"/>
          <w:szCs w:val="40"/>
        </w:rPr>
        <w:t>APPENDIX B – Police Objective Analysis – Level 2</w:t>
      </w:r>
      <w:bookmarkEnd w:id="577"/>
    </w:p>
    <w:p w:rsidR="0041501A" w:rsidRDefault="0041501A">
      <w:pPr>
        <w:spacing w:line="240" w:lineRule="auto"/>
        <w:jc w:val="left"/>
      </w:pPr>
    </w:p>
    <w:p w:rsidR="00F5138E" w:rsidRDefault="00F5138E">
      <w:pPr>
        <w:spacing w:line="240" w:lineRule="auto"/>
        <w:jc w:val="left"/>
        <w:sectPr w:rsidR="00F5138E" w:rsidSect="0041501A">
          <w:pgSz w:w="11906" w:h="16838"/>
          <w:pgMar w:top="1134" w:right="1134" w:bottom="709" w:left="1134" w:header="709" w:footer="709" w:gutter="0"/>
          <w:cols w:space="708"/>
          <w:docGrid w:linePitch="360"/>
        </w:sectPr>
      </w:pPr>
    </w:p>
    <w:p w:rsidR="0041501A" w:rsidRPr="004644C9" w:rsidRDefault="0041501A" w:rsidP="0041501A">
      <w:pPr>
        <w:pStyle w:val="Heading1"/>
        <w:tabs>
          <w:tab w:val="left" w:pos="709"/>
          <w:tab w:val="left" w:pos="851"/>
        </w:tabs>
        <w:spacing w:before="0" w:beforeAutospacing="0" w:after="0" w:afterAutospacing="0"/>
        <w:ind w:left="357" w:hanging="357"/>
        <w:rPr>
          <w:rFonts w:eastAsiaTheme="minorHAnsi"/>
          <w:noProof/>
          <w:sz w:val="40"/>
          <w:szCs w:val="40"/>
        </w:rPr>
      </w:pPr>
      <w:bookmarkStart w:id="578" w:name="_Toc8720698"/>
      <w:r>
        <w:rPr>
          <w:rFonts w:eastAsiaTheme="minorHAnsi"/>
          <w:noProof/>
          <w:sz w:val="40"/>
          <w:szCs w:val="40"/>
        </w:rPr>
        <w:lastRenderedPageBreak/>
        <w:t>APPENDIX C</w:t>
      </w:r>
      <w:r w:rsidRPr="004644C9">
        <w:rPr>
          <w:rFonts w:eastAsiaTheme="minorHAnsi"/>
          <w:noProof/>
          <w:sz w:val="40"/>
          <w:szCs w:val="40"/>
        </w:rPr>
        <w:t xml:space="preserve"> </w:t>
      </w:r>
      <w:r>
        <w:rPr>
          <w:rFonts w:eastAsiaTheme="minorHAnsi"/>
          <w:noProof/>
          <w:sz w:val="40"/>
          <w:szCs w:val="40"/>
        </w:rPr>
        <w:t xml:space="preserve">– </w:t>
      </w:r>
      <w:r w:rsidRPr="004644C9">
        <w:rPr>
          <w:rFonts w:eastAsiaTheme="minorHAnsi"/>
          <w:noProof/>
          <w:sz w:val="40"/>
          <w:szCs w:val="40"/>
        </w:rPr>
        <w:t>Virement Analysis</w:t>
      </w:r>
      <w:r>
        <w:rPr>
          <w:rFonts w:eastAsiaTheme="minorHAnsi"/>
          <w:noProof/>
          <w:sz w:val="40"/>
          <w:szCs w:val="40"/>
        </w:rPr>
        <w:t xml:space="preserve"> – Other Virements</w:t>
      </w:r>
      <w:bookmarkEnd w:id="578"/>
    </w:p>
    <w:p w:rsidR="00567C25" w:rsidRDefault="00024CBF" w:rsidP="004261C9">
      <w:r w:rsidRPr="00024CBF">
        <w:rPr>
          <w:noProof/>
        </w:rPr>
        <w:drawing>
          <wp:anchor distT="0" distB="0" distL="114300" distR="114300" simplePos="0" relativeHeight="252258304" behindDoc="0" locked="0" layoutInCell="1" allowOverlap="1">
            <wp:simplePos x="0" y="0"/>
            <wp:positionH relativeFrom="column">
              <wp:posOffset>-635</wp:posOffset>
            </wp:positionH>
            <wp:positionV relativeFrom="paragraph">
              <wp:posOffset>92710</wp:posOffset>
            </wp:positionV>
            <wp:extent cx="9521825" cy="5370897"/>
            <wp:effectExtent l="0" t="0" r="317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1825" cy="53708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CBF" w:rsidRDefault="00024CBF" w:rsidP="004261C9"/>
    <w:p w:rsidR="004E42BA" w:rsidRDefault="004E42BA"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C05D9F" w:rsidP="004261C9"/>
    <w:p w:rsidR="00C05D9F" w:rsidRDefault="00024CBF" w:rsidP="004261C9">
      <w:r w:rsidRPr="00024CBF">
        <w:rPr>
          <w:noProof/>
        </w:rPr>
        <w:lastRenderedPageBreak/>
        <w:drawing>
          <wp:inline distT="0" distB="0" distL="0" distR="0">
            <wp:extent cx="9521825" cy="5350648"/>
            <wp:effectExtent l="0" t="0" r="317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1825" cy="5350648"/>
                    </a:xfrm>
                    <a:prstGeom prst="rect">
                      <a:avLst/>
                    </a:prstGeom>
                    <a:noFill/>
                    <a:ln>
                      <a:noFill/>
                    </a:ln>
                  </pic:spPr>
                </pic:pic>
              </a:graphicData>
            </a:graphic>
          </wp:inline>
        </w:drawing>
      </w:r>
    </w:p>
    <w:p w:rsidR="00C05D9F" w:rsidRDefault="00C05D9F" w:rsidP="004261C9">
      <w:pPr>
        <w:rPr>
          <w:noProof/>
        </w:rPr>
      </w:pPr>
    </w:p>
    <w:p w:rsidR="00024CBF" w:rsidRDefault="00024CBF" w:rsidP="004261C9"/>
    <w:p w:rsidR="00552BE2" w:rsidRDefault="00024CBF" w:rsidP="004261C9">
      <w:pPr>
        <w:sectPr w:rsidR="00552BE2" w:rsidSect="0041501A">
          <w:pgSz w:w="16838" w:h="11906" w:orient="landscape"/>
          <w:pgMar w:top="1134" w:right="1134" w:bottom="1134" w:left="709" w:header="709" w:footer="709" w:gutter="0"/>
          <w:cols w:space="708"/>
          <w:docGrid w:linePitch="360"/>
        </w:sectPr>
      </w:pPr>
      <w:r w:rsidRPr="00024CBF">
        <w:rPr>
          <w:noProof/>
        </w:rPr>
        <w:drawing>
          <wp:inline distT="0" distB="0" distL="0" distR="0">
            <wp:extent cx="9479280" cy="589407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490841" cy="5901258"/>
                    </a:xfrm>
                    <a:prstGeom prst="rect">
                      <a:avLst/>
                    </a:prstGeom>
                    <a:noFill/>
                    <a:ln>
                      <a:noFill/>
                    </a:ln>
                  </pic:spPr>
                </pic:pic>
              </a:graphicData>
            </a:graphic>
          </wp:inline>
        </w:drawing>
      </w:r>
    </w:p>
    <w:p w:rsidR="00567C25" w:rsidRPr="006D6816" w:rsidRDefault="00E4428D" w:rsidP="00323A1B">
      <w:pPr>
        <w:pStyle w:val="Heading1"/>
        <w:rPr>
          <w:i/>
          <w:noProof/>
          <w:color w:val="auto"/>
          <w:sz w:val="40"/>
          <w:szCs w:val="40"/>
        </w:rPr>
      </w:pPr>
      <w:bookmarkStart w:id="579" w:name="_Toc8720699"/>
      <w:r w:rsidRPr="00E4428D">
        <w:rPr>
          <w:noProof/>
        </w:rPr>
        <w:lastRenderedPageBreak/>
        <w:drawing>
          <wp:anchor distT="0" distB="0" distL="114300" distR="114300" simplePos="0" relativeHeight="252256256" behindDoc="0" locked="0" layoutInCell="1" allowOverlap="1">
            <wp:simplePos x="0" y="0"/>
            <wp:positionH relativeFrom="margin">
              <wp:posOffset>7695565</wp:posOffset>
            </wp:positionH>
            <wp:positionV relativeFrom="paragraph">
              <wp:posOffset>689610</wp:posOffset>
            </wp:positionV>
            <wp:extent cx="1848932" cy="52120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51689" cy="52198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28D">
        <w:rPr>
          <w:noProof/>
        </w:rPr>
        <w:drawing>
          <wp:anchor distT="0" distB="0" distL="114300" distR="114300" simplePos="0" relativeHeight="252255232" behindDoc="0" locked="0" layoutInCell="1" allowOverlap="1">
            <wp:simplePos x="0" y="0"/>
            <wp:positionH relativeFrom="column">
              <wp:posOffset>14605</wp:posOffset>
            </wp:positionH>
            <wp:positionV relativeFrom="paragraph">
              <wp:posOffset>674370</wp:posOffset>
            </wp:positionV>
            <wp:extent cx="7655560" cy="52273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63167" cy="5232514"/>
                    </a:xfrm>
                    <a:prstGeom prst="rect">
                      <a:avLst/>
                    </a:prstGeom>
                    <a:noFill/>
                    <a:ln>
                      <a:noFill/>
                    </a:ln>
                  </pic:spPr>
                </pic:pic>
              </a:graphicData>
            </a:graphic>
            <wp14:sizeRelH relativeFrom="page">
              <wp14:pctWidth>0</wp14:pctWidth>
            </wp14:sizeRelH>
            <wp14:sizeRelV relativeFrom="page">
              <wp14:pctHeight>0</wp14:pctHeight>
            </wp14:sizeRelV>
          </wp:anchor>
        </w:drawing>
      </w:r>
      <w:r w:rsidR="00567C25" w:rsidRPr="006D6816">
        <w:rPr>
          <w:noProof/>
          <w:sz w:val="40"/>
          <w:szCs w:val="40"/>
        </w:rPr>
        <w:t xml:space="preserve">APPENDIX </w:t>
      </w:r>
      <w:r w:rsidR="00E9387D">
        <w:rPr>
          <w:noProof/>
          <w:sz w:val="40"/>
          <w:szCs w:val="40"/>
        </w:rPr>
        <w:t>D</w:t>
      </w:r>
      <w:r w:rsidR="00567C25" w:rsidRPr="006D6816">
        <w:rPr>
          <w:noProof/>
          <w:sz w:val="40"/>
          <w:szCs w:val="40"/>
        </w:rPr>
        <w:t xml:space="preserve"> – Detail Reserves Analysis</w:t>
      </w:r>
      <w:bookmarkEnd w:id="579"/>
      <w:r w:rsidR="00567C25" w:rsidRPr="006D6816">
        <w:rPr>
          <w:noProof/>
          <w:sz w:val="40"/>
          <w:szCs w:val="40"/>
        </w:rPr>
        <w:t xml:space="preserve"> </w:t>
      </w:r>
    </w:p>
    <w:p w:rsidR="004261C9" w:rsidRDefault="00323A1B" w:rsidP="004261C9">
      <w:r w:rsidRPr="00323A1B">
        <w:t xml:space="preserve"> </w:t>
      </w:r>
    </w:p>
    <w:p w:rsidR="0046348D" w:rsidRDefault="0046348D" w:rsidP="004261C9"/>
    <w:sectPr w:rsidR="0046348D" w:rsidSect="00567C25">
      <w:pgSz w:w="16838" w:h="11906" w:orient="landscape"/>
      <w:pgMar w:top="1134" w:right="1134" w:bottom="1134" w:left="70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2F5" w:rsidRDefault="00D922F5" w:rsidP="00113794">
      <w:r>
        <w:separator/>
      </w:r>
    </w:p>
  </w:endnote>
  <w:endnote w:type="continuationSeparator" w:id="0">
    <w:p w:rsidR="00D922F5" w:rsidRDefault="00D922F5" w:rsidP="00113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DF5" w:rsidRPr="00A158D8" w:rsidRDefault="00D03613" w:rsidP="00D03613">
    <w:pPr>
      <w:pStyle w:val="Footer"/>
      <w:jc w:val="left"/>
      <w:rPr>
        <w:rFonts w:asciiTheme="minorHAnsi" w:hAnsiTheme="minorHAnsi"/>
        <w:noProof/>
      </w:rPr>
    </w:pPr>
    <w:r w:rsidRPr="00A158D8">
      <w:rPr>
        <w:rFonts w:asciiTheme="minorHAnsi" w:hAnsiTheme="minorHAnsi"/>
      </w:rPr>
      <w:t xml:space="preserve">Page </w:t>
    </w:r>
    <w:r w:rsidRPr="00A158D8">
      <w:rPr>
        <w:rFonts w:asciiTheme="minorHAnsi" w:hAnsiTheme="minorHAnsi"/>
      </w:rPr>
      <w:fldChar w:fldCharType="begin"/>
    </w:r>
    <w:r w:rsidRPr="00A158D8">
      <w:rPr>
        <w:rFonts w:asciiTheme="minorHAnsi" w:hAnsiTheme="minorHAnsi"/>
      </w:rPr>
      <w:instrText xml:space="preserve"> PAGE   \* MERGEFORMAT </w:instrText>
    </w:r>
    <w:r w:rsidRPr="00A158D8">
      <w:rPr>
        <w:rFonts w:asciiTheme="minorHAnsi" w:hAnsiTheme="minorHAnsi"/>
      </w:rPr>
      <w:fldChar w:fldCharType="separate"/>
    </w:r>
    <w:r w:rsidR="009074B6">
      <w:rPr>
        <w:rFonts w:asciiTheme="minorHAnsi" w:hAnsiTheme="minorHAnsi"/>
        <w:noProof/>
      </w:rPr>
      <w:t>1</w:t>
    </w:r>
    <w:r w:rsidRPr="00A158D8">
      <w:rPr>
        <w:rFonts w:asciiTheme="minorHAnsi" w:hAnsiTheme="minorHAnsi"/>
      </w:rPr>
      <w:fldChar w:fldCharType="end"/>
    </w:r>
    <w:r w:rsidRPr="00A158D8">
      <w:rPr>
        <w:rFonts w:asciiTheme="minorHAnsi" w:hAnsiTheme="minorHAnsi"/>
      </w:rPr>
      <w:t xml:space="preserve"> of </w:t>
    </w:r>
    <w:r w:rsidRPr="00A158D8">
      <w:rPr>
        <w:rFonts w:asciiTheme="minorHAnsi" w:hAnsiTheme="minorHAnsi"/>
        <w:noProof/>
      </w:rPr>
      <w:fldChar w:fldCharType="begin"/>
    </w:r>
    <w:r w:rsidRPr="00A158D8">
      <w:rPr>
        <w:rFonts w:asciiTheme="minorHAnsi" w:hAnsiTheme="minorHAnsi"/>
        <w:noProof/>
      </w:rPr>
      <w:instrText xml:space="preserve"> NUMPAGES   \* MERGEFORMAT </w:instrText>
    </w:r>
    <w:r w:rsidRPr="00A158D8">
      <w:rPr>
        <w:rFonts w:asciiTheme="minorHAnsi" w:hAnsiTheme="minorHAnsi"/>
        <w:noProof/>
      </w:rPr>
      <w:fldChar w:fldCharType="separate"/>
    </w:r>
    <w:r w:rsidR="009074B6">
      <w:rPr>
        <w:rFonts w:asciiTheme="minorHAnsi" w:hAnsiTheme="minorHAnsi"/>
        <w:noProof/>
      </w:rPr>
      <w:t>33</w:t>
    </w:r>
    <w:r w:rsidRPr="00A158D8">
      <w:rPr>
        <w:rFonts w:asciiTheme="minorHAnsi" w:hAnsiTheme="minorHAnsi"/>
        <w:noProof/>
      </w:rPr>
      <w:fldChar w:fldCharType="end"/>
    </w:r>
  </w:p>
  <w:p w:rsidR="00A158D8" w:rsidRPr="00D03613" w:rsidRDefault="00A158D8" w:rsidP="00D03613">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659712"/>
      <w:docPartObj>
        <w:docPartGallery w:val="Page Numbers (Bottom of Page)"/>
        <w:docPartUnique/>
      </w:docPartObj>
    </w:sdtPr>
    <w:sdtEndPr>
      <w:rPr>
        <w:rFonts w:asciiTheme="minorHAnsi" w:hAnsiTheme="minorHAnsi"/>
        <w:noProof/>
      </w:rPr>
    </w:sdtEndPr>
    <w:sdtContent>
      <w:p w:rsidR="00FB0DBD" w:rsidRPr="00A158D8" w:rsidRDefault="00D03613" w:rsidP="00D03613">
        <w:pPr>
          <w:pStyle w:val="Footer"/>
          <w:jc w:val="left"/>
          <w:rPr>
            <w:rFonts w:asciiTheme="minorHAnsi" w:hAnsiTheme="minorHAnsi"/>
          </w:rPr>
        </w:pPr>
        <w:r w:rsidRPr="00A158D8">
          <w:rPr>
            <w:rFonts w:asciiTheme="minorHAnsi" w:hAnsiTheme="minorHAnsi"/>
          </w:rPr>
          <w:t xml:space="preserve">Page </w:t>
        </w:r>
        <w:r w:rsidRPr="00A158D8">
          <w:rPr>
            <w:rFonts w:asciiTheme="minorHAnsi" w:hAnsiTheme="minorHAnsi"/>
          </w:rPr>
          <w:fldChar w:fldCharType="begin"/>
        </w:r>
        <w:r w:rsidRPr="00A158D8">
          <w:rPr>
            <w:rFonts w:asciiTheme="minorHAnsi" w:hAnsiTheme="minorHAnsi"/>
          </w:rPr>
          <w:instrText xml:space="preserve"> PAGE   \* MERGEFORMAT </w:instrText>
        </w:r>
        <w:r w:rsidRPr="00A158D8">
          <w:rPr>
            <w:rFonts w:asciiTheme="minorHAnsi" w:hAnsiTheme="minorHAnsi"/>
          </w:rPr>
          <w:fldChar w:fldCharType="separate"/>
        </w:r>
        <w:r w:rsidR="009074B6">
          <w:rPr>
            <w:rFonts w:asciiTheme="minorHAnsi" w:hAnsiTheme="minorHAnsi"/>
            <w:noProof/>
          </w:rPr>
          <w:t>5</w:t>
        </w:r>
        <w:r w:rsidRPr="00A158D8">
          <w:rPr>
            <w:rFonts w:asciiTheme="minorHAnsi" w:hAnsiTheme="minorHAnsi"/>
          </w:rPr>
          <w:fldChar w:fldCharType="end"/>
        </w:r>
        <w:r w:rsidRPr="00A158D8">
          <w:rPr>
            <w:rFonts w:asciiTheme="minorHAnsi" w:hAnsiTheme="minorHAnsi"/>
          </w:rPr>
          <w:t xml:space="preserve"> of </w:t>
        </w:r>
        <w:r w:rsidRPr="00A158D8">
          <w:rPr>
            <w:rFonts w:asciiTheme="minorHAnsi" w:hAnsiTheme="minorHAnsi"/>
            <w:noProof/>
          </w:rPr>
          <w:fldChar w:fldCharType="begin"/>
        </w:r>
        <w:r w:rsidRPr="00A158D8">
          <w:rPr>
            <w:rFonts w:asciiTheme="minorHAnsi" w:hAnsiTheme="minorHAnsi"/>
            <w:noProof/>
          </w:rPr>
          <w:instrText xml:space="preserve"> NUMPAGES   \* MERGEFORMAT </w:instrText>
        </w:r>
        <w:r w:rsidRPr="00A158D8">
          <w:rPr>
            <w:rFonts w:asciiTheme="minorHAnsi" w:hAnsiTheme="minorHAnsi"/>
            <w:noProof/>
          </w:rPr>
          <w:fldChar w:fldCharType="separate"/>
        </w:r>
        <w:r w:rsidR="009074B6">
          <w:rPr>
            <w:rFonts w:asciiTheme="minorHAnsi" w:hAnsiTheme="minorHAnsi"/>
            <w:noProof/>
          </w:rPr>
          <w:t>33</w:t>
        </w:r>
        <w:r w:rsidRPr="00A158D8">
          <w:rPr>
            <w:rFonts w:asciiTheme="minorHAnsi" w:hAnsiTheme="minorHAnsi"/>
            <w:noProof/>
          </w:rPr>
          <w:fldChar w:fldCharType="end"/>
        </w:r>
      </w:p>
    </w:sdtContent>
  </w:sdt>
  <w:p w:rsidR="00FB0DBD" w:rsidRPr="00113794" w:rsidRDefault="00FB0DBD" w:rsidP="00113794">
    <w:pPr>
      <w:pStyle w:val="Footer"/>
      <w:jc w:val="center"/>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634985"/>
      <w:docPartObj>
        <w:docPartGallery w:val="Page Numbers (Bottom of Page)"/>
        <w:docPartUnique/>
      </w:docPartObj>
    </w:sdtPr>
    <w:sdtEndPr>
      <w:rPr>
        <w:rFonts w:asciiTheme="minorHAnsi" w:hAnsiTheme="minorHAnsi"/>
        <w:noProof/>
      </w:rPr>
    </w:sdtEndPr>
    <w:sdtContent>
      <w:p w:rsidR="00AA73F6" w:rsidRPr="00A158D8" w:rsidRDefault="00D03613" w:rsidP="00D03613">
        <w:pPr>
          <w:pStyle w:val="Footer"/>
          <w:jc w:val="left"/>
          <w:rPr>
            <w:rFonts w:asciiTheme="minorHAnsi" w:hAnsiTheme="minorHAnsi"/>
          </w:rPr>
        </w:pPr>
        <w:r w:rsidRPr="00A158D8">
          <w:rPr>
            <w:rFonts w:asciiTheme="minorHAnsi" w:hAnsiTheme="minorHAnsi"/>
          </w:rPr>
          <w:t xml:space="preserve">Page </w:t>
        </w:r>
        <w:r w:rsidRPr="00A158D8">
          <w:rPr>
            <w:rFonts w:asciiTheme="minorHAnsi" w:hAnsiTheme="minorHAnsi"/>
          </w:rPr>
          <w:fldChar w:fldCharType="begin"/>
        </w:r>
        <w:r w:rsidRPr="00A158D8">
          <w:rPr>
            <w:rFonts w:asciiTheme="minorHAnsi" w:hAnsiTheme="minorHAnsi"/>
          </w:rPr>
          <w:instrText xml:space="preserve"> PAGE   \* MERGEFORMAT </w:instrText>
        </w:r>
        <w:r w:rsidRPr="00A158D8">
          <w:rPr>
            <w:rFonts w:asciiTheme="minorHAnsi" w:hAnsiTheme="minorHAnsi"/>
          </w:rPr>
          <w:fldChar w:fldCharType="separate"/>
        </w:r>
        <w:r w:rsidR="009074B6">
          <w:rPr>
            <w:rFonts w:asciiTheme="minorHAnsi" w:hAnsiTheme="minorHAnsi"/>
            <w:noProof/>
          </w:rPr>
          <w:t>21</w:t>
        </w:r>
        <w:r w:rsidRPr="00A158D8">
          <w:rPr>
            <w:rFonts w:asciiTheme="minorHAnsi" w:hAnsiTheme="minorHAnsi"/>
          </w:rPr>
          <w:fldChar w:fldCharType="end"/>
        </w:r>
        <w:r w:rsidRPr="00A158D8">
          <w:rPr>
            <w:rFonts w:asciiTheme="minorHAnsi" w:hAnsiTheme="minorHAnsi"/>
          </w:rPr>
          <w:t xml:space="preserve"> of </w:t>
        </w:r>
        <w:r w:rsidRPr="00A158D8">
          <w:rPr>
            <w:rFonts w:asciiTheme="minorHAnsi" w:hAnsiTheme="minorHAnsi"/>
            <w:noProof/>
          </w:rPr>
          <w:fldChar w:fldCharType="begin"/>
        </w:r>
        <w:r w:rsidRPr="00A158D8">
          <w:rPr>
            <w:rFonts w:asciiTheme="minorHAnsi" w:hAnsiTheme="minorHAnsi"/>
            <w:noProof/>
          </w:rPr>
          <w:instrText xml:space="preserve"> NUMPAGES   \* MERGEFORMAT </w:instrText>
        </w:r>
        <w:r w:rsidRPr="00A158D8">
          <w:rPr>
            <w:rFonts w:asciiTheme="minorHAnsi" w:hAnsiTheme="minorHAnsi"/>
            <w:noProof/>
          </w:rPr>
          <w:fldChar w:fldCharType="separate"/>
        </w:r>
        <w:r w:rsidR="009074B6">
          <w:rPr>
            <w:rFonts w:asciiTheme="minorHAnsi" w:hAnsiTheme="minorHAnsi"/>
            <w:noProof/>
          </w:rPr>
          <w:t>33</w:t>
        </w:r>
        <w:r w:rsidRPr="00A158D8">
          <w:rPr>
            <w:rFonts w:asciiTheme="minorHAnsi" w:hAnsiTheme="minorHAnsi"/>
            <w:noProof/>
          </w:rPr>
          <w:fldChar w:fldCharType="end"/>
        </w:r>
      </w:p>
    </w:sdtContent>
  </w:sdt>
  <w:p w:rsidR="00AA73F6" w:rsidRPr="00113794" w:rsidRDefault="00AA73F6" w:rsidP="00113794">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2F5" w:rsidRDefault="00D922F5" w:rsidP="00113794">
      <w:r>
        <w:separator/>
      </w:r>
    </w:p>
  </w:footnote>
  <w:footnote w:type="continuationSeparator" w:id="0">
    <w:p w:rsidR="00D922F5" w:rsidRDefault="00D922F5" w:rsidP="00113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A158D8">
    <w:pPr>
      <w:pStyle w:val="Header"/>
    </w:pPr>
    <w:r w:rsidRPr="00A158D8">
      <w:rPr>
        <w:rFonts w:eastAsiaTheme="minorHAnsi" w:cs="Arial"/>
        <w:b/>
        <w:bCs/>
        <w:noProof/>
        <w:color w:val="002D56"/>
        <w:sz w:val="36"/>
        <w:szCs w:val="36"/>
      </w:rPr>
      <mc:AlternateContent>
        <mc:Choice Requires="wps">
          <w:drawing>
            <wp:anchor distT="0" distB="0" distL="114300" distR="114300" simplePos="0" relativeHeight="251665408" behindDoc="1" locked="0" layoutInCell="1" allowOverlap="1" wp14:anchorId="5D4C2408" wp14:editId="4D0F33B4">
              <wp:simplePos x="0" y="0"/>
              <wp:positionH relativeFrom="page">
                <wp:align>right</wp:align>
              </wp:positionH>
              <wp:positionV relativeFrom="paragraph">
                <wp:posOffset>-266700</wp:posOffset>
              </wp:positionV>
              <wp:extent cx="7840980" cy="6953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0980" cy="695325"/>
                      </a:xfrm>
                      <a:prstGeom prst="rect">
                        <a:avLst/>
                      </a:prstGeom>
                      <a:noFill/>
                      <a:ln w="9525">
                        <a:noFill/>
                        <a:miter lim="800000"/>
                        <a:headEnd/>
                        <a:tailEnd/>
                      </a:ln>
                    </wps:spPr>
                    <wps:txbx>
                      <w:txbxContent>
                        <w:p w:rsidR="00A158D8" w:rsidRPr="00A158D8" w:rsidRDefault="00E9387D" w:rsidP="00E9387D">
                          <w:pPr>
                            <w:ind w:left="709"/>
                            <w:jc w:val="center"/>
                            <w:rPr>
                              <w:rFonts w:asciiTheme="minorHAnsi" w:hAnsiTheme="minorHAnsi"/>
                              <w:b/>
                              <w:color w:val="365F91" w:themeColor="accent1" w:themeShade="BF"/>
                              <w:sz w:val="24"/>
                            </w:rPr>
                          </w:pPr>
                          <w:r w:rsidRPr="00F71230">
                            <w:rPr>
                              <w:rFonts w:cs="Arial"/>
                              <w:sz w:val="20"/>
                              <w:szCs w:val="20"/>
                            </w:rPr>
                            <w:t>OFFICIAL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C2408" id="_x0000_t202" coordsize="21600,21600" o:spt="202" path="m,l,21600r21600,l21600,xe">
              <v:stroke joinstyle="miter"/>
              <v:path gradientshapeok="t" o:connecttype="rect"/>
            </v:shapetype>
            <v:shape id="Text Box 2" o:spid="_x0000_s1026" type="#_x0000_t202" style="position:absolute;left:0;text-align:left;margin-left:566.2pt;margin-top:-21pt;width:617.4pt;height:54.7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" filled="f" stroked="f">
              <v:textbox>
                <w:txbxContent>
                  <w:p w:rsidR="00A158D8" w:rsidRPr="00A158D8" w:rsidRDefault="00E9387D" w:rsidP="00E9387D">
                    <w:pPr>
                      <w:ind w:left="709"/>
                      <w:jc w:val="center"/>
                      <w:rPr>
                        <w:rFonts w:asciiTheme="minorHAnsi" w:hAnsiTheme="minorHAnsi"/>
                        <w:b/>
                        <w:color w:val="365F91" w:themeColor="accent1" w:themeShade="BF"/>
                        <w:sz w:val="24"/>
                      </w:rPr>
                    </w:pPr>
                    <w:r w:rsidRPr="00F71230">
                      <w:rPr>
                        <w:rFonts w:cs="Arial"/>
                        <w:sz w:val="20"/>
                        <w:szCs w:val="20"/>
                      </w:rPr>
                      <w:t>OFFICIAL</w:t>
                    </w:r>
                  </w:p>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355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A158D8">
    <w:pPr>
      <w:pStyle w:val="Header"/>
    </w:pPr>
    <w:r w:rsidRPr="005971EA">
      <w:rPr>
        <w:rFonts w:cs="Arial"/>
        <w:b/>
        <w:bCs/>
        <w:noProof/>
        <w:color w:val="002D56"/>
        <w:sz w:val="36"/>
        <w:szCs w:val="36"/>
      </w:rPr>
      <mc:AlternateContent>
        <mc:Choice Requires="wps">
          <w:drawing>
            <wp:anchor distT="0" distB="0" distL="114300" distR="114300" simplePos="0" relativeHeight="251667456" behindDoc="1" locked="0" layoutInCell="1" allowOverlap="1" wp14:anchorId="5D4C2408" wp14:editId="4D0F33B4">
              <wp:simplePos x="0" y="0"/>
              <wp:positionH relativeFrom="page">
                <wp:align>right</wp:align>
              </wp:positionH>
              <wp:positionV relativeFrom="paragraph">
                <wp:posOffset>-259080</wp:posOffset>
              </wp:positionV>
              <wp:extent cx="10927080" cy="641985"/>
              <wp:effectExtent l="0" t="0" r="0"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7080" cy="641985"/>
                      </a:xfrm>
                      <a:prstGeom prst="rect">
                        <a:avLst/>
                      </a:prstGeom>
                      <a:noFill/>
                      <a:ln w="9525">
                        <a:noFill/>
                        <a:miter lim="800000"/>
                        <a:headEnd/>
                        <a:tailEnd/>
                      </a:ln>
                    </wps:spPr>
                    <wps:txbx>
                      <w:txbxContent>
                        <w:p w:rsidR="00E9387D" w:rsidRPr="00A158D8" w:rsidRDefault="00E9387D" w:rsidP="00E9387D">
                          <w:pPr>
                            <w:ind w:left="709"/>
                            <w:jc w:val="center"/>
                            <w:rPr>
                              <w:rFonts w:asciiTheme="minorHAnsi" w:hAnsiTheme="minorHAnsi"/>
                              <w:b/>
                              <w:color w:val="365F91" w:themeColor="accent1" w:themeShade="BF"/>
                              <w:sz w:val="24"/>
                            </w:rPr>
                          </w:pPr>
                          <w:r w:rsidRPr="00F71230">
                            <w:rPr>
                              <w:rFonts w:cs="Arial"/>
                              <w:sz w:val="20"/>
                              <w:szCs w:val="20"/>
                            </w:rPr>
                            <w:t>OFFICIAL</w:t>
                          </w:r>
                        </w:p>
                        <w:p w:rsidR="00A158D8" w:rsidRPr="00A158D8" w:rsidRDefault="00A158D8" w:rsidP="00A158D8">
                          <w:pPr>
                            <w:ind w:left="709"/>
                            <w:rPr>
                              <w:rFonts w:asciiTheme="minorHAnsi" w:hAnsiTheme="minorHAnsi"/>
                              <w:b/>
                              <w:color w:val="365F91" w:themeColor="accent1" w:themeShade="B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C2408" id="_x0000_t202" coordsize="21600,21600" o:spt="202" path="m,l,21600r21600,l21600,xe">
              <v:stroke joinstyle="miter"/>
              <v:path gradientshapeok="t" o:connecttype="rect"/>
            </v:shapetype>
            <v:shape id="_x0000_s1027" type="#_x0000_t202" style="position:absolute;left:0;text-align:left;margin-left:809.2pt;margin-top:-20.4pt;width:860.4pt;height:50.5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" filled="f" stroked="f">
              <v:textbox>
                <w:txbxContent>
                  <w:p w:rsidR="00E9387D" w:rsidRPr="00A158D8" w:rsidRDefault="00E9387D" w:rsidP="00E9387D">
                    <w:pPr>
                      <w:ind w:left="709"/>
                      <w:jc w:val="center"/>
                      <w:rPr>
                        <w:rFonts w:asciiTheme="minorHAnsi" w:hAnsiTheme="minorHAnsi"/>
                        <w:b/>
                        <w:color w:val="365F91" w:themeColor="accent1" w:themeShade="BF"/>
                        <w:sz w:val="24"/>
                      </w:rPr>
                    </w:pPr>
                    <w:r w:rsidRPr="00F71230">
                      <w:rPr>
                        <w:rFonts w:cs="Arial"/>
                        <w:sz w:val="20"/>
                        <w:szCs w:val="20"/>
                      </w:rPr>
                      <w:t>OFFICIAL</w:t>
                    </w:r>
                  </w:p>
                  <w:p w:rsidR="00A158D8" w:rsidRPr="00A158D8" w:rsidRDefault="00A158D8" w:rsidP="00A158D8">
                    <w:pPr>
                      <w:ind w:left="709"/>
                      <w:rPr>
                        <w:rFonts w:asciiTheme="minorHAnsi" w:hAnsiTheme="minorHAnsi"/>
                        <w:b/>
                        <w:color w:val="365F91" w:themeColor="accent1" w:themeShade="BF"/>
                        <w:sz w:val="24"/>
                      </w:rPr>
                    </w:pPr>
                  </w:p>
                </w:txbxContent>
              </v:textbox>
              <w10:wrap anchorx="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3559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3559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A158D8">
    <w:pPr>
      <w:pStyle w:val="Header"/>
    </w:pPr>
    <w:r w:rsidRPr="005971EA">
      <w:rPr>
        <w:rFonts w:cs="Arial"/>
        <w:b/>
        <w:bCs/>
        <w:noProof/>
        <w:color w:val="002D56"/>
        <w:sz w:val="36"/>
        <w:szCs w:val="36"/>
      </w:rPr>
      <mc:AlternateContent>
        <mc:Choice Requires="wps">
          <w:drawing>
            <wp:anchor distT="0" distB="0" distL="114300" distR="114300" simplePos="0" relativeHeight="251669504" behindDoc="1" locked="0" layoutInCell="1" allowOverlap="1" wp14:anchorId="5D4C2408" wp14:editId="4D0F33B4">
              <wp:simplePos x="0" y="0"/>
              <wp:positionH relativeFrom="column">
                <wp:posOffset>-678815</wp:posOffset>
              </wp:positionH>
              <wp:positionV relativeFrom="paragraph">
                <wp:posOffset>-213995</wp:posOffset>
              </wp:positionV>
              <wp:extent cx="10896600" cy="6191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0" cy="619125"/>
                      </a:xfrm>
                      <a:prstGeom prst="rect">
                        <a:avLst/>
                      </a:prstGeom>
                      <a:noFill/>
                      <a:ln w="9525">
                        <a:noFill/>
                        <a:miter lim="800000"/>
                        <a:headEnd/>
                        <a:tailEnd/>
                      </a:ln>
                    </wps:spPr>
                    <wps:txbx>
                      <w:txbxContent>
                        <w:p w:rsidR="00E9387D" w:rsidRPr="00A158D8" w:rsidRDefault="00E9387D" w:rsidP="00E9387D">
                          <w:pPr>
                            <w:ind w:left="709"/>
                            <w:jc w:val="center"/>
                            <w:rPr>
                              <w:rFonts w:asciiTheme="minorHAnsi" w:hAnsiTheme="minorHAnsi"/>
                              <w:b/>
                              <w:color w:val="365F91" w:themeColor="accent1" w:themeShade="BF"/>
                              <w:sz w:val="24"/>
                            </w:rPr>
                          </w:pPr>
                          <w:r w:rsidRPr="00F71230">
                            <w:rPr>
                              <w:rFonts w:cs="Arial"/>
                              <w:sz w:val="20"/>
                              <w:szCs w:val="20"/>
                            </w:rPr>
                            <w:t>OFFICIAL</w:t>
                          </w:r>
                        </w:p>
                        <w:p w:rsidR="00A158D8" w:rsidRPr="00A158D8" w:rsidRDefault="00A158D8" w:rsidP="00A158D8">
                          <w:pPr>
                            <w:ind w:left="709"/>
                            <w:rPr>
                              <w:rFonts w:asciiTheme="minorHAnsi" w:hAnsiTheme="minorHAnsi"/>
                              <w:b/>
                              <w:color w:val="365F91" w:themeColor="accent1" w:themeShade="BF"/>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4C2408" id="_x0000_t202" coordsize="21600,21600" o:spt="202" path="m,l,21600r21600,l21600,xe">
              <v:stroke joinstyle="miter"/>
              <v:path gradientshapeok="t" o:connecttype="rect"/>
            </v:shapetype>
            <v:shape id="_x0000_s1028" type="#_x0000_t202" style="position:absolute;left:0;text-align:left;margin-left:-53.45pt;margin-top:-16.85pt;width:858pt;height:4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" filled="f" stroked="f">
              <v:textbox>
                <w:txbxContent>
                  <w:p w:rsidR="00E9387D" w:rsidRPr="00A158D8" w:rsidRDefault="00E9387D" w:rsidP="00E9387D">
                    <w:pPr>
                      <w:ind w:left="709"/>
                      <w:jc w:val="center"/>
                      <w:rPr>
                        <w:rFonts w:asciiTheme="minorHAnsi" w:hAnsiTheme="minorHAnsi"/>
                        <w:b/>
                        <w:color w:val="365F91" w:themeColor="accent1" w:themeShade="BF"/>
                        <w:sz w:val="24"/>
                      </w:rPr>
                    </w:pPr>
                    <w:r w:rsidRPr="00F71230">
                      <w:rPr>
                        <w:rFonts w:cs="Arial"/>
                        <w:sz w:val="20"/>
                        <w:szCs w:val="20"/>
                      </w:rPr>
                      <w:t>OFFICIAL</w:t>
                    </w:r>
                  </w:p>
                  <w:p w:rsidR="00A158D8" w:rsidRPr="00A158D8" w:rsidRDefault="00A158D8" w:rsidP="00A158D8">
                    <w:pPr>
                      <w:ind w:left="709"/>
                      <w:rPr>
                        <w:rFonts w:asciiTheme="minorHAnsi" w:hAnsiTheme="minorHAnsi"/>
                        <w:b/>
                        <w:color w:val="365F91" w:themeColor="accent1" w:themeShade="BF"/>
                        <w:sz w:val="24"/>
                      </w:rPr>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9E0" w:rsidRDefault="00355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50926"/>
    <w:multiLevelType w:val="hybridMultilevel"/>
    <w:tmpl w:val="54C2EA9C"/>
    <w:lvl w:ilvl="0" w:tplc="F01E5BAC">
      <w:start w:val="1"/>
      <w:numFmt w:val="decimal"/>
      <w:lvlText w:val="%1)"/>
      <w:lvlJc w:val="left"/>
      <w:pPr>
        <w:tabs>
          <w:tab w:val="num" w:pos="720"/>
        </w:tabs>
        <w:ind w:left="720" w:hanging="360"/>
      </w:pPr>
    </w:lvl>
    <w:lvl w:ilvl="1" w:tplc="5D5AD464" w:tentative="1">
      <w:start w:val="1"/>
      <w:numFmt w:val="decimal"/>
      <w:lvlText w:val="%2)"/>
      <w:lvlJc w:val="left"/>
      <w:pPr>
        <w:tabs>
          <w:tab w:val="num" w:pos="1440"/>
        </w:tabs>
        <w:ind w:left="1440" w:hanging="360"/>
      </w:pPr>
    </w:lvl>
    <w:lvl w:ilvl="2" w:tplc="8B084B90" w:tentative="1">
      <w:start w:val="1"/>
      <w:numFmt w:val="decimal"/>
      <w:lvlText w:val="%3)"/>
      <w:lvlJc w:val="left"/>
      <w:pPr>
        <w:tabs>
          <w:tab w:val="num" w:pos="2160"/>
        </w:tabs>
        <w:ind w:left="2160" w:hanging="360"/>
      </w:pPr>
    </w:lvl>
    <w:lvl w:ilvl="3" w:tplc="5B809C7C" w:tentative="1">
      <w:start w:val="1"/>
      <w:numFmt w:val="decimal"/>
      <w:lvlText w:val="%4)"/>
      <w:lvlJc w:val="left"/>
      <w:pPr>
        <w:tabs>
          <w:tab w:val="num" w:pos="2880"/>
        </w:tabs>
        <w:ind w:left="2880" w:hanging="360"/>
      </w:pPr>
    </w:lvl>
    <w:lvl w:ilvl="4" w:tplc="BCFC81BE" w:tentative="1">
      <w:start w:val="1"/>
      <w:numFmt w:val="decimal"/>
      <w:lvlText w:val="%5)"/>
      <w:lvlJc w:val="left"/>
      <w:pPr>
        <w:tabs>
          <w:tab w:val="num" w:pos="3600"/>
        </w:tabs>
        <w:ind w:left="3600" w:hanging="360"/>
      </w:pPr>
    </w:lvl>
    <w:lvl w:ilvl="5" w:tplc="B94C1120" w:tentative="1">
      <w:start w:val="1"/>
      <w:numFmt w:val="decimal"/>
      <w:lvlText w:val="%6)"/>
      <w:lvlJc w:val="left"/>
      <w:pPr>
        <w:tabs>
          <w:tab w:val="num" w:pos="4320"/>
        </w:tabs>
        <w:ind w:left="4320" w:hanging="360"/>
      </w:pPr>
    </w:lvl>
    <w:lvl w:ilvl="6" w:tplc="3B4C56DE" w:tentative="1">
      <w:start w:val="1"/>
      <w:numFmt w:val="decimal"/>
      <w:lvlText w:val="%7)"/>
      <w:lvlJc w:val="left"/>
      <w:pPr>
        <w:tabs>
          <w:tab w:val="num" w:pos="5040"/>
        </w:tabs>
        <w:ind w:left="5040" w:hanging="360"/>
      </w:pPr>
    </w:lvl>
    <w:lvl w:ilvl="7" w:tplc="16F89896" w:tentative="1">
      <w:start w:val="1"/>
      <w:numFmt w:val="decimal"/>
      <w:lvlText w:val="%8)"/>
      <w:lvlJc w:val="left"/>
      <w:pPr>
        <w:tabs>
          <w:tab w:val="num" w:pos="5760"/>
        </w:tabs>
        <w:ind w:left="5760" w:hanging="360"/>
      </w:pPr>
    </w:lvl>
    <w:lvl w:ilvl="8" w:tplc="38D233F8" w:tentative="1">
      <w:start w:val="1"/>
      <w:numFmt w:val="decimal"/>
      <w:lvlText w:val="%9)"/>
      <w:lvlJc w:val="left"/>
      <w:pPr>
        <w:tabs>
          <w:tab w:val="num" w:pos="6480"/>
        </w:tabs>
        <w:ind w:left="6480" w:hanging="360"/>
      </w:pPr>
    </w:lvl>
  </w:abstractNum>
  <w:abstractNum w:abstractNumId="1" w15:restartNumberingAfterBreak="0">
    <w:nsid w:val="14081DCC"/>
    <w:multiLevelType w:val="hybridMultilevel"/>
    <w:tmpl w:val="B1C8BB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270A59"/>
    <w:multiLevelType w:val="multilevel"/>
    <w:tmpl w:val="9750805C"/>
    <w:lvl w:ilvl="0">
      <w:start w:val="1"/>
      <w:numFmt w:val="decimal"/>
      <w:pStyle w:val="Heading1"/>
      <w:lvlText w:val="%1."/>
      <w:lvlJc w:val="left"/>
      <w:pPr>
        <w:ind w:left="644" w:hanging="360"/>
      </w:pPr>
      <w:rPr>
        <w:rFonts w:hint="default"/>
        <w:i w:val="0"/>
        <w:color w:val="000000" w:themeColor="text1"/>
        <w:sz w:val="48"/>
        <w:szCs w:val="28"/>
      </w:rPr>
    </w:lvl>
    <w:lvl w:ilvl="1">
      <w:start w:val="1"/>
      <w:numFmt w:val="decimal"/>
      <w:pStyle w:val="Heading2"/>
      <w:lvlText w:val="%1.%2"/>
      <w:lvlJc w:val="left"/>
      <w:pPr>
        <w:ind w:left="576" w:hanging="576"/>
      </w:pPr>
      <w:rPr>
        <w:i w:val="0"/>
        <w:color w:val="auto"/>
        <w:sz w:val="40"/>
        <w:szCs w:val="40"/>
      </w:rPr>
    </w:lvl>
    <w:lvl w:ilvl="2">
      <w:start w:val="1"/>
      <w:numFmt w:val="decimal"/>
      <w:pStyle w:val="Heading3"/>
      <w:lvlText w:val="%1.%2.%3"/>
      <w:lvlJc w:val="left"/>
      <w:pPr>
        <w:ind w:left="1004" w:hanging="720"/>
      </w:pPr>
      <w:rPr>
        <w:b/>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54D6EE6"/>
    <w:multiLevelType w:val="multilevel"/>
    <w:tmpl w:val="6B6456FA"/>
    <w:styleLink w:val="111111"/>
    <w:lvl w:ilvl="0">
      <w:start w:val="1"/>
      <w:numFmt w:val="decimal"/>
      <w:lvlText w:val="%1.0"/>
      <w:lvlJc w:val="left"/>
      <w:pPr>
        <w:tabs>
          <w:tab w:val="num" w:pos="851"/>
        </w:tabs>
        <w:ind w:left="851" w:hanging="491"/>
      </w:pPr>
      <w:rPr>
        <w:rFonts w:hint="default"/>
        <w:sz w:val="24"/>
        <w:szCs w:val="24"/>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008"/>
        </w:tabs>
        <w:ind w:left="1576"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46A279B3"/>
    <w:multiLevelType w:val="multilevel"/>
    <w:tmpl w:val="316E960E"/>
    <w:lvl w:ilvl="0">
      <w:start w:val="1"/>
      <w:numFmt w:val="decimal"/>
      <w:lvlText w:val="%1.0"/>
      <w:lvlJc w:val="left"/>
      <w:pPr>
        <w:ind w:left="720" w:hanging="720"/>
      </w:pPr>
      <w:rPr>
        <w:strike w:val="0"/>
        <w:dstrike w:val="0"/>
        <w:u w:val="none"/>
        <w:effect w:val="none"/>
      </w:rPr>
    </w:lvl>
    <w:lvl w:ilvl="1">
      <w:start w:val="1"/>
      <w:numFmt w:val="decimal"/>
      <w:lvlText w:val="%1.%2"/>
      <w:lvlJc w:val="left"/>
      <w:pPr>
        <w:ind w:left="1440" w:hanging="720"/>
      </w:pPr>
      <w:rPr>
        <w:strike w:val="0"/>
        <w:dstrike w:val="0"/>
        <w:u w:val="none"/>
        <w:effect w:val="none"/>
      </w:rPr>
    </w:lvl>
    <w:lvl w:ilvl="2">
      <w:start w:val="1"/>
      <w:numFmt w:val="decimal"/>
      <w:lvlText w:val="%1.%2.%3"/>
      <w:lvlJc w:val="left"/>
      <w:pPr>
        <w:ind w:left="2160" w:hanging="720"/>
      </w:pPr>
      <w:rPr>
        <w:strike w:val="0"/>
        <w:dstrike w:val="0"/>
        <w:u w:val="none"/>
        <w:effect w:val="none"/>
      </w:rPr>
    </w:lvl>
    <w:lvl w:ilvl="3">
      <w:start w:val="1"/>
      <w:numFmt w:val="decimal"/>
      <w:lvlText w:val="%1.%2.%3.%4"/>
      <w:lvlJc w:val="left"/>
      <w:pPr>
        <w:ind w:left="3240" w:hanging="1080"/>
      </w:pPr>
      <w:rPr>
        <w:strike w:val="0"/>
        <w:dstrike w:val="0"/>
        <w:u w:val="none"/>
        <w:effect w:val="none"/>
      </w:rPr>
    </w:lvl>
    <w:lvl w:ilvl="4">
      <w:start w:val="1"/>
      <w:numFmt w:val="decimal"/>
      <w:lvlText w:val="%1.%2.%3.%4.%5"/>
      <w:lvlJc w:val="left"/>
      <w:pPr>
        <w:ind w:left="3960" w:hanging="1080"/>
      </w:pPr>
      <w:rPr>
        <w:strike w:val="0"/>
        <w:dstrike w:val="0"/>
        <w:u w:val="none"/>
        <w:effect w:val="none"/>
      </w:rPr>
    </w:lvl>
    <w:lvl w:ilvl="5">
      <w:start w:val="1"/>
      <w:numFmt w:val="decimal"/>
      <w:lvlText w:val="%1.%2.%3.%4.%5.%6"/>
      <w:lvlJc w:val="left"/>
      <w:pPr>
        <w:ind w:left="5040" w:hanging="1440"/>
      </w:pPr>
      <w:rPr>
        <w:strike w:val="0"/>
        <w:dstrike w:val="0"/>
        <w:u w:val="none"/>
        <w:effect w:val="none"/>
      </w:rPr>
    </w:lvl>
    <w:lvl w:ilvl="6">
      <w:start w:val="1"/>
      <w:numFmt w:val="decimal"/>
      <w:lvlText w:val="%1.%2.%3.%4.%5.%6.%7"/>
      <w:lvlJc w:val="left"/>
      <w:pPr>
        <w:ind w:left="5760" w:hanging="1440"/>
      </w:pPr>
      <w:rPr>
        <w:strike w:val="0"/>
        <w:dstrike w:val="0"/>
        <w:u w:val="none"/>
        <w:effect w:val="none"/>
      </w:rPr>
    </w:lvl>
    <w:lvl w:ilvl="7">
      <w:start w:val="1"/>
      <w:numFmt w:val="decimal"/>
      <w:lvlText w:val="%1.%2.%3.%4.%5.%6.%7.%8"/>
      <w:lvlJc w:val="left"/>
      <w:pPr>
        <w:ind w:left="6840" w:hanging="1800"/>
      </w:pPr>
      <w:rPr>
        <w:strike w:val="0"/>
        <w:dstrike w:val="0"/>
        <w:u w:val="none"/>
        <w:effect w:val="none"/>
      </w:rPr>
    </w:lvl>
    <w:lvl w:ilvl="8">
      <w:start w:val="1"/>
      <w:numFmt w:val="decimal"/>
      <w:lvlText w:val="%1.%2.%3.%4.%5.%6.%7.%8.%9"/>
      <w:lvlJc w:val="left"/>
      <w:pPr>
        <w:ind w:left="7560" w:hanging="1800"/>
      </w:pPr>
      <w:rPr>
        <w:strike w:val="0"/>
        <w:dstrike w:val="0"/>
        <w:u w:val="none"/>
        <w:effect w:val="none"/>
      </w:rPr>
    </w:lvl>
  </w:abstractNum>
  <w:abstractNum w:abstractNumId="5" w15:restartNumberingAfterBreak="0">
    <w:nsid w:val="5A774898"/>
    <w:multiLevelType w:val="hybridMultilevel"/>
    <w:tmpl w:val="761801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B84F2B"/>
    <w:multiLevelType w:val="multilevel"/>
    <w:tmpl w:val="A9EC52E2"/>
    <w:lvl w:ilvl="0">
      <w:start w:val="1"/>
      <w:numFmt w:val="decimal"/>
      <w:pStyle w:val="StyleBodyText12pt"/>
      <w:lvlText w:val="%1."/>
      <w:lvlJc w:val="left"/>
      <w:pPr>
        <w:tabs>
          <w:tab w:val="num" w:pos="432"/>
        </w:tabs>
        <w:ind w:left="432" w:hanging="432"/>
      </w:pPr>
      <w:rPr>
        <w:rFonts w:ascii="Arial" w:hAnsi="Arial" w:hint="default"/>
        <w:b/>
        <w:i w:val="0"/>
        <w:sz w:val="24"/>
        <w:szCs w:val="24"/>
      </w:rPr>
    </w:lvl>
    <w:lvl w:ilvl="1">
      <w:numFmt w:val="decimal"/>
      <w:pStyle w:val="BodyText"/>
      <w:lvlText w:val="%1.%2"/>
      <w:lvlJc w:val="left"/>
      <w:pPr>
        <w:tabs>
          <w:tab w:val="num" w:pos="576"/>
        </w:tabs>
        <w:ind w:left="576" w:hanging="576"/>
      </w:pPr>
      <w:rPr>
        <w:rFonts w:ascii="Arial" w:hAnsi="Arial"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A9F68A8"/>
    <w:multiLevelType w:val="hybridMultilevel"/>
    <w:tmpl w:val="90F0CDC8"/>
    <w:lvl w:ilvl="0" w:tplc="F90CE8F2">
      <w:start w:val="1"/>
      <w:numFmt w:val="bullet"/>
      <w:lvlText w:val="•"/>
      <w:lvlJc w:val="left"/>
      <w:pPr>
        <w:tabs>
          <w:tab w:val="num" w:pos="720"/>
        </w:tabs>
        <w:ind w:left="720" w:hanging="360"/>
      </w:pPr>
      <w:rPr>
        <w:rFonts w:ascii="Times New Roman" w:hAnsi="Times New Roman" w:hint="default"/>
      </w:rPr>
    </w:lvl>
    <w:lvl w:ilvl="1" w:tplc="4E4C3E48" w:tentative="1">
      <w:start w:val="1"/>
      <w:numFmt w:val="bullet"/>
      <w:lvlText w:val="•"/>
      <w:lvlJc w:val="left"/>
      <w:pPr>
        <w:tabs>
          <w:tab w:val="num" w:pos="1440"/>
        </w:tabs>
        <w:ind w:left="1440" w:hanging="360"/>
      </w:pPr>
      <w:rPr>
        <w:rFonts w:ascii="Times New Roman" w:hAnsi="Times New Roman" w:hint="default"/>
      </w:rPr>
    </w:lvl>
    <w:lvl w:ilvl="2" w:tplc="A2ECEB1C" w:tentative="1">
      <w:start w:val="1"/>
      <w:numFmt w:val="bullet"/>
      <w:lvlText w:val="•"/>
      <w:lvlJc w:val="left"/>
      <w:pPr>
        <w:tabs>
          <w:tab w:val="num" w:pos="2160"/>
        </w:tabs>
        <w:ind w:left="2160" w:hanging="360"/>
      </w:pPr>
      <w:rPr>
        <w:rFonts w:ascii="Times New Roman" w:hAnsi="Times New Roman" w:hint="default"/>
      </w:rPr>
    </w:lvl>
    <w:lvl w:ilvl="3" w:tplc="4CFA972E" w:tentative="1">
      <w:start w:val="1"/>
      <w:numFmt w:val="bullet"/>
      <w:lvlText w:val="•"/>
      <w:lvlJc w:val="left"/>
      <w:pPr>
        <w:tabs>
          <w:tab w:val="num" w:pos="2880"/>
        </w:tabs>
        <w:ind w:left="2880" w:hanging="360"/>
      </w:pPr>
      <w:rPr>
        <w:rFonts w:ascii="Times New Roman" w:hAnsi="Times New Roman" w:hint="default"/>
      </w:rPr>
    </w:lvl>
    <w:lvl w:ilvl="4" w:tplc="6C382EFC" w:tentative="1">
      <w:start w:val="1"/>
      <w:numFmt w:val="bullet"/>
      <w:lvlText w:val="•"/>
      <w:lvlJc w:val="left"/>
      <w:pPr>
        <w:tabs>
          <w:tab w:val="num" w:pos="3600"/>
        </w:tabs>
        <w:ind w:left="3600" w:hanging="360"/>
      </w:pPr>
      <w:rPr>
        <w:rFonts w:ascii="Times New Roman" w:hAnsi="Times New Roman" w:hint="default"/>
      </w:rPr>
    </w:lvl>
    <w:lvl w:ilvl="5" w:tplc="DAB0234E" w:tentative="1">
      <w:start w:val="1"/>
      <w:numFmt w:val="bullet"/>
      <w:lvlText w:val="•"/>
      <w:lvlJc w:val="left"/>
      <w:pPr>
        <w:tabs>
          <w:tab w:val="num" w:pos="4320"/>
        </w:tabs>
        <w:ind w:left="4320" w:hanging="360"/>
      </w:pPr>
      <w:rPr>
        <w:rFonts w:ascii="Times New Roman" w:hAnsi="Times New Roman" w:hint="default"/>
      </w:rPr>
    </w:lvl>
    <w:lvl w:ilvl="6" w:tplc="E48419EE" w:tentative="1">
      <w:start w:val="1"/>
      <w:numFmt w:val="bullet"/>
      <w:lvlText w:val="•"/>
      <w:lvlJc w:val="left"/>
      <w:pPr>
        <w:tabs>
          <w:tab w:val="num" w:pos="5040"/>
        </w:tabs>
        <w:ind w:left="5040" w:hanging="360"/>
      </w:pPr>
      <w:rPr>
        <w:rFonts w:ascii="Times New Roman" w:hAnsi="Times New Roman" w:hint="default"/>
      </w:rPr>
    </w:lvl>
    <w:lvl w:ilvl="7" w:tplc="13867766" w:tentative="1">
      <w:start w:val="1"/>
      <w:numFmt w:val="bullet"/>
      <w:lvlText w:val="•"/>
      <w:lvlJc w:val="left"/>
      <w:pPr>
        <w:tabs>
          <w:tab w:val="num" w:pos="5760"/>
        </w:tabs>
        <w:ind w:left="5760" w:hanging="360"/>
      </w:pPr>
      <w:rPr>
        <w:rFonts w:ascii="Times New Roman" w:hAnsi="Times New Roman" w:hint="default"/>
      </w:rPr>
    </w:lvl>
    <w:lvl w:ilvl="8" w:tplc="FBB864C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6"/>
  </w:num>
  <w:num w:numId="3">
    <w:abstractNumId w:val="2"/>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
  </w:num>
  <w:num w:numId="9">
    <w:abstractNumId w:val="5"/>
  </w:num>
  <w:num w:numId="1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BED"/>
    <w:rsid w:val="00000488"/>
    <w:rsid w:val="00000707"/>
    <w:rsid w:val="00002477"/>
    <w:rsid w:val="00002764"/>
    <w:rsid w:val="000033A1"/>
    <w:rsid w:val="00003767"/>
    <w:rsid w:val="0000664D"/>
    <w:rsid w:val="00006953"/>
    <w:rsid w:val="000121AD"/>
    <w:rsid w:val="000128F3"/>
    <w:rsid w:val="0001350C"/>
    <w:rsid w:val="00014638"/>
    <w:rsid w:val="00014CF2"/>
    <w:rsid w:val="00014D47"/>
    <w:rsid w:val="00015517"/>
    <w:rsid w:val="00015D9A"/>
    <w:rsid w:val="000163C4"/>
    <w:rsid w:val="00017501"/>
    <w:rsid w:val="000175F8"/>
    <w:rsid w:val="00020237"/>
    <w:rsid w:val="0002195F"/>
    <w:rsid w:val="00024B15"/>
    <w:rsid w:val="00024CBF"/>
    <w:rsid w:val="00026538"/>
    <w:rsid w:val="00026A02"/>
    <w:rsid w:val="00027207"/>
    <w:rsid w:val="00027996"/>
    <w:rsid w:val="00027AAA"/>
    <w:rsid w:val="00030890"/>
    <w:rsid w:val="00030A9A"/>
    <w:rsid w:val="00030FEF"/>
    <w:rsid w:val="00031880"/>
    <w:rsid w:val="000327BC"/>
    <w:rsid w:val="000338F2"/>
    <w:rsid w:val="00033BB7"/>
    <w:rsid w:val="00034AD1"/>
    <w:rsid w:val="00035B3F"/>
    <w:rsid w:val="0003698A"/>
    <w:rsid w:val="00036E1C"/>
    <w:rsid w:val="000373B8"/>
    <w:rsid w:val="00041910"/>
    <w:rsid w:val="000426D2"/>
    <w:rsid w:val="00042C68"/>
    <w:rsid w:val="00043457"/>
    <w:rsid w:val="00043DA9"/>
    <w:rsid w:val="000443B4"/>
    <w:rsid w:val="000443F1"/>
    <w:rsid w:val="00044447"/>
    <w:rsid w:val="00045471"/>
    <w:rsid w:val="00046656"/>
    <w:rsid w:val="00047487"/>
    <w:rsid w:val="00052678"/>
    <w:rsid w:val="00052D5B"/>
    <w:rsid w:val="0005344F"/>
    <w:rsid w:val="00055A45"/>
    <w:rsid w:val="000573B0"/>
    <w:rsid w:val="000600A4"/>
    <w:rsid w:val="000613B7"/>
    <w:rsid w:val="00062D53"/>
    <w:rsid w:val="000630EE"/>
    <w:rsid w:val="000635F7"/>
    <w:rsid w:val="00063C3D"/>
    <w:rsid w:val="00063E82"/>
    <w:rsid w:val="00064EE5"/>
    <w:rsid w:val="00064F9E"/>
    <w:rsid w:val="0006514C"/>
    <w:rsid w:val="00065B7F"/>
    <w:rsid w:val="00066105"/>
    <w:rsid w:val="00067275"/>
    <w:rsid w:val="0006741F"/>
    <w:rsid w:val="0007136C"/>
    <w:rsid w:val="00071588"/>
    <w:rsid w:val="00072B81"/>
    <w:rsid w:val="00072BC7"/>
    <w:rsid w:val="000741CF"/>
    <w:rsid w:val="00076646"/>
    <w:rsid w:val="0007782A"/>
    <w:rsid w:val="000779A1"/>
    <w:rsid w:val="00077CA2"/>
    <w:rsid w:val="000805D9"/>
    <w:rsid w:val="00080A8F"/>
    <w:rsid w:val="00081B4C"/>
    <w:rsid w:val="00083234"/>
    <w:rsid w:val="000835D1"/>
    <w:rsid w:val="00084732"/>
    <w:rsid w:val="00085E3C"/>
    <w:rsid w:val="0008639E"/>
    <w:rsid w:val="000863BF"/>
    <w:rsid w:val="00086D9D"/>
    <w:rsid w:val="00087AB4"/>
    <w:rsid w:val="00093710"/>
    <w:rsid w:val="00094A94"/>
    <w:rsid w:val="00095449"/>
    <w:rsid w:val="000974F5"/>
    <w:rsid w:val="00097E44"/>
    <w:rsid w:val="00097EA4"/>
    <w:rsid w:val="000A0D45"/>
    <w:rsid w:val="000A0FE4"/>
    <w:rsid w:val="000A2C18"/>
    <w:rsid w:val="000A328C"/>
    <w:rsid w:val="000A3DE3"/>
    <w:rsid w:val="000A42AE"/>
    <w:rsid w:val="000A6693"/>
    <w:rsid w:val="000A71C0"/>
    <w:rsid w:val="000A7D2D"/>
    <w:rsid w:val="000B143E"/>
    <w:rsid w:val="000B2524"/>
    <w:rsid w:val="000B301C"/>
    <w:rsid w:val="000B39E7"/>
    <w:rsid w:val="000B5FB6"/>
    <w:rsid w:val="000B6354"/>
    <w:rsid w:val="000C028A"/>
    <w:rsid w:val="000C0969"/>
    <w:rsid w:val="000C239D"/>
    <w:rsid w:val="000C27C1"/>
    <w:rsid w:val="000C2BB0"/>
    <w:rsid w:val="000C3233"/>
    <w:rsid w:val="000C37BD"/>
    <w:rsid w:val="000C3983"/>
    <w:rsid w:val="000C52CD"/>
    <w:rsid w:val="000C5BBA"/>
    <w:rsid w:val="000C5F29"/>
    <w:rsid w:val="000C6928"/>
    <w:rsid w:val="000D1295"/>
    <w:rsid w:val="000D25F2"/>
    <w:rsid w:val="000D2939"/>
    <w:rsid w:val="000D32D2"/>
    <w:rsid w:val="000D3FF3"/>
    <w:rsid w:val="000D441D"/>
    <w:rsid w:val="000D4707"/>
    <w:rsid w:val="000E0D87"/>
    <w:rsid w:val="000E0F61"/>
    <w:rsid w:val="000E157F"/>
    <w:rsid w:val="000E1B25"/>
    <w:rsid w:val="000E4476"/>
    <w:rsid w:val="000E4A7F"/>
    <w:rsid w:val="000E4C7A"/>
    <w:rsid w:val="000E5C9B"/>
    <w:rsid w:val="000E7AEB"/>
    <w:rsid w:val="000F062E"/>
    <w:rsid w:val="000F0AF2"/>
    <w:rsid w:val="000F1F65"/>
    <w:rsid w:val="000F48C5"/>
    <w:rsid w:val="000F5151"/>
    <w:rsid w:val="000F61FB"/>
    <w:rsid w:val="000F6291"/>
    <w:rsid w:val="000F6494"/>
    <w:rsid w:val="000F7924"/>
    <w:rsid w:val="00101C5E"/>
    <w:rsid w:val="00101F4E"/>
    <w:rsid w:val="00102635"/>
    <w:rsid w:val="001032C3"/>
    <w:rsid w:val="001035D5"/>
    <w:rsid w:val="00104AB8"/>
    <w:rsid w:val="0010503F"/>
    <w:rsid w:val="00105058"/>
    <w:rsid w:val="001056BA"/>
    <w:rsid w:val="001058C7"/>
    <w:rsid w:val="001063E5"/>
    <w:rsid w:val="00106CEB"/>
    <w:rsid w:val="001104E5"/>
    <w:rsid w:val="001117AD"/>
    <w:rsid w:val="00111D9C"/>
    <w:rsid w:val="00113794"/>
    <w:rsid w:val="00114374"/>
    <w:rsid w:val="00114D44"/>
    <w:rsid w:val="001150DC"/>
    <w:rsid w:val="0011737B"/>
    <w:rsid w:val="00117AFF"/>
    <w:rsid w:val="00120719"/>
    <w:rsid w:val="001220EB"/>
    <w:rsid w:val="00122456"/>
    <w:rsid w:val="00122667"/>
    <w:rsid w:val="001230D6"/>
    <w:rsid w:val="0012368E"/>
    <w:rsid w:val="00123EA8"/>
    <w:rsid w:val="00123F88"/>
    <w:rsid w:val="001240A2"/>
    <w:rsid w:val="00124BBC"/>
    <w:rsid w:val="00125377"/>
    <w:rsid w:val="00126487"/>
    <w:rsid w:val="001305C7"/>
    <w:rsid w:val="001318C9"/>
    <w:rsid w:val="0013213D"/>
    <w:rsid w:val="001327A2"/>
    <w:rsid w:val="00135216"/>
    <w:rsid w:val="00135443"/>
    <w:rsid w:val="0013597C"/>
    <w:rsid w:val="00135F85"/>
    <w:rsid w:val="001363C8"/>
    <w:rsid w:val="00136E42"/>
    <w:rsid w:val="00136F9C"/>
    <w:rsid w:val="001372AB"/>
    <w:rsid w:val="00137F6C"/>
    <w:rsid w:val="00140F21"/>
    <w:rsid w:val="001435AA"/>
    <w:rsid w:val="001436ED"/>
    <w:rsid w:val="00144FE0"/>
    <w:rsid w:val="00145520"/>
    <w:rsid w:val="00145B1E"/>
    <w:rsid w:val="00145C8C"/>
    <w:rsid w:val="00145F34"/>
    <w:rsid w:val="001462D3"/>
    <w:rsid w:val="00146B82"/>
    <w:rsid w:val="001474E1"/>
    <w:rsid w:val="00147960"/>
    <w:rsid w:val="00147F07"/>
    <w:rsid w:val="00150465"/>
    <w:rsid w:val="00150B71"/>
    <w:rsid w:val="001518B9"/>
    <w:rsid w:val="001522C3"/>
    <w:rsid w:val="001524F4"/>
    <w:rsid w:val="00153448"/>
    <w:rsid w:val="0015443F"/>
    <w:rsid w:val="00154A37"/>
    <w:rsid w:val="00154B05"/>
    <w:rsid w:val="001550BA"/>
    <w:rsid w:val="00155187"/>
    <w:rsid w:val="0015615D"/>
    <w:rsid w:val="001573DF"/>
    <w:rsid w:val="001577F5"/>
    <w:rsid w:val="001578A3"/>
    <w:rsid w:val="001600FB"/>
    <w:rsid w:val="00160636"/>
    <w:rsid w:val="00160FF9"/>
    <w:rsid w:val="001625E1"/>
    <w:rsid w:val="00163C97"/>
    <w:rsid w:val="00164EA0"/>
    <w:rsid w:val="00166166"/>
    <w:rsid w:val="00167E1B"/>
    <w:rsid w:val="00170AC1"/>
    <w:rsid w:val="00171E41"/>
    <w:rsid w:val="001723D5"/>
    <w:rsid w:val="00172C19"/>
    <w:rsid w:val="00172C21"/>
    <w:rsid w:val="0017444B"/>
    <w:rsid w:val="001809F0"/>
    <w:rsid w:val="00181412"/>
    <w:rsid w:val="00182F9A"/>
    <w:rsid w:val="001832C3"/>
    <w:rsid w:val="0018448D"/>
    <w:rsid w:val="00186961"/>
    <w:rsid w:val="00187740"/>
    <w:rsid w:val="0018790D"/>
    <w:rsid w:val="00187BC6"/>
    <w:rsid w:val="001908A8"/>
    <w:rsid w:val="001930A2"/>
    <w:rsid w:val="00193354"/>
    <w:rsid w:val="00196F17"/>
    <w:rsid w:val="00197BF9"/>
    <w:rsid w:val="001A0CE5"/>
    <w:rsid w:val="001A14BD"/>
    <w:rsid w:val="001A1991"/>
    <w:rsid w:val="001A33A9"/>
    <w:rsid w:val="001A37F4"/>
    <w:rsid w:val="001A46F1"/>
    <w:rsid w:val="001A4A71"/>
    <w:rsid w:val="001A5046"/>
    <w:rsid w:val="001A5920"/>
    <w:rsid w:val="001A5B25"/>
    <w:rsid w:val="001A5BA4"/>
    <w:rsid w:val="001A620B"/>
    <w:rsid w:val="001A6D67"/>
    <w:rsid w:val="001A71CE"/>
    <w:rsid w:val="001B0000"/>
    <w:rsid w:val="001B05E8"/>
    <w:rsid w:val="001B1003"/>
    <w:rsid w:val="001B1D38"/>
    <w:rsid w:val="001B21E7"/>
    <w:rsid w:val="001B2A0F"/>
    <w:rsid w:val="001B30DC"/>
    <w:rsid w:val="001B3DFD"/>
    <w:rsid w:val="001B4C24"/>
    <w:rsid w:val="001B503A"/>
    <w:rsid w:val="001B7C70"/>
    <w:rsid w:val="001C08FA"/>
    <w:rsid w:val="001C35EA"/>
    <w:rsid w:val="001C66EF"/>
    <w:rsid w:val="001C6B6B"/>
    <w:rsid w:val="001D02BD"/>
    <w:rsid w:val="001D0E20"/>
    <w:rsid w:val="001D1A08"/>
    <w:rsid w:val="001D2172"/>
    <w:rsid w:val="001D2409"/>
    <w:rsid w:val="001D2D7C"/>
    <w:rsid w:val="001D2F97"/>
    <w:rsid w:val="001D3A61"/>
    <w:rsid w:val="001D5374"/>
    <w:rsid w:val="001D56A6"/>
    <w:rsid w:val="001D6123"/>
    <w:rsid w:val="001D6576"/>
    <w:rsid w:val="001D6905"/>
    <w:rsid w:val="001D7488"/>
    <w:rsid w:val="001D7C55"/>
    <w:rsid w:val="001E2E03"/>
    <w:rsid w:val="001E3791"/>
    <w:rsid w:val="001E4834"/>
    <w:rsid w:val="001E58DF"/>
    <w:rsid w:val="001E6992"/>
    <w:rsid w:val="001E7111"/>
    <w:rsid w:val="001E719A"/>
    <w:rsid w:val="001F0649"/>
    <w:rsid w:val="001F2334"/>
    <w:rsid w:val="001F2362"/>
    <w:rsid w:val="001F251F"/>
    <w:rsid w:val="001F2722"/>
    <w:rsid w:val="001F2E5F"/>
    <w:rsid w:val="001F2F70"/>
    <w:rsid w:val="001F33F9"/>
    <w:rsid w:val="001F3ECE"/>
    <w:rsid w:val="001F5633"/>
    <w:rsid w:val="001F5936"/>
    <w:rsid w:val="001F5D87"/>
    <w:rsid w:val="001F5E27"/>
    <w:rsid w:val="001F5FC0"/>
    <w:rsid w:val="001F7477"/>
    <w:rsid w:val="001F762C"/>
    <w:rsid w:val="001F7CC3"/>
    <w:rsid w:val="001F7EE8"/>
    <w:rsid w:val="00200283"/>
    <w:rsid w:val="002003D0"/>
    <w:rsid w:val="00200CD0"/>
    <w:rsid w:val="0020132F"/>
    <w:rsid w:val="00202CE9"/>
    <w:rsid w:val="002031DC"/>
    <w:rsid w:val="00203A22"/>
    <w:rsid w:val="00204626"/>
    <w:rsid w:val="002051B8"/>
    <w:rsid w:val="002054E6"/>
    <w:rsid w:val="00206D85"/>
    <w:rsid w:val="0020758C"/>
    <w:rsid w:val="00210729"/>
    <w:rsid w:val="00212088"/>
    <w:rsid w:val="002121CE"/>
    <w:rsid w:val="002133F3"/>
    <w:rsid w:val="002149E8"/>
    <w:rsid w:val="00214B5C"/>
    <w:rsid w:val="00217656"/>
    <w:rsid w:val="00221707"/>
    <w:rsid w:val="00223EAC"/>
    <w:rsid w:val="00224042"/>
    <w:rsid w:val="0022541A"/>
    <w:rsid w:val="00225B8D"/>
    <w:rsid w:val="00227E7E"/>
    <w:rsid w:val="00230AB7"/>
    <w:rsid w:val="00232FC8"/>
    <w:rsid w:val="002359FB"/>
    <w:rsid w:val="00236386"/>
    <w:rsid w:val="00237913"/>
    <w:rsid w:val="00237F9B"/>
    <w:rsid w:val="00240228"/>
    <w:rsid w:val="002428E0"/>
    <w:rsid w:val="00242D1C"/>
    <w:rsid w:val="002430F4"/>
    <w:rsid w:val="0024352A"/>
    <w:rsid w:val="002439BB"/>
    <w:rsid w:val="00244691"/>
    <w:rsid w:val="00244999"/>
    <w:rsid w:val="002459BF"/>
    <w:rsid w:val="00245B2C"/>
    <w:rsid w:val="0024647F"/>
    <w:rsid w:val="0024699F"/>
    <w:rsid w:val="00250AD0"/>
    <w:rsid w:val="002515E0"/>
    <w:rsid w:val="002518C7"/>
    <w:rsid w:val="00253B39"/>
    <w:rsid w:val="00254440"/>
    <w:rsid w:val="00255811"/>
    <w:rsid w:val="00255E3A"/>
    <w:rsid w:val="00256497"/>
    <w:rsid w:val="00256851"/>
    <w:rsid w:val="00256B3A"/>
    <w:rsid w:val="00256DE4"/>
    <w:rsid w:val="00257347"/>
    <w:rsid w:val="00262FB3"/>
    <w:rsid w:val="0026393E"/>
    <w:rsid w:val="00263DAF"/>
    <w:rsid w:val="0026558D"/>
    <w:rsid w:val="00265FA2"/>
    <w:rsid w:val="002661DF"/>
    <w:rsid w:val="00267718"/>
    <w:rsid w:val="0027033E"/>
    <w:rsid w:val="002709FB"/>
    <w:rsid w:val="00270A1B"/>
    <w:rsid w:val="00270E41"/>
    <w:rsid w:val="002736D0"/>
    <w:rsid w:val="0027381B"/>
    <w:rsid w:val="002767F0"/>
    <w:rsid w:val="00277723"/>
    <w:rsid w:val="00280289"/>
    <w:rsid w:val="002818E0"/>
    <w:rsid w:val="00282C59"/>
    <w:rsid w:val="00284655"/>
    <w:rsid w:val="00284E94"/>
    <w:rsid w:val="0028520E"/>
    <w:rsid w:val="0028638D"/>
    <w:rsid w:val="00286607"/>
    <w:rsid w:val="00286F7B"/>
    <w:rsid w:val="0029078B"/>
    <w:rsid w:val="00291C34"/>
    <w:rsid w:val="00291E5D"/>
    <w:rsid w:val="002920A5"/>
    <w:rsid w:val="002962B2"/>
    <w:rsid w:val="00296960"/>
    <w:rsid w:val="00297EA1"/>
    <w:rsid w:val="002A1707"/>
    <w:rsid w:val="002A1E03"/>
    <w:rsid w:val="002A1F12"/>
    <w:rsid w:val="002A2134"/>
    <w:rsid w:val="002A2644"/>
    <w:rsid w:val="002A300A"/>
    <w:rsid w:val="002A407F"/>
    <w:rsid w:val="002A44E1"/>
    <w:rsid w:val="002A53EC"/>
    <w:rsid w:val="002A55C9"/>
    <w:rsid w:val="002A57FD"/>
    <w:rsid w:val="002A6CD9"/>
    <w:rsid w:val="002A6CFC"/>
    <w:rsid w:val="002B129F"/>
    <w:rsid w:val="002B1DF8"/>
    <w:rsid w:val="002B23C8"/>
    <w:rsid w:val="002B383B"/>
    <w:rsid w:val="002B44FF"/>
    <w:rsid w:val="002B4692"/>
    <w:rsid w:val="002B47F8"/>
    <w:rsid w:val="002B5656"/>
    <w:rsid w:val="002B6D0A"/>
    <w:rsid w:val="002C0662"/>
    <w:rsid w:val="002C22F8"/>
    <w:rsid w:val="002C31EE"/>
    <w:rsid w:val="002C365D"/>
    <w:rsid w:val="002C3B85"/>
    <w:rsid w:val="002C3BCA"/>
    <w:rsid w:val="002C3CEE"/>
    <w:rsid w:val="002C5274"/>
    <w:rsid w:val="002C677C"/>
    <w:rsid w:val="002C68B0"/>
    <w:rsid w:val="002C6B09"/>
    <w:rsid w:val="002C74DE"/>
    <w:rsid w:val="002D26B4"/>
    <w:rsid w:val="002D2E99"/>
    <w:rsid w:val="002D39E2"/>
    <w:rsid w:val="002D3F78"/>
    <w:rsid w:val="002D43B1"/>
    <w:rsid w:val="002D4903"/>
    <w:rsid w:val="002D4BEA"/>
    <w:rsid w:val="002D5703"/>
    <w:rsid w:val="002D5DF8"/>
    <w:rsid w:val="002D617C"/>
    <w:rsid w:val="002D7716"/>
    <w:rsid w:val="002D7A0E"/>
    <w:rsid w:val="002E0D09"/>
    <w:rsid w:val="002E151F"/>
    <w:rsid w:val="002E1793"/>
    <w:rsid w:val="002E1EE2"/>
    <w:rsid w:val="002E3661"/>
    <w:rsid w:val="002E4183"/>
    <w:rsid w:val="002E7872"/>
    <w:rsid w:val="002F0068"/>
    <w:rsid w:val="002F01A0"/>
    <w:rsid w:val="002F0981"/>
    <w:rsid w:val="002F2AB3"/>
    <w:rsid w:val="002F3AEC"/>
    <w:rsid w:val="002F46FC"/>
    <w:rsid w:val="002F483F"/>
    <w:rsid w:val="002F4957"/>
    <w:rsid w:val="002F568F"/>
    <w:rsid w:val="002F70D5"/>
    <w:rsid w:val="003007DB"/>
    <w:rsid w:val="00301219"/>
    <w:rsid w:val="0030141E"/>
    <w:rsid w:val="00301D49"/>
    <w:rsid w:val="003029FB"/>
    <w:rsid w:val="00303510"/>
    <w:rsid w:val="00303632"/>
    <w:rsid w:val="00304EA4"/>
    <w:rsid w:val="00306746"/>
    <w:rsid w:val="00306927"/>
    <w:rsid w:val="00306F7F"/>
    <w:rsid w:val="003070AD"/>
    <w:rsid w:val="00307413"/>
    <w:rsid w:val="00307FC2"/>
    <w:rsid w:val="0031018E"/>
    <w:rsid w:val="00310D69"/>
    <w:rsid w:val="00311D9E"/>
    <w:rsid w:val="003120AE"/>
    <w:rsid w:val="0031210D"/>
    <w:rsid w:val="00313865"/>
    <w:rsid w:val="0031432E"/>
    <w:rsid w:val="0031551B"/>
    <w:rsid w:val="00316B64"/>
    <w:rsid w:val="00316C08"/>
    <w:rsid w:val="00316D9A"/>
    <w:rsid w:val="0031749F"/>
    <w:rsid w:val="00317E5C"/>
    <w:rsid w:val="0032134F"/>
    <w:rsid w:val="00323A1B"/>
    <w:rsid w:val="003242E2"/>
    <w:rsid w:val="00324F7D"/>
    <w:rsid w:val="003251FD"/>
    <w:rsid w:val="003254ED"/>
    <w:rsid w:val="003259D2"/>
    <w:rsid w:val="00325BA9"/>
    <w:rsid w:val="00325EFA"/>
    <w:rsid w:val="00330C95"/>
    <w:rsid w:val="00330F92"/>
    <w:rsid w:val="0033120E"/>
    <w:rsid w:val="00331A4D"/>
    <w:rsid w:val="0033359C"/>
    <w:rsid w:val="003340A5"/>
    <w:rsid w:val="0033443A"/>
    <w:rsid w:val="003357B5"/>
    <w:rsid w:val="00337B95"/>
    <w:rsid w:val="0034000E"/>
    <w:rsid w:val="00340FA1"/>
    <w:rsid w:val="00342618"/>
    <w:rsid w:val="003426EA"/>
    <w:rsid w:val="00342D08"/>
    <w:rsid w:val="00343C76"/>
    <w:rsid w:val="00343C7D"/>
    <w:rsid w:val="00345828"/>
    <w:rsid w:val="00347084"/>
    <w:rsid w:val="0035027F"/>
    <w:rsid w:val="003502B8"/>
    <w:rsid w:val="00350D01"/>
    <w:rsid w:val="003529FE"/>
    <w:rsid w:val="00353083"/>
    <w:rsid w:val="003544FD"/>
    <w:rsid w:val="00354575"/>
    <w:rsid w:val="003545CF"/>
    <w:rsid w:val="0035544D"/>
    <w:rsid w:val="003559E0"/>
    <w:rsid w:val="003564DD"/>
    <w:rsid w:val="0035661A"/>
    <w:rsid w:val="00356AD2"/>
    <w:rsid w:val="003571D7"/>
    <w:rsid w:val="003571DD"/>
    <w:rsid w:val="0035787C"/>
    <w:rsid w:val="00360243"/>
    <w:rsid w:val="00360330"/>
    <w:rsid w:val="00360FB2"/>
    <w:rsid w:val="003612AA"/>
    <w:rsid w:val="003619B6"/>
    <w:rsid w:val="00362C83"/>
    <w:rsid w:val="00362FC6"/>
    <w:rsid w:val="00363015"/>
    <w:rsid w:val="00363206"/>
    <w:rsid w:val="00363291"/>
    <w:rsid w:val="003637EF"/>
    <w:rsid w:val="00364075"/>
    <w:rsid w:val="00364DF5"/>
    <w:rsid w:val="0036650F"/>
    <w:rsid w:val="0036767E"/>
    <w:rsid w:val="00370CB3"/>
    <w:rsid w:val="00371010"/>
    <w:rsid w:val="00371267"/>
    <w:rsid w:val="00373F7A"/>
    <w:rsid w:val="003745EC"/>
    <w:rsid w:val="00374FCF"/>
    <w:rsid w:val="00376A66"/>
    <w:rsid w:val="00377F3B"/>
    <w:rsid w:val="0038011F"/>
    <w:rsid w:val="003804D1"/>
    <w:rsid w:val="00380CCD"/>
    <w:rsid w:val="00381BF6"/>
    <w:rsid w:val="00382938"/>
    <w:rsid w:val="003841F6"/>
    <w:rsid w:val="0038590B"/>
    <w:rsid w:val="0038693B"/>
    <w:rsid w:val="00387778"/>
    <w:rsid w:val="0038783E"/>
    <w:rsid w:val="00390EC4"/>
    <w:rsid w:val="0039101E"/>
    <w:rsid w:val="0039158A"/>
    <w:rsid w:val="00391A80"/>
    <w:rsid w:val="00392B1A"/>
    <w:rsid w:val="003932D1"/>
    <w:rsid w:val="00393C72"/>
    <w:rsid w:val="00393FE2"/>
    <w:rsid w:val="00394955"/>
    <w:rsid w:val="00394B60"/>
    <w:rsid w:val="00395F6F"/>
    <w:rsid w:val="0039627F"/>
    <w:rsid w:val="003A0D27"/>
    <w:rsid w:val="003A1126"/>
    <w:rsid w:val="003A1E5E"/>
    <w:rsid w:val="003A25B5"/>
    <w:rsid w:val="003A3AD0"/>
    <w:rsid w:val="003A4DC7"/>
    <w:rsid w:val="003A6F52"/>
    <w:rsid w:val="003A70B8"/>
    <w:rsid w:val="003A7A1D"/>
    <w:rsid w:val="003A7A83"/>
    <w:rsid w:val="003B1F1D"/>
    <w:rsid w:val="003B2631"/>
    <w:rsid w:val="003B2C9F"/>
    <w:rsid w:val="003B49E7"/>
    <w:rsid w:val="003B4A87"/>
    <w:rsid w:val="003B4B46"/>
    <w:rsid w:val="003B5A11"/>
    <w:rsid w:val="003B6568"/>
    <w:rsid w:val="003B67F7"/>
    <w:rsid w:val="003B69BE"/>
    <w:rsid w:val="003B789F"/>
    <w:rsid w:val="003C2A86"/>
    <w:rsid w:val="003C463F"/>
    <w:rsid w:val="003C4BC8"/>
    <w:rsid w:val="003C4E5C"/>
    <w:rsid w:val="003C58EA"/>
    <w:rsid w:val="003C5A29"/>
    <w:rsid w:val="003D275A"/>
    <w:rsid w:val="003D2B60"/>
    <w:rsid w:val="003D2E06"/>
    <w:rsid w:val="003D35B0"/>
    <w:rsid w:val="003D3690"/>
    <w:rsid w:val="003D4C82"/>
    <w:rsid w:val="003D700A"/>
    <w:rsid w:val="003D7059"/>
    <w:rsid w:val="003E0F02"/>
    <w:rsid w:val="003E0FF8"/>
    <w:rsid w:val="003E1286"/>
    <w:rsid w:val="003E1845"/>
    <w:rsid w:val="003E28CC"/>
    <w:rsid w:val="003E2AFF"/>
    <w:rsid w:val="003E32D2"/>
    <w:rsid w:val="003E3325"/>
    <w:rsid w:val="003E35FF"/>
    <w:rsid w:val="003E3C0B"/>
    <w:rsid w:val="003E489C"/>
    <w:rsid w:val="003E6220"/>
    <w:rsid w:val="003E6499"/>
    <w:rsid w:val="003E656B"/>
    <w:rsid w:val="003E6BAC"/>
    <w:rsid w:val="003E7AC3"/>
    <w:rsid w:val="003F0889"/>
    <w:rsid w:val="003F09DA"/>
    <w:rsid w:val="003F0ABF"/>
    <w:rsid w:val="003F3329"/>
    <w:rsid w:val="003F3342"/>
    <w:rsid w:val="003F3603"/>
    <w:rsid w:val="003F3AB0"/>
    <w:rsid w:val="003F470B"/>
    <w:rsid w:val="003F6392"/>
    <w:rsid w:val="004014ED"/>
    <w:rsid w:val="004018C5"/>
    <w:rsid w:val="00401E4B"/>
    <w:rsid w:val="00402760"/>
    <w:rsid w:val="00402C79"/>
    <w:rsid w:val="00402E69"/>
    <w:rsid w:val="00404756"/>
    <w:rsid w:val="00405367"/>
    <w:rsid w:val="00405AAA"/>
    <w:rsid w:val="00406042"/>
    <w:rsid w:val="00406050"/>
    <w:rsid w:val="00406084"/>
    <w:rsid w:val="004112B1"/>
    <w:rsid w:val="004122C3"/>
    <w:rsid w:val="00413703"/>
    <w:rsid w:val="00414884"/>
    <w:rsid w:val="004149AD"/>
    <w:rsid w:val="00414CDA"/>
    <w:rsid w:val="00414D0C"/>
    <w:rsid w:val="0041501A"/>
    <w:rsid w:val="004155CD"/>
    <w:rsid w:val="00416120"/>
    <w:rsid w:val="00417AFE"/>
    <w:rsid w:val="00417C98"/>
    <w:rsid w:val="004211DB"/>
    <w:rsid w:val="00421CA9"/>
    <w:rsid w:val="00421F40"/>
    <w:rsid w:val="00424566"/>
    <w:rsid w:val="00425A09"/>
    <w:rsid w:val="00425EB8"/>
    <w:rsid w:val="004261C9"/>
    <w:rsid w:val="00427D0E"/>
    <w:rsid w:val="0043028E"/>
    <w:rsid w:val="00430ABD"/>
    <w:rsid w:val="00430D26"/>
    <w:rsid w:val="00431684"/>
    <w:rsid w:val="00432028"/>
    <w:rsid w:val="00433B5F"/>
    <w:rsid w:val="004351D6"/>
    <w:rsid w:val="0043589A"/>
    <w:rsid w:val="00436548"/>
    <w:rsid w:val="00436DB4"/>
    <w:rsid w:val="00437E83"/>
    <w:rsid w:val="00440401"/>
    <w:rsid w:val="00440484"/>
    <w:rsid w:val="00441010"/>
    <w:rsid w:val="00441450"/>
    <w:rsid w:val="00441A47"/>
    <w:rsid w:val="00441F4C"/>
    <w:rsid w:val="00443506"/>
    <w:rsid w:val="004441D9"/>
    <w:rsid w:val="00444895"/>
    <w:rsid w:val="0044626E"/>
    <w:rsid w:val="0045177D"/>
    <w:rsid w:val="00452EB6"/>
    <w:rsid w:val="00453284"/>
    <w:rsid w:val="00453D4B"/>
    <w:rsid w:val="00453D75"/>
    <w:rsid w:val="004553B2"/>
    <w:rsid w:val="00456555"/>
    <w:rsid w:val="00456E39"/>
    <w:rsid w:val="0046348D"/>
    <w:rsid w:val="00463F26"/>
    <w:rsid w:val="004644C9"/>
    <w:rsid w:val="00464AF7"/>
    <w:rsid w:val="00465424"/>
    <w:rsid w:val="00467D58"/>
    <w:rsid w:val="00470A6D"/>
    <w:rsid w:val="00470E33"/>
    <w:rsid w:val="00472D77"/>
    <w:rsid w:val="00476297"/>
    <w:rsid w:val="00476A29"/>
    <w:rsid w:val="00476CE7"/>
    <w:rsid w:val="00477E28"/>
    <w:rsid w:val="00480DA3"/>
    <w:rsid w:val="004815AC"/>
    <w:rsid w:val="004816A8"/>
    <w:rsid w:val="00481B5A"/>
    <w:rsid w:val="00482FE2"/>
    <w:rsid w:val="00483280"/>
    <w:rsid w:val="0048544C"/>
    <w:rsid w:val="00486486"/>
    <w:rsid w:val="0048761C"/>
    <w:rsid w:val="00490299"/>
    <w:rsid w:val="00490AF8"/>
    <w:rsid w:val="00491063"/>
    <w:rsid w:val="00491079"/>
    <w:rsid w:val="0049191D"/>
    <w:rsid w:val="00492187"/>
    <w:rsid w:val="0049449F"/>
    <w:rsid w:val="004964D9"/>
    <w:rsid w:val="0049653E"/>
    <w:rsid w:val="00497C83"/>
    <w:rsid w:val="004A1637"/>
    <w:rsid w:val="004A1E35"/>
    <w:rsid w:val="004A384B"/>
    <w:rsid w:val="004A3D95"/>
    <w:rsid w:val="004A4955"/>
    <w:rsid w:val="004A558D"/>
    <w:rsid w:val="004A5773"/>
    <w:rsid w:val="004B007C"/>
    <w:rsid w:val="004B127F"/>
    <w:rsid w:val="004B1626"/>
    <w:rsid w:val="004B173E"/>
    <w:rsid w:val="004B233D"/>
    <w:rsid w:val="004B2366"/>
    <w:rsid w:val="004B2FB1"/>
    <w:rsid w:val="004B3B91"/>
    <w:rsid w:val="004B4162"/>
    <w:rsid w:val="004B4A4E"/>
    <w:rsid w:val="004B581C"/>
    <w:rsid w:val="004B5CC1"/>
    <w:rsid w:val="004B5CF5"/>
    <w:rsid w:val="004B754B"/>
    <w:rsid w:val="004B7B08"/>
    <w:rsid w:val="004B7B91"/>
    <w:rsid w:val="004C08D2"/>
    <w:rsid w:val="004C0AB7"/>
    <w:rsid w:val="004C0E5A"/>
    <w:rsid w:val="004C26C8"/>
    <w:rsid w:val="004C3179"/>
    <w:rsid w:val="004C3F1D"/>
    <w:rsid w:val="004C4287"/>
    <w:rsid w:val="004C429A"/>
    <w:rsid w:val="004C4D62"/>
    <w:rsid w:val="004C59F9"/>
    <w:rsid w:val="004C5C3C"/>
    <w:rsid w:val="004C5C70"/>
    <w:rsid w:val="004C5FC2"/>
    <w:rsid w:val="004C62CD"/>
    <w:rsid w:val="004C6E2F"/>
    <w:rsid w:val="004D02CA"/>
    <w:rsid w:val="004D03F4"/>
    <w:rsid w:val="004D0531"/>
    <w:rsid w:val="004D0DE3"/>
    <w:rsid w:val="004D121A"/>
    <w:rsid w:val="004D21F7"/>
    <w:rsid w:val="004D2973"/>
    <w:rsid w:val="004D2FD0"/>
    <w:rsid w:val="004D3EA1"/>
    <w:rsid w:val="004D40F0"/>
    <w:rsid w:val="004D4879"/>
    <w:rsid w:val="004D4C30"/>
    <w:rsid w:val="004D6B02"/>
    <w:rsid w:val="004D7BC9"/>
    <w:rsid w:val="004D7CA2"/>
    <w:rsid w:val="004E33E1"/>
    <w:rsid w:val="004E381B"/>
    <w:rsid w:val="004E42BA"/>
    <w:rsid w:val="004E48A6"/>
    <w:rsid w:val="004E5768"/>
    <w:rsid w:val="004E5FA1"/>
    <w:rsid w:val="004E6887"/>
    <w:rsid w:val="004E7409"/>
    <w:rsid w:val="004F012E"/>
    <w:rsid w:val="004F09EC"/>
    <w:rsid w:val="004F2481"/>
    <w:rsid w:val="004F2731"/>
    <w:rsid w:val="004F2993"/>
    <w:rsid w:val="004F34DD"/>
    <w:rsid w:val="004F40D6"/>
    <w:rsid w:val="004F4A4C"/>
    <w:rsid w:val="004F4C81"/>
    <w:rsid w:val="004F4D2F"/>
    <w:rsid w:val="004F67CE"/>
    <w:rsid w:val="004F6D46"/>
    <w:rsid w:val="004F713A"/>
    <w:rsid w:val="004F7598"/>
    <w:rsid w:val="004F762D"/>
    <w:rsid w:val="005012C0"/>
    <w:rsid w:val="00501591"/>
    <w:rsid w:val="0050181A"/>
    <w:rsid w:val="00501BCF"/>
    <w:rsid w:val="005020D9"/>
    <w:rsid w:val="00502717"/>
    <w:rsid w:val="00502CC2"/>
    <w:rsid w:val="005034D6"/>
    <w:rsid w:val="00503A28"/>
    <w:rsid w:val="005043EA"/>
    <w:rsid w:val="005047F3"/>
    <w:rsid w:val="005050CD"/>
    <w:rsid w:val="00506B6E"/>
    <w:rsid w:val="00507281"/>
    <w:rsid w:val="005074AE"/>
    <w:rsid w:val="005079B1"/>
    <w:rsid w:val="005079D4"/>
    <w:rsid w:val="005106AD"/>
    <w:rsid w:val="005119E1"/>
    <w:rsid w:val="00511DF1"/>
    <w:rsid w:val="00512A1A"/>
    <w:rsid w:val="005145E3"/>
    <w:rsid w:val="005155BC"/>
    <w:rsid w:val="005157E8"/>
    <w:rsid w:val="00516547"/>
    <w:rsid w:val="0051755B"/>
    <w:rsid w:val="00521413"/>
    <w:rsid w:val="0052151D"/>
    <w:rsid w:val="005215CF"/>
    <w:rsid w:val="00521BC4"/>
    <w:rsid w:val="0052428B"/>
    <w:rsid w:val="00524C2B"/>
    <w:rsid w:val="005254EE"/>
    <w:rsid w:val="00526EE7"/>
    <w:rsid w:val="00527440"/>
    <w:rsid w:val="00527A51"/>
    <w:rsid w:val="00531427"/>
    <w:rsid w:val="005345AD"/>
    <w:rsid w:val="00534F0E"/>
    <w:rsid w:val="00537647"/>
    <w:rsid w:val="00537C0B"/>
    <w:rsid w:val="005409B2"/>
    <w:rsid w:val="00541776"/>
    <w:rsid w:val="00541BDE"/>
    <w:rsid w:val="00541EA5"/>
    <w:rsid w:val="005423EE"/>
    <w:rsid w:val="005429B0"/>
    <w:rsid w:val="005432F2"/>
    <w:rsid w:val="005437C8"/>
    <w:rsid w:val="005440BE"/>
    <w:rsid w:val="00546B6B"/>
    <w:rsid w:val="005470B1"/>
    <w:rsid w:val="00547821"/>
    <w:rsid w:val="005479C0"/>
    <w:rsid w:val="00550932"/>
    <w:rsid w:val="005511B9"/>
    <w:rsid w:val="005519B5"/>
    <w:rsid w:val="00552125"/>
    <w:rsid w:val="00552BE2"/>
    <w:rsid w:val="00554A8E"/>
    <w:rsid w:val="005557CC"/>
    <w:rsid w:val="00556A0E"/>
    <w:rsid w:val="0055765E"/>
    <w:rsid w:val="00557B37"/>
    <w:rsid w:val="00557DDD"/>
    <w:rsid w:val="00560917"/>
    <w:rsid w:val="00561E9A"/>
    <w:rsid w:val="0056402F"/>
    <w:rsid w:val="005643D4"/>
    <w:rsid w:val="005655A7"/>
    <w:rsid w:val="0056614F"/>
    <w:rsid w:val="00567C25"/>
    <w:rsid w:val="00570C9C"/>
    <w:rsid w:val="00572FDF"/>
    <w:rsid w:val="00574AEC"/>
    <w:rsid w:val="00576B2E"/>
    <w:rsid w:val="0057718A"/>
    <w:rsid w:val="00577B1A"/>
    <w:rsid w:val="005801F3"/>
    <w:rsid w:val="00580C25"/>
    <w:rsid w:val="005820AA"/>
    <w:rsid w:val="00586A9B"/>
    <w:rsid w:val="0058757B"/>
    <w:rsid w:val="005902F1"/>
    <w:rsid w:val="0059194C"/>
    <w:rsid w:val="00592C9C"/>
    <w:rsid w:val="0059302D"/>
    <w:rsid w:val="00593C0A"/>
    <w:rsid w:val="0059546A"/>
    <w:rsid w:val="0059586F"/>
    <w:rsid w:val="005A0C7B"/>
    <w:rsid w:val="005A2F65"/>
    <w:rsid w:val="005A30CB"/>
    <w:rsid w:val="005A54FF"/>
    <w:rsid w:val="005A5850"/>
    <w:rsid w:val="005A58FD"/>
    <w:rsid w:val="005A5A01"/>
    <w:rsid w:val="005A5B69"/>
    <w:rsid w:val="005A5F0A"/>
    <w:rsid w:val="005A7719"/>
    <w:rsid w:val="005A7E56"/>
    <w:rsid w:val="005B04D6"/>
    <w:rsid w:val="005B11A6"/>
    <w:rsid w:val="005B35E0"/>
    <w:rsid w:val="005B3924"/>
    <w:rsid w:val="005B40DB"/>
    <w:rsid w:val="005B6614"/>
    <w:rsid w:val="005B7035"/>
    <w:rsid w:val="005B711F"/>
    <w:rsid w:val="005B73F5"/>
    <w:rsid w:val="005C292D"/>
    <w:rsid w:val="005C3DBD"/>
    <w:rsid w:val="005C3DF3"/>
    <w:rsid w:val="005C4148"/>
    <w:rsid w:val="005C4334"/>
    <w:rsid w:val="005C4452"/>
    <w:rsid w:val="005C5803"/>
    <w:rsid w:val="005C5B3A"/>
    <w:rsid w:val="005C5D48"/>
    <w:rsid w:val="005C6135"/>
    <w:rsid w:val="005C62A9"/>
    <w:rsid w:val="005C7226"/>
    <w:rsid w:val="005C7530"/>
    <w:rsid w:val="005C7F54"/>
    <w:rsid w:val="005D0502"/>
    <w:rsid w:val="005D1863"/>
    <w:rsid w:val="005D22E9"/>
    <w:rsid w:val="005D3548"/>
    <w:rsid w:val="005D3BAF"/>
    <w:rsid w:val="005D3E0E"/>
    <w:rsid w:val="005D4AAA"/>
    <w:rsid w:val="005D4E08"/>
    <w:rsid w:val="005D5EFB"/>
    <w:rsid w:val="005D6847"/>
    <w:rsid w:val="005D6D0B"/>
    <w:rsid w:val="005D6D6D"/>
    <w:rsid w:val="005E0F7D"/>
    <w:rsid w:val="005E2F4B"/>
    <w:rsid w:val="005E3D38"/>
    <w:rsid w:val="005E4481"/>
    <w:rsid w:val="005E4698"/>
    <w:rsid w:val="005E4864"/>
    <w:rsid w:val="005E4A4D"/>
    <w:rsid w:val="005E5E93"/>
    <w:rsid w:val="005E78FA"/>
    <w:rsid w:val="005F0209"/>
    <w:rsid w:val="005F14DD"/>
    <w:rsid w:val="005F44C7"/>
    <w:rsid w:val="005F5DDB"/>
    <w:rsid w:val="005F69D7"/>
    <w:rsid w:val="005F6C9D"/>
    <w:rsid w:val="005F75CF"/>
    <w:rsid w:val="005F7776"/>
    <w:rsid w:val="006006E5"/>
    <w:rsid w:val="00600BBC"/>
    <w:rsid w:val="0060186B"/>
    <w:rsid w:val="00601DC5"/>
    <w:rsid w:val="00605429"/>
    <w:rsid w:val="00605851"/>
    <w:rsid w:val="00605AED"/>
    <w:rsid w:val="00606489"/>
    <w:rsid w:val="00606B00"/>
    <w:rsid w:val="00607BC4"/>
    <w:rsid w:val="00610AA7"/>
    <w:rsid w:val="00611022"/>
    <w:rsid w:val="0061257B"/>
    <w:rsid w:val="006129F5"/>
    <w:rsid w:val="006139A2"/>
    <w:rsid w:val="00614029"/>
    <w:rsid w:val="006141F2"/>
    <w:rsid w:val="006149D7"/>
    <w:rsid w:val="00615061"/>
    <w:rsid w:val="0061507B"/>
    <w:rsid w:val="006203C0"/>
    <w:rsid w:val="006212C2"/>
    <w:rsid w:val="00621E66"/>
    <w:rsid w:val="00623DCA"/>
    <w:rsid w:val="00624015"/>
    <w:rsid w:val="00626025"/>
    <w:rsid w:val="006261DF"/>
    <w:rsid w:val="0063167E"/>
    <w:rsid w:val="00631859"/>
    <w:rsid w:val="00631AD5"/>
    <w:rsid w:val="006330AA"/>
    <w:rsid w:val="0063327E"/>
    <w:rsid w:val="0063375C"/>
    <w:rsid w:val="00633E32"/>
    <w:rsid w:val="00636592"/>
    <w:rsid w:val="00636FA8"/>
    <w:rsid w:val="0063731B"/>
    <w:rsid w:val="00640FE8"/>
    <w:rsid w:val="00641450"/>
    <w:rsid w:val="0064173E"/>
    <w:rsid w:val="00641F3F"/>
    <w:rsid w:val="006420D6"/>
    <w:rsid w:val="00643454"/>
    <w:rsid w:val="0064453D"/>
    <w:rsid w:val="00644719"/>
    <w:rsid w:val="006449AE"/>
    <w:rsid w:val="00647DFD"/>
    <w:rsid w:val="00650ABA"/>
    <w:rsid w:val="006511C8"/>
    <w:rsid w:val="00651498"/>
    <w:rsid w:val="00653630"/>
    <w:rsid w:val="00654053"/>
    <w:rsid w:val="00655999"/>
    <w:rsid w:val="00656792"/>
    <w:rsid w:val="0065681A"/>
    <w:rsid w:val="0065695A"/>
    <w:rsid w:val="0065697D"/>
    <w:rsid w:val="00656B77"/>
    <w:rsid w:val="0066009E"/>
    <w:rsid w:val="0066049B"/>
    <w:rsid w:val="0066073D"/>
    <w:rsid w:val="0066106A"/>
    <w:rsid w:val="0066144E"/>
    <w:rsid w:val="006622AB"/>
    <w:rsid w:val="00662F6D"/>
    <w:rsid w:val="0066332D"/>
    <w:rsid w:val="00664E83"/>
    <w:rsid w:val="00664E8C"/>
    <w:rsid w:val="00665951"/>
    <w:rsid w:val="00665A6D"/>
    <w:rsid w:val="00665B3D"/>
    <w:rsid w:val="00665D99"/>
    <w:rsid w:val="00667F09"/>
    <w:rsid w:val="00670303"/>
    <w:rsid w:val="006709A5"/>
    <w:rsid w:val="00670BB9"/>
    <w:rsid w:val="00670C11"/>
    <w:rsid w:val="0067243F"/>
    <w:rsid w:val="00673576"/>
    <w:rsid w:val="006739E2"/>
    <w:rsid w:val="006746BC"/>
    <w:rsid w:val="00674D21"/>
    <w:rsid w:val="0067587B"/>
    <w:rsid w:val="00675FFD"/>
    <w:rsid w:val="006761DF"/>
    <w:rsid w:val="00676619"/>
    <w:rsid w:val="00676E27"/>
    <w:rsid w:val="00676F2F"/>
    <w:rsid w:val="00677615"/>
    <w:rsid w:val="00680375"/>
    <w:rsid w:val="00681242"/>
    <w:rsid w:val="00682262"/>
    <w:rsid w:val="0068271B"/>
    <w:rsid w:val="006837C7"/>
    <w:rsid w:val="00686D86"/>
    <w:rsid w:val="0068700E"/>
    <w:rsid w:val="00690011"/>
    <w:rsid w:val="0069124D"/>
    <w:rsid w:val="006912DF"/>
    <w:rsid w:val="00691927"/>
    <w:rsid w:val="00693507"/>
    <w:rsid w:val="00694064"/>
    <w:rsid w:val="00694EA0"/>
    <w:rsid w:val="006951DC"/>
    <w:rsid w:val="00696595"/>
    <w:rsid w:val="00696C01"/>
    <w:rsid w:val="00697440"/>
    <w:rsid w:val="0069750E"/>
    <w:rsid w:val="00697E68"/>
    <w:rsid w:val="006A013C"/>
    <w:rsid w:val="006A1093"/>
    <w:rsid w:val="006A1C1E"/>
    <w:rsid w:val="006A234C"/>
    <w:rsid w:val="006A2E61"/>
    <w:rsid w:val="006A327D"/>
    <w:rsid w:val="006A391D"/>
    <w:rsid w:val="006A3C0E"/>
    <w:rsid w:val="006A56C0"/>
    <w:rsid w:val="006A5C97"/>
    <w:rsid w:val="006A61C6"/>
    <w:rsid w:val="006A6F98"/>
    <w:rsid w:val="006A78D3"/>
    <w:rsid w:val="006B03E1"/>
    <w:rsid w:val="006B106F"/>
    <w:rsid w:val="006B12F0"/>
    <w:rsid w:val="006B3AEA"/>
    <w:rsid w:val="006B3DC1"/>
    <w:rsid w:val="006B554F"/>
    <w:rsid w:val="006B5BA0"/>
    <w:rsid w:val="006B5F64"/>
    <w:rsid w:val="006B6936"/>
    <w:rsid w:val="006B7675"/>
    <w:rsid w:val="006C1AE4"/>
    <w:rsid w:val="006C1C53"/>
    <w:rsid w:val="006C2158"/>
    <w:rsid w:val="006C2BD0"/>
    <w:rsid w:val="006C2DFD"/>
    <w:rsid w:val="006C3B0C"/>
    <w:rsid w:val="006C3E80"/>
    <w:rsid w:val="006C4041"/>
    <w:rsid w:val="006C76CC"/>
    <w:rsid w:val="006C78E1"/>
    <w:rsid w:val="006D0C9A"/>
    <w:rsid w:val="006D11B4"/>
    <w:rsid w:val="006D4628"/>
    <w:rsid w:val="006D5B03"/>
    <w:rsid w:val="006D6280"/>
    <w:rsid w:val="006D723A"/>
    <w:rsid w:val="006E0FD4"/>
    <w:rsid w:val="006E1838"/>
    <w:rsid w:val="006E1CA8"/>
    <w:rsid w:val="006E2093"/>
    <w:rsid w:val="006E2D91"/>
    <w:rsid w:val="006E2DF7"/>
    <w:rsid w:val="006E31AA"/>
    <w:rsid w:val="006E46EB"/>
    <w:rsid w:val="006E6A40"/>
    <w:rsid w:val="006E6DA6"/>
    <w:rsid w:val="006E6EF9"/>
    <w:rsid w:val="006E748E"/>
    <w:rsid w:val="006F00B8"/>
    <w:rsid w:val="006F1B58"/>
    <w:rsid w:val="006F1D55"/>
    <w:rsid w:val="006F291A"/>
    <w:rsid w:val="006F3FCE"/>
    <w:rsid w:val="006F6832"/>
    <w:rsid w:val="006F73EF"/>
    <w:rsid w:val="00701303"/>
    <w:rsid w:val="00701A5C"/>
    <w:rsid w:val="00702C0A"/>
    <w:rsid w:val="0070394F"/>
    <w:rsid w:val="00703D27"/>
    <w:rsid w:val="00704992"/>
    <w:rsid w:val="00705CA3"/>
    <w:rsid w:val="00705D3C"/>
    <w:rsid w:val="0070701F"/>
    <w:rsid w:val="00707579"/>
    <w:rsid w:val="00711A21"/>
    <w:rsid w:val="00713D4F"/>
    <w:rsid w:val="007140E2"/>
    <w:rsid w:val="007140EE"/>
    <w:rsid w:val="00716F53"/>
    <w:rsid w:val="00721770"/>
    <w:rsid w:val="00723B7B"/>
    <w:rsid w:val="00724266"/>
    <w:rsid w:val="0072448E"/>
    <w:rsid w:val="00725C80"/>
    <w:rsid w:val="00726981"/>
    <w:rsid w:val="007274B5"/>
    <w:rsid w:val="00727C47"/>
    <w:rsid w:val="0073079C"/>
    <w:rsid w:val="007309BA"/>
    <w:rsid w:val="00730A99"/>
    <w:rsid w:val="0073111F"/>
    <w:rsid w:val="00732EB8"/>
    <w:rsid w:val="00732F09"/>
    <w:rsid w:val="00733C84"/>
    <w:rsid w:val="00733F07"/>
    <w:rsid w:val="00734207"/>
    <w:rsid w:val="00734999"/>
    <w:rsid w:val="00740339"/>
    <w:rsid w:val="00740DB7"/>
    <w:rsid w:val="00740DC1"/>
    <w:rsid w:val="0074176B"/>
    <w:rsid w:val="007419FC"/>
    <w:rsid w:val="007430C9"/>
    <w:rsid w:val="00743809"/>
    <w:rsid w:val="00743BE4"/>
    <w:rsid w:val="00745193"/>
    <w:rsid w:val="00745325"/>
    <w:rsid w:val="00745625"/>
    <w:rsid w:val="007457B5"/>
    <w:rsid w:val="00746002"/>
    <w:rsid w:val="0074631A"/>
    <w:rsid w:val="00746379"/>
    <w:rsid w:val="0074765B"/>
    <w:rsid w:val="00747D37"/>
    <w:rsid w:val="00750295"/>
    <w:rsid w:val="00750824"/>
    <w:rsid w:val="00751400"/>
    <w:rsid w:val="00751BEA"/>
    <w:rsid w:val="00753167"/>
    <w:rsid w:val="007532D7"/>
    <w:rsid w:val="0075375E"/>
    <w:rsid w:val="007544E0"/>
    <w:rsid w:val="00755618"/>
    <w:rsid w:val="00755634"/>
    <w:rsid w:val="0075577F"/>
    <w:rsid w:val="0075619D"/>
    <w:rsid w:val="007566CF"/>
    <w:rsid w:val="00756760"/>
    <w:rsid w:val="0075731F"/>
    <w:rsid w:val="00760C22"/>
    <w:rsid w:val="00761C8E"/>
    <w:rsid w:val="00762545"/>
    <w:rsid w:val="00762E40"/>
    <w:rsid w:val="00762EC3"/>
    <w:rsid w:val="007632C3"/>
    <w:rsid w:val="00764371"/>
    <w:rsid w:val="00764E47"/>
    <w:rsid w:val="00764F31"/>
    <w:rsid w:val="0076570F"/>
    <w:rsid w:val="00766751"/>
    <w:rsid w:val="00767CCC"/>
    <w:rsid w:val="00767DDD"/>
    <w:rsid w:val="00770219"/>
    <w:rsid w:val="007709A2"/>
    <w:rsid w:val="007724EE"/>
    <w:rsid w:val="007727EE"/>
    <w:rsid w:val="00773427"/>
    <w:rsid w:val="0077386C"/>
    <w:rsid w:val="00773BED"/>
    <w:rsid w:val="0077476F"/>
    <w:rsid w:val="0077506F"/>
    <w:rsid w:val="00775A68"/>
    <w:rsid w:val="007772EC"/>
    <w:rsid w:val="007808F0"/>
    <w:rsid w:val="00780B2C"/>
    <w:rsid w:val="00781DD0"/>
    <w:rsid w:val="00782BB0"/>
    <w:rsid w:val="00782FBA"/>
    <w:rsid w:val="007831B1"/>
    <w:rsid w:val="007837D9"/>
    <w:rsid w:val="007848DE"/>
    <w:rsid w:val="00785575"/>
    <w:rsid w:val="00786907"/>
    <w:rsid w:val="00786F99"/>
    <w:rsid w:val="007871D8"/>
    <w:rsid w:val="007879B4"/>
    <w:rsid w:val="00787C3B"/>
    <w:rsid w:val="00790266"/>
    <w:rsid w:val="007909C5"/>
    <w:rsid w:val="0079101A"/>
    <w:rsid w:val="0079165D"/>
    <w:rsid w:val="00791E01"/>
    <w:rsid w:val="00792575"/>
    <w:rsid w:val="0079268B"/>
    <w:rsid w:val="00792D2D"/>
    <w:rsid w:val="00793E26"/>
    <w:rsid w:val="00795CC6"/>
    <w:rsid w:val="007965AC"/>
    <w:rsid w:val="007A0A91"/>
    <w:rsid w:val="007A14A9"/>
    <w:rsid w:val="007A1E2D"/>
    <w:rsid w:val="007A262B"/>
    <w:rsid w:val="007A45EC"/>
    <w:rsid w:val="007A5BEF"/>
    <w:rsid w:val="007A6DBE"/>
    <w:rsid w:val="007A6E29"/>
    <w:rsid w:val="007A72D0"/>
    <w:rsid w:val="007A7341"/>
    <w:rsid w:val="007B00D6"/>
    <w:rsid w:val="007B0814"/>
    <w:rsid w:val="007B1435"/>
    <w:rsid w:val="007B1460"/>
    <w:rsid w:val="007B1AC0"/>
    <w:rsid w:val="007B2AA8"/>
    <w:rsid w:val="007B356C"/>
    <w:rsid w:val="007B3697"/>
    <w:rsid w:val="007B3F3A"/>
    <w:rsid w:val="007B44D6"/>
    <w:rsid w:val="007B47AD"/>
    <w:rsid w:val="007B4B8A"/>
    <w:rsid w:val="007B4D4D"/>
    <w:rsid w:val="007B5A98"/>
    <w:rsid w:val="007B69C5"/>
    <w:rsid w:val="007B6DEF"/>
    <w:rsid w:val="007B719C"/>
    <w:rsid w:val="007B775C"/>
    <w:rsid w:val="007B7DDD"/>
    <w:rsid w:val="007C0B1B"/>
    <w:rsid w:val="007C1AD6"/>
    <w:rsid w:val="007C2625"/>
    <w:rsid w:val="007C31CD"/>
    <w:rsid w:val="007C36C0"/>
    <w:rsid w:val="007C3866"/>
    <w:rsid w:val="007C4020"/>
    <w:rsid w:val="007C53BA"/>
    <w:rsid w:val="007C57D2"/>
    <w:rsid w:val="007C6A62"/>
    <w:rsid w:val="007C765D"/>
    <w:rsid w:val="007C7732"/>
    <w:rsid w:val="007D0BA5"/>
    <w:rsid w:val="007D141D"/>
    <w:rsid w:val="007D242B"/>
    <w:rsid w:val="007D26FE"/>
    <w:rsid w:val="007D2A58"/>
    <w:rsid w:val="007D3300"/>
    <w:rsid w:val="007D3A44"/>
    <w:rsid w:val="007D427B"/>
    <w:rsid w:val="007D473E"/>
    <w:rsid w:val="007D4A7E"/>
    <w:rsid w:val="007D6BBC"/>
    <w:rsid w:val="007D6CAE"/>
    <w:rsid w:val="007D7011"/>
    <w:rsid w:val="007D74DE"/>
    <w:rsid w:val="007E073B"/>
    <w:rsid w:val="007E214E"/>
    <w:rsid w:val="007E22A6"/>
    <w:rsid w:val="007E3BCB"/>
    <w:rsid w:val="007E3D0A"/>
    <w:rsid w:val="007E4440"/>
    <w:rsid w:val="007E48F8"/>
    <w:rsid w:val="007E4F00"/>
    <w:rsid w:val="007E4F95"/>
    <w:rsid w:val="007E540B"/>
    <w:rsid w:val="007E5F04"/>
    <w:rsid w:val="007E6E78"/>
    <w:rsid w:val="007E7B2E"/>
    <w:rsid w:val="007F242C"/>
    <w:rsid w:val="007F24D3"/>
    <w:rsid w:val="007F2FC3"/>
    <w:rsid w:val="007F2FE0"/>
    <w:rsid w:val="007F42EB"/>
    <w:rsid w:val="007F4CE5"/>
    <w:rsid w:val="007F539F"/>
    <w:rsid w:val="007F6122"/>
    <w:rsid w:val="007F76F3"/>
    <w:rsid w:val="00800005"/>
    <w:rsid w:val="008017D8"/>
    <w:rsid w:val="00801C2D"/>
    <w:rsid w:val="00801C6E"/>
    <w:rsid w:val="008034B4"/>
    <w:rsid w:val="0080369D"/>
    <w:rsid w:val="00803E08"/>
    <w:rsid w:val="0080422A"/>
    <w:rsid w:val="00804E39"/>
    <w:rsid w:val="0080534C"/>
    <w:rsid w:val="00806444"/>
    <w:rsid w:val="00806518"/>
    <w:rsid w:val="00807112"/>
    <w:rsid w:val="00807444"/>
    <w:rsid w:val="008076C6"/>
    <w:rsid w:val="008078F6"/>
    <w:rsid w:val="008102EF"/>
    <w:rsid w:val="00812F74"/>
    <w:rsid w:val="00812F79"/>
    <w:rsid w:val="008146F2"/>
    <w:rsid w:val="00814A16"/>
    <w:rsid w:val="00815383"/>
    <w:rsid w:val="00815C81"/>
    <w:rsid w:val="00815FA4"/>
    <w:rsid w:val="008161F2"/>
    <w:rsid w:val="0081634D"/>
    <w:rsid w:val="0081681C"/>
    <w:rsid w:val="00816A38"/>
    <w:rsid w:val="00816D85"/>
    <w:rsid w:val="00817A5E"/>
    <w:rsid w:val="00817A6D"/>
    <w:rsid w:val="008209B1"/>
    <w:rsid w:val="008209EA"/>
    <w:rsid w:val="00821DDB"/>
    <w:rsid w:val="00822666"/>
    <w:rsid w:val="008229E6"/>
    <w:rsid w:val="008230A2"/>
    <w:rsid w:val="00823B2C"/>
    <w:rsid w:val="00824043"/>
    <w:rsid w:val="0082463E"/>
    <w:rsid w:val="00824913"/>
    <w:rsid w:val="00824FF0"/>
    <w:rsid w:val="00827DEB"/>
    <w:rsid w:val="008321DA"/>
    <w:rsid w:val="008324EE"/>
    <w:rsid w:val="00832654"/>
    <w:rsid w:val="0083267F"/>
    <w:rsid w:val="008334F6"/>
    <w:rsid w:val="00833FAE"/>
    <w:rsid w:val="008346CE"/>
    <w:rsid w:val="00835B66"/>
    <w:rsid w:val="00835FCC"/>
    <w:rsid w:val="0083674A"/>
    <w:rsid w:val="00836AEC"/>
    <w:rsid w:val="00837A75"/>
    <w:rsid w:val="00837BC7"/>
    <w:rsid w:val="0084179B"/>
    <w:rsid w:val="00842A44"/>
    <w:rsid w:val="00843B1F"/>
    <w:rsid w:val="00845091"/>
    <w:rsid w:val="008458D0"/>
    <w:rsid w:val="008461A3"/>
    <w:rsid w:val="008465A1"/>
    <w:rsid w:val="00846D79"/>
    <w:rsid w:val="00851386"/>
    <w:rsid w:val="00851C0C"/>
    <w:rsid w:val="00852C2C"/>
    <w:rsid w:val="00853CB7"/>
    <w:rsid w:val="0085531B"/>
    <w:rsid w:val="008570FB"/>
    <w:rsid w:val="008614B8"/>
    <w:rsid w:val="00861E43"/>
    <w:rsid w:val="00862079"/>
    <w:rsid w:val="0086268A"/>
    <w:rsid w:val="00862921"/>
    <w:rsid w:val="00862D1A"/>
    <w:rsid w:val="00862EBD"/>
    <w:rsid w:val="008667A6"/>
    <w:rsid w:val="00866F28"/>
    <w:rsid w:val="008701D3"/>
    <w:rsid w:val="00870DC5"/>
    <w:rsid w:val="0087133E"/>
    <w:rsid w:val="00875472"/>
    <w:rsid w:val="00875746"/>
    <w:rsid w:val="008768E9"/>
    <w:rsid w:val="008777EE"/>
    <w:rsid w:val="00877807"/>
    <w:rsid w:val="00883D7A"/>
    <w:rsid w:val="008843FE"/>
    <w:rsid w:val="00886377"/>
    <w:rsid w:val="00886D3E"/>
    <w:rsid w:val="00887EC8"/>
    <w:rsid w:val="0089211A"/>
    <w:rsid w:val="00892D28"/>
    <w:rsid w:val="00892D4C"/>
    <w:rsid w:val="008936F7"/>
    <w:rsid w:val="008977DB"/>
    <w:rsid w:val="008A12CE"/>
    <w:rsid w:val="008A1C43"/>
    <w:rsid w:val="008A1DE5"/>
    <w:rsid w:val="008A21B1"/>
    <w:rsid w:val="008A374D"/>
    <w:rsid w:val="008A41CF"/>
    <w:rsid w:val="008A4EFF"/>
    <w:rsid w:val="008A6196"/>
    <w:rsid w:val="008A7739"/>
    <w:rsid w:val="008A7FD5"/>
    <w:rsid w:val="008B0D73"/>
    <w:rsid w:val="008B1471"/>
    <w:rsid w:val="008B1DF8"/>
    <w:rsid w:val="008B2AE2"/>
    <w:rsid w:val="008B3162"/>
    <w:rsid w:val="008B507E"/>
    <w:rsid w:val="008B52F8"/>
    <w:rsid w:val="008B6C96"/>
    <w:rsid w:val="008B7743"/>
    <w:rsid w:val="008B7EA8"/>
    <w:rsid w:val="008C0055"/>
    <w:rsid w:val="008C1650"/>
    <w:rsid w:val="008C1C24"/>
    <w:rsid w:val="008C2A0D"/>
    <w:rsid w:val="008C3731"/>
    <w:rsid w:val="008C41E1"/>
    <w:rsid w:val="008C485E"/>
    <w:rsid w:val="008C5A24"/>
    <w:rsid w:val="008C6209"/>
    <w:rsid w:val="008C6963"/>
    <w:rsid w:val="008C7009"/>
    <w:rsid w:val="008C724A"/>
    <w:rsid w:val="008C7678"/>
    <w:rsid w:val="008D1178"/>
    <w:rsid w:val="008D136F"/>
    <w:rsid w:val="008D1711"/>
    <w:rsid w:val="008D1B1E"/>
    <w:rsid w:val="008D2216"/>
    <w:rsid w:val="008D2F47"/>
    <w:rsid w:val="008D3265"/>
    <w:rsid w:val="008D337C"/>
    <w:rsid w:val="008D3522"/>
    <w:rsid w:val="008D3A4E"/>
    <w:rsid w:val="008D4376"/>
    <w:rsid w:val="008D4BAC"/>
    <w:rsid w:val="008D4DF9"/>
    <w:rsid w:val="008D4E3D"/>
    <w:rsid w:val="008D6ABE"/>
    <w:rsid w:val="008E01E6"/>
    <w:rsid w:val="008E0F41"/>
    <w:rsid w:val="008E14B1"/>
    <w:rsid w:val="008E14C9"/>
    <w:rsid w:val="008E26CF"/>
    <w:rsid w:val="008E3788"/>
    <w:rsid w:val="008E3D78"/>
    <w:rsid w:val="008E4394"/>
    <w:rsid w:val="008E45EB"/>
    <w:rsid w:val="008E6386"/>
    <w:rsid w:val="008E63D6"/>
    <w:rsid w:val="008E69C5"/>
    <w:rsid w:val="008F002B"/>
    <w:rsid w:val="008F144F"/>
    <w:rsid w:val="008F2531"/>
    <w:rsid w:val="008F25F0"/>
    <w:rsid w:val="008F2E65"/>
    <w:rsid w:val="008F34F5"/>
    <w:rsid w:val="008F39CA"/>
    <w:rsid w:val="008F4189"/>
    <w:rsid w:val="008F4F50"/>
    <w:rsid w:val="008F4FC5"/>
    <w:rsid w:val="008F50A8"/>
    <w:rsid w:val="008F57CA"/>
    <w:rsid w:val="008F6935"/>
    <w:rsid w:val="008F6CDB"/>
    <w:rsid w:val="008F79BC"/>
    <w:rsid w:val="00900269"/>
    <w:rsid w:val="00900689"/>
    <w:rsid w:val="009045D8"/>
    <w:rsid w:val="00906F0A"/>
    <w:rsid w:val="009074B6"/>
    <w:rsid w:val="00911CF3"/>
    <w:rsid w:val="0091200F"/>
    <w:rsid w:val="009120A2"/>
    <w:rsid w:val="009127A2"/>
    <w:rsid w:val="009132D3"/>
    <w:rsid w:val="00915C07"/>
    <w:rsid w:val="00915E94"/>
    <w:rsid w:val="00916E7F"/>
    <w:rsid w:val="009206DD"/>
    <w:rsid w:val="0092090F"/>
    <w:rsid w:val="00920B18"/>
    <w:rsid w:val="00920F2E"/>
    <w:rsid w:val="00921066"/>
    <w:rsid w:val="009215C4"/>
    <w:rsid w:val="00921BFB"/>
    <w:rsid w:val="00922511"/>
    <w:rsid w:val="00923FF5"/>
    <w:rsid w:val="009241A1"/>
    <w:rsid w:val="0092546C"/>
    <w:rsid w:val="0092640F"/>
    <w:rsid w:val="00926884"/>
    <w:rsid w:val="009269AC"/>
    <w:rsid w:val="00927443"/>
    <w:rsid w:val="0092764E"/>
    <w:rsid w:val="009277C9"/>
    <w:rsid w:val="009303B5"/>
    <w:rsid w:val="00931ECA"/>
    <w:rsid w:val="00933035"/>
    <w:rsid w:val="00934A74"/>
    <w:rsid w:val="009364E9"/>
    <w:rsid w:val="009366F9"/>
    <w:rsid w:val="00936EF5"/>
    <w:rsid w:val="009370C8"/>
    <w:rsid w:val="009374BB"/>
    <w:rsid w:val="00937527"/>
    <w:rsid w:val="009403CB"/>
    <w:rsid w:val="00941843"/>
    <w:rsid w:val="0094185A"/>
    <w:rsid w:val="009433B6"/>
    <w:rsid w:val="00943E56"/>
    <w:rsid w:val="009441A3"/>
    <w:rsid w:val="009443D6"/>
    <w:rsid w:val="00944C47"/>
    <w:rsid w:val="00944F47"/>
    <w:rsid w:val="0094559A"/>
    <w:rsid w:val="009455B8"/>
    <w:rsid w:val="00945B01"/>
    <w:rsid w:val="00945D2C"/>
    <w:rsid w:val="00945E8E"/>
    <w:rsid w:val="00945F9D"/>
    <w:rsid w:val="009462A1"/>
    <w:rsid w:val="00950A36"/>
    <w:rsid w:val="00950BFE"/>
    <w:rsid w:val="00950F5D"/>
    <w:rsid w:val="009510B5"/>
    <w:rsid w:val="009511EB"/>
    <w:rsid w:val="0095139A"/>
    <w:rsid w:val="009522FF"/>
    <w:rsid w:val="00952C3F"/>
    <w:rsid w:val="0095512F"/>
    <w:rsid w:val="009563BE"/>
    <w:rsid w:val="00961907"/>
    <w:rsid w:val="00962650"/>
    <w:rsid w:val="00963A9F"/>
    <w:rsid w:val="0096410F"/>
    <w:rsid w:val="009643F3"/>
    <w:rsid w:val="00965489"/>
    <w:rsid w:val="009658CD"/>
    <w:rsid w:val="00966E34"/>
    <w:rsid w:val="00967611"/>
    <w:rsid w:val="00967958"/>
    <w:rsid w:val="009704AB"/>
    <w:rsid w:val="00971018"/>
    <w:rsid w:val="00972636"/>
    <w:rsid w:val="00972D89"/>
    <w:rsid w:val="00973726"/>
    <w:rsid w:val="0097444A"/>
    <w:rsid w:val="0097516D"/>
    <w:rsid w:val="009760A9"/>
    <w:rsid w:val="00977DFE"/>
    <w:rsid w:val="009813DE"/>
    <w:rsid w:val="009813F3"/>
    <w:rsid w:val="0098337A"/>
    <w:rsid w:val="00983EBA"/>
    <w:rsid w:val="00983F87"/>
    <w:rsid w:val="009845A5"/>
    <w:rsid w:val="0098495C"/>
    <w:rsid w:val="009857B4"/>
    <w:rsid w:val="00985B6D"/>
    <w:rsid w:val="00985D5D"/>
    <w:rsid w:val="0099023C"/>
    <w:rsid w:val="00990722"/>
    <w:rsid w:val="0099238B"/>
    <w:rsid w:val="00993824"/>
    <w:rsid w:val="00996C80"/>
    <w:rsid w:val="009976F6"/>
    <w:rsid w:val="00997D82"/>
    <w:rsid w:val="00997FDB"/>
    <w:rsid w:val="009A0397"/>
    <w:rsid w:val="009A051F"/>
    <w:rsid w:val="009A05F8"/>
    <w:rsid w:val="009A18D3"/>
    <w:rsid w:val="009A1ABE"/>
    <w:rsid w:val="009A1ED0"/>
    <w:rsid w:val="009A243C"/>
    <w:rsid w:val="009A2937"/>
    <w:rsid w:val="009A35F8"/>
    <w:rsid w:val="009A380C"/>
    <w:rsid w:val="009A42D3"/>
    <w:rsid w:val="009A4BC9"/>
    <w:rsid w:val="009A5789"/>
    <w:rsid w:val="009B0496"/>
    <w:rsid w:val="009B30CE"/>
    <w:rsid w:val="009B3620"/>
    <w:rsid w:val="009B4095"/>
    <w:rsid w:val="009B47AD"/>
    <w:rsid w:val="009B4A5A"/>
    <w:rsid w:val="009B5AC4"/>
    <w:rsid w:val="009B65C1"/>
    <w:rsid w:val="009B6E12"/>
    <w:rsid w:val="009B7860"/>
    <w:rsid w:val="009C325F"/>
    <w:rsid w:val="009C3FE6"/>
    <w:rsid w:val="009C44B0"/>
    <w:rsid w:val="009C54F7"/>
    <w:rsid w:val="009C6E7F"/>
    <w:rsid w:val="009D0230"/>
    <w:rsid w:val="009D08BA"/>
    <w:rsid w:val="009D0E31"/>
    <w:rsid w:val="009D1107"/>
    <w:rsid w:val="009D14C7"/>
    <w:rsid w:val="009D157A"/>
    <w:rsid w:val="009D1AB2"/>
    <w:rsid w:val="009D309F"/>
    <w:rsid w:val="009D3B51"/>
    <w:rsid w:val="009D448E"/>
    <w:rsid w:val="009D4812"/>
    <w:rsid w:val="009D53DE"/>
    <w:rsid w:val="009D5F00"/>
    <w:rsid w:val="009D5F3C"/>
    <w:rsid w:val="009D6526"/>
    <w:rsid w:val="009D66D0"/>
    <w:rsid w:val="009E0ACF"/>
    <w:rsid w:val="009E170D"/>
    <w:rsid w:val="009E27B4"/>
    <w:rsid w:val="009E311A"/>
    <w:rsid w:val="009E33A5"/>
    <w:rsid w:val="009E4032"/>
    <w:rsid w:val="009E576C"/>
    <w:rsid w:val="009E5C72"/>
    <w:rsid w:val="009E5DBF"/>
    <w:rsid w:val="009E6C5A"/>
    <w:rsid w:val="009E7A12"/>
    <w:rsid w:val="009F00D8"/>
    <w:rsid w:val="009F0AF4"/>
    <w:rsid w:val="009F104F"/>
    <w:rsid w:val="009F151B"/>
    <w:rsid w:val="009F1E07"/>
    <w:rsid w:val="009F35DF"/>
    <w:rsid w:val="009F5690"/>
    <w:rsid w:val="009F5D54"/>
    <w:rsid w:val="009F6517"/>
    <w:rsid w:val="009F76AF"/>
    <w:rsid w:val="009F7980"/>
    <w:rsid w:val="00A0032D"/>
    <w:rsid w:val="00A00ACF"/>
    <w:rsid w:val="00A00D9B"/>
    <w:rsid w:val="00A0200B"/>
    <w:rsid w:val="00A02D76"/>
    <w:rsid w:val="00A03D27"/>
    <w:rsid w:val="00A03EC2"/>
    <w:rsid w:val="00A04D61"/>
    <w:rsid w:val="00A054A7"/>
    <w:rsid w:val="00A058AD"/>
    <w:rsid w:val="00A05F8C"/>
    <w:rsid w:val="00A105B5"/>
    <w:rsid w:val="00A116E8"/>
    <w:rsid w:val="00A12633"/>
    <w:rsid w:val="00A151EB"/>
    <w:rsid w:val="00A156C5"/>
    <w:rsid w:val="00A158D8"/>
    <w:rsid w:val="00A22124"/>
    <w:rsid w:val="00A22554"/>
    <w:rsid w:val="00A225A8"/>
    <w:rsid w:val="00A227D5"/>
    <w:rsid w:val="00A22C35"/>
    <w:rsid w:val="00A22E2A"/>
    <w:rsid w:val="00A239FA"/>
    <w:rsid w:val="00A2420F"/>
    <w:rsid w:val="00A26877"/>
    <w:rsid w:val="00A26A20"/>
    <w:rsid w:val="00A305AB"/>
    <w:rsid w:val="00A34146"/>
    <w:rsid w:val="00A34FE9"/>
    <w:rsid w:val="00A35018"/>
    <w:rsid w:val="00A3515B"/>
    <w:rsid w:val="00A40383"/>
    <w:rsid w:val="00A4053F"/>
    <w:rsid w:val="00A41D31"/>
    <w:rsid w:val="00A42526"/>
    <w:rsid w:val="00A4275C"/>
    <w:rsid w:val="00A42FE4"/>
    <w:rsid w:val="00A43BB4"/>
    <w:rsid w:val="00A44B7C"/>
    <w:rsid w:val="00A4619F"/>
    <w:rsid w:val="00A474BA"/>
    <w:rsid w:val="00A47FA3"/>
    <w:rsid w:val="00A5019B"/>
    <w:rsid w:val="00A501D4"/>
    <w:rsid w:val="00A50F67"/>
    <w:rsid w:val="00A511D4"/>
    <w:rsid w:val="00A515CE"/>
    <w:rsid w:val="00A52443"/>
    <w:rsid w:val="00A52B3D"/>
    <w:rsid w:val="00A533A9"/>
    <w:rsid w:val="00A53E59"/>
    <w:rsid w:val="00A55151"/>
    <w:rsid w:val="00A551E5"/>
    <w:rsid w:val="00A5546D"/>
    <w:rsid w:val="00A55C92"/>
    <w:rsid w:val="00A56A4E"/>
    <w:rsid w:val="00A61C3E"/>
    <w:rsid w:val="00A622B9"/>
    <w:rsid w:val="00A62563"/>
    <w:rsid w:val="00A62D4B"/>
    <w:rsid w:val="00A63B6A"/>
    <w:rsid w:val="00A642BF"/>
    <w:rsid w:val="00A643B4"/>
    <w:rsid w:val="00A65824"/>
    <w:rsid w:val="00A66A50"/>
    <w:rsid w:val="00A709F4"/>
    <w:rsid w:val="00A71559"/>
    <w:rsid w:val="00A72B2C"/>
    <w:rsid w:val="00A72EB7"/>
    <w:rsid w:val="00A72FD1"/>
    <w:rsid w:val="00A73EBF"/>
    <w:rsid w:val="00A745EB"/>
    <w:rsid w:val="00A75089"/>
    <w:rsid w:val="00A75B5D"/>
    <w:rsid w:val="00A76011"/>
    <w:rsid w:val="00A7619E"/>
    <w:rsid w:val="00A77159"/>
    <w:rsid w:val="00A80C3F"/>
    <w:rsid w:val="00A8218D"/>
    <w:rsid w:val="00A82AFD"/>
    <w:rsid w:val="00A8306C"/>
    <w:rsid w:val="00A83622"/>
    <w:rsid w:val="00A83D1D"/>
    <w:rsid w:val="00A83E5A"/>
    <w:rsid w:val="00A84C3C"/>
    <w:rsid w:val="00A85552"/>
    <w:rsid w:val="00A85755"/>
    <w:rsid w:val="00A858E7"/>
    <w:rsid w:val="00A85ABC"/>
    <w:rsid w:val="00A86869"/>
    <w:rsid w:val="00A876B2"/>
    <w:rsid w:val="00A9013F"/>
    <w:rsid w:val="00A9069C"/>
    <w:rsid w:val="00A926AB"/>
    <w:rsid w:val="00A94A77"/>
    <w:rsid w:val="00A9524C"/>
    <w:rsid w:val="00A95259"/>
    <w:rsid w:val="00A96F66"/>
    <w:rsid w:val="00A971E9"/>
    <w:rsid w:val="00A972EF"/>
    <w:rsid w:val="00AA0EE5"/>
    <w:rsid w:val="00AA1FBE"/>
    <w:rsid w:val="00AA28FF"/>
    <w:rsid w:val="00AA2D16"/>
    <w:rsid w:val="00AA32D7"/>
    <w:rsid w:val="00AA3794"/>
    <w:rsid w:val="00AA52D5"/>
    <w:rsid w:val="00AA60CC"/>
    <w:rsid w:val="00AA63B7"/>
    <w:rsid w:val="00AA73F6"/>
    <w:rsid w:val="00AB0423"/>
    <w:rsid w:val="00AB0B98"/>
    <w:rsid w:val="00AB1750"/>
    <w:rsid w:val="00AB1DC4"/>
    <w:rsid w:val="00AB2225"/>
    <w:rsid w:val="00AB302C"/>
    <w:rsid w:val="00AB39FD"/>
    <w:rsid w:val="00AB3E99"/>
    <w:rsid w:val="00AB4309"/>
    <w:rsid w:val="00AB4590"/>
    <w:rsid w:val="00AB4941"/>
    <w:rsid w:val="00AB7059"/>
    <w:rsid w:val="00AB7F1C"/>
    <w:rsid w:val="00AB7FA2"/>
    <w:rsid w:val="00AC05F5"/>
    <w:rsid w:val="00AC0616"/>
    <w:rsid w:val="00AC1482"/>
    <w:rsid w:val="00AC1E22"/>
    <w:rsid w:val="00AC2BCD"/>
    <w:rsid w:val="00AC3481"/>
    <w:rsid w:val="00AC3841"/>
    <w:rsid w:val="00AC3BF3"/>
    <w:rsid w:val="00AC5C25"/>
    <w:rsid w:val="00AC5C86"/>
    <w:rsid w:val="00AC5CEE"/>
    <w:rsid w:val="00AC669D"/>
    <w:rsid w:val="00AC7CA6"/>
    <w:rsid w:val="00AD1AAE"/>
    <w:rsid w:val="00AD3920"/>
    <w:rsid w:val="00AD3AF3"/>
    <w:rsid w:val="00AD3FF7"/>
    <w:rsid w:val="00AD54A5"/>
    <w:rsid w:val="00AD55D4"/>
    <w:rsid w:val="00AD57B3"/>
    <w:rsid w:val="00AD69E7"/>
    <w:rsid w:val="00AD6C3C"/>
    <w:rsid w:val="00AD7097"/>
    <w:rsid w:val="00AD70BD"/>
    <w:rsid w:val="00AD7B37"/>
    <w:rsid w:val="00AE11D4"/>
    <w:rsid w:val="00AE1473"/>
    <w:rsid w:val="00AE278E"/>
    <w:rsid w:val="00AE36D2"/>
    <w:rsid w:val="00AE48F7"/>
    <w:rsid w:val="00AE4A32"/>
    <w:rsid w:val="00AE58AF"/>
    <w:rsid w:val="00AE7035"/>
    <w:rsid w:val="00AE714F"/>
    <w:rsid w:val="00AF01B7"/>
    <w:rsid w:val="00AF05CE"/>
    <w:rsid w:val="00AF1BC2"/>
    <w:rsid w:val="00AF1D69"/>
    <w:rsid w:val="00AF2720"/>
    <w:rsid w:val="00AF32C8"/>
    <w:rsid w:val="00AF38E3"/>
    <w:rsid w:val="00AF3BB9"/>
    <w:rsid w:val="00AF47FB"/>
    <w:rsid w:val="00AF489E"/>
    <w:rsid w:val="00AF5D17"/>
    <w:rsid w:val="00AF612A"/>
    <w:rsid w:val="00AF72B4"/>
    <w:rsid w:val="00AF7496"/>
    <w:rsid w:val="00AF7FCD"/>
    <w:rsid w:val="00B00158"/>
    <w:rsid w:val="00B0024F"/>
    <w:rsid w:val="00B0163E"/>
    <w:rsid w:val="00B01CB5"/>
    <w:rsid w:val="00B033D4"/>
    <w:rsid w:val="00B045EB"/>
    <w:rsid w:val="00B05941"/>
    <w:rsid w:val="00B07388"/>
    <w:rsid w:val="00B10824"/>
    <w:rsid w:val="00B1142D"/>
    <w:rsid w:val="00B11CBC"/>
    <w:rsid w:val="00B14199"/>
    <w:rsid w:val="00B14AA4"/>
    <w:rsid w:val="00B16031"/>
    <w:rsid w:val="00B20371"/>
    <w:rsid w:val="00B20450"/>
    <w:rsid w:val="00B20C1C"/>
    <w:rsid w:val="00B217F7"/>
    <w:rsid w:val="00B223F7"/>
    <w:rsid w:val="00B22D7A"/>
    <w:rsid w:val="00B2394F"/>
    <w:rsid w:val="00B25BDC"/>
    <w:rsid w:val="00B26466"/>
    <w:rsid w:val="00B27571"/>
    <w:rsid w:val="00B27689"/>
    <w:rsid w:val="00B27F00"/>
    <w:rsid w:val="00B27F8C"/>
    <w:rsid w:val="00B317E2"/>
    <w:rsid w:val="00B31A61"/>
    <w:rsid w:val="00B33DE0"/>
    <w:rsid w:val="00B343ED"/>
    <w:rsid w:val="00B35007"/>
    <w:rsid w:val="00B36933"/>
    <w:rsid w:val="00B40BAD"/>
    <w:rsid w:val="00B41687"/>
    <w:rsid w:val="00B427F1"/>
    <w:rsid w:val="00B42841"/>
    <w:rsid w:val="00B42CDE"/>
    <w:rsid w:val="00B42DDC"/>
    <w:rsid w:val="00B44963"/>
    <w:rsid w:val="00B44B77"/>
    <w:rsid w:val="00B46EE3"/>
    <w:rsid w:val="00B47D5D"/>
    <w:rsid w:val="00B51AAD"/>
    <w:rsid w:val="00B51E11"/>
    <w:rsid w:val="00B52978"/>
    <w:rsid w:val="00B53051"/>
    <w:rsid w:val="00B535F7"/>
    <w:rsid w:val="00B53F4B"/>
    <w:rsid w:val="00B54609"/>
    <w:rsid w:val="00B5664F"/>
    <w:rsid w:val="00B566E0"/>
    <w:rsid w:val="00B56CC1"/>
    <w:rsid w:val="00B57C47"/>
    <w:rsid w:val="00B615F9"/>
    <w:rsid w:val="00B62542"/>
    <w:rsid w:val="00B62D8A"/>
    <w:rsid w:val="00B641DE"/>
    <w:rsid w:val="00B644F3"/>
    <w:rsid w:val="00B651AA"/>
    <w:rsid w:val="00B7095B"/>
    <w:rsid w:val="00B7110C"/>
    <w:rsid w:val="00B714EE"/>
    <w:rsid w:val="00B71CC1"/>
    <w:rsid w:val="00B720B1"/>
    <w:rsid w:val="00B721E6"/>
    <w:rsid w:val="00B73A0C"/>
    <w:rsid w:val="00B7405F"/>
    <w:rsid w:val="00B74B20"/>
    <w:rsid w:val="00B76F64"/>
    <w:rsid w:val="00B77C4B"/>
    <w:rsid w:val="00B77D8F"/>
    <w:rsid w:val="00B82738"/>
    <w:rsid w:val="00B828C8"/>
    <w:rsid w:val="00B82EC9"/>
    <w:rsid w:val="00B84381"/>
    <w:rsid w:val="00B846C7"/>
    <w:rsid w:val="00B860FD"/>
    <w:rsid w:val="00B862D5"/>
    <w:rsid w:val="00B871F5"/>
    <w:rsid w:val="00B8747F"/>
    <w:rsid w:val="00B904AF"/>
    <w:rsid w:val="00B90E12"/>
    <w:rsid w:val="00B91C86"/>
    <w:rsid w:val="00B92637"/>
    <w:rsid w:val="00B959A0"/>
    <w:rsid w:val="00B96CA7"/>
    <w:rsid w:val="00B96F06"/>
    <w:rsid w:val="00B97107"/>
    <w:rsid w:val="00B97ABC"/>
    <w:rsid w:val="00BA0034"/>
    <w:rsid w:val="00BA2801"/>
    <w:rsid w:val="00BA3AA4"/>
    <w:rsid w:val="00BA41AE"/>
    <w:rsid w:val="00BA5FA4"/>
    <w:rsid w:val="00BA6402"/>
    <w:rsid w:val="00BA6EB0"/>
    <w:rsid w:val="00BA7085"/>
    <w:rsid w:val="00BB071D"/>
    <w:rsid w:val="00BB3AD8"/>
    <w:rsid w:val="00BB3EB1"/>
    <w:rsid w:val="00BB63E0"/>
    <w:rsid w:val="00BC0D15"/>
    <w:rsid w:val="00BC1CBA"/>
    <w:rsid w:val="00BC1E0A"/>
    <w:rsid w:val="00BC209B"/>
    <w:rsid w:val="00BC27A3"/>
    <w:rsid w:val="00BC292C"/>
    <w:rsid w:val="00BC330B"/>
    <w:rsid w:val="00BC3D68"/>
    <w:rsid w:val="00BC4180"/>
    <w:rsid w:val="00BC420D"/>
    <w:rsid w:val="00BC4386"/>
    <w:rsid w:val="00BC59FD"/>
    <w:rsid w:val="00BC64ED"/>
    <w:rsid w:val="00BC716A"/>
    <w:rsid w:val="00BC7DE9"/>
    <w:rsid w:val="00BD1B2D"/>
    <w:rsid w:val="00BD2E24"/>
    <w:rsid w:val="00BD3086"/>
    <w:rsid w:val="00BD3BCC"/>
    <w:rsid w:val="00BD4A32"/>
    <w:rsid w:val="00BD4DF3"/>
    <w:rsid w:val="00BE1A3F"/>
    <w:rsid w:val="00BE4DC7"/>
    <w:rsid w:val="00BE5899"/>
    <w:rsid w:val="00BE5D58"/>
    <w:rsid w:val="00BE61C5"/>
    <w:rsid w:val="00BE62DC"/>
    <w:rsid w:val="00BE6318"/>
    <w:rsid w:val="00BE64F3"/>
    <w:rsid w:val="00BE72FD"/>
    <w:rsid w:val="00BE7900"/>
    <w:rsid w:val="00BF0A7D"/>
    <w:rsid w:val="00BF0D37"/>
    <w:rsid w:val="00BF1B26"/>
    <w:rsid w:val="00BF229F"/>
    <w:rsid w:val="00BF2C4D"/>
    <w:rsid w:val="00BF40D1"/>
    <w:rsid w:val="00BF4990"/>
    <w:rsid w:val="00BF5188"/>
    <w:rsid w:val="00BF5630"/>
    <w:rsid w:val="00BF5A38"/>
    <w:rsid w:val="00BF7C1B"/>
    <w:rsid w:val="00C016D1"/>
    <w:rsid w:val="00C03484"/>
    <w:rsid w:val="00C041E8"/>
    <w:rsid w:val="00C047B2"/>
    <w:rsid w:val="00C05D9F"/>
    <w:rsid w:val="00C0758E"/>
    <w:rsid w:val="00C075D5"/>
    <w:rsid w:val="00C07F52"/>
    <w:rsid w:val="00C1029C"/>
    <w:rsid w:val="00C11B4A"/>
    <w:rsid w:val="00C13633"/>
    <w:rsid w:val="00C1457E"/>
    <w:rsid w:val="00C15266"/>
    <w:rsid w:val="00C15B28"/>
    <w:rsid w:val="00C1682E"/>
    <w:rsid w:val="00C17775"/>
    <w:rsid w:val="00C17891"/>
    <w:rsid w:val="00C1799E"/>
    <w:rsid w:val="00C20115"/>
    <w:rsid w:val="00C202E4"/>
    <w:rsid w:val="00C215AF"/>
    <w:rsid w:val="00C216F9"/>
    <w:rsid w:val="00C2211B"/>
    <w:rsid w:val="00C2268A"/>
    <w:rsid w:val="00C22F0A"/>
    <w:rsid w:val="00C24CB3"/>
    <w:rsid w:val="00C256CF"/>
    <w:rsid w:val="00C25981"/>
    <w:rsid w:val="00C2611D"/>
    <w:rsid w:val="00C2713B"/>
    <w:rsid w:val="00C302BE"/>
    <w:rsid w:val="00C30C53"/>
    <w:rsid w:val="00C312A0"/>
    <w:rsid w:val="00C3144C"/>
    <w:rsid w:val="00C319DC"/>
    <w:rsid w:val="00C3273F"/>
    <w:rsid w:val="00C347EF"/>
    <w:rsid w:val="00C35248"/>
    <w:rsid w:val="00C36468"/>
    <w:rsid w:val="00C3706D"/>
    <w:rsid w:val="00C37158"/>
    <w:rsid w:val="00C37A48"/>
    <w:rsid w:val="00C37D98"/>
    <w:rsid w:val="00C402CF"/>
    <w:rsid w:val="00C419A6"/>
    <w:rsid w:val="00C435C0"/>
    <w:rsid w:val="00C43C04"/>
    <w:rsid w:val="00C44BDC"/>
    <w:rsid w:val="00C45859"/>
    <w:rsid w:val="00C45A67"/>
    <w:rsid w:val="00C45F50"/>
    <w:rsid w:val="00C46508"/>
    <w:rsid w:val="00C470B0"/>
    <w:rsid w:val="00C478EA"/>
    <w:rsid w:val="00C503F8"/>
    <w:rsid w:val="00C5047C"/>
    <w:rsid w:val="00C50F6D"/>
    <w:rsid w:val="00C51011"/>
    <w:rsid w:val="00C5324A"/>
    <w:rsid w:val="00C53486"/>
    <w:rsid w:val="00C53A1E"/>
    <w:rsid w:val="00C545EE"/>
    <w:rsid w:val="00C548A8"/>
    <w:rsid w:val="00C564A4"/>
    <w:rsid w:val="00C566EF"/>
    <w:rsid w:val="00C56F09"/>
    <w:rsid w:val="00C60A03"/>
    <w:rsid w:val="00C617DF"/>
    <w:rsid w:val="00C61CA6"/>
    <w:rsid w:val="00C6278D"/>
    <w:rsid w:val="00C6344F"/>
    <w:rsid w:val="00C638E5"/>
    <w:rsid w:val="00C63EB8"/>
    <w:rsid w:val="00C640BB"/>
    <w:rsid w:val="00C65661"/>
    <w:rsid w:val="00C65A92"/>
    <w:rsid w:val="00C6648F"/>
    <w:rsid w:val="00C67C8D"/>
    <w:rsid w:val="00C67F71"/>
    <w:rsid w:val="00C72224"/>
    <w:rsid w:val="00C7299C"/>
    <w:rsid w:val="00C72CF8"/>
    <w:rsid w:val="00C72D5E"/>
    <w:rsid w:val="00C74027"/>
    <w:rsid w:val="00C76409"/>
    <w:rsid w:val="00C805ED"/>
    <w:rsid w:val="00C814D3"/>
    <w:rsid w:val="00C815F1"/>
    <w:rsid w:val="00C81BE7"/>
    <w:rsid w:val="00C81CC6"/>
    <w:rsid w:val="00C81CFD"/>
    <w:rsid w:val="00C8400D"/>
    <w:rsid w:val="00C8632E"/>
    <w:rsid w:val="00C866E7"/>
    <w:rsid w:val="00C90643"/>
    <w:rsid w:val="00C90B5B"/>
    <w:rsid w:val="00C90BF8"/>
    <w:rsid w:val="00C921DC"/>
    <w:rsid w:val="00C94C38"/>
    <w:rsid w:val="00C956D7"/>
    <w:rsid w:val="00C9600D"/>
    <w:rsid w:val="00C972A8"/>
    <w:rsid w:val="00C974AE"/>
    <w:rsid w:val="00C977D3"/>
    <w:rsid w:val="00CA0042"/>
    <w:rsid w:val="00CA0D44"/>
    <w:rsid w:val="00CA2043"/>
    <w:rsid w:val="00CA22E7"/>
    <w:rsid w:val="00CA2B8D"/>
    <w:rsid w:val="00CA3A40"/>
    <w:rsid w:val="00CA5E6E"/>
    <w:rsid w:val="00CA5FDE"/>
    <w:rsid w:val="00CA6033"/>
    <w:rsid w:val="00CA67E3"/>
    <w:rsid w:val="00CA6DA8"/>
    <w:rsid w:val="00CA6E41"/>
    <w:rsid w:val="00CA7015"/>
    <w:rsid w:val="00CB00E8"/>
    <w:rsid w:val="00CB08A7"/>
    <w:rsid w:val="00CB140C"/>
    <w:rsid w:val="00CB19B3"/>
    <w:rsid w:val="00CB2593"/>
    <w:rsid w:val="00CB35F9"/>
    <w:rsid w:val="00CB38F5"/>
    <w:rsid w:val="00CB5019"/>
    <w:rsid w:val="00CB5CF9"/>
    <w:rsid w:val="00CB6981"/>
    <w:rsid w:val="00CB71A1"/>
    <w:rsid w:val="00CC054C"/>
    <w:rsid w:val="00CC0955"/>
    <w:rsid w:val="00CC0DA6"/>
    <w:rsid w:val="00CC21F8"/>
    <w:rsid w:val="00CC291B"/>
    <w:rsid w:val="00CC3A8D"/>
    <w:rsid w:val="00CC4031"/>
    <w:rsid w:val="00CC42B6"/>
    <w:rsid w:val="00CC5655"/>
    <w:rsid w:val="00CC7394"/>
    <w:rsid w:val="00CD0C3E"/>
    <w:rsid w:val="00CD0FAA"/>
    <w:rsid w:val="00CD224F"/>
    <w:rsid w:val="00CD30EC"/>
    <w:rsid w:val="00CD3276"/>
    <w:rsid w:val="00CD50E5"/>
    <w:rsid w:val="00CD5130"/>
    <w:rsid w:val="00CD7329"/>
    <w:rsid w:val="00CE05EE"/>
    <w:rsid w:val="00CE0DAE"/>
    <w:rsid w:val="00CE1346"/>
    <w:rsid w:val="00CE1C5C"/>
    <w:rsid w:val="00CE491A"/>
    <w:rsid w:val="00CE5C76"/>
    <w:rsid w:val="00CE6F1B"/>
    <w:rsid w:val="00CE6FD1"/>
    <w:rsid w:val="00CE776E"/>
    <w:rsid w:val="00CF1BD6"/>
    <w:rsid w:val="00CF1C8E"/>
    <w:rsid w:val="00CF2849"/>
    <w:rsid w:val="00CF329C"/>
    <w:rsid w:val="00CF37CF"/>
    <w:rsid w:val="00CF3E86"/>
    <w:rsid w:val="00CF43E7"/>
    <w:rsid w:val="00CF4A07"/>
    <w:rsid w:val="00CF4B35"/>
    <w:rsid w:val="00CF502F"/>
    <w:rsid w:val="00CF528C"/>
    <w:rsid w:val="00CF533A"/>
    <w:rsid w:val="00CF58EC"/>
    <w:rsid w:val="00CF5AC9"/>
    <w:rsid w:val="00CF5CCF"/>
    <w:rsid w:val="00CF72F0"/>
    <w:rsid w:val="00CF7EA0"/>
    <w:rsid w:val="00D00551"/>
    <w:rsid w:val="00D005D8"/>
    <w:rsid w:val="00D02288"/>
    <w:rsid w:val="00D025BB"/>
    <w:rsid w:val="00D02611"/>
    <w:rsid w:val="00D02A13"/>
    <w:rsid w:val="00D034A6"/>
    <w:rsid w:val="00D03613"/>
    <w:rsid w:val="00D04423"/>
    <w:rsid w:val="00D058F0"/>
    <w:rsid w:val="00D0657E"/>
    <w:rsid w:val="00D06F3F"/>
    <w:rsid w:val="00D07A25"/>
    <w:rsid w:val="00D10B4A"/>
    <w:rsid w:val="00D110E5"/>
    <w:rsid w:val="00D1399A"/>
    <w:rsid w:val="00D13CA9"/>
    <w:rsid w:val="00D14087"/>
    <w:rsid w:val="00D149DF"/>
    <w:rsid w:val="00D15CE9"/>
    <w:rsid w:val="00D15E84"/>
    <w:rsid w:val="00D178BD"/>
    <w:rsid w:val="00D214D4"/>
    <w:rsid w:val="00D22273"/>
    <w:rsid w:val="00D223E0"/>
    <w:rsid w:val="00D23943"/>
    <w:rsid w:val="00D24107"/>
    <w:rsid w:val="00D261AE"/>
    <w:rsid w:val="00D26960"/>
    <w:rsid w:val="00D26D58"/>
    <w:rsid w:val="00D336B0"/>
    <w:rsid w:val="00D34622"/>
    <w:rsid w:val="00D34D44"/>
    <w:rsid w:val="00D35384"/>
    <w:rsid w:val="00D35EE5"/>
    <w:rsid w:val="00D36560"/>
    <w:rsid w:val="00D36676"/>
    <w:rsid w:val="00D36EAC"/>
    <w:rsid w:val="00D36F96"/>
    <w:rsid w:val="00D405A4"/>
    <w:rsid w:val="00D41927"/>
    <w:rsid w:val="00D42EC3"/>
    <w:rsid w:val="00D4301F"/>
    <w:rsid w:val="00D43651"/>
    <w:rsid w:val="00D46FCB"/>
    <w:rsid w:val="00D50226"/>
    <w:rsid w:val="00D50445"/>
    <w:rsid w:val="00D505FD"/>
    <w:rsid w:val="00D50AAC"/>
    <w:rsid w:val="00D52797"/>
    <w:rsid w:val="00D52BC9"/>
    <w:rsid w:val="00D5351B"/>
    <w:rsid w:val="00D61D7A"/>
    <w:rsid w:val="00D621C2"/>
    <w:rsid w:val="00D6429E"/>
    <w:rsid w:val="00D65813"/>
    <w:rsid w:val="00D65A3A"/>
    <w:rsid w:val="00D6656A"/>
    <w:rsid w:val="00D67225"/>
    <w:rsid w:val="00D674B6"/>
    <w:rsid w:val="00D703B6"/>
    <w:rsid w:val="00D70A4E"/>
    <w:rsid w:val="00D71C9C"/>
    <w:rsid w:val="00D72939"/>
    <w:rsid w:val="00D740EF"/>
    <w:rsid w:val="00D7443B"/>
    <w:rsid w:val="00D7565F"/>
    <w:rsid w:val="00D75709"/>
    <w:rsid w:val="00D764BA"/>
    <w:rsid w:val="00D7708D"/>
    <w:rsid w:val="00D77E93"/>
    <w:rsid w:val="00D81C71"/>
    <w:rsid w:val="00D82D95"/>
    <w:rsid w:val="00D83DB1"/>
    <w:rsid w:val="00D84481"/>
    <w:rsid w:val="00D845CD"/>
    <w:rsid w:val="00D858D5"/>
    <w:rsid w:val="00D85DA0"/>
    <w:rsid w:val="00D86384"/>
    <w:rsid w:val="00D905EA"/>
    <w:rsid w:val="00D91101"/>
    <w:rsid w:val="00D91C8D"/>
    <w:rsid w:val="00D922F5"/>
    <w:rsid w:val="00D92655"/>
    <w:rsid w:val="00D93012"/>
    <w:rsid w:val="00D963BD"/>
    <w:rsid w:val="00D96542"/>
    <w:rsid w:val="00D9670E"/>
    <w:rsid w:val="00D969DB"/>
    <w:rsid w:val="00D97A6A"/>
    <w:rsid w:val="00D97F36"/>
    <w:rsid w:val="00DA067E"/>
    <w:rsid w:val="00DA09F4"/>
    <w:rsid w:val="00DA10C0"/>
    <w:rsid w:val="00DA2CC5"/>
    <w:rsid w:val="00DA35A0"/>
    <w:rsid w:val="00DA38E8"/>
    <w:rsid w:val="00DA57A1"/>
    <w:rsid w:val="00DA6F42"/>
    <w:rsid w:val="00DA700F"/>
    <w:rsid w:val="00DA7B7D"/>
    <w:rsid w:val="00DA7DD2"/>
    <w:rsid w:val="00DB0398"/>
    <w:rsid w:val="00DB07B2"/>
    <w:rsid w:val="00DB0F24"/>
    <w:rsid w:val="00DB1540"/>
    <w:rsid w:val="00DB34D0"/>
    <w:rsid w:val="00DB5A98"/>
    <w:rsid w:val="00DB6143"/>
    <w:rsid w:val="00DB62EF"/>
    <w:rsid w:val="00DB702B"/>
    <w:rsid w:val="00DB73B0"/>
    <w:rsid w:val="00DC10BB"/>
    <w:rsid w:val="00DC3750"/>
    <w:rsid w:val="00DC3831"/>
    <w:rsid w:val="00DC4CDC"/>
    <w:rsid w:val="00DC5691"/>
    <w:rsid w:val="00DC64A8"/>
    <w:rsid w:val="00DC6A5D"/>
    <w:rsid w:val="00DC73C9"/>
    <w:rsid w:val="00DD026E"/>
    <w:rsid w:val="00DD0362"/>
    <w:rsid w:val="00DD0750"/>
    <w:rsid w:val="00DD0EA0"/>
    <w:rsid w:val="00DD2D94"/>
    <w:rsid w:val="00DD3044"/>
    <w:rsid w:val="00DD325A"/>
    <w:rsid w:val="00DD37C4"/>
    <w:rsid w:val="00DD3925"/>
    <w:rsid w:val="00DD4AD4"/>
    <w:rsid w:val="00DD55DE"/>
    <w:rsid w:val="00DD561D"/>
    <w:rsid w:val="00DD5A0E"/>
    <w:rsid w:val="00DD5D50"/>
    <w:rsid w:val="00DD6E1E"/>
    <w:rsid w:val="00DE02EF"/>
    <w:rsid w:val="00DE0A0B"/>
    <w:rsid w:val="00DE1149"/>
    <w:rsid w:val="00DE1C12"/>
    <w:rsid w:val="00DE20DB"/>
    <w:rsid w:val="00DE2686"/>
    <w:rsid w:val="00DE2E99"/>
    <w:rsid w:val="00DE361C"/>
    <w:rsid w:val="00DE3C81"/>
    <w:rsid w:val="00DE4448"/>
    <w:rsid w:val="00DE5E14"/>
    <w:rsid w:val="00DF0156"/>
    <w:rsid w:val="00DF084E"/>
    <w:rsid w:val="00DF0B62"/>
    <w:rsid w:val="00DF0DA8"/>
    <w:rsid w:val="00DF1111"/>
    <w:rsid w:val="00DF133D"/>
    <w:rsid w:val="00DF2D3F"/>
    <w:rsid w:val="00DF3124"/>
    <w:rsid w:val="00DF3D6E"/>
    <w:rsid w:val="00DF43C4"/>
    <w:rsid w:val="00DF474D"/>
    <w:rsid w:val="00DF57FD"/>
    <w:rsid w:val="00DF6130"/>
    <w:rsid w:val="00DF6A2C"/>
    <w:rsid w:val="00DF7B96"/>
    <w:rsid w:val="00E00661"/>
    <w:rsid w:val="00E00EB8"/>
    <w:rsid w:val="00E010F8"/>
    <w:rsid w:val="00E01A85"/>
    <w:rsid w:val="00E020BE"/>
    <w:rsid w:val="00E034B9"/>
    <w:rsid w:val="00E03908"/>
    <w:rsid w:val="00E04D41"/>
    <w:rsid w:val="00E052F7"/>
    <w:rsid w:val="00E060FB"/>
    <w:rsid w:val="00E06EB4"/>
    <w:rsid w:val="00E06ECA"/>
    <w:rsid w:val="00E07788"/>
    <w:rsid w:val="00E07CA7"/>
    <w:rsid w:val="00E10232"/>
    <w:rsid w:val="00E1081F"/>
    <w:rsid w:val="00E115AA"/>
    <w:rsid w:val="00E14018"/>
    <w:rsid w:val="00E146D4"/>
    <w:rsid w:val="00E14E83"/>
    <w:rsid w:val="00E2100C"/>
    <w:rsid w:val="00E223DE"/>
    <w:rsid w:val="00E225C1"/>
    <w:rsid w:val="00E25012"/>
    <w:rsid w:val="00E2538C"/>
    <w:rsid w:val="00E26B53"/>
    <w:rsid w:val="00E2729B"/>
    <w:rsid w:val="00E27B6F"/>
    <w:rsid w:val="00E30770"/>
    <w:rsid w:val="00E33C4C"/>
    <w:rsid w:val="00E3589F"/>
    <w:rsid w:val="00E366BA"/>
    <w:rsid w:val="00E36D9A"/>
    <w:rsid w:val="00E41568"/>
    <w:rsid w:val="00E41830"/>
    <w:rsid w:val="00E43872"/>
    <w:rsid w:val="00E43E5D"/>
    <w:rsid w:val="00E43F24"/>
    <w:rsid w:val="00E4428D"/>
    <w:rsid w:val="00E46EE4"/>
    <w:rsid w:val="00E47B9C"/>
    <w:rsid w:val="00E5181F"/>
    <w:rsid w:val="00E51AF6"/>
    <w:rsid w:val="00E51FE1"/>
    <w:rsid w:val="00E528CC"/>
    <w:rsid w:val="00E558C6"/>
    <w:rsid w:val="00E5594D"/>
    <w:rsid w:val="00E56C06"/>
    <w:rsid w:val="00E57197"/>
    <w:rsid w:val="00E60AF4"/>
    <w:rsid w:val="00E61929"/>
    <w:rsid w:val="00E61C52"/>
    <w:rsid w:val="00E64A35"/>
    <w:rsid w:val="00E64E51"/>
    <w:rsid w:val="00E6512C"/>
    <w:rsid w:val="00E65407"/>
    <w:rsid w:val="00E658DF"/>
    <w:rsid w:val="00E658FE"/>
    <w:rsid w:val="00E65D13"/>
    <w:rsid w:val="00E65D17"/>
    <w:rsid w:val="00E66170"/>
    <w:rsid w:val="00E664F2"/>
    <w:rsid w:val="00E67228"/>
    <w:rsid w:val="00E6781C"/>
    <w:rsid w:val="00E70ADE"/>
    <w:rsid w:val="00E70B2F"/>
    <w:rsid w:val="00E7128C"/>
    <w:rsid w:val="00E71B14"/>
    <w:rsid w:val="00E72EE9"/>
    <w:rsid w:val="00E75246"/>
    <w:rsid w:val="00E7654B"/>
    <w:rsid w:val="00E76F47"/>
    <w:rsid w:val="00E7770C"/>
    <w:rsid w:val="00E77B9C"/>
    <w:rsid w:val="00E812EA"/>
    <w:rsid w:val="00E81F0E"/>
    <w:rsid w:val="00E82558"/>
    <w:rsid w:val="00E83445"/>
    <w:rsid w:val="00E8359C"/>
    <w:rsid w:val="00E8473E"/>
    <w:rsid w:val="00E8563F"/>
    <w:rsid w:val="00E866FC"/>
    <w:rsid w:val="00E87AF4"/>
    <w:rsid w:val="00E90D78"/>
    <w:rsid w:val="00E92195"/>
    <w:rsid w:val="00E93021"/>
    <w:rsid w:val="00E9331E"/>
    <w:rsid w:val="00E9387D"/>
    <w:rsid w:val="00E93CD6"/>
    <w:rsid w:val="00E945DB"/>
    <w:rsid w:val="00E94990"/>
    <w:rsid w:val="00E95E8C"/>
    <w:rsid w:val="00E96DB0"/>
    <w:rsid w:val="00EA0081"/>
    <w:rsid w:val="00EA0B29"/>
    <w:rsid w:val="00EA15EF"/>
    <w:rsid w:val="00EA2AF8"/>
    <w:rsid w:val="00EA2C4F"/>
    <w:rsid w:val="00EA2D25"/>
    <w:rsid w:val="00EA6501"/>
    <w:rsid w:val="00EA6563"/>
    <w:rsid w:val="00EA6E51"/>
    <w:rsid w:val="00EA6E94"/>
    <w:rsid w:val="00EB03FC"/>
    <w:rsid w:val="00EB0416"/>
    <w:rsid w:val="00EB1783"/>
    <w:rsid w:val="00EB20B8"/>
    <w:rsid w:val="00EB4814"/>
    <w:rsid w:val="00EB4931"/>
    <w:rsid w:val="00EB4E36"/>
    <w:rsid w:val="00EB5470"/>
    <w:rsid w:val="00EB5998"/>
    <w:rsid w:val="00EB5F68"/>
    <w:rsid w:val="00EB622F"/>
    <w:rsid w:val="00EB6C57"/>
    <w:rsid w:val="00EC19B9"/>
    <w:rsid w:val="00EC2104"/>
    <w:rsid w:val="00EC2E8A"/>
    <w:rsid w:val="00EC4781"/>
    <w:rsid w:val="00EC6357"/>
    <w:rsid w:val="00EC6717"/>
    <w:rsid w:val="00EC687D"/>
    <w:rsid w:val="00EC7270"/>
    <w:rsid w:val="00EC7C52"/>
    <w:rsid w:val="00EC7F9C"/>
    <w:rsid w:val="00ED11FE"/>
    <w:rsid w:val="00ED190C"/>
    <w:rsid w:val="00ED1C2A"/>
    <w:rsid w:val="00ED4C62"/>
    <w:rsid w:val="00ED4ED5"/>
    <w:rsid w:val="00ED5B11"/>
    <w:rsid w:val="00ED5E94"/>
    <w:rsid w:val="00EE0BB6"/>
    <w:rsid w:val="00EE1AAF"/>
    <w:rsid w:val="00EE372F"/>
    <w:rsid w:val="00EE438A"/>
    <w:rsid w:val="00EE4AC6"/>
    <w:rsid w:val="00EE4BD4"/>
    <w:rsid w:val="00EE58CB"/>
    <w:rsid w:val="00EE7070"/>
    <w:rsid w:val="00EF0017"/>
    <w:rsid w:val="00EF1EAE"/>
    <w:rsid w:val="00EF29F8"/>
    <w:rsid w:val="00EF4AC6"/>
    <w:rsid w:val="00EF4F9A"/>
    <w:rsid w:val="00EF6B74"/>
    <w:rsid w:val="00EF718D"/>
    <w:rsid w:val="00EF74C5"/>
    <w:rsid w:val="00F00083"/>
    <w:rsid w:val="00F003F5"/>
    <w:rsid w:val="00F00E1C"/>
    <w:rsid w:val="00F02397"/>
    <w:rsid w:val="00F029F9"/>
    <w:rsid w:val="00F06A78"/>
    <w:rsid w:val="00F07124"/>
    <w:rsid w:val="00F071AA"/>
    <w:rsid w:val="00F07CD3"/>
    <w:rsid w:val="00F10001"/>
    <w:rsid w:val="00F1070F"/>
    <w:rsid w:val="00F12C53"/>
    <w:rsid w:val="00F13C59"/>
    <w:rsid w:val="00F14852"/>
    <w:rsid w:val="00F15024"/>
    <w:rsid w:val="00F150FD"/>
    <w:rsid w:val="00F15227"/>
    <w:rsid w:val="00F17F4A"/>
    <w:rsid w:val="00F20B09"/>
    <w:rsid w:val="00F21A3B"/>
    <w:rsid w:val="00F2265F"/>
    <w:rsid w:val="00F23084"/>
    <w:rsid w:val="00F23D48"/>
    <w:rsid w:val="00F23EBD"/>
    <w:rsid w:val="00F241F1"/>
    <w:rsid w:val="00F24755"/>
    <w:rsid w:val="00F25356"/>
    <w:rsid w:val="00F26345"/>
    <w:rsid w:val="00F27E91"/>
    <w:rsid w:val="00F306EC"/>
    <w:rsid w:val="00F30F5C"/>
    <w:rsid w:val="00F31C08"/>
    <w:rsid w:val="00F3281B"/>
    <w:rsid w:val="00F34328"/>
    <w:rsid w:val="00F35333"/>
    <w:rsid w:val="00F3533C"/>
    <w:rsid w:val="00F356F6"/>
    <w:rsid w:val="00F3772B"/>
    <w:rsid w:val="00F37B4C"/>
    <w:rsid w:val="00F37F24"/>
    <w:rsid w:val="00F4181C"/>
    <w:rsid w:val="00F41CE6"/>
    <w:rsid w:val="00F42073"/>
    <w:rsid w:val="00F420BB"/>
    <w:rsid w:val="00F422EF"/>
    <w:rsid w:val="00F429E3"/>
    <w:rsid w:val="00F43057"/>
    <w:rsid w:val="00F43497"/>
    <w:rsid w:val="00F437D3"/>
    <w:rsid w:val="00F44402"/>
    <w:rsid w:val="00F44A5E"/>
    <w:rsid w:val="00F45250"/>
    <w:rsid w:val="00F45699"/>
    <w:rsid w:val="00F47266"/>
    <w:rsid w:val="00F47B9C"/>
    <w:rsid w:val="00F503EB"/>
    <w:rsid w:val="00F505F3"/>
    <w:rsid w:val="00F5138E"/>
    <w:rsid w:val="00F52373"/>
    <w:rsid w:val="00F53409"/>
    <w:rsid w:val="00F536A8"/>
    <w:rsid w:val="00F53F0D"/>
    <w:rsid w:val="00F54120"/>
    <w:rsid w:val="00F54A06"/>
    <w:rsid w:val="00F552DC"/>
    <w:rsid w:val="00F576F5"/>
    <w:rsid w:val="00F61173"/>
    <w:rsid w:val="00F6246B"/>
    <w:rsid w:val="00F62A20"/>
    <w:rsid w:val="00F6406F"/>
    <w:rsid w:val="00F640F0"/>
    <w:rsid w:val="00F64366"/>
    <w:rsid w:val="00F64577"/>
    <w:rsid w:val="00F6678B"/>
    <w:rsid w:val="00F679AB"/>
    <w:rsid w:val="00F75863"/>
    <w:rsid w:val="00F758CA"/>
    <w:rsid w:val="00F75E2F"/>
    <w:rsid w:val="00F7685D"/>
    <w:rsid w:val="00F77EB9"/>
    <w:rsid w:val="00F8000D"/>
    <w:rsid w:val="00F81AA1"/>
    <w:rsid w:val="00F82A53"/>
    <w:rsid w:val="00F83827"/>
    <w:rsid w:val="00F838E4"/>
    <w:rsid w:val="00F84668"/>
    <w:rsid w:val="00F85921"/>
    <w:rsid w:val="00F8606C"/>
    <w:rsid w:val="00F8766A"/>
    <w:rsid w:val="00F9249B"/>
    <w:rsid w:val="00F927C4"/>
    <w:rsid w:val="00F92E02"/>
    <w:rsid w:val="00F94271"/>
    <w:rsid w:val="00F94A54"/>
    <w:rsid w:val="00F95FDE"/>
    <w:rsid w:val="00F96B9A"/>
    <w:rsid w:val="00F97143"/>
    <w:rsid w:val="00F97748"/>
    <w:rsid w:val="00F97A68"/>
    <w:rsid w:val="00F97CA5"/>
    <w:rsid w:val="00FA0A30"/>
    <w:rsid w:val="00FA16A6"/>
    <w:rsid w:val="00FA213A"/>
    <w:rsid w:val="00FA4643"/>
    <w:rsid w:val="00FA4ADA"/>
    <w:rsid w:val="00FA51D2"/>
    <w:rsid w:val="00FA569C"/>
    <w:rsid w:val="00FA6458"/>
    <w:rsid w:val="00FA72A0"/>
    <w:rsid w:val="00FA7BC8"/>
    <w:rsid w:val="00FB0DBD"/>
    <w:rsid w:val="00FB323B"/>
    <w:rsid w:val="00FB477E"/>
    <w:rsid w:val="00FB4D35"/>
    <w:rsid w:val="00FB539F"/>
    <w:rsid w:val="00FB53F1"/>
    <w:rsid w:val="00FB6FD8"/>
    <w:rsid w:val="00FB7F3C"/>
    <w:rsid w:val="00FC036C"/>
    <w:rsid w:val="00FC0BC7"/>
    <w:rsid w:val="00FC1EBB"/>
    <w:rsid w:val="00FC35EC"/>
    <w:rsid w:val="00FC3EE5"/>
    <w:rsid w:val="00FC4E60"/>
    <w:rsid w:val="00FC5EEB"/>
    <w:rsid w:val="00FC5FE8"/>
    <w:rsid w:val="00FC7839"/>
    <w:rsid w:val="00FD1AE6"/>
    <w:rsid w:val="00FD25BE"/>
    <w:rsid w:val="00FD26E7"/>
    <w:rsid w:val="00FD2915"/>
    <w:rsid w:val="00FD3F70"/>
    <w:rsid w:val="00FD47B6"/>
    <w:rsid w:val="00FD49D9"/>
    <w:rsid w:val="00FD5A8A"/>
    <w:rsid w:val="00FD5BDB"/>
    <w:rsid w:val="00FD6AE1"/>
    <w:rsid w:val="00FE1DE8"/>
    <w:rsid w:val="00FE2967"/>
    <w:rsid w:val="00FE2E19"/>
    <w:rsid w:val="00FE31E6"/>
    <w:rsid w:val="00FE434C"/>
    <w:rsid w:val="00FE4C13"/>
    <w:rsid w:val="00FE74EC"/>
    <w:rsid w:val="00FE7EE5"/>
    <w:rsid w:val="00FF2BBC"/>
    <w:rsid w:val="00FF3363"/>
    <w:rsid w:val="00FF36D3"/>
    <w:rsid w:val="00FF3F4B"/>
    <w:rsid w:val="00FF4B63"/>
    <w:rsid w:val="00FF4F3D"/>
    <w:rsid w:val="00FF5EBC"/>
    <w:rsid w:val="00FF719D"/>
    <w:rsid w:val="00FF7843"/>
    <w:rsid w:val="00FF7878"/>
    <w:rsid w:val="00FF788E"/>
    <w:rsid w:val="00FF7B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o:shapelayout v:ext="edit">
      <o:idmap v:ext="edit" data="1"/>
    </o:shapelayout>
  </w:shapeDefaults>
  <w:decimalSymbol w:val="."/>
  <w:listSeparator w:val=","/>
  <w14:docId w14:val="1E3DD8CA"/>
  <w15:docId w15:val="{3FE72E18-5BD1-44DE-9B25-D8745F24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0BA"/>
    <w:pPr>
      <w:spacing w:line="360" w:lineRule="auto"/>
      <w:jc w:val="both"/>
    </w:pPr>
    <w:rPr>
      <w:rFonts w:ascii="Arial" w:hAnsi="Arial"/>
      <w:sz w:val="22"/>
      <w:szCs w:val="24"/>
    </w:rPr>
  </w:style>
  <w:style w:type="paragraph" w:styleId="Heading1">
    <w:name w:val="heading 1"/>
    <w:basedOn w:val="Title"/>
    <w:link w:val="Heading1Char"/>
    <w:uiPriority w:val="9"/>
    <w:qFormat/>
    <w:rsid w:val="009E0ACF"/>
    <w:pPr>
      <w:numPr>
        <w:numId w:val="3"/>
      </w:numPr>
      <w:shd w:val="clear" w:color="auto" w:fill="8DB3E2" w:themeFill="text2" w:themeFillTint="66"/>
      <w:spacing w:before="100" w:beforeAutospacing="1" w:after="100" w:afterAutospacing="1" w:line="240" w:lineRule="auto"/>
      <w:ind w:left="360"/>
      <w:jc w:val="left"/>
      <w:outlineLvl w:val="0"/>
    </w:pPr>
    <w:rPr>
      <w:rFonts w:asciiTheme="minorHAnsi" w:hAnsiTheme="minorHAnsi"/>
      <w:b/>
      <w:bCs/>
      <w:color w:val="000000" w:themeColor="text1"/>
      <w:kern w:val="36"/>
      <w:sz w:val="56"/>
      <w:szCs w:val="48"/>
    </w:rPr>
  </w:style>
  <w:style w:type="paragraph" w:styleId="Heading2">
    <w:name w:val="heading 2"/>
    <w:basedOn w:val="Normal"/>
    <w:next w:val="Normal"/>
    <w:link w:val="Heading2Char"/>
    <w:unhideWhenUsed/>
    <w:qFormat/>
    <w:rsid w:val="009E0ACF"/>
    <w:pPr>
      <w:keepNext/>
      <w:keepLines/>
      <w:numPr>
        <w:ilvl w:val="1"/>
        <w:numId w:val="3"/>
      </w:numPr>
      <w:shd w:val="clear" w:color="auto" w:fill="8DB3E2" w:themeFill="text2" w:themeFillTint="66"/>
      <w:spacing w:before="100" w:after="100" w:line="240" w:lineRule="auto"/>
      <w:jc w:val="left"/>
      <w:outlineLvl w:val="1"/>
    </w:pPr>
    <w:rPr>
      <w:rFonts w:asciiTheme="minorHAnsi" w:eastAsiaTheme="majorEastAsia" w:hAnsiTheme="minorHAnsi" w:cstheme="majorBidi"/>
      <w:b/>
      <w:bCs/>
      <w:color w:val="000000" w:themeColor="text1"/>
      <w:sz w:val="40"/>
      <w:szCs w:val="26"/>
    </w:rPr>
  </w:style>
  <w:style w:type="paragraph" w:styleId="Heading3">
    <w:name w:val="heading 3"/>
    <w:basedOn w:val="Normal"/>
    <w:next w:val="Normal"/>
    <w:link w:val="Heading3Char"/>
    <w:unhideWhenUsed/>
    <w:qFormat/>
    <w:rsid w:val="00921066"/>
    <w:pPr>
      <w:keepNext/>
      <w:keepLines/>
      <w:numPr>
        <w:ilvl w:val="2"/>
        <w:numId w:val="3"/>
      </w:numPr>
      <w:spacing w:before="200"/>
      <w:ind w:left="720"/>
      <w:outlineLvl w:val="2"/>
    </w:pPr>
    <w:rPr>
      <w:rFonts w:eastAsiaTheme="majorEastAsia" w:cstheme="majorBidi"/>
      <w:bCs/>
    </w:rPr>
  </w:style>
  <w:style w:type="paragraph" w:styleId="Heading4">
    <w:name w:val="heading 4"/>
    <w:basedOn w:val="Normal"/>
    <w:next w:val="Normal"/>
    <w:link w:val="Heading4Char"/>
    <w:unhideWhenUsed/>
    <w:qFormat/>
    <w:rsid w:val="0058757B"/>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58757B"/>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58757B"/>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58757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58757B"/>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58757B"/>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73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3BED"/>
    <w:pPr>
      <w:ind w:left="720"/>
      <w:contextualSpacing/>
    </w:pPr>
  </w:style>
  <w:style w:type="paragraph" w:styleId="Header">
    <w:name w:val="header"/>
    <w:basedOn w:val="Normal"/>
    <w:link w:val="HeaderChar"/>
    <w:rsid w:val="00113794"/>
    <w:pPr>
      <w:tabs>
        <w:tab w:val="center" w:pos="4513"/>
        <w:tab w:val="right" w:pos="9026"/>
      </w:tabs>
    </w:pPr>
  </w:style>
  <w:style w:type="character" w:customStyle="1" w:styleId="HeaderChar">
    <w:name w:val="Header Char"/>
    <w:basedOn w:val="DefaultParagraphFont"/>
    <w:link w:val="Header"/>
    <w:rsid w:val="00113794"/>
    <w:rPr>
      <w:rFonts w:ascii="Arial" w:hAnsi="Arial"/>
      <w:sz w:val="24"/>
      <w:szCs w:val="24"/>
    </w:rPr>
  </w:style>
  <w:style w:type="paragraph" w:styleId="Footer">
    <w:name w:val="footer"/>
    <w:basedOn w:val="Normal"/>
    <w:link w:val="FooterChar"/>
    <w:uiPriority w:val="99"/>
    <w:rsid w:val="00113794"/>
    <w:pPr>
      <w:tabs>
        <w:tab w:val="center" w:pos="4513"/>
        <w:tab w:val="right" w:pos="9026"/>
      </w:tabs>
    </w:pPr>
  </w:style>
  <w:style w:type="character" w:customStyle="1" w:styleId="FooterChar">
    <w:name w:val="Footer Char"/>
    <w:basedOn w:val="DefaultParagraphFont"/>
    <w:link w:val="Footer"/>
    <w:uiPriority w:val="99"/>
    <w:rsid w:val="00113794"/>
    <w:rPr>
      <w:rFonts w:ascii="Arial" w:hAnsi="Arial"/>
      <w:sz w:val="24"/>
      <w:szCs w:val="24"/>
    </w:rPr>
  </w:style>
  <w:style w:type="paragraph" w:styleId="BalloonText">
    <w:name w:val="Balloon Text"/>
    <w:basedOn w:val="Normal"/>
    <w:link w:val="BalloonTextChar"/>
    <w:rsid w:val="001D6123"/>
    <w:rPr>
      <w:rFonts w:ascii="Tahoma" w:hAnsi="Tahoma" w:cs="Tahoma"/>
      <w:sz w:val="16"/>
      <w:szCs w:val="16"/>
    </w:rPr>
  </w:style>
  <w:style w:type="character" w:customStyle="1" w:styleId="BalloonTextChar">
    <w:name w:val="Balloon Text Char"/>
    <w:basedOn w:val="DefaultParagraphFont"/>
    <w:link w:val="BalloonText"/>
    <w:rsid w:val="001D6123"/>
    <w:rPr>
      <w:rFonts w:ascii="Tahoma" w:hAnsi="Tahoma" w:cs="Tahoma"/>
      <w:sz w:val="16"/>
      <w:szCs w:val="16"/>
    </w:rPr>
  </w:style>
  <w:style w:type="paragraph" w:styleId="EndnoteText">
    <w:name w:val="endnote text"/>
    <w:basedOn w:val="Normal"/>
    <w:link w:val="EndnoteTextChar"/>
    <w:rsid w:val="00E8473E"/>
    <w:rPr>
      <w:sz w:val="20"/>
      <w:szCs w:val="20"/>
    </w:rPr>
  </w:style>
  <w:style w:type="character" w:customStyle="1" w:styleId="EndnoteTextChar">
    <w:name w:val="Endnote Text Char"/>
    <w:basedOn w:val="DefaultParagraphFont"/>
    <w:link w:val="EndnoteText"/>
    <w:rsid w:val="00E8473E"/>
    <w:rPr>
      <w:rFonts w:ascii="Arial" w:hAnsi="Arial"/>
    </w:rPr>
  </w:style>
  <w:style w:type="character" w:styleId="EndnoteReference">
    <w:name w:val="endnote reference"/>
    <w:basedOn w:val="DefaultParagraphFont"/>
    <w:rsid w:val="00E8473E"/>
    <w:rPr>
      <w:vertAlign w:val="superscript"/>
    </w:rPr>
  </w:style>
  <w:style w:type="paragraph" w:styleId="FootnoteText">
    <w:name w:val="footnote text"/>
    <w:basedOn w:val="Normal"/>
    <w:link w:val="FootnoteTextChar"/>
    <w:uiPriority w:val="99"/>
    <w:rsid w:val="00E8473E"/>
    <w:rPr>
      <w:sz w:val="20"/>
      <w:szCs w:val="20"/>
    </w:rPr>
  </w:style>
  <w:style w:type="character" w:customStyle="1" w:styleId="FootnoteTextChar">
    <w:name w:val="Footnote Text Char"/>
    <w:basedOn w:val="DefaultParagraphFont"/>
    <w:link w:val="FootnoteText"/>
    <w:uiPriority w:val="99"/>
    <w:rsid w:val="00E8473E"/>
    <w:rPr>
      <w:rFonts w:ascii="Arial" w:hAnsi="Arial"/>
    </w:rPr>
  </w:style>
  <w:style w:type="character" w:styleId="FootnoteReference">
    <w:name w:val="footnote reference"/>
    <w:basedOn w:val="DefaultParagraphFont"/>
    <w:uiPriority w:val="99"/>
    <w:rsid w:val="00E8473E"/>
    <w:rPr>
      <w:vertAlign w:val="superscript"/>
    </w:rPr>
  </w:style>
  <w:style w:type="numbering" w:styleId="111111">
    <w:name w:val="Outline List 2"/>
    <w:aliases w:val="1.0 / 1.1 / 1.1.1"/>
    <w:basedOn w:val="NoList"/>
    <w:rsid w:val="004B2FB1"/>
    <w:pPr>
      <w:numPr>
        <w:numId w:val="1"/>
      </w:numPr>
    </w:pPr>
  </w:style>
  <w:style w:type="paragraph" w:customStyle="1" w:styleId="StyleBodyText12pt">
    <w:name w:val="Style Body Text + 12 pt"/>
    <w:basedOn w:val="BodyText"/>
    <w:rsid w:val="003544FD"/>
    <w:pPr>
      <w:numPr>
        <w:ilvl w:val="0"/>
      </w:numPr>
      <w:spacing w:after="0"/>
    </w:pPr>
    <w:rPr>
      <w:rFonts w:ascii="Arial" w:hAnsi="Arial"/>
      <w:szCs w:val="20"/>
      <w:lang w:eastAsia="en-US"/>
    </w:rPr>
  </w:style>
  <w:style w:type="paragraph" w:styleId="BodyText">
    <w:name w:val="Body Text"/>
    <w:basedOn w:val="Normal"/>
    <w:link w:val="BodyTextChar"/>
    <w:rsid w:val="003544FD"/>
    <w:pPr>
      <w:numPr>
        <w:ilvl w:val="1"/>
        <w:numId w:val="2"/>
      </w:numPr>
      <w:spacing w:after="120"/>
    </w:pPr>
    <w:rPr>
      <w:rFonts w:ascii="Times New Roman" w:hAnsi="Times New Roman"/>
    </w:rPr>
  </w:style>
  <w:style w:type="character" w:customStyle="1" w:styleId="BodyTextChar">
    <w:name w:val="Body Text Char"/>
    <w:basedOn w:val="DefaultParagraphFont"/>
    <w:link w:val="BodyText"/>
    <w:rsid w:val="003544FD"/>
    <w:rPr>
      <w:sz w:val="22"/>
      <w:szCs w:val="24"/>
    </w:rPr>
  </w:style>
  <w:style w:type="character" w:customStyle="1" w:styleId="Heading1Char">
    <w:name w:val="Heading 1 Char"/>
    <w:basedOn w:val="DefaultParagraphFont"/>
    <w:link w:val="Heading1"/>
    <w:uiPriority w:val="9"/>
    <w:rsid w:val="009E0ACF"/>
    <w:rPr>
      <w:rFonts w:asciiTheme="minorHAnsi" w:eastAsiaTheme="majorEastAsia" w:hAnsiTheme="minorHAnsi" w:cstheme="majorBidi"/>
      <w:b/>
      <w:bCs/>
      <w:color w:val="000000" w:themeColor="text1"/>
      <w:spacing w:val="5"/>
      <w:kern w:val="36"/>
      <w:sz w:val="56"/>
      <w:szCs w:val="48"/>
      <w:shd w:val="clear" w:color="auto" w:fill="8DB3E2" w:themeFill="text2" w:themeFillTint="66"/>
    </w:rPr>
  </w:style>
  <w:style w:type="character" w:customStyle="1" w:styleId="Heading2Char">
    <w:name w:val="Heading 2 Char"/>
    <w:basedOn w:val="DefaultParagraphFont"/>
    <w:link w:val="Heading2"/>
    <w:rsid w:val="009E0ACF"/>
    <w:rPr>
      <w:rFonts w:asciiTheme="minorHAnsi" w:eastAsiaTheme="majorEastAsia" w:hAnsiTheme="minorHAnsi" w:cstheme="majorBidi"/>
      <w:b/>
      <w:bCs/>
      <w:color w:val="000000" w:themeColor="text1"/>
      <w:sz w:val="40"/>
      <w:szCs w:val="26"/>
      <w:shd w:val="clear" w:color="auto" w:fill="8DB3E2" w:themeFill="text2" w:themeFillTint="66"/>
    </w:rPr>
  </w:style>
  <w:style w:type="character" w:customStyle="1" w:styleId="Heading3Char">
    <w:name w:val="Heading 3 Char"/>
    <w:basedOn w:val="DefaultParagraphFont"/>
    <w:link w:val="Heading3"/>
    <w:rsid w:val="00921066"/>
    <w:rPr>
      <w:rFonts w:ascii="Arial" w:eastAsiaTheme="majorEastAsia" w:hAnsi="Arial" w:cstheme="majorBidi"/>
      <w:bCs/>
      <w:sz w:val="22"/>
      <w:szCs w:val="24"/>
    </w:rPr>
  </w:style>
  <w:style w:type="character" w:styleId="Strong">
    <w:name w:val="Strong"/>
    <w:qFormat/>
    <w:rsid w:val="00713D4F"/>
    <w:rPr>
      <w:b/>
      <w:bCs/>
    </w:rPr>
  </w:style>
  <w:style w:type="paragraph" w:styleId="Title">
    <w:name w:val="Title"/>
    <w:basedOn w:val="Normal"/>
    <w:next w:val="Normal"/>
    <w:link w:val="TitleChar"/>
    <w:qFormat/>
    <w:rsid w:val="00AA52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AA52D5"/>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rsid w:val="0058757B"/>
    <w:rPr>
      <w:rFonts w:asciiTheme="majorHAnsi" w:eastAsiaTheme="majorEastAsia" w:hAnsiTheme="majorHAnsi" w:cstheme="majorBidi"/>
      <w:b/>
      <w:bCs/>
      <w:i/>
      <w:iCs/>
      <w:color w:val="4F81BD" w:themeColor="accent1"/>
      <w:sz w:val="22"/>
      <w:szCs w:val="24"/>
    </w:rPr>
  </w:style>
  <w:style w:type="character" w:customStyle="1" w:styleId="Heading5Char">
    <w:name w:val="Heading 5 Char"/>
    <w:basedOn w:val="DefaultParagraphFont"/>
    <w:link w:val="Heading5"/>
    <w:rsid w:val="0058757B"/>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semiHidden/>
    <w:rsid w:val="0058757B"/>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semiHidden/>
    <w:rsid w:val="0058757B"/>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58757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58757B"/>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9D4812"/>
    <w:pPr>
      <w:keepNext/>
      <w:keepLines/>
      <w:numPr>
        <w:numId w:val="0"/>
      </w:numPr>
      <w:pBdr>
        <w:bottom w:val="none" w:sz="0" w:space="0" w:color="auto"/>
      </w:pBdr>
      <w:shd w:val="clear" w:color="auto" w:fill="auto"/>
      <w:spacing w:before="480" w:beforeAutospacing="0" w:after="0" w:afterAutospacing="0" w:line="276" w:lineRule="auto"/>
      <w:contextualSpacing w:val="0"/>
      <w:outlineLvl w:val="9"/>
    </w:pPr>
    <w:rPr>
      <w:rFonts w:asciiTheme="majorHAnsi" w:hAnsiTheme="majorHAnsi"/>
      <w:color w:val="365F91" w:themeColor="accent1" w:themeShade="BF"/>
      <w:spacing w:val="0"/>
      <w:kern w:val="0"/>
      <w:sz w:val="28"/>
      <w:szCs w:val="28"/>
      <w:lang w:val="en-US" w:eastAsia="ja-JP"/>
    </w:rPr>
  </w:style>
  <w:style w:type="paragraph" w:styleId="TOC1">
    <w:name w:val="toc 1"/>
    <w:basedOn w:val="Normal"/>
    <w:next w:val="Normal"/>
    <w:autoRedefine/>
    <w:uiPriority w:val="39"/>
    <w:rsid w:val="00DF6A2C"/>
    <w:pPr>
      <w:tabs>
        <w:tab w:val="left" w:pos="426"/>
        <w:tab w:val="right" w:leader="dot" w:pos="13948"/>
      </w:tabs>
      <w:spacing w:after="100"/>
    </w:pPr>
  </w:style>
  <w:style w:type="paragraph" w:styleId="TOC3">
    <w:name w:val="toc 3"/>
    <w:basedOn w:val="Normal"/>
    <w:next w:val="Normal"/>
    <w:autoRedefine/>
    <w:uiPriority w:val="39"/>
    <w:rsid w:val="009D4812"/>
    <w:pPr>
      <w:spacing w:after="100"/>
      <w:ind w:left="440"/>
    </w:pPr>
  </w:style>
  <w:style w:type="paragraph" w:styleId="TOC2">
    <w:name w:val="toc 2"/>
    <w:basedOn w:val="Normal"/>
    <w:next w:val="Normal"/>
    <w:autoRedefine/>
    <w:uiPriority w:val="39"/>
    <w:rsid w:val="00F53409"/>
    <w:pPr>
      <w:spacing w:after="100"/>
    </w:pPr>
  </w:style>
  <w:style w:type="character" w:styleId="Hyperlink">
    <w:name w:val="Hyperlink"/>
    <w:basedOn w:val="DefaultParagraphFont"/>
    <w:uiPriority w:val="99"/>
    <w:unhideWhenUsed/>
    <w:rsid w:val="009D4812"/>
    <w:rPr>
      <w:color w:val="0000FF" w:themeColor="hyperlink"/>
      <w:u w:val="single"/>
    </w:rPr>
  </w:style>
  <w:style w:type="paragraph" w:styleId="NoSpacing">
    <w:name w:val="No Spacing"/>
    <w:uiPriority w:val="1"/>
    <w:qFormat/>
    <w:rsid w:val="00E9387D"/>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17218">
      <w:bodyDiv w:val="1"/>
      <w:marLeft w:val="0"/>
      <w:marRight w:val="0"/>
      <w:marTop w:val="0"/>
      <w:marBottom w:val="0"/>
      <w:divBdr>
        <w:top w:val="none" w:sz="0" w:space="0" w:color="auto"/>
        <w:left w:val="none" w:sz="0" w:space="0" w:color="auto"/>
        <w:bottom w:val="none" w:sz="0" w:space="0" w:color="auto"/>
        <w:right w:val="none" w:sz="0" w:space="0" w:color="auto"/>
      </w:divBdr>
    </w:div>
    <w:div w:id="93551786">
      <w:bodyDiv w:val="1"/>
      <w:marLeft w:val="0"/>
      <w:marRight w:val="0"/>
      <w:marTop w:val="0"/>
      <w:marBottom w:val="0"/>
      <w:divBdr>
        <w:top w:val="none" w:sz="0" w:space="0" w:color="auto"/>
        <w:left w:val="none" w:sz="0" w:space="0" w:color="auto"/>
        <w:bottom w:val="none" w:sz="0" w:space="0" w:color="auto"/>
        <w:right w:val="none" w:sz="0" w:space="0" w:color="auto"/>
      </w:divBdr>
    </w:div>
    <w:div w:id="120881145">
      <w:bodyDiv w:val="1"/>
      <w:marLeft w:val="0"/>
      <w:marRight w:val="0"/>
      <w:marTop w:val="0"/>
      <w:marBottom w:val="0"/>
      <w:divBdr>
        <w:top w:val="none" w:sz="0" w:space="0" w:color="auto"/>
        <w:left w:val="none" w:sz="0" w:space="0" w:color="auto"/>
        <w:bottom w:val="none" w:sz="0" w:space="0" w:color="auto"/>
        <w:right w:val="none" w:sz="0" w:space="0" w:color="auto"/>
      </w:divBdr>
    </w:div>
    <w:div w:id="127600210">
      <w:bodyDiv w:val="1"/>
      <w:marLeft w:val="0"/>
      <w:marRight w:val="0"/>
      <w:marTop w:val="0"/>
      <w:marBottom w:val="0"/>
      <w:divBdr>
        <w:top w:val="none" w:sz="0" w:space="0" w:color="auto"/>
        <w:left w:val="none" w:sz="0" w:space="0" w:color="auto"/>
        <w:bottom w:val="none" w:sz="0" w:space="0" w:color="auto"/>
        <w:right w:val="none" w:sz="0" w:space="0" w:color="auto"/>
      </w:divBdr>
    </w:div>
    <w:div w:id="157506244">
      <w:bodyDiv w:val="1"/>
      <w:marLeft w:val="0"/>
      <w:marRight w:val="0"/>
      <w:marTop w:val="0"/>
      <w:marBottom w:val="0"/>
      <w:divBdr>
        <w:top w:val="none" w:sz="0" w:space="0" w:color="auto"/>
        <w:left w:val="none" w:sz="0" w:space="0" w:color="auto"/>
        <w:bottom w:val="none" w:sz="0" w:space="0" w:color="auto"/>
        <w:right w:val="none" w:sz="0" w:space="0" w:color="auto"/>
      </w:divBdr>
    </w:div>
    <w:div w:id="162742041">
      <w:bodyDiv w:val="1"/>
      <w:marLeft w:val="0"/>
      <w:marRight w:val="0"/>
      <w:marTop w:val="0"/>
      <w:marBottom w:val="0"/>
      <w:divBdr>
        <w:top w:val="none" w:sz="0" w:space="0" w:color="auto"/>
        <w:left w:val="none" w:sz="0" w:space="0" w:color="auto"/>
        <w:bottom w:val="none" w:sz="0" w:space="0" w:color="auto"/>
        <w:right w:val="none" w:sz="0" w:space="0" w:color="auto"/>
      </w:divBdr>
    </w:div>
    <w:div w:id="175656856">
      <w:bodyDiv w:val="1"/>
      <w:marLeft w:val="0"/>
      <w:marRight w:val="0"/>
      <w:marTop w:val="0"/>
      <w:marBottom w:val="0"/>
      <w:divBdr>
        <w:top w:val="none" w:sz="0" w:space="0" w:color="auto"/>
        <w:left w:val="none" w:sz="0" w:space="0" w:color="auto"/>
        <w:bottom w:val="none" w:sz="0" w:space="0" w:color="auto"/>
        <w:right w:val="none" w:sz="0" w:space="0" w:color="auto"/>
      </w:divBdr>
    </w:div>
    <w:div w:id="191041615">
      <w:bodyDiv w:val="1"/>
      <w:marLeft w:val="0"/>
      <w:marRight w:val="0"/>
      <w:marTop w:val="0"/>
      <w:marBottom w:val="0"/>
      <w:divBdr>
        <w:top w:val="none" w:sz="0" w:space="0" w:color="auto"/>
        <w:left w:val="none" w:sz="0" w:space="0" w:color="auto"/>
        <w:bottom w:val="none" w:sz="0" w:space="0" w:color="auto"/>
        <w:right w:val="none" w:sz="0" w:space="0" w:color="auto"/>
      </w:divBdr>
    </w:div>
    <w:div w:id="204024155">
      <w:bodyDiv w:val="1"/>
      <w:marLeft w:val="0"/>
      <w:marRight w:val="0"/>
      <w:marTop w:val="0"/>
      <w:marBottom w:val="0"/>
      <w:divBdr>
        <w:top w:val="none" w:sz="0" w:space="0" w:color="auto"/>
        <w:left w:val="none" w:sz="0" w:space="0" w:color="auto"/>
        <w:bottom w:val="none" w:sz="0" w:space="0" w:color="auto"/>
        <w:right w:val="none" w:sz="0" w:space="0" w:color="auto"/>
      </w:divBdr>
    </w:div>
    <w:div w:id="211158046">
      <w:bodyDiv w:val="1"/>
      <w:marLeft w:val="0"/>
      <w:marRight w:val="0"/>
      <w:marTop w:val="0"/>
      <w:marBottom w:val="0"/>
      <w:divBdr>
        <w:top w:val="none" w:sz="0" w:space="0" w:color="auto"/>
        <w:left w:val="none" w:sz="0" w:space="0" w:color="auto"/>
        <w:bottom w:val="none" w:sz="0" w:space="0" w:color="auto"/>
        <w:right w:val="none" w:sz="0" w:space="0" w:color="auto"/>
      </w:divBdr>
    </w:div>
    <w:div w:id="217086720">
      <w:bodyDiv w:val="1"/>
      <w:marLeft w:val="0"/>
      <w:marRight w:val="0"/>
      <w:marTop w:val="0"/>
      <w:marBottom w:val="0"/>
      <w:divBdr>
        <w:top w:val="none" w:sz="0" w:space="0" w:color="auto"/>
        <w:left w:val="none" w:sz="0" w:space="0" w:color="auto"/>
        <w:bottom w:val="none" w:sz="0" w:space="0" w:color="auto"/>
        <w:right w:val="none" w:sz="0" w:space="0" w:color="auto"/>
      </w:divBdr>
    </w:div>
    <w:div w:id="238247147">
      <w:bodyDiv w:val="1"/>
      <w:marLeft w:val="0"/>
      <w:marRight w:val="0"/>
      <w:marTop w:val="0"/>
      <w:marBottom w:val="0"/>
      <w:divBdr>
        <w:top w:val="none" w:sz="0" w:space="0" w:color="auto"/>
        <w:left w:val="none" w:sz="0" w:space="0" w:color="auto"/>
        <w:bottom w:val="none" w:sz="0" w:space="0" w:color="auto"/>
        <w:right w:val="none" w:sz="0" w:space="0" w:color="auto"/>
      </w:divBdr>
    </w:div>
    <w:div w:id="293340236">
      <w:bodyDiv w:val="1"/>
      <w:marLeft w:val="0"/>
      <w:marRight w:val="0"/>
      <w:marTop w:val="0"/>
      <w:marBottom w:val="0"/>
      <w:divBdr>
        <w:top w:val="none" w:sz="0" w:space="0" w:color="auto"/>
        <w:left w:val="none" w:sz="0" w:space="0" w:color="auto"/>
        <w:bottom w:val="none" w:sz="0" w:space="0" w:color="auto"/>
        <w:right w:val="none" w:sz="0" w:space="0" w:color="auto"/>
      </w:divBdr>
    </w:div>
    <w:div w:id="307252381">
      <w:bodyDiv w:val="1"/>
      <w:marLeft w:val="0"/>
      <w:marRight w:val="0"/>
      <w:marTop w:val="0"/>
      <w:marBottom w:val="0"/>
      <w:divBdr>
        <w:top w:val="none" w:sz="0" w:space="0" w:color="auto"/>
        <w:left w:val="none" w:sz="0" w:space="0" w:color="auto"/>
        <w:bottom w:val="none" w:sz="0" w:space="0" w:color="auto"/>
        <w:right w:val="none" w:sz="0" w:space="0" w:color="auto"/>
      </w:divBdr>
    </w:div>
    <w:div w:id="311905383">
      <w:bodyDiv w:val="1"/>
      <w:marLeft w:val="0"/>
      <w:marRight w:val="0"/>
      <w:marTop w:val="0"/>
      <w:marBottom w:val="0"/>
      <w:divBdr>
        <w:top w:val="none" w:sz="0" w:space="0" w:color="auto"/>
        <w:left w:val="none" w:sz="0" w:space="0" w:color="auto"/>
        <w:bottom w:val="none" w:sz="0" w:space="0" w:color="auto"/>
        <w:right w:val="none" w:sz="0" w:space="0" w:color="auto"/>
      </w:divBdr>
    </w:div>
    <w:div w:id="322318944">
      <w:bodyDiv w:val="1"/>
      <w:marLeft w:val="0"/>
      <w:marRight w:val="0"/>
      <w:marTop w:val="0"/>
      <w:marBottom w:val="0"/>
      <w:divBdr>
        <w:top w:val="none" w:sz="0" w:space="0" w:color="auto"/>
        <w:left w:val="none" w:sz="0" w:space="0" w:color="auto"/>
        <w:bottom w:val="none" w:sz="0" w:space="0" w:color="auto"/>
        <w:right w:val="none" w:sz="0" w:space="0" w:color="auto"/>
      </w:divBdr>
    </w:div>
    <w:div w:id="352462080">
      <w:bodyDiv w:val="1"/>
      <w:marLeft w:val="0"/>
      <w:marRight w:val="0"/>
      <w:marTop w:val="0"/>
      <w:marBottom w:val="0"/>
      <w:divBdr>
        <w:top w:val="none" w:sz="0" w:space="0" w:color="auto"/>
        <w:left w:val="none" w:sz="0" w:space="0" w:color="auto"/>
        <w:bottom w:val="none" w:sz="0" w:space="0" w:color="auto"/>
        <w:right w:val="none" w:sz="0" w:space="0" w:color="auto"/>
      </w:divBdr>
    </w:div>
    <w:div w:id="356277608">
      <w:bodyDiv w:val="1"/>
      <w:marLeft w:val="0"/>
      <w:marRight w:val="0"/>
      <w:marTop w:val="0"/>
      <w:marBottom w:val="0"/>
      <w:divBdr>
        <w:top w:val="none" w:sz="0" w:space="0" w:color="auto"/>
        <w:left w:val="none" w:sz="0" w:space="0" w:color="auto"/>
        <w:bottom w:val="none" w:sz="0" w:space="0" w:color="auto"/>
        <w:right w:val="none" w:sz="0" w:space="0" w:color="auto"/>
      </w:divBdr>
    </w:div>
    <w:div w:id="444159182">
      <w:bodyDiv w:val="1"/>
      <w:marLeft w:val="0"/>
      <w:marRight w:val="0"/>
      <w:marTop w:val="0"/>
      <w:marBottom w:val="0"/>
      <w:divBdr>
        <w:top w:val="none" w:sz="0" w:space="0" w:color="auto"/>
        <w:left w:val="none" w:sz="0" w:space="0" w:color="auto"/>
        <w:bottom w:val="none" w:sz="0" w:space="0" w:color="auto"/>
        <w:right w:val="none" w:sz="0" w:space="0" w:color="auto"/>
      </w:divBdr>
    </w:div>
    <w:div w:id="465778726">
      <w:bodyDiv w:val="1"/>
      <w:marLeft w:val="0"/>
      <w:marRight w:val="0"/>
      <w:marTop w:val="0"/>
      <w:marBottom w:val="0"/>
      <w:divBdr>
        <w:top w:val="none" w:sz="0" w:space="0" w:color="auto"/>
        <w:left w:val="none" w:sz="0" w:space="0" w:color="auto"/>
        <w:bottom w:val="none" w:sz="0" w:space="0" w:color="auto"/>
        <w:right w:val="none" w:sz="0" w:space="0" w:color="auto"/>
      </w:divBdr>
    </w:div>
    <w:div w:id="466243293">
      <w:bodyDiv w:val="1"/>
      <w:marLeft w:val="0"/>
      <w:marRight w:val="0"/>
      <w:marTop w:val="0"/>
      <w:marBottom w:val="0"/>
      <w:divBdr>
        <w:top w:val="none" w:sz="0" w:space="0" w:color="auto"/>
        <w:left w:val="none" w:sz="0" w:space="0" w:color="auto"/>
        <w:bottom w:val="none" w:sz="0" w:space="0" w:color="auto"/>
        <w:right w:val="none" w:sz="0" w:space="0" w:color="auto"/>
      </w:divBdr>
    </w:div>
    <w:div w:id="486211636">
      <w:bodyDiv w:val="1"/>
      <w:marLeft w:val="0"/>
      <w:marRight w:val="0"/>
      <w:marTop w:val="0"/>
      <w:marBottom w:val="0"/>
      <w:divBdr>
        <w:top w:val="none" w:sz="0" w:space="0" w:color="auto"/>
        <w:left w:val="none" w:sz="0" w:space="0" w:color="auto"/>
        <w:bottom w:val="none" w:sz="0" w:space="0" w:color="auto"/>
        <w:right w:val="none" w:sz="0" w:space="0" w:color="auto"/>
      </w:divBdr>
    </w:div>
    <w:div w:id="502166092">
      <w:bodyDiv w:val="1"/>
      <w:marLeft w:val="0"/>
      <w:marRight w:val="0"/>
      <w:marTop w:val="0"/>
      <w:marBottom w:val="0"/>
      <w:divBdr>
        <w:top w:val="none" w:sz="0" w:space="0" w:color="auto"/>
        <w:left w:val="none" w:sz="0" w:space="0" w:color="auto"/>
        <w:bottom w:val="none" w:sz="0" w:space="0" w:color="auto"/>
        <w:right w:val="none" w:sz="0" w:space="0" w:color="auto"/>
      </w:divBdr>
    </w:div>
    <w:div w:id="569852280">
      <w:bodyDiv w:val="1"/>
      <w:marLeft w:val="0"/>
      <w:marRight w:val="0"/>
      <w:marTop w:val="0"/>
      <w:marBottom w:val="0"/>
      <w:divBdr>
        <w:top w:val="none" w:sz="0" w:space="0" w:color="auto"/>
        <w:left w:val="none" w:sz="0" w:space="0" w:color="auto"/>
        <w:bottom w:val="none" w:sz="0" w:space="0" w:color="auto"/>
        <w:right w:val="none" w:sz="0" w:space="0" w:color="auto"/>
      </w:divBdr>
    </w:div>
    <w:div w:id="642929630">
      <w:bodyDiv w:val="1"/>
      <w:marLeft w:val="0"/>
      <w:marRight w:val="0"/>
      <w:marTop w:val="0"/>
      <w:marBottom w:val="0"/>
      <w:divBdr>
        <w:top w:val="none" w:sz="0" w:space="0" w:color="auto"/>
        <w:left w:val="none" w:sz="0" w:space="0" w:color="auto"/>
        <w:bottom w:val="none" w:sz="0" w:space="0" w:color="auto"/>
        <w:right w:val="none" w:sz="0" w:space="0" w:color="auto"/>
      </w:divBdr>
    </w:div>
    <w:div w:id="687871824">
      <w:bodyDiv w:val="1"/>
      <w:marLeft w:val="0"/>
      <w:marRight w:val="0"/>
      <w:marTop w:val="0"/>
      <w:marBottom w:val="0"/>
      <w:divBdr>
        <w:top w:val="none" w:sz="0" w:space="0" w:color="auto"/>
        <w:left w:val="none" w:sz="0" w:space="0" w:color="auto"/>
        <w:bottom w:val="none" w:sz="0" w:space="0" w:color="auto"/>
        <w:right w:val="none" w:sz="0" w:space="0" w:color="auto"/>
      </w:divBdr>
    </w:div>
    <w:div w:id="701202017">
      <w:bodyDiv w:val="1"/>
      <w:marLeft w:val="0"/>
      <w:marRight w:val="0"/>
      <w:marTop w:val="0"/>
      <w:marBottom w:val="0"/>
      <w:divBdr>
        <w:top w:val="none" w:sz="0" w:space="0" w:color="auto"/>
        <w:left w:val="none" w:sz="0" w:space="0" w:color="auto"/>
        <w:bottom w:val="none" w:sz="0" w:space="0" w:color="auto"/>
        <w:right w:val="none" w:sz="0" w:space="0" w:color="auto"/>
      </w:divBdr>
    </w:div>
    <w:div w:id="701981733">
      <w:bodyDiv w:val="1"/>
      <w:marLeft w:val="0"/>
      <w:marRight w:val="0"/>
      <w:marTop w:val="0"/>
      <w:marBottom w:val="0"/>
      <w:divBdr>
        <w:top w:val="none" w:sz="0" w:space="0" w:color="auto"/>
        <w:left w:val="none" w:sz="0" w:space="0" w:color="auto"/>
        <w:bottom w:val="none" w:sz="0" w:space="0" w:color="auto"/>
        <w:right w:val="none" w:sz="0" w:space="0" w:color="auto"/>
      </w:divBdr>
      <w:divsChild>
        <w:div w:id="1926840599">
          <w:marLeft w:val="547"/>
          <w:marRight w:val="0"/>
          <w:marTop w:val="0"/>
          <w:marBottom w:val="0"/>
          <w:divBdr>
            <w:top w:val="none" w:sz="0" w:space="0" w:color="auto"/>
            <w:left w:val="none" w:sz="0" w:space="0" w:color="auto"/>
            <w:bottom w:val="none" w:sz="0" w:space="0" w:color="auto"/>
            <w:right w:val="none" w:sz="0" w:space="0" w:color="auto"/>
          </w:divBdr>
        </w:div>
      </w:divsChild>
    </w:div>
    <w:div w:id="807669813">
      <w:bodyDiv w:val="1"/>
      <w:marLeft w:val="0"/>
      <w:marRight w:val="0"/>
      <w:marTop w:val="0"/>
      <w:marBottom w:val="0"/>
      <w:divBdr>
        <w:top w:val="none" w:sz="0" w:space="0" w:color="auto"/>
        <w:left w:val="none" w:sz="0" w:space="0" w:color="auto"/>
        <w:bottom w:val="none" w:sz="0" w:space="0" w:color="auto"/>
        <w:right w:val="none" w:sz="0" w:space="0" w:color="auto"/>
      </w:divBdr>
    </w:div>
    <w:div w:id="810634968">
      <w:bodyDiv w:val="1"/>
      <w:marLeft w:val="0"/>
      <w:marRight w:val="0"/>
      <w:marTop w:val="0"/>
      <w:marBottom w:val="0"/>
      <w:divBdr>
        <w:top w:val="none" w:sz="0" w:space="0" w:color="auto"/>
        <w:left w:val="none" w:sz="0" w:space="0" w:color="auto"/>
        <w:bottom w:val="none" w:sz="0" w:space="0" w:color="auto"/>
        <w:right w:val="none" w:sz="0" w:space="0" w:color="auto"/>
      </w:divBdr>
    </w:div>
    <w:div w:id="821585878">
      <w:bodyDiv w:val="1"/>
      <w:marLeft w:val="0"/>
      <w:marRight w:val="0"/>
      <w:marTop w:val="0"/>
      <w:marBottom w:val="0"/>
      <w:divBdr>
        <w:top w:val="none" w:sz="0" w:space="0" w:color="auto"/>
        <w:left w:val="none" w:sz="0" w:space="0" w:color="auto"/>
        <w:bottom w:val="none" w:sz="0" w:space="0" w:color="auto"/>
        <w:right w:val="none" w:sz="0" w:space="0" w:color="auto"/>
      </w:divBdr>
    </w:div>
    <w:div w:id="849610116">
      <w:bodyDiv w:val="1"/>
      <w:marLeft w:val="0"/>
      <w:marRight w:val="0"/>
      <w:marTop w:val="0"/>
      <w:marBottom w:val="0"/>
      <w:divBdr>
        <w:top w:val="none" w:sz="0" w:space="0" w:color="auto"/>
        <w:left w:val="none" w:sz="0" w:space="0" w:color="auto"/>
        <w:bottom w:val="none" w:sz="0" w:space="0" w:color="auto"/>
        <w:right w:val="none" w:sz="0" w:space="0" w:color="auto"/>
      </w:divBdr>
    </w:div>
    <w:div w:id="888609753">
      <w:bodyDiv w:val="1"/>
      <w:marLeft w:val="0"/>
      <w:marRight w:val="0"/>
      <w:marTop w:val="0"/>
      <w:marBottom w:val="0"/>
      <w:divBdr>
        <w:top w:val="none" w:sz="0" w:space="0" w:color="auto"/>
        <w:left w:val="none" w:sz="0" w:space="0" w:color="auto"/>
        <w:bottom w:val="none" w:sz="0" w:space="0" w:color="auto"/>
        <w:right w:val="none" w:sz="0" w:space="0" w:color="auto"/>
      </w:divBdr>
    </w:div>
    <w:div w:id="946808712">
      <w:bodyDiv w:val="1"/>
      <w:marLeft w:val="0"/>
      <w:marRight w:val="0"/>
      <w:marTop w:val="0"/>
      <w:marBottom w:val="0"/>
      <w:divBdr>
        <w:top w:val="none" w:sz="0" w:space="0" w:color="auto"/>
        <w:left w:val="none" w:sz="0" w:space="0" w:color="auto"/>
        <w:bottom w:val="none" w:sz="0" w:space="0" w:color="auto"/>
        <w:right w:val="none" w:sz="0" w:space="0" w:color="auto"/>
      </w:divBdr>
    </w:div>
    <w:div w:id="975528095">
      <w:bodyDiv w:val="1"/>
      <w:marLeft w:val="0"/>
      <w:marRight w:val="0"/>
      <w:marTop w:val="0"/>
      <w:marBottom w:val="0"/>
      <w:divBdr>
        <w:top w:val="none" w:sz="0" w:space="0" w:color="auto"/>
        <w:left w:val="none" w:sz="0" w:space="0" w:color="auto"/>
        <w:bottom w:val="none" w:sz="0" w:space="0" w:color="auto"/>
        <w:right w:val="none" w:sz="0" w:space="0" w:color="auto"/>
      </w:divBdr>
    </w:div>
    <w:div w:id="1006714423">
      <w:bodyDiv w:val="1"/>
      <w:marLeft w:val="0"/>
      <w:marRight w:val="0"/>
      <w:marTop w:val="0"/>
      <w:marBottom w:val="0"/>
      <w:divBdr>
        <w:top w:val="none" w:sz="0" w:space="0" w:color="auto"/>
        <w:left w:val="none" w:sz="0" w:space="0" w:color="auto"/>
        <w:bottom w:val="none" w:sz="0" w:space="0" w:color="auto"/>
        <w:right w:val="none" w:sz="0" w:space="0" w:color="auto"/>
      </w:divBdr>
    </w:div>
    <w:div w:id="1008947412">
      <w:bodyDiv w:val="1"/>
      <w:marLeft w:val="0"/>
      <w:marRight w:val="0"/>
      <w:marTop w:val="0"/>
      <w:marBottom w:val="0"/>
      <w:divBdr>
        <w:top w:val="none" w:sz="0" w:space="0" w:color="auto"/>
        <w:left w:val="none" w:sz="0" w:space="0" w:color="auto"/>
        <w:bottom w:val="none" w:sz="0" w:space="0" w:color="auto"/>
        <w:right w:val="none" w:sz="0" w:space="0" w:color="auto"/>
      </w:divBdr>
    </w:div>
    <w:div w:id="1051534941">
      <w:bodyDiv w:val="1"/>
      <w:marLeft w:val="0"/>
      <w:marRight w:val="0"/>
      <w:marTop w:val="0"/>
      <w:marBottom w:val="0"/>
      <w:divBdr>
        <w:top w:val="none" w:sz="0" w:space="0" w:color="auto"/>
        <w:left w:val="none" w:sz="0" w:space="0" w:color="auto"/>
        <w:bottom w:val="none" w:sz="0" w:space="0" w:color="auto"/>
        <w:right w:val="none" w:sz="0" w:space="0" w:color="auto"/>
      </w:divBdr>
    </w:div>
    <w:div w:id="1056391327">
      <w:bodyDiv w:val="1"/>
      <w:marLeft w:val="0"/>
      <w:marRight w:val="0"/>
      <w:marTop w:val="0"/>
      <w:marBottom w:val="0"/>
      <w:divBdr>
        <w:top w:val="none" w:sz="0" w:space="0" w:color="auto"/>
        <w:left w:val="none" w:sz="0" w:space="0" w:color="auto"/>
        <w:bottom w:val="none" w:sz="0" w:space="0" w:color="auto"/>
        <w:right w:val="none" w:sz="0" w:space="0" w:color="auto"/>
      </w:divBdr>
    </w:div>
    <w:div w:id="1241409278">
      <w:bodyDiv w:val="1"/>
      <w:marLeft w:val="0"/>
      <w:marRight w:val="0"/>
      <w:marTop w:val="0"/>
      <w:marBottom w:val="0"/>
      <w:divBdr>
        <w:top w:val="none" w:sz="0" w:space="0" w:color="auto"/>
        <w:left w:val="none" w:sz="0" w:space="0" w:color="auto"/>
        <w:bottom w:val="none" w:sz="0" w:space="0" w:color="auto"/>
        <w:right w:val="none" w:sz="0" w:space="0" w:color="auto"/>
      </w:divBdr>
    </w:div>
    <w:div w:id="1287854185">
      <w:bodyDiv w:val="1"/>
      <w:marLeft w:val="0"/>
      <w:marRight w:val="0"/>
      <w:marTop w:val="0"/>
      <w:marBottom w:val="0"/>
      <w:divBdr>
        <w:top w:val="none" w:sz="0" w:space="0" w:color="auto"/>
        <w:left w:val="none" w:sz="0" w:space="0" w:color="auto"/>
        <w:bottom w:val="none" w:sz="0" w:space="0" w:color="auto"/>
        <w:right w:val="none" w:sz="0" w:space="0" w:color="auto"/>
      </w:divBdr>
    </w:div>
    <w:div w:id="1323508808">
      <w:bodyDiv w:val="1"/>
      <w:marLeft w:val="0"/>
      <w:marRight w:val="0"/>
      <w:marTop w:val="0"/>
      <w:marBottom w:val="0"/>
      <w:divBdr>
        <w:top w:val="none" w:sz="0" w:space="0" w:color="auto"/>
        <w:left w:val="none" w:sz="0" w:space="0" w:color="auto"/>
        <w:bottom w:val="none" w:sz="0" w:space="0" w:color="auto"/>
        <w:right w:val="none" w:sz="0" w:space="0" w:color="auto"/>
      </w:divBdr>
    </w:div>
    <w:div w:id="1367757814">
      <w:bodyDiv w:val="1"/>
      <w:marLeft w:val="0"/>
      <w:marRight w:val="0"/>
      <w:marTop w:val="0"/>
      <w:marBottom w:val="0"/>
      <w:divBdr>
        <w:top w:val="none" w:sz="0" w:space="0" w:color="auto"/>
        <w:left w:val="none" w:sz="0" w:space="0" w:color="auto"/>
        <w:bottom w:val="none" w:sz="0" w:space="0" w:color="auto"/>
        <w:right w:val="none" w:sz="0" w:space="0" w:color="auto"/>
      </w:divBdr>
    </w:div>
    <w:div w:id="1447888862">
      <w:bodyDiv w:val="1"/>
      <w:marLeft w:val="0"/>
      <w:marRight w:val="0"/>
      <w:marTop w:val="0"/>
      <w:marBottom w:val="0"/>
      <w:divBdr>
        <w:top w:val="none" w:sz="0" w:space="0" w:color="auto"/>
        <w:left w:val="none" w:sz="0" w:space="0" w:color="auto"/>
        <w:bottom w:val="none" w:sz="0" w:space="0" w:color="auto"/>
        <w:right w:val="none" w:sz="0" w:space="0" w:color="auto"/>
      </w:divBdr>
    </w:div>
    <w:div w:id="1480027869">
      <w:bodyDiv w:val="1"/>
      <w:marLeft w:val="0"/>
      <w:marRight w:val="0"/>
      <w:marTop w:val="0"/>
      <w:marBottom w:val="0"/>
      <w:divBdr>
        <w:top w:val="none" w:sz="0" w:space="0" w:color="auto"/>
        <w:left w:val="none" w:sz="0" w:space="0" w:color="auto"/>
        <w:bottom w:val="none" w:sz="0" w:space="0" w:color="auto"/>
        <w:right w:val="none" w:sz="0" w:space="0" w:color="auto"/>
      </w:divBdr>
    </w:div>
    <w:div w:id="1528637455">
      <w:bodyDiv w:val="1"/>
      <w:marLeft w:val="0"/>
      <w:marRight w:val="0"/>
      <w:marTop w:val="0"/>
      <w:marBottom w:val="0"/>
      <w:divBdr>
        <w:top w:val="none" w:sz="0" w:space="0" w:color="auto"/>
        <w:left w:val="none" w:sz="0" w:space="0" w:color="auto"/>
        <w:bottom w:val="none" w:sz="0" w:space="0" w:color="auto"/>
        <w:right w:val="none" w:sz="0" w:space="0" w:color="auto"/>
      </w:divBdr>
    </w:div>
    <w:div w:id="1568421780">
      <w:bodyDiv w:val="1"/>
      <w:marLeft w:val="0"/>
      <w:marRight w:val="0"/>
      <w:marTop w:val="0"/>
      <w:marBottom w:val="0"/>
      <w:divBdr>
        <w:top w:val="none" w:sz="0" w:space="0" w:color="auto"/>
        <w:left w:val="none" w:sz="0" w:space="0" w:color="auto"/>
        <w:bottom w:val="none" w:sz="0" w:space="0" w:color="auto"/>
        <w:right w:val="none" w:sz="0" w:space="0" w:color="auto"/>
      </w:divBdr>
    </w:div>
    <w:div w:id="1608394157">
      <w:bodyDiv w:val="1"/>
      <w:marLeft w:val="0"/>
      <w:marRight w:val="0"/>
      <w:marTop w:val="0"/>
      <w:marBottom w:val="0"/>
      <w:divBdr>
        <w:top w:val="none" w:sz="0" w:space="0" w:color="auto"/>
        <w:left w:val="none" w:sz="0" w:space="0" w:color="auto"/>
        <w:bottom w:val="none" w:sz="0" w:space="0" w:color="auto"/>
        <w:right w:val="none" w:sz="0" w:space="0" w:color="auto"/>
      </w:divBdr>
    </w:div>
    <w:div w:id="1614746015">
      <w:bodyDiv w:val="1"/>
      <w:marLeft w:val="0"/>
      <w:marRight w:val="0"/>
      <w:marTop w:val="0"/>
      <w:marBottom w:val="0"/>
      <w:divBdr>
        <w:top w:val="none" w:sz="0" w:space="0" w:color="auto"/>
        <w:left w:val="none" w:sz="0" w:space="0" w:color="auto"/>
        <w:bottom w:val="none" w:sz="0" w:space="0" w:color="auto"/>
        <w:right w:val="none" w:sz="0" w:space="0" w:color="auto"/>
      </w:divBdr>
    </w:div>
    <w:div w:id="1635719880">
      <w:bodyDiv w:val="1"/>
      <w:marLeft w:val="0"/>
      <w:marRight w:val="0"/>
      <w:marTop w:val="0"/>
      <w:marBottom w:val="0"/>
      <w:divBdr>
        <w:top w:val="none" w:sz="0" w:space="0" w:color="auto"/>
        <w:left w:val="none" w:sz="0" w:space="0" w:color="auto"/>
        <w:bottom w:val="none" w:sz="0" w:space="0" w:color="auto"/>
        <w:right w:val="none" w:sz="0" w:space="0" w:color="auto"/>
      </w:divBdr>
    </w:div>
    <w:div w:id="1640643275">
      <w:bodyDiv w:val="1"/>
      <w:marLeft w:val="0"/>
      <w:marRight w:val="0"/>
      <w:marTop w:val="0"/>
      <w:marBottom w:val="0"/>
      <w:divBdr>
        <w:top w:val="none" w:sz="0" w:space="0" w:color="auto"/>
        <w:left w:val="none" w:sz="0" w:space="0" w:color="auto"/>
        <w:bottom w:val="none" w:sz="0" w:space="0" w:color="auto"/>
        <w:right w:val="none" w:sz="0" w:space="0" w:color="auto"/>
      </w:divBdr>
    </w:div>
    <w:div w:id="1674184934">
      <w:bodyDiv w:val="1"/>
      <w:marLeft w:val="0"/>
      <w:marRight w:val="0"/>
      <w:marTop w:val="0"/>
      <w:marBottom w:val="0"/>
      <w:divBdr>
        <w:top w:val="none" w:sz="0" w:space="0" w:color="auto"/>
        <w:left w:val="none" w:sz="0" w:space="0" w:color="auto"/>
        <w:bottom w:val="none" w:sz="0" w:space="0" w:color="auto"/>
        <w:right w:val="none" w:sz="0" w:space="0" w:color="auto"/>
      </w:divBdr>
    </w:div>
    <w:div w:id="1683700448">
      <w:bodyDiv w:val="1"/>
      <w:marLeft w:val="0"/>
      <w:marRight w:val="0"/>
      <w:marTop w:val="0"/>
      <w:marBottom w:val="0"/>
      <w:divBdr>
        <w:top w:val="none" w:sz="0" w:space="0" w:color="auto"/>
        <w:left w:val="none" w:sz="0" w:space="0" w:color="auto"/>
        <w:bottom w:val="none" w:sz="0" w:space="0" w:color="auto"/>
        <w:right w:val="none" w:sz="0" w:space="0" w:color="auto"/>
      </w:divBdr>
      <w:divsChild>
        <w:div w:id="554632071">
          <w:marLeft w:val="547"/>
          <w:marRight w:val="0"/>
          <w:marTop w:val="0"/>
          <w:marBottom w:val="0"/>
          <w:divBdr>
            <w:top w:val="none" w:sz="0" w:space="0" w:color="auto"/>
            <w:left w:val="none" w:sz="0" w:space="0" w:color="auto"/>
            <w:bottom w:val="none" w:sz="0" w:space="0" w:color="auto"/>
            <w:right w:val="none" w:sz="0" w:space="0" w:color="auto"/>
          </w:divBdr>
        </w:div>
      </w:divsChild>
    </w:div>
    <w:div w:id="1688171546">
      <w:bodyDiv w:val="1"/>
      <w:marLeft w:val="0"/>
      <w:marRight w:val="0"/>
      <w:marTop w:val="0"/>
      <w:marBottom w:val="0"/>
      <w:divBdr>
        <w:top w:val="none" w:sz="0" w:space="0" w:color="auto"/>
        <w:left w:val="none" w:sz="0" w:space="0" w:color="auto"/>
        <w:bottom w:val="none" w:sz="0" w:space="0" w:color="auto"/>
        <w:right w:val="none" w:sz="0" w:space="0" w:color="auto"/>
      </w:divBdr>
    </w:div>
    <w:div w:id="1759518603">
      <w:bodyDiv w:val="1"/>
      <w:marLeft w:val="0"/>
      <w:marRight w:val="0"/>
      <w:marTop w:val="0"/>
      <w:marBottom w:val="0"/>
      <w:divBdr>
        <w:top w:val="none" w:sz="0" w:space="0" w:color="auto"/>
        <w:left w:val="none" w:sz="0" w:space="0" w:color="auto"/>
        <w:bottom w:val="none" w:sz="0" w:space="0" w:color="auto"/>
        <w:right w:val="none" w:sz="0" w:space="0" w:color="auto"/>
      </w:divBdr>
    </w:div>
    <w:div w:id="1797333028">
      <w:bodyDiv w:val="1"/>
      <w:marLeft w:val="0"/>
      <w:marRight w:val="0"/>
      <w:marTop w:val="0"/>
      <w:marBottom w:val="0"/>
      <w:divBdr>
        <w:top w:val="none" w:sz="0" w:space="0" w:color="auto"/>
        <w:left w:val="none" w:sz="0" w:space="0" w:color="auto"/>
        <w:bottom w:val="none" w:sz="0" w:space="0" w:color="auto"/>
        <w:right w:val="none" w:sz="0" w:space="0" w:color="auto"/>
      </w:divBdr>
    </w:div>
    <w:div w:id="1842551224">
      <w:bodyDiv w:val="1"/>
      <w:marLeft w:val="0"/>
      <w:marRight w:val="0"/>
      <w:marTop w:val="0"/>
      <w:marBottom w:val="0"/>
      <w:divBdr>
        <w:top w:val="none" w:sz="0" w:space="0" w:color="auto"/>
        <w:left w:val="none" w:sz="0" w:space="0" w:color="auto"/>
        <w:bottom w:val="none" w:sz="0" w:space="0" w:color="auto"/>
        <w:right w:val="none" w:sz="0" w:space="0" w:color="auto"/>
      </w:divBdr>
    </w:div>
    <w:div w:id="1854027297">
      <w:bodyDiv w:val="1"/>
      <w:marLeft w:val="0"/>
      <w:marRight w:val="0"/>
      <w:marTop w:val="0"/>
      <w:marBottom w:val="0"/>
      <w:divBdr>
        <w:top w:val="none" w:sz="0" w:space="0" w:color="auto"/>
        <w:left w:val="none" w:sz="0" w:space="0" w:color="auto"/>
        <w:bottom w:val="none" w:sz="0" w:space="0" w:color="auto"/>
        <w:right w:val="none" w:sz="0" w:space="0" w:color="auto"/>
      </w:divBdr>
      <w:divsChild>
        <w:div w:id="702824662">
          <w:marLeft w:val="547"/>
          <w:marRight w:val="0"/>
          <w:marTop w:val="0"/>
          <w:marBottom w:val="0"/>
          <w:divBdr>
            <w:top w:val="none" w:sz="0" w:space="0" w:color="auto"/>
            <w:left w:val="none" w:sz="0" w:space="0" w:color="auto"/>
            <w:bottom w:val="none" w:sz="0" w:space="0" w:color="auto"/>
            <w:right w:val="none" w:sz="0" w:space="0" w:color="auto"/>
          </w:divBdr>
        </w:div>
      </w:divsChild>
    </w:div>
    <w:div w:id="1880976185">
      <w:bodyDiv w:val="1"/>
      <w:marLeft w:val="0"/>
      <w:marRight w:val="0"/>
      <w:marTop w:val="0"/>
      <w:marBottom w:val="0"/>
      <w:divBdr>
        <w:top w:val="none" w:sz="0" w:space="0" w:color="auto"/>
        <w:left w:val="none" w:sz="0" w:space="0" w:color="auto"/>
        <w:bottom w:val="none" w:sz="0" w:space="0" w:color="auto"/>
        <w:right w:val="none" w:sz="0" w:space="0" w:color="auto"/>
      </w:divBdr>
      <w:divsChild>
        <w:div w:id="1338507980">
          <w:marLeft w:val="547"/>
          <w:marRight w:val="0"/>
          <w:marTop w:val="0"/>
          <w:marBottom w:val="0"/>
          <w:divBdr>
            <w:top w:val="none" w:sz="0" w:space="0" w:color="auto"/>
            <w:left w:val="none" w:sz="0" w:space="0" w:color="auto"/>
            <w:bottom w:val="none" w:sz="0" w:space="0" w:color="auto"/>
            <w:right w:val="none" w:sz="0" w:space="0" w:color="auto"/>
          </w:divBdr>
        </w:div>
        <w:div w:id="40790413">
          <w:marLeft w:val="547"/>
          <w:marRight w:val="0"/>
          <w:marTop w:val="0"/>
          <w:marBottom w:val="0"/>
          <w:divBdr>
            <w:top w:val="none" w:sz="0" w:space="0" w:color="auto"/>
            <w:left w:val="none" w:sz="0" w:space="0" w:color="auto"/>
            <w:bottom w:val="none" w:sz="0" w:space="0" w:color="auto"/>
            <w:right w:val="none" w:sz="0" w:space="0" w:color="auto"/>
          </w:divBdr>
        </w:div>
      </w:divsChild>
    </w:div>
    <w:div w:id="1938321402">
      <w:bodyDiv w:val="1"/>
      <w:marLeft w:val="0"/>
      <w:marRight w:val="0"/>
      <w:marTop w:val="0"/>
      <w:marBottom w:val="0"/>
      <w:divBdr>
        <w:top w:val="none" w:sz="0" w:space="0" w:color="auto"/>
        <w:left w:val="none" w:sz="0" w:space="0" w:color="auto"/>
        <w:bottom w:val="none" w:sz="0" w:space="0" w:color="auto"/>
        <w:right w:val="none" w:sz="0" w:space="0" w:color="auto"/>
      </w:divBdr>
    </w:div>
    <w:div w:id="2005744142">
      <w:bodyDiv w:val="1"/>
      <w:marLeft w:val="0"/>
      <w:marRight w:val="0"/>
      <w:marTop w:val="0"/>
      <w:marBottom w:val="0"/>
      <w:divBdr>
        <w:top w:val="none" w:sz="0" w:space="0" w:color="auto"/>
        <w:left w:val="none" w:sz="0" w:space="0" w:color="auto"/>
        <w:bottom w:val="none" w:sz="0" w:space="0" w:color="auto"/>
        <w:right w:val="none" w:sz="0" w:space="0" w:color="auto"/>
      </w:divBdr>
    </w:div>
    <w:div w:id="2031489255">
      <w:bodyDiv w:val="1"/>
      <w:marLeft w:val="0"/>
      <w:marRight w:val="0"/>
      <w:marTop w:val="0"/>
      <w:marBottom w:val="0"/>
      <w:divBdr>
        <w:top w:val="none" w:sz="0" w:space="0" w:color="auto"/>
        <w:left w:val="none" w:sz="0" w:space="0" w:color="auto"/>
        <w:bottom w:val="none" w:sz="0" w:space="0" w:color="auto"/>
        <w:right w:val="none" w:sz="0" w:space="0" w:color="auto"/>
      </w:divBdr>
      <w:divsChild>
        <w:div w:id="1255478387">
          <w:marLeft w:val="360"/>
          <w:marRight w:val="0"/>
          <w:marTop w:val="0"/>
          <w:marBottom w:val="0"/>
          <w:divBdr>
            <w:top w:val="none" w:sz="0" w:space="0" w:color="auto"/>
            <w:left w:val="none" w:sz="0" w:space="0" w:color="auto"/>
            <w:bottom w:val="none" w:sz="0" w:space="0" w:color="auto"/>
            <w:right w:val="none" w:sz="0" w:space="0" w:color="auto"/>
          </w:divBdr>
        </w:div>
        <w:div w:id="151063793">
          <w:marLeft w:val="360"/>
          <w:marRight w:val="0"/>
          <w:marTop w:val="0"/>
          <w:marBottom w:val="0"/>
          <w:divBdr>
            <w:top w:val="none" w:sz="0" w:space="0" w:color="auto"/>
            <w:left w:val="none" w:sz="0" w:space="0" w:color="auto"/>
            <w:bottom w:val="none" w:sz="0" w:space="0" w:color="auto"/>
            <w:right w:val="none" w:sz="0" w:space="0" w:color="auto"/>
          </w:divBdr>
        </w:div>
        <w:div w:id="118767735">
          <w:marLeft w:val="360"/>
          <w:marRight w:val="0"/>
          <w:marTop w:val="0"/>
          <w:marBottom w:val="0"/>
          <w:divBdr>
            <w:top w:val="none" w:sz="0" w:space="0" w:color="auto"/>
            <w:left w:val="none" w:sz="0" w:space="0" w:color="auto"/>
            <w:bottom w:val="none" w:sz="0" w:space="0" w:color="auto"/>
            <w:right w:val="none" w:sz="0" w:space="0" w:color="auto"/>
          </w:divBdr>
        </w:div>
        <w:div w:id="567151765">
          <w:marLeft w:val="360"/>
          <w:marRight w:val="0"/>
          <w:marTop w:val="0"/>
          <w:marBottom w:val="0"/>
          <w:divBdr>
            <w:top w:val="none" w:sz="0" w:space="0" w:color="auto"/>
            <w:left w:val="none" w:sz="0" w:space="0" w:color="auto"/>
            <w:bottom w:val="none" w:sz="0" w:space="0" w:color="auto"/>
            <w:right w:val="none" w:sz="0" w:space="0" w:color="auto"/>
          </w:divBdr>
        </w:div>
        <w:div w:id="1017266781">
          <w:marLeft w:val="360"/>
          <w:marRight w:val="0"/>
          <w:marTop w:val="0"/>
          <w:marBottom w:val="0"/>
          <w:divBdr>
            <w:top w:val="none" w:sz="0" w:space="0" w:color="auto"/>
            <w:left w:val="none" w:sz="0" w:space="0" w:color="auto"/>
            <w:bottom w:val="none" w:sz="0" w:space="0" w:color="auto"/>
            <w:right w:val="none" w:sz="0" w:space="0" w:color="auto"/>
          </w:divBdr>
        </w:div>
      </w:divsChild>
    </w:div>
    <w:div w:id="2059669092">
      <w:bodyDiv w:val="1"/>
      <w:marLeft w:val="0"/>
      <w:marRight w:val="0"/>
      <w:marTop w:val="0"/>
      <w:marBottom w:val="0"/>
      <w:divBdr>
        <w:top w:val="none" w:sz="0" w:space="0" w:color="auto"/>
        <w:left w:val="none" w:sz="0" w:space="0" w:color="auto"/>
        <w:bottom w:val="none" w:sz="0" w:space="0" w:color="auto"/>
        <w:right w:val="none" w:sz="0" w:space="0" w:color="auto"/>
      </w:divBdr>
    </w:div>
    <w:div w:id="2084721009">
      <w:bodyDiv w:val="1"/>
      <w:marLeft w:val="0"/>
      <w:marRight w:val="0"/>
      <w:marTop w:val="0"/>
      <w:marBottom w:val="0"/>
      <w:divBdr>
        <w:top w:val="none" w:sz="0" w:space="0" w:color="auto"/>
        <w:left w:val="none" w:sz="0" w:space="0" w:color="auto"/>
        <w:bottom w:val="none" w:sz="0" w:space="0" w:color="auto"/>
        <w:right w:val="none" w:sz="0" w:space="0" w:color="auto"/>
      </w:divBdr>
    </w:div>
    <w:div w:id="2115321563">
      <w:bodyDiv w:val="1"/>
      <w:marLeft w:val="0"/>
      <w:marRight w:val="0"/>
      <w:marTop w:val="0"/>
      <w:marBottom w:val="0"/>
      <w:divBdr>
        <w:top w:val="none" w:sz="0" w:space="0" w:color="auto"/>
        <w:left w:val="none" w:sz="0" w:space="0" w:color="auto"/>
        <w:bottom w:val="none" w:sz="0" w:space="0" w:color="auto"/>
        <w:right w:val="none" w:sz="0" w:space="0" w:color="auto"/>
      </w:divBdr>
    </w:div>
    <w:div w:id="214415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diagramColors" Target="diagrams/colors3.xml"/><Relationship Id="rId21" Type="http://schemas.openxmlformats.org/officeDocument/2006/relationships/header" Target="header5.xml"/><Relationship Id="rId34" Type="http://schemas.microsoft.com/office/2007/relationships/diagramDrawing" Target="diagrams/drawing2.xml"/><Relationship Id="rId42" Type="http://schemas.openxmlformats.org/officeDocument/2006/relationships/image" Target="media/image10.emf"/><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image" Target="media/image23.png"/><Relationship Id="rId63" Type="http://schemas.openxmlformats.org/officeDocument/2006/relationships/image" Target="media/image31.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eader" Target="header7.xml"/><Relationship Id="rId32" Type="http://schemas.openxmlformats.org/officeDocument/2006/relationships/diagramQuickStyle" Target="diagrams/quickStyle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3.png"/><Relationship Id="rId53" Type="http://schemas.openxmlformats.org/officeDocument/2006/relationships/image" Target="media/image21.emf"/><Relationship Id="rId58" Type="http://schemas.openxmlformats.org/officeDocument/2006/relationships/image" Target="media/image26.png"/><Relationship Id="rId66"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diagramData" Target="diagrams/data3.xml"/><Relationship Id="rId49" Type="http://schemas.openxmlformats.org/officeDocument/2006/relationships/image" Target="media/image17.emf"/><Relationship Id="rId57" Type="http://schemas.openxmlformats.org/officeDocument/2006/relationships/image" Target="media/image25.png"/><Relationship Id="rId61" Type="http://schemas.openxmlformats.org/officeDocument/2006/relationships/image" Target="media/image29.emf"/><Relationship Id="rId10" Type="http://schemas.openxmlformats.org/officeDocument/2006/relationships/diagramData" Target="diagrams/data1.xml"/><Relationship Id="rId19" Type="http://schemas.openxmlformats.org/officeDocument/2006/relationships/header" Target="header4.xml"/><Relationship Id="rId31" Type="http://schemas.openxmlformats.org/officeDocument/2006/relationships/diagramLayout" Target="diagrams/layout2.xml"/><Relationship Id="rId44" Type="http://schemas.openxmlformats.org/officeDocument/2006/relationships/image" Target="media/image12.png"/><Relationship Id="rId52" Type="http://schemas.openxmlformats.org/officeDocument/2006/relationships/image" Target="media/image20.emf"/><Relationship Id="rId60" Type="http://schemas.openxmlformats.org/officeDocument/2006/relationships/image" Target="media/image28.png"/><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header" Target="header6.xml"/><Relationship Id="rId27" Type="http://schemas.openxmlformats.org/officeDocument/2006/relationships/image" Target="media/image5.png"/><Relationship Id="rId30" Type="http://schemas.openxmlformats.org/officeDocument/2006/relationships/diagramData" Target="diagrams/data2.xml"/><Relationship Id="rId35" Type="http://schemas.openxmlformats.org/officeDocument/2006/relationships/image" Target="media/image8.png"/><Relationship Id="rId43" Type="http://schemas.openxmlformats.org/officeDocument/2006/relationships/image" Target="media/image11.emf"/><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eader" Target="header3.xml"/><Relationship Id="rId25" Type="http://schemas.openxmlformats.org/officeDocument/2006/relationships/image" Target="media/image3.emf"/><Relationship Id="rId33" Type="http://schemas.openxmlformats.org/officeDocument/2006/relationships/diagramColors" Target="diagrams/colors2.xml"/><Relationship Id="rId38" Type="http://schemas.openxmlformats.org/officeDocument/2006/relationships/diagramQuickStyle" Target="diagrams/quickStyle3.xml"/><Relationship Id="rId46" Type="http://schemas.openxmlformats.org/officeDocument/2006/relationships/image" Target="media/image14.png"/><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image" Target="media/image2.emf"/><Relationship Id="rId41" Type="http://schemas.openxmlformats.org/officeDocument/2006/relationships/image" Target="media/image9.emf"/><Relationship Id="rId54" Type="http://schemas.openxmlformats.org/officeDocument/2006/relationships/image" Target="media/image22.png"/><Relationship Id="rId62" Type="http://schemas.openxmlformats.org/officeDocument/2006/relationships/image" Target="media/image30.emf"/></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28830C-59A0-4B6D-A093-EE2FEB176881}" type="doc">
      <dgm:prSet loTypeId="urn:microsoft.com/office/officeart/2008/layout/VerticalCurvedList" loCatId="list" qsTypeId="urn:microsoft.com/office/officeart/2005/8/quickstyle/simple3" qsCatId="simple" csTypeId="urn:microsoft.com/office/officeart/2005/8/colors/accent4_5" csCatId="accent4" phldr="1"/>
      <dgm:spPr/>
      <dgm:t>
        <a:bodyPr/>
        <a:lstStyle/>
        <a:p>
          <a:endParaRPr lang="en-GB"/>
        </a:p>
      </dgm:t>
    </dgm:pt>
    <dgm:pt modelId="{BB8391E2-3206-4B37-9234-A5BFF28AFD63}">
      <dgm:prSet phldrT="[Text]" custT="1"/>
      <dgm:spPr/>
      <dgm:t>
        <a:bodyPr/>
        <a:lstStyle/>
        <a:p>
          <a:pPr algn="l"/>
          <a:r>
            <a:rPr lang="en-GB" sz="2400" b="1"/>
            <a:t>£0.373m </a:t>
          </a:r>
          <a:r>
            <a:rPr lang="en-GB" sz="2000" b="1"/>
            <a:t>underspend</a:t>
          </a:r>
          <a:r>
            <a:rPr lang="en-GB" sz="2400" b="1"/>
            <a:t> </a:t>
          </a:r>
          <a:r>
            <a:rPr lang="en-GB" sz="1800"/>
            <a:t>– Provisional outturn, a reduction of £0.546m from the month 11 overspend of £0.173m. </a:t>
          </a:r>
          <a:r>
            <a:rPr lang="en-GB" sz="2400"/>
            <a:t> </a:t>
          </a:r>
          <a:endParaRPr lang="en-GB" sz="1400" b="0"/>
        </a:p>
      </dgm:t>
    </dgm:pt>
    <dgm:pt modelId="{E99AD956-8B92-4CAA-B9D6-0E09CC6A4226}" type="parTrans" cxnId="{981E7617-4E1B-45CA-8E84-DDBFD764F0C5}">
      <dgm:prSet/>
      <dgm:spPr/>
      <dgm:t>
        <a:bodyPr/>
        <a:lstStyle/>
        <a:p>
          <a:pPr algn="l"/>
          <a:endParaRPr lang="en-GB" b="1">
            <a:solidFill>
              <a:sysClr val="windowText" lastClr="000000"/>
            </a:solidFill>
          </a:endParaRPr>
        </a:p>
      </dgm:t>
    </dgm:pt>
    <dgm:pt modelId="{7A203250-3AAE-4632-BAD8-898CEB49F780}" type="sibTrans" cxnId="{981E7617-4E1B-45CA-8E84-DDBFD764F0C5}">
      <dgm:prSet/>
      <dgm:spPr/>
      <dgm:t>
        <a:bodyPr/>
        <a:lstStyle/>
        <a:p>
          <a:pPr algn="l"/>
          <a:endParaRPr lang="en-GB" b="1">
            <a:solidFill>
              <a:sysClr val="windowText" lastClr="000000"/>
            </a:solidFill>
          </a:endParaRPr>
        </a:p>
      </dgm:t>
    </dgm:pt>
    <dgm:pt modelId="{10C15333-C7A5-4D66-A716-A7FF2988C534}">
      <dgm:prSet custT="1"/>
      <dgm:spPr/>
      <dgm:t>
        <a:bodyPr/>
        <a:lstStyle/>
        <a:p>
          <a:r>
            <a:rPr lang="en-GB" sz="2400" b="1"/>
            <a:t>3,064 FTE </a:t>
          </a:r>
          <a:r>
            <a:rPr lang="en-GB" sz="1800" b="1"/>
            <a:t>– </a:t>
          </a:r>
          <a:r>
            <a:rPr lang="en-GB" sz="1800"/>
            <a:t>Police Officer strength</a:t>
          </a:r>
          <a:r>
            <a:rPr lang="en-GB" sz="1800" b="0"/>
            <a:t>, 61 FTE above establishment of 3,003 FTEs.</a:t>
          </a:r>
        </a:p>
      </dgm:t>
    </dgm:pt>
    <dgm:pt modelId="{D279CD6B-D61A-449C-8A87-0037C2B0281E}" type="parTrans" cxnId="{94DD898A-88B7-46B9-A24F-BFE54712406D}">
      <dgm:prSet/>
      <dgm:spPr/>
      <dgm:t>
        <a:bodyPr/>
        <a:lstStyle/>
        <a:p>
          <a:endParaRPr lang="en-GB"/>
        </a:p>
      </dgm:t>
    </dgm:pt>
    <dgm:pt modelId="{FFF3EB58-66E6-4609-B500-B54F633D7AD4}" type="sibTrans" cxnId="{94DD898A-88B7-46B9-A24F-BFE54712406D}">
      <dgm:prSet/>
      <dgm:spPr/>
      <dgm:t>
        <a:bodyPr/>
        <a:lstStyle/>
        <a:p>
          <a:endParaRPr lang="en-GB"/>
        </a:p>
      </dgm:t>
    </dgm:pt>
    <dgm:pt modelId="{81F65FEC-8FA0-475F-B5DD-41991DB586D9}">
      <dgm:prSet custT="1"/>
      <dgm:spPr>
        <a:solidFill>
          <a:srgbClr val="FFFFCC"/>
        </a:solidFill>
      </dgm:spPr>
      <dgm:t>
        <a:bodyPr/>
        <a:lstStyle/>
        <a:p>
          <a:r>
            <a:rPr lang="en-GB" sz="2400" b="1"/>
            <a:t>£7.324m surplus </a:t>
          </a:r>
          <a:r>
            <a:rPr lang="en-GB" sz="1600"/>
            <a:t>- The provisional year end balance on the Capital Reserve.  </a:t>
          </a:r>
        </a:p>
      </dgm:t>
    </dgm:pt>
    <dgm:pt modelId="{4C06366F-EE4F-4331-94B9-3A4F1B2A8A0F}" type="parTrans" cxnId="{06BCED37-430A-4D2F-9EE8-A87199B4E6BC}">
      <dgm:prSet/>
      <dgm:spPr/>
      <dgm:t>
        <a:bodyPr/>
        <a:lstStyle/>
        <a:p>
          <a:endParaRPr lang="en-GB"/>
        </a:p>
      </dgm:t>
    </dgm:pt>
    <dgm:pt modelId="{B0FA2251-5DD0-4306-9859-D36CB3D31E24}" type="sibTrans" cxnId="{06BCED37-430A-4D2F-9EE8-A87199B4E6BC}">
      <dgm:prSet/>
      <dgm:spPr/>
      <dgm:t>
        <a:bodyPr/>
        <a:lstStyle/>
        <a:p>
          <a:endParaRPr lang="en-GB"/>
        </a:p>
      </dgm:t>
    </dgm:pt>
    <dgm:pt modelId="{4C131387-FCC6-4D25-B991-F4DD1ECFEEEF}">
      <dgm:prSet custT="1"/>
      <dgm:spPr>
        <a:solidFill>
          <a:srgbClr val="FFFFCC"/>
        </a:solidFill>
      </dgm:spPr>
      <dgm:t>
        <a:bodyPr/>
        <a:lstStyle/>
        <a:p>
          <a:r>
            <a:rPr lang="en-GB" sz="2400" b="1"/>
            <a:t>£8.178m </a:t>
          </a:r>
          <a:r>
            <a:rPr lang="en-GB" sz="1600"/>
            <a:t>provisional capital expenditure and </a:t>
          </a:r>
          <a:r>
            <a:rPr lang="en-GB" sz="2400" b="1"/>
            <a:t>£14.849m </a:t>
          </a:r>
          <a:r>
            <a:rPr lang="en-GB" sz="1600"/>
            <a:t>provisional capital income </a:t>
          </a:r>
          <a:endParaRPr lang="en-GB" sz="1600" i="1"/>
        </a:p>
      </dgm:t>
    </dgm:pt>
    <dgm:pt modelId="{663F9240-4B26-45D1-998C-CB388C6C0556}" type="sibTrans" cxnId="{31C2E91C-9D65-40DD-B5A7-429B7DEDC781}">
      <dgm:prSet/>
      <dgm:spPr/>
      <dgm:t>
        <a:bodyPr/>
        <a:lstStyle/>
        <a:p>
          <a:endParaRPr lang="en-GB"/>
        </a:p>
      </dgm:t>
    </dgm:pt>
    <dgm:pt modelId="{807CF456-E3BD-4E51-ABEF-9C0E1997FAEA}" type="parTrans" cxnId="{31C2E91C-9D65-40DD-B5A7-429B7DEDC781}">
      <dgm:prSet/>
      <dgm:spPr/>
      <dgm:t>
        <a:bodyPr/>
        <a:lstStyle/>
        <a:p>
          <a:endParaRPr lang="en-GB"/>
        </a:p>
      </dgm:t>
    </dgm:pt>
    <dgm:pt modelId="{38FACF0B-5D97-43CE-86C7-76E915DE5087}">
      <dgm:prSet custT="1"/>
      <dgm:spPr/>
      <dgm:t>
        <a:bodyPr/>
        <a:lstStyle/>
        <a:p>
          <a:r>
            <a:rPr lang="en-GB" sz="2400" b="1"/>
            <a:t>£9.226m – </a:t>
          </a:r>
          <a:r>
            <a:rPr lang="en-GB" sz="1800"/>
            <a:t>Provisional General Reserve balance, a net reduction of £0.295m during 2018/19.</a:t>
          </a:r>
          <a:endParaRPr lang="en-GB" sz="1800" b="0"/>
        </a:p>
      </dgm:t>
    </dgm:pt>
    <dgm:pt modelId="{A4B03454-8E3C-46E2-A37D-DB20C31B57C7}" type="parTrans" cxnId="{793C688A-6A2A-4EF8-BC91-4A4B4DBC14F1}">
      <dgm:prSet/>
      <dgm:spPr/>
      <dgm:t>
        <a:bodyPr/>
        <a:lstStyle/>
        <a:p>
          <a:endParaRPr lang="en-US"/>
        </a:p>
      </dgm:t>
    </dgm:pt>
    <dgm:pt modelId="{76D53B90-887F-4C74-8862-7352A919CF15}" type="sibTrans" cxnId="{793C688A-6A2A-4EF8-BC91-4A4B4DBC14F1}">
      <dgm:prSet/>
      <dgm:spPr/>
      <dgm:t>
        <a:bodyPr/>
        <a:lstStyle/>
        <a:p>
          <a:endParaRPr lang="en-US"/>
        </a:p>
      </dgm:t>
    </dgm:pt>
    <dgm:pt modelId="{18658607-3F44-48D9-B1E0-83C791DBBB8E}" type="pres">
      <dgm:prSet presAssocID="{B528830C-59A0-4B6D-A093-EE2FEB176881}" presName="Name0" presStyleCnt="0">
        <dgm:presLayoutVars>
          <dgm:chMax val="7"/>
          <dgm:chPref val="7"/>
          <dgm:dir/>
        </dgm:presLayoutVars>
      </dgm:prSet>
      <dgm:spPr/>
      <dgm:t>
        <a:bodyPr/>
        <a:lstStyle/>
        <a:p>
          <a:endParaRPr lang="en-GB"/>
        </a:p>
      </dgm:t>
    </dgm:pt>
    <dgm:pt modelId="{710F7C87-7853-4EFA-B7C6-C52C9B63665F}" type="pres">
      <dgm:prSet presAssocID="{B528830C-59A0-4B6D-A093-EE2FEB176881}" presName="Name1" presStyleCnt="0"/>
      <dgm:spPr/>
      <dgm:t>
        <a:bodyPr/>
        <a:lstStyle/>
        <a:p>
          <a:endParaRPr lang="en-GB"/>
        </a:p>
      </dgm:t>
    </dgm:pt>
    <dgm:pt modelId="{98B140B8-848B-46F2-8D88-0F992E751018}" type="pres">
      <dgm:prSet presAssocID="{B528830C-59A0-4B6D-A093-EE2FEB176881}" presName="cycle" presStyleCnt="0"/>
      <dgm:spPr/>
      <dgm:t>
        <a:bodyPr/>
        <a:lstStyle/>
        <a:p>
          <a:endParaRPr lang="en-GB"/>
        </a:p>
      </dgm:t>
    </dgm:pt>
    <dgm:pt modelId="{F778898A-B1FF-414D-AB1D-E56C5033ED58}" type="pres">
      <dgm:prSet presAssocID="{B528830C-59A0-4B6D-A093-EE2FEB176881}" presName="srcNode" presStyleLbl="node1" presStyleIdx="0" presStyleCnt="5"/>
      <dgm:spPr/>
      <dgm:t>
        <a:bodyPr/>
        <a:lstStyle/>
        <a:p>
          <a:endParaRPr lang="en-GB"/>
        </a:p>
      </dgm:t>
    </dgm:pt>
    <dgm:pt modelId="{8C0A873D-862A-4564-A8CA-CAD18D6E5DAD}" type="pres">
      <dgm:prSet presAssocID="{B528830C-59A0-4B6D-A093-EE2FEB176881}" presName="conn" presStyleLbl="parChTrans1D2" presStyleIdx="0" presStyleCnt="1"/>
      <dgm:spPr/>
      <dgm:t>
        <a:bodyPr/>
        <a:lstStyle/>
        <a:p>
          <a:endParaRPr lang="en-GB"/>
        </a:p>
      </dgm:t>
    </dgm:pt>
    <dgm:pt modelId="{4B480FEF-8905-4DC9-B131-7D85CC10A580}" type="pres">
      <dgm:prSet presAssocID="{B528830C-59A0-4B6D-A093-EE2FEB176881}" presName="extraNode" presStyleLbl="node1" presStyleIdx="0" presStyleCnt="5"/>
      <dgm:spPr/>
      <dgm:t>
        <a:bodyPr/>
        <a:lstStyle/>
        <a:p>
          <a:endParaRPr lang="en-GB"/>
        </a:p>
      </dgm:t>
    </dgm:pt>
    <dgm:pt modelId="{B5860DA3-9DEA-46B4-A92F-C8AB17C0F195}" type="pres">
      <dgm:prSet presAssocID="{B528830C-59A0-4B6D-A093-EE2FEB176881}" presName="dstNode" presStyleLbl="node1" presStyleIdx="0" presStyleCnt="5"/>
      <dgm:spPr/>
      <dgm:t>
        <a:bodyPr/>
        <a:lstStyle/>
        <a:p>
          <a:endParaRPr lang="en-GB"/>
        </a:p>
      </dgm:t>
    </dgm:pt>
    <dgm:pt modelId="{D3CB3CC6-2704-49FC-AE21-7C280A0565F3}" type="pres">
      <dgm:prSet presAssocID="{BB8391E2-3206-4B37-9234-A5BFF28AFD63}" presName="text_1" presStyleLbl="node1" presStyleIdx="0" presStyleCnt="5" custScaleY="122065">
        <dgm:presLayoutVars>
          <dgm:bulletEnabled val="1"/>
        </dgm:presLayoutVars>
      </dgm:prSet>
      <dgm:spPr/>
      <dgm:t>
        <a:bodyPr/>
        <a:lstStyle/>
        <a:p>
          <a:endParaRPr lang="en-GB"/>
        </a:p>
      </dgm:t>
    </dgm:pt>
    <dgm:pt modelId="{B5697EC7-98DE-4392-A30F-623C9E8BEB3C}" type="pres">
      <dgm:prSet presAssocID="{BB8391E2-3206-4B37-9234-A5BFF28AFD63}" presName="accent_1" presStyleCnt="0"/>
      <dgm:spPr/>
      <dgm:t>
        <a:bodyPr/>
        <a:lstStyle/>
        <a:p>
          <a:endParaRPr lang="en-GB"/>
        </a:p>
      </dgm:t>
    </dgm:pt>
    <dgm:pt modelId="{6276540F-8CDE-4E64-8805-62F43A068F71}" type="pres">
      <dgm:prSet presAssocID="{BB8391E2-3206-4B37-9234-A5BFF28AFD63}" presName="accentRepeatNode" presStyleLbl="solidFgAcc1" presStyleIdx="0" presStyleCnt="5"/>
      <dgm:spPr/>
      <dgm:t>
        <a:bodyPr/>
        <a:lstStyle/>
        <a:p>
          <a:endParaRPr lang="en-GB"/>
        </a:p>
      </dgm:t>
    </dgm:pt>
    <dgm:pt modelId="{46AC4FF2-D322-42CA-860C-8F182344B2BA}" type="pres">
      <dgm:prSet presAssocID="{10C15333-C7A5-4D66-A716-A7FF2988C534}" presName="text_2" presStyleLbl="node1" presStyleIdx="1" presStyleCnt="5">
        <dgm:presLayoutVars>
          <dgm:bulletEnabled val="1"/>
        </dgm:presLayoutVars>
      </dgm:prSet>
      <dgm:spPr/>
      <dgm:t>
        <a:bodyPr/>
        <a:lstStyle/>
        <a:p>
          <a:endParaRPr lang="en-GB"/>
        </a:p>
      </dgm:t>
    </dgm:pt>
    <dgm:pt modelId="{8F8DB263-204D-4AF9-9C66-CE3F4923CEA9}" type="pres">
      <dgm:prSet presAssocID="{10C15333-C7A5-4D66-A716-A7FF2988C534}" presName="accent_2" presStyleCnt="0"/>
      <dgm:spPr/>
    </dgm:pt>
    <dgm:pt modelId="{89D34A01-EB58-476B-87C3-72436BBA3693}" type="pres">
      <dgm:prSet presAssocID="{10C15333-C7A5-4D66-A716-A7FF2988C534}" presName="accentRepeatNode" presStyleLbl="solidFgAcc1" presStyleIdx="1" presStyleCnt="5"/>
      <dgm:spPr/>
    </dgm:pt>
    <dgm:pt modelId="{27BF6B30-07BD-4BBB-9BD8-D9BEEF22C054}" type="pres">
      <dgm:prSet presAssocID="{38FACF0B-5D97-43CE-86C7-76E915DE5087}" presName="text_3" presStyleLbl="node1" presStyleIdx="2" presStyleCnt="5">
        <dgm:presLayoutVars>
          <dgm:bulletEnabled val="1"/>
        </dgm:presLayoutVars>
      </dgm:prSet>
      <dgm:spPr/>
      <dgm:t>
        <a:bodyPr/>
        <a:lstStyle/>
        <a:p>
          <a:endParaRPr lang="en-US"/>
        </a:p>
      </dgm:t>
    </dgm:pt>
    <dgm:pt modelId="{ABC6152E-EDDA-4052-A80F-2915AC390BCB}" type="pres">
      <dgm:prSet presAssocID="{38FACF0B-5D97-43CE-86C7-76E915DE5087}" presName="accent_3" presStyleCnt="0"/>
      <dgm:spPr/>
    </dgm:pt>
    <dgm:pt modelId="{06C587B5-2963-4AD9-927F-9449961430C6}" type="pres">
      <dgm:prSet presAssocID="{38FACF0B-5D97-43CE-86C7-76E915DE5087}" presName="accentRepeatNode" presStyleLbl="solidFgAcc1" presStyleIdx="2" presStyleCnt="5"/>
      <dgm:spPr/>
    </dgm:pt>
    <dgm:pt modelId="{9D7D37DF-F1FE-4428-A4A2-D92514F5E42D}" type="pres">
      <dgm:prSet presAssocID="{81F65FEC-8FA0-475F-B5DD-41991DB586D9}" presName="text_4" presStyleLbl="node1" presStyleIdx="3" presStyleCnt="5">
        <dgm:presLayoutVars>
          <dgm:bulletEnabled val="1"/>
        </dgm:presLayoutVars>
      </dgm:prSet>
      <dgm:spPr/>
      <dgm:t>
        <a:bodyPr/>
        <a:lstStyle/>
        <a:p>
          <a:endParaRPr lang="en-US"/>
        </a:p>
      </dgm:t>
    </dgm:pt>
    <dgm:pt modelId="{64384664-61AC-4A8B-B9E7-F23C2CBFDC4D}" type="pres">
      <dgm:prSet presAssocID="{81F65FEC-8FA0-475F-B5DD-41991DB586D9}" presName="accent_4" presStyleCnt="0"/>
      <dgm:spPr/>
    </dgm:pt>
    <dgm:pt modelId="{6005493A-EA09-4123-91C4-B934A0329E32}" type="pres">
      <dgm:prSet presAssocID="{81F65FEC-8FA0-475F-B5DD-41991DB586D9}" presName="accentRepeatNode" presStyleLbl="solidFgAcc1" presStyleIdx="3" presStyleCnt="5" custLinFactNeighborX="1583" custLinFactNeighborY="3827"/>
      <dgm:spPr/>
    </dgm:pt>
    <dgm:pt modelId="{FD0474DC-FF4A-42C5-99A9-192E5F3BD4A3}" type="pres">
      <dgm:prSet presAssocID="{4C131387-FCC6-4D25-B991-F4DD1ECFEEEF}" presName="text_5" presStyleLbl="node1" presStyleIdx="4" presStyleCnt="5">
        <dgm:presLayoutVars>
          <dgm:bulletEnabled val="1"/>
        </dgm:presLayoutVars>
      </dgm:prSet>
      <dgm:spPr/>
      <dgm:t>
        <a:bodyPr/>
        <a:lstStyle/>
        <a:p>
          <a:endParaRPr lang="en-US"/>
        </a:p>
      </dgm:t>
    </dgm:pt>
    <dgm:pt modelId="{4F9B250C-68B6-4CDC-920C-281F09549B3F}" type="pres">
      <dgm:prSet presAssocID="{4C131387-FCC6-4D25-B991-F4DD1ECFEEEF}" presName="accent_5" presStyleCnt="0"/>
      <dgm:spPr/>
    </dgm:pt>
    <dgm:pt modelId="{32914868-00D6-40A3-B9F5-7741745E473F}" type="pres">
      <dgm:prSet presAssocID="{4C131387-FCC6-4D25-B991-F4DD1ECFEEEF}" presName="accentRepeatNode" presStyleLbl="solidFgAcc1" presStyleIdx="4" presStyleCnt="5" custLinFactNeighborX="-10989" custLinFactNeighborY="-5220"/>
      <dgm:spPr/>
    </dgm:pt>
  </dgm:ptLst>
  <dgm:cxnLst>
    <dgm:cxn modelId="{F014E7F0-0E5B-4E4A-8869-CD6BF22F1EF1}" type="presOf" srcId="{81F65FEC-8FA0-475F-B5DD-41991DB586D9}" destId="{9D7D37DF-F1FE-4428-A4A2-D92514F5E42D}" srcOrd="0" destOrd="0" presId="urn:microsoft.com/office/officeart/2008/layout/VerticalCurvedList"/>
    <dgm:cxn modelId="{B2111B2C-13F2-4D65-AD2B-3D5AB25A10C4}" type="presOf" srcId="{7A203250-3AAE-4632-BAD8-898CEB49F780}" destId="{8C0A873D-862A-4564-A8CA-CAD18D6E5DAD}" srcOrd="0" destOrd="0" presId="urn:microsoft.com/office/officeart/2008/layout/VerticalCurvedList"/>
    <dgm:cxn modelId="{BBD79020-7CA9-4B43-B295-F68FF128984B}" type="presOf" srcId="{4C131387-FCC6-4D25-B991-F4DD1ECFEEEF}" destId="{FD0474DC-FF4A-42C5-99A9-192E5F3BD4A3}" srcOrd="0" destOrd="0" presId="urn:microsoft.com/office/officeart/2008/layout/VerticalCurvedList"/>
    <dgm:cxn modelId="{1E2378B4-A54F-45B3-90BC-5B6E6623A9D5}" type="presOf" srcId="{BB8391E2-3206-4B37-9234-A5BFF28AFD63}" destId="{D3CB3CC6-2704-49FC-AE21-7C280A0565F3}" srcOrd="0" destOrd="0" presId="urn:microsoft.com/office/officeart/2008/layout/VerticalCurvedList"/>
    <dgm:cxn modelId="{F23EADCB-3344-4848-95CA-CE3B4E898B3D}" type="presOf" srcId="{38FACF0B-5D97-43CE-86C7-76E915DE5087}" destId="{27BF6B30-07BD-4BBB-9BD8-D9BEEF22C054}" srcOrd="0" destOrd="0" presId="urn:microsoft.com/office/officeart/2008/layout/VerticalCurvedList"/>
    <dgm:cxn modelId="{80116EF8-FA77-4C63-BB06-35DE71DC8B42}" type="presOf" srcId="{10C15333-C7A5-4D66-A716-A7FF2988C534}" destId="{46AC4FF2-D322-42CA-860C-8F182344B2BA}" srcOrd="0" destOrd="0" presId="urn:microsoft.com/office/officeart/2008/layout/VerticalCurvedList"/>
    <dgm:cxn modelId="{793C688A-6A2A-4EF8-BC91-4A4B4DBC14F1}" srcId="{B528830C-59A0-4B6D-A093-EE2FEB176881}" destId="{38FACF0B-5D97-43CE-86C7-76E915DE5087}" srcOrd="2" destOrd="0" parTransId="{A4B03454-8E3C-46E2-A37D-DB20C31B57C7}" sibTransId="{76D53B90-887F-4C74-8862-7352A919CF15}"/>
    <dgm:cxn modelId="{981E7617-4E1B-45CA-8E84-DDBFD764F0C5}" srcId="{B528830C-59A0-4B6D-A093-EE2FEB176881}" destId="{BB8391E2-3206-4B37-9234-A5BFF28AFD63}" srcOrd="0" destOrd="0" parTransId="{E99AD956-8B92-4CAA-B9D6-0E09CC6A4226}" sibTransId="{7A203250-3AAE-4632-BAD8-898CEB49F780}"/>
    <dgm:cxn modelId="{06BCED37-430A-4D2F-9EE8-A87199B4E6BC}" srcId="{B528830C-59A0-4B6D-A093-EE2FEB176881}" destId="{81F65FEC-8FA0-475F-B5DD-41991DB586D9}" srcOrd="3" destOrd="0" parTransId="{4C06366F-EE4F-4331-94B9-3A4F1B2A8A0F}" sibTransId="{B0FA2251-5DD0-4306-9859-D36CB3D31E24}"/>
    <dgm:cxn modelId="{31C2E91C-9D65-40DD-B5A7-429B7DEDC781}" srcId="{B528830C-59A0-4B6D-A093-EE2FEB176881}" destId="{4C131387-FCC6-4D25-B991-F4DD1ECFEEEF}" srcOrd="4" destOrd="0" parTransId="{807CF456-E3BD-4E51-ABEF-9C0E1997FAEA}" sibTransId="{663F9240-4B26-45D1-998C-CB388C6C0556}"/>
    <dgm:cxn modelId="{CEF0B103-F038-40BD-A80A-92D79652871F}" type="presOf" srcId="{B528830C-59A0-4B6D-A093-EE2FEB176881}" destId="{18658607-3F44-48D9-B1E0-83C791DBBB8E}" srcOrd="0" destOrd="0" presId="urn:microsoft.com/office/officeart/2008/layout/VerticalCurvedList"/>
    <dgm:cxn modelId="{94DD898A-88B7-46B9-A24F-BFE54712406D}" srcId="{B528830C-59A0-4B6D-A093-EE2FEB176881}" destId="{10C15333-C7A5-4D66-A716-A7FF2988C534}" srcOrd="1" destOrd="0" parTransId="{D279CD6B-D61A-449C-8A87-0037C2B0281E}" sibTransId="{FFF3EB58-66E6-4609-B500-B54F633D7AD4}"/>
    <dgm:cxn modelId="{52A0E0C8-5AD7-49AE-A933-92EC481C257B}" type="presParOf" srcId="{18658607-3F44-48D9-B1E0-83C791DBBB8E}" destId="{710F7C87-7853-4EFA-B7C6-C52C9B63665F}" srcOrd="0" destOrd="0" presId="urn:microsoft.com/office/officeart/2008/layout/VerticalCurvedList"/>
    <dgm:cxn modelId="{D7EFE502-BF87-43C7-9FA9-9731CC04857E}" type="presParOf" srcId="{710F7C87-7853-4EFA-B7C6-C52C9B63665F}" destId="{98B140B8-848B-46F2-8D88-0F992E751018}" srcOrd="0" destOrd="0" presId="urn:microsoft.com/office/officeart/2008/layout/VerticalCurvedList"/>
    <dgm:cxn modelId="{C12B8C8F-C197-4F7F-9D9B-63C8E1DCABFA}" type="presParOf" srcId="{98B140B8-848B-46F2-8D88-0F992E751018}" destId="{F778898A-B1FF-414D-AB1D-E56C5033ED58}" srcOrd="0" destOrd="0" presId="urn:microsoft.com/office/officeart/2008/layout/VerticalCurvedList"/>
    <dgm:cxn modelId="{CC14B5F5-F7CC-42D8-A31D-DAFB7F0E0877}" type="presParOf" srcId="{98B140B8-848B-46F2-8D88-0F992E751018}" destId="{8C0A873D-862A-4564-A8CA-CAD18D6E5DAD}" srcOrd="1" destOrd="0" presId="urn:microsoft.com/office/officeart/2008/layout/VerticalCurvedList"/>
    <dgm:cxn modelId="{CEE781DA-0F85-4574-AFAB-DF8812A7685A}" type="presParOf" srcId="{98B140B8-848B-46F2-8D88-0F992E751018}" destId="{4B480FEF-8905-4DC9-B131-7D85CC10A580}" srcOrd="2" destOrd="0" presId="urn:microsoft.com/office/officeart/2008/layout/VerticalCurvedList"/>
    <dgm:cxn modelId="{D87F25AC-A439-49B3-B990-B3AA9A3EB453}" type="presParOf" srcId="{98B140B8-848B-46F2-8D88-0F992E751018}" destId="{B5860DA3-9DEA-46B4-A92F-C8AB17C0F195}" srcOrd="3" destOrd="0" presId="urn:microsoft.com/office/officeart/2008/layout/VerticalCurvedList"/>
    <dgm:cxn modelId="{037BB5D1-16DB-4454-94F9-39D912C76903}" type="presParOf" srcId="{710F7C87-7853-4EFA-B7C6-C52C9B63665F}" destId="{D3CB3CC6-2704-49FC-AE21-7C280A0565F3}" srcOrd="1" destOrd="0" presId="urn:microsoft.com/office/officeart/2008/layout/VerticalCurvedList"/>
    <dgm:cxn modelId="{F8BE7688-E4C8-48BF-A442-70A102E99A05}" type="presParOf" srcId="{710F7C87-7853-4EFA-B7C6-C52C9B63665F}" destId="{B5697EC7-98DE-4392-A30F-623C9E8BEB3C}" srcOrd="2" destOrd="0" presId="urn:microsoft.com/office/officeart/2008/layout/VerticalCurvedList"/>
    <dgm:cxn modelId="{DCCF3E46-4947-481F-B751-7D1FD8878F1B}" type="presParOf" srcId="{B5697EC7-98DE-4392-A30F-623C9E8BEB3C}" destId="{6276540F-8CDE-4E64-8805-62F43A068F71}" srcOrd="0" destOrd="0" presId="urn:microsoft.com/office/officeart/2008/layout/VerticalCurvedList"/>
    <dgm:cxn modelId="{4A50FECB-CB20-4C48-B226-F914902C9F0A}" type="presParOf" srcId="{710F7C87-7853-4EFA-B7C6-C52C9B63665F}" destId="{46AC4FF2-D322-42CA-860C-8F182344B2BA}" srcOrd="3" destOrd="0" presId="urn:microsoft.com/office/officeart/2008/layout/VerticalCurvedList"/>
    <dgm:cxn modelId="{794B628D-5AF2-4A4D-9792-32BD292926E9}" type="presParOf" srcId="{710F7C87-7853-4EFA-B7C6-C52C9B63665F}" destId="{8F8DB263-204D-4AF9-9C66-CE3F4923CEA9}" srcOrd="4" destOrd="0" presId="urn:microsoft.com/office/officeart/2008/layout/VerticalCurvedList"/>
    <dgm:cxn modelId="{5683589D-B05E-46D3-A18C-02968EEBD67E}" type="presParOf" srcId="{8F8DB263-204D-4AF9-9C66-CE3F4923CEA9}" destId="{89D34A01-EB58-476B-87C3-72436BBA3693}" srcOrd="0" destOrd="0" presId="urn:microsoft.com/office/officeart/2008/layout/VerticalCurvedList"/>
    <dgm:cxn modelId="{665A4658-17FB-4DA6-BD08-1AF32117E249}" type="presParOf" srcId="{710F7C87-7853-4EFA-B7C6-C52C9B63665F}" destId="{27BF6B30-07BD-4BBB-9BD8-D9BEEF22C054}" srcOrd="5" destOrd="0" presId="urn:microsoft.com/office/officeart/2008/layout/VerticalCurvedList"/>
    <dgm:cxn modelId="{C02E1952-25D2-40DE-951D-60CF6391C686}" type="presParOf" srcId="{710F7C87-7853-4EFA-B7C6-C52C9B63665F}" destId="{ABC6152E-EDDA-4052-A80F-2915AC390BCB}" srcOrd="6" destOrd="0" presId="urn:microsoft.com/office/officeart/2008/layout/VerticalCurvedList"/>
    <dgm:cxn modelId="{28713358-79CD-4D6D-9CAF-991118468CFB}" type="presParOf" srcId="{ABC6152E-EDDA-4052-A80F-2915AC390BCB}" destId="{06C587B5-2963-4AD9-927F-9449961430C6}" srcOrd="0" destOrd="0" presId="urn:microsoft.com/office/officeart/2008/layout/VerticalCurvedList"/>
    <dgm:cxn modelId="{7CE16EC9-F7DE-43BA-BD26-8F750C49789F}" type="presParOf" srcId="{710F7C87-7853-4EFA-B7C6-C52C9B63665F}" destId="{9D7D37DF-F1FE-4428-A4A2-D92514F5E42D}" srcOrd="7" destOrd="0" presId="urn:microsoft.com/office/officeart/2008/layout/VerticalCurvedList"/>
    <dgm:cxn modelId="{2D69AEC3-8673-44AE-9606-C9A900ABE328}" type="presParOf" srcId="{710F7C87-7853-4EFA-B7C6-C52C9B63665F}" destId="{64384664-61AC-4A8B-B9E7-F23C2CBFDC4D}" srcOrd="8" destOrd="0" presId="urn:microsoft.com/office/officeart/2008/layout/VerticalCurvedList"/>
    <dgm:cxn modelId="{EA08AA3C-9422-4FA9-B664-734EE756024E}" type="presParOf" srcId="{64384664-61AC-4A8B-B9E7-F23C2CBFDC4D}" destId="{6005493A-EA09-4123-91C4-B934A0329E32}" srcOrd="0" destOrd="0" presId="urn:microsoft.com/office/officeart/2008/layout/VerticalCurvedList"/>
    <dgm:cxn modelId="{2A33DAF2-3CC0-4873-9365-5BF3FFE48236}" type="presParOf" srcId="{710F7C87-7853-4EFA-B7C6-C52C9B63665F}" destId="{FD0474DC-FF4A-42C5-99A9-192E5F3BD4A3}" srcOrd="9" destOrd="0" presId="urn:microsoft.com/office/officeart/2008/layout/VerticalCurvedList"/>
    <dgm:cxn modelId="{997F9B23-AA28-4C61-ADB9-32E5CDD17677}" type="presParOf" srcId="{710F7C87-7853-4EFA-B7C6-C52C9B63665F}" destId="{4F9B250C-68B6-4CDC-920C-281F09549B3F}" srcOrd="10" destOrd="0" presId="urn:microsoft.com/office/officeart/2008/layout/VerticalCurvedList"/>
    <dgm:cxn modelId="{607A0804-3B6A-4ACB-A68A-7E9C1D69F857}" type="presParOf" srcId="{4F9B250C-68B6-4CDC-920C-281F09549B3F}" destId="{32914868-00D6-40A3-B9F5-7741745E473F}"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833E8A-B330-43AC-9B83-EE1B1003BB2F}" type="doc">
      <dgm:prSet loTypeId="urn:microsoft.com/office/officeart/2005/8/layout/lProcess3" loCatId="process" qsTypeId="urn:microsoft.com/office/officeart/2005/8/quickstyle/simple1" qsCatId="simple" csTypeId="urn:microsoft.com/office/officeart/2005/8/colors/accent2_5" csCatId="accent2" phldr="1"/>
      <dgm:spPr/>
      <dgm:t>
        <a:bodyPr/>
        <a:lstStyle/>
        <a:p>
          <a:endParaRPr lang="en-GB"/>
        </a:p>
      </dgm:t>
    </dgm:pt>
    <dgm:pt modelId="{E3D7A7A9-D139-4A65-902C-AAD28435CB3B}">
      <dgm:prSet phldrT="[Text]" custT="1"/>
      <dgm:spPr/>
      <dgm:t>
        <a:bodyPr/>
        <a:lstStyle/>
        <a:p>
          <a:pPr algn="l"/>
          <a:r>
            <a:rPr lang="en-GB" sz="1050"/>
            <a:t>Due to the high number of non operationally deployable probationers at the college, the overtime demand has increased due to the need to maintain minimun operational capability. </a:t>
          </a:r>
          <a:endParaRPr lang="en-GB" sz="1050">
            <a:latin typeface="+mn-lt"/>
          </a:endParaRPr>
        </a:p>
      </dgm:t>
    </dgm:pt>
    <dgm:pt modelId="{03C7FFFD-4C9A-469F-9FEF-D0733FB2F82A}" type="parTrans" cxnId="{51D9C40E-27DF-4128-8240-3D9E52F59CDB}">
      <dgm:prSet/>
      <dgm:spPr/>
      <dgm:t>
        <a:bodyPr/>
        <a:lstStyle/>
        <a:p>
          <a:pPr algn="ctr"/>
          <a:endParaRPr lang="en-GB"/>
        </a:p>
      </dgm:t>
    </dgm:pt>
    <dgm:pt modelId="{314080FF-CBEE-457F-A946-A1462B714806}" type="sibTrans" cxnId="{51D9C40E-27DF-4128-8240-3D9E52F59CDB}">
      <dgm:prSet/>
      <dgm:spPr/>
      <dgm:t>
        <a:bodyPr/>
        <a:lstStyle/>
        <a:p>
          <a:pPr algn="ctr"/>
          <a:endParaRPr lang="en-GB"/>
        </a:p>
      </dgm:t>
    </dgm:pt>
    <dgm:pt modelId="{E3AA3B8A-55AF-40A9-B9D3-444CCC9F918E}">
      <dgm:prSet phldrT="[Text]" custT="1"/>
      <dgm:spPr/>
      <dgm:t>
        <a:bodyPr/>
        <a:lstStyle/>
        <a:p>
          <a:pPr algn="l"/>
          <a:r>
            <a:rPr lang="en-GB" sz="1050"/>
            <a:t>As probationers finish their initial training and become deployable, the overtime burden should start to reduce.</a:t>
          </a:r>
          <a:endParaRPr lang="en-GB" sz="1050">
            <a:latin typeface="+mn-lt"/>
          </a:endParaRPr>
        </a:p>
      </dgm:t>
    </dgm:pt>
    <dgm:pt modelId="{36053574-0EA0-44DA-9EED-83B0ACDF7D1C}" type="parTrans" cxnId="{76FAFF29-9EAA-4B3C-AA8D-D32EEE14D3C9}">
      <dgm:prSet/>
      <dgm:spPr/>
      <dgm:t>
        <a:bodyPr/>
        <a:lstStyle/>
        <a:p>
          <a:pPr algn="ctr"/>
          <a:endParaRPr lang="en-GB"/>
        </a:p>
      </dgm:t>
    </dgm:pt>
    <dgm:pt modelId="{13F2C894-A92D-4A35-9529-A0B10FCB2DCB}" type="sibTrans" cxnId="{76FAFF29-9EAA-4B3C-AA8D-D32EEE14D3C9}">
      <dgm:prSet/>
      <dgm:spPr/>
      <dgm:t>
        <a:bodyPr/>
        <a:lstStyle/>
        <a:p>
          <a:pPr algn="ctr"/>
          <a:endParaRPr lang="en-GB"/>
        </a:p>
      </dgm:t>
    </dgm:pt>
    <dgm:pt modelId="{00049145-243C-414E-833C-C66806761D09}">
      <dgm:prSet phldrT="[Text]"/>
      <dgm:spPr/>
      <dgm:t>
        <a:bodyPr/>
        <a:lstStyle/>
        <a:p>
          <a:pPr algn="ctr"/>
          <a:r>
            <a:rPr lang="en-GB" b="1">
              <a:solidFill>
                <a:sysClr val="windowText" lastClr="000000"/>
              </a:solidFill>
            </a:rPr>
            <a:t>OPC</a:t>
          </a:r>
        </a:p>
        <a:p>
          <a:pPr algn="ctr"/>
          <a:r>
            <a:rPr lang="en-GB" b="1">
              <a:solidFill>
                <a:sysClr val="windowText" lastClr="000000"/>
              </a:solidFill>
            </a:rPr>
            <a:t>£145k</a:t>
          </a:r>
        </a:p>
      </dgm:t>
    </dgm:pt>
    <dgm:pt modelId="{31794D82-214D-4D74-99A9-28AD905DF6D3}" type="parTrans" cxnId="{B3563D06-9207-4FD1-9C6A-C0E28FBE566C}">
      <dgm:prSet/>
      <dgm:spPr/>
      <dgm:t>
        <a:bodyPr/>
        <a:lstStyle/>
        <a:p>
          <a:pPr algn="ctr"/>
          <a:endParaRPr lang="en-GB"/>
        </a:p>
      </dgm:t>
    </dgm:pt>
    <dgm:pt modelId="{E6DC4986-A05A-4322-B827-8344A76B050A}" type="sibTrans" cxnId="{B3563D06-9207-4FD1-9C6A-C0E28FBE566C}">
      <dgm:prSet/>
      <dgm:spPr/>
      <dgm:t>
        <a:bodyPr/>
        <a:lstStyle/>
        <a:p>
          <a:pPr algn="ctr"/>
          <a:endParaRPr lang="en-GB"/>
        </a:p>
      </dgm:t>
    </dgm:pt>
    <dgm:pt modelId="{7346F978-F00B-45A0-AF6B-F7AFAC175746}">
      <dgm:prSet phldrT="[Text]" custT="1"/>
      <dgm:spPr/>
      <dgm:t>
        <a:bodyPr/>
        <a:lstStyle/>
        <a:p>
          <a:pPr algn="l"/>
          <a:r>
            <a:rPr lang="en-GB" sz="1050"/>
            <a:t>Overspend relates to manadatory staffing-up to cover firearms STRA requirements, high roads policing costs due to high KSI rate and extra firearms training costs due to the requirements for external firing range use.</a:t>
          </a:r>
        </a:p>
      </dgm:t>
    </dgm:pt>
    <dgm:pt modelId="{E50A5345-4939-46B7-ADFB-F92E9AE31A1B}" type="parTrans" cxnId="{F3F46279-2B03-4F1C-85A8-BAF8F0A13FE0}">
      <dgm:prSet/>
      <dgm:spPr/>
      <dgm:t>
        <a:bodyPr/>
        <a:lstStyle/>
        <a:p>
          <a:pPr algn="ctr"/>
          <a:endParaRPr lang="en-GB"/>
        </a:p>
      </dgm:t>
    </dgm:pt>
    <dgm:pt modelId="{E4A416B5-3FA8-4CA1-99F3-698EC8EDDC76}" type="sibTrans" cxnId="{F3F46279-2B03-4F1C-85A8-BAF8F0A13FE0}">
      <dgm:prSet/>
      <dgm:spPr/>
      <dgm:t>
        <a:bodyPr/>
        <a:lstStyle/>
        <a:p>
          <a:pPr algn="ctr"/>
          <a:endParaRPr lang="en-GB"/>
        </a:p>
      </dgm:t>
    </dgm:pt>
    <dgm:pt modelId="{3F264C18-16FC-4245-BDB0-5BD30060411A}">
      <dgm:prSet phldrT="[Text]" custT="1"/>
      <dgm:spPr/>
      <dgm:t>
        <a:bodyPr/>
        <a:lstStyle/>
        <a:p>
          <a:pPr algn="l"/>
          <a:r>
            <a:rPr lang="en-GB" sz="1050"/>
            <a:t>- Firearms STRA levels being reviewed</a:t>
          </a:r>
        </a:p>
        <a:p>
          <a:pPr algn="l"/>
          <a:r>
            <a:rPr lang="en-GB" sz="1050"/>
            <a:t>- Precept growth in roads policing in 2019/20</a:t>
          </a:r>
        </a:p>
        <a:p>
          <a:pPr algn="l"/>
          <a:r>
            <a:rPr lang="en-GB" sz="1050"/>
            <a:t> </a:t>
          </a:r>
        </a:p>
      </dgm:t>
    </dgm:pt>
    <dgm:pt modelId="{767646B3-9BF5-4C3D-9B7D-23645C6345B6}" type="parTrans" cxnId="{612C7659-4C3A-4E6D-9BDA-FC6607B69FF7}">
      <dgm:prSet/>
      <dgm:spPr/>
      <dgm:t>
        <a:bodyPr/>
        <a:lstStyle/>
        <a:p>
          <a:pPr algn="ctr"/>
          <a:endParaRPr lang="en-GB"/>
        </a:p>
      </dgm:t>
    </dgm:pt>
    <dgm:pt modelId="{FEC83F76-B33F-4634-A125-643CE9240A1D}" type="sibTrans" cxnId="{612C7659-4C3A-4E6D-9BDA-FC6607B69FF7}">
      <dgm:prSet/>
      <dgm:spPr/>
      <dgm:t>
        <a:bodyPr/>
        <a:lstStyle/>
        <a:p>
          <a:pPr algn="ctr"/>
          <a:endParaRPr lang="en-GB"/>
        </a:p>
      </dgm:t>
    </dgm:pt>
    <dgm:pt modelId="{5DDC2EA9-71A2-4FCD-83E3-B356D885B09D}">
      <dgm:prSet phldrT="[Text]"/>
      <dgm:spPr/>
      <dgm:t>
        <a:bodyPr/>
        <a:lstStyle/>
        <a:p>
          <a:pPr algn="ctr"/>
          <a:r>
            <a:rPr lang="en-GB" b="1">
              <a:solidFill>
                <a:sysClr val="windowText" lastClr="000000"/>
              </a:solidFill>
            </a:rPr>
            <a:t>Criminal Justice Command</a:t>
          </a:r>
        </a:p>
        <a:p>
          <a:pPr algn="ctr"/>
          <a:r>
            <a:rPr lang="en-GB" b="1">
              <a:solidFill>
                <a:sysClr val="windowText" lastClr="000000"/>
              </a:solidFill>
            </a:rPr>
            <a:t>£122k</a:t>
          </a:r>
        </a:p>
      </dgm:t>
    </dgm:pt>
    <dgm:pt modelId="{FEE06C32-82B4-4F17-9415-FE92D82C9E37}" type="parTrans" cxnId="{0D3606A3-2B28-4431-AC96-C641E1B1443A}">
      <dgm:prSet/>
      <dgm:spPr/>
      <dgm:t>
        <a:bodyPr/>
        <a:lstStyle/>
        <a:p>
          <a:pPr algn="ctr"/>
          <a:endParaRPr lang="en-GB"/>
        </a:p>
      </dgm:t>
    </dgm:pt>
    <dgm:pt modelId="{97D37D6C-AFBF-4998-A676-6CC937FFA47B}" type="sibTrans" cxnId="{0D3606A3-2B28-4431-AC96-C641E1B1443A}">
      <dgm:prSet/>
      <dgm:spPr/>
      <dgm:t>
        <a:bodyPr/>
        <a:lstStyle/>
        <a:p>
          <a:pPr algn="ctr"/>
          <a:endParaRPr lang="en-GB"/>
        </a:p>
      </dgm:t>
    </dgm:pt>
    <dgm:pt modelId="{CC1B69A0-514A-444D-8590-5CB5E76C7B51}">
      <dgm:prSet phldrT="[Text]" custT="1"/>
      <dgm:spPr/>
      <dgm:t>
        <a:bodyPr/>
        <a:lstStyle/>
        <a:p>
          <a:pPr algn="l"/>
          <a:r>
            <a:rPr lang="en-GB" sz="1050"/>
            <a:t>Due to the size of the LPA Custody Sergeant cohort, minimum custody staffing levels are being maintained via overtime.  This issue also has an impact on LPA overtime and resources and contributes to LPA overtime overspends.</a:t>
          </a:r>
        </a:p>
      </dgm:t>
    </dgm:pt>
    <dgm:pt modelId="{540A72ED-4527-4880-A8D2-9AB86A598FEF}" type="parTrans" cxnId="{6F8CB334-52C6-49CD-B5C3-406BE01C28A0}">
      <dgm:prSet/>
      <dgm:spPr/>
      <dgm:t>
        <a:bodyPr/>
        <a:lstStyle/>
        <a:p>
          <a:pPr algn="ctr"/>
          <a:endParaRPr lang="en-GB"/>
        </a:p>
      </dgm:t>
    </dgm:pt>
    <dgm:pt modelId="{E8C2FA2F-05CD-4444-8349-A4D180F9369F}" type="sibTrans" cxnId="{6F8CB334-52C6-49CD-B5C3-406BE01C28A0}">
      <dgm:prSet/>
      <dgm:spPr/>
      <dgm:t>
        <a:bodyPr/>
        <a:lstStyle/>
        <a:p>
          <a:pPr algn="ctr"/>
          <a:endParaRPr lang="en-GB"/>
        </a:p>
      </dgm:t>
    </dgm:pt>
    <dgm:pt modelId="{B4FFB9FD-D9A2-4FA9-9DDF-C2599111CAC3}">
      <dgm:prSet phldrT="[Text]" custT="1"/>
      <dgm:spPr/>
      <dgm:t>
        <a:bodyPr/>
        <a:lstStyle/>
        <a:p>
          <a:pPr algn="l"/>
          <a:r>
            <a:rPr lang="en-GB" sz="1050"/>
            <a:t>This process is being reviewed with the expectation that overtime levels will begin to fall in future months.</a:t>
          </a:r>
        </a:p>
      </dgm:t>
    </dgm:pt>
    <dgm:pt modelId="{E783631F-E457-4BA1-AA62-1FD981B9F7A8}" type="parTrans" cxnId="{43BCC493-9ADB-4848-A73A-81B782AB93BD}">
      <dgm:prSet/>
      <dgm:spPr/>
      <dgm:t>
        <a:bodyPr/>
        <a:lstStyle/>
        <a:p>
          <a:pPr algn="ctr"/>
          <a:endParaRPr lang="en-GB"/>
        </a:p>
      </dgm:t>
    </dgm:pt>
    <dgm:pt modelId="{2C2979F5-E16B-410F-882E-27193E642DC5}" type="sibTrans" cxnId="{43BCC493-9ADB-4848-A73A-81B782AB93BD}">
      <dgm:prSet/>
      <dgm:spPr/>
      <dgm:t>
        <a:bodyPr/>
        <a:lstStyle/>
        <a:p>
          <a:pPr algn="ctr"/>
          <a:endParaRPr lang="en-GB"/>
        </a:p>
      </dgm:t>
    </dgm:pt>
    <dgm:pt modelId="{829FB3E9-A99E-419E-A597-6EE218103399}">
      <dgm:prSet phldrT="[Text]" custT="1"/>
      <dgm:spPr/>
      <dgm:t>
        <a:bodyPr/>
        <a:lstStyle/>
        <a:p>
          <a:pPr algn="ctr"/>
          <a:r>
            <a:rPr lang="en-GB" sz="1500" b="1">
              <a:solidFill>
                <a:sysClr val="windowText" lastClr="000000"/>
              </a:solidFill>
            </a:rPr>
            <a:t>LPA North</a:t>
          </a:r>
        </a:p>
        <a:p>
          <a:pPr algn="ctr"/>
          <a:r>
            <a:rPr lang="en-GB" sz="1500" b="1">
              <a:solidFill>
                <a:sysClr val="windowText" lastClr="000000"/>
              </a:solidFill>
            </a:rPr>
            <a:t>£84k</a:t>
          </a:r>
        </a:p>
      </dgm:t>
    </dgm:pt>
    <dgm:pt modelId="{C5EF0B53-DA09-46E3-9098-133B3087EB48}" type="parTrans" cxnId="{A6DDDDA2-32F3-4650-9673-B1BF0F529433}">
      <dgm:prSet/>
      <dgm:spPr/>
      <dgm:t>
        <a:bodyPr/>
        <a:lstStyle/>
        <a:p>
          <a:endParaRPr lang="en-GB"/>
        </a:p>
      </dgm:t>
    </dgm:pt>
    <dgm:pt modelId="{B7FFB65D-3F26-426C-851F-2C7783806B76}" type="sibTrans" cxnId="{A6DDDDA2-32F3-4650-9673-B1BF0F529433}">
      <dgm:prSet/>
      <dgm:spPr/>
      <dgm:t>
        <a:bodyPr/>
        <a:lstStyle/>
        <a:p>
          <a:endParaRPr lang="en-GB"/>
        </a:p>
      </dgm:t>
    </dgm:pt>
    <dgm:pt modelId="{45492873-4E44-4A8B-A27C-1845BE849FE9}" type="pres">
      <dgm:prSet presAssocID="{8D833E8A-B330-43AC-9B83-EE1B1003BB2F}" presName="Name0" presStyleCnt="0">
        <dgm:presLayoutVars>
          <dgm:chPref val="3"/>
          <dgm:dir/>
          <dgm:animLvl val="lvl"/>
          <dgm:resizeHandles/>
        </dgm:presLayoutVars>
      </dgm:prSet>
      <dgm:spPr/>
      <dgm:t>
        <a:bodyPr/>
        <a:lstStyle/>
        <a:p>
          <a:endParaRPr lang="en-GB"/>
        </a:p>
      </dgm:t>
    </dgm:pt>
    <dgm:pt modelId="{F45A8FD5-2D8C-417C-9573-86025E24ED8B}" type="pres">
      <dgm:prSet presAssocID="{00049145-243C-414E-833C-C66806761D09}" presName="horFlow" presStyleCnt="0"/>
      <dgm:spPr/>
    </dgm:pt>
    <dgm:pt modelId="{06584C24-392D-4BC7-8B4C-D34A45E90CA9}" type="pres">
      <dgm:prSet presAssocID="{00049145-243C-414E-833C-C66806761D09}" presName="bigChev" presStyleLbl="node1" presStyleIdx="0" presStyleCnt="3" custScaleY="124134"/>
      <dgm:spPr/>
      <dgm:t>
        <a:bodyPr/>
        <a:lstStyle/>
        <a:p>
          <a:endParaRPr lang="en-GB"/>
        </a:p>
      </dgm:t>
    </dgm:pt>
    <dgm:pt modelId="{9760587D-96DC-4719-B351-A42394E6A9C6}" type="pres">
      <dgm:prSet presAssocID="{E50A5345-4939-46B7-ADFB-F92E9AE31A1B}" presName="parTrans" presStyleCnt="0"/>
      <dgm:spPr/>
    </dgm:pt>
    <dgm:pt modelId="{DB5F774B-E55A-43EB-9D37-5DA625027F0E}" type="pres">
      <dgm:prSet presAssocID="{7346F978-F00B-45A0-AF6B-F7AFAC175746}" presName="node" presStyleLbl="alignAccFollowNode1" presStyleIdx="0" presStyleCnt="6" custScaleX="351581" custScaleY="150302">
        <dgm:presLayoutVars>
          <dgm:bulletEnabled val="1"/>
        </dgm:presLayoutVars>
      </dgm:prSet>
      <dgm:spPr/>
      <dgm:t>
        <a:bodyPr/>
        <a:lstStyle/>
        <a:p>
          <a:endParaRPr lang="en-GB"/>
        </a:p>
      </dgm:t>
    </dgm:pt>
    <dgm:pt modelId="{2422B7FB-8B5F-4360-9DF4-56952309312B}" type="pres">
      <dgm:prSet presAssocID="{E4A416B5-3FA8-4CA1-99F3-698EC8EDDC76}" presName="sibTrans" presStyleCnt="0"/>
      <dgm:spPr/>
    </dgm:pt>
    <dgm:pt modelId="{1CB7E118-A11A-407A-A702-1BC5011E18DF}" type="pres">
      <dgm:prSet presAssocID="{3F264C18-16FC-4245-BDB0-5BD30060411A}" presName="node" presStyleLbl="alignAccFollowNode1" presStyleIdx="1" presStyleCnt="6" custScaleX="163991" custScaleY="150302">
        <dgm:presLayoutVars>
          <dgm:bulletEnabled val="1"/>
        </dgm:presLayoutVars>
      </dgm:prSet>
      <dgm:spPr/>
      <dgm:t>
        <a:bodyPr/>
        <a:lstStyle/>
        <a:p>
          <a:endParaRPr lang="en-GB"/>
        </a:p>
      </dgm:t>
    </dgm:pt>
    <dgm:pt modelId="{B1A60B7C-A84C-42F4-84A8-29CEAB5ADFEE}" type="pres">
      <dgm:prSet presAssocID="{00049145-243C-414E-833C-C66806761D09}" presName="vSp" presStyleCnt="0"/>
      <dgm:spPr/>
    </dgm:pt>
    <dgm:pt modelId="{D582BA8C-76C0-4E83-8B2C-E03672BDCB06}" type="pres">
      <dgm:prSet presAssocID="{5DDC2EA9-71A2-4FCD-83E3-B356D885B09D}" presName="horFlow" presStyleCnt="0"/>
      <dgm:spPr/>
    </dgm:pt>
    <dgm:pt modelId="{2C3C3626-ED53-4B2D-89C8-3CDE190BD686}" type="pres">
      <dgm:prSet presAssocID="{5DDC2EA9-71A2-4FCD-83E3-B356D885B09D}" presName="bigChev" presStyleLbl="node1" presStyleIdx="1" presStyleCnt="3" custScaleY="124134"/>
      <dgm:spPr/>
      <dgm:t>
        <a:bodyPr/>
        <a:lstStyle/>
        <a:p>
          <a:endParaRPr lang="en-GB"/>
        </a:p>
      </dgm:t>
    </dgm:pt>
    <dgm:pt modelId="{5179D96D-F456-4645-8524-2700ADC62226}" type="pres">
      <dgm:prSet presAssocID="{540A72ED-4527-4880-A8D2-9AB86A598FEF}" presName="parTrans" presStyleCnt="0"/>
      <dgm:spPr/>
    </dgm:pt>
    <dgm:pt modelId="{E2051110-7FBA-47B1-AFAE-D51A144C0443}" type="pres">
      <dgm:prSet presAssocID="{CC1B69A0-514A-444D-8590-5CB5E76C7B51}" presName="node" presStyleLbl="alignAccFollowNode1" presStyleIdx="2" presStyleCnt="6" custScaleX="351581" custScaleY="147077">
        <dgm:presLayoutVars>
          <dgm:bulletEnabled val="1"/>
        </dgm:presLayoutVars>
      </dgm:prSet>
      <dgm:spPr/>
      <dgm:t>
        <a:bodyPr/>
        <a:lstStyle/>
        <a:p>
          <a:endParaRPr lang="en-GB"/>
        </a:p>
      </dgm:t>
    </dgm:pt>
    <dgm:pt modelId="{F4A946F7-3B39-4160-A56A-2C089284932E}" type="pres">
      <dgm:prSet presAssocID="{E8C2FA2F-05CD-4444-8349-A4D180F9369F}" presName="sibTrans" presStyleCnt="0"/>
      <dgm:spPr/>
    </dgm:pt>
    <dgm:pt modelId="{01B31C95-6AAE-4702-94DB-D7CA2DC8A819}" type="pres">
      <dgm:prSet presAssocID="{B4FFB9FD-D9A2-4FA9-9DDF-C2599111CAC3}" presName="node" presStyleLbl="alignAccFollowNode1" presStyleIdx="3" presStyleCnt="6" custScaleX="163991" custScaleY="147077">
        <dgm:presLayoutVars>
          <dgm:bulletEnabled val="1"/>
        </dgm:presLayoutVars>
      </dgm:prSet>
      <dgm:spPr/>
      <dgm:t>
        <a:bodyPr/>
        <a:lstStyle/>
        <a:p>
          <a:endParaRPr lang="en-GB"/>
        </a:p>
      </dgm:t>
    </dgm:pt>
    <dgm:pt modelId="{D6256494-82D3-4AB7-BA6A-1B03579B3A99}" type="pres">
      <dgm:prSet presAssocID="{5DDC2EA9-71A2-4FCD-83E3-B356D885B09D}" presName="vSp" presStyleCnt="0"/>
      <dgm:spPr/>
    </dgm:pt>
    <dgm:pt modelId="{0B4D3A85-C517-43F2-B8A7-6A136229E168}" type="pres">
      <dgm:prSet presAssocID="{829FB3E9-A99E-419E-A597-6EE218103399}" presName="horFlow" presStyleCnt="0"/>
      <dgm:spPr/>
    </dgm:pt>
    <dgm:pt modelId="{00F544FA-5896-41D4-83FB-EA5C702A47B3}" type="pres">
      <dgm:prSet presAssocID="{829FB3E9-A99E-419E-A597-6EE218103399}" presName="bigChev" presStyleLbl="node1" presStyleIdx="2" presStyleCnt="3" custScaleY="127781"/>
      <dgm:spPr/>
      <dgm:t>
        <a:bodyPr/>
        <a:lstStyle/>
        <a:p>
          <a:endParaRPr lang="en-GB"/>
        </a:p>
      </dgm:t>
    </dgm:pt>
    <dgm:pt modelId="{81332C6A-3C51-44BE-B05E-79C5C19774E6}" type="pres">
      <dgm:prSet presAssocID="{03C7FFFD-4C9A-469F-9FEF-D0733FB2F82A}" presName="parTrans" presStyleCnt="0"/>
      <dgm:spPr/>
    </dgm:pt>
    <dgm:pt modelId="{D3CE666A-313B-41FA-95B8-0406B8DB1FE5}" type="pres">
      <dgm:prSet presAssocID="{E3D7A7A9-D139-4A65-902C-AAD28435CB3B}" presName="node" presStyleLbl="alignAccFollowNode1" presStyleIdx="4" presStyleCnt="6" custScaleX="351581" custScaleY="147076">
        <dgm:presLayoutVars>
          <dgm:bulletEnabled val="1"/>
        </dgm:presLayoutVars>
      </dgm:prSet>
      <dgm:spPr/>
      <dgm:t>
        <a:bodyPr/>
        <a:lstStyle/>
        <a:p>
          <a:endParaRPr lang="en-GB"/>
        </a:p>
      </dgm:t>
    </dgm:pt>
    <dgm:pt modelId="{EAEC4520-A2A9-494B-948A-6F9F3868CC68}" type="pres">
      <dgm:prSet presAssocID="{314080FF-CBEE-457F-A946-A1462B714806}" presName="sibTrans" presStyleCnt="0"/>
      <dgm:spPr/>
    </dgm:pt>
    <dgm:pt modelId="{B95893AB-0C7B-40FA-BDFB-59F20F5A9FF8}" type="pres">
      <dgm:prSet presAssocID="{E3AA3B8A-55AF-40A9-B9D3-444CCC9F918E}" presName="node" presStyleLbl="alignAccFollowNode1" presStyleIdx="5" presStyleCnt="6" custScaleX="163991" custScaleY="147076">
        <dgm:presLayoutVars>
          <dgm:bulletEnabled val="1"/>
        </dgm:presLayoutVars>
      </dgm:prSet>
      <dgm:spPr/>
      <dgm:t>
        <a:bodyPr/>
        <a:lstStyle/>
        <a:p>
          <a:endParaRPr lang="en-GB"/>
        </a:p>
      </dgm:t>
    </dgm:pt>
  </dgm:ptLst>
  <dgm:cxnLst>
    <dgm:cxn modelId="{B3563D06-9207-4FD1-9C6A-C0E28FBE566C}" srcId="{8D833E8A-B330-43AC-9B83-EE1B1003BB2F}" destId="{00049145-243C-414E-833C-C66806761D09}" srcOrd="0" destOrd="0" parTransId="{31794D82-214D-4D74-99A9-28AD905DF6D3}" sibTransId="{E6DC4986-A05A-4322-B827-8344A76B050A}"/>
    <dgm:cxn modelId="{292530BE-157E-4102-81CC-E15D940D97DB}" type="presOf" srcId="{B4FFB9FD-D9A2-4FA9-9DDF-C2599111CAC3}" destId="{01B31C95-6AAE-4702-94DB-D7CA2DC8A819}" srcOrd="0" destOrd="0" presId="urn:microsoft.com/office/officeart/2005/8/layout/lProcess3"/>
    <dgm:cxn modelId="{0D3606A3-2B28-4431-AC96-C641E1B1443A}" srcId="{8D833E8A-B330-43AC-9B83-EE1B1003BB2F}" destId="{5DDC2EA9-71A2-4FCD-83E3-B356D885B09D}" srcOrd="1" destOrd="0" parTransId="{FEE06C32-82B4-4F17-9415-FE92D82C9E37}" sibTransId="{97D37D6C-AFBF-4998-A676-6CC937FFA47B}"/>
    <dgm:cxn modelId="{A6DDDDA2-32F3-4650-9673-B1BF0F529433}" srcId="{8D833E8A-B330-43AC-9B83-EE1B1003BB2F}" destId="{829FB3E9-A99E-419E-A597-6EE218103399}" srcOrd="2" destOrd="0" parTransId="{C5EF0B53-DA09-46E3-9098-133B3087EB48}" sibTransId="{B7FFB65D-3F26-426C-851F-2C7783806B76}"/>
    <dgm:cxn modelId="{6F8CB334-52C6-49CD-B5C3-406BE01C28A0}" srcId="{5DDC2EA9-71A2-4FCD-83E3-B356D885B09D}" destId="{CC1B69A0-514A-444D-8590-5CB5E76C7B51}" srcOrd="0" destOrd="0" parTransId="{540A72ED-4527-4880-A8D2-9AB86A598FEF}" sibTransId="{E8C2FA2F-05CD-4444-8349-A4D180F9369F}"/>
    <dgm:cxn modelId="{43BCC493-9ADB-4848-A73A-81B782AB93BD}" srcId="{5DDC2EA9-71A2-4FCD-83E3-B356D885B09D}" destId="{B4FFB9FD-D9A2-4FA9-9DDF-C2599111CAC3}" srcOrd="1" destOrd="0" parTransId="{E783631F-E457-4BA1-AA62-1FD981B9F7A8}" sibTransId="{2C2979F5-E16B-410F-882E-27193E642DC5}"/>
    <dgm:cxn modelId="{51D9C40E-27DF-4128-8240-3D9E52F59CDB}" srcId="{829FB3E9-A99E-419E-A597-6EE218103399}" destId="{E3D7A7A9-D139-4A65-902C-AAD28435CB3B}" srcOrd="0" destOrd="0" parTransId="{03C7FFFD-4C9A-469F-9FEF-D0733FB2F82A}" sibTransId="{314080FF-CBEE-457F-A946-A1462B714806}"/>
    <dgm:cxn modelId="{76FAFF29-9EAA-4B3C-AA8D-D32EEE14D3C9}" srcId="{829FB3E9-A99E-419E-A597-6EE218103399}" destId="{E3AA3B8A-55AF-40A9-B9D3-444CCC9F918E}" srcOrd="1" destOrd="0" parTransId="{36053574-0EA0-44DA-9EED-83B0ACDF7D1C}" sibTransId="{13F2C894-A92D-4A35-9529-A0B10FCB2DCB}"/>
    <dgm:cxn modelId="{52FF0A13-2F9C-465C-B718-0AE385C9355F}" type="presOf" srcId="{CC1B69A0-514A-444D-8590-5CB5E76C7B51}" destId="{E2051110-7FBA-47B1-AFAE-D51A144C0443}" srcOrd="0" destOrd="0" presId="urn:microsoft.com/office/officeart/2005/8/layout/lProcess3"/>
    <dgm:cxn modelId="{2E125E76-8DB5-48DB-AF50-8A8251013F14}" type="presOf" srcId="{E3AA3B8A-55AF-40A9-B9D3-444CCC9F918E}" destId="{B95893AB-0C7B-40FA-BDFB-59F20F5A9FF8}" srcOrd="0" destOrd="0" presId="urn:microsoft.com/office/officeart/2005/8/layout/lProcess3"/>
    <dgm:cxn modelId="{ECB6B629-9E92-49C5-BC6A-5DDD54D89E06}" type="presOf" srcId="{E3D7A7A9-D139-4A65-902C-AAD28435CB3B}" destId="{D3CE666A-313B-41FA-95B8-0406B8DB1FE5}" srcOrd="0" destOrd="0" presId="urn:microsoft.com/office/officeart/2005/8/layout/lProcess3"/>
    <dgm:cxn modelId="{CC5E5017-C8E3-46CB-BC5C-D658671D5B82}" type="presOf" srcId="{00049145-243C-414E-833C-C66806761D09}" destId="{06584C24-392D-4BC7-8B4C-D34A45E90CA9}" srcOrd="0" destOrd="0" presId="urn:microsoft.com/office/officeart/2005/8/layout/lProcess3"/>
    <dgm:cxn modelId="{612C7659-4C3A-4E6D-9BDA-FC6607B69FF7}" srcId="{00049145-243C-414E-833C-C66806761D09}" destId="{3F264C18-16FC-4245-BDB0-5BD30060411A}" srcOrd="1" destOrd="0" parTransId="{767646B3-9BF5-4C3D-9B7D-23645C6345B6}" sibTransId="{FEC83F76-B33F-4634-A125-643CE9240A1D}"/>
    <dgm:cxn modelId="{6E4ADF1B-C511-40ED-A0AC-A93E5F8DC024}" type="presOf" srcId="{829FB3E9-A99E-419E-A597-6EE218103399}" destId="{00F544FA-5896-41D4-83FB-EA5C702A47B3}" srcOrd="0" destOrd="0" presId="urn:microsoft.com/office/officeart/2005/8/layout/lProcess3"/>
    <dgm:cxn modelId="{F3F46279-2B03-4F1C-85A8-BAF8F0A13FE0}" srcId="{00049145-243C-414E-833C-C66806761D09}" destId="{7346F978-F00B-45A0-AF6B-F7AFAC175746}" srcOrd="0" destOrd="0" parTransId="{E50A5345-4939-46B7-ADFB-F92E9AE31A1B}" sibTransId="{E4A416B5-3FA8-4CA1-99F3-698EC8EDDC76}"/>
    <dgm:cxn modelId="{717F9E0D-DE71-4D9D-97FA-886BFCC46AA9}" type="presOf" srcId="{3F264C18-16FC-4245-BDB0-5BD30060411A}" destId="{1CB7E118-A11A-407A-A702-1BC5011E18DF}" srcOrd="0" destOrd="0" presId="urn:microsoft.com/office/officeart/2005/8/layout/lProcess3"/>
    <dgm:cxn modelId="{A1B53970-6973-47BA-A4E7-FF20B2E2ED31}" type="presOf" srcId="{5DDC2EA9-71A2-4FCD-83E3-B356D885B09D}" destId="{2C3C3626-ED53-4B2D-89C8-3CDE190BD686}" srcOrd="0" destOrd="0" presId="urn:microsoft.com/office/officeart/2005/8/layout/lProcess3"/>
    <dgm:cxn modelId="{6B6F894E-7021-4B1F-AE75-CD763E0923A9}" type="presOf" srcId="{8D833E8A-B330-43AC-9B83-EE1B1003BB2F}" destId="{45492873-4E44-4A8B-A27C-1845BE849FE9}" srcOrd="0" destOrd="0" presId="urn:microsoft.com/office/officeart/2005/8/layout/lProcess3"/>
    <dgm:cxn modelId="{DC5C321A-18DF-4777-83C6-E4CF4F268C02}" type="presOf" srcId="{7346F978-F00B-45A0-AF6B-F7AFAC175746}" destId="{DB5F774B-E55A-43EB-9D37-5DA625027F0E}" srcOrd="0" destOrd="0" presId="urn:microsoft.com/office/officeart/2005/8/layout/lProcess3"/>
    <dgm:cxn modelId="{89FC6028-E794-416D-8C25-51B6FCD3145D}" type="presParOf" srcId="{45492873-4E44-4A8B-A27C-1845BE849FE9}" destId="{F45A8FD5-2D8C-417C-9573-86025E24ED8B}" srcOrd="0" destOrd="0" presId="urn:microsoft.com/office/officeart/2005/8/layout/lProcess3"/>
    <dgm:cxn modelId="{F63DC49F-10FE-436E-A0CA-2FB05087E55E}" type="presParOf" srcId="{F45A8FD5-2D8C-417C-9573-86025E24ED8B}" destId="{06584C24-392D-4BC7-8B4C-D34A45E90CA9}" srcOrd="0" destOrd="0" presId="urn:microsoft.com/office/officeart/2005/8/layout/lProcess3"/>
    <dgm:cxn modelId="{E5C4B917-A84A-4748-BE13-53A4676E9CD2}" type="presParOf" srcId="{F45A8FD5-2D8C-417C-9573-86025E24ED8B}" destId="{9760587D-96DC-4719-B351-A42394E6A9C6}" srcOrd="1" destOrd="0" presId="urn:microsoft.com/office/officeart/2005/8/layout/lProcess3"/>
    <dgm:cxn modelId="{19657C25-BDE4-4513-90B8-8C89E17E55E0}" type="presParOf" srcId="{F45A8FD5-2D8C-417C-9573-86025E24ED8B}" destId="{DB5F774B-E55A-43EB-9D37-5DA625027F0E}" srcOrd="2" destOrd="0" presId="urn:microsoft.com/office/officeart/2005/8/layout/lProcess3"/>
    <dgm:cxn modelId="{14ACE16F-3F07-4D3A-A3AF-8EB07134DE94}" type="presParOf" srcId="{F45A8FD5-2D8C-417C-9573-86025E24ED8B}" destId="{2422B7FB-8B5F-4360-9DF4-56952309312B}" srcOrd="3" destOrd="0" presId="urn:microsoft.com/office/officeart/2005/8/layout/lProcess3"/>
    <dgm:cxn modelId="{FF16925B-F050-4D6A-B94C-316AAECD5FDF}" type="presParOf" srcId="{F45A8FD5-2D8C-417C-9573-86025E24ED8B}" destId="{1CB7E118-A11A-407A-A702-1BC5011E18DF}" srcOrd="4" destOrd="0" presId="urn:microsoft.com/office/officeart/2005/8/layout/lProcess3"/>
    <dgm:cxn modelId="{6898A32E-5B74-42FE-8CE3-ABB0922EFC47}" type="presParOf" srcId="{45492873-4E44-4A8B-A27C-1845BE849FE9}" destId="{B1A60B7C-A84C-42F4-84A8-29CEAB5ADFEE}" srcOrd="1" destOrd="0" presId="urn:microsoft.com/office/officeart/2005/8/layout/lProcess3"/>
    <dgm:cxn modelId="{E5F1B276-537C-44FE-AFC8-97BFDD91FCF6}" type="presParOf" srcId="{45492873-4E44-4A8B-A27C-1845BE849FE9}" destId="{D582BA8C-76C0-4E83-8B2C-E03672BDCB06}" srcOrd="2" destOrd="0" presId="urn:microsoft.com/office/officeart/2005/8/layout/lProcess3"/>
    <dgm:cxn modelId="{DB411811-ADA5-4814-94EA-1FFDE2716FD8}" type="presParOf" srcId="{D582BA8C-76C0-4E83-8B2C-E03672BDCB06}" destId="{2C3C3626-ED53-4B2D-89C8-3CDE190BD686}" srcOrd="0" destOrd="0" presId="urn:microsoft.com/office/officeart/2005/8/layout/lProcess3"/>
    <dgm:cxn modelId="{AD232D1F-C30D-4F1A-82C9-3EC2627A4B79}" type="presParOf" srcId="{D582BA8C-76C0-4E83-8B2C-E03672BDCB06}" destId="{5179D96D-F456-4645-8524-2700ADC62226}" srcOrd="1" destOrd="0" presId="urn:microsoft.com/office/officeart/2005/8/layout/lProcess3"/>
    <dgm:cxn modelId="{35CD07D9-588B-41C5-AC68-985645057C98}" type="presParOf" srcId="{D582BA8C-76C0-4E83-8B2C-E03672BDCB06}" destId="{E2051110-7FBA-47B1-AFAE-D51A144C0443}" srcOrd="2" destOrd="0" presId="urn:microsoft.com/office/officeart/2005/8/layout/lProcess3"/>
    <dgm:cxn modelId="{3D24BE0E-02BA-4789-ABC0-50FB864C3375}" type="presParOf" srcId="{D582BA8C-76C0-4E83-8B2C-E03672BDCB06}" destId="{F4A946F7-3B39-4160-A56A-2C089284932E}" srcOrd="3" destOrd="0" presId="urn:microsoft.com/office/officeart/2005/8/layout/lProcess3"/>
    <dgm:cxn modelId="{BCAF2D66-6A12-4D15-AC53-D56B6C4D9AB8}" type="presParOf" srcId="{D582BA8C-76C0-4E83-8B2C-E03672BDCB06}" destId="{01B31C95-6AAE-4702-94DB-D7CA2DC8A819}" srcOrd="4" destOrd="0" presId="urn:microsoft.com/office/officeart/2005/8/layout/lProcess3"/>
    <dgm:cxn modelId="{26B37D48-B3D0-4BD3-9C4A-65A91F3D557C}" type="presParOf" srcId="{45492873-4E44-4A8B-A27C-1845BE849FE9}" destId="{D6256494-82D3-4AB7-BA6A-1B03579B3A99}" srcOrd="3" destOrd="0" presId="urn:microsoft.com/office/officeart/2005/8/layout/lProcess3"/>
    <dgm:cxn modelId="{0E0F4D93-141B-4301-BAF6-C6DDA5AFDCA9}" type="presParOf" srcId="{45492873-4E44-4A8B-A27C-1845BE849FE9}" destId="{0B4D3A85-C517-43F2-B8A7-6A136229E168}" srcOrd="4" destOrd="0" presId="urn:microsoft.com/office/officeart/2005/8/layout/lProcess3"/>
    <dgm:cxn modelId="{629BDC79-9A51-4E59-A757-A5170399293A}" type="presParOf" srcId="{0B4D3A85-C517-43F2-B8A7-6A136229E168}" destId="{00F544FA-5896-41D4-83FB-EA5C702A47B3}" srcOrd="0" destOrd="0" presId="urn:microsoft.com/office/officeart/2005/8/layout/lProcess3"/>
    <dgm:cxn modelId="{92BAED45-E9AD-4E79-AA01-315D0C440C9D}" type="presParOf" srcId="{0B4D3A85-C517-43F2-B8A7-6A136229E168}" destId="{81332C6A-3C51-44BE-B05E-79C5C19774E6}" srcOrd="1" destOrd="0" presId="urn:microsoft.com/office/officeart/2005/8/layout/lProcess3"/>
    <dgm:cxn modelId="{25EC7827-891F-435E-BE87-0F35D0680BF8}" type="presParOf" srcId="{0B4D3A85-C517-43F2-B8A7-6A136229E168}" destId="{D3CE666A-313B-41FA-95B8-0406B8DB1FE5}" srcOrd="2" destOrd="0" presId="urn:microsoft.com/office/officeart/2005/8/layout/lProcess3"/>
    <dgm:cxn modelId="{0231A646-4CFF-46FA-AEDC-82CCB9E13B5A}" type="presParOf" srcId="{0B4D3A85-C517-43F2-B8A7-6A136229E168}" destId="{EAEC4520-A2A9-494B-948A-6F9F3868CC68}" srcOrd="3" destOrd="0" presId="urn:microsoft.com/office/officeart/2005/8/layout/lProcess3"/>
    <dgm:cxn modelId="{6799A5A1-B1AE-4CD8-9A03-F298C3E471F9}" type="presParOf" srcId="{0B4D3A85-C517-43F2-B8A7-6A136229E168}" destId="{B95893AB-0C7B-40FA-BDFB-59F20F5A9FF8}" srcOrd="4" destOrd="0" presId="urn:microsoft.com/office/officeart/2005/8/layout/l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D833E8A-B330-43AC-9B83-EE1B1003BB2F}" type="doc">
      <dgm:prSet loTypeId="urn:microsoft.com/office/officeart/2005/8/layout/lProcess3" loCatId="process" qsTypeId="urn:microsoft.com/office/officeart/2005/8/quickstyle/simple1" qsCatId="simple" csTypeId="urn:microsoft.com/office/officeart/2005/8/colors/accent2_5" csCatId="accent2" phldr="1"/>
      <dgm:spPr/>
      <dgm:t>
        <a:bodyPr/>
        <a:lstStyle/>
        <a:p>
          <a:endParaRPr lang="en-GB"/>
        </a:p>
      </dgm:t>
    </dgm:pt>
    <dgm:pt modelId="{82E3837D-35C6-44BF-84F8-8965FF9315A3}">
      <dgm:prSet phldrT="[Text]"/>
      <dgm:spPr>
        <a:xfrm>
          <a:off x="4494" y="2159571"/>
          <a:ext cx="1768529" cy="878138"/>
        </a:xfrm>
        <a:solidFill>
          <a:srgbClr val="C0504D">
            <a:hueOff val="0"/>
            <a:satOff val="0"/>
            <a:lumOff val="0"/>
            <a:alpha val="90000"/>
          </a:srgbClr>
        </a:solidFill>
        <a:ln w="25400" cap="flat" cmpd="sng" algn="ctr">
          <a:solidFill>
            <a:sysClr val="window" lastClr="FFFFFF">
              <a:hueOff val="0"/>
              <a:satOff val="0"/>
              <a:lumOff val="0"/>
              <a:alphaOff val="0"/>
            </a:sysClr>
          </a:solidFill>
          <a:prstDash val="solid"/>
        </a:ln>
        <a:effectLst/>
      </dgm:spPr>
      <dgm:t>
        <a:bodyPr/>
        <a:lstStyle/>
        <a:p>
          <a:pPr algn="ctr"/>
          <a:r>
            <a:rPr lang="en-GB" b="1">
              <a:solidFill>
                <a:sysClr val="windowText" lastClr="000000"/>
              </a:solidFill>
              <a:latin typeface="Calibri"/>
              <a:ea typeface="+mn-ea"/>
              <a:cs typeface="+mn-cs"/>
            </a:rPr>
            <a:t>OPC</a:t>
          </a:r>
        </a:p>
        <a:p>
          <a:pPr algn="ctr"/>
          <a:r>
            <a:rPr lang="en-GB" b="1">
              <a:solidFill>
                <a:sysClr val="windowText" lastClr="000000"/>
              </a:solidFill>
              <a:latin typeface="Calibri"/>
              <a:ea typeface="+mn-ea"/>
              <a:cs typeface="+mn-cs"/>
            </a:rPr>
            <a:t>£35k</a:t>
          </a:r>
        </a:p>
      </dgm:t>
    </dgm:pt>
    <dgm:pt modelId="{616EA073-9FDC-4573-8804-BF198CD1DBFC}" type="parTrans" cxnId="{AAC19C30-4776-4F3A-AA5A-57031E4B34D6}">
      <dgm:prSet/>
      <dgm:spPr/>
      <dgm:t>
        <a:bodyPr/>
        <a:lstStyle/>
        <a:p>
          <a:pPr algn="ctr"/>
          <a:endParaRPr lang="en-GB"/>
        </a:p>
      </dgm:t>
    </dgm:pt>
    <dgm:pt modelId="{760FA807-2FC5-4DB4-9269-423EDDED0DF0}" type="sibTrans" cxnId="{AAC19C30-4776-4F3A-AA5A-57031E4B34D6}">
      <dgm:prSet/>
      <dgm:spPr/>
      <dgm:t>
        <a:bodyPr/>
        <a:lstStyle/>
        <a:p>
          <a:pPr algn="ctr"/>
          <a:endParaRPr lang="en-GB"/>
        </a:p>
      </dgm:t>
    </dgm:pt>
    <dgm:pt modelId="{E3D7A7A9-D139-4A65-902C-AAD28435CB3B}">
      <dgm:prSet phldrT="[Text]" custT="1"/>
      <dgm:spPr>
        <a:xfrm>
          <a:off x="1543115" y="2234213"/>
          <a:ext cx="5160785" cy="728855"/>
        </a:xfr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gm:spPr>
      <dgm:t>
        <a:bodyPr/>
        <a:lstStyle/>
        <a:p>
          <a:pPr algn="l"/>
          <a:r>
            <a:rPr lang="en-GB" sz="1050">
              <a:solidFill>
                <a:sysClr val="windowText" lastClr="000000">
                  <a:hueOff val="0"/>
                  <a:satOff val="0"/>
                  <a:lumOff val="0"/>
                  <a:alphaOff val="0"/>
                </a:sysClr>
              </a:solidFill>
              <a:latin typeface="Calibri"/>
              <a:ea typeface="+mn-ea"/>
              <a:cs typeface="+mn-cs"/>
            </a:rPr>
            <a:t>Overspend relates to the clearing of backlogs in the Firearms Licensing team, tied in to the cycle of firearms certificate renewals.</a:t>
          </a:r>
        </a:p>
      </dgm:t>
    </dgm:pt>
    <dgm:pt modelId="{03C7FFFD-4C9A-469F-9FEF-D0733FB2F82A}" type="parTrans" cxnId="{51D9C40E-27DF-4128-8240-3D9E52F59CDB}">
      <dgm:prSet/>
      <dgm:spPr/>
      <dgm:t>
        <a:bodyPr/>
        <a:lstStyle/>
        <a:p>
          <a:pPr algn="ctr"/>
          <a:endParaRPr lang="en-GB"/>
        </a:p>
      </dgm:t>
    </dgm:pt>
    <dgm:pt modelId="{314080FF-CBEE-457F-A946-A1462B714806}" type="sibTrans" cxnId="{51D9C40E-27DF-4128-8240-3D9E52F59CDB}">
      <dgm:prSet/>
      <dgm:spPr/>
      <dgm:t>
        <a:bodyPr/>
        <a:lstStyle/>
        <a:p>
          <a:pPr algn="ctr"/>
          <a:endParaRPr lang="en-GB"/>
        </a:p>
      </dgm:t>
    </dgm:pt>
    <dgm:pt modelId="{E3AA3B8A-55AF-40A9-B9D3-444CCC9F918E}">
      <dgm:prSet phldrT="[Text]" custT="1"/>
      <dgm:spPr>
        <a:xfrm>
          <a:off x="6498398" y="2234213"/>
          <a:ext cx="2407190" cy="728855"/>
        </a:xfr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gm:spPr>
      <dgm:t>
        <a:bodyPr/>
        <a:lstStyle/>
        <a:p>
          <a:pPr algn="l"/>
          <a:r>
            <a:rPr lang="en-GB" sz="1050">
              <a:solidFill>
                <a:sysClr val="windowText" lastClr="000000">
                  <a:hueOff val="0"/>
                  <a:satOff val="0"/>
                  <a:lumOff val="0"/>
                  <a:alphaOff val="0"/>
                </a:sysClr>
              </a:solidFill>
              <a:latin typeface="Calibri"/>
              <a:ea typeface="+mn-ea"/>
              <a:cs typeface="+mn-cs"/>
            </a:rPr>
            <a:t>This cyclical activity is offset in part by income generation for renewal of firearm certificates.</a:t>
          </a:r>
        </a:p>
      </dgm:t>
    </dgm:pt>
    <dgm:pt modelId="{36053574-0EA0-44DA-9EED-83B0ACDF7D1C}" type="parTrans" cxnId="{76FAFF29-9EAA-4B3C-AA8D-D32EEE14D3C9}">
      <dgm:prSet/>
      <dgm:spPr/>
      <dgm:t>
        <a:bodyPr/>
        <a:lstStyle/>
        <a:p>
          <a:pPr algn="ctr"/>
          <a:endParaRPr lang="en-GB"/>
        </a:p>
      </dgm:t>
    </dgm:pt>
    <dgm:pt modelId="{13F2C894-A92D-4A35-9529-A0B10FCB2DCB}" type="sibTrans" cxnId="{76FAFF29-9EAA-4B3C-AA8D-D32EEE14D3C9}">
      <dgm:prSet/>
      <dgm:spPr/>
      <dgm:t>
        <a:bodyPr/>
        <a:lstStyle/>
        <a:p>
          <a:pPr algn="ctr"/>
          <a:endParaRPr lang="en-GB"/>
        </a:p>
      </dgm:t>
    </dgm:pt>
    <dgm:pt modelId="{00049145-243C-414E-833C-C66806761D09}">
      <dgm:prSet phldrT="[Text]"/>
      <dgm:spPr>
        <a:xfrm>
          <a:off x="4494" y="1182395"/>
          <a:ext cx="1768529" cy="878138"/>
        </a:xfrm>
        <a:solidFill>
          <a:srgbClr val="C0504D">
            <a:hueOff val="0"/>
            <a:satOff val="0"/>
            <a:lumOff val="0"/>
            <a:alpha val="50000"/>
          </a:srgbClr>
        </a:solidFill>
        <a:ln w="25400" cap="flat" cmpd="sng" algn="ctr">
          <a:solidFill>
            <a:sysClr val="window" lastClr="FFFFFF">
              <a:hueOff val="0"/>
              <a:satOff val="0"/>
              <a:lumOff val="0"/>
              <a:alphaOff val="0"/>
            </a:sysClr>
          </a:solidFill>
          <a:prstDash val="solid"/>
        </a:ln>
        <a:effectLst/>
      </dgm:spPr>
      <dgm:t>
        <a:bodyPr/>
        <a:lstStyle/>
        <a:p>
          <a:pPr algn="ctr"/>
          <a:r>
            <a:rPr lang="en-GB" b="1">
              <a:solidFill>
                <a:sysClr val="windowText" lastClr="000000"/>
              </a:solidFill>
            </a:rPr>
            <a:t>Serious Crime Directorate</a:t>
          </a:r>
          <a:endParaRPr lang="en-GB">
            <a:solidFill>
              <a:sysClr val="windowText" lastClr="000000"/>
            </a:solidFill>
          </a:endParaRPr>
        </a:p>
        <a:p>
          <a:pPr algn="ctr"/>
          <a:r>
            <a:rPr lang="en-GB" b="1">
              <a:solidFill>
                <a:sysClr val="windowText" lastClr="000000"/>
              </a:solidFill>
            </a:rPr>
            <a:t>£21k</a:t>
          </a:r>
          <a:endParaRPr lang="en-GB" b="1">
            <a:solidFill>
              <a:sysClr val="windowText" lastClr="000000"/>
            </a:solidFill>
            <a:latin typeface="Calibri"/>
            <a:ea typeface="+mn-ea"/>
            <a:cs typeface="+mn-cs"/>
          </a:endParaRPr>
        </a:p>
      </dgm:t>
    </dgm:pt>
    <dgm:pt modelId="{31794D82-214D-4D74-99A9-28AD905DF6D3}" type="parTrans" cxnId="{B3563D06-9207-4FD1-9C6A-C0E28FBE566C}">
      <dgm:prSet/>
      <dgm:spPr/>
      <dgm:t>
        <a:bodyPr/>
        <a:lstStyle/>
        <a:p>
          <a:pPr algn="ctr"/>
          <a:endParaRPr lang="en-GB"/>
        </a:p>
      </dgm:t>
    </dgm:pt>
    <dgm:pt modelId="{E6DC4986-A05A-4322-B827-8344A76B050A}" type="sibTrans" cxnId="{B3563D06-9207-4FD1-9C6A-C0E28FBE566C}">
      <dgm:prSet/>
      <dgm:spPr/>
      <dgm:t>
        <a:bodyPr/>
        <a:lstStyle/>
        <a:p>
          <a:pPr algn="ctr"/>
          <a:endParaRPr lang="en-GB"/>
        </a:p>
      </dgm:t>
    </dgm:pt>
    <dgm:pt modelId="{7346F978-F00B-45A0-AF6B-F7AFAC175746}">
      <dgm:prSet phldrT="[Text]" custT="1"/>
      <dgm:spPr>
        <a:xfrm>
          <a:off x="1543115" y="1257037"/>
          <a:ext cx="5160785" cy="728855"/>
        </a:xfr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gm:spPr>
      <dgm:t>
        <a:bodyPr/>
        <a:lstStyle/>
        <a:p>
          <a:pPr algn="l"/>
          <a:r>
            <a:rPr lang="en-GB" sz="1050"/>
            <a:t>Overspend due to high vacancies and demand in the Major Crime teams as well as increased recharges from Kent Police.</a:t>
          </a:r>
          <a:endParaRPr lang="en-GB" sz="1050">
            <a:solidFill>
              <a:sysClr val="windowText" lastClr="000000">
                <a:hueOff val="0"/>
                <a:satOff val="0"/>
                <a:lumOff val="0"/>
                <a:alphaOff val="0"/>
              </a:sysClr>
            </a:solidFill>
            <a:latin typeface="Calibri"/>
            <a:ea typeface="+mn-ea"/>
            <a:cs typeface="+mn-cs"/>
          </a:endParaRPr>
        </a:p>
      </dgm:t>
    </dgm:pt>
    <dgm:pt modelId="{E50A5345-4939-46B7-ADFB-F92E9AE31A1B}" type="parTrans" cxnId="{F3F46279-2B03-4F1C-85A8-BAF8F0A13FE0}">
      <dgm:prSet/>
      <dgm:spPr/>
      <dgm:t>
        <a:bodyPr/>
        <a:lstStyle/>
        <a:p>
          <a:pPr algn="ctr"/>
          <a:endParaRPr lang="en-GB"/>
        </a:p>
      </dgm:t>
    </dgm:pt>
    <dgm:pt modelId="{E4A416B5-3FA8-4CA1-99F3-698EC8EDDC76}" type="sibTrans" cxnId="{F3F46279-2B03-4F1C-85A8-BAF8F0A13FE0}">
      <dgm:prSet/>
      <dgm:spPr/>
      <dgm:t>
        <a:bodyPr/>
        <a:lstStyle/>
        <a:p>
          <a:pPr algn="ctr"/>
          <a:endParaRPr lang="en-GB"/>
        </a:p>
      </dgm:t>
    </dgm:pt>
    <dgm:pt modelId="{3F264C18-16FC-4245-BDB0-5BD30060411A}">
      <dgm:prSet phldrT="[Text]" custT="1"/>
      <dgm:spPr>
        <a:xfrm>
          <a:off x="6498398" y="1257037"/>
          <a:ext cx="2407190" cy="728855"/>
        </a:xfr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gm:spPr>
      <dgm:t>
        <a:bodyPr/>
        <a:lstStyle/>
        <a:p>
          <a:pPr algn="l"/>
          <a:r>
            <a:rPr lang="en-GB" sz="1050">
              <a:solidFill>
                <a:sysClr val="windowText" lastClr="000000">
                  <a:hueOff val="0"/>
                  <a:satOff val="0"/>
                  <a:lumOff val="0"/>
                  <a:alphaOff val="0"/>
                </a:sysClr>
              </a:solidFill>
              <a:latin typeface="Calibri"/>
              <a:ea typeface="+mn-ea"/>
              <a:cs typeface="+mn-cs"/>
            </a:rPr>
            <a:t>Variance offset by underspends against staff pay budgets.</a:t>
          </a:r>
          <a:endParaRPr lang="en-GB" sz="1050" b="0">
            <a:solidFill>
              <a:sysClr val="windowText" lastClr="000000"/>
            </a:solidFill>
            <a:latin typeface="Calibri"/>
            <a:ea typeface="+mn-ea"/>
            <a:cs typeface="+mn-cs"/>
          </a:endParaRPr>
        </a:p>
      </dgm:t>
    </dgm:pt>
    <dgm:pt modelId="{767646B3-9BF5-4C3D-9B7D-23645C6345B6}" type="parTrans" cxnId="{612C7659-4C3A-4E6D-9BDA-FC6607B69FF7}">
      <dgm:prSet/>
      <dgm:spPr/>
      <dgm:t>
        <a:bodyPr/>
        <a:lstStyle/>
        <a:p>
          <a:pPr algn="ctr"/>
          <a:endParaRPr lang="en-GB"/>
        </a:p>
      </dgm:t>
    </dgm:pt>
    <dgm:pt modelId="{FEC83F76-B33F-4634-A125-643CE9240A1D}" type="sibTrans" cxnId="{612C7659-4C3A-4E6D-9BDA-FC6607B69FF7}">
      <dgm:prSet/>
      <dgm:spPr/>
      <dgm:t>
        <a:bodyPr/>
        <a:lstStyle/>
        <a:p>
          <a:pPr algn="ctr"/>
          <a:endParaRPr lang="en-GB"/>
        </a:p>
      </dgm:t>
    </dgm:pt>
    <dgm:pt modelId="{5DDC2EA9-71A2-4FCD-83E3-B356D885B09D}">
      <dgm:prSet phldrT="[Text]"/>
      <dgm:spPr>
        <a:xfrm>
          <a:off x="4494" y="205219"/>
          <a:ext cx="1768529" cy="878138"/>
        </a:xfrm>
        <a:solidFill>
          <a:srgbClr val="C0504D">
            <a:hueOff val="0"/>
            <a:satOff val="0"/>
            <a:lumOff val="0"/>
            <a:alpha val="70000"/>
          </a:srgbClr>
        </a:solidFill>
        <a:ln w="25400" cap="flat" cmpd="sng" algn="ctr">
          <a:solidFill>
            <a:sysClr val="window" lastClr="FFFFFF">
              <a:hueOff val="0"/>
              <a:satOff val="0"/>
              <a:lumOff val="0"/>
              <a:alphaOff val="0"/>
            </a:sysClr>
          </a:solidFill>
          <a:prstDash val="solid"/>
        </a:ln>
        <a:effectLst/>
      </dgm:spPr>
      <dgm:t>
        <a:bodyPr/>
        <a:lstStyle/>
        <a:p>
          <a:pPr algn="ctr"/>
          <a:r>
            <a:rPr lang="en-GB" b="1">
              <a:solidFill>
                <a:sysClr val="windowText" lastClr="000000"/>
              </a:solidFill>
            </a:rPr>
            <a:t>Criminal Justice Command</a:t>
          </a:r>
          <a:endParaRPr lang="en-GB">
            <a:solidFill>
              <a:sysClr val="windowText" lastClr="000000"/>
            </a:solidFill>
          </a:endParaRPr>
        </a:p>
        <a:p>
          <a:pPr algn="ctr"/>
          <a:r>
            <a:rPr lang="en-GB" b="1">
              <a:solidFill>
                <a:sysClr val="windowText" lastClr="000000"/>
              </a:solidFill>
            </a:rPr>
            <a:t>£31k</a:t>
          </a:r>
          <a:endParaRPr lang="en-GB" b="1">
            <a:solidFill>
              <a:sysClr val="windowText" lastClr="000000"/>
            </a:solidFill>
            <a:latin typeface="Calibri"/>
            <a:ea typeface="+mn-ea"/>
            <a:cs typeface="+mn-cs"/>
          </a:endParaRPr>
        </a:p>
      </dgm:t>
    </dgm:pt>
    <dgm:pt modelId="{FEE06C32-82B4-4F17-9415-FE92D82C9E37}" type="parTrans" cxnId="{0D3606A3-2B28-4431-AC96-C641E1B1443A}">
      <dgm:prSet/>
      <dgm:spPr/>
      <dgm:t>
        <a:bodyPr/>
        <a:lstStyle/>
        <a:p>
          <a:pPr algn="ctr"/>
          <a:endParaRPr lang="en-GB"/>
        </a:p>
      </dgm:t>
    </dgm:pt>
    <dgm:pt modelId="{97D37D6C-AFBF-4998-A676-6CC937FFA47B}" type="sibTrans" cxnId="{0D3606A3-2B28-4431-AC96-C641E1B1443A}">
      <dgm:prSet/>
      <dgm:spPr/>
      <dgm:t>
        <a:bodyPr/>
        <a:lstStyle/>
        <a:p>
          <a:pPr algn="ctr"/>
          <a:endParaRPr lang="en-GB"/>
        </a:p>
      </dgm:t>
    </dgm:pt>
    <dgm:pt modelId="{CC1B69A0-514A-444D-8590-5CB5E76C7B51}">
      <dgm:prSet phldrT="[Text]" custT="1"/>
      <dgm:spPr>
        <a:xfrm>
          <a:off x="1543115" y="279861"/>
          <a:ext cx="5160785" cy="728855"/>
        </a:xfr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gm:spPr>
      <dgm:t>
        <a:bodyPr/>
        <a:lstStyle/>
        <a:p>
          <a:pPr algn="l"/>
          <a:r>
            <a:rPr lang="en-GB" sz="1050"/>
            <a:t>Overspend due to Detention Officers vacancies and corrections required to the weekend remand in custody files before they can be handed over to the CPS. </a:t>
          </a:r>
          <a:endParaRPr lang="en-GB" sz="1050">
            <a:solidFill>
              <a:sysClr val="windowText" lastClr="000000">
                <a:hueOff val="0"/>
                <a:satOff val="0"/>
                <a:lumOff val="0"/>
                <a:alphaOff val="0"/>
              </a:sysClr>
            </a:solidFill>
            <a:latin typeface="Calibri"/>
            <a:ea typeface="+mn-ea"/>
            <a:cs typeface="+mn-cs"/>
          </a:endParaRPr>
        </a:p>
      </dgm:t>
    </dgm:pt>
    <dgm:pt modelId="{540A72ED-4527-4880-A8D2-9AB86A598FEF}" type="parTrans" cxnId="{6F8CB334-52C6-49CD-B5C3-406BE01C28A0}">
      <dgm:prSet/>
      <dgm:spPr/>
      <dgm:t>
        <a:bodyPr/>
        <a:lstStyle/>
        <a:p>
          <a:pPr algn="ctr"/>
          <a:endParaRPr lang="en-GB"/>
        </a:p>
      </dgm:t>
    </dgm:pt>
    <dgm:pt modelId="{E8C2FA2F-05CD-4444-8349-A4D180F9369F}" type="sibTrans" cxnId="{6F8CB334-52C6-49CD-B5C3-406BE01C28A0}">
      <dgm:prSet/>
      <dgm:spPr/>
      <dgm:t>
        <a:bodyPr/>
        <a:lstStyle/>
        <a:p>
          <a:pPr algn="ctr"/>
          <a:endParaRPr lang="en-GB"/>
        </a:p>
      </dgm:t>
    </dgm:pt>
    <dgm:pt modelId="{B4FFB9FD-D9A2-4FA9-9DDF-C2599111CAC3}">
      <dgm:prSet phldrT="[Text]" custT="1"/>
      <dgm:spPr>
        <a:xfrm>
          <a:off x="6498398" y="279861"/>
          <a:ext cx="2407190" cy="728855"/>
        </a:xfr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gm:spPr>
      <dgm:t>
        <a:bodyPr/>
        <a:lstStyle/>
        <a:p>
          <a:pPr algn="l"/>
          <a:r>
            <a:rPr lang="en-GB" sz="1050">
              <a:solidFill>
                <a:sysClr val="windowText" lastClr="000000">
                  <a:hueOff val="0"/>
                  <a:satOff val="0"/>
                  <a:lumOff val="0"/>
                  <a:alphaOff val="0"/>
                </a:sysClr>
              </a:solidFill>
              <a:latin typeface="Calibri"/>
              <a:ea typeface="+mn-ea"/>
              <a:cs typeface="+mn-cs"/>
            </a:rPr>
            <a:t>Variance offset by underspends against staff pay budgets.</a:t>
          </a:r>
        </a:p>
      </dgm:t>
    </dgm:pt>
    <dgm:pt modelId="{E783631F-E457-4BA1-AA62-1FD981B9F7A8}" type="parTrans" cxnId="{43BCC493-9ADB-4848-A73A-81B782AB93BD}">
      <dgm:prSet/>
      <dgm:spPr/>
      <dgm:t>
        <a:bodyPr/>
        <a:lstStyle/>
        <a:p>
          <a:pPr algn="ctr"/>
          <a:endParaRPr lang="en-GB"/>
        </a:p>
      </dgm:t>
    </dgm:pt>
    <dgm:pt modelId="{2C2979F5-E16B-410F-882E-27193E642DC5}" type="sibTrans" cxnId="{43BCC493-9ADB-4848-A73A-81B782AB93BD}">
      <dgm:prSet/>
      <dgm:spPr/>
      <dgm:t>
        <a:bodyPr/>
        <a:lstStyle/>
        <a:p>
          <a:pPr algn="ctr"/>
          <a:endParaRPr lang="en-GB"/>
        </a:p>
      </dgm:t>
    </dgm:pt>
    <dgm:pt modelId="{45492873-4E44-4A8B-A27C-1845BE849FE9}" type="pres">
      <dgm:prSet presAssocID="{8D833E8A-B330-43AC-9B83-EE1B1003BB2F}" presName="Name0" presStyleCnt="0">
        <dgm:presLayoutVars>
          <dgm:chPref val="3"/>
          <dgm:dir/>
          <dgm:animLvl val="lvl"/>
          <dgm:resizeHandles/>
        </dgm:presLayoutVars>
      </dgm:prSet>
      <dgm:spPr/>
      <dgm:t>
        <a:bodyPr/>
        <a:lstStyle/>
        <a:p>
          <a:endParaRPr lang="en-GB"/>
        </a:p>
      </dgm:t>
    </dgm:pt>
    <dgm:pt modelId="{C9495912-9C64-4DFB-A2E8-3A2390674FB6}" type="pres">
      <dgm:prSet presAssocID="{82E3837D-35C6-44BF-84F8-8965FF9315A3}" presName="horFlow" presStyleCnt="0"/>
      <dgm:spPr/>
    </dgm:pt>
    <dgm:pt modelId="{89620BF6-2CCE-4452-8072-32E091C7F620}" type="pres">
      <dgm:prSet presAssocID="{82E3837D-35C6-44BF-84F8-8965FF9315A3}" presName="bigChev" presStyleLbl="node1" presStyleIdx="0" presStyleCnt="3" custScaleY="124134"/>
      <dgm:spPr>
        <a:prstGeom prst="chevron">
          <a:avLst/>
        </a:prstGeom>
      </dgm:spPr>
      <dgm:t>
        <a:bodyPr/>
        <a:lstStyle/>
        <a:p>
          <a:endParaRPr lang="en-GB"/>
        </a:p>
      </dgm:t>
    </dgm:pt>
    <dgm:pt modelId="{81332C6A-3C51-44BE-B05E-79C5C19774E6}" type="pres">
      <dgm:prSet presAssocID="{03C7FFFD-4C9A-469F-9FEF-D0733FB2F82A}" presName="parTrans" presStyleCnt="0"/>
      <dgm:spPr/>
    </dgm:pt>
    <dgm:pt modelId="{D3CE666A-313B-41FA-95B8-0406B8DB1FE5}" type="pres">
      <dgm:prSet presAssocID="{E3D7A7A9-D139-4A65-902C-AAD28435CB3B}" presName="node" presStyleLbl="alignAccFollowNode1" presStyleIdx="0" presStyleCnt="6" custScaleX="351581" custScaleY="139696">
        <dgm:presLayoutVars>
          <dgm:bulletEnabled val="1"/>
        </dgm:presLayoutVars>
      </dgm:prSet>
      <dgm:spPr>
        <a:prstGeom prst="chevron">
          <a:avLst/>
        </a:prstGeom>
      </dgm:spPr>
      <dgm:t>
        <a:bodyPr/>
        <a:lstStyle/>
        <a:p>
          <a:endParaRPr lang="en-GB"/>
        </a:p>
      </dgm:t>
    </dgm:pt>
    <dgm:pt modelId="{EAEC4520-A2A9-494B-948A-6F9F3868CC68}" type="pres">
      <dgm:prSet presAssocID="{314080FF-CBEE-457F-A946-A1462B714806}" presName="sibTrans" presStyleCnt="0"/>
      <dgm:spPr/>
    </dgm:pt>
    <dgm:pt modelId="{B95893AB-0C7B-40FA-BDFB-59F20F5A9FF8}" type="pres">
      <dgm:prSet presAssocID="{E3AA3B8A-55AF-40A9-B9D3-444CCC9F918E}" presName="node" presStyleLbl="alignAccFollowNode1" presStyleIdx="1" presStyleCnt="6" custScaleX="163991" custScaleY="139696">
        <dgm:presLayoutVars>
          <dgm:bulletEnabled val="1"/>
        </dgm:presLayoutVars>
      </dgm:prSet>
      <dgm:spPr>
        <a:prstGeom prst="chevron">
          <a:avLst/>
        </a:prstGeom>
      </dgm:spPr>
      <dgm:t>
        <a:bodyPr/>
        <a:lstStyle/>
        <a:p>
          <a:endParaRPr lang="en-GB"/>
        </a:p>
      </dgm:t>
    </dgm:pt>
    <dgm:pt modelId="{9B3BD383-4749-49A8-B0DF-F2AB5C4C8084}" type="pres">
      <dgm:prSet presAssocID="{82E3837D-35C6-44BF-84F8-8965FF9315A3}" presName="vSp" presStyleCnt="0"/>
      <dgm:spPr/>
    </dgm:pt>
    <dgm:pt modelId="{D582BA8C-76C0-4E83-8B2C-E03672BDCB06}" type="pres">
      <dgm:prSet presAssocID="{5DDC2EA9-71A2-4FCD-83E3-B356D885B09D}" presName="horFlow" presStyleCnt="0"/>
      <dgm:spPr/>
    </dgm:pt>
    <dgm:pt modelId="{2C3C3626-ED53-4B2D-89C8-3CDE190BD686}" type="pres">
      <dgm:prSet presAssocID="{5DDC2EA9-71A2-4FCD-83E3-B356D885B09D}" presName="bigChev" presStyleLbl="node1" presStyleIdx="1" presStyleCnt="3" custScaleY="124134"/>
      <dgm:spPr>
        <a:prstGeom prst="chevron">
          <a:avLst/>
        </a:prstGeom>
      </dgm:spPr>
      <dgm:t>
        <a:bodyPr/>
        <a:lstStyle/>
        <a:p>
          <a:endParaRPr lang="en-GB"/>
        </a:p>
      </dgm:t>
    </dgm:pt>
    <dgm:pt modelId="{5179D96D-F456-4645-8524-2700ADC62226}" type="pres">
      <dgm:prSet presAssocID="{540A72ED-4527-4880-A8D2-9AB86A598FEF}" presName="parTrans" presStyleCnt="0"/>
      <dgm:spPr/>
    </dgm:pt>
    <dgm:pt modelId="{E2051110-7FBA-47B1-AFAE-D51A144C0443}" type="pres">
      <dgm:prSet presAssocID="{CC1B69A0-514A-444D-8590-5CB5E76C7B51}" presName="node" presStyleLbl="alignAccFollowNode1" presStyleIdx="2" presStyleCnt="6" custScaleX="351581" custScaleY="143687">
        <dgm:presLayoutVars>
          <dgm:bulletEnabled val="1"/>
        </dgm:presLayoutVars>
      </dgm:prSet>
      <dgm:spPr>
        <a:prstGeom prst="chevron">
          <a:avLst/>
        </a:prstGeom>
      </dgm:spPr>
      <dgm:t>
        <a:bodyPr/>
        <a:lstStyle/>
        <a:p>
          <a:endParaRPr lang="en-GB"/>
        </a:p>
      </dgm:t>
    </dgm:pt>
    <dgm:pt modelId="{F4A946F7-3B39-4160-A56A-2C089284932E}" type="pres">
      <dgm:prSet presAssocID="{E8C2FA2F-05CD-4444-8349-A4D180F9369F}" presName="sibTrans" presStyleCnt="0"/>
      <dgm:spPr/>
    </dgm:pt>
    <dgm:pt modelId="{01B31C95-6AAE-4702-94DB-D7CA2DC8A819}" type="pres">
      <dgm:prSet presAssocID="{B4FFB9FD-D9A2-4FA9-9DDF-C2599111CAC3}" presName="node" presStyleLbl="alignAccFollowNode1" presStyleIdx="3" presStyleCnt="6" custScaleX="163991" custScaleY="143687">
        <dgm:presLayoutVars>
          <dgm:bulletEnabled val="1"/>
        </dgm:presLayoutVars>
      </dgm:prSet>
      <dgm:spPr>
        <a:prstGeom prst="chevron">
          <a:avLst/>
        </a:prstGeom>
      </dgm:spPr>
      <dgm:t>
        <a:bodyPr/>
        <a:lstStyle/>
        <a:p>
          <a:endParaRPr lang="en-GB"/>
        </a:p>
      </dgm:t>
    </dgm:pt>
    <dgm:pt modelId="{D28CDDA9-29B0-4622-A0DB-820F25EF0228}" type="pres">
      <dgm:prSet presAssocID="{5DDC2EA9-71A2-4FCD-83E3-B356D885B09D}" presName="vSp" presStyleCnt="0"/>
      <dgm:spPr/>
    </dgm:pt>
    <dgm:pt modelId="{F45A8FD5-2D8C-417C-9573-86025E24ED8B}" type="pres">
      <dgm:prSet presAssocID="{00049145-243C-414E-833C-C66806761D09}" presName="horFlow" presStyleCnt="0"/>
      <dgm:spPr/>
    </dgm:pt>
    <dgm:pt modelId="{06584C24-392D-4BC7-8B4C-D34A45E90CA9}" type="pres">
      <dgm:prSet presAssocID="{00049145-243C-414E-833C-C66806761D09}" presName="bigChev" presStyleLbl="node1" presStyleIdx="2" presStyleCnt="3" custScaleY="121536"/>
      <dgm:spPr>
        <a:prstGeom prst="chevron">
          <a:avLst/>
        </a:prstGeom>
      </dgm:spPr>
      <dgm:t>
        <a:bodyPr/>
        <a:lstStyle/>
        <a:p>
          <a:endParaRPr lang="en-GB"/>
        </a:p>
      </dgm:t>
    </dgm:pt>
    <dgm:pt modelId="{9760587D-96DC-4719-B351-A42394E6A9C6}" type="pres">
      <dgm:prSet presAssocID="{E50A5345-4939-46B7-ADFB-F92E9AE31A1B}" presName="parTrans" presStyleCnt="0"/>
      <dgm:spPr/>
    </dgm:pt>
    <dgm:pt modelId="{DB5F774B-E55A-43EB-9D37-5DA625027F0E}" type="pres">
      <dgm:prSet presAssocID="{7346F978-F00B-45A0-AF6B-F7AFAC175746}" presName="node" presStyleLbl="alignAccFollowNode1" presStyleIdx="4" presStyleCnt="6" custScaleX="351581" custScaleY="148973" custLinFactNeighborX="-25925" custLinFactNeighborY="0">
        <dgm:presLayoutVars>
          <dgm:bulletEnabled val="1"/>
        </dgm:presLayoutVars>
      </dgm:prSet>
      <dgm:spPr>
        <a:prstGeom prst="chevron">
          <a:avLst/>
        </a:prstGeom>
      </dgm:spPr>
      <dgm:t>
        <a:bodyPr/>
        <a:lstStyle/>
        <a:p>
          <a:endParaRPr lang="en-GB"/>
        </a:p>
      </dgm:t>
    </dgm:pt>
    <dgm:pt modelId="{2422B7FB-8B5F-4360-9DF4-56952309312B}" type="pres">
      <dgm:prSet presAssocID="{E4A416B5-3FA8-4CA1-99F3-698EC8EDDC76}" presName="sibTrans" presStyleCnt="0"/>
      <dgm:spPr/>
    </dgm:pt>
    <dgm:pt modelId="{1CB7E118-A11A-407A-A702-1BC5011E18DF}" type="pres">
      <dgm:prSet presAssocID="{3F264C18-16FC-4245-BDB0-5BD30060411A}" presName="node" presStyleLbl="alignAccFollowNode1" presStyleIdx="5" presStyleCnt="6" custScaleX="163991" custScaleY="152591">
        <dgm:presLayoutVars>
          <dgm:bulletEnabled val="1"/>
        </dgm:presLayoutVars>
      </dgm:prSet>
      <dgm:spPr>
        <a:prstGeom prst="chevron">
          <a:avLst/>
        </a:prstGeom>
      </dgm:spPr>
      <dgm:t>
        <a:bodyPr/>
        <a:lstStyle/>
        <a:p>
          <a:endParaRPr lang="en-GB"/>
        </a:p>
      </dgm:t>
    </dgm:pt>
  </dgm:ptLst>
  <dgm:cxnLst>
    <dgm:cxn modelId="{BFB06568-B260-41C8-8F9E-C84EBAE70F81}" type="presOf" srcId="{3F264C18-16FC-4245-BDB0-5BD30060411A}" destId="{1CB7E118-A11A-407A-A702-1BC5011E18DF}" srcOrd="0" destOrd="0" presId="urn:microsoft.com/office/officeart/2005/8/layout/lProcess3"/>
    <dgm:cxn modelId="{1920F4B6-EC70-46AF-AC39-1B5FA0F3A376}" type="presOf" srcId="{8D833E8A-B330-43AC-9B83-EE1B1003BB2F}" destId="{45492873-4E44-4A8B-A27C-1845BE849FE9}" srcOrd="0" destOrd="0" presId="urn:microsoft.com/office/officeart/2005/8/layout/lProcess3"/>
    <dgm:cxn modelId="{AAC19C30-4776-4F3A-AA5A-57031E4B34D6}" srcId="{8D833E8A-B330-43AC-9B83-EE1B1003BB2F}" destId="{82E3837D-35C6-44BF-84F8-8965FF9315A3}" srcOrd="0" destOrd="0" parTransId="{616EA073-9FDC-4573-8804-BF198CD1DBFC}" sibTransId="{760FA807-2FC5-4DB4-9269-423EDDED0DF0}"/>
    <dgm:cxn modelId="{78C2A0D9-45D3-46D0-A206-7D9D66106379}" type="presOf" srcId="{E3D7A7A9-D139-4A65-902C-AAD28435CB3B}" destId="{D3CE666A-313B-41FA-95B8-0406B8DB1FE5}" srcOrd="0" destOrd="0" presId="urn:microsoft.com/office/officeart/2005/8/layout/lProcess3"/>
    <dgm:cxn modelId="{51D9C40E-27DF-4128-8240-3D9E52F59CDB}" srcId="{82E3837D-35C6-44BF-84F8-8965FF9315A3}" destId="{E3D7A7A9-D139-4A65-902C-AAD28435CB3B}" srcOrd="0" destOrd="0" parTransId="{03C7FFFD-4C9A-469F-9FEF-D0733FB2F82A}" sibTransId="{314080FF-CBEE-457F-A946-A1462B714806}"/>
    <dgm:cxn modelId="{7F4468C1-1F78-4D37-9BC4-7CC64749A669}" type="presOf" srcId="{B4FFB9FD-D9A2-4FA9-9DDF-C2599111CAC3}" destId="{01B31C95-6AAE-4702-94DB-D7CA2DC8A819}" srcOrd="0" destOrd="0" presId="urn:microsoft.com/office/officeart/2005/8/layout/lProcess3"/>
    <dgm:cxn modelId="{CC8E4546-E920-47AC-98EB-B8000CED73EB}" type="presOf" srcId="{5DDC2EA9-71A2-4FCD-83E3-B356D885B09D}" destId="{2C3C3626-ED53-4B2D-89C8-3CDE190BD686}" srcOrd="0" destOrd="0" presId="urn:microsoft.com/office/officeart/2005/8/layout/lProcess3"/>
    <dgm:cxn modelId="{43BCC493-9ADB-4848-A73A-81B782AB93BD}" srcId="{5DDC2EA9-71A2-4FCD-83E3-B356D885B09D}" destId="{B4FFB9FD-D9A2-4FA9-9DDF-C2599111CAC3}" srcOrd="1" destOrd="0" parTransId="{E783631F-E457-4BA1-AA62-1FD981B9F7A8}" sibTransId="{2C2979F5-E16B-410F-882E-27193E642DC5}"/>
    <dgm:cxn modelId="{F3E573C9-07CD-471C-919F-3785A47DA33B}" type="presOf" srcId="{7346F978-F00B-45A0-AF6B-F7AFAC175746}" destId="{DB5F774B-E55A-43EB-9D37-5DA625027F0E}" srcOrd="0" destOrd="0" presId="urn:microsoft.com/office/officeart/2005/8/layout/lProcess3"/>
    <dgm:cxn modelId="{6F8CB334-52C6-49CD-B5C3-406BE01C28A0}" srcId="{5DDC2EA9-71A2-4FCD-83E3-B356D885B09D}" destId="{CC1B69A0-514A-444D-8590-5CB5E76C7B51}" srcOrd="0" destOrd="0" parTransId="{540A72ED-4527-4880-A8D2-9AB86A598FEF}" sibTransId="{E8C2FA2F-05CD-4444-8349-A4D180F9369F}"/>
    <dgm:cxn modelId="{8EED7ACA-BAA8-457A-8CF0-1F20402D5408}" type="presOf" srcId="{82E3837D-35C6-44BF-84F8-8965FF9315A3}" destId="{89620BF6-2CCE-4452-8072-32E091C7F620}" srcOrd="0" destOrd="0" presId="urn:microsoft.com/office/officeart/2005/8/layout/lProcess3"/>
    <dgm:cxn modelId="{261FD63C-DA0D-4A43-9268-DF7EEAE0D066}" type="presOf" srcId="{E3AA3B8A-55AF-40A9-B9D3-444CCC9F918E}" destId="{B95893AB-0C7B-40FA-BDFB-59F20F5A9FF8}" srcOrd="0" destOrd="0" presId="urn:microsoft.com/office/officeart/2005/8/layout/lProcess3"/>
    <dgm:cxn modelId="{E51E1D87-4884-478C-85DA-4ABC3342B5E9}" type="presOf" srcId="{00049145-243C-414E-833C-C66806761D09}" destId="{06584C24-392D-4BC7-8B4C-D34A45E90CA9}" srcOrd="0" destOrd="0" presId="urn:microsoft.com/office/officeart/2005/8/layout/lProcess3"/>
    <dgm:cxn modelId="{612C7659-4C3A-4E6D-9BDA-FC6607B69FF7}" srcId="{00049145-243C-414E-833C-C66806761D09}" destId="{3F264C18-16FC-4245-BDB0-5BD30060411A}" srcOrd="1" destOrd="0" parTransId="{767646B3-9BF5-4C3D-9B7D-23645C6345B6}" sibTransId="{FEC83F76-B33F-4634-A125-643CE9240A1D}"/>
    <dgm:cxn modelId="{0D3606A3-2B28-4431-AC96-C641E1B1443A}" srcId="{8D833E8A-B330-43AC-9B83-EE1B1003BB2F}" destId="{5DDC2EA9-71A2-4FCD-83E3-B356D885B09D}" srcOrd="1" destOrd="0" parTransId="{FEE06C32-82B4-4F17-9415-FE92D82C9E37}" sibTransId="{97D37D6C-AFBF-4998-A676-6CC937FFA47B}"/>
    <dgm:cxn modelId="{F3F46279-2B03-4F1C-85A8-BAF8F0A13FE0}" srcId="{00049145-243C-414E-833C-C66806761D09}" destId="{7346F978-F00B-45A0-AF6B-F7AFAC175746}" srcOrd="0" destOrd="0" parTransId="{E50A5345-4939-46B7-ADFB-F92E9AE31A1B}" sibTransId="{E4A416B5-3FA8-4CA1-99F3-698EC8EDDC76}"/>
    <dgm:cxn modelId="{B3563D06-9207-4FD1-9C6A-C0E28FBE566C}" srcId="{8D833E8A-B330-43AC-9B83-EE1B1003BB2F}" destId="{00049145-243C-414E-833C-C66806761D09}" srcOrd="2" destOrd="0" parTransId="{31794D82-214D-4D74-99A9-28AD905DF6D3}" sibTransId="{E6DC4986-A05A-4322-B827-8344A76B050A}"/>
    <dgm:cxn modelId="{91BB9C93-AD3C-4A0E-A3BA-24DA0F17B4C7}" type="presOf" srcId="{CC1B69A0-514A-444D-8590-5CB5E76C7B51}" destId="{E2051110-7FBA-47B1-AFAE-D51A144C0443}" srcOrd="0" destOrd="0" presId="urn:microsoft.com/office/officeart/2005/8/layout/lProcess3"/>
    <dgm:cxn modelId="{76FAFF29-9EAA-4B3C-AA8D-D32EEE14D3C9}" srcId="{82E3837D-35C6-44BF-84F8-8965FF9315A3}" destId="{E3AA3B8A-55AF-40A9-B9D3-444CCC9F918E}" srcOrd="1" destOrd="0" parTransId="{36053574-0EA0-44DA-9EED-83B0ACDF7D1C}" sibTransId="{13F2C894-A92D-4A35-9529-A0B10FCB2DCB}"/>
    <dgm:cxn modelId="{DC15C4BF-BCC0-416A-89FE-2C21FEF74327}" type="presParOf" srcId="{45492873-4E44-4A8B-A27C-1845BE849FE9}" destId="{C9495912-9C64-4DFB-A2E8-3A2390674FB6}" srcOrd="0" destOrd="0" presId="urn:microsoft.com/office/officeart/2005/8/layout/lProcess3"/>
    <dgm:cxn modelId="{93CCBF1A-1234-40D1-A951-90E5B8BB3F47}" type="presParOf" srcId="{C9495912-9C64-4DFB-A2E8-3A2390674FB6}" destId="{89620BF6-2CCE-4452-8072-32E091C7F620}" srcOrd="0" destOrd="0" presId="urn:microsoft.com/office/officeart/2005/8/layout/lProcess3"/>
    <dgm:cxn modelId="{9ADC8A85-5FE7-4BCD-B2B0-F39053AFAA23}" type="presParOf" srcId="{C9495912-9C64-4DFB-A2E8-3A2390674FB6}" destId="{81332C6A-3C51-44BE-B05E-79C5C19774E6}" srcOrd="1" destOrd="0" presId="urn:microsoft.com/office/officeart/2005/8/layout/lProcess3"/>
    <dgm:cxn modelId="{286DA9DE-6CF1-44B0-85CA-80B4063ADAE0}" type="presParOf" srcId="{C9495912-9C64-4DFB-A2E8-3A2390674FB6}" destId="{D3CE666A-313B-41FA-95B8-0406B8DB1FE5}" srcOrd="2" destOrd="0" presId="urn:microsoft.com/office/officeart/2005/8/layout/lProcess3"/>
    <dgm:cxn modelId="{BF6CF383-B748-49B1-9A98-5CD9C35BC416}" type="presParOf" srcId="{C9495912-9C64-4DFB-A2E8-3A2390674FB6}" destId="{EAEC4520-A2A9-494B-948A-6F9F3868CC68}" srcOrd="3" destOrd="0" presId="urn:microsoft.com/office/officeart/2005/8/layout/lProcess3"/>
    <dgm:cxn modelId="{BA681B3C-0730-4267-A4B6-34D802757923}" type="presParOf" srcId="{C9495912-9C64-4DFB-A2E8-3A2390674FB6}" destId="{B95893AB-0C7B-40FA-BDFB-59F20F5A9FF8}" srcOrd="4" destOrd="0" presId="urn:microsoft.com/office/officeart/2005/8/layout/lProcess3"/>
    <dgm:cxn modelId="{5B69FCB9-C514-45B2-9D3B-948CF5672A8C}" type="presParOf" srcId="{45492873-4E44-4A8B-A27C-1845BE849FE9}" destId="{9B3BD383-4749-49A8-B0DF-F2AB5C4C8084}" srcOrd="1" destOrd="0" presId="urn:microsoft.com/office/officeart/2005/8/layout/lProcess3"/>
    <dgm:cxn modelId="{047D3110-6189-4AAC-A7B8-C1912129E79A}" type="presParOf" srcId="{45492873-4E44-4A8B-A27C-1845BE849FE9}" destId="{D582BA8C-76C0-4E83-8B2C-E03672BDCB06}" srcOrd="2" destOrd="0" presId="urn:microsoft.com/office/officeart/2005/8/layout/lProcess3"/>
    <dgm:cxn modelId="{750A6108-4F53-4CC8-AB73-46477E1E3D29}" type="presParOf" srcId="{D582BA8C-76C0-4E83-8B2C-E03672BDCB06}" destId="{2C3C3626-ED53-4B2D-89C8-3CDE190BD686}" srcOrd="0" destOrd="0" presId="urn:microsoft.com/office/officeart/2005/8/layout/lProcess3"/>
    <dgm:cxn modelId="{B79AB896-FC84-429E-BD5F-422036502D27}" type="presParOf" srcId="{D582BA8C-76C0-4E83-8B2C-E03672BDCB06}" destId="{5179D96D-F456-4645-8524-2700ADC62226}" srcOrd="1" destOrd="0" presId="urn:microsoft.com/office/officeart/2005/8/layout/lProcess3"/>
    <dgm:cxn modelId="{C49DAB9C-D17C-4BD4-80D5-036BBB80D233}" type="presParOf" srcId="{D582BA8C-76C0-4E83-8B2C-E03672BDCB06}" destId="{E2051110-7FBA-47B1-AFAE-D51A144C0443}" srcOrd="2" destOrd="0" presId="urn:microsoft.com/office/officeart/2005/8/layout/lProcess3"/>
    <dgm:cxn modelId="{B46C7505-00E0-4BEA-B53B-54D9B1EADF62}" type="presParOf" srcId="{D582BA8C-76C0-4E83-8B2C-E03672BDCB06}" destId="{F4A946F7-3B39-4160-A56A-2C089284932E}" srcOrd="3" destOrd="0" presId="urn:microsoft.com/office/officeart/2005/8/layout/lProcess3"/>
    <dgm:cxn modelId="{01DD91D7-AE1A-446A-ABE2-88C1C4191255}" type="presParOf" srcId="{D582BA8C-76C0-4E83-8B2C-E03672BDCB06}" destId="{01B31C95-6AAE-4702-94DB-D7CA2DC8A819}" srcOrd="4" destOrd="0" presId="urn:microsoft.com/office/officeart/2005/8/layout/lProcess3"/>
    <dgm:cxn modelId="{9AA9EEE2-8BED-4723-A522-FCE7A6E9D107}" type="presParOf" srcId="{45492873-4E44-4A8B-A27C-1845BE849FE9}" destId="{D28CDDA9-29B0-4622-A0DB-820F25EF0228}" srcOrd="3" destOrd="0" presId="urn:microsoft.com/office/officeart/2005/8/layout/lProcess3"/>
    <dgm:cxn modelId="{249D1EAB-8715-470E-8450-6C8452925C4C}" type="presParOf" srcId="{45492873-4E44-4A8B-A27C-1845BE849FE9}" destId="{F45A8FD5-2D8C-417C-9573-86025E24ED8B}" srcOrd="4" destOrd="0" presId="urn:microsoft.com/office/officeart/2005/8/layout/lProcess3"/>
    <dgm:cxn modelId="{6C7B4E96-A52C-4F72-9523-E58C4B25405A}" type="presParOf" srcId="{F45A8FD5-2D8C-417C-9573-86025E24ED8B}" destId="{06584C24-392D-4BC7-8B4C-D34A45E90CA9}" srcOrd="0" destOrd="0" presId="urn:microsoft.com/office/officeart/2005/8/layout/lProcess3"/>
    <dgm:cxn modelId="{AC8C9B5E-28CA-4343-B1F9-0F921C1AF72B}" type="presParOf" srcId="{F45A8FD5-2D8C-417C-9573-86025E24ED8B}" destId="{9760587D-96DC-4719-B351-A42394E6A9C6}" srcOrd="1" destOrd="0" presId="urn:microsoft.com/office/officeart/2005/8/layout/lProcess3"/>
    <dgm:cxn modelId="{4F5D1655-5EAD-4FDA-969B-CF035EC28DDE}" type="presParOf" srcId="{F45A8FD5-2D8C-417C-9573-86025E24ED8B}" destId="{DB5F774B-E55A-43EB-9D37-5DA625027F0E}" srcOrd="2" destOrd="0" presId="urn:microsoft.com/office/officeart/2005/8/layout/lProcess3"/>
    <dgm:cxn modelId="{DB1D182E-F597-4538-A2CA-46998B6211E6}" type="presParOf" srcId="{F45A8FD5-2D8C-417C-9573-86025E24ED8B}" destId="{2422B7FB-8B5F-4360-9DF4-56952309312B}" srcOrd="3" destOrd="0" presId="urn:microsoft.com/office/officeart/2005/8/layout/lProcess3"/>
    <dgm:cxn modelId="{500DE930-B280-4635-BAAD-4D61133E7504}" type="presParOf" srcId="{F45A8FD5-2D8C-417C-9573-86025E24ED8B}" destId="{1CB7E118-A11A-407A-A702-1BC5011E18DF}" srcOrd="4" destOrd="0" presId="urn:microsoft.com/office/officeart/2005/8/layout/lProcess3"/>
  </dgm:cxnLst>
  <dgm:bg/>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0A873D-862A-4564-A8CA-CAD18D6E5DAD}">
      <dsp:nvSpPr>
        <dsp:cNvPr id="0" name=""/>
        <dsp:cNvSpPr/>
      </dsp:nvSpPr>
      <dsp:spPr>
        <a:xfrm>
          <a:off x="-5901873" y="-903188"/>
          <a:ext cx="7026076" cy="7026076"/>
        </a:xfrm>
        <a:prstGeom prst="blockArc">
          <a:avLst>
            <a:gd name="adj1" fmla="val 18900000"/>
            <a:gd name="adj2" fmla="val 2700000"/>
            <a:gd name="adj3" fmla="val 307"/>
          </a:avLst>
        </a:prstGeom>
        <a:noFill/>
        <a:ln w="254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CB3CC6-2704-49FC-AE21-7C280A0565F3}">
      <dsp:nvSpPr>
        <dsp:cNvPr id="0" name=""/>
        <dsp:cNvSpPr/>
      </dsp:nvSpPr>
      <dsp:spPr>
        <a:xfrm>
          <a:off x="491331" y="254120"/>
          <a:ext cx="9226928" cy="796683"/>
        </a:xfrm>
        <a:prstGeom prst="rect">
          <a:avLst/>
        </a:prstGeom>
        <a:gradFill rotWithShape="0">
          <a:gsLst>
            <a:gs pos="0">
              <a:schemeClr val="accent4">
                <a:alpha val="90000"/>
                <a:hueOff val="0"/>
                <a:satOff val="0"/>
                <a:lumOff val="0"/>
                <a:alphaOff val="0"/>
                <a:tint val="50000"/>
                <a:satMod val="300000"/>
              </a:schemeClr>
            </a:gs>
            <a:gs pos="35000">
              <a:schemeClr val="accent4">
                <a:alpha val="90000"/>
                <a:hueOff val="0"/>
                <a:satOff val="0"/>
                <a:lumOff val="0"/>
                <a:alphaOff val="0"/>
                <a:tint val="37000"/>
                <a:satMod val="300000"/>
              </a:schemeClr>
            </a:gs>
            <a:gs pos="100000">
              <a:schemeClr val="accent4">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18058" tIns="60960" rIns="60960" bIns="60960" numCol="1" spcCol="1270" anchor="ctr" anchorCtr="0">
          <a:noAutofit/>
        </a:bodyPr>
        <a:lstStyle/>
        <a:p>
          <a:pPr lvl="0" algn="l" defTabSz="1066800">
            <a:lnSpc>
              <a:spcPct val="90000"/>
            </a:lnSpc>
            <a:spcBef>
              <a:spcPct val="0"/>
            </a:spcBef>
            <a:spcAft>
              <a:spcPct val="35000"/>
            </a:spcAft>
          </a:pPr>
          <a:r>
            <a:rPr lang="en-GB" sz="2400" b="1" kern="1200"/>
            <a:t>£0.373m </a:t>
          </a:r>
          <a:r>
            <a:rPr lang="en-GB" sz="2000" b="1" kern="1200"/>
            <a:t>underspend</a:t>
          </a:r>
          <a:r>
            <a:rPr lang="en-GB" sz="2400" b="1" kern="1200"/>
            <a:t> </a:t>
          </a:r>
          <a:r>
            <a:rPr lang="en-GB" sz="1800" kern="1200"/>
            <a:t>– Provisional outturn, a reduction of £0.546m from the month 11 overspend of £0.173m. </a:t>
          </a:r>
          <a:r>
            <a:rPr lang="en-GB" sz="2400" kern="1200"/>
            <a:t> </a:t>
          </a:r>
          <a:endParaRPr lang="en-GB" sz="1400" b="0" kern="1200"/>
        </a:p>
      </dsp:txBody>
      <dsp:txXfrm>
        <a:off x="491331" y="254120"/>
        <a:ext cx="9226928" cy="796683"/>
      </dsp:txXfrm>
    </dsp:sp>
    <dsp:sp modelId="{6276540F-8CDE-4E64-8805-62F43A068F71}">
      <dsp:nvSpPr>
        <dsp:cNvPr id="0" name=""/>
        <dsp:cNvSpPr/>
      </dsp:nvSpPr>
      <dsp:spPr>
        <a:xfrm>
          <a:off x="83412" y="244542"/>
          <a:ext cx="815839" cy="81583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alpha val="9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46AC4FF2-D322-42CA-860C-8F182344B2BA}">
      <dsp:nvSpPr>
        <dsp:cNvPr id="0" name=""/>
        <dsp:cNvSpPr/>
      </dsp:nvSpPr>
      <dsp:spPr>
        <a:xfrm>
          <a:off x="959017" y="1304820"/>
          <a:ext cx="8759243" cy="652671"/>
        </a:xfrm>
        <a:prstGeom prst="rect">
          <a:avLst/>
        </a:prstGeom>
        <a:gradFill rotWithShape="0">
          <a:gsLst>
            <a:gs pos="0">
              <a:schemeClr val="accent4">
                <a:alpha val="90000"/>
                <a:hueOff val="0"/>
                <a:satOff val="0"/>
                <a:lumOff val="0"/>
                <a:alphaOff val="-10000"/>
                <a:tint val="50000"/>
                <a:satMod val="300000"/>
              </a:schemeClr>
            </a:gs>
            <a:gs pos="35000">
              <a:schemeClr val="accent4">
                <a:alpha val="90000"/>
                <a:hueOff val="0"/>
                <a:satOff val="0"/>
                <a:lumOff val="0"/>
                <a:alphaOff val="-10000"/>
                <a:tint val="37000"/>
                <a:satMod val="300000"/>
              </a:schemeClr>
            </a:gs>
            <a:gs pos="100000">
              <a:schemeClr val="accent4">
                <a:alpha val="90000"/>
                <a:hueOff val="0"/>
                <a:satOff val="0"/>
                <a:lumOff val="0"/>
                <a:alphaOff val="-1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18058" tIns="60960" rIns="60960" bIns="60960" numCol="1" spcCol="1270" anchor="ctr" anchorCtr="0">
          <a:noAutofit/>
        </a:bodyPr>
        <a:lstStyle/>
        <a:p>
          <a:pPr lvl="0" algn="l" defTabSz="1066800">
            <a:lnSpc>
              <a:spcPct val="90000"/>
            </a:lnSpc>
            <a:spcBef>
              <a:spcPct val="0"/>
            </a:spcBef>
            <a:spcAft>
              <a:spcPct val="35000"/>
            </a:spcAft>
          </a:pPr>
          <a:r>
            <a:rPr lang="en-GB" sz="2400" b="1" kern="1200"/>
            <a:t>3,064 FTE </a:t>
          </a:r>
          <a:r>
            <a:rPr lang="en-GB" sz="1800" b="1" kern="1200"/>
            <a:t>– </a:t>
          </a:r>
          <a:r>
            <a:rPr lang="en-GB" sz="1800" kern="1200"/>
            <a:t>Police Officer strength</a:t>
          </a:r>
          <a:r>
            <a:rPr lang="en-GB" sz="1800" b="0" kern="1200"/>
            <a:t>, 61 FTE above establishment of 3,003 FTEs.</a:t>
          </a:r>
        </a:p>
      </dsp:txBody>
      <dsp:txXfrm>
        <a:off x="959017" y="1304820"/>
        <a:ext cx="8759243" cy="652671"/>
      </dsp:txXfrm>
    </dsp:sp>
    <dsp:sp modelId="{89D34A01-EB58-476B-87C3-72436BBA3693}">
      <dsp:nvSpPr>
        <dsp:cNvPr id="0" name=""/>
        <dsp:cNvSpPr/>
      </dsp:nvSpPr>
      <dsp:spPr>
        <a:xfrm>
          <a:off x="551097" y="1223236"/>
          <a:ext cx="815839" cy="81583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alpha val="90000"/>
              <a:hueOff val="0"/>
              <a:satOff val="0"/>
              <a:lumOff val="0"/>
              <a:alphaOff val="-10000"/>
            </a:schemeClr>
          </a:solidFill>
          <a:prstDash val="solid"/>
        </a:ln>
        <a:effectLst/>
      </dsp:spPr>
      <dsp:style>
        <a:lnRef idx="1">
          <a:scrgbClr r="0" g="0" b="0"/>
        </a:lnRef>
        <a:fillRef idx="2">
          <a:scrgbClr r="0" g="0" b="0"/>
        </a:fillRef>
        <a:effectRef idx="0">
          <a:scrgbClr r="0" g="0" b="0"/>
        </a:effectRef>
        <a:fontRef idx="minor"/>
      </dsp:style>
    </dsp:sp>
    <dsp:sp modelId="{27BF6B30-07BD-4BBB-9BD8-D9BEEF22C054}">
      <dsp:nvSpPr>
        <dsp:cNvPr id="0" name=""/>
        <dsp:cNvSpPr/>
      </dsp:nvSpPr>
      <dsp:spPr>
        <a:xfrm>
          <a:off x="1102558" y="2283514"/>
          <a:ext cx="8615701" cy="652671"/>
        </a:xfrm>
        <a:prstGeom prst="rect">
          <a:avLst/>
        </a:prstGeom>
        <a:gradFill rotWithShape="0">
          <a:gsLst>
            <a:gs pos="0">
              <a:schemeClr val="accent4">
                <a:alpha val="90000"/>
                <a:hueOff val="0"/>
                <a:satOff val="0"/>
                <a:lumOff val="0"/>
                <a:alphaOff val="-20000"/>
                <a:tint val="50000"/>
                <a:satMod val="300000"/>
              </a:schemeClr>
            </a:gs>
            <a:gs pos="35000">
              <a:schemeClr val="accent4">
                <a:alpha val="90000"/>
                <a:hueOff val="0"/>
                <a:satOff val="0"/>
                <a:lumOff val="0"/>
                <a:alphaOff val="-20000"/>
                <a:tint val="37000"/>
                <a:satMod val="300000"/>
              </a:schemeClr>
            </a:gs>
            <a:gs pos="100000">
              <a:schemeClr val="accent4">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18058" tIns="60960" rIns="60960" bIns="60960" numCol="1" spcCol="1270" anchor="ctr" anchorCtr="0">
          <a:noAutofit/>
        </a:bodyPr>
        <a:lstStyle/>
        <a:p>
          <a:pPr lvl="0" algn="l" defTabSz="1066800">
            <a:lnSpc>
              <a:spcPct val="90000"/>
            </a:lnSpc>
            <a:spcBef>
              <a:spcPct val="0"/>
            </a:spcBef>
            <a:spcAft>
              <a:spcPct val="35000"/>
            </a:spcAft>
          </a:pPr>
          <a:r>
            <a:rPr lang="en-GB" sz="2400" b="1" kern="1200"/>
            <a:t>£9.226m – </a:t>
          </a:r>
          <a:r>
            <a:rPr lang="en-GB" sz="1800" kern="1200"/>
            <a:t>Provisional General Reserve balance, a net reduction of £0.295m during 2018/19.</a:t>
          </a:r>
          <a:endParaRPr lang="en-GB" sz="1800" b="0" kern="1200"/>
        </a:p>
      </dsp:txBody>
      <dsp:txXfrm>
        <a:off x="1102558" y="2283514"/>
        <a:ext cx="8615701" cy="652671"/>
      </dsp:txXfrm>
    </dsp:sp>
    <dsp:sp modelId="{06C587B5-2963-4AD9-927F-9449961430C6}">
      <dsp:nvSpPr>
        <dsp:cNvPr id="0" name=""/>
        <dsp:cNvSpPr/>
      </dsp:nvSpPr>
      <dsp:spPr>
        <a:xfrm>
          <a:off x="694639" y="2201930"/>
          <a:ext cx="815839" cy="81583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alpha val="90000"/>
              <a:hueOff val="0"/>
              <a:satOff val="0"/>
              <a:lumOff val="0"/>
              <a:alphaOff val="-20000"/>
            </a:schemeClr>
          </a:solidFill>
          <a:prstDash val="solid"/>
        </a:ln>
        <a:effectLst/>
      </dsp:spPr>
      <dsp:style>
        <a:lnRef idx="1">
          <a:scrgbClr r="0" g="0" b="0"/>
        </a:lnRef>
        <a:fillRef idx="2">
          <a:scrgbClr r="0" g="0" b="0"/>
        </a:fillRef>
        <a:effectRef idx="0">
          <a:scrgbClr r="0" g="0" b="0"/>
        </a:effectRef>
        <a:fontRef idx="minor"/>
      </dsp:style>
    </dsp:sp>
    <dsp:sp modelId="{9D7D37DF-F1FE-4428-A4A2-D92514F5E42D}">
      <dsp:nvSpPr>
        <dsp:cNvPr id="0" name=""/>
        <dsp:cNvSpPr/>
      </dsp:nvSpPr>
      <dsp:spPr>
        <a:xfrm>
          <a:off x="959017" y="3262208"/>
          <a:ext cx="8759243" cy="652671"/>
        </a:xfrm>
        <a:prstGeom prst="rect">
          <a:avLst/>
        </a:prstGeom>
        <a:solidFill>
          <a:srgbClr val="FFFFC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18058" tIns="60960" rIns="60960" bIns="60960" numCol="1" spcCol="1270" anchor="ctr" anchorCtr="0">
          <a:noAutofit/>
        </a:bodyPr>
        <a:lstStyle/>
        <a:p>
          <a:pPr lvl="0" algn="l" defTabSz="1066800">
            <a:lnSpc>
              <a:spcPct val="90000"/>
            </a:lnSpc>
            <a:spcBef>
              <a:spcPct val="0"/>
            </a:spcBef>
            <a:spcAft>
              <a:spcPct val="35000"/>
            </a:spcAft>
          </a:pPr>
          <a:r>
            <a:rPr lang="en-GB" sz="2400" b="1" kern="1200"/>
            <a:t>£7.324m surplus </a:t>
          </a:r>
          <a:r>
            <a:rPr lang="en-GB" sz="1600" kern="1200"/>
            <a:t>- The provisional year end balance on the Capital Reserve.  </a:t>
          </a:r>
        </a:p>
      </dsp:txBody>
      <dsp:txXfrm>
        <a:off x="959017" y="3262208"/>
        <a:ext cx="8759243" cy="652671"/>
      </dsp:txXfrm>
    </dsp:sp>
    <dsp:sp modelId="{6005493A-EA09-4123-91C4-B934A0329E32}">
      <dsp:nvSpPr>
        <dsp:cNvPr id="0" name=""/>
        <dsp:cNvSpPr/>
      </dsp:nvSpPr>
      <dsp:spPr>
        <a:xfrm>
          <a:off x="564012" y="3211846"/>
          <a:ext cx="815839" cy="81583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alpha val="90000"/>
              <a:hueOff val="0"/>
              <a:satOff val="0"/>
              <a:lumOff val="0"/>
              <a:alphaOff val="-30000"/>
            </a:schemeClr>
          </a:solidFill>
          <a:prstDash val="solid"/>
        </a:ln>
        <a:effectLst/>
      </dsp:spPr>
      <dsp:style>
        <a:lnRef idx="1">
          <a:scrgbClr r="0" g="0" b="0"/>
        </a:lnRef>
        <a:fillRef idx="2">
          <a:scrgbClr r="0" g="0" b="0"/>
        </a:fillRef>
        <a:effectRef idx="0">
          <a:scrgbClr r="0" g="0" b="0"/>
        </a:effectRef>
        <a:fontRef idx="minor"/>
      </dsp:style>
    </dsp:sp>
    <dsp:sp modelId="{FD0474DC-FF4A-42C5-99A9-192E5F3BD4A3}">
      <dsp:nvSpPr>
        <dsp:cNvPr id="0" name=""/>
        <dsp:cNvSpPr/>
      </dsp:nvSpPr>
      <dsp:spPr>
        <a:xfrm>
          <a:off x="491331" y="4240901"/>
          <a:ext cx="9226928" cy="652671"/>
        </a:xfrm>
        <a:prstGeom prst="rect">
          <a:avLst/>
        </a:prstGeom>
        <a:solidFill>
          <a:srgbClr val="FFFFCC"/>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18058" tIns="60960" rIns="60960" bIns="60960" numCol="1" spcCol="1270" anchor="ctr" anchorCtr="0">
          <a:noAutofit/>
        </a:bodyPr>
        <a:lstStyle/>
        <a:p>
          <a:pPr lvl="0" algn="l" defTabSz="1066800">
            <a:lnSpc>
              <a:spcPct val="90000"/>
            </a:lnSpc>
            <a:spcBef>
              <a:spcPct val="0"/>
            </a:spcBef>
            <a:spcAft>
              <a:spcPct val="35000"/>
            </a:spcAft>
          </a:pPr>
          <a:r>
            <a:rPr lang="en-GB" sz="2400" b="1" kern="1200"/>
            <a:t>£8.178m </a:t>
          </a:r>
          <a:r>
            <a:rPr lang="en-GB" sz="1600" kern="1200"/>
            <a:t>provisional capital expenditure and </a:t>
          </a:r>
          <a:r>
            <a:rPr lang="en-GB" sz="2400" b="1" kern="1200"/>
            <a:t>£14.849m </a:t>
          </a:r>
          <a:r>
            <a:rPr lang="en-GB" sz="1600" kern="1200"/>
            <a:t>provisional capital income </a:t>
          </a:r>
          <a:endParaRPr lang="en-GB" sz="1600" i="1" kern="1200"/>
        </a:p>
      </dsp:txBody>
      <dsp:txXfrm>
        <a:off x="491331" y="4240901"/>
        <a:ext cx="9226928" cy="652671"/>
      </dsp:txXfrm>
    </dsp:sp>
    <dsp:sp modelId="{32914868-00D6-40A3-B9F5-7741745E473F}">
      <dsp:nvSpPr>
        <dsp:cNvPr id="0" name=""/>
        <dsp:cNvSpPr/>
      </dsp:nvSpPr>
      <dsp:spPr>
        <a:xfrm>
          <a:off x="0" y="4116731"/>
          <a:ext cx="815839" cy="815839"/>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alpha val="90000"/>
              <a:hueOff val="0"/>
              <a:satOff val="0"/>
              <a:lumOff val="0"/>
              <a:alphaOff val="-4000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584C24-392D-4BC7-8B4C-D34A45E90CA9}">
      <dsp:nvSpPr>
        <dsp:cNvPr id="0" name=""/>
        <dsp:cNvSpPr/>
      </dsp:nvSpPr>
      <dsp:spPr>
        <a:xfrm>
          <a:off x="4626" y="148001"/>
          <a:ext cx="1820630" cy="904008"/>
        </a:xfrm>
        <a:prstGeom prst="chevron">
          <a:avLst/>
        </a:prstGeom>
        <a:solidFill>
          <a:schemeClr val="accent2">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rPr>
            <a:t>OPC</a:t>
          </a:r>
        </a:p>
        <a:p>
          <a:pPr lvl="0" algn="ctr" defTabSz="622300">
            <a:lnSpc>
              <a:spcPct val="90000"/>
            </a:lnSpc>
            <a:spcBef>
              <a:spcPct val="0"/>
            </a:spcBef>
            <a:spcAft>
              <a:spcPct val="35000"/>
            </a:spcAft>
          </a:pPr>
          <a:r>
            <a:rPr lang="en-GB" sz="1400" b="1" kern="1200">
              <a:solidFill>
                <a:sysClr val="windowText" lastClr="000000"/>
              </a:solidFill>
            </a:rPr>
            <a:t>£145k</a:t>
          </a:r>
        </a:p>
      </dsp:txBody>
      <dsp:txXfrm>
        <a:off x="456630" y="148001"/>
        <a:ext cx="916622" cy="904008"/>
      </dsp:txXfrm>
    </dsp:sp>
    <dsp:sp modelId="{DB5F774B-E55A-43EB-9D37-5DA625027F0E}">
      <dsp:nvSpPr>
        <dsp:cNvPr id="0" name=""/>
        <dsp:cNvSpPr/>
      </dsp:nvSpPr>
      <dsp:spPr>
        <a:xfrm>
          <a:off x="1588575" y="145756"/>
          <a:ext cx="5312823" cy="908499"/>
        </a:xfrm>
        <a:prstGeom prst="chevron">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Overspend relates to manadatory staffing-up to cover firearms STRA requirements, high roads policing costs due to high KSI rate and extra firearms training costs due to the requirements for external firing range use.</a:t>
          </a:r>
        </a:p>
      </dsp:txBody>
      <dsp:txXfrm>
        <a:off x="2042825" y="145756"/>
        <a:ext cx="4404324" cy="908499"/>
      </dsp:txXfrm>
    </dsp:sp>
    <dsp:sp modelId="{1CB7E118-A11A-407A-A702-1BC5011E18DF}">
      <dsp:nvSpPr>
        <dsp:cNvPr id="0" name=""/>
        <dsp:cNvSpPr/>
      </dsp:nvSpPr>
      <dsp:spPr>
        <a:xfrm>
          <a:off x="6689841" y="145756"/>
          <a:ext cx="2478106" cy="908499"/>
        </a:xfrm>
        <a:prstGeom prst="chevron">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 Firearms STRA levels being reviewed</a:t>
          </a:r>
        </a:p>
        <a:p>
          <a:pPr lvl="0" algn="l" defTabSz="466725">
            <a:lnSpc>
              <a:spcPct val="90000"/>
            </a:lnSpc>
            <a:spcBef>
              <a:spcPct val="0"/>
            </a:spcBef>
            <a:spcAft>
              <a:spcPct val="35000"/>
            </a:spcAft>
          </a:pPr>
          <a:r>
            <a:rPr lang="en-GB" sz="1050" kern="1200"/>
            <a:t>- Precept growth in roads policing in 2019/20</a:t>
          </a:r>
        </a:p>
        <a:p>
          <a:pPr lvl="0" algn="l" defTabSz="466725">
            <a:lnSpc>
              <a:spcPct val="90000"/>
            </a:lnSpc>
            <a:spcBef>
              <a:spcPct val="0"/>
            </a:spcBef>
            <a:spcAft>
              <a:spcPct val="35000"/>
            </a:spcAft>
          </a:pPr>
          <a:r>
            <a:rPr lang="en-GB" sz="1050" kern="1200"/>
            <a:t> </a:t>
          </a:r>
        </a:p>
      </dsp:txBody>
      <dsp:txXfrm>
        <a:off x="7144091" y="145756"/>
        <a:ext cx="1569607" cy="908499"/>
      </dsp:txXfrm>
    </dsp:sp>
    <dsp:sp modelId="{2C3C3626-ED53-4B2D-89C8-3CDE190BD686}">
      <dsp:nvSpPr>
        <dsp:cNvPr id="0" name=""/>
        <dsp:cNvSpPr/>
      </dsp:nvSpPr>
      <dsp:spPr>
        <a:xfrm>
          <a:off x="4626" y="1156211"/>
          <a:ext cx="1820630" cy="904008"/>
        </a:xfrm>
        <a:prstGeom prst="chevron">
          <a:avLst/>
        </a:prstGeom>
        <a:solidFill>
          <a:schemeClr val="accent2">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n-GB" sz="1400" b="1" kern="1200">
              <a:solidFill>
                <a:sysClr val="windowText" lastClr="000000"/>
              </a:solidFill>
            </a:rPr>
            <a:t>Criminal Justice Command</a:t>
          </a:r>
        </a:p>
        <a:p>
          <a:pPr lvl="0" algn="ctr" defTabSz="622300">
            <a:lnSpc>
              <a:spcPct val="90000"/>
            </a:lnSpc>
            <a:spcBef>
              <a:spcPct val="0"/>
            </a:spcBef>
            <a:spcAft>
              <a:spcPct val="35000"/>
            </a:spcAft>
          </a:pPr>
          <a:r>
            <a:rPr lang="en-GB" sz="1400" b="1" kern="1200">
              <a:solidFill>
                <a:sysClr val="windowText" lastClr="000000"/>
              </a:solidFill>
            </a:rPr>
            <a:t>£122k</a:t>
          </a:r>
        </a:p>
      </dsp:txBody>
      <dsp:txXfrm>
        <a:off x="456630" y="1156211"/>
        <a:ext cx="916622" cy="904008"/>
      </dsp:txXfrm>
    </dsp:sp>
    <dsp:sp modelId="{E2051110-7FBA-47B1-AFAE-D51A144C0443}">
      <dsp:nvSpPr>
        <dsp:cNvPr id="0" name=""/>
        <dsp:cNvSpPr/>
      </dsp:nvSpPr>
      <dsp:spPr>
        <a:xfrm>
          <a:off x="1588575" y="1163712"/>
          <a:ext cx="5312823" cy="889006"/>
        </a:xfrm>
        <a:prstGeom prst="chevron">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Due to the size of the LPA Custody Sergeant cohort, minimum custody staffing levels are being maintained via overtime.  This issue also has an impact on LPA overtime and resources and contributes to LPA overtime overspends.</a:t>
          </a:r>
        </a:p>
      </dsp:txBody>
      <dsp:txXfrm>
        <a:off x="2033078" y="1163712"/>
        <a:ext cx="4423817" cy="889006"/>
      </dsp:txXfrm>
    </dsp:sp>
    <dsp:sp modelId="{01B31C95-6AAE-4702-94DB-D7CA2DC8A819}">
      <dsp:nvSpPr>
        <dsp:cNvPr id="0" name=""/>
        <dsp:cNvSpPr/>
      </dsp:nvSpPr>
      <dsp:spPr>
        <a:xfrm>
          <a:off x="6689841" y="1163712"/>
          <a:ext cx="2478106" cy="889006"/>
        </a:xfrm>
        <a:prstGeom prst="chevron">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This process is being reviewed with the expectation that overtime levels will begin to fall in future months.</a:t>
          </a:r>
        </a:p>
      </dsp:txBody>
      <dsp:txXfrm>
        <a:off x="7134344" y="1163712"/>
        <a:ext cx="1589100" cy="889006"/>
      </dsp:txXfrm>
    </dsp:sp>
    <dsp:sp modelId="{00F544FA-5896-41D4-83FB-EA5C702A47B3}">
      <dsp:nvSpPr>
        <dsp:cNvPr id="0" name=""/>
        <dsp:cNvSpPr/>
      </dsp:nvSpPr>
      <dsp:spPr>
        <a:xfrm>
          <a:off x="4626" y="2162175"/>
          <a:ext cx="1820630" cy="930568"/>
        </a:xfrm>
        <a:prstGeom prst="chevron">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9525" rIns="0" bIns="9525" numCol="1" spcCol="1270" anchor="ctr" anchorCtr="0">
          <a:noAutofit/>
        </a:bodyPr>
        <a:lstStyle/>
        <a:p>
          <a:pPr lvl="0" algn="ctr" defTabSz="666750">
            <a:lnSpc>
              <a:spcPct val="90000"/>
            </a:lnSpc>
            <a:spcBef>
              <a:spcPct val="0"/>
            </a:spcBef>
            <a:spcAft>
              <a:spcPct val="35000"/>
            </a:spcAft>
          </a:pPr>
          <a:r>
            <a:rPr lang="en-GB" sz="1500" b="1" kern="1200">
              <a:solidFill>
                <a:sysClr val="windowText" lastClr="000000"/>
              </a:solidFill>
            </a:rPr>
            <a:t>LPA North</a:t>
          </a:r>
        </a:p>
        <a:p>
          <a:pPr lvl="0" algn="ctr" defTabSz="666750">
            <a:lnSpc>
              <a:spcPct val="90000"/>
            </a:lnSpc>
            <a:spcBef>
              <a:spcPct val="0"/>
            </a:spcBef>
            <a:spcAft>
              <a:spcPct val="35000"/>
            </a:spcAft>
          </a:pPr>
          <a:r>
            <a:rPr lang="en-GB" sz="1500" b="1" kern="1200">
              <a:solidFill>
                <a:sysClr val="windowText" lastClr="000000"/>
              </a:solidFill>
            </a:rPr>
            <a:t>£84k</a:t>
          </a:r>
        </a:p>
      </dsp:txBody>
      <dsp:txXfrm>
        <a:off x="469910" y="2162175"/>
        <a:ext cx="890062" cy="930568"/>
      </dsp:txXfrm>
    </dsp:sp>
    <dsp:sp modelId="{D3CE666A-313B-41FA-95B8-0406B8DB1FE5}">
      <dsp:nvSpPr>
        <dsp:cNvPr id="0" name=""/>
        <dsp:cNvSpPr/>
      </dsp:nvSpPr>
      <dsp:spPr>
        <a:xfrm>
          <a:off x="1588575" y="2182959"/>
          <a:ext cx="5312823" cy="889000"/>
        </a:xfrm>
        <a:prstGeom prst="chevron">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Due to the high number of non operationally deployable probationers at the college, the overtime demand has increased due to the need to maintain minimun operational capability. </a:t>
          </a:r>
          <a:endParaRPr lang="en-GB" sz="1050" kern="1200">
            <a:latin typeface="+mn-lt"/>
          </a:endParaRPr>
        </a:p>
      </dsp:txBody>
      <dsp:txXfrm>
        <a:off x="2033075" y="2182959"/>
        <a:ext cx="4423823" cy="889000"/>
      </dsp:txXfrm>
    </dsp:sp>
    <dsp:sp modelId="{B95893AB-0C7B-40FA-BDFB-59F20F5A9FF8}">
      <dsp:nvSpPr>
        <dsp:cNvPr id="0" name=""/>
        <dsp:cNvSpPr/>
      </dsp:nvSpPr>
      <dsp:spPr>
        <a:xfrm>
          <a:off x="6689841" y="2182959"/>
          <a:ext cx="2478106" cy="889000"/>
        </a:xfrm>
        <a:prstGeom prst="chevron">
          <a:avLst/>
        </a:prstGeom>
        <a:solidFill>
          <a:schemeClr val="accent2">
            <a:alpha val="90000"/>
            <a:tint val="40000"/>
            <a:hueOff val="0"/>
            <a:satOff val="0"/>
            <a:lumOff val="0"/>
            <a:alphaOff val="0"/>
          </a:schemeClr>
        </a:solidFill>
        <a:ln w="25400" cap="flat" cmpd="sng" algn="ctr">
          <a:solidFill>
            <a:schemeClr val="accent2">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As probationers finish their initial training and become deployable, the overtime burden should start to reduce.</a:t>
          </a:r>
          <a:endParaRPr lang="en-GB" sz="1050" kern="1200">
            <a:latin typeface="+mn-lt"/>
          </a:endParaRPr>
        </a:p>
      </dsp:txBody>
      <dsp:txXfrm>
        <a:off x="7134341" y="2182959"/>
        <a:ext cx="1589106" cy="8890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20BF6-2CCE-4452-8072-32E091C7F620}">
      <dsp:nvSpPr>
        <dsp:cNvPr id="0" name=""/>
        <dsp:cNvSpPr/>
      </dsp:nvSpPr>
      <dsp:spPr>
        <a:xfrm>
          <a:off x="4485" y="195666"/>
          <a:ext cx="1764795" cy="876284"/>
        </a:xfrm>
        <a:prstGeom prst="chevron">
          <a:avLst/>
        </a:prstGeom>
        <a:solidFill>
          <a:srgbClr val="C0504D">
            <a:hueOff val="0"/>
            <a:satOff val="0"/>
            <a:lumOff val="0"/>
            <a:alpha val="9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GB" sz="1300" b="1" kern="1200">
              <a:solidFill>
                <a:sysClr val="windowText" lastClr="000000"/>
              </a:solidFill>
              <a:latin typeface="Calibri"/>
              <a:ea typeface="+mn-ea"/>
              <a:cs typeface="+mn-cs"/>
            </a:rPr>
            <a:t>OPC</a:t>
          </a:r>
        </a:p>
        <a:p>
          <a:pPr lvl="0" algn="ctr" defTabSz="577850">
            <a:lnSpc>
              <a:spcPct val="90000"/>
            </a:lnSpc>
            <a:spcBef>
              <a:spcPct val="0"/>
            </a:spcBef>
            <a:spcAft>
              <a:spcPct val="35000"/>
            </a:spcAft>
          </a:pPr>
          <a:r>
            <a:rPr lang="en-GB" sz="1300" b="1" kern="1200">
              <a:solidFill>
                <a:sysClr val="windowText" lastClr="000000"/>
              </a:solidFill>
              <a:latin typeface="Calibri"/>
              <a:ea typeface="+mn-ea"/>
              <a:cs typeface="+mn-cs"/>
            </a:rPr>
            <a:t>£35k</a:t>
          </a:r>
        </a:p>
      </dsp:txBody>
      <dsp:txXfrm>
        <a:off x="442627" y="195666"/>
        <a:ext cx="888511" cy="876284"/>
      </dsp:txXfrm>
    </dsp:sp>
    <dsp:sp modelId="{D3CE666A-313B-41FA-95B8-0406B8DB1FE5}">
      <dsp:nvSpPr>
        <dsp:cNvPr id="0" name=""/>
        <dsp:cNvSpPr/>
      </dsp:nvSpPr>
      <dsp:spPr>
        <a:xfrm>
          <a:off x="1539857" y="224561"/>
          <a:ext cx="5149889" cy="818495"/>
        </a:xfrm>
        <a:prstGeom prst="chevron">
          <a:avLst/>
        </a:prstGeo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Overspend relates to the clearing of backlogs in the Firearms Licensing team, tied in to the cycle of firearms certificate renewals.</a:t>
          </a:r>
        </a:p>
      </dsp:txBody>
      <dsp:txXfrm>
        <a:off x="1949105" y="224561"/>
        <a:ext cx="4331394" cy="818495"/>
      </dsp:txXfrm>
    </dsp:sp>
    <dsp:sp modelId="{B95893AB-0C7B-40FA-BDFB-59F20F5A9FF8}">
      <dsp:nvSpPr>
        <dsp:cNvPr id="0" name=""/>
        <dsp:cNvSpPr/>
      </dsp:nvSpPr>
      <dsp:spPr>
        <a:xfrm>
          <a:off x="6484677" y="224561"/>
          <a:ext cx="2402107" cy="818495"/>
        </a:xfrm>
        <a:prstGeom prst="chevron">
          <a:avLst/>
        </a:prstGeo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This cyclical activity is offset in part by income generation for renewal of firearm certificates.</a:t>
          </a:r>
        </a:p>
      </dsp:txBody>
      <dsp:txXfrm>
        <a:off x="6893925" y="224561"/>
        <a:ext cx="1583612" cy="818495"/>
      </dsp:txXfrm>
    </dsp:sp>
    <dsp:sp modelId="{2C3C3626-ED53-4B2D-89C8-3CDE190BD686}">
      <dsp:nvSpPr>
        <dsp:cNvPr id="0" name=""/>
        <dsp:cNvSpPr/>
      </dsp:nvSpPr>
      <dsp:spPr>
        <a:xfrm>
          <a:off x="4485" y="1170779"/>
          <a:ext cx="1764795" cy="876284"/>
        </a:xfrm>
        <a:prstGeom prst="chevron">
          <a:avLst/>
        </a:prstGeom>
        <a:solidFill>
          <a:srgbClr val="C0504D">
            <a:hueOff val="0"/>
            <a:satOff val="0"/>
            <a:lumOff val="0"/>
            <a:alpha val="7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GB" sz="1300" b="1" kern="1200">
              <a:solidFill>
                <a:sysClr val="windowText" lastClr="000000"/>
              </a:solidFill>
            </a:rPr>
            <a:t>Criminal Justice Command</a:t>
          </a:r>
          <a:endParaRPr lang="en-GB" sz="1300" kern="1200">
            <a:solidFill>
              <a:sysClr val="windowText" lastClr="000000"/>
            </a:solidFill>
          </a:endParaRPr>
        </a:p>
        <a:p>
          <a:pPr lvl="0" algn="ctr" defTabSz="577850">
            <a:lnSpc>
              <a:spcPct val="90000"/>
            </a:lnSpc>
            <a:spcBef>
              <a:spcPct val="0"/>
            </a:spcBef>
            <a:spcAft>
              <a:spcPct val="35000"/>
            </a:spcAft>
          </a:pPr>
          <a:r>
            <a:rPr lang="en-GB" sz="1300" b="1" kern="1200">
              <a:solidFill>
                <a:sysClr val="windowText" lastClr="000000"/>
              </a:solidFill>
            </a:rPr>
            <a:t>£31k</a:t>
          </a:r>
          <a:endParaRPr lang="en-GB" sz="1300" b="1" kern="1200">
            <a:solidFill>
              <a:sysClr val="windowText" lastClr="000000"/>
            </a:solidFill>
            <a:latin typeface="Calibri"/>
            <a:ea typeface="+mn-ea"/>
            <a:cs typeface="+mn-cs"/>
          </a:endParaRPr>
        </a:p>
      </dsp:txBody>
      <dsp:txXfrm>
        <a:off x="442627" y="1170779"/>
        <a:ext cx="888511" cy="876284"/>
      </dsp:txXfrm>
    </dsp:sp>
    <dsp:sp modelId="{E2051110-7FBA-47B1-AFAE-D51A144C0443}">
      <dsp:nvSpPr>
        <dsp:cNvPr id="0" name=""/>
        <dsp:cNvSpPr/>
      </dsp:nvSpPr>
      <dsp:spPr>
        <a:xfrm>
          <a:off x="1539857" y="1187982"/>
          <a:ext cx="5149889" cy="841879"/>
        </a:xfrm>
        <a:prstGeom prst="chevron">
          <a:avLst/>
        </a:prstGeo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Overspend due to Detention Officers vacancies and corrections required to the weekend remand in custody files before they can be handed over to the CPS. </a:t>
          </a:r>
          <a:endParaRPr lang="en-GB" sz="1050" kern="1200">
            <a:solidFill>
              <a:sysClr val="windowText" lastClr="000000">
                <a:hueOff val="0"/>
                <a:satOff val="0"/>
                <a:lumOff val="0"/>
                <a:alphaOff val="0"/>
              </a:sysClr>
            </a:solidFill>
            <a:latin typeface="Calibri"/>
            <a:ea typeface="+mn-ea"/>
            <a:cs typeface="+mn-cs"/>
          </a:endParaRPr>
        </a:p>
      </dsp:txBody>
      <dsp:txXfrm>
        <a:off x="1960797" y="1187982"/>
        <a:ext cx="4308010" cy="841879"/>
      </dsp:txXfrm>
    </dsp:sp>
    <dsp:sp modelId="{01B31C95-6AAE-4702-94DB-D7CA2DC8A819}">
      <dsp:nvSpPr>
        <dsp:cNvPr id="0" name=""/>
        <dsp:cNvSpPr/>
      </dsp:nvSpPr>
      <dsp:spPr>
        <a:xfrm>
          <a:off x="6484677" y="1187982"/>
          <a:ext cx="2402107" cy="841879"/>
        </a:xfrm>
        <a:prstGeom prst="chevron">
          <a:avLst/>
        </a:prstGeo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Variance offset by underspends against staff pay budgets.</a:t>
          </a:r>
        </a:p>
      </dsp:txBody>
      <dsp:txXfrm>
        <a:off x="6905617" y="1187982"/>
        <a:ext cx="1560228" cy="841879"/>
      </dsp:txXfrm>
    </dsp:sp>
    <dsp:sp modelId="{06584C24-392D-4BC7-8B4C-D34A45E90CA9}">
      <dsp:nvSpPr>
        <dsp:cNvPr id="0" name=""/>
        <dsp:cNvSpPr/>
      </dsp:nvSpPr>
      <dsp:spPr>
        <a:xfrm>
          <a:off x="4485" y="2163945"/>
          <a:ext cx="1764795" cy="857944"/>
        </a:xfrm>
        <a:prstGeom prst="chevron">
          <a:avLst/>
        </a:prstGeom>
        <a:solidFill>
          <a:srgbClr val="C0504D">
            <a:hueOff val="0"/>
            <a:satOff val="0"/>
            <a:lumOff val="0"/>
            <a:alpha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GB" sz="1300" b="1" kern="1200">
              <a:solidFill>
                <a:sysClr val="windowText" lastClr="000000"/>
              </a:solidFill>
            </a:rPr>
            <a:t>Serious Crime Directorate</a:t>
          </a:r>
          <a:endParaRPr lang="en-GB" sz="1300" kern="1200">
            <a:solidFill>
              <a:sysClr val="windowText" lastClr="000000"/>
            </a:solidFill>
          </a:endParaRPr>
        </a:p>
        <a:p>
          <a:pPr lvl="0" algn="ctr" defTabSz="577850">
            <a:lnSpc>
              <a:spcPct val="90000"/>
            </a:lnSpc>
            <a:spcBef>
              <a:spcPct val="0"/>
            </a:spcBef>
            <a:spcAft>
              <a:spcPct val="35000"/>
            </a:spcAft>
          </a:pPr>
          <a:r>
            <a:rPr lang="en-GB" sz="1300" b="1" kern="1200">
              <a:solidFill>
                <a:sysClr val="windowText" lastClr="000000"/>
              </a:solidFill>
            </a:rPr>
            <a:t>£21k</a:t>
          </a:r>
          <a:endParaRPr lang="en-GB" sz="1300" b="1" kern="1200">
            <a:solidFill>
              <a:sysClr val="windowText" lastClr="000000"/>
            </a:solidFill>
            <a:latin typeface="Calibri"/>
            <a:ea typeface="+mn-ea"/>
            <a:cs typeface="+mn-cs"/>
          </a:endParaRPr>
        </a:p>
      </dsp:txBody>
      <dsp:txXfrm>
        <a:off x="433457" y="2163945"/>
        <a:ext cx="906851" cy="857944"/>
      </dsp:txXfrm>
    </dsp:sp>
    <dsp:sp modelId="{DB5F774B-E55A-43EB-9D37-5DA625027F0E}">
      <dsp:nvSpPr>
        <dsp:cNvPr id="0" name=""/>
        <dsp:cNvSpPr/>
      </dsp:nvSpPr>
      <dsp:spPr>
        <a:xfrm>
          <a:off x="1486692" y="2156492"/>
          <a:ext cx="5149889" cy="872850"/>
        </a:xfrm>
        <a:prstGeom prst="chevron">
          <a:avLst/>
        </a:prstGeo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t>Overspend due to high vacancies and demand in the Major Crime teams as well as increased recharges from Kent Police.</a:t>
          </a:r>
          <a:endParaRPr lang="en-GB" sz="1050" kern="1200">
            <a:solidFill>
              <a:sysClr val="windowText" lastClr="000000">
                <a:hueOff val="0"/>
                <a:satOff val="0"/>
                <a:lumOff val="0"/>
                <a:alphaOff val="0"/>
              </a:sysClr>
            </a:solidFill>
            <a:latin typeface="Calibri"/>
            <a:ea typeface="+mn-ea"/>
            <a:cs typeface="+mn-cs"/>
          </a:endParaRPr>
        </a:p>
      </dsp:txBody>
      <dsp:txXfrm>
        <a:off x="1923117" y="2156492"/>
        <a:ext cx="4277039" cy="872850"/>
      </dsp:txXfrm>
    </dsp:sp>
    <dsp:sp modelId="{1CB7E118-A11A-407A-A702-1BC5011E18DF}">
      <dsp:nvSpPr>
        <dsp:cNvPr id="0" name=""/>
        <dsp:cNvSpPr/>
      </dsp:nvSpPr>
      <dsp:spPr>
        <a:xfrm>
          <a:off x="6484677" y="2145892"/>
          <a:ext cx="2402107" cy="894049"/>
        </a:xfrm>
        <a:prstGeom prst="chevron">
          <a:avLst/>
        </a:prstGeom>
        <a:solidFill>
          <a:srgbClr val="C0504D">
            <a:alpha val="90000"/>
            <a:tint val="40000"/>
            <a:hueOff val="0"/>
            <a:satOff val="0"/>
            <a:lumOff val="0"/>
            <a:alphaOff val="0"/>
          </a:srgbClr>
        </a:solidFill>
        <a:ln w="25400" cap="flat" cmpd="sng" algn="ctr">
          <a:solidFill>
            <a:srgbClr val="C0504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l" defTabSz="466725">
            <a:lnSpc>
              <a:spcPct val="90000"/>
            </a:lnSpc>
            <a:spcBef>
              <a:spcPct val="0"/>
            </a:spcBef>
            <a:spcAft>
              <a:spcPct val="35000"/>
            </a:spcAft>
          </a:pPr>
          <a:r>
            <a:rPr lang="en-GB" sz="1050" kern="1200">
              <a:solidFill>
                <a:sysClr val="windowText" lastClr="000000">
                  <a:hueOff val="0"/>
                  <a:satOff val="0"/>
                  <a:lumOff val="0"/>
                  <a:alphaOff val="0"/>
                </a:sysClr>
              </a:solidFill>
              <a:latin typeface="Calibri"/>
              <a:ea typeface="+mn-ea"/>
              <a:cs typeface="+mn-cs"/>
            </a:rPr>
            <a:t>Variance offset by underspends against staff pay budgets.</a:t>
          </a:r>
          <a:endParaRPr lang="en-GB" sz="1050" b="0" kern="1200">
            <a:solidFill>
              <a:sysClr val="windowText" lastClr="000000"/>
            </a:solidFill>
            <a:latin typeface="Calibri"/>
            <a:ea typeface="+mn-ea"/>
            <a:cs typeface="+mn-cs"/>
          </a:endParaRPr>
        </a:p>
      </dsp:txBody>
      <dsp:txXfrm>
        <a:off x="6931702" y="2145892"/>
        <a:ext cx="1508058" cy="894049"/>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CE039-D4A3-4DDD-A763-64F6AAC05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882</Words>
  <Characters>5033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The James Cook, Management Accounting, ext 150180</dc:creator>
  <cp:lastModifiedBy>Anna Hook 42078328</cp:lastModifiedBy>
  <cp:revision>2</cp:revision>
  <cp:lastPrinted>2019-02-19T16:07:00Z</cp:lastPrinted>
  <dcterms:created xsi:type="dcterms:W3CDTF">2019-05-17T14:06:00Z</dcterms:created>
  <dcterms:modified xsi:type="dcterms:W3CDTF">2019-05-17T14:06:00Z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7161</vt:lpwstr>
  </property>
  <property fmtid="{D5CDD505-2E9C-101B-9397-08002B2CF9AE}" pid="3" name="Protective Marking">
    <vt:lpwstr>NOT PROTECTIVELY MARKED</vt:lpwstr>
  </property>
  <property fmtid="{D5CDD505-2E9C-101B-9397-08002B2CF9AE}" pid="4" name="Descriptor">
    <vt:lpwstr/>
  </property>
</Properties>
</file>