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022E" w14:textId="63612C30" w:rsidR="00252007" w:rsidRDefault="00252007" w:rsidP="00732032">
      <w:r>
        <w:rPr>
          <w:noProof/>
          <w:lang w:eastAsia="en-GB"/>
        </w:rPr>
        <w:drawing>
          <wp:anchor distT="0" distB="0" distL="114300" distR="114300" simplePos="0" relativeHeight="251658752" behindDoc="0" locked="0" layoutInCell="1" allowOverlap="1" wp14:anchorId="57720A0C" wp14:editId="2265D0BE">
            <wp:simplePos x="0" y="0"/>
            <wp:positionH relativeFrom="column">
              <wp:posOffset>-8890</wp:posOffset>
            </wp:positionH>
            <wp:positionV relativeFrom="paragraph">
              <wp:posOffset>-259715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C15C1" w14:textId="77777777" w:rsidR="00252007" w:rsidRDefault="00252007" w:rsidP="00732032"/>
    <w:p w14:paraId="18C819ED" w14:textId="658EA9D7" w:rsidR="00252007" w:rsidRDefault="00252007" w:rsidP="00732032">
      <w:r>
        <w:rPr>
          <w:noProof/>
          <w:lang w:eastAsia="en-GB"/>
        </w:rPr>
        <mc:AlternateContent>
          <mc:Choice Requires="wps">
            <w:drawing>
              <wp:anchor distT="0" distB="0" distL="114300" distR="114300" simplePos="0" relativeHeight="251659776" behindDoc="0" locked="0" layoutInCell="1" allowOverlap="1" wp14:anchorId="36925C57" wp14:editId="0565B48D">
                <wp:simplePos x="0" y="0"/>
                <wp:positionH relativeFrom="column">
                  <wp:posOffset>76200</wp:posOffset>
                </wp:positionH>
                <wp:positionV relativeFrom="paragraph">
                  <wp:posOffset>88265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F895E" w14:textId="77777777" w:rsidR="000538C2" w:rsidRPr="002F45F7" w:rsidRDefault="000538C2"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2A5A420" w14:textId="77777777" w:rsidR="000538C2" w:rsidRPr="002F45F7" w:rsidRDefault="000538C2"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25C57" id="_x0000_t202" coordsize="21600,21600" o:spt="202" path="m,l,21600r21600,l21600,xe">
                <v:stroke joinstyle="miter"/>
                <v:path gradientshapeok="t" o:connecttype="rect"/>
              </v:shapetype>
              <v:shape id="Text Box 18" o:spid="_x0000_s1026" type="#_x0000_t202" style="position:absolute;margin-left:6pt;margin-top:6.9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" stroked="f">
                <v:textbox>
                  <w:txbxContent>
                    <w:p w14:paraId="38DF895E" w14:textId="77777777" w:rsidR="000538C2" w:rsidRPr="002F45F7" w:rsidRDefault="000538C2"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2A5A420" w14:textId="77777777" w:rsidR="000538C2" w:rsidRPr="002F45F7" w:rsidRDefault="000538C2"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p>
    <w:p w14:paraId="3B7A0FCD" w14:textId="7D2E188A" w:rsidR="00252007" w:rsidRDefault="00252007" w:rsidP="00732032"/>
    <w:p w14:paraId="69D552A1" w14:textId="4085275A" w:rsidR="00252007" w:rsidRDefault="00252007" w:rsidP="00732032"/>
    <w:p w14:paraId="28663769" w14:textId="3F3EC169" w:rsidR="00252007" w:rsidRDefault="00252007" w:rsidP="00732032"/>
    <w:p w14:paraId="20C14254" w14:textId="1A107820" w:rsidR="00252007" w:rsidRDefault="00252007" w:rsidP="00732032"/>
    <w:p w14:paraId="36FDB63A" w14:textId="77777777" w:rsidR="00252007" w:rsidRDefault="00252007" w:rsidP="00732032"/>
    <w:p w14:paraId="71258474" w14:textId="085816C5" w:rsidR="00570C22" w:rsidRDefault="00570C22" w:rsidP="00732032"/>
    <w:tbl>
      <w:tblPr>
        <w:tblW w:w="9747" w:type="dxa"/>
        <w:tblInd w:w="3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548FDD8D" w14:textId="77777777" w:rsidTr="00252007">
        <w:trPr>
          <w:trHeight w:val="557"/>
        </w:trPr>
        <w:tc>
          <w:tcPr>
            <w:tcW w:w="2518" w:type="dxa"/>
          </w:tcPr>
          <w:p w14:paraId="47573C91" w14:textId="3780CDBA"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8BB6C33" w14:textId="2D8BC951" w:rsidR="00B15F8B" w:rsidRPr="00B15F8B" w:rsidRDefault="004644BF" w:rsidP="009E572F">
            <w:pPr>
              <w:spacing w:before="120" w:after="120"/>
              <w:rPr>
                <w:rFonts w:cs="Times New Roman"/>
                <w:b/>
                <w:szCs w:val="20"/>
              </w:rPr>
            </w:pPr>
            <w:r>
              <w:rPr>
                <w:rFonts w:cs="Times New Roman"/>
                <w:b/>
                <w:szCs w:val="20"/>
              </w:rPr>
              <w:t>Performance &amp; Resources Board</w:t>
            </w:r>
          </w:p>
        </w:tc>
        <w:tc>
          <w:tcPr>
            <w:tcW w:w="2056" w:type="dxa"/>
          </w:tcPr>
          <w:p w14:paraId="4932E573"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40994F9C" w14:textId="0BC4D2DF" w:rsidR="00B15F8B" w:rsidRPr="00B15F8B" w:rsidRDefault="00B15F8B" w:rsidP="009E572F">
            <w:pPr>
              <w:spacing w:before="120" w:after="120"/>
              <w:rPr>
                <w:rFonts w:cs="Times New Roman"/>
                <w:sz w:val="32"/>
                <w:szCs w:val="32"/>
              </w:rPr>
            </w:pPr>
          </w:p>
        </w:tc>
      </w:tr>
      <w:tr w:rsidR="00B15F8B" w:rsidRPr="009E572F" w14:paraId="4DFB6E94" w14:textId="77777777" w:rsidTr="00252007">
        <w:tc>
          <w:tcPr>
            <w:tcW w:w="2518" w:type="dxa"/>
          </w:tcPr>
          <w:p w14:paraId="2E3347CF" w14:textId="76CE4416"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0056A506" w14:textId="5ECC2D8D" w:rsidR="00B15F8B" w:rsidRPr="009E572F" w:rsidRDefault="004644BF" w:rsidP="00B25C9C">
            <w:pPr>
              <w:spacing w:before="120" w:after="120"/>
              <w:rPr>
                <w:rFonts w:cs="Times New Roman"/>
                <w:szCs w:val="20"/>
              </w:rPr>
            </w:pPr>
            <w:r>
              <w:rPr>
                <w:rFonts w:cs="Times New Roman"/>
                <w:szCs w:val="20"/>
              </w:rPr>
              <w:t>29 May 2019</w:t>
            </w:r>
          </w:p>
        </w:tc>
        <w:tc>
          <w:tcPr>
            <w:tcW w:w="2056" w:type="dxa"/>
          </w:tcPr>
          <w:p w14:paraId="17057BF9"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4871BA0D" w14:textId="3DE0576B" w:rsidR="00B15F8B" w:rsidRPr="00B15F8B" w:rsidRDefault="00B15F8B" w:rsidP="009E572F">
            <w:pPr>
              <w:spacing w:before="120" w:after="120"/>
              <w:rPr>
                <w:rFonts w:cs="Times New Roman"/>
                <w:b/>
                <w:szCs w:val="20"/>
              </w:rPr>
            </w:pPr>
          </w:p>
        </w:tc>
      </w:tr>
      <w:tr w:rsidR="009E572F" w:rsidRPr="009E572F" w14:paraId="2B30263A" w14:textId="77777777" w:rsidTr="00252007">
        <w:tc>
          <w:tcPr>
            <w:tcW w:w="2518" w:type="dxa"/>
          </w:tcPr>
          <w:p w14:paraId="41CDF85C"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15BDBE09" w14:textId="24B38C27" w:rsidR="009E572F" w:rsidRPr="00B15F8B" w:rsidRDefault="004A65C7" w:rsidP="003007DC">
            <w:pPr>
              <w:spacing w:before="120" w:after="120"/>
              <w:rPr>
                <w:rFonts w:cs="Times New Roman"/>
                <w:szCs w:val="20"/>
              </w:rPr>
            </w:pPr>
            <w:r>
              <w:rPr>
                <w:rFonts w:cs="Times New Roman"/>
                <w:szCs w:val="20"/>
              </w:rPr>
              <w:t xml:space="preserve">Resilience </w:t>
            </w:r>
            <w:r w:rsidR="003007DC">
              <w:rPr>
                <w:rFonts w:cs="Times New Roman"/>
                <w:szCs w:val="20"/>
              </w:rPr>
              <w:t>Manager</w:t>
            </w:r>
          </w:p>
        </w:tc>
      </w:tr>
      <w:tr w:rsidR="009E572F" w:rsidRPr="009E572F" w14:paraId="7DB1461F" w14:textId="77777777" w:rsidTr="00252007">
        <w:tc>
          <w:tcPr>
            <w:tcW w:w="2518" w:type="dxa"/>
            <w:tcBorders>
              <w:top w:val="single" w:sz="6" w:space="0" w:color="auto"/>
              <w:left w:val="single" w:sz="6" w:space="0" w:color="auto"/>
              <w:bottom w:val="single" w:sz="6" w:space="0" w:color="auto"/>
              <w:right w:val="single" w:sz="6" w:space="0" w:color="auto"/>
            </w:tcBorders>
          </w:tcPr>
          <w:p w14:paraId="7137596E"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736ED369" w14:textId="144D9572" w:rsidR="009E572F" w:rsidRPr="009E572F" w:rsidRDefault="003007DC" w:rsidP="004A65C7">
            <w:pPr>
              <w:spacing w:before="120" w:after="120"/>
              <w:rPr>
                <w:rFonts w:cs="Times New Roman"/>
                <w:szCs w:val="20"/>
              </w:rPr>
            </w:pPr>
            <w:r>
              <w:rPr>
                <w:rFonts w:cs="Times New Roman"/>
                <w:szCs w:val="20"/>
              </w:rPr>
              <w:t xml:space="preserve">Director of </w:t>
            </w:r>
            <w:r w:rsidR="004A65C7">
              <w:rPr>
                <w:rFonts w:cs="Times New Roman"/>
                <w:szCs w:val="20"/>
              </w:rPr>
              <w:t>Innovation</w:t>
            </w:r>
            <w:r w:rsidR="004A65C7" w:rsidRPr="004A65C7">
              <w:rPr>
                <w:rFonts w:cs="Times New Roman"/>
                <w:szCs w:val="20"/>
              </w:rPr>
              <w:t>, Risk &amp; Future Development</w:t>
            </w:r>
          </w:p>
        </w:tc>
      </w:tr>
      <w:tr w:rsidR="009E572F" w:rsidRPr="009E572F" w14:paraId="56A3CF05" w14:textId="77777777" w:rsidTr="00252007">
        <w:tc>
          <w:tcPr>
            <w:tcW w:w="2518" w:type="dxa"/>
          </w:tcPr>
          <w:p w14:paraId="14DC1185"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5998D157" w14:textId="7BD80A5A" w:rsidR="009E572F" w:rsidRPr="003A46D1" w:rsidRDefault="004A65C7" w:rsidP="009C10C3">
            <w:pPr>
              <w:spacing w:before="120" w:after="120"/>
              <w:rPr>
                <w:rFonts w:cs="Times New Roman"/>
                <w:b/>
                <w:szCs w:val="20"/>
              </w:rPr>
            </w:pPr>
            <w:r>
              <w:rPr>
                <w:rFonts w:cs="Times New Roman"/>
                <w:b/>
                <w:szCs w:val="20"/>
              </w:rPr>
              <w:t>Strategic Risk Register</w:t>
            </w:r>
          </w:p>
        </w:tc>
      </w:tr>
      <w:tr w:rsidR="009E572F" w:rsidRPr="009E572F" w14:paraId="698569F9" w14:textId="77777777" w:rsidTr="00252007">
        <w:tc>
          <w:tcPr>
            <w:tcW w:w="2518" w:type="dxa"/>
          </w:tcPr>
          <w:p w14:paraId="6549D98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5D2B8475" w14:textId="11A1EFC8" w:rsidR="009E572F" w:rsidRPr="009E572F" w:rsidRDefault="00971378" w:rsidP="009E572F">
            <w:pPr>
              <w:tabs>
                <w:tab w:val="num" w:pos="567"/>
              </w:tabs>
              <w:spacing w:before="120" w:after="120"/>
              <w:rPr>
                <w:rFonts w:cs="Times New Roman"/>
                <w:szCs w:val="20"/>
              </w:rPr>
            </w:pPr>
            <w:r>
              <w:rPr>
                <w:rFonts w:cs="Times New Roman"/>
                <w:szCs w:val="20"/>
              </w:rPr>
              <w:t>Information</w:t>
            </w:r>
          </w:p>
        </w:tc>
      </w:tr>
    </w:tbl>
    <w:p w14:paraId="1FFCAF53" w14:textId="77777777" w:rsidR="009E572F" w:rsidRDefault="009E572F" w:rsidP="009E572F">
      <w:pPr>
        <w:tabs>
          <w:tab w:val="num" w:pos="567"/>
        </w:tabs>
        <w:spacing w:after="120"/>
        <w:rPr>
          <w:rFonts w:cs="Times New Roman"/>
          <w:szCs w:val="20"/>
        </w:rPr>
      </w:pPr>
    </w:p>
    <w:p w14:paraId="3BDEC072" w14:textId="77777777" w:rsidR="00C0492F" w:rsidRPr="00C71A12" w:rsidRDefault="00C0492F" w:rsidP="00E00F8F">
      <w:pPr>
        <w:pStyle w:val="Heading1"/>
        <w:spacing w:after="120"/>
        <w:ind w:left="284"/>
        <w:rPr>
          <w:rFonts w:cs="Arial"/>
          <w:sz w:val="22"/>
          <w:szCs w:val="22"/>
        </w:rPr>
      </w:pPr>
      <w:r w:rsidRPr="00C71A12">
        <w:rPr>
          <w:rFonts w:cs="Arial"/>
          <w:sz w:val="22"/>
          <w:szCs w:val="22"/>
        </w:rPr>
        <w:t>Recommendations</w:t>
      </w:r>
    </w:p>
    <w:p w14:paraId="6B899F37" w14:textId="1D76C9CB" w:rsidR="00A8212D" w:rsidRPr="00E00F8F" w:rsidRDefault="00015016" w:rsidP="00520F4F">
      <w:pPr>
        <w:pStyle w:val="NumbList3"/>
        <w:spacing w:after="360"/>
        <w:ind w:left="709" w:hanging="425"/>
        <w:jc w:val="both"/>
      </w:pPr>
      <w:r w:rsidRPr="00E00F8F">
        <w:t xml:space="preserve">That the </w:t>
      </w:r>
      <w:r w:rsidR="00971378">
        <w:t>Board notes</w:t>
      </w:r>
      <w:r w:rsidR="004A65C7" w:rsidRPr="00E00F8F">
        <w:t xml:space="preserve"> the content of the report</w:t>
      </w:r>
      <w:r w:rsidR="000E5D88">
        <w:t xml:space="preserve"> and provides feedback on the new changes to the Strategic Risk Register</w:t>
      </w:r>
      <w:r w:rsidR="00633C3C" w:rsidRPr="00E00F8F">
        <w:t xml:space="preserve"> </w:t>
      </w:r>
    </w:p>
    <w:p w14:paraId="2105B2AD" w14:textId="52524557" w:rsidR="00626E42" w:rsidRPr="00252007" w:rsidRDefault="00C0492F" w:rsidP="00E00F8F">
      <w:pPr>
        <w:pStyle w:val="Heading1"/>
        <w:spacing w:after="120"/>
        <w:ind w:left="284"/>
        <w:rPr>
          <w:rFonts w:cs="Arial"/>
          <w:sz w:val="22"/>
          <w:szCs w:val="22"/>
        </w:rPr>
      </w:pPr>
      <w:r w:rsidRPr="00C71A12">
        <w:rPr>
          <w:rFonts w:cs="Arial"/>
          <w:sz w:val="22"/>
          <w:szCs w:val="22"/>
        </w:rPr>
        <w:t>BACKGROUND</w:t>
      </w:r>
    </w:p>
    <w:p w14:paraId="4479D035" w14:textId="712845B6" w:rsidR="004A65C7" w:rsidRPr="00E00F8F" w:rsidRDefault="004A65C7" w:rsidP="00E00F8F">
      <w:pPr>
        <w:pStyle w:val="NumbList3"/>
        <w:spacing w:after="120"/>
        <w:ind w:left="709" w:hanging="425"/>
        <w:jc w:val="both"/>
      </w:pPr>
      <w:r w:rsidRPr="00E00F8F">
        <w:t>The advent of the Fire &amp; Rescue Plan</w:t>
      </w:r>
      <w:r w:rsidR="00A82090" w:rsidRPr="00E00F8F">
        <w:t xml:space="preserve">, (FRP), </w:t>
      </w:r>
      <w:r w:rsidRPr="00E00F8F">
        <w:t xml:space="preserve">required a review of the Strategic Risk Register in order to ensure that </w:t>
      </w:r>
      <w:r w:rsidR="00A82090" w:rsidRPr="00E00F8F">
        <w:t xml:space="preserve">the principles and objectives in the FRP were covered. </w:t>
      </w:r>
      <w:r w:rsidR="00A67C86" w:rsidRPr="00E00F8F">
        <w:t>Preliminary work went in to an early draft of what risk</w:t>
      </w:r>
      <w:r w:rsidR="00EC1EFE">
        <w:t>s</w:t>
      </w:r>
      <w:r w:rsidR="00A67C86" w:rsidRPr="00E00F8F">
        <w:t xml:space="preserve"> aligned to the FRP might look like. The recent SLT workshop refined those, </w:t>
      </w:r>
      <w:r w:rsidR="000E5D88">
        <w:t>detail of which is in</w:t>
      </w:r>
      <w:r w:rsidR="00A67C86" w:rsidRPr="00E00F8F">
        <w:t xml:space="preserve"> Appendix A. </w:t>
      </w:r>
      <w:r w:rsidR="00011869" w:rsidRPr="00E00F8F">
        <w:t>The workshop also took account of the recent risk audit, an action plan for which will follow in due course.</w:t>
      </w:r>
    </w:p>
    <w:p w14:paraId="68359F63" w14:textId="3536BB2E" w:rsidR="00F61792" w:rsidRPr="00E00F8F" w:rsidRDefault="00A67C86" w:rsidP="00E00F8F">
      <w:pPr>
        <w:pStyle w:val="NumbList3"/>
        <w:spacing w:after="360"/>
        <w:ind w:left="709" w:hanging="425"/>
        <w:jc w:val="both"/>
      </w:pPr>
      <w:r w:rsidRPr="00E00F8F">
        <w:t xml:space="preserve">The SLT </w:t>
      </w:r>
      <w:r w:rsidR="000E5D88">
        <w:t xml:space="preserve">formally </w:t>
      </w:r>
      <w:r w:rsidRPr="00E00F8F">
        <w:t>accept</w:t>
      </w:r>
      <w:r w:rsidR="000E5D88">
        <w:t>ed</w:t>
      </w:r>
      <w:r w:rsidRPr="00E00F8F">
        <w:t xml:space="preserve"> the</w:t>
      </w:r>
      <w:r w:rsidR="000E5D88">
        <w:t xml:space="preserve"> changes on 14</w:t>
      </w:r>
      <w:r w:rsidR="000E5D88" w:rsidRPr="0085047B">
        <w:rPr>
          <w:vertAlign w:val="superscript"/>
        </w:rPr>
        <w:t>th</w:t>
      </w:r>
      <w:r w:rsidR="000E5D88">
        <w:t xml:space="preserve"> May</w:t>
      </w:r>
      <w:r w:rsidRPr="00E00F8F">
        <w:t>.</w:t>
      </w:r>
    </w:p>
    <w:p w14:paraId="0EA878B0" w14:textId="77777777" w:rsidR="00C0492F" w:rsidRPr="00C71A12" w:rsidRDefault="00C0492F" w:rsidP="00E00F8F">
      <w:pPr>
        <w:pStyle w:val="Heading1"/>
        <w:spacing w:after="120"/>
        <w:ind w:left="284"/>
        <w:rPr>
          <w:rFonts w:cs="Arial"/>
          <w:sz w:val="22"/>
          <w:szCs w:val="22"/>
        </w:rPr>
      </w:pPr>
      <w:r w:rsidRPr="00C71A12">
        <w:rPr>
          <w:rFonts w:cs="Arial"/>
          <w:sz w:val="22"/>
          <w:szCs w:val="22"/>
        </w:rPr>
        <w:t>Options and Analysis</w:t>
      </w:r>
    </w:p>
    <w:p w14:paraId="702A9E99" w14:textId="5AF5842C" w:rsidR="003007DC" w:rsidRPr="00C71A12" w:rsidRDefault="00186F9E" w:rsidP="00E00F8F">
      <w:pPr>
        <w:pStyle w:val="NumbList3"/>
        <w:numPr>
          <w:ilvl w:val="0"/>
          <w:numId w:val="0"/>
        </w:numPr>
        <w:spacing w:after="120"/>
        <w:ind w:left="284"/>
        <w:rPr>
          <w:sz w:val="22"/>
          <w:szCs w:val="22"/>
        </w:rPr>
      </w:pPr>
      <w:r>
        <w:rPr>
          <w:b/>
          <w:sz w:val="22"/>
          <w:szCs w:val="22"/>
        </w:rPr>
        <w:t>Refining the SLT risks.</w:t>
      </w:r>
    </w:p>
    <w:p w14:paraId="0A10E975" w14:textId="0727B08B" w:rsidR="00A67C86" w:rsidRDefault="00601897" w:rsidP="00252007">
      <w:pPr>
        <w:pStyle w:val="NumbList3"/>
        <w:ind w:left="709" w:hanging="425"/>
      </w:pPr>
      <w:r>
        <w:t xml:space="preserve">The </w:t>
      </w:r>
      <w:r w:rsidR="00A67C86">
        <w:t xml:space="preserve">new risk descriptors are evident, as are the risk owners. </w:t>
      </w:r>
      <w:r w:rsidR="000E5D88">
        <w:t>SLT will now; -</w:t>
      </w:r>
    </w:p>
    <w:p w14:paraId="14DF16F1" w14:textId="77777777" w:rsidR="00CF3A77" w:rsidRPr="00E00F8F" w:rsidRDefault="00CF3A77" w:rsidP="00CF3A77">
      <w:pPr>
        <w:pStyle w:val="NumbList3"/>
        <w:numPr>
          <w:ilvl w:val="0"/>
          <w:numId w:val="0"/>
        </w:numPr>
        <w:ind w:left="709"/>
      </w:pPr>
    </w:p>
    <w:p w14:paraId="7CBE907B" w14:textId="6DF0E86F" w:rsidR="00A67C86" w:rsidRPr="00E00F8F" w:rsidRDefault="000E5D88" w:rsidP="00CF3A77">
      <w:pPr>
        <w:pStyle w:val="NumbList3"/>
        <w:numPr>
          <w:ilvl w:val="0"/>
          <w:numId w:val="4"/>
        </w:numPr>
        <w:spacing w:after="240"/>
        <w:ind w:left="1418"/>
        <w:jc w:val="both"/>
      </w:pPr>
      <w:r>
        <w:t>Assess the new risk, based on</w:t>
      </w:r>
      <w:r w:rsidRPr="00E00F8F">
        <w:t xml:space="preserve"> </w:t>
      </w:r>
      <w:r w:rsidR="00A67C86" w:rsidRPr="00E00F8F">
        <w:t>the</w:t>
      </w:r>
      <w:r>
        <w:t xml:space="preserve"> new</w:t>
      </w:r>
      <w:r w:rsidR="00A67C86" w:rsidRPr="00E00F8F">
        <w:t xml:space="preserve"> Impact Statement, attached at Appendix B.</w:t>
      </w:r>
      <w:r w:rsidR="00BA5FE0">
        <w:t xml:space="preserve"> </w:t>
      </w:r>
      <w:r w:rsidR="00135530">
        <w:t>T</w:t>
      </w:r>
      <w:bookmarkStart w:id="0" w:name="_GoBack"/>
      <w:bookmarkEnd w:id="0"/>
      <w:r w:rsidR="00EF6E8D">
        <w:t xml:space="preserve">o </w:t>
      </w:r>
      <w:r w:rsidR="00135530">
        <w:t>be noted that</w:t>
      </w:r>
      <w:r w:rsidR="00EF6E8D">
        <w:t xml:space="preserve"> the attached </w:t>
      </w:r>
      <w:r w:rsidR="00BA5FE0">
        <w:t xml:space="preserve">impact statement requires </w:t>
      </w:r>
      <w:r w:rsidR="00EF6E8D">
        <w:t xml:space="preserve">further amendments (in particular the finance risk category), the document will remain open for changes until the amended Risk Management Policy and Strategy is </w:t>
      </w:r>
      <w:r w:rsidR="00E13765">
        <w:t>approved</w:t>
      </w:r>
      <w:r w:rsidR="00EF6E8D">
        <w:t>.</w:t>
      </w:r>
    </w:p>
    <w:p w14:paraId="3EB93ED9" w14:textId="27E5E6FE" w:rsidR="00186F9E" w:rsidRPr="00E00F8F" w:rsidRDefault="00186F9E" w:rsidP="00CF3A77">
      <w:pPr>
        <w:pStyle w:val="NumbList3"/>
        <w:numPr>
          <w:ilvl w:val="0"/>
          <w:numId w:val="4"/>
        </w:numPr>
        <w:spacing w:after="240"/>
        <w:ind w:left="1418"/>
        <w:jc w:val="both"/>
      </w:pPr>
      <w:r w:rsidRPr="00E00F8F">
        <w:t xml:space="preserve">Identify </w:t>
      </w:r>
      <w:r w:rsidR="000E5D88">
        <w:t xml:space="preserve">new </w:t>
      </w:r>
      <w:r w:rsidRPr="00E00F8F">
        <w:t>Triggers and Impacts/consequences. This may influence the risk descriptor, and will certainly influence the risk assessment.</w:t>
      </w:r>
    </w:p>
    <w:p w14:paraId="3F39AAB8" w14:textId="4B3F2635" w:rsidR="00A67C86" w:rsidRPr="00E00F8F" w:rsidRDefault="00186F9E" w:rsidP="00CF3A77">
      <w:pPr>
        <w:pStyle w:val="NumbList3"/>
        <w:numPr>
          <w:ilvl w:val="0"/>
          <w:numId w:val="4"/>
        </w:numPr>
        <w:spacing w:after="240"/>
        <w:ind w:left="1418"/>
        <w:jc w:val="both"/>
      </w:pPr>
      <w:r w:rsidRPr="00E00F8F">
        <w:lastRenderedPageBreak/>
        <w:t>Risk assessment. The opportunity can now be taken to mature the approach to risk assessments by documenting decisions prior to recording in JCAD.</w:t>
      </w:r>
      <w:r w:rsidR="00693C6D" w:rsidRPr="00E00F8F">
        <w:t xml:space="preserve"> After determining the inherent risk level, risk owners should consider what, if any, current controls exist and score accordingly, before considering additional controls and their target score.</w:t>
      </w:r>
    </w:p>
    <w:p w14:paraId="4ECC271F" w14:textId="69C3FA23" w:rsidR="00186F9E" w:rsidRPr="00E00F8F" w:rsidRDefault="00186F9E" w:rsidP="00CF3A77">
      <w:pPr>
        <w:pStyle w:val="NumbList3"/>
        <w:numPr>
          <w:ilvl w:val="0"/>
          <w:numId w:val="4"/>
        </w:numPr>
        <w:spacing w:after="240"/>
        <w:ind w:left="1418" w:hanging="284"/>
      </w:pPr>
      <w:r w:rsidRPr="00E00F8F">
        <w:t xml:space="preserve">Identify control measure </w:t>
      </w:r>
      <w:r w:rsidRPr="00E00F8F">
        <w:rPr>
          <w:u w:val="single"/>
        </w:rPr>
        <w:t>owners</w:t>
      </w:r>
      <w:r w:rsidR="00EC1EFE">
        <w:t>. (See below</w:t>
      </w:r>
      <w:r w:rsidRPr="00E00F8F">
        <w:t>)</w:t>
      </w:r>
    </w:p>
    <w:p w14:paraId="2A88A0A2" w14:textId="60B93A51" w:rsidR="00186F9E" w:rsidRPr="00E00F8F" w:rsidRDefault="00186F9E" w:rsidP="00CF3A77">
      <w:pPr>
        <w:pStyle w:val="NumbList3"/>
        <w:numPr>
          <w:ilvl w:val="0"/>
          <w:numId w:val="4"/>
        </w:numPr>
        <w:spacing w:after="240"/>
        <w:ind w:left="1418" w:hanging="284"/>
      </w:pPr>
      <w:r w:rsidRPr="00E00F8F">
        <w:t>Determine what, if any, actions immediately fall out of the above steps.</w:t>
      </w:r>
    </w:p>
    <w:p w14:paraId="38D5E3A9" w14:textId="03EC5C52" w:rsidR="00A67C86" w:rsidRDefault="00186F9E" w:rsidP="00CF3A77">
      <w:pPr>
        <w:pStyle w:val="NumbList3"/>
        <w:spacing w:after="120"/>
        <w:ind w:left="709" w:hanging="425"/>
        <w:jc w:val="both"/>
      </w:pPr>
      <w:r>
        <w:t xml:space="preserve">As stated above, these risks are aligned to the FRP. The Directors </w:t>
      </w:r>
      <w:r w:rsidR="000E5D88">
        <w:t>will now populate</w:t>
      </w:r>
      <w:r>
        <w:t xml:space="preserve"> the next level of risk register below the SRR</w:t>
      </w:r>
      <w:r w:rsidR="000E5D88">
        <w:t>, that being</w:t>
      </w:r>
      <w:r>
        <w:t xml:space="preserve"> at Directorate level</w:t>
      </w:r>
      <w:r w:rsidR="00DF0758">
        <w:t>, with</w:t>
      </w:r>
      <w:r>
        <w:t xml:space="preserve"> Departments </w:t>
      </w:r>
      <w:r w:rsidR="00DF0758">
        <w:t>to be</w:t>
      </w:r>
      <w:r>
        <w:t xml:space="preserve"> identified as the control measure level, with Department managers being the primary owners</w:t>
      </w:r>
      <w:r w:rsidR="00DF0758">
        <w:t xml:space="preserve"> for delivery</w:t>
      </w:r>
      <w:r>
        <w:t xml:space="preserve">. </w:t>
      </w:r>
    </w:p>
    <w:p w14:paraId="25E71C33" w14:textId="4C90BC37" w:rsidR="00CF3A77" w:rsidRDefault="00011869" w:rsidP="00E00F8F">
      <w:pPr>
        <w:pStyle w:val="NumbList3"/>
        <w:spacing w:after="360"/>
        <w:ind w:left="709" w:hanging="425"/>
        <w:jc w:val="both"/>
      </w:pPr>
      <w:r>
        <w:t xml:space="preserve">The </w:t>
      </w:r>
      <w:r w:rsidR="00EF6E8D">
        <w:t xml:space="preserve">Board </w:t>
      </w:r>
      <w:r>
        <w:t>is asked to note that amendments to the Policy &amp; Strategy, and the Guidance, documents will follow in early course, once the new foundations are firmly laid.</w:t>
      </w:r>
      <w:r w:rsidR="00693C6D">
        <w:t xml:space="preserve"> There will also be some</w:t>
      </w:r>
      <w:r w:rsidR="00DF0758">
        <w:t xml:space="preserve"> improvements to</w:t>
      </w:r>
      <w:r w:rsidR="00693C6D">
        <w:t xml:space="preserve"> general housekeeping to JCAD, notably around projects.</w:t>
      </w:r>
    </w:p>
    <w:p w14:paraId="7F7D16E7" w14:textId="77777777" w:rsidR="00C0492F" w:rsidRPr="00C71A12" w:rsidRDefault="00C0492F" w:rsidP="00CF3A77">
      <w:pPr>
        <w:pStyle w:val="Heading1"/>
        <w:spacing w:after="120"/>
        <w:ind w:left="284"/>
        <w:rPr>
          <w:rFonts w:cs="Arial"/>
          <w:sz w:val="22"/>
          <w:szCs w:val="22"/>
        </w:rPr>
      </w:pPr>
      <w:r w:rsidRPr="00C71A12">
        <w:rPr>
          <w:rFonts w:cs="Arial"/>
          <w:sz w:val="22"/>
          <w:szCs w:val="22"/>
        </w:rPr>
        <w:t>Benefits and Risk Implications</w:t>
      </w:r>
    </w:p>
    <w:p w14:paraId="79944A75" w14:textId="476CE72A" w:rsidR="00011869" w:rsidRPr="00CF3A77" w:rsidRDefault="00011869" w:rsidP="00E00F8F">
      <w:pPr>
        <w:pStyle w:val="NumbList3"/>
        <w:spacing w:after="360"/>
        <w:ind w:left="709" w:hanging="425"/>
        <w:jc w:val="both"/>
      </w:pPr>
      <w:r>
        <w:t xml:space="preserve">Following the publication of the FRP, and in advance of the IRMP, which may </w:t>
      </w:r>
      <w:r w:rsidR="00EC1EFE">
        <w:t>generate</w:t>
      </w:r>
      <w:r>
        <w:t xml:space="preserve"> further changes to our risk profile, this is a welcome opportunity to further invigorate risk management at the senior level, by taking an almost clean-slate approach to </w:t>
      </w:r>
      <w:r w:rsidR="00A61AB6">
        <w:t>the SRR.</w:t>
      </w:r>
    </w:p>
    <w:p w14:paraId="30A2F6BB" w14:textId="77777777" w:rsidR="00C0492F" w:rsidRPr="00C71A12" w:rsidRDefault="00C0492F" w:rsidP="00CF3A77">
      <w:pPr>
        <w:pStyle w:val="Heading1"/>
        <w:spacing w:after="120"/>
        <w:ind w:left="284"/>
        <w:rPr>
          <w:rFonts w:cs="Arial"/>
          <w:sz w:val="22"/>
          <w:szCs w:val="22"/>
        </w:rPr>
      </w:pPr>
      <w:r w:rsidRPr="00C71A12">
        <w:rPr>
          <w:rFonts w:cs="Arial"/>
          <w:sz w:val="22"/>
          <w:szCs w:val="22"/>
        </w:rPr>
        <w:t>Financial Implications</w:t>
      </w:r>
    </w:p>
    <w:p w14:paraId="76E031C8" w14:textId="064B2C0D" w:rsidR="00C0492F" w:rsidRPr="00C71A12" w:rsidRDefault="0060101E" w:rsidP="00E00F8F">
      <w:pPr>
        <w:pStyle w:val="NumbList3"/>
        <w:spacing w:after="360"/>
        <w:ind w:left="709" w:hanging="425"/>
      </w:pPr>
      <w:r>
        <w:t>None at this stage.</w:t>
      </w:r>
    </w:p>
    <w:p w14:paraId="11E2BB4C" w14:textId="77777777" w:rsidR="00C0492F" w:rsidRPr="00C71A12" w:rsidRDefault="00C0492F" w:rsidP="00CF3A77">
      <w:pPr>
        <w:pStyle w:val="Heading1"/>
        <w:spacing w:after="120"/>
        <w:ind w:left="284"/>
        <w:rPr>
          <w:rFonts w:cs="Arial"/>
          <w:sz w:val="22"/>
          <w:szCs w:val="22"/>
        </w:rPr>
      </w:pPr>
      <w:r w:rsidRPr="00C71A12">
        <w:rPr>
          <w:rFonts w:cs="Arial"/>
          <w:sz w:val="22"/>
          <w:szCs w:val="22"/>
        </w:rPr>
        <w:t>Equality and Diversity Implications</w:t>
      </w:r>
    </w:p>
    <w:p w14:paraId="42380CFB" w14:textId="2A5E1161" w:rsidR="00C0492F" w:rsidRPr="00C71A12" w:rsidRDefault="0060101E" w:rsidP="00E00F8F">
      <w:pPr>
        <w:pStyle w:val="NumbList3"/>
        <w:spacing w:after="360"/>
        <w:ind w:left="709" w:hanging="425"/>
      </w:pPr>
      <w:r>
        <w:t>None at this stage.</w:t>
      </w:r>
    </w:p>
    <w:p w14:paraId="7B56BFC3" w14:textId="77777777" w:rsidR="00C0492F" w:rsidRPr="00C71A12" w:rsidRDefault="00C0492F" w:rsidP="00CF3A77">
      <w:pPr>
        <w:pStyle w:val="Heading1"/>
        <w:spacing w:after="120"/>
        <w:ind w:left="284"/>
        <w:rPr>
          <w:rFonts w:cs="Arial"/>
          <w:sz w:val="22"/>
          <w:szCs w:val="22"/>
        </w:rPr>
      </w:pPr>
      <w:r w:rsidRPr="00C71A12">
        <w:rPr>
          <w:rFonts w:cs="Arial"/>
          <w:sz w:val="22"/>
          <w:szCs w:val="22"/>
        </w:rPr>
        <w:t>Workforce Engagement</w:t>
      </w:r>
    </w:p>
    <w:p w14:paraId="4A07A017" w14:textId="40F76D4A" w:rsidR="00C0492F" w:rsidRPr="00C71A12" w:rsidRDefault="00011869" w:rsidP="00E00F8F">
      <w:pPr>
        <w:pStyle w:val="NumbList3"/>
        <w:spacing w:after="360"/>
        <w:ind w:left="709" w:hanging="425"/>
      </w:pPr>
      <w:r>
        <w:t>Risk ownerships ve</w:t>
      </w:r>
      <w:r w:rsidR="001D219C">
        <w:t>s</w:t>
      </w:r>
      <w:r>
        <w:t>ts in the SLT and as ever</w:t>
      </w:r>
      <w:r w:rsidR="0060101E">
        <w:t xml:space="preserve">, the SLT is encouraged to engage with </w:t>
      </w:r>
      <w:r>
        <w:t xml:space="preserve">and lead on </w:t>
      </w:r>
      <w:r w:rsidR="0060101E">
        <w:t>risk</w:t>
      </w:r>
      <w:r>
        <w:t>.</w:t>
      </w:r>
    </w:p>
    <w:p w14:paraId="21955CC3" w14:textId="77777777" w:rsidR="00C0492F" w:rsidRPr="00C71A12" w:rsidRDefault="00C0492F" w:rsidP="00CF3A77">
      <w:pPr>
        <w:pStyle w:val="Heading1"/>
        <w:spacing w:after="120"/>
        <w:ind w:left="284"/>
        <w:rPr>
          <w:rFonts w:cs="Arial"/>
          <w:sz w:val="22"/>
          <w:szCs w:val="22"/>
        </w:rPr>
      </w:pPr>
      <w:r w:rsidRPr="00C71A12">
        <w:rPr>
          <w:rFonts w:cs="Arial"/>
          <w:sz w:val="22"/>
          <w:szCs w:val="22"/>
        </w:rPr>
        <w:t>Legal Implications</w:t>
      </w:r>
    </w:p>
    <w:p w14:paraId="7A146679" w14:textId="220908DB" w:rsidR="00015016" w:rsidRDefault="00015016" w:rsidP="00CF3A77">
      <w:pPr>
        <w:pStyle w:val="NumbList3"/>
        <w:ind w:left="567" w:hanging="283"/>
      </w:pPr>
      <w:r w:rsidRPr="006A6A86">
        <w:t>None at this stage.</w:t>
      </w:r>
    </w:p>
    <w:p w14:paraId="7BAC34A7" w14:textId="77777777" w:rsidR="00F37A42" w:rsidRDefault="00F37A42" w:rsidP="00252007">
      <w:pPr>
        <w:pStyle w:val="NumbList3"/>
        <w:numPr>
          <w:ilvl w:val="0"/>
          <w:numId w:val="0"/>
        </w:numPr>
        <w:spacing w:after="240"/>
        <w:ind w:left="284"/>
        <w:rPr>
          <w:sz w:val="22"/>
          <w:szCs w:val="22"/>
        </w:rPr>
      </w:pPr>
    </w:p>
    <w:p w14:paraId="186CDEE2" w14:textId="77777777" w:rsidR="00F37A42" w:rsidRPr="006A6A86" w:rsidRDefault="00F37A42" w:rsidP="00252007">
      <w:pPr>
        <w:pStyle w:val="NumbList3"/>
        <w:numPr>
          <w:ilvl w:val="0"/>
          <w:numId w:val="0"/>
        </w:numPr>
        <w:spacing w:after="240"/>
        <w:ind w:left="284"/>
        <w:rPr>
          <w:sz w:val="22"/>
          <w:szCs w:val="22"/>
        </w:rPr>
      </w:pPr>
    </w:p>
    <w:p w14:paraId="33D99FDC" w14:textId="77777777" w:rsidR="00011869" w:rsidRDefault="00011869" w:rsidP="00011869">
      <w:pPr>
        <w:pStyle w:val="NumbList3"/>
        <w:numPr>
          <w:ilvl w:val="0"/>
          <w:numId w:val="0"/>
        </w:numPr>
        <w:spacing w:after="240"/>
        <w:rPr>
          <w:sz w:val="22"/>
          <w:szCs w:val="22"/>
        </w:rPr>
        <w:sectPr w:rsidR="00011869" w:rsidSect="0042171B">
          <w:footerReference w:type="default" r:id="rId9"/>
          <w:footerReference w:type="first" r:id="rId10"/>
          <w:pgSz w:w="11906" w:h="16838" w:code="9"/>
          <w:pgMar w:top="720" w:right="1133" w:bottom="720" w:left="720" w:header="709" w:footer="709" w:gutter="0"/>
          <w:cols w:space="708"/>
          <w:titlePg/>
          <w:docGrid w:linePitch="360"/>
        </w:sectPr>
      </w:pPr>
    </w:p>
    <w:p w14:paraId="5AB77C71" w14:textId="64A6D1D0" w:rsidR="00011869" w:rsidRPr="00E00F8F" w:rsidRDefault="00011869" w:rsidP="00011869">
      <w:pPr>
        <w:pStyle w:val="NumbList3"/>
        <w:numPr>
          <w:ilvl w:val="0"/>
          <w:numId w:val="0"/>
        </w:numPr>
        <w:spacing w:after="240"/>
        <w:rPr>
          <w:sz w:val="22"/>
          <w:szCs w:val="22"/>
        </w:rPr>
      </w:pPr>
      <w:r>
        <w:rPr>
          <w:sz w:val="22"/>
          <w:szCs w:val="22"/>
        </w:rPr>
        <w:lastRenderedPageBreak/>
        <w:t>Appendix A</w:t>
      </w:r>
      <w:r>
        <w:fldChar w:fldCharType="begin"/>
      </w:r>
      <w:r>
        <w:instrText xml:space="preserve"> LINK Excel.Sheet.8 "C:\\Users\\charles.thomas\\AppData\\Local\\Microsoft\\Windows\\Temporary Internet Files\\Content.Outlook\\4K9NNMXP\\NewSRROldvsNew.xls" "Sheet1!R1C2:R32C5" \a \f 4 \h </w:instrText>
      </w:r>
      <w:r w:rsidR="000A19D6">
        <w:instrText xml:space="preserve"> \* MERGEFORMAT </w:instrText>
      </w:r>
      <w:r>
        <w:fldChar w:fldCharType="separate"/>
      </w:r>
    </w:p>
    <w:tbl>
      <w:tblPr>
        <w:tblW w:w="13840" w:type="dxa"/>
        <w:tblInd w:w="-5" w:type="dxa"/>
        <w:tblLook w:val="04A0" w:firstRow="1" w:lastRow="0" w:firstColumn="1" w:lastColumn="0" w:noHBand="0" w:noVBand="1"/>
      </w:tblPr>
      <w:tblGrid>
        <w:gridCol w:w="1529"/>
        <w:gridCol w:w="4109"/>
        <w:gridCol w:w="3646"/>
        <w:gridCol w:w="4556"/>
      </w:tblGrid>
      <w:tr w:rsidR="00011869" w:rsidRPr="00011869" w14:paraId="75C5612A" w14:textId="77777777" w:rsidTr="000A19D6">
        <w:trPr>
          <w:trHeight w:val="255"/>
        </w:trPr>
        <w:tc>
          <w:tcPr>
            <w:tcW w:w="1529" w:type="dxa"/>
            <w:tcBorders>
              <w:top w:val="single" w:sz="4" w:space="0" w:color="auto"/>
              <w:left w:val="single" w:sz="4" w:space="0" w:color="auto"/>
              <w:bottom w:val="single" w:sz="4" w:space="0" w:color="auto"/>
              <w:right w:val="single" w:sz="4" w:space="0" w:color="auto"/>
            </w:tcBorders>
            <w:shd w:val="clear" w:color="auto" w:fill="auto"/>
            <w:hideMark/>
          </w:tcPr>
          <w:p w14:paraId="4D7537B3" w14:textId="77777777" w:rsidR="00011869" w:rsidRPr="00011869" w:rsidRDefault="00011869" w:rsidP="00011869">
            <w:pPr>
              <w:rPr>
                <w:b/>
                <w:bCs/>
                <w:color w:val="000000"/>
                <w:sz w:val="20"/>
                <w:szCs w:val="20"/>
                <w:lang w:eastAsia="en-GB"/>
              </w:rPr>
            </w:pPr>
            <w:r w:rsidRPr="00011869">
              <w:rPr>
                <w:b/>
                <w:bCs/>
                <w:color w:val="000000"/>
                <w:sz w:val="20"/>
                <w:szCs w:val="20"/>
                <w:lang w:eastAsia="en-GB"/>
              </w:rPr>
              <w:t>Risk Ref</w:t>
            </w:r>
          </w:p>
        </w:tc>
        <w:tc>
          <w:tcPr>
            <w:tcW w:w="4109" w:type="dxa"/>
            <w:tcBorders>
              <w:top w:val="single" w:sz="4" w:space="0" w:color="auto"/>
              <w:left w:val="nil"/>
              <w:bottom w:val="single" w:sz="4" w:space="0" w:color="auto"/>
              <w:right w:val="single" w:sz="4" w:space="0" w:color="auto"/>
            </w:tcBorders>
            <w:shd w:val="clear" w:color="auto" w:fill="auto"/>
            <w:hideMark/>
          </w:tcPr>
          <w:p w14:paraId="24E6B8F4" w14:textId="77777777" w:rsidR="00011869" w:rsidRPr="00011869" w:rsidRDefault="00011869" w:rsidP="00011869">
            <w:pPr>
              <w:rPr>
                <w:b/>
                <w:bCs/>
                <w:color w:val="000000"/>
                <w:sz w:val="20"/>
                <w:szCs w:val="20"/>
                <w:lang w:eastAsia="en-GB"/>
              </w:rPr>
            </w:pPr>
            <w:r w:rsidRPr="00011869">
              <w:rPr>
                <w:b/>
                <w:bCs/>
                <w:color w:val="000000"/>
                <w:sz w:val="20"/>
                <w:szCs w:val="20"/>
                <w:lang w:eastAsia="en-GB"/>
              </w:rPr>
              <w:t>Description</w:t>
            </w:r>
          </w:p>
        </w:tc>
        <w:tc>
          <w:tcPr>
            <w:tcW w:w="3646" w:type="dxa"/>
            <w:tcBorders>
              <w:top w:val="single" w:sz="4" w:space="0" w:color="auto"/>
              <w:left w:val="nil"/>
              <w:bottom w:val="single" w:sz="4" w:space="0" w:color="auto"/>
              <w:right w:val="single" w:sz="4" w:space="0" w:color="auto"/>
            </w:tcBorders>
            <w:shd w:val="clear" w:color="auto" w:fill="auto"/>
            <w:hideMark/>
          </w:tcPr>
          <w:p w14:paraId="425223D6" w14:textId="77777777" w:rsidR="00011869" w:rsidRPr="00011869" w:rsidRDefault="00011869" w:rsidP="00011869">
            <w:pPr>
              <w:rPr>
                <w:b/>
                <w:bCs/>
                <w:color w:val="000000"/>
                <w:sz w:val="20"/>
                <w:szCs w:val="20"/>
                <w:lang w:eastAsia="en-GB"/>
              </w:rPr>
            </w:pPr>
            <w:r w:rsidRPr="00011869">
              <w:rPr>
                <w:b/>
                <w:bCs/>
                <w:color w:val="000000"/>
                <w:sz w:val="20"/>
                <w:szCs w:val="20"/>
                <w:lang w:eastAsia="en-GB"/>
              </w:rPr>
              <w:t>Suggested amendments</w:t>
            </w:r>
          </w:p>
        </w:tc>
        <w:tc>
          <w:tcPr>
            <w:tcW w:w="4556" w:type="dxa"/>
            <w:tcBorders>
              <w:top w:val="single" w:sz="4" w:space="0" w:color="auto"/>
              <w:left w:val="nil"/>
              <w:bottom w:val="single" w:sz="4" w:space="0" w:color="auto"/>
              <w:right w:val="single" w:sz="4" w:space="0" w:color="auto"/>
            </w:tcBorders>
            <w:shd w:val="clear" w:color="auto" w:fill="auto"/>
            <w:hideMark/>
          </w:tcPr>
          <w:p w14:paraId="64358F3F" w14:textId="77777777" w:rsidR="00011869" w:rsidRPr="00011869" w:rsidRDefault="00011869" w:rsidP="00011869">
            <w:pPr>
              <w:rPr>
                <w:b/>
                <w:bCs/>
                <w:color w:val="000000"/>
                <w:sz w:val="20"/>
                <w:szCs w:val="20"/>
                <w:lang w:eastAsia="en-GB"/>
              </w:rPr>
            </w:pPr>
            <w:r w:rsidRPr="00011869">
              <w:rPr>
                <w:b/>
                <w:bCs/>
                <w:color w:val="000000"/>
                <w:sz w:val="20"/>
                <w:szCs w:val="20"/>
                <w:lang w:eastAsia="en-GB"/>
              </w:rPr>
              <w:t>Comments</w:t>
            </w:r>
          </w:p>
        </w:tc>
      </w:tr>
      <w:tr w:rsidR="00011869" w:rsidRPr="00011869" w14:paraId="34F4A13A" w14:textId="77777777" w:rsidTr="000A19D6">
        <w:trPr>
          <w:trHeight w:val="2100"/>
        </w:trPr>
        <w:tc>
          <w:tcPr>
            <w:tcW w:w="1529" w:type="dxa"/>
            <w:tcBorders>
              <w:top w:val="nil"/>
              <w:left w:val="single" w:sz="4" w:space="0" w:color="auto"/>
              <w:bottom w:val="single" w:sz="4" w:space="0" w:color="auto"/>
              <w:right w:val="single" w:sz="4" w:space="0" w:color="auto"/>
            </w:tcBorders>
            <w:shd w:val="clear" w:color="auto" w:fill="auto"/>
            <w:noWrap/>
            <w:hideMark/>
          </w:tcPr>
          <w:p w14:paraId="302D7D13" w14:textId="77777777" w:rsidR="00011869" w:rsidRPr="00011869" w:rsidRDefault="00011869" w:rsidP="00011869">
            <w:pPr>
              <w:rPr>
                <w:color w:val="000000"/>
                <w:sz w:val="20"/>
                <w:szCs w:val="20"/>
                <w:lang w:eastAsia="en-GB"/>
              </w:rPr>
            </w:pPr>
            <w:r w:rsidRPr="00011869">
              <w:rPr>
                <w:color w:val="000000"/>
                <w:sz w:val="20"/>
                <w:szCs w:val="20"/>
                <w:lang w:eastAsia="en-GB"/>
              </w:rPr>
              <w:t>SRR150001</w:t>
            </w:r>
          </w:p>
        </w:tc>
        <w:tc>
          <w:tcPr>
            <w:tcW w:w="4109" w:type="dxa"/>
            <w:tcBorders>
              <w:top w:val="nil"/>
              <w:left w:val="nil"/>
              <w:bottom w:val="single" w:sz="4" w:space="0" w:color="auto"/>
              <w:right w:val="single" w:sz="4" w:space="0" w:color="auto"/>
            </w:tcBorders>
            <w:shd w:val="clear" w:color="auto" w:fill="auto"/>
            <w:hideMark/>
          </w:tcPr>
          <w:p w14:paraId="5C23FC45" w14:textId="77777777" w:rsidR="00011869" w:rsidRPr="00011869" w:rsidRDefault="00011869" w:rsidP="00011869">
            <w:pPr>
              <w:rPr>
                <w:color w:val="000000"/>
                <w:sz w:val="20"/>
                <w:szCs w:val="20"/>
                <w:lang w:eastAsia="en-GB"/>
              </w:rPr>
            </w:pPr>
            <w:r w:rsidRPr="00011869">
              <w:rPr>
                <w:color w:val="000000"/>
                <w:sz w:val="20"/>
                <w:szCs w:val="20"/>
                <w:lang w:eastAsia="en-GB"/>
              </w:rPr>
              <w:t>If we have a large or unexpected loss in our income or cash there is a risk that we will have to reduce the level of core functions we provide to our communities.</w:t>
            </w:r>
          </w:p>
        </w:tc>
        <w:tc>
          <w:tcPr>
            <w:tcW w:w="3646" w:type="dxa"/>
            <w:tcBorders>
              <w:top w:val="nil"/>
              <w:left w:val="nil"/>
              <w:bottom w:val="single" w:sz="4" w:space="0" w:color="auto"/>
              <w:right w:val="single" w:sz="4" w:space="0" w:color="auto"/>
            </w:tcBorders>
            <w:shd w:val="clear" w:color="auto" w:fill="auto"/>
            <w:hideMark/>
          </w:tcPr>
          <w:p w14:paraId="6B91D003" w14:textId="1F6EB5A9" w:rsidR="00011869" w:rsidRPr="00011869" w:rsidRDefault="00011869" w:rsidP="00011869">
            <w:pPr>
              <w:rPr>
                <w:color w:val="000000"/>
                <w:sz w:val="20"/>
                <w:szCs w:val="20"/>
                <w:lang w:eastAsia="en-GB"/>
              </w:rPr>
            </w:pPr>
            <w:r w:rsidRPr="00011869">
              <w:rPr>
                <w:color w:val="000000"/>
                <w:sz w:val="20"/>
                <w:szCs w:val="20"/>
                <w:lang w:eastAsia="en-GB"/>
              </w:rPr>
              <w:t xml:space="preserve">There is a risk that through poor financial planning or ineffective resource planning the Service does not effectively deliver or improve its core functions leading to it not providing value for money, not complying with </w:t>
            </w:r>
            <w:r w:rsidR="000A19D6" w:rsidRPr="00011869">
              <w:rPr>
                <w:color w:val="000000"/>
                <w:sz w:val="20"/>
                <w:szCs w:val="20"/>
                <w:lang w:eastAsia="en-GB"/>
              </w:rPr>
              <w:t>financial</w:t>
            </w:r>
            <w:r w:rsidRPr="00011869">
              <w:rPr>
                <w:color w:val="000000"/>
                <w:sz w:val="20"/>
                <w:szCs w:val="20"/>
                <w:lang w:eastAsia="en-GB"/>
              </w:rPr>
              <w:t xml:space="preserve"> regulations and/or failure to deliver a balanced budget.</w:t>
            </w:r>
          </w:p>
        </w:tc>
        <w:tc>
          <w:tcPr>
            <w:tcW w:w="4556" w:type="dxa"/>
            <w:tcBorders>
              <w:top w:val="nil"/>
              <w:left w:val="nil"/>
              <w:bottom w:val="single" w:sz="4" w:space="0" w:color="auto"/>
              <w:right w:val="single" w:sz="4" w:space="0" w:color="auto"/>
            </w:tcBorders>
            <w:shd w:val="clear" w:color="auto" w:fill="auto"/>
            <w:hideMark/>
          </w:tcPr>
          <w:p w14:paraId="53E5E0F9" w14:textId="0CD6B145" w:rsidR="00011869" w:rsidRPr="00011869" w:rsidRDefault="00011869" w:rsidP="00011869">
            <w:pPr>
              <w:rPr>
                <w:color w:val="000000"/>
                <w:sz w:val="20"/>
                <w:szCs w:val="20"/>
                <w:lang w:eastAsia="en-GB"/>
              </w:rPr>
            </w:pPr>
            <w:r w:rsidRPr="00011869">
              <w:rPr>
                <w:color w:val="000000"/>
                <w:sz w:val="20"/>
                <w:szCs w:val="20"/>
                <w:lang w:eastAsia="en-GB"/>
              </w:rPr>
              <w:t xml:space="preserve">Risk owner, Director of Corporate Services, now more aligned to F&amp;R Plan Objective ' we will improve the safety of the </w:t>
            </w:r>
            <w:r w:rsidR="000A19D6" w:rsidRPr="00011869">
              <w:rPr>
                <w:color w:val="000000"/>
                <w:sz w:val="20"/>
                <w:szCs w:val="20"/>
                <w:lang w:eastAsia="en-GB"/>
              </w:rPr>
              <w:t>people</w:t>
            </w:r>
            <w:r w:rsidRPr="00011869">
              <w:rPr>
                <w:color w:val="000000"/>
                <w:sz w:val="20"/>
                <w:szCs w:val="20"/>
                <w:lang w:eastAsia="en-GB"/>
              </w:rPr>
              <w:t xml:space="preserve"> of Essex by making best use of our resources and ensuring value for money'</w:t>
            </w:r>
          </w:p>
        </w:tc>
      </w:tr>
      <w:tr w:rsidR="00011869" w:rsidRPr="00011869" w14:paraId="4F39867A" w14:textId="77777777" w:rsidTr="000A19D6">
        <w:trPr>
          <w:trHeight w:val="1530"/>
        </w:trPr>
        <w:tc>
          <w:tcPr>
            <w:tcW w:w="1529" w:type="dxa"/>
            <w:vMerge w:val="restart"/>
            <w:tcBorders>
              <w:top w:val="nil"/>
              <w:left w:val="single" w:sz="4" w:space="0" w:color="auto"/>
              <w:bottom w:val="single" w:sz="4" w:space="0" w:color="000000"/>
              <w:right w:val="single" w:sz="4" w:space="0" w:color="auto"/>
            </w:tcBorders>
            <w:shd w:val="clear" w:color="auto" w:fill="auto"/>
            <w:noWrap/>
            <w:hideMark/>
          </w:tcPr>
          <w:p w14:paraId="27D9EFB6" w14:textId="77777777" w:rsidR="00011869" w:rsidRPr="00011869" w:rsidRDefault="00011869" w:rsidP="00011869">
            <w:pPr>
              <w:jc w:val="center"/>
              <w:rPr>
                <w:color w:val="000000"/>
                <w:sz w:val="20"/>
                <w:szCs w:val="20"/>
                <w:lang w:eastAsia="en-GB"/>
              </w:rPr>
            </w:pPr>
            <w:r w:rsidRPr="00011869">
              <w:rPr>
                <w:color w:val="000000"/>
                <w:sz w:val="20"/>
                <w:szCs w:val="20"/>
                <w:lang w:eastAsia="en-GB"/>
              </w:rPr>
              <w:t>SRR150002</w:t>
            </w:r>
          </w:p>
        </w:tc>
        <w:tc>
          <w:tcPr>
            <w:tcW w:w="4109" w:type="dxa"/>
            <w:vMerge w:val="restart"/>
            <w:tcBorders>
              <w:top w:val="nil"/>
              <w:left w:val="single" w:sz="4" w:space="0" w:color="auto"/>
              <w:bottom w:val="single" w:sz="4" w:space="0" w:color="000000"/>
              <w:right w:val="single" w:sz="4" w:space="0" w:color="auto"/>
            </w:tcBorders>
            <w:shd w:val="clear" w:color="auto" w:fill="auto"/>
            <w:hideMark/>
          </w:tcPr>
          <w:p w14:paraId="6ECDD116" w14:textId="77777777" w:rsidR="00011869" w:rsidRPr="00011869" w:rsidRDefault="00011869" w:rsidP="00011869">
            <w:pPr>
              <w:jc w:val="center"/>
              <w:rPr>
                <w:color w:val="000000"/>
                <w:sz w:val="20"/>
                <w:szCs w:val="20"/>
                <w:lang w:eastAsia="en-GB"/>
              </w:rPr>
            </w:pPr>
            <w:r w:rsidRPr="00011869">
              <w:rPr>
                <w:color w:val="000000"/>
                <w:sz w:val="20"/>
                <w:szCs w:val="20"/>
                <w:lang w:eastAsia="en-GB"/>
              </w:rPr>
              <w:t>If we have a significant failure, loss or reduction of our physical infrastructure or resources (including our people) there is a risk that we will not deliver the same level of prevention, protection and response services to our communities.</w:t>
            </w:r>
          </w:p>
        </w:tc>
        <w:tc>
          <w:tcPr>
            <w:tcW w:w="3646" w:type="dxa"/>
            <w:tcBorders>
              <w:top w:val="nil"/>
              <w:left w:val="nil"/>
              <w:bottom w:val="single" w:sz="4" w:space="0" w:color="auto"/>
              <w:right w:val="single" w:sz="4" w:space="0" w:color="auto"/>
            </w:tcBorders>
            <w:shd w:val="clear" w:color="auto" w:fill="auto"/>
            <w:hideMark/>
          </w:tcPr>
          <w:p w14:paraId="68DB2D21" w14:textId="2AD4ADE1" w:rsidR="00011869" w:rsidRPr="00011869" w:rsidRDefault="00011869" w:rsidP="00011869">
            <w:pPr>
              <w:rPr>
                <w:color w:val="000000"/>
                <w:sz w:val="20"/>
                <w:szCs w:val="20"/>
                <w:lang w:eastAsia="en-GB"/>
              </w:rPr>
            </w:pPr>
            <w:r w:rsidRPr="00011869">
              <w:rPr>
                <w:color w:val="000000"/>
                <w:sz w:val="20"/>
                <w:szCs w:val="20"/>
                <w:lang w:eastAsia="en-GB"/>
              </w:rPr>
              <w:t xml:space="preserve">There is a risk that, through ineffective planning, the Service fails to deliver its Prevention, Protection and Response activities leading to a loss of trust and confidence by the Essex </w:t>
            </w:r>
            <w:r w:rsidR="000A19D6" w:rsidRPr="00011869">
              <w:rPr>
                <w:color w:val="000000"/>
                <w:sz w:val="20"/>
                <w:szCs w:val="20"/>
                <w:lang w:eastAsia="en-GB"/>
              </w:rPr>
              <w:t>Communities</w:t>
            </w:r>
            <w:r w:rsidRPr="00011869">
              <w:rPr>
                <w:color w:val="000000"/>
                <w:sz w:val="20"/>
                <w:szCs w:val="20"/>
                <w:lang w:eastAsia="en-GB"/>
              </w:rPr>
              <w:t>.</w:t>
            </w:r>
          </w:p>
        </w:tc>
        <w:tc>
          <w:tcPr>
            <w:tcW w:w="4556" w:type="dxa"/>
            <w:tcBorders>
              <w:top w:val="nil"/>
              <w:left w:val="nil"/>
              <w:bottom w:val="single" w:sz="4" w:space="0" w:color="auto"/>
              <w:right w:val="single" w:sz="4" w:space="0" w:color="auto"/>
            </w:tcBorders>
            <w:shd w:val="clear" w:color="auto" w:fill="auto"/>
            <w:hideMark/>
          </w:tcPr>
          <w:p w14:paraId="3B5F39CF" w14:textId="3E709186" w:rsidR="00011869" w:rsidRPr="00011869" w:rsidRDefault="00011869" w:rsidP="00011869">
            <w:pPr>
              <w:rPr>
                <w:color w:val="000000"/>
                <w:sz w:val="20"/>
                <w:szCs w:val="20"/>
                <w:lang w:eastAsia="en-GB"/>
              </w:rPr>
            </w:pPr>
            <w:r w:rsidRPr="00011869">
              <w:rPr>
                <w:color w:val="000000"/>
                <w:sz w:val="20"/>
                <w:szCs w:val="20"/>
                <w:lang w:eastAsia="en-GB"/>
              </w:rPr>
              <w:t xml:space="preserve">Owned by the Director of Operations, now more aligned to 'we will plan and provide effective and efficient </w:t>
            </w:r>
            <w:r w:rsidR="000A19D6" w:rsidRPr="00011869">
              <w:rPr>
                <w:color w:val="000000"/>
                <w:sz w:val="20"/>
                <w:szCs w:val="20"/>
                <w:lang w:eastAsia="en-GB"/>
              </w:rPr>
              <w:t>prevention</w:t>
            </w:r>
            <w:r w:rsidRPr="00011869">
              <w:rPr>
                <w:color w:val="000000"/>
                <w:sz w:val="20"/>
                <w:szCs w:val="20"/>
                <w:lang w:eastAsia="en-GB"/>
              </w:rPr>
              <w:t>, protection and response activities, so the public continue to have trust and confidence in us'.</w:t>
            </w:r>
          </w:p>
        </w:tc>
      </w:tr>
      <w:tr w:rsidR="00011869" w:rsidRPr="00011869" w14:paraId="76E00C32" w14:textId="77777777" w:rsidTr="000A19D6">
        <w:trPr>
          <w:trHeight w:val="1455"/>
        </w:trPr>
        <w:tc>
          <w:tcPr>
            <w:tcW w:w="1529" w:type="dxa"/>
            <w:vMerge/>
            <w:tcBorders>
              <w:top w:val="nil"/>
              <w:left w:val="single" w:sz="4" w:space="0" w:color="auto"/>
              <w:bottom w:val="single" w:sz="4" w:space="0" w:color="000000"/>
              <w:right w:val="single" w:sz="4" w:space="0" w:color="auto"/>
            </w:tcBorders>
            <w:vAlign w:val="center"/>
            <w:hideMark/>
          </w:tcPr>
          <w:p w14:paraId="6CE8CCB6" w14:textId="77777777" w:rsidR="00011869" w:rsidRPr="00011869" w:rsidRDefault="00011869" w:rsidP="00011869">
            <w:pPr>
              <w:rPr>
                <w:color w:val="000000"/>
                <w:sz w:val="20"/>
                <w:szCs w:val="20"/>
                <w:lang w:eastAsia="en-GB"/>
              </w:rPr>
            </w:pPr>
          </w:p>
        </w:tc>
        <w:tc>
          <w:tcPr>
            <w:tcW w:w="4109" w:type="dxa"/>
            <w:vMerge/>
            <w:tcBorders>
              <w:top w:val="nil"/>
              <w:left w:val="single" w:sz="4" w:space="0" w:color="auto"/>
              <w:bottom w:val="single" w:sz="4" w:space="0" w:color="000000"/>
              <w:right w:val="single" w:sz="4" w:space="0" w:color="auto"/>
            </w:tcBorders>
            <w:vAlign w:val="center"/>
            <w:hideMark/>
          </w:tcPr>
          <w:p w14:paraId="3A024C84" w14:textId="77777777" w:rsidR="00011869" w:rsidRPr="00011869" w:rsidRDefault="00011869" w:rsidP="00011869">
            <w:pPr>
              <w:rPr>
                <w:color w:val="000000"/>
                <w:sz w:val="20"/>
                <w:szCs w:val="20"/>
                <w:lang w:eastAsia="en-GB"/>
              </w:rPr>
            </w:pPr>
          </w:p>
        </w:tc>
        <w:tc>
          <w:tcPr>
            <w:tcW w:w="3646" w:type="dxa"/>
            <w:tcBorders>
              <w:top w:val="nil"/>
              <w:left w:val="nil"/>
              <w:bottom w:val="single" w:sz="4" w:space="0" w:color="auto"/>
              <w:right w:val="single" w:sz="4" w:space="0" w:color="auto"/>
            </w:tcBorders>
            <w:shd w:val="clear" w:color="auto" w:fill="auto"/>
            <w:hideMark/>
          </w:tcPr>
          <w:p w14:paraId="053E3B19" w14:textId="77777777" w:rsidR="00011869" w:rsidRPr="00011869" w:rsidRDefault="00011869" w:rsidP="00011869">
            <w:pPr>
              <w:rPr>
                <w:color w:val="000000"/>
                <w:sz w:val="20"/>
                <w:szCs w:val="20"/>
                <w:lang w:eastAsia="en-GB"/>
              </w:rPr>
            </w:pPr>
            <w:r w:rsidRPr="00011869">
              <w:rPr>
                <w:color w:val="000000"/>
                <w:sz w:val="20"/>
                <w:szCs w:val="20"/>
                <w:lang w:eastAsia="en-GB"/>
              </w:rPr>
              <w:t>There is a risk that, that the Service has a significant failure, loss or reduction in its physical infrastructure which leads to the Service failing to deliver its Prevention, Protection and Response activities.</w:t>
            </w:r>
          </w:p>
        </w:tc>
        <w:tc>
          <w:tcPr>
            <w:tcW w:w="4556" w:type="dxa"/>
            <w:tcBorders>
              <w:top w:val="nil"/>
              <w:left w:val="nil"/>
              <w:bottom w:val="single" w:sz="4" w:space="0" w:color="auto"/>
              <w:right w:val="single" w:sz="4" w:space="0" w:color="auto"/>
            </w:tcBorders>
            <w:shd w:val="clear" w:color="auto" w:fill="auto"/>
            <w:hideMark/>
          </w:tcPr>
          <w:p w14:paraId="3F6DEB13" w14:textId="77777777" w:rsidR="00011869" w:rsidRPr="00011869" w:rsidRDefault="00011869" w:rsidP="00011869">
            <w:pPr>
              <w:rPr>
                <w:color w:val="000000"/>
                <w:sz w:val="20"/>
                <w:szCs w:val="20"/>
                <w:lang w:eastAsia="en-GB"/>
              </w:rPr>
            </w:pPr>
            <w:r w:rsidRPr="00011869">
              <w:rPr>
                <w:color w:val="000000"/>
                <w:sz w:val="20"/>
                <w:szCs w:val="20"/>
                <w:lang w:eastAsia="en-GB"/>
              </w:rPr>
              <w:t>Own by DCFO</w:t>
            </w:r>
          </w:p>
        </w:tc>
      </w:tr>
      <w:tr w:rsidR="00011869" w:rsidRPr="00011869" w14:paraId="576892D3" w14:textId="77777777" w:rsidTr="000A19D6">
        <w:trPr>
          <w:trHeight w:val="2055"/>
        </w:trPr>
        <w:tc>
          <w:tcPr>
            <w:tcW w:w="1529" w:type="dxa"/>
            <w:tcBorders>
              <w:top w:val="nil"/>
              <w:left w:val="single" w:sz="4" w:space="0" w:color="auto"/>
              <w:bottom w:val="single" w:sz="4" w:space="0" w:color="auto"/>
              <w:right w:val="single" w:sz="4" w:space="0" w:color="auto"/>
            </w:tcBorders>
            <w:shd w:val="clear" w:color="auto" w:fill="auto"/>
            <w:noWrap/>
            <w:hideMark/>
          </w:tcPr>
          <w:p w14:paraId="0C40C145" w14:textId="77777777" w:rsidR="00011869" w:rsidRPr="00011869" w:rsidRDefault="00011869" w:rsidP="00011869">
            <w:pPr>
              <w:rPr>
                <w:color w:val="000000"/>
                <w:sz w:val="20"/>
                <w:szCs w:val="20"/>
                <w:lang w:eastAsia="en-GB"/>
              </w:rPr>
            </w:pPr>
            <w:r w:rsidRPr="00011869">
              <w:rPr>
                <w:color w:val="000000"/>
                <w:sz w:val="20"/>
                <w:szCs w:val="20"/>
                <w:lang w:eastAsia="en-GB"/>
              </w:rPr>
              <w:t>SRR150003</w:t>
            </w:r>
          </w:p>
        </w:tc>
        <w:tc>
          <w:tcPr>
            <w:tcW w:w="4109" w:type="dxa"/>
            <w:tcBorders>
              <w:top w:val="nil"/>
              <w:left w:val="nil"/>
              <w:bottom w:val="single" w:sz="4" w:space="0" w:color="auto"/>
              <w:right w:val="single" w:sz="4" w:space="0" w:color="auto"/>
            </w:tcBorders>
            <w:shd w:val="clear" w:color="auto" w:fill="auto"/>
            <w:hideMark/>
          </w:tcPr>
          <w:p w14:paraId="2B432525" w14:textId="4E00A377" w:rsidR="00011869" w:rsidRPr="00011869" w:rsidRDefault="00011869" w:rsidP="000A19D6">
            <w:pPr>
              <w:rPr>
                <w:color w:val="000000"/>
                <w:sz w:val="20"/>
                <w:szCs w:val="20"/>
                <w:lang w:eastAsia="en-GB"/>
              </w:rPr>
            </w:pPr>
            <w:r w:rsidRPr="00011869">
              <w:rPr>
                <w:color w:val="000000"/>
                <w:sz w:val="20"/>
                <w:szCs w:val="20"/>
                <w:lang w:eastAsia="en-GB"/>
              </w:rPr>
              <w:t>Due to not engaging effectively with our partners, there is a loss of public or stakeholder confidence which will impact on our ability to deliver our services.</w:t>
            </w:r>
          </w:p>
        </w:tc>
        <w:tc>
          <w:tcPr>
            <w:tcW w:w="3646" w:type="dxa"/>
            <w:tcBorders>
              <w:top w:val="nil"/>
              <w:left w:val="nil"/>
              <w:bottom w:val="single" w:sz="4" w:space="0" w:color="auto"/>
              <w:right w:val="single" w:sz="4" w:space="0" w:color="auto"/>
            </w:tcBorders>
            <w:shd w:val="clear" w:color="auto" w:fill="auto"/>
            <w:hideMark/>
          </w:tcPr>
          <w:p w14:paraId="49F4D54E" w14:textId="7E45DEB1" w:rsidR="00011869" w:rsidRPr="00011869" w:rsidRDefault="00011869" w:rsidP="00011869">
            <w:pPr>
              <w:rPr>
                <w:color w:val="000000"/>
                <w:sz w:val="20"/>
                <w:szCs w:val="20"/>
                <w:lang w:eastAsia="en-GB"/>
              </w:rPr>
            </w:pPr>
            <w:r w:rsidRPr="00011869">
              <w:rPr>
                <w:color w:val="000000"/>
                <w:sz w:val="20"/>
                <w:szCs w:val="20"/>
                <w:lang w:eastAsia="en-GB"/>
              </w:rPr>
              <w:t xml:space="preserve">There is a risk that through ineffective engagement and involvement with our partners the Service does not fulfil its duty (e.g. under Policing and Crime Act 2017), realise </w:t>
            </w:r>
            <w:r w:rsidR="000A19D6" w:rsidRPr="00011869">
              <w:rPr>
                <w:color w:val="000000"/>
                <w:sz w:val="20"/>
                <w:szCs w:val="20"/>
                <w:lang w:eastAsia="en-GB"/>
              </w:rPr>
              <w:t>efficiencies</w:t>
            </w:r>
            <w:r w:rsidRPr="00011869">
              <w:rPr>
                <w:color w:val="000000"/>
                <w:sz w:val="20"/>
                <w:szCs w:val="20"/>
                <w:lang w:eastAsia="en-GB"/>
              </w:rPr>
              <w:t xml:space="preserve"> identified within the Local Business case, and provide a more efficient and effective service for the public.</w:t>
            </w:r>
          </w:p>
        </w:tc>
        <w:tc>
          <w:tcPr>
            <w:tcW w:w="4556" w:type="dxa"/>
            <w:tcBorders>
              <w:top w:val="nil"/>
              <w:left w:val="nil"/>
              <w:bottom w:val="single" w:sz="4" w:space="0" w:color="auto"/>
              <w:right w:val="single" w:sz="4" w:space="0" w:color="auto"/>
            </w:tcBorders>
            <w:shd w:val="clear" w:color="auto" w:fill="auto"/>
            <w:hideMark/>
          </w:tcPr>
          <w:p w14:paraId="50A7FB82" w14:textId="77777777" w:rsidR="00011869" w:rsidRPr="00011869" w:rsidRDefault="00011869" w:rsidP="00011869">
            <w:pPr>
              <w:rPr>
                <w:color w:val="000000"/>
                <w:sz w:val="20"/>
                <w:szCs w:val="20"/>
                <w:lang w:eastAsia="en-GB"/>
              </w:rPr>
            </w:pPr>
            <w:r w:rsidRPr="00011869">
              <w:rPr>
                <w:color w:val="000000"/>
                <w:sz w:val="20"/>
                <w:szCs w:val="20"/>
                <w:lang w:eastAsia="en-GB"/>
              </w:rPr>
              <w:t>Owner DCFO. This has changed to show alignment with F&amp;R plan objective 'We will work together with our partners to provide a more efficient and effective service for the public', and references the Local Business Case.</w:t>
            </w:r>
          </w:p>
        </w:tc>
      </w:tr>
      <w:tr w:rsidR="00011869" w:rsidRPr="00011869" w14:paraId="555A3150" w14:textId="77777777" w:rsidTr="000A19D6">
        <w:trPr>
          <w:trHeight w:val="1560"/>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61D5985E" w14:textId="77777777" w:rsidR="00011869" w:rsidRPr="00011869" w:rsidRDefault="00011869" w:rsidP="00011869">
            <w:pPr>
              <w:rPr>
                <w:color w:val="808080"/>
                <w:sz w:val="20"/>
                <w:szCs w:val="20"/>
                <w:lang w:eastAsia="en-GB"/>
              </w:rPr>
            </w:pPr>
            <w:r w:rsidRPr="00011869">
              <w:rPr>
                <w:color w:val="808080"/>
                <w:sz w:val="20"/>
                <w:szCs w:val="20"/>
                <w:lang w:eastAsia="en-GB"/>
              </w:rPr>
              <w:t>SRR150004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14:paraId="5A4347AE" w14:textId="1468609C" w:rsidR="00011869" w:rsidRPr="00011869" w:rsidRDefault="00011869" w:rsidP="008C3492">
            <w:pPr>
              <w:rPr>
                <w:color w:val="808080"/>
                <w:sz w:val="20"/>
                <w:szCs w:val="20"/>
                <w:lang w:eastAsia="en-GB"/>
              </w:rPr>
            </w:pPr>
            <w:r w:rsidRPr="00011869">
              <w:rPr>
                <w:color w:val="808080"/>
                <w:sz w:val="20"/>
                <w:szCs w:val="20"/>
                <w:lang w:eastAsia="en-GB"/>
              </w:rPr>
              <w:t>Failure to deliver the (incoming) Essex Fire &amp; Rescue Plan and/or PFCC Local Business Case.</w:t>
            </w:r>
            <w:r w:rsidRPr="00011869">
              <w:rPr>
                <w:color w:val="808080"/>
                <w:sz w:val="20"/>
                <w:szCs w:val="20"/>
                <w:lang w:eastAsia="en-GB"/>
              </w:rPr>
              <w:br/>
            </w:r>
            <w:r w:rsidRPr="00011869">
              <w:rPr>
                <w:color w:val="808080"/>
                <w:sz w:val="20"/>
                <w:szCs w:val="20"/>
                <w:lang w:eastAsia="en-GB"/>
              </w:rPr>
              <w:br/>
              <w:t>Cross reference to SRR150011</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6221CFE0" w14:textId="77777777" w:rsidR="00011869" w:rsidRPr="00011869" w:rsidRDefault="00011869" w:rsidP="00011869">
            <w:pPr>
              <w:rPr>
                <w:color w:val="808080"/>
                <w:sz w:val="20"/>
                <w:szCs w:val="20"/>
                <w:lang w:eastAsia="en-GB"/>
              </w:rPr>
            </w:pPr>
            <w:r w:rsidRPr="00011869">
              <w:rPr>
                <w:color w:val="808080"/>
                <w:sz w:val="20"/>
                <w:szCs w:val="20"/>
                <w:lang w:eastAsia="en-GB"/>
              </w:rPr>
              <w:t>Delete</w:t>
            </w: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14:paraId="4630B345" w14:textId="77777777" w:rsidR="00011869" w:rsidRPr="00011869" w:rsidRDefault="00011869" w:rsidP="00011869">
            <w:pPr>
              <w:rPr>
                <w:color w:val="808080"/>
                <w:sz w:val="20"/>
                <w:szCs w:val="20"/>
                <w:lang w:eastAsia="en-GB"/>
              </w:rPr>
            </w:pPr>
            <w:r w:rsidRPr="00011869">
              <w:rPr>
                <w:color w:val="808080"/>
                <w:sz w:val="20"/>
                <w:szCs w:val="20"/>
                <w:lang w:eastAsia="en-GB"/>
              </w:rPr>
              <w:t>See SRR 150003 and all F&amp;R plan objectives are included within other risks.</w:t>
            </w:r>
          </w:p>
        </w:tc>
      </w:tr>
      <w:tr w:rsidR="00011869" w:rsidRPr="00011869" w14:paraId="29A0FE31" w14:textId="77777777" w:rsidTr="000A19D6">
        <w:trPr>
          <w:trHeight w:val="2370"/>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00229C57" w14:textId="77777777" w:rsidR="00011869" w:rsidRPr="00011869" w:rsidRDefault="00011869" w:rsidP="00011869">
            <w:pPr>
              <w:rPr>
                <w:color w:val="000000"/>
                <w:sz w:val="20"/>
                <w:szCs w:val="20"/>
                <w:lang w:eastAsia="en-GB"/>
              </w:rPr>
            </w:pPr>
            <w:r w:rsidRPr="00011869">
              <w:rPr>
                <w:color w:val="000000"/>
                <w:sz w:val="20"/>
                <w:szCs w:val="20"/>
                <w:lang w:eastAsia="en-GB"/>
              </w:rPr>
              <w:t>SRR150005</w:t>
            </w:r>
          </w:p>
        </w:tc>
        <w:tc>
          <w:tcPr>
            <w:tcW w:w="4109" w:type="dxa"/>
            <w:tcBorders>
              <w:top w:val="single" w:sz="4" w:space="0" w:color="auto"/>
              <w:left w:val="nil"/>
              <w:bottom w:val="single" w:sz="4" w:space="0" w:color="auto"/>
              <w:right w:val="single" w:sz="4" w:space="0" w:color="auto"/>
            </w:tcBorders>
            <w:shd w:val="clear" w:color="auto" w:fill="auto"/>
            <w:hideMark/>
          </w:tcPr>
          <w:p w14:paraId="4AD453A7" w14:textId="5B382CA3" w:rsidR="00011869" w:rsidRPr="00011869" w:rsidRDefault="00011869" w:rsidP="008C3492">
            <w:pPr>
              <w:rPr>
                <w:color w:val="000000"/>
                <w:sz w:val="20"/>
                <w:szCs w:val="20"/>
                <w:lang w:eastAsia="en-GB"/>
              </w:rPr>
            </w:pPr>
            <w:r w:rsidRPr="00011869">
              <w:rPr>
                <w:color w:val="000000"/>
                <w:sz w:val="20"/>
                <w:szCs w:val="20"/>
                <w:lang w:eastAsia="en-GB"/>
              </w:rPr>
              <w:t>Failure to deliver against our People Strategy</w:t>
            </w:r>
            <w:r w:rsidRPr="00011869">
              <w:rPr>
                <w:color w:val="000000"/>
                <w:sz w:val="20"/>
                <w:szCs w:val="20"/>
                <w:lang w:eastAsia="en-GB"/>
              </w:rPr>
              <w:br/>
            </w:r>
            <w:r w:rsidRPr="00011869">
              <w:rPr>
                <w:color w:val="000000"/>
                <w:sz w:val="20"/>
                <w:szCs w:val="20"/>
                <w:lang w:eastAsia="en-GB"/>
              </w:rPr>
              <w:br/>
              <w:t>If we do not have motivated and engaged people with the right skills and competencies, with appropriate succession planning and career development, there is a risk that we will be unable to innovate and deliver safe and effective services to our communities.</w:t>
            </w:r>
          </w:p>
        </w:tc>
        <w:tc>
          <w:tcPr>
            <w:tcW w:w="3646" w:type="dxa"/>
            <w:tcBorders>
              <w:top w:val="single" w:sz="4" w:space="0" w:color="auto"/>
              <w:left w:val="nil"/>
              <w:bottom w:val="single" w:sz="4" w:space="0" w:color="auto"/>
              <w:right w:val="single" w:sz="4" w:space="0" w:color="auto"/>
            </w:tcBorders>
            <w:shd w:val="clear" w:color="auto" w:fill="auto"/>
            <w:hideMark/>
          </w:tcPr>
          <w:p w14:paraId="4E9A014A" w14:textId="77777777" w:rsidR="00011869" w:rsidRPr="00011869" w:rsidRDefault="00011869" w:rsidP="00011869">
            <w:pPr>
              <w:rPr>
                <w:color w:val="000000"/>
                <w:sz w:val="20"/>
                <w:szCs w:val="20"/>
                <w:lang w:eastAsia="en-GB"/>
              </w:rPr>
            </w:pPr>
            <w:r w:rsidRPr="00011869">
              <w:rPr>
                <w:color w:val="000000"/>
                <w:sz w:val="20"/>
                <w:szCs w:val="20"/>
                <w:lang w:eastAsia="en-GB"/>
              </w:rPr>
              <w:t xml:space="preserve">There is a risk that the Service does not develop and manage </w:t>
            </w:r>
            <w:proofErr w:type="spellStart"/>
            <w:r w:rsidRPr="00011869">
              <w:rPr>
                <w:color w:val="000000"/>
                <w:sz w:val="20"/>
                <w:szCs w:val="20"/>
                <w:lang w:eastAsia="en-GB"/>
              </w:rPr>
              <w:t>it's</w:t>
            </w:r>
            <w:proofErr w:type="spellEnd"/>
            <w:r w:rsidRPr="00011869">
              <w:rPr>
                <w:color w:val="000000"/>
                <w:sz w:val="20"/>
                <w:szCs w:val="20"/>
                <w:lang w:eastAsia="en-GB"/>
              </w:rPr>
              <w:t xml:space="preserve"> people effectively therefore not delivering a range of activities which save lives, prevent harm and protect our communities due to failure to deliver against the Service's People Strategy and have the right people, in the right place, with the right skills, at the right time.</w:t>
            </w:r>
          </w:p>
        </w:tc>
        <w:tc>
          <w:tcPr>
            <w:tcW w:w="4556" w:type="dxa"/>
            <w:tcBorders>
              <w:top w:val="single" w:sz="4" w:space="0" w:color="auto"/>
              <w:left w:val="nil"/>
              <w:bottom w:val="single" w:sz="4" w:space="0" w:color="auto"/>
              <w:right w:val="single" w:sz="4" w:space="0" w:color="auto"/>
            </w:tcBorders>
            <w:shd w:val="clear" w:color="auto" w:fill="auto"/>
            <w:hideMark/>
          </w:tcPr>
          <w:p w14:paraId="05305106" w14:textId="77777777" w:rsidR="00011869" w:rsidRPr="00011869" w:rsidRDefault="00011869" w:rsidP="00011869">
            <w:pPr>
              <w:rPr>
                <w:color w:val="000000"/>
                <w:sz w:val="20"/>
                <w:szCs w:val="20"/>
                <w:lang w:eastAsia="en-GB"/>
              </w:rPr>
            </w:pPr>
            <w:r w:rsidRPr="00011869">
              <w:rPr>
                <w:color w:val="000000"/>
                <w:sz w:val="20"/>
                <w:szCs w:val="20"/>
                <w:lang w:eastAsia="en-GB"/>
              </w:rPr>
              <w:t>Risk Owner - Director of Corporate Services, now more aligned to the Objective 'to save lives, prevent harm and protect our communities by developing and broadening our roles and partnerships'</w:t>
            </w:r>
          </w:p>
        </w:tc>
      </w:tr>
      <w:tr w:rsidR="00011869" w:rsidRPr="00011869" w14:paraId="6161D5FA" w14:textId="77777777" w:rsidTr="000A19D6">
        <w:trPr>
          <w:trHeight w:val="1845"/>
        </w:trPr>
        <w:tc>
          <w:tcPr>
            <w:tcW w:w="1529" w:type="dxa"/>
            <w:tcBorders>
              <w:top w:val="nil"/>
              <w:left w:val="single" w:sz="4" w:space="0" w:color="auto"/>
              <w:bottom w:val="single" w:sz="4" w:space="0" w:color="auto"/>
              <w:right w:val="single" w:sz="4" w:space="0" w:color="auto"/>
            </w:tcBorders>
            <w:shd w:val="clear" w:color="auto" w:fill="auto"/>
            <w:noWrap/>
            <w:hideMark/>
          </w:tcPr>
          <w:p w14:paraId="20445B52" w14:textId="77777777" w:rsidR="00011869" w:rsidRPr="00011869" w:rsidRDefault="00011869" w:rsidP="00011869">
            <w:pPr>
              <w:rPr>
                <w:color w:val="000000"/>
                <w:sz w:val="20"/>
                <w:szCs w:val="20"/>
                <w:lang w:eastAsia="en-GB"/>
              </w:rPr>
            </w:pPr>
            <w:r w:rsidRPr="00011869">
              <w:rPr>
                <w:color w:val="000000"/>
                <w:sz w:val="20"/>
                <w:szCs w:val="20"/>
                <w:lang w:eastAsia="en-GB"/>
              </w:rPr>
              <w:t>SRR150008</w:t>
            </w:r>
          </w:p>
        </w:tc>
        <w:tc>
          <w:tcPr>
            <w:tcW w:w="4109" w:type="dxa"/>
            <w:tcBorders>
              <w:top w:val="nil"/>
              <w:left w:val="nil"/>
              <w:bottom w:val="single" w:sz="4" w:space="0" w:color="auto"/>
              <w:right w:val="single" w:sz="4" w:space="0" w:color="auto"/>
            </w:tcBorders>
            <w:shd w:val="clear" w:color="auto" w:fill="auto"/>
            <w:hideMark/>
          </w:tcPr>
          <w:p w14:paraId="79701122" w14:textId="7364BDE7" w:rsidR="00011869" w:rsidRPr="00971378" w:rsidRDefault="005141F9" w:rsidP="005141F9">
            <w:pPr>
              <w:rPr>
                <w:color w:val="000000"/>
                <w:sz w:val="20"/>
                <w:szCs w:val="20"/>
                <w:lang w:eastAsia="en-GB"/>
              </w:rPr>
            </w:pPr>
            <w:r w:rsidRPr="005141F9">
              <w:rPr>
                <w:color w:val="000000"/>
                <w:sz w:val="20"/>
                <w:szCs w:val="20"/>
                <w:lang w:eastAsia="en-GB"/>
              </w:rPr>
              <w:t>Service unable to effectively communicate with our mobile assets and partner agencies (including ESMCP &amp; COMOS Projects)</w:t>
            </w:r>
          </w:p>
        </w:tc>
        <w:tc>
          <w:tcPr>
            <w:tcW w:w="3646" w:type="dxa"/>
            <w:tcBorders>
              <w:top w:val="nil"/>
              <w:left w:val="nil"/>
              <w:bottom w:val="single" w:sz="4" w:space="0" w:color="auto"/>
              <w:right w:val="single" w:sz="4" w:space="0" w:color="auto"/>
            </w:tcBorders>
            <w:shd w:val="clear" w:color="auto" w:fill="auto"/>
            <w:hideMark/>
          </w:tcPr>
          <w:p w14:paraId="469E484C" w14:textId="77777777" w:rsidR="005141F9" w:rsidRPr="005141F9" w:rsidRDefault="005141F9" w:rsidP="005141F9">
            <w:pPr>
              <w:rPr>
                <w:iCs/>
                <w:color w:val="000000"/>
                <w:sz w:val="20"/>
                <w:szCs w:val="20"/>
                <w:lang w:eastAsia="en-GB"/>
              </w:rPr>
            </w:pPr>
            <w:r w:rsidRPr="005141F9">
              <w:rPr>
                <w:iCs/>
                <w:color w:val="000000"/>
                <w:sz w:val="20"/>
                <w:szCs w:val="20"/>
                <w:lang w:eastAsia="en-GB"/>
              </w:rPr>
              <w:t>There is a risk that the Service is unable to effectively mobilise and/or communicate with our response resources and partner agencies due to the CAD (alerting/mobilising system) and/or ICCS (telephony and radios) being unavailable which leads to a failure or delay to mobilisation and/or a degradation in ECFRS Safe Systems of Work</w:t>
            </w:r>
          </w:p>
          <w:p w14:paraId="41487509" w14:textId="77777777" w:rsidR="005141F9" w:rsidRPr="005141F9" w:rsidRDefault="005141F9" w:rsidP="005141F9">
            <w:pPr>
              <w:rPr>
                <w:iCs/>
                <w:color w:val="000000"/>
                <w:sz w:val="20"/>
                <w:szCs w:val="20"/>
                <w:lang w:eastAsia="en-GB"/>
              </w:rPr>
            </w:pPr>
            <w:r w:rsidRPr="005141F9">
              <w:rPr>
                <w:iCs/>
                <w:color w:val="000000"/>
                <w:sz w:val="20"/>
                <w:szCs w:val="20"/>
                <w:lang w:eastAsia="en-GB"/>
              </w:rPr>
              <w:t>(Link to SRR150002, SRR150014 and SRR150026)</w:t>
            </w:r>
          </w:p>
          <w:p w14:paraId="5B4E35F8" w14:textId="2FB72EB4" w:rsidR="00011869" w:rsidRPr="005141F9" w:rsidRDefault="00011869" w:rsidP="00011869">
            <w:pPr>
              <w:rPr>
                <w:color w:val="000000"/>
                <w:sz w:val="20"/>
                <w:szCs w:val="20"/>
                <w:lang w:eastAsia="en-GB"/>
              </w:rPr>
            </w:pPr>
          </w:p>
        </w:tc>
        <w:tc>
          <w:tcPr>
            <w:tcW w:w="4556" w:type="dxa"/>
            <w:tcBorders>
              <w:top w:val="nil"/>
              <w:left w:val="nil"/>
              <w:bottom w:val="single" w:sz="4" w:space="0" w:color="auto"/>
              <w:right w:val="single" w:sz="4" w:space="0" w:color="auto"/>
            </w:tcBorders>
            <w:shd w:val="clear" w:color="auto" w:fill="auto"/>
            <w:hideMark/>
          </w:tcPr>
          <w:p w14:paraId="6795741A" w14:textId="6B940586" w:rsidR="005141F9" w:rsidRPr="005141F9" w:rsidRDefault="00011869" w:rsidP="005141F9">
            <w:pPr>
              <w:rPr>
                <w:i/>
                <w:iCs/>
                <w:color w:val="000000"/>
                <w:sz w:val="20"/>
                <w:szCs w:val="20"/>
                <w:lang w:eastAsia="en-GB"/>
              </w:rPr>
            </w:pPr>
            <w:r w:rsidRPr="00011869">
              <w:rPr>
                <w:color w:val="000000"/>
                <w:sz w:val="20"/>
                <w:szCs w:val="20"/>
                <w:lang w:eastAsia="en-GB"/>
              </w:rPr>
              <w:t>Owned by ACFO IRMP and Service Improvement. Change of wording to reflect the risk more effectively.</w:t>
            </w:r>
            <w:r w:rsidR="005141F9" w:rsidRPr="005141F9">
              <w:rPr>
                <w:rFonts w:ascii="Calibri" w:eastAsiaTheme="minorHAnsi" w:hAnsi="Calibri" w:cs="Times New Roman"/>
                <w:i/>
                <w:iCs/>
              </w:rPr>
              <w:t xml:space="preserve"> </w:t>
            </w:r>
            <w:r w:rsidR="005141F9" w:rsidRPr="005141F9">
              <w:rPr>
                <w:i/>
                <w:iCs/>
                <w:color w:val="000000"/>
                <w:sz w:val="20"/>
                <w:szCs w:val="20"/>
                <w:lang w:eastAsia="en-GB"/>
              </w:rPr>
              <w:t>(Link to SRR150002, SRR150014 and SRR150026)</w:t>
            </w:r>
          </w:p>
          <w:p w14:paraId="6279453B" w14:textId="77777777" w:rsidR="00011869" w:rsidRPr="00011869" w:rsidRDefault="00011869" w:rsidP="00011869">
            <w:pPr>
              <w:rPr>
                <w:color w:val="000000"/>
                <w:sz w:val="20"/>
                <w:szCs w:val="20"/>
                <w:lang w:eastAsia="en-GB"/>
              </w:rPr>
            </w:pPr>
          </w:p>
        </w:tc>
      </w:tr>
      <w:tr w:rsidR="00011869" w:rsidRPr="00011869" w14:paraId="03E43051" w14:textId="77777777" w:rsidTr="000A19D6">
        <w:trPr>
          <w:trHeight w:val="154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015AC718" w14:textId="77777777" w:rsidR="00011869" w:rsidRPr="00011869" w:rsidRDefault="00011869" w:rsidP="00011869">
            <w:pPr>
              <w:rPr>
                <w:color w:val="000000"/>
                <w:sz w:val="20"/>
                <w:szCs w:val="20"/>
                <w:lang w:eastAsia="en-GB"/>
              </w:rPr>
            </w:pPr>
            <w:r w:rsidRPr="00011869">
              <w:rPr>
                <w:color w:val="000000"/>
                <w:sz w:val="20"/>
                <w:szCs w:val="20"/>
                <w:lang w:eastAsia="en-GB"/>
              </w:rPr>
              <w:t>SRR150009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14:paraId="12948D15" w14:textId="77777777" w:rsidR="00011869" w:rsidRPr="00011869" w:rsidRDefault="00011869" w:rsidP="00011869">
            <w:pPr>
              <w:rPr>
                <w:color w:val="000000"/>
                <w:sz w:val="20"/>
                <w:szCs w:val="20"/>
                <w:lang w:eastAsia="en-GB"/>
              </w:rPr>
            </w:pPr>
            <w:r w:rsidRPr="00011869">
              <w:rPr>
                <w:color w:val="000000"/>
                <w:sz w:val="20"/>
                <w:szCs w:val="20"/>
                <w:lang w:eastAsia="en-GB"/>
              </w:rPr>
              <w:t>Failure to comply with the Data Protection Act 2018 and General Data Protection Regulations 2016</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67F51C4B" w14:textId="77777777" w:rsidR="00011869" w:rsidRPr="00011869" w:rsidRDefault="00011869" w:rsidP="00011869">
            <w:pPr>
              <w:rPr>
                <w:color w:val="000000"/>
                <w:sz w:val="20"/>
                <w:szCs w:val="20"/>
                <w:lang w:eastAsia="en-GB"/>
              </w:rPr>
            </w:pPr>
            <w:r w:rsidRPr="00011869">
              <w:rPr>
                <w:color w:val="000000"/>
                <w:sz w:val="20"/>
                <w:szCs w:val="20"/>
                <w:lang w:eastAsia="en-GB"/>
              </w:rPr>
              <w:t>There is a risk of Data loss/breach due to failure/lack of Data Protection Act (2018) compliance leading to personal loss, Corporate loss or a loss of public confidence and legal action</w:t>
            </w: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14:paraId="414B6165" w14:textId="77777777" w:rsidR="00011869" w:rsidRPr="00011869" w:rsidRDefault="00011869" w:rsidP="00011869">
            <w:pPr>
              <w:rPr>
                <w:color w:val="000000"/>
                <w:sz w:val="20"/>
                <w:szCs w:val="20"/>
                <w:lang w:eastAsia="en-GB"/>
              </w:rPr>
            </w:pPr>
            <w:r w:rsidRPr="00011869">
              <w:rPr>
                <w:color w:val="000000"/>
                <w:sz w:val="20"/>
                <w:szCs w:val="20"/>
                <w:lang w:eastAsia="en-GB"/>
              </w:rPr>
              <w:t>Owned by the DCFO. Change of wording to reflect the risk more effectively.</w:t>
            </w:r>
          </w:p>
        </w:tc>
      </w:tr>
      <w:tr w:rsidR="00011869" w:rsidRPr="00011869" w14:paraId="6B35D25D" w14:textId="77777777" w:rsidTr="000A19D6">
        <w:trPr>
          <w:trHeight w:val="181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641E57FC" w14:textId="77777777" w:rsidR="00011869" w:rsidRPr="00011869" w:rsidRDefault="00011869" w:rsidP="00011869">
            <w:pPr>
              <w:rPr>
                <w:color w:val="000000"/>
                <w:sz w:val="20"/>
                <w:szCs w:val="20"/>
                <w:lang w:eastAsia="en-GB"/>
              </w:rPr>
            </w:pPr>
            <w:r w:rsidRPr="00011869">
              <w:rPr>
                <w:color w:val="000000"/>
                <w:sz w:val="20"/>
                <w:szCs w:val="20"/>
                <w:lang w:eastAsia="en-GB"/>
              </w:rPr>
              <w:t>SRR150010</w:t>
            </w:r>
          </w:p>
        </w:tc>
        <w:tc>
          <w:tcPr>
            <w:tcW w:w="4109" w:type="dxa"/>
            <w:tcBorders>
              <w:top w:val="single" w:sz="4" w:space="0" w:color="auto"/>
              <w:left w:val="nil"/>
              <w:bottom w:val="single" w:sz="4" w:space="0" w:color="auto"/>
              <w:right w:val="single" w:sz="4" w:space="0" w:color="auto"/>
            </w:tcBorders>
            <w:shd w:val="clear" w:color="auto" w:fill="auto"/>
            <w:hideMark/>
          </w:tcPr>
          <w:p w14:paraId="7B22401A" w14:textId="77777777" w:rsidR="00011869" w:rsidRPr="00011869" w:rsidRDefault="00011869" w:rsidP="00011869">
            <w:pPr>
              <w:rPr>
                <w:color w:val="000000"/>
                <w:sz w:val="20"/>
                <w:szCs w:val="20"/>
                <w:lang w:eastAsia="en-GB"/>
              </w:rPr>
            </w:pPr>
            <w:r w:rsidRPr="00011869">
              <w:rPr>
                <w:color w:val="000000"/>
                <w:sz w:val="20"/>
                <w:szCs w:val="20"/>
                <w:lang w:eastAsia="en-GB"/>
              </w:rPr>
              <w:t>Failure to manage and implement learning arising from incidents within Essex and also National events</w:t>
            </w:r>
          </w:p>
        </w:tc>
        <w:tc>
          <w:tcPr>
            <w:tcW w:w="3646" w:type="dxa"/>
            <w:tcBorders>
              <w:top w:val="single" w:sz="4" w:space="0" w:color="auto"/>
              <w:left w:val="nil"/>
              <w:bottom w:val="single" w:sz="4" w:space="0" w:color="auto"/>
              <w:right w:val="single" w:sz="4" w:space="0" w:color="auto"/>
            </w:tcBorders>
            <w:shd w:val="clear" w:color="auto" w:fill="auto"/>
            <w:hideMark/>
          </w:tcPr>
          <w:p w14:paraId="6C021250" w14:textId="152D862C" w:rsidR="00011869" w:rsidRPr="00011869" w:rsidRDefault="00011869" w:rsidP="00011869">
            <w:pPr>
              <w:rPr>
                <w:sz w:val="20"/>
                <w:szCs w:val="20"/>
                <w:lang w:eastAsia="en-GB"/>
              </w:rPr>
            </w:pPr>
            <w:r w:rsidRPr="00011869">
              <w:rPr>
                <w:sz w:val="20"/>
                <w:szCs w:val="20"/>
                <w:lang w:eastAsia="en-GB"/>
              </w:rPr>
              <w:t>There is a risk that the Service fails to, or unable to, implement appropriately the learning from local/National incidents, audit reports, case studies, changes/</w:t>
            </w:r>
            <w:r w:rsidR="000A19D6" w:rsidRPr="00011869">
              <w:rPr>
                <w:sz w:val="20"/>
                <w:szCs w:val="20"/>
                <w:lang w:eastAsia="en-GB"/>
              </w:rPr>
              <w:t>interruption</w:t>
            </w:r>
            <w:r w:rsidRPr="00011869">
              <w:rPr>
                <w:sz w:val="20"/>
                <w:szCs w:val="20"/>
                <w:lang w:eastAsia="en-GB"/>
              </w:rPr>
              <w:t xml:space="preserve"> to law/</w:t>
            </w:r>
            <w:r w:rsidR="000A19D6" w:rsidRPr="00011869">
              <w:rPr>
                <w:sz w:val="20"/>
                <w:szCs w:val="20"/>
                <w:lang w:eastAsia="en-GB"/>
              </w:rPr>
              <w:t>regulations</w:t>
            </w:r>
            <w:r w:rsidRPr="00011869">
              <w:rPr>
                <w:sz w:val="20"/>
                <w:szCs w:val="20"/>
                <w:lang w:eastAsia="en-GB"/>
              </w:rPr>
              <w:t xml:space="preserve"> in a</w:t>
            </w:r>
            <w:r w:rsidR="000A19D6">
              <w:rPr>
                <w:sz w:val="20"/>
                <w:szCs w:val="20"/>
                <w:lang w:eastAsia="en-GB"/>
              </w:rPr>
              <w:t>n</w:t>
            </w:r>
            <w:r w:rsidRPr="00011869">
              <w:rPr>
                <w:sz w:val="20"/>
                <w:szCs w:val="20"/>
                <w:lang w:eastAsia="en-GB"/>
              </w:rPr>
              <w:t xml:space="preserve"> effective and timely way.</w:t>
            </w:r>
          </w:p>
        </w:tc>
        <w:tc>
          <w:tcPr>
            <w:tcW w:w="4556" w:type="dxa"/>
            <w:tcBorders>
              <w:top w:val="single" w:sz="4" w:space="0" w:color="auto"/>
              <w:left w:val="nil"/>
              <w:bottom w:val="single" w:sz="4" w:space="0" w:color="auto"/>
              <w:right w:val="single" w:sz="4" w:space="0" w:color="auto"/>
            </w:tcBorders>
            <w:shd w:val="clear" w:color="auto" w:fill="auto"/>
            <w:hideMark/>
          </w:tcPr>
          <w:p w14:paraId="2685846B" w14:textId="77777777" w:rsidR="00011869" w:rsidRPr="00011869" w:rsidRDefault="00011869" w:rsidP="00011869">
            <w:pPr>
              <w:rPr>
                <w:color w:val="000000"/>
                <w:sz w:val="20"/>
                <w:szCs w:val="20"/>
                <w:lang w:eastAsia="en-GB"/>
              </w:rPr>
            </w:pPr>
            <w:r w:rsidRPr="00011869">
              <w:rPr>
                <w:color w:val="000000"/>
                <w:sz w:val="20"/>
                <w:szCs w:val="20"/>
                <w:lang w:eastAsia="en-GB"/>
              </w:rPr>
              <w:t>To be owned by Director IRFD. This risk replaces SRR150013 and SRR150023</w:t>
            </w:r>
          </w:p>
        </w:tc>
      </w:tr>
      <w:tr w:rsidR="00011869" w:rsidRPr="00011869" w14:paraId="666A3AEC" w14:textId="77777777" w:rsidTr="000A19D6">
        <w:trPr>
          <w:trHeight w:val="178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0AD41D4B" w14:textId="77777777" w:rsidR="00011869" w:rsidRPr="00011869" w:rsidRDefault="00011869" w:rsidP="00011869">
            <w:pPr>
              <w:rPr>
                <w:color w:val="000000"/>
                <w:sz w:val="20"/>
                <w:szCs w:val="20"/>
                <w:lang w:eastAsia="en-GB"/>
              </w:rPr>
            </w:pPr>
            <w:r w:rsidRPr="00011869">
              <w:rPr>
                <w:color w:val="000000"/>
                <w:sz w:val="20"/>
                <w:szCs w:val="20"/>
                <w:lang w:eastAsia="en-GB"/>
              </w:rPr>
              <w:t>SRR150011</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14:paraId="0674821E" w14:textId="080B0AF4" w:rsidR="00011869" w:rsidRPr="00011869" w:rsidRDefault="00011869" w:rsidP="008C3492">
            <w:pPr>
              <w:rPr>
                <w:color w:val="000000"/>
                <w:sz w:val="20"/>
                <w:szCs w:val="20"/>
                <w:lang w:eastAsia="en-GB"/>
              </w:rPr>
            </w:pPr>
            <w:r w:rsidRPr="00011869">
              <w:rPr>
                <w:color w:val="000000"/>
                <w:sz w:val="20"/>
                <w:szCs w:val="20"/>
                <w:lang w:eastAsia="en-GB"/>
              </w:rPr>
              <w:t>Change in political climate/direction Nationally and/or in Essex.</w:t>
            </w:r>
            <w:r w:rsidRPr="00011869">
              <w:rPr>
                <w:color w:val="000000"/>
                <w:sz w:val="20"/>
                <w:szCs w:val="20"/>
                <w:lang w:eastAsia="en-GB"/>
              </w:rPr>
              <w:br/>
            </w:r>
            <w:r w:rsidRPr="00011869">
              <w:rPr>
                <w:color w:val="000000"/>
                <w:sz w:val="20"/>
                <w:szCs w:val="20"/>
                <w:lang w:eastAsia="en-GB"/>
              </w:rPr>
              <w:br/>
              <w:t>Cross reference to SRR150004</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3EB07165" w14:textId="5E9AB247" w:rsidR="00011869" w:rsidRPr="00011869" w:rsidRDefault="00011869" w:rsidP="00011869">
            <w:pPr>
              <w:rPr>
                <w:color w:val="000000"/>
                <w:sz w:val="20"/>
                <w:szCs w:val="20"/>
                <w:lang w:eastAsia="en-GB"/>
              </w:rPr>
            </w:pPr>
            <w:r w:rsidRPr="00011869">
              <w:rPr>
                <w:color w:val="000000"/>
                <w:sz w:val="20"/>
                <w:szCs w:val="20"/>
                <w:lang w:eastAsia="en-GB"/>
              </w:rPr>
              <w:t xml:space="preserve">There is a change in local and/or National leadership, </w:t>
            </w:r>
            <w:r w:rsidR="000A19D6" w:rsidRPr="00011869">
              <w:rPr>
                <w:color w:val="000000"/>
                <w:sz w:val="20"/>
                <w:szCs w:val="20"/>
                <w:lang w:eastAsia="en-GB"/>
              </w:rPr>
              <w:t>priorities</w:t>
            </w:r>
            <w:r w:rsidRPr="00011869">
              <w:rPr>
                <w:color w:val="000000"/>
                <w:sz w:val="20"/>
                <w:szCs w:val="20"/>
                <w:lang w:eastAsia="en-GB"/>
              </w:rPr>
              <w:t xml:space="preserve"> or policy which impacts on the Service's change programme effecting delivery of the Fire and Rescue Plan, the Medium Term Financial Plan and the Integrated Risk Management Plan.</w:t>
            </w: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14:paraId="11FB07E3" w14:textId="77777777" w:rsidR="00011869" w:rsidRPr="00011869" w:rsidRDefault="00011869" w:rsidP="00011869">
            <w:pPr>
              <w:rPr>
                <w:color w:val="000000"/>
                <w:sz w:val="20"/>
                <w:szCs w:val="20"/>
                <w:lang w:eastAsia="en-GB"/>
              </w:rPr>
            </w:pPr>
            <w:r w:rsidRPr="00011869">
              <w:rPr>
                <w:color w:val="000000"/>
                <w:sz w:val="20"/>
                <w:szCs w:val="20"/>
                <w:lang w:eastAsia="en-GB"/>
              </w:rPr>
              <w:t xml:space="preserve">To be Owned by CFO/CEO. Change of wording to reflect the risk more effectively. Also include </w:t>
            </w:r>
            <w:proofErr w:type="spellStart"/>
            <w:r w:rsidRPr="00011869">
              <w:rPr>
                <w:color w:val="000000"/>
                <w:sz w:val="20"/>
                <w:szCs w:val="20"/>
                <w:lang w:eastAsia="en-GB"/>
              </w:rPr>
              <w:t>Brexit</w:t>
            </w:r>
            <w:proofErr w:type="spellEnd"/>
            <w:r w:rsidRPr="00011869">
              <w:rPr>
                <w:color w:val="000000"/>
                <w:sz w:val="20"/>
                <w:szCs w:val="20"/>
                <w:lang w:eastAsia="en-GB"/>
              </w:rPr>
              <w:t xml:space="preserve"> in this risk.</w:t>
            </w:r>
          </w:p>
        </w:tc>
      </w:tr>
      <w:tr w:rsidR="00011869" w:rsidRPr="00011869" w14:paraId="24F4F321" w14:textId="77777777" w:rsidTr="000A19D6">
        <w:trPr>
          <w:trHeight w:val="154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14635710" w14:textId="77777777" w:rsidR="00011869" w:rsidRPr="00011869" w:rsidRDefault="00011869" w:rsidP="00011869">
            <w:pPr>
              <w:rPr>
                <w:color w:val="000000"/>
                <w:sz w:val="20"/>
                <w:szCs w:val="20"/>
                <w:lang w:eastAsia="en-GB"/>
              </w:rPr>
            </w:pPr>
            <w:r w:rsidRPr="00011869">
              <w:rPr>
                <w:color w:val="000000"/>
                <w:sz w:val="20"/>
                <w:szCs w:val="20"/>
                <w:lang w:eastAsia="en-GB"/>
              </w:rPr>
              <w:t>SRR150012</w:t>
            </w:r>
          </w:p>
        </w:tc>
        <w:tc>
          <w:tcPr>
            <w:tcW w:w="4109" w:type="dxa"/>
            <w:tcBorders>
              <w:top w:val="single" w:sz="4" w:space="0" w:color="auto"/>
              <w:left w:val="nil"/>
              <w:bottom w:val="single" w:sz="4" w:space="0" w:color="auto"/>
              <w:right w:val="single" w:sz="4" w:space="0" w:color="auto"/>
            </w:tcBorders>
            <w:shd w:val="clear" w:color="auto" w:fill="auto"/>
            <w:hideMark/>
          </w:tcPr>
          <w:p w14:paraId="420FC6CC" w14:textId="77777777" w:rsidR="00011869" w:rsidRPr="00011869" w:rsidRDefault="00011869" w:rsidP="00011869">
            <w:pPr>
              <w:rPr>
                <w:color w:val="000000"/>
                <w:sz w:val="20"/>
                <w:szCs w:val="20"/>
                <w:lang w:eastAsia="en-GB"/>
              </w:rPr>
            </w:pPr>
            <w:r w:rsidRPr="00011869">
              <w:rPr>
                <w:color w:val="000000"/>
                <w:sz w:val="20"/>
                <w:szCs w:val="20"/>
                <w:lang w:eastAsia="en-GB"/>
              </w:rPr>
              <w:t>Staff and/or volunteers fail to recognise &amp; take appropriate action where a 'Safeguarding' issue occurs.</w:t>
            </w:r>
          </w:p>
        </w:tc>
        <w:tc>
          <w:tcPr>
            <w:tcW w:w="3646" w:type="dxa"/>
            <w:tcBorders>
              <w:top w:val="single" w:sz="4" w:space="0" w:color="auto"/>
              <w:left w:val="nil"/>
              <w:bottom w:val="single" w:sz="4" w:space="0" w:color="auto"/>
              <w:right w:val="single" w:sz="4" w:space="0" w:color="auto"/>
            </w:tcBorders>
            <w:shd w:val="clear" w:color="auto" w:fill="auto"/>
            <w:hideMark/>
          </w:tcPr>
          <w:p w14:paraId="724A4C9C" w14:textId="49211417" w:rsidR="00011869" w:rsidRPr="00011869" w:rsidRDefault="00011869" w:rsidP="00011869">
            <w:pPr>
              <w:rPr>
                <w:color w:val="000000"/>
                <w:sz w:val="20"/>
                <w:szCs w:val="20"/>
                <w:lang w:eastAsia="en-GB"/>
              </w:rPr>
            </w:pPr>
            <w:r w:rsidRPr="00011869">
              <w:rPr>
                <w:color w:val="000000"/>
                <w:sz w:val="20"/>
                <w:szCs w:val="20"/>
                <w:lang w:eastAsia="en-GB"/>
              </w:rPr>
              <w:t xml:space="preserve">There is a risk that due to poor safeguarding practices or engagement with the Essex </w:t>
            </w:r>
            <w:r w:rsidR="000A19D6" w:rsidRPr="00011869">
              <w:rPr>
                <w:color w:val="000000"/>
                <w:sz w:val="20"/>
                <w:szCs w:val="20"/>
                <w:lang w:eastAsia="en-GB"/>
              </w:rPr>
              <w:t>Communities</w:t>
            </w:r>
            <w:r w:rsidRPr="00011869">
              <w:rPr>
                <w:color w:val="000000"/>
                <w:sz w:val="20"/>
                <w:szCs w:val="20"/>
                <w:lang w:eastAsia="en-GB"/>
              </w:rPr>
              <w:t xml:space="preserve"> the Service fails to refer </w:t>
            </w:r>
            <w:r w:rsidR="000A19D6" w:rsidRPr="00011869">
              <w:rPr>
                <w:color w:val="000000"/>
                <w:sz w:val="20"/>
                <w:szCs w:val="20"/>
                <w:lang w:eastAsia="en-GB"/>
              </w:rPr>
              <w:t>appropriately</w:t>
            </w:r>
            <w:r w:rsidRPr="00011869">
              <w:rPr>
                <w:color w:val="000000"/>
                <w:sz w:val="20"/>
                <w:szCs w:val="20"/>
                <w:lang w:eastAsia="en-GB"/>
              </w:rPr>
              <w:t xml:space="preserve"> to other Services and help protect the vulnerable in staying safe</w:t>
            </w:r>
          </w:p>
        </w:tc>
        <w:tc>
          <w:tcPr>
            <w:tcW w:w="4556" w:type="dxa"/>
            <w:tcBorders>
              <w:top w:val="single" w:sz="4" w:space="0" w:color="auto"/>
              <w:left w:val="nil"/>
              <w:bottom w:val="single" w:sz="4" w:space="0" w:color="auto"/>
              <w:right w:val="single" w:sz="4" w:space="0" w:color="auto"/>
            </w:tcBorders>
            <w:shd w:val="clear" w:color="auto" w:fill="auto"/>
            <w:hideMark/>
          </w:tcPr>
          <w:p w14:paraId="2769E7F9" w14:textId="77777777" w:rsidR="00011869" w:rsidRPr="00011869" w:rsidRDefault="00011869" w:rsidP="00011869">
            <w:pPr>
              <w:rPr>
                <w:color w:val="000000"/>
                <w:sz w:val="20"/>
                <w:szCs w:val="20"/>
                <w:lang w:eastAsia="en-GB"/>
              </w:rPr>
            </w:pPr>
            <w:r w:rsidRPr="00011869">
              <w:rPr>
                <w:color w:val="000000"/>
                <w:sz w:val="20"/>
                <w:szCs w:val="20"/>
                <w:lang w:eastAsia="en-GB"/>
              </w:rPr>
              <w:t>DCFO to own this risk , this is now better aligned to F&amp;R Plan objective 'To help vulnerable people to be safer in Essex'</w:t>
            </w:r>
          </w:p>
        </w:tc>
      </w:tr>
      <w:tr w:rsidR="00011869" w:rsidRPr="00011869" w14:paraId="5F654F07" w14:textId="77777777" w:rsidTr="000A19D6">
        <w:trPr>
          <w:trHeight w:val="1200"/>
        </w:trPr>
        <w:tc>
          <w:tcPr>
            <w:tcW w:w="1529" w:type="dxa"/>
            <w:tcBorders>
              <w:top w:val="nil"/>
              <w:left w:val="single" w:sz="4" w:space="0" w:color="auto"/>
              <w:bottom w:val="single" w:sz="4" w:space="0" w:color="auto"/>
              <w:right w:val="single" w:sz="4" w:space="0" w:color="auto"/>
            </w:tcBorders>
            <w:shd w:val="clear" w:color="auto" w:fill="auto"/>
            <w:noWrap/>
            <w:hideMark/>
          </w:tcPr>
          <w:p w14:paraId="64201140" w14:textId="77777777" w:rsidR="00011869" w:rsidRPr="00011869" w:rsidRDefault="00011869" w:rsidP="00011869">
            <w:pPr>
              <w:rPr>
                <w:color w:val="808080"/>
                <w:sz w:val="20"/>
                <w:szCs w:val="20"/>
                <w:lang w:eastAsia="en-GB"/>
              </w:rPr>
            </w:pPr>
            <w:r w:rsidRPr="00011869">
              <w:rPr>
                <w:color w:val="808080"/>
                <w:sz w:val="20"/>
                <w:szCs w:val="20"/>
                <w:lang w:eastAsia="en-GB"/>
              </w:rPr>
              <w:t>SRR150013</w:t>
            </w:r>
          </w:p>
        </w:tc>
        <w:tc>
          <w:tcPr>
            <w:tcW w:w="4109" w:type="dxa"/>
            <w:tcBorders>
              <w:top w:val="nil"/>
              <w:left w:val="nil"/>
              <w:bottom w:val="single" w:sz="4" w:space="0" w:color="auto"/>
              <w:right w:val="single" w:sz="4" w:space="0" w:color="auto"/>
            </w:tcBorders>
            <w:shd w:val="clear" w:color="auto" w:fill="auto"/>
            <w:hideMark/>
          </w:tcPr>
          <w:p w14:paraId="3D42C367" w14:textId="77777777" w:rsidR="00011869" w:rsidRPr="00011869" w:rsidRDefault="00011869" w:rsidP="00011869">
            <w:pPr>
              <w:rPr>
                <w:color w:val="808080"/>
                <w:sz w:val="20"/>
                <w:szCs w:val="20"/>
                <w:lang w:eastAsia="en-GB"/>
              </w:rPr>
            </w:pPr>
            <w:r w:rsidRPr="00011869">
              <w:rPr>
                <w:color w:val="808080"/>
                <w:sz w:val="20"/>
                <w:szCs w:val="20"/>
                <w:lang w:eastAsia="en-GB"/>
              </w:rPr>
              <w:t>Through new legislation or changes in interpretation of current Law/Regulations, one of the Services crewing systems is not sustainable</w:t>
            </w:r>
          </w:p>
        </w:tc>
        <w:tc>
          <w:tcPr>
            <w:tcW w:w="3646" w:type="dxa"/>
            <w:tcBorders>
              <w:top w:val="nil"/>
              <w:left w:val="nil"/>
              <w:bottom w:val="single" w:sz="4" w:space="0" w:color="auto"/>
              <w:right w:val="single" w:sz="4" w:space="0" w:color="auto"/>
            </w:tcBorders>
            <w:shd w:val="clear" w:color="auto" w:fill="auto"/>
            <w:hideMark/>
          </w:tcPr>
          <w:p w14:paraId="454F299F" w14:textId="77777777" w:rsidR="00011869" w:rsidRPr="00011869" w:rsidRDefault="00011869" w:rsidP="00011869">
            <w:pPr>
              <w:rPr>
                <w:color w:val="808080"/>
                <w:sz w:val="20"/>
                <w:szCs w:val="20"/>
                <w:lang w:eastAsia="en-GB"/>
              </w:rPr>
            </w:pPr>
            <w:r w:rsidRPr="00011869">
              <w:rPr>
                <w:color w:val="808080"/>
                <w:sz w:val="20"/>
                <w:szCs w:val="20"/>
                <w:lang w:eastAsia="en-GB"/>
              </w:rPr>
              <w:t>Delete</w:t>
            </w:r>
          </w:p>
        </w:tc>
        <w:tc>
          <w:tcPr>
            <w:tcW w:w="4556" w:type="dxa"/>
            <w:tcBorders>
              <w:top w:val="nil"/>
              <w:left w:val="nil"/>
              <w:bottom w:val="single" w:sz="4" w:space="0" w:color="auto"/>
              <w:right w:val="single" w:sz="4" w:space="0" w:color="auto"/>
            </w:tcBorders>
            <w:shd w:val="clear" w:color="auto" w:fill="auto"/>
            <w:hideMark/>
          </w:tcPr>
          <w:p w14:paraId="08FCA57D" w14:textId="77777777" w:rsidR="00011869" w:rsidRPr="00011869" w:rsidRDefault="00011869" w:rsidP="00011869">
            <w:pPr>
              <w:rPr>
                <w:color w:val="808080"/>
                <w:sz w:val="20"/>
                <w:szCs w:val="20"/>
                <w:lang w:eastAsia="en-GB"/>
              </w:rPr>
            </w:pPr>
            <w:r w:rsidRPr="00011869">
              <w:rPr>
                <w:color w:val="808080"/>
                <w:sz w:val="20"/>
                <w:szCs w:val="20"/>
                <w:lang w:eastAsia="en-GB"/>
              </w:rPr>
              <w:t>See SR150010</w:t>
            </w:r>
          </w:p>
        </w:tc>
      </w:tr>
      <w:tr w:rsidR="00011869" w:rsidRPr="00011869" w14:paraId="4E09A035" w14:textId="77777777" w:rsidTr="000A19D6">
        <w:trPr>
          <w:trHeight w:val="1470"/>
        </w:trPr>
        <w:tc>
          <w:tcPr>
            <w:tcW w:w="1529" w:type="dxa"/>
            <w:tcBorders>
              <w:top w:val="nil"/>
              <w:left w:val="single" w:sz="4" w:space="0" w:color="auto"/>
              <w:bottom w:val="single" w:sz="4" w:space="0" w:color="auto"/>
              <w:right w:val="single" w:sz="4" w:space="0" w:color="auto"/>
            </w:tcBorders>
            <w:shd w:val="clear" w:color="auto" w:fill="auto"/>
            <w:noWrap/>
            <w:hideMark/>
          </w:tcPr>
          <w:p w14:paraId="4C95963C" w14:textId="77777777" w:rsidR="00011869" w:rsidRPr="00011869" w:rsidRDefault="00011869" w:rsidP="00011869">
            <w:pPr>
              <w:rPr>
                <w:color w:val="000000"/>
                <w:sz w:val="20"/>
                <w:szCs w:val="20"/>
                <w:lang w:eastAsia="en-GB"/>
              </w:rPr>
            </w:pPr>
            <w:r w:rsidRPr="00011869">
              <w:rPr>
                <w:color w:val="000000"/>
                <w:sz w:val="20"/>
                <w:szCs w:val="20"/>
                <w:lang w:eastAsia="en-GB"/>
              </w:rPr>
              <w:t>SRR150014</w:t>
            </w:r>
          </w:p>
        </w:tc>
        <w:tc>
          <w:tcPr>
            <w:tcW w:w="4109" w:type="dxa"/>
            <w:tcBorders>
              <w:top w:val="nil"/>
              <w:left w:val="nil"/>
              <w:bottom w:val="single" w:sz="4" w:space="0" w:color="auto"/>
              <w:right w:val="single" w:sz="4" w:space="0" w:color="auto"/>
            </w:tcBorders>
            <w:shd w:val="clear" w:color="auto" w:fill="auto"/>
            <w:hideMark/>
          </w:tcPr>
          <w:p w14:paraId="21B15BB5" w14:textId="39ED5969" w:rsidR="00011869" w:rsidRPr="00011869" w:rsidRDefault="00011869" w:rsidP="008C3492">
            <w:pPr>
              <w:rPr>
                <w:color w:val="000000"/>
                <w:sz w:val="20"/>
                <w:szCs w:val="20"/>
                <w:lang w:eastAsia="en-GB"/>
              </w:rPr>
            </w:pPr>
            <w:r w:rsidRPr="00011869">
              <w:rPr>
                <w:color w:val="000000"/>
                <w:sz w:val="20"/>
                <w:szCs w:val="20"/>
                <w:lang w:eastAsia="en-GB"/>
              </w:rPr>
              <w:t>Death or serious injury to staff, or death or serious injury to member of the public, at an incident</w:t>
            </w:r>
            <w:r w:rsidRPr="00011869">
              <w:rPr>
                <w:color w:val="000000"/>
                <w:sz w:val="20"/>
                <w:szCs w:val="20"/>
                <w:lang w:eastAsia="en-GB"/>
              </w:rPr>
              <w:br/>
            </w:r>
            <w:r w:rsidRPr="00011869">
              <w:rPr>
                <w:color w:val="000000"/>
                <w:sz w:val="20"/>
                <w:szCs w:val="20"/>
                <w:lang w:eastAsia="en-GB"/>
              </w:rPr>
              <w:br/>
              <w:t>Cross reference this risk with SRR150020</w:t>
            </w:r>
          </w:p>
        </w:tc>
        <w:tc>
          <w:tcPr>
            <w:tcW w:w="3646" w:type="dxa"/>
            <w:tcBorders>
              <w:top w:val="nil"/>
              <w:left w:val="nil"/>
              <w:bottom w:val="single" w:sz="4" w:space="0" w:color="auto"/>
              <w:right w:val="single" w:sz="4" w:space="0" w:color="auto"/>
            </w:tcBorders>
            <w:shd w:val="clear" w:color="auto" w:fill="auto"/>
            <w:hideMark/>
          </w:tcPr>
          <w:p w14:paraId="2C17F56A" w14:textId="2121A554" w:rsidR="00011869" w:rsidRPr="00011869" w:rsidRDefault="00011869" w:rsidP="00011869">
            <w:pPr>
              <w:rPr>
                <w:color w:val="000000"/>
                <w:sz w:val="20"/>
                <w:szCs w:val="20"/>
                <w:lang w:eastAsia="en-GB"/>
              </w:rPr>
            </w:pPr>
          </w:p>
        </w:tc>
        <w:tc>
          <w:tcPr>
            <w:tcW w:w="4556" w:type="dxa"/>
            <w:tcBorders>
              <w:top w:val="nil"/>
              <w:left w:val="nil"/>
              <w:bottom w:val="single" w:sz="4" w:space="0" w:color="auto"/>
              <w:right w:val="single" w:sz="4" w:space="0" w:color="auto"/>
            </w:tcBorders>
            <w:shd w:val="clear" w:color="auto" w:fill="auto"/>
            <w:hideMark/>
          </w:tcPr>
          <w:p w14:paraId="2E2EA200" w14:textId="77777777" w:rsidR="00011869" w:rsidRPr="00011869" w:rsidRDefault="00011869" w:rsidP="00011869">
            <w:pPr>
              <w:rPr>
                <w:color w:val="000000"/>
                <w:sz w:val="20"/>
                <w:szCs w:val="20"/>
                <w:lang w:eastAsia="en-GB"/>
              </w:rPr>
            </w:pPr>
            <w:r w:rsidRPr="00011869">
              <w:rPr>
                <w:color w:val="000000"/>
                <w:sz w:val="20"/>
                <w:szCs w:val="20"/>
                <w:lang w:eastAsia="en-GB"/>
              </w:rPr>
              <w:t>Owned by DCFO</w:t>
            </w:r>
          </w:p>
        </w:tc>
      </w:tr>
      <w:tr w:rsidR="00011869" w:rsidRPr="00011869" w14:paraId="76E2DD8F" w14:textId="77777777" w:rsidTr="000A19D6">
        <w:trPr>
          <w:trHeight w:val="331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6253F2A9" w14:textId="77777777" w:rsidR="00011869" w:rsidRPr="00011869" w:rsidRDefault="00011869" w:rsidP="00011869">
            <w:pPr>
              <w:rPr>
                <w:color w:val="000000"/>
                <w:sz w:val="20"/>
                <w:szCs w:val="20"/>
                <w:lang w:eastAsia="en-GB"/>
              </w:rPr>
            </w:pPr>
            <w:r w:rsidRPr="00011869">
              <w:rPr>
                <w:color w:val="000000"/>
                <w:sz w:val="20"/>
                <w:szCs w:val="20"/>
                <w:lang w:eastAsia="en-GB"/>
              </w:rPr>
              <w:t>SRR150015</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14:paraId="49911C54" w14:textId="77777777" w:rsidR="00011869" w:rsidRPr="00011869" w:rsidRDefault="00011869" w:rsidP="00011869">
            <w:pPr>
              <w:rPr>
                <w:color w:val="000000"/>
                <w:sz w:val="20"/>
                <w:szCs w:val="20"/>
                <w:lang w:eastAsia="en-GB"/>
              </w:rPr>
            </w:pPr>
            <w:r w:rsidRPr="00011869">
              <w:rPr>
                <w:color w:val="000000"/>
                <w:sz w:val="20"/>
                <w:szCs w:val="20"/>
                <w:lang w:eastAsia="en-GB"/>
              </w:rPr>
              <w:t>There is a risk that ECFRS will develop planning assumptions that do not reflect the actual needs of the community (prevention, protection and response) because the data on which the plans are built is false and/or inaccurate. This could lead to sub-optimal prevention, protection and response models being developed with consequent impacts on Service delivery such as attendance times etc. This will almost certainly apply to business decision making in addition to Prevention, Protection and Response.</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5EF8A1AC" w14:textId="2727B45A" w:rsidR="00011869" w:rsidRPr="00011869" w:rsidRDefault="00011869" w:rsidP="00011869">
            <w:pPr>
              <w:rPr>
                <w:color w:val="000000"/>
                <w:sz w:val="20"/>
                <w:szCs w:val="20"/>
                <w:lang w:eastAsia="en-GB"/>
              </w:rPr>
            </w:pP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14:paraId="035F378D" w14:textId="77777777" w:rsidR="00011869" w:rsidRPr="00011869" w:rsidRDefault="00011869" w:rsidP="00011869">
            <w:pPr>
              <w:rPr>
                <w:color w:val="000000"/>
                <w:sz w:val="20"/>
                <w:szCs w:val="20"/>
                <w:lang w:eastAsia="en-GB"/>
              </w:rPr>
            </w:pPr>
            <w:r w:rsidRPr="00011869">
              <w:rPr>
                <w:color w:val="000000"/>
                <w:sz w:val="20"/>
                <w:szCs w:val="20"/>
                <w:lang w:eastAsia="en-GB"/>
              </w:rPr>
              <w:t>Owned by ACFO IRMP and Service Improvement. This is now an issue.</w:t>
            </w:r>
          </w:p>
        </w:tc>
      </w:tr>
      <w:tr w:rsidR="00011869" w:rsidRPr="00011869" w14:paraId="6000C581" w14:textId="77777777" w:rsidTr="000A19D6">
        <w:trPr>
          <w:trHeight w:val="1350"/>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785A9FC5" w14:textId="77777777" w:rsidR="00011869" w:rsidRPr="00011869" w:rsidRDefault="00011869" w:rsidP="00011869">
            <w:pPr>
              <w:rPr>
                <w:color w:val="000000"/>
                <w:sz w:val="20"/>
                <w:szCs w:val="20"/>
                <w:lang w:eastAsia="en-GB"/>
              </w:rPr>
            </w:pPr>
            <w:r w:rsidRPr="00011869">
              <w:rPr>
                <w:color w:val="000000"/>
                <w:sz w:val="20"/>
                <w:szCs w:val="20"/>
                <w:lang w:eastAsia="en-GB"/>
              </w:rPr>
              <w:lastRenderedPageBreak/>
              <w:t>SRR150017</w:t>
            </w:r>
          </w:p>
        </w:tc>
        <w:tc>
          <w:tcPr>
            <w:tcW w:w="4109" w:type="dxa"/>
            <w:tcBorders>
              <w:top w:val="single" w:sz="4" w:space="0" w:color="auto"/>
              <w:left w:val="nil"/>
              <w:bottom w:val="single" w:sz="4" w:space="0" w:color="auto"/>
              <w:right w:val="single" w:sz="4" w:space="0" w:color="auto"/>
            </w:tcBorders>
            <w:shd w:val="clear" w:color="auto" w:fill="auto"/>
            <w:hideMark/>
          </w:tcPr>
          <w:p w14:paraId="47B04D44" w14:textId="77777777" w:rsidR="00011869" w:rsidRPr="00011869" w:rsidRDefault="00011869" w:rsidP="00011869">
            <w:pPr>
              <w:rPr>
                <w:color w:val="000000"/>
                <w:sz w:val="20"/>
                <w:szCs w:val="20"/>
                <w:lang w:eastAsia="en-GB"/>
              </w:rPr>
            </w:pPr>
            <w:r w:rsidRPr="00011869">
              <w:rPr>
                <w:color w:val="000000"/>
                <w:sz w:val="20"/>
                <w:szCs w:val="20"/>
                <w:lang w:eastAsia="en-GB"/>
              </w:rPr>
              <w:t>The Service fails to prepare or plan effectively, in line with Civil Contingencies Act (2004), leading to an inadequate response to an emergency</w:t>
            </w:r>
          </w:p>
        </w:tc>
        <w:tc>
          <w:tcPr>
            <w:tcW w:w="3646" w:type="dxa"/>
            <w:tcBorders>
              <w:top w:val="single" w:sz="4" w:space="0" w:color="auto"/>
              <w:left w:val="nil"/>
              <w:bottom w:val="single" w:sz="4" w:space="0" w:color="auto"/>
              <w:right w:val="single" w:sz="4" w:space="0" w:color="auto"/>
            </w:tcBorders>
            <w:shd w:val="clear" w:color="auto" w:fill="auto"/>
            <w:hideMark/>
          </w:tcPr>
          <w:p w14:paraId="5190F78E" w14:textId="4A8DEB00" w:rsidR="00011869" w:rsidRPr="00011869" w:rsidRDefault="00011869" w:rsidP="00011869">
            <w:pPr>
              <w:rPr>
                <w:color w:val="000000"/>
                <w:sz w:val="20"/>
                <w:szCs w:val="20"/>
                <w:lang w:eastAsia="en-GB"/>
              </w:rPr>
            </w:pPr>
          </w:p>
        </w:tc>
        <w:tc>
          <w:tcPr>
            <w:tcW w:w="4556" w:type="dxa"/>
            <w:tcBorders>
              <w:top w:val="single" w:sz="4" w:space="0" w:color="auto"/>
              <w:left w:val="nil"/>
              <w:bottom w:val="single" w:sz="4" w:space="0" w:color="auto"/>
              <w:right w:val="single" w:sz="4" w:space="0" w:color="auto"/>
            </w:tcBorders>
            <w:shd w:val="clear" w:color="auto" w:fill="auto"/>
            <w:hideMark/>
          </w:tcPr>
          <w:p w14:paraId="4175D1DC" w14:textId="77777777" w:rsidR="00011869" w:rsidRPr="00011869" w:rsidRDefault="00011869" w:rsidP="00011869">
            <w:pPr>
              <w:rPr>
                <w:color w:val="000000"/>
                <w:sz w:val="20"/>
                <w:szCs w:val="20"/>
                <w:lang w:eastAsia="en-GB"/>
              </w:rPr>
            </w:pPr>
            <w:r w:rsidRPr="00011869">
              <w:rPr>
                <w:color w:val="000000"/>
                <w:sz w:val="20"/>
                <w:szCs w:val="20"/>
                <w:lang w:eastAsia="en-GB"/>
              </w:rPr>
              <w:t>Owned by DCFO</w:t>
            </w:r>
          </w:p>
        </w:tc>
      </w:tr>
      <w:tr w:rsidR="00011869" w:rsidRPr="00011869" w14:paraId="69A1491C" w14:textId="77777777" w:rsidTr="000A19D6">
        <w:trPr>
          <w:trHeight w:val="1290"/>
        </w:trPr>
        <w:tc>
          <w:tcPr>
            <w:tcW w:w="1529" w:type="dxa"/>
            <w:tcBorders>
              <w:top w:val="nil"/>
              <w:left w:val="single" w:sz="4" w:space="0" w:color="auto"/>
              <w:bottom w:val="single" w:sz="4" w:space="0" w:color="auto"/>
              <w:right w:val="single" w:sz="4" w:space="0" w:color="auto"/>
            </w:tcBorders>
            <w:shd w:val="clear" w:color="auto" w:fill="auto"/>
            <w:noWrap/>
            <w:hideMark/>
          </w:tcPr>
          <w:p w14:paraId="18A5C4E0" w14:textId="77777777" w:rsidR="00011869" w:rsidRPr="00011869" w:rsidRDefault="00011869" w:rsidP="00011869">
            <w:pPr>
              <w:rPr>
                <w:color w:val="000000"/>
                <w:sz w:val="20"/>
                <w:szCs w:val="20"/>
                <w:lang w:eastAsia="en-GB"/>
              </w:rPr>
            </w:pPr>
            <w:r w:rsidRPr="00011869">
              <w:rPr>
                <w:color w:val="000000"/>
                <w:sz w:val="20"/>
                <w:szCs w:val="20"/>
                <w:lang w:eastAsia="en-GB"/>
              </w:rPr>
              <w:t>SRR150018</w:t>
            </w:r>
          </w:p>
        </w:tc>
        <w:tc>
          <w:tcPr>
            <w:tcW w:w="4109" w:type="dxa"/>
            <w:tcBorders>
              <w:top w:val="nil"/>
              <w:left w:val="nil"/>
              <w:bottom w:val="single" w:sz="4" w:space="0" w:color="auto"/>
              <w:right w:val="single" w:sz="4" w:space="0" w:color="auto"/>
            </w:tcBorders>
            <w:shd w:val="clear" w:color="auto" w:fill="auto"/>
            <w:hideMark/>
          </w:tcPr>
          <w:p w14:paraId="2A7E8524" w14:textId="77777777" w:rsidR="00011869" w:rsidRPr="00011869" w:rsidRDefault="00011869" w:rsidP="00011869">
            <w:pPr>
              <w:rPr>
                <w:color w:val="000000"/>
                <w:sz w:val="20"/>
                <w:szCs w:val="20"/>
                <w:lang w:eastAsia="en-GB"/>
              </w:rPr>
            </w:pPr>
            <w:r w:rsidRPr="00011869">
              <w:rPr>
                <w:color w:val="000000"/>
                <w:sz w:val="20"/>
                <w:szCs w:val="20"/>
                <w:lang w:eastAsia="en-GB"/>
              </w:rPr>
              <w:t>The Service does not deliver changes set out in the 2020 programme which identified financial savings and thus cannot deliver against its medium term financial plan.</w:t>
            </w:r>
          </w:p>
        </w:tc>
        <w:tc>
          <w:tcPr>
            <w:tcW w:w="3646" w:type="dxa"/>
            <w:tcBorders>
              <w:top w:val="nil"/>
              <w:left w:val="nil"/>
              <w:bottom w:val="single" w:sz="4" w:space="0" w:color="auto"/>
              <w:right w:val="single" w:sz="4" w:space="0" w:color="auto"/>
            </w:tcBorders>
            <w:shd w:val="clear" w:color="auto" w:fill="auto"/>
            <w:hideMark/>
          </w:tcPr>
          <w:p w14:paraId="52C67FA8" w14:textId="2C4DF5B5" w:rsidR="00011869" w:rsidRPr="00011869" w:rsidRDefault="00011869" w:rsidP="00011869">
            <w:pPr>
              <w:rPr>
                <w:color w:val="000000"/>
                <w:sz w:val="20"/>
                <w:szCs w:val="20"/>
                <w:lang w:eastAsia="en-GB"/>
              </w:rPr>
            </w:pPr>
          </w:p>
        </w:tc>
        <w:tc>
          <w:tcPr>
            <w:tcW w:w="4556" w:type="dxa"/>
            <w:tcBorders>
              <w:top w:val="nil"/>
              <w:left w:val="nil"/>
              <w:bottom w:val="single" w:sz="4" w:space="0" w:color="auto"/>
              <w:right w:val="single" w:sz="4" w:space="0" w:color="auto"/>
            </w:tcBorders>
            <w:shd w:val="clear" w:color="auto" w:fill="auto"/>
            <w:hideMark/>
          </w:tcPr>
          <w:p w14:paraId="241C381C" w14:textId="77777777" w:rsidR="00011869" w:rsidRPr="00011869" w:rsidRDefault="00011869" w:rsidP="00011869">
            <w:pPr>
              <w:rPr>
                <w:color w:val="000000"/>
                <w:sz w:val="20"/>
                <w:szCs w:val="20"/>
                <w:lang w:eastAsia="en-GB"/>
              </w:rPr>
            </w:pPr>
            <w:r w:rsidRPr="00011869">
              <w:rPr>
                <w:color w:val="000000"/>
                <w:sz w:val="20"/>
                <w:szCs w:val="20"/>
                <w:lang w:eastAsia="en-GB"/>
              </w:rPr>
              <w:t>Owned by Director IRFD</w:t>
            </w:r>
          </w:p>
        </w:tc>
      </w:tr>
      <w:tr w:rsidR="00011869" w:rsidRPr="00011869" w14:paraId="3F69A019" w14:textId="77777777" w:rsidTr="000A19D6">
        <w:trPr>
          <w:trHeight w:val="1530"/>
        </w:trPr>
        <w:tc>
          <w:tcPr>
            <w:tcW w:w="1529" w:type="dxa"/>
            <w:tcBorders>
              <w:top w:val="nil"/>
              <w:left w:val="single" w:sz="4" w:space="0" w:color="auto"/>
              <w:bottom w:val="single" w:sz="4" w:space="0" w:color="auto"/>
              <w:right w:val="single" w:sz="4" w:space="0" w:color="auto"/>
            </w:tcBorders>
            <w:shd w:val="clear" w:color="auto" w:fill="auto"/>
            <w:noWrap/>
            <w:hideMark/>
          </w:tcPr>
          <w:p w14:paraId="6B7EA730" w14:textId="77777777" w:rsidR="00011869" w:rsidRPr="00011869" w:rsidRDefault="00011869" w:rsidP="00011869">
            <w:pPr>
              <w:rPr>
                <w:color w:val="000000"/>
                <w:sz w:val="20"/>
                <w:szCs w:val="20"/>
                <w:lang w:eastAsia="en-GB"/>
              </w:rPr>
            </w:pPr>
            <w:r w:rsidRPr="00011869">
              <w:rPr>
                <w:color w:val="000000"/>
                <w:sz w:val="20"/>
                <w:szCs w:val="20"/>
                <w:lang w:eastAsia="en-GB"/>
              </w:rPr>
              <w:t>SRR150019</w:t>
            </w:r>
          </w:p>
        </w:tc>
        <w:tc>
          <w:tcPr>
            <w:tcW w:w="4109" w:type="dxa"/>
            <w:tcBorders>
              <w:top w:val="nil"/>
              <w:left w:val="nil"/>
              <w:bottom w:val="single" w:sz="4" w:space="0" w:color="auto"/>
              <w:right w:val="single" w:sz="4" w:space="0" w:color="auto"/>
            </w:tcBorders>
            <w:shd w:val="clear" w:color="auto" w:fill="auto"/>
            <w:hideMark/>
          </w:tcPr>
          <w:p w14:paraId="74E0CB7A" w14:textId="77777777" w:rsidR="00011869" w:rsidRPr="00011869" w:rsidRDefault="00011869" w:rsidP="00011869">
            <w:pPr>
              <w:rPr>
                <w:color w:val="000000"/>
                <w:sz w:val="20"/>
                <w:szCs w:val="20"/>
                <w:lang w:eastAsia="en-GB"/>
              </w:rPr>
            </w:pPr>
            <w:r w:rsidRPr="00011869">
              <w:rPr>
                <w:color w:val="000000"/>
                <w:sz w:val="20"/>
                <w:szCs w:val="20"/>
                <w:lang w:eastAsia="en-GB"/>
              </w:rPr>
              <w:t>The Service fails to encourage and establish a culture which creates a work environment in line with the Service values</w:t>
            </w:r>
          </w:p>
        </w:tc>
        <w:tc>
          <w:tcPr>
            <w:tcW w:w="3646" w:type="dxa"/>
            <w:tcBorders>
              <w:top w:val="nil"/>
              <w:left w:val="nil"/>
              <w:bottom w:val="single" w:sz="4" w:space="0" w:color="auto"/>
              <w:right w:val="single" w:sz="4" w:space="0" w:color="auto"/>
            </w:tcBorders>
            <w:shd w:val="clear" w:color="auto" w:fill="auto"/>
            <w:hideMark/>
          </w:tcPr>
          <w:p w14:paraId="6EEB0F03" w14:textId="447DA426" w:rsidR="00011869" w:rsidRPr="00011869" w:rsidRDefault="00011869" w:rsidP="00011869">
            <w:pPr>
              <w:rPr>
                <w:color w:val="000000"/>
                <w:sz w:val="20"/>
                <w:szCs w:val="20"/>
                <w:lang w:eastAsia="en-GB"/>
              </w:rPr>
            </w:pPr>
            <w:r w:rsidRPr="00011869">
              <w:rPr>
                <w:color w:val="000000"/>
                <w:sz w:val="20"/>
                <w:szCs w:val="20"/>
                <w:lang w:eastAsia="en-GB"/>
              </w:rPr>
              <w:t xml:space="preserve">There is a risk that due to the </w:t>
            </w:r>
            <w:r w:rsidR="001E024E" w:rsidRPr="00011869">
              <w:rPr>
                <w:color w:val="000000"/>
                <w:sz w:val="20"/>
                <w:szCs w:val="20"/>
                <w:lang w:eastAsia="en-GB"/>
              </w:rPr>
              <w:t>absence</w:t>
            </w:r>
            <w:r w:rsidRPr="00011869">
              <w:rPr>
                <w:color w:val="000000"/>
                <w:sz w:val="20"/>
                <w:szCs w:val="20"/>
                <w:lang w:eastAsia="en-GB"/>
              </w:rPr>
              <w:t xml:space="preserve"> of a positive and supportive culture the Service fails to provide a safe and inclusive culture which ensures the </w:t>
            </w:r>
            <w:r w:rsidR="001E024E" w:rsidRPr="00011869">
              <w:rPr>
                <w:color w:val="000000"/>
                <w:sz w:val="20"/>
                <w:szCs w:val="20"/>
                <w:lang w:eastAsia="en-GB"/>
              </w:rPr>
              <w:t>well-being</w:t>
            </w:r>
            <w:r w:rsidRPr="00011869">
              <w:rPr>
                <w:color w:val="000000"/>
                <w:sz w:val="20"/>
                <w:szCs w:val="20"/>
                <w:lang w:eastAsia="en-GB"/>
              </w:rPr>
              <w:t xml:space="preserve"> of staff and contributes to attracting a diverse workforce.</w:t>
            </w:r>
          </w:p>
        </w:tc>
        <w:tc>
          <w:tcPr>
            <w:tcW w:w="4556" w:type="dxa"/>
            <w:tcBorders>
              <w:top w:val="nil"/>
              <w:left w:val="nil"/>
              <w:bottom w:val="single" w:sz="4" w:space="0" w:color="auto"/>
              <w:right w:val="single" w:sz="4" w:space="0" w:color="auto"/>
            </w:tcBorders>
            <w:shd w:val="clear" w:color="auto" w:fill="auto"/>
            <w:hideMark/>
          </w:tcPr>
          <w:p w14:paraId="4AABE47E" w14:textId="77777777" w:rsidR="00011869" w:rsidRPr="00011869" w:rsidRDefault="00011869" w:rsidP="00011869">
            <w:pPr>
              <w:rPr>
                <w:color w:val="000000"/>
                <w:sz w:val="20"/>
                <w:szCs w:val="20"/>
                <w:lang w:eastAsia="en-GB"/>
              </w:rPr>
            </w:pPr>
            <w:r w:rsidRPr="00011869">
              <w:rPr>
                <w:color w:val="000000"/>
                <w:sz w:val="20"/>
                <w:szCs w:val="20"/>
                <w:lang w:eastAsia="en-GB"/>
              </w:rPr>
              <w:t>Risk owner ACEO Public Value &amp; Culture, now better aligned to F&amp;R Plan objective ' To have a safe and diverse workforce who we enable to perform well in a supportive culture underpinned by excellent training'</w:t>
            </w:r>
          </w:p>
        </w:tc>
      </w:tr>
      <w:tr w:rsidR="00011869" w:rsidRPr="00011869" w14:paraId="4924B4C5" w14:textId="77777777" w:rsidTr="000A19D6">
        <w:trPr>
          <w:trHeight w:val="3000"/>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522FAF41" w14:textId="77777777" w:rsidR="00011869" w:rsidRPr="00011869" w:rsidRDefault="00011869" w:rsidP="00011869">
            <w:pPr>
              <w:rPr>
                <w:color w:val="000000"/>
                <w:sz w:val="20"/>
                <w:szCs w:val="20"/>
                <w:lang w:eastAsia="en-GB"/>
              </w:rPr>
            </w:pPr>
            <w:r w:rsidRPr="00011869">
              <w:rPr>
                <w:color w:val="000000"/>
                <w:sz w:val="20"/>
                <w:szCs w:val="20"/>
                <w:lang w:eastAsia="en-GB"/>
              </w:rPr>
              <w:t>SRR150020</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14:paraId="0A633818" w14:textId="611078B4" w:rsidR="00011869" w:rsidRPr="00011869" w:rsidRDefault="00011869" w:rsidP="008C3492">
            <w:pPr>
              <w:rPr>
                <w:color w:val="000000"/>
                <w:sz w:val="20"/>
                <w:szCs w:val="20"/>
                <w:lang w:eastAsia="en-GB"/>
              </w:rPr>
            </w:pPr>
            <w:r w:rsidRPr="00011869">
              <w:rPr>
                <w:color w:val="000000"/>
                <w:sz w:val="20"/>
                <w:szCs w:val="20"/>
                <w:lang w:eastAsia="en-GB"/>
              </w:rPr>
              <w:t xml:space="preserve">The Service does not provide the training to ensure that staff have the skills required to provide an effective operational response to the Essex public and ensure the safety of operational staff in line with the Health and Safety at Work Act. The Service does not provide training to ensure that all employees have the skills to carry out their roles. </w:t>
            </w:r>
            <w:r w:rsidRPr="00011869">
              <w:rPr>
                <w:color w:val="000000"/>
                <w:sz w:val="20"/>
                <w:szCs w:val="20"/>
                <w:lang w:eastAsia="en-GB"/>
              </w:rPr>
              <w:br/>
            </w:r>
            <w:r w:rsidRPr="00011869">
              <w:rPr>
                <w:color w:val="000000"/>
                <w:sz w:val="20"/>
                <w:szCs w:val="20"/>
                <w:lang w:eastAsia="en-GB"/>
              </w:rPr>
              <w:br/>
              <w:t>Cross reference this risk to SRR150014 &amp; SRR150005</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1B6B9E47" w14:textId="77777777" w:rsidR="00011869" w:rsidRPr="00011869" w:rsidRDefault="00011869" w:rsidP="00011869">
            <w:pPr>
              <w:rPr>
                <w:color w:val="000000"/>
                <w:sz w:val="20"/>
                <w:szCs w:val="20"/>
                <w:lang w:eastAsia="en-GB"/>
              </w:rPr>
            </w:pPr>
            <w:r w:rsidRPr="00011869">
              <w:rPr>
                <w:color w:val="000000"/>
                <w:sz w:val="20"/>
                <w:szCs w:val="20"/>
                <w:lang w:eastAsia="en-GB"/>
              </w:rPr>
              <w:t> </w:t>
            </w: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14:paraId="0AA3CE0E" w14:textId="77777777" w:rsidR="00011869" w:rsidRPr="00011869" w:rsidRDefault="00011869" w:rsidP="00011869">
            <w:pPr>
              <w:rPr>
                <w:color w:val="000000"/>
                <w:sz w:val="20"/>
                <w:szCs w:val="20"/>
                <w:lang w:eastAsia="en-GB"/>
              </w:rPr>
            </w:pPr>
            <w:r w:rsidRPr="00011869">
              <w:rPr>
                <w:color w:val="000000"/>
                <w:sz w:val="20"/>
                <w:szCs w:val="20"/>
                <w:lang w:eastAsia="en-GB"/>
              </w:rPr>
              <w:t>Risk owner ACEO Public Value &amp; Culture</w:t>
            </w:r>
          </w:p>
        </w:tc>
      </w:tr>
      <w:tr w:rsidR="00011869" w:rsidRPr="00011869" w14:paraId="4299B695" w14:textId="77777777" w:rsidTr="000A19D6">
        <w:trPr>
          <w:trHeight w:val="127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2037C08F" w14:textId="77777777" w:rsidR="00011869" w:rsidRPr="00011869" w:rsidRDefault="00011869" w:rsidP="00011869">
            <w:pPr>
              <w:rPr>
                <w:color w:val="808080"/>
                <w:sz w:val="20"/>
                <w:szCs w:val="20"/>
                <w:lang w:eastAsia="en-GB"/>
              </w:rPr>
            </w:pPr>
            <w:r w:rsidRPr="00011869">
              <w:rPr>
                <w:color w:val="808080"/>
                <w:sz w:val="20"/>
                <w:szCs w:val="20"/>
                <w:lang w:eastAsia="en-GB"/>
              </w:rPr>
              <w:t>SRR150022</w:t>
            </w:r>
          </w:p>
        </w:tc>
        <w:tc>
          <w:tcPr>
            <w:tcW w:w="4109" w:type="dxa"/>
            <w:tcBorders>
              <w:top w:val="single" w:sz="4" w:space="0" w:color="auto"/>
              <w:left w:val="nil"/>
              <w:bottom w:val="single" w:sz="4" w:space="0" w:color="auto"/>
              <w:right w:val="single" w:sz="4" w:space="0" w:color="auto"/>
            </w:tcBorders>
            <w:shd w:val="clear" w:color="auto" w:fill="auto"/>
            <w:hideMark/>
          </w:tcPr>
          <w:p w14:paraId="15E3035F" w14:textId="77777777" w:rsidR="00011869" w:rsidRPr="00011869" w:rsidRDefault="00011869" w:rsidP="00011869">
            <w:pPr>
              <w:spacing w:after="240"/>
              <w:rPr>
                <w:color w:val="808080"/>
                <w:sz w:val="20"/>
                <w:szCs w:val="20"/>
                <w:lang w:eastAsia="en-GB"/>
              </w:rPr>
            </w:pPr>
            <w:r w:rsidRPr="00011869">
              <w:rPr>
                <w:color w:val="808080"/>
                <w:sz w:val="20"/>
                <w:szCs w:val="20"/>
                <w:lang w:eastAsia="en-GB"/>
              </w:rPr>
              <w:t>Through its lack of Protection activity, the Service fails to identify and ensure effective control of risks (enforcing where appropriate) within the Essex community.</w:t>
            </w:r>
            <w:r w:rsidRPr="00011869">
              <w:rPr>
                <w:color w:val="808080"/>
                <w:sz w:val="20"/>
                <w:szCs w:val="20"/>
                <w:lang w:eastAsia="en-GB"/>
              </w:rPr>
              <w:br/>
            </w:r>
          </w:p>
        </w:tc>
        <w:tc>
          <w:tcPr>
            <w:tcW w:w="3646" w:type="dxa"/>
            <w:tcBorders>
              <w:top w:val="single" w:sz="4" w:space="0" w:color="auto"/>
              <w:left w:val="nil"/>
              <w:bottom w:val="single" w:sz="4" w:space="0" w:color="auto"/>
              <w:right w:val="single" w:sz="4" w:space="0" w:color="auto"/>
            </w:tcBorders>
            <w:shd w:val="clear" w:color="auto" w:fill="auto"/>
            <w:hideMark/>
          </w:tcPr>
          <w:p w14:paraId="410509AF" w14:textId="77777777" w:rsidR="00011869" w:rsidRPr="00011869" w:rsidRDefault="00011869" w:rsidP="00011869">
            <w:pPr>
              <w:rPr>
                <w:color w:val="808080"/>
                <w:sz w:val="20"/>
                <w:szCs w:val="20"/>
                <w:lang w:eastAsia="en-GB"/>
              </w:rPr>
            </w:pPr>
            <w:r w:rsidRPr="00011869">
              <w:rPr>
                <w:color w:val="808080"/>
                <w:sz w:val="20"/>
                <w:szCs w:val="20"/>
                <w:lang w:eastAsia="en-GB"/>
              </w:rPr>
              <w:t>Delete</w:t>
            </w:r>
          </w:p>
        </w:tc>
        <w:tc>
          <w:tcPr>
            <w:tcW w:w="4556" w:type="dxa"/>
            <w:tcBorders>
              <w:top w:val="single" w:sz="4" w:space="0" w:color="auto"/>
              <w:left w:val="nil"/>
              <w:bottom w:val="single" w:sz="4" w:space="0" w:color="auto"/>
              <w:right w:val="single" w:sz="4" w:space="0" w:color="auto"/>
            </w:tcBorders>
            <w:shd w:val="clear" w:color="auto" w:fill="auto"/>
            <w:hideMark/>
          </w:tcPr>
          <w:p w14:paraId="795164EC" w14:textId="77777777" w:rsidR="00011869" w:rsidRPr="00011869" w:rsidRDefault="00011869" w:rsidP="00011869">
            <w:pPr>
              <w:rPr>
                <w:color w:val="808080"/>
                <w:sz w:val="20"/>
                <w:szCs w:val="20"/>
                <w:lang w:eastAsia="en-GB"/>
              </w:rPr>
            </w:pPr>
            <w:r w:rsidRPr="00011869">
              <w:rPr>
                <w:color w:val="808080"/>
                <w:sz w:val="20"/>
                <w:szCs w:val="20"/>
                <w:lang w:eastAsia="en-GB"/>
              </w:rPr>
              <w:t>See SRR 150002</w:t>
            </w:r>
          </w:p>
        </w:tc>
      </w:tr>
      <w:tr w:rsidR="00011869" w:rsidRPr="00011869" w14:paraId="54D6FBC2" w14:textId="77777777" w:rsidTr="000A19D6">
        <w:trPr>
          <w:trHeight w:val="1500"/>
        </w:trPr>
        <w:tc>
          <w:tcPr>
            <w:tcW w:w="1529" w:type="dxa"/>
            <w:tcBorders>
              <w:top w:val="nil"/>
              <w:left w:val="single" w:sz="4" w:space="0" w:color="auto"/>
              <w:bottom w:val="single" w:sz="4" w:space="0" w:color="auto"/>
              <w:right w:val="single" w:sz="4" w:space="0" w:color="auto"/>
            </w:tcBorders>
            <w:shd w:val="clear" w:color="auto" w:fill="auto"/>
            <w:noWrap/>
            <w:hideMark/>
          </w:tcPr>
          <w:p w14:paraId="1DFE4DEB" w14:textId="77777777" w:rsidR="00011869" w:rsidRPr="00011869" w:rsidRDefault="00011869" w:rsidP="00011869">
            <w:pPr>
              <w:rPr>
                <w:color w:val="808080"/>
                <w:sz w:val="20"/>
                <w:szCs w:val="20"/>
                <w:lang w:eastAsia="en-GB"/>
              </w:rPr>
            </w:pPr>
            <w:r w:rsidRPr="00011869">
              <w:rPr>
                <w:color w:val="808080"/>
                <w:sz w:val="20"/>
                <w:szCs w:val="20"/>
                <w:lang w:eastAsia="en-GB"/>
              </w:rPr>
              <w:t>SRR150023</w:t>
            </w:r>
          </w:p>
        </w:tc>
        <w:tc>
          <w:tcPr>
            <w:tcW w:w="4109" w:type="dxa"/>
            <w:tcBorders>
              <w:top w:val="nil"/>
              <w:left w:val="nil"/>
              <w:bottom w:val="single" w:sz="4" w:space="0" w:color="auto"/>
              <w:right w:val="single" w:sz="4" w:space="0" w:color="auto"/>
            </w:tcBorders>
            <w:shd w:val="clear" w:color="auto" w:fill="auto"/>
            <w:hideMark/>
          </w:tcPr>
          <w:p w14:paraId="3FFFF767" w14:textId="33EF287E" w:rsidR="00011869" w:rsidRPr="00011869" w:rsidRDefault="00011869" w:rsidP="008C3492">
            <w:pPr>
              <w:rPr>
                <w:color w:val="808080"/>
                <w:sz w:val="20"/>
                <w:szCs w:val="20"/>
                <w:lang w:eastAsia="en-GB"/>
              </w:rPr>
            </w:pPr>
            <w:r w:rsidRPr="00011869">
              <w:rPr>
                <w:color w:val="808080"/>
                <w:sz w:val="20"/>
                <w:szCs w:val="20"/>
                <w:lang w:eastAsia="en-GB"/>
              </w:rPr>
              <w:t>The Service does not, or is not able to, respond effectively to the outcome of the Grenfell Inquiry</w:t>
            </w:r>
            <w:r w:rsidRPr="00011869">
              <w:rPr>
                <w:color w:val="808080"/>
                <w:sz w:val="20"/>
                <w:szCs w:val="20"/>
                <w:lang w:eastAsia="en-GB"/>
              </w:rPr>
              <w:br/>
            </w:r>
            <w:r w:rsidRPr="00011869">
              <w:rPr>
                <w:color w:val="808080"/>
                <w:sz w:val="20"/>
                <w:szCs w:val="20"/>
                <w:lang w:eastAsia="en-GB"/>
              </w:rPr>
              <w:br/>
              <w:t>Cross reference to SRR150022</w:t>
            </w:r>
          </w:p>
        </w:tc>
        <w:tc>
          <w:tcPr>
            <w:tcW w:w="3646" w:type="dxa"/>
            <w:tcBorders>
              <w:top w:val="nil"/>
              <w:left w:val="nil"/>
              <w:bottom w:val="single" w:sz="4" w:space="0" w:color="auto"/>
              <w:right w:val="single" w:sz="4" w:space="0" w:color="auto"/>
            </w:tcBorders>
            <w:shd w:val="clear" w:color="auto" w:fill="auto"/>
            <w:hideMark/>
          </w:tcPr>
          <w:p w14:paraId="59C30BC0" w14:textId="77777777" w:rsidR="00011869" w:rsidRPr="00011869" w:rsidRDefault="00011869" w:rsidP="00011869">
            <w:pPr>
              <w:rPr>
                <w:color w:val="808080"/>
                <w:sz w:val="20"/>
                <w:szCs w:val="20"/>
                <w:lang w:eastAsia="en-GB"/>
              </w:rPr>
            </w:pPr>
            <w:r w:rsidRPr="00011869">
              <w:rPr>
                <w:color w:val="808080"/>
                <w:sz w:val="20"/>
                <w:szCs w:val="20"/>
                <w:lang w:eastAsia="en-GB"/>
              </w:rPr>
              <w:t>Delete</w:t>
            </w:r>
          </w:p>
        </w:tc>
        <w:tc>
          <w:tcPr>
            <w:tcW w:w="4556" w:type="dxa"/>
            <w:tcBorders>
              <w:top w:val="nil"/>
              <w:left w:val="nil"/>
              <w:bottom w:val="single" w:sz="4" w:space="0" w:color="auto"/>
              <w:right w:val="single" w:sz="4" w:space="0" w:color="auto"/>
            </w:tcBorders>
            <w:shd w:val="clear" w:color="auto" w:fill="auto"/>
            <w:hideMark/>
          </w:tcPr>
          <w:p w14:paraId="2AA69CB8" w14:textId="77777777" w:rsidR="00011869" w:rsidRPr="00011869" w:rsidRDefault="00011869" w:rsidP="00011869">
            <w:pPr>
              <w:rPr>
                <w:color w:val="808080"/>
                <w:sz w:val="20"/>
                <w:szCs w:val="20"/>
                <w:lang w:eastAsia="en-GB"/>
              </w:rPr>
            </w:pPr>
            <w:r w:rsidRPr="00011869">
              <w:rPr>
                <w:color w:val="808080"/>
                <w:sz w:val="20"/>
                <w:szCs w:val="20"/>
                <w:lang w:eastAsia="en-GB"/>
              </w:rPr>
              <w:t>See SRR150010</w:t>
            </w:r>
          </w:p>
        </w:tc>
      </w:tr>
      <w:tr w:rsidR="00011869" w:rsidRPr="00011869" w14:paraId="6A5F7121" w14:textId="77777777" w:rsidTr="000A19D6">
        <w:trPr>
          <w:trHeight w:val="1080"/>
        </w:trPr>
        <w:tc>
          <w:tcPr>
            <w:tcW w:w="1529" w:type="dxa"/>
            <w:tcBorders>
              <w:top w:val="nil"/>
              <w:left w:val="single" w:sz="4" w:space="0" w:color="auto"/>
              <w:bottom w:val="single" w:sz="4" w:space="0" w:color="auto"/>
              <w:right w:val="single" w:sz="4" w:space="0" w:color="auto"/>
            </w:tcBorders>
            <w:shd w:val="clear" w:color="auto" w:fill="auto"/>
            <w:noWrap/>
            <w:hideMark/>
          </w:tcPr>
          <w:p w14:paraId="5685352A" w14:textId="77777777" w:rsidR="00011869" w:rsidRPr="00011869" w:rsidRDefault="00011869" w:rsidP="00011869">
            <w:pPr>
              <w:rPr>
                <w:color w:val="808080"/>
                <w:sz w:val="20"/>
                <w:szCs w:val="20"/>
                <w:lang w:eastAsia="en-GB"/>
              </w:rPr>
            </w:pPr>
            <w:r w:rsidRPr="00011869">
              <w:rPr>
                <w:color w:val="808080"/>
                <w:sz w:val="20"/>
                <w:szCs w:val="20"/>
                <w:lang w:eastAsia="en-GB"/>
              </w:rPr>
              <w:t>SRR150024</w:t>
            </w:r>
          </w:p>
        </w:tc>
        <w:tc>
          <w:tcPr>
            <w:tcW w:w="4109" w:type="dxa"/>
            <w:tcBorders>
              <w:top w:val="nil"/>
              <w:left w:val="nil"/>
              <w:bottom w:val="single" w:sz="4" w:space="0" w:color="auto"/>
              <w:right w:val="single" w:sz="4" w:space="0" w:color="auto"/>
            </w:tcBorders>
            <w:shd w:val="clear" w:color="auto" w:fill="auto"/>
            <w:hideMark/>
          </w:tcPr>
          <w:p w14:paraId="4F55777B" w14:textId="77777777" w:rsidR="00011869" w:rsidRPr="00011869" w:rsidRDefault="00011869" w:rsidP="00011869">
            <w:pPr>
              <w:rPr>
                <w:color w:val="808080"/>
                <w:sz w:val="20"/>
                <w:szCs w:val="20"/>
                <w:lang w:eastAsia="en-GB"/>
              </w:rPr>
            </w:pPr>
            <w:r w:rsidRPr="00011869">
              <w:rPr>
                <w:color w:val="808080"/>
                <w:sz w:val="20"/>
                <w:szCs w:val="20"/>
                <w:lang w:eastAsia="en-GB"/>
              </w:rPr>
              <w:t>The Service fails to collaborate effectively with partner agencies and thus does not comply with the Policing and Crime Act 2017</w:t>
            </w:r>
          </w:p>
        </w:tc>
        <w:tc>
          <w:tcPr>
            <w:tcW w:w="3646" w:type="dxa"/>
            <w:tcBorders>
              <w:top w:val="nil"/>
              <w:left w:val="nil"/>
              <w:bottom w:val="single" w:sz="4" w:space="0" w:color="auto"/>
              <w:right w:val="single" w:sz="4" w:space="0" w:color="auto"/>
            </w:tcBorders>
            <w:shd w:val="clear" w:color="auto" w:fill="auto"/>
            <w:hideMark/>
          </w:tcPr>
          <w:p w14:paraId="1CD580C1" w14:textId="77777777" w:rsidR="00011869" w:rsidRPr="00011869" w:rsidRDefault="00011869" w:rsidP="00011869">
            <w:pPr>
              <w:rPr>
                <w:color w:val="808080"/>
                <w:sz w:val="20"/>
                <w:szCs w:val="20"/>
                <w:lang w:eastAsia="en-GB"/>
              </w:rPr>
            </w:pPr>
            <w:r w:rsidRPr="00011869">
              <w:rPr>
                <w:color w:val="808080"/>
                <w:sz w:val="20"/>
                <w:szCs w:val="20"/>
                <w:lang w:eastAsia="en-GB"/>
              </w:rPr>
              <w:t>Delete</w:t>
            </w:r>
          </w:p>
        </w:tc>
        <w:tc>
          <w:tcPr>
            <w:tcW w:w="4556" w:type="dxa"/>
            <w:tcBorders>
              <w:top w:val="nil"/>
              <w:left w:val="nil"/>
              <w:bottom w:val="single" w:sz="4" w:space="0" w:color="auto"/>
              <w:right w:val="single" w:sz="4" w:space="0" w:color="auto"/>
            </w:tcBorders>
            <w:shd w:val="clear" w:color="auto" w:fill="auto"/>
            <w:hideMark/>
          </w:tcPr>
          <w:p w14:paraId="45B92223" w14:textId="77777777" w:rsidR="00011869" w:rsidRPr="00011869" w:rsidRDefault="00011869" w:rsidP="00011869">
            <w:pPr>
              <w:rPr>
                <w:color w:val="808080"/>
                <w:sz w:val="20"/>
                <w:szCs w:val="20"/>
                <w:lang w:eastAsia="en-GB"/>
              </w:rPr>
            </w:pPr>
            <w:r w:rsidRPr="00011869">
              <w:rPr>
                <w:color w:val="808080"/>
                <w:sz w:val="20"/>
                <w:szCs w:val="20"/>
                <w:lang w:eastAsia="en-GB"/>
              </w:rPr>
              <w:t>See SRR 150030.</w:t>
            </w:r>
          </w:p>
        </w:tc>
      </w:tr>
      <w:tr w:rsidR="00011869" w:rsidRPr="00011869" w14:paraId="7AC6533D" w14:textId="77777777" w:rsidTr="000A19D6">
        <w:trPr>
          <w:trHeight w:val="1275"/>
        </w:trPr>
        <w:tc>
          <w:tcPr>
            <w:tcW w:w="1529" w:type="dxa"/>
            <w:tcBorders>
              <w:top w:val="nil"/>
              <w:left w:val="single" w:sz="4" w:space="0" w:color="auto"/>
              <w:bottom w:val="single" w:sz="4" w:space="0" w:color="auto"/>
              <w:right w:val="single" w:sz="4" w:space="0" w:color="auto"/>
            </w:tcBorders>
            <w:shd w:val="clear" w:color="auto" w:fill="auto"/>
            <w:noWrap/>
            <w:hideMark/>
          </w:tcPr>
          <w:p w14:paraId="6A83E5B6" w14:textId="77777777" w:rsidR="00011869" w:rsidRPr="00011869" w:rsidRDefault="00011869" w:rsidP="00011869">
            <w:pPr>
              <w:rPr>
                <w:color w:val="000000"/>
                <w:sz w:val="20"/>
                <w:szCs w:val="20"/>
                <w:lang w:eastAsia="en-GB"/>
              </w:rPr>
            </w:pPr>
            <w:r w:rsidRPr="00011869">
              <w:rPr>
                <w:color w:val="000000"/>
                <w:sz w:val="20"/>
                <w:szCs w:val="20"/>
                <w:lang w:eastAsia="en-GB"/>
              </w:rPr>
              <w:t>SRR150025</w:t>
            </w:r>
          </w:p>
        </w:tc>
        <w:tc>
          <w:tcPr>
            <w:tcW w:w="4109" w:type="dxa"/>
            <w:tcBorders>
              <w:top w:val="nil"/>
              <w:left w:val="nil"/>
              <w:bottom w:val="single" w:sz="4" w:space="0" w:color="auto"/>
              <w:right w:val="single" w:sz="4" w:space="0" w:color="auto"/>
            </w:tcBorders>
            <w:shd w:val="clear" w:color="auto" w:fill="auto"/>
            <w:hideMark/>
          </w:tcPr>
          <w:p w14:paraId="61107871" w14:textId="77777777" w:rsidR="00011869" w:rsidRPr="00011869" w:rsidRDefault="00011869" w:rsidP="00011869">
            <w:pPr>
              <w:rPr>
                <w:color w:val="000000"/>
                <w:sz w:val="20"/>
                <w:szCs w:val="20"/>
                <w:lang w:eastAsia="en-GB"/>
              </w:rPr>
            </w:pPr>
            <w:r w:rsidRPr="00011869">
              <w:rPr>
                <w:color w:val="000000"/>
                <w:sz w:val="20"/>
                <w:szCs w:val="20"/>
                <w:lang w:eastAsia="en-GB"/>
              </w:rPr>
              <w:t>Failure to adequately prepare for the HMICFRS Inspection</w:t>
            </w:r>
          </w:p>
        </w:tc>
        <w:tc>
          <w:tcPr>
            <w:tcW w:w="3646" w:type="dxa"/>
            <w:tcBorders>
              <w:top w:val="nil"/>
              <w:left w:val="nil"/>
              <w:bottom w:val="single" w:sz="4" w:space="0" w:color="auto"/>
              <w:right w:val="single" w:sz="4" w:space="0" w:color="auto"/>
            </w:tcBorders>
            <w:shd w:val="clear" w:color="auto" w:fill="auto"/>
            <w:hideMark/>
          </w:tcPr>
          <w:p w14:paraId="4FE97485" w14:textId="77777777" w:rsidR="00011869" w:rsidRPr="00011869" w:rsidRDefault="00011869" w:rsidP="00011869">
            <w:pPr>
              <w:rPr>
                <w:color w:val="000000"/>
                <w:sz w:val="20"/>
                <w:szCs w:val="20"/>
                <w:lang w:eastAsia="en-GB"/>
              </w:rPr>
            </w:pPr>
            <w:r w:rsidRPr="00011869">
              <w:rPr>
                <w:color w:val="000000"/>
                <w:sz w:val="20"/>
                <w:szCs w:val="20"/>
                <w:lang w:eastAsia="en-GB"/>
              </w:rPr>
              <w:t>There is a risk that ECFRS will receive an ‘inadequate’  assessment following the HMI inspection leading to additional scrutiny and impact on partnership arrangements</w:t>
            </w:r>
          </w:p>
        </w:tc>
        <w:tc>
          <w:tcPr>
            <w:tcW w:w="4556" w:type="dxa"/>
            <w:tcBorders>
              <w:top w:val="nil"/>
              <w:left w:val="nil"/>
              <w:bottom w:val="single" w:sz="4" w:space="0" w:color="auto"/>
              <w:right w:val="single" w:sz="4" w:space="0" w:color="auto"/>
            </w:tcBorders>
            <w:shd w:val="clear" w:color="auto" w:fill="auto"/>
            <w:hideMark/>
          </w:tcPr>
          <w:p w14:paraId="4A27FA9E" w14:textId="77777777" w:rsidR="00011869" w:rsidRPr="00011869" w:rsidRDefault="00011869" w:rsidP="00011869">
            <w:pPr>
              <w:rPr>
                <w:color w:val="000000"/>
                <w:sz w:val="20"/>
                <w:szCs w:val="20"/>
                <w:lang w:eastAsia="en-GB"/>
              </w:rPr>
            </w:pPr>
            <w:r w:rsidRPr="00011869">
              <w:rPr>
                <w:color w:val="000000"/>
                <w:sz w:val="20"/>
                <w:szCs w:val="20"/>
                <w:lang w:eastAsia="en-GB"/>
              </w:rPr>
              <w:t>Owner DCFO. Change of wording to reflect the risk more effectively.</w:t>
            </w:r>
          </w:p>
        </w:tc>
      </w:tr>
      <w:tr w:rsidR="00011869" w:rsidRPr="00011869" w14:paraId="3BA4D61C" w14:textId="77777777" w:rsidTr="000A19D6">
        <w:trPr>
          <w:trHeight w:val="127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2574552E" w14:textId="77777777" w:rsidR="00011869" w:rsidRPr="00011869" w:rsidRDefault="00011869" w:rsidP="00011869">
            <w:pPr>
              <w:rPr>
                <w:color w:val="000000"/>
                <w:sz w:val="20"/>
                <w:szCs w:val="20"/>
                <w:lang w:eastAsia="en-GB"/>
              </w:rPr>
            </w:pPr>
            <w:r w:rsidRPr="00011869">
              <w:rPr>
                <w:color w:val="000000"/>
                <w:sz w:val="20"/>
                <w:szCs w:val="20"/>
                <w:lang w:eastAsia="en-GB"/>
              </w:rPr>
              <w:t>SRR150026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14:paraId="7AF48FA9" w14:textId="77777777" w:rsidR="00011869" w:rsidRPr="00011869" w:rsidRDefault="00011869" w:rsidP="00011869">
            <w:pPr>
              <w:rPr>
                <w:color w:val="000000"/>
                <w:sz w:val="20"/>
                <w:szCs w:val="20"/>
                <w:lang w:eastAsia="en-GB"/>
              </w:rPr>
            </w:pPr>
            <w:r w:rsidRPr="00011869">
              <w:rPr>
                <w:color w:val="000000"/>
                <w:sz w:val="20"/>
                <w:szCs w:val="20"/>
                <w:lang w:eastAsia="en-GB"/>
              </w:rPr>
              <w:t>Failure in the Service's Information, Communication and Technology (ICT) infrastructure, leading to intermittent or loss of service or current ways of working are not fit for purpose.</w:t>
            </w:r>
          </w:p>
        </w:tc>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13385151" w14:textId="77777777" w:rsidR="00011869" w:rsidRPr="00011869" w:rsidRDefault="00011869" w:rsidP="00011869">
            <w:pPr>
              <w:rPr>
                <w:color w:val="000000"/>
                <w:sz w:val="20"/>
                <w:szCs w:val="20"/>
                <w:lang w:eastAsia="en-GB"/>
              </w:rPr>
            </w:pPr>
            <w:r w:rsidRPr="00011869">
              <w:rPr>
                <w:color w:val="000000"/>
                <w:sz w:val="20"/>
                <w:szCs w:val="20"/>
                <w:lang w:eastAsia="en-GB"/>
              </w:rPr>
              <w:t> </w:t>
            </w: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14:paraId="72943AE8" w14:textId="77777777" w:rsidR="00011869" w:rsidRPr="00011869" w:rsidRDefault="00011869" w:rsidP="00011869">
            <w:pPr>
              <w:rPr>
                <w:color w:val="000000"/>
                <w:sz w:val="20"/>
                <w:szCs w:val="20"/>
                <w:lang w:eastAsia="en-GB"/>
              </w:rPr>
            </w:pPr>
            <w:r w:rsidRPr="00011869">
              <w:rPr>
                <w:color w:val="000000"/>
                <w:sz w:val="20"/>
                <w:szCs w:val="20"/>
                <w:lang w:eastAsia="en-GB"/>
              </w:rPr>
              <w:t>Owner Director of Corporate Services</w:t>
            </w:r>
          </w:p>
        </w:tc>
      </w:tr>
      <w:tr w:rsidR="00011869" w:rsidRPr="00011869" w14:paraId="0A03F603" w14:textId="77777777" w:rsidTr="000A19D6">
        <w:trPr>
          <w:trHeight w:val="525"/>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3DB6C584" w14:textId="77777777" w:rsidR="00011869" w:rsidRPr="00011869" w:rsidRDefault="00011869" w:rsidP="00011869">
            <w:pPr>
              <w:rPr>
                <w:color w:val="808080"/>
                <w:sz w:val="20"/>
                <w:szCs w:val="20"/>
                <w:lang w:eastAsia="en-GB"/>
              </w:rPr>
            </w:pPr>
            <w:r w:rsidRPr="00011869">
              <w:rPr>
                <w:color w:val="808080"/>
                <w:sz w:val="20"/>
                <w:szCs w:val="20"/>
                <w:lang w:eastAsia="en-GB"/>
              </w:rPr>
              <w:t>SRR150027</w:t>
            </w:r>
          </w:p>
        </w:tc>
        <w:tc>
          <w:tcPr>
            <w:tcW w:w="4109" w:type="dxa"/>
            <w:tcBorders>
              <w:top w:val="single" w:sz="4" w:space="0" w:color="auto"/>
              <w:left w:val="nil"/>
              <w:bottom w:val="single" w:sz="4" w:space="0" w:color="auto"/>
              <w:right w:val="single" w:sz="4" w:space="0" w:color="auto"/>
            </w:tcBorders>
            <w:shd w:val="clear" w:color="auto" w:fill="auto"/>
            <w:hideMark/>
          </w:tcPr>
          <w:p w14:paraId="27C42E86" w14:textId="77777777" w:rsidR="00011869" w:rsidRPr="00011869" w:rsidRDefault="00011869" w:rsidP="00011869">
            <w:pPr>
              <w:rPr>
                <w:color w:val="808080"/>
                <w:sz w:val="20"/>
                <w:szCs w:val="20"/>
                <w:lang w:eastAsia="en-GB"/>
              </w:rPr>
            </w:pPr>
            <w:r w:rsidRPr="00011869">
              <w:rPr>
                <w:color w:val="808080"/>
                <w:sz w:val="20"/>
                <w:szCs w:val="20"/>
                <w:lang w:eastAsia="en-GB"/>
              </w:rPr>
              <w:t>There is a No-deal BREXIT</w:t>
            </w:r>
          </w:p>
        </w:tc>
        <w:tc>
          <w:tcPr>
            <w:tcW w:w="3646" w:type="dxa"/>
            <w:tcBorders>
              <w:top w:val="single" w:sz="4" w:space="0" w:color="auto"/>
              <w:left w:val="nil"/>
              <w:bottom w:val="single" w:sz="4" w:space="0" w:color="auto"/>
              <w:right w:val="single" w:sz="4" w:space="0" w:color="auto"/>
            </w:tcBorders>
            <w:shd w:val="clear" w:color="auto" w:fill="auto"/>
            <w:hideMark/>
          </w:tcPr>
          <w:p w14:paraId="2C398ECB" w14:textId="77777777" w:rsidR="00011869" w:rsidRPr="00011869" w:rsidRDefault="00011869" w:rsidP="00011869">
            <w:pPr>
              <w:rPr>
                <w:color w:val="808080"/>
                <w:sz w:val="20"/>
                <w:szCs w:val="20"/>
                <w:lang w:eastAsia="en-GB"/>
              </w:rPr>
            </w:pPr>
            <w:r w:rsidRPr="00011869">
              <w:rPr>
                <w:color w:val="808080"/>
                <w:sz w:val="20"/>
                <w:szCs w:val="20"/>
                <w:lang w:eastAsia="en-GB"/>
              </w:rPr>
              <w:t>Delete</w:t>
            </w:r>
          </w:p>
        </w:tc>
        <w:tc>
          <w:tcPr>
            <w:tcW w:w="4556" w:type="dxa"/>
            <w:tcBorders>
              <w:top w:val="single" w:sz="4" w:space="0" w:color="auto"/>
              <w:left w:val="nil"/>
              <w:bottom w:val="single" w:sz="4" w:space="0" w:color="auto"/>
              <w:right w:val="single" w:sz="4" w:space="0" w:color="auto"/>
            </w:tcBorders>
            <w:shd w:val="clear" w:color="auto" w:fill="auto"/>
            <w:hideMark/>
          </w:tcPr>
          <w:p w14:paraId="3727B97E" w14:textId="77777777" w:rsidR="00011869" w:rsidRPr="00011869" w:rsidRDefault="00011869" w:rsidP="00011869">
            <w:pPr>
              <w:rPr>
                <w:color w:val="808080"/>
                <w:sz w:val="20"/>
                <w:szCs w:val="20"/>
                <w:lang w:eastAsia="en-GB"/>
              </w:rPr>
            </w:pPr>
            <w:r w:rsidRPr="00011869">
              <w:rPr>
                <w:color w:val="808080"/>
                <w:sz w:val="20"/>
                <w:szCs w:val="20"/>
                <w:lang w:eastAsia="en-GB"/>
              </w:rPr>
              <w:t>See SRR150011</w:t>
            </w:r>
          </w:p>
        </w:tc>
      </w:tr>
    </w:tbl>
    <w:p w14:paraId="63AD2F3A" w14:textId="56815BF2" w:rsidR="00011869" w:rsidRDefault="00011869" w:rsidP="00011869">
      <w:pPr>
        <w:pStyle w:val="NumbList3"/>
        <w:numPr>
          <w:ilvl w:val="0"/>
          <w:numId w:val="0"/>
        </w:numPr>
        <w:spacing w:after="240"/>
        <w:rPr>
          <w:sz w:val="22"/>
          <w:szCs w:val="22"/>
        </w:rPr>
      </w:pPr>
      <w:r>
        <w:rPr>
          <w:sz w:val="22"/>
          <w:szCs w:val="22"/>
        </w:rPr>
        <w:fldChar w:fldCharType="end"/>
      </w:r>
    </w:p>
    <w:p w14:paraId="1101C660" w14:textId="30CBED49" w:rsidR="0081151B" w:rsidRDefault="0081151B" w:rsidP="00303359">
      <w:pPr>
        <w:pStyle w:val="NumbList3"/>
        <w:numPr>
          <w:ilvl w:val="0"/>
          <w:numId w:val="0"/>
        </w:numPr>
        <w:spacing w:after="240"/>
        <w:rPr>
          <w:sz w:val="22"/>
          <w:szCs w:val="22"/>
        </w:rPr>
      </w:pPr>
    </w:p>
    <w:p w14:paraId="1A5ADC8B" w14:textId="62DB0E25" w:rsidR="008949F4" w:rsidRDefault="008949F4" w:rsidP="00303359">
      <w:pPr>
        <w:pStyle w:val="NumbList3"/>
        <w:numPr>
          <w:ilvl w:val="0"/>
          <w:numId w:val="0"/>
        </w:numPr>
        <w:spacing w:after="240"/>
        <w:rPr>
          <w:sz w:val="22"/>
          <w:szCs w:val="22"/>
        </w:rPr>
      </w:pPr>
    </w:p>
    <w:p w14:paraId="08BA89D2" w14:textId="4F709204" w:rsidR="008949F4" w:rsidRDefault="008949F4" w:rsidP="00303359">
      <w:pPr>
        <w:pStyle w:val="NumbList3"/>
        <w:numPr>
          <w:ilvl w:val="0"/>
          <w:numId w:val="0"/>
        </w:numPr>
        <w:spacing w:after="240"/>
        <w:rPr>
          <w:sz w:val="22"/>
          <w:szCs w:val="22"/>
        </w:rPr>
      </w:pPr>
    </w:p>
    <w:p w14:paraId="2C9E732E" w14:textId="6F686A28" w:rsidR="008949F4" w:rsidRDefault="008949F4" w:rsidP="00303359">
      <w:pPr>
        <w:pStyle w:val="NumbList3"/>
        <w:numPr>
          <w:ilvl w:val="0"/>
          <w:numId w:val="0"/>
        </w:numPr>
        <w:spacing w:after="240"/>
        <w:rPr>
          <w:sz w:val="22"/>
          <w:szCs w:val="22"/>
        </w:rPr>
      </w:pPr>
    </w:p>
    <w:p w14:paraId="13BD6889" w14:textId="75F55A1E" w:rsidR="008949F4" w:rsidRDefault="008949F4" w:rsidP="00303359">
      <w:pPr>
        <w:pStyle w:val="NumbList3"/>
        <w:numPr>
          <w:ilvl w:val="0"/>
          <w:numId w:val="0"/>
        </w:numPr>
        <w:spacing w:after="240"/>
        <w:rPr>
          <w:sz w:val="22"/>
          <w:szCs w:val="22"/>
        </w:rPr>
      </w:pPr>
    </w:p>
    <w:p w14:paraId="608F15D3" w14:textId="0E87FC73" w:rsidR="008949F4" w:rsidRDefault="008949F4" w:rsidP="00303359">
      <w:pPr>
        <w:pStyle w:val="NumbList3"/>
        <w:numPr>
          <w:ilvl w:val="0"/>
          <w:numId w:val="0"/>
        </w:numPr>
        <w:spacing w:after="240"/>
        <w:rPr>
          <w:sz w:val="22"/>
          <w:szCs w:val="22"/>
        </w:rPr>
      </w:pPr>
    </w:p>
    <w:p w14:paraId="11EC87D8" w14:textId="5A7BC8A9" w:rsidR="008949F4" w:rsidRDefault="008949F4" w:rsidP="00303359">
      <w:pPr>
        <w:pStyle w:val="NumbList3"/>
        <w:numPr>
          <w:ilvl w:val="0"/>
          <w:numId w:val="0"/>
        </w:numPr>
        <w:spacing w:after="240"/>
        <w:rPr>
          <w:sz w:val="22"/>
          <w:szCs w:val="22"/>
        </w:rPr>
      </w:pPr>
    </w:p>
    <w:p w14:paraId="7CEACDBE" w14:textId="4B35EB03" w:rsidR="008949F4" w:rsidRPr="00303359" w:rsidRDefault="008949F4" w:rsidP="00303359">
      <w:pPr>
        <w:pStyle w:val="NumbList3"/>
        <w:numPr>
          <w:ilvl w:val="0"/>
          <w:numId w:val="0"/>
        </w:numPr>
        <w:spacing w:after="240"/>
        <w:rPr>
          <w:sz w:val="22"/>
          <w:szCs w:val="22"/>
        </w:rPr>
      </w:pPr>
    </w:p>
    <w:tbl>
      <w:tblPr>
        <w:tblStyle w:val="TableGrid15"/>
        <w:tblpPr w:leftFromText="180" w:rightFromText="180" w:vertAnchor="page" w:horzAnchor="margin" w:tblpY="346"/>
        <w:tblW w:w="15388" w:type="dxa"/>
        <w:tblLayout w:type="fixed"/>
        <w:tblLook w:val="04A0" w:firstRow="1" w:lastRow="0" w:firstColumn="1" w:lastColumn="0" w:noHBand="0" w:noVBand="1"/>
      </w:tblPr>
      <w:tblGrid>
        <w:gridCol w:w="1129"/>
        <w:gridCol w:w="3686"/>
        <w:gridCol w:w="2268"/>
        <w:gridCol w:w="2551"/>
        <w:gridCol w:w="2127"/>
        <w:gridCol w:w="3627"/>
      </w:tblGrid>
      <w:tr w:rsidR="008949F4" w:rsidRPr="00303359" w14:paraId="3D7E8F50" w14:textId="77777777" w:rsidTr="008949F4">
        <w:trPr>
          <w:trHeight w:val="558"/>
        </w:trPr>
        <w:tc>
          <w:tcPr>
            <w:tcW w:w="15388" w:type="dxa"/>
            <w:gridSpan w:val="6"/>
            <w:tcBorders>
              <w:top w:val="nil"/>
              <w:left w:val="nil"/>
              <w:right w:val="nil"/>
            </w:tcBorders>
          </w:tcPr>
          <w:p w14:paraId="556AC5D1" w14:textId="6C250D5A" w:rsidR="008949F4" w:rsidRDefault="008949F4" w:rsidP="008949F4">
            <w:pPr>
              <w:rPr>
                <w:rFonts w:asciiTheme="minorHAnsi" w:hAnsiTheme="minorHAnsi" w:cstheme="minorBidi"/>
                <w:b/>
                <w:sz w:val="22"/>
                <w:szCs w:val="22"/>
              </w:rPr>
            </w:pPr>
            <w:r>
              <w:rPr>
                <w:rFonts w:asciiTheme="minorHAnsi" w:hAnsiTheme="minorHAnsi" w:cstheme="minorBidi"/>
                <w:b/>
                <w:sz w:val="22"/>
                <w:szCs w:val="22"/>
              </w:rPr>
              <w:lastRenderedPageBreak/>
              <w:t>Appendix B</w:t>
            </w:r>
          </w:p>
          <w:p w14:paraId="7C5E01F8" w14:textId="77777777" w:rsidR="008949F4" w:rsidRPr="00303359" w:rsidRDefault="008949F4" w:rsidP="00A04A0A">
            <w:pPr>
              <w:rPr>
                <w:rFonts w:asciiTheme="minorHAnsi" w:hAnsiTheme="minorHAnsi" w:cstheme="minorBidi"/>
                <w:b/>
                <w:sz w:val="22"/>
                <w:szCs w:val="22"/>
              </w:rPr>
            </w:pPr>
          </w:p>
        </w:tc>
      </w:tr>
      <w:tr w:rsidR="00303359" w:rsidRPr="00303359" w14:paraId="6E83E368" w14:textId="77777777" w:rsidTr="00A04A0A">
        <w:trPr>
          <w:trHeight w:val="558"/>
        </w:trPr>
        <w:tc>
          <w:tcPr>
            <w:tcW w:w="1129" w:type="dxa"/>
          </w:tcPr>
          <w:p w14:paraId="10C7E7B3" w14:textId="77777777" w:rsidR="00303359" w:rsidRPr="00303359" w:rsidRDefault="00303359" w:rsidP="00A04A0A">
            <w:pPr>
              <w:jc w:val="center"/>
              <w:rPr>
                <w:rFonts w:asciiTheme="minorHAnsi" w:hAnsiTheme="minorHAnsi" w:cstheme="minorBidi"/>
                <w:b/>
                <w:sz w:val="22"/>
                <w:szCs w:val="22"/>
              </w:rPr>
            </w:pPr>
            <w:r w:rsidRPr="00303359">
              <w:rPr>
                <w:rFonts w:asciiTheme="minorHAnsi" w:hAnsiTheme="minorHAnsi" w:cstheme="minorBidi"/>
                <w:b/>
                <w:sz w:val="22"/>
                <w:szCs w:val="22"/>
              </w:rPr>
              <w:t>Impact</w:t>
            </w:r>
          </w:p>
        </w:tc>
        <w:tc>
          <w:tcPr>
            <w:tcW w:w="3686" w:type="dxa"/>
          </w:tcPr>
          <w:p w14:paraId="60107B78" w14:textId="77777777" w:rsidR="00303359" w:rsidRPr="00303359" w:rsidRDefault="00303359" w:rsidP="00A04A0A">
            <w:pPr>
              <w:rPr>
                <w:rFonts w:asciiTheme="minorHAnsi" w:hAnsiTheme="minorHAnsi" w:cstheme="minorBidi"/>
                <w:b/>
                <w:sz w:val="22"/>
                <w:szCs w:val="22"/>
              </w:rPr>
            </w:pPr>
            <w:r w:rsidRPr="00303359">
              <w:rPr>
                <w:rFonts w:asciiTheme="minorHAnsi" w:hAnsiTheme="minorHAnsi" w:cstheme="minorBidi"/>
                <w:b/>
                <w:sz w:val="22"/>
                <w:szCs w:val="22"/>
              </w:rPr>
              <w:t xml:space="preserve">Public Value </w:t>
            </w:r>
          </w:p>
          <w:p w14:paraId="735D8255" w14:textId="77777777" w:rsidR="00303359" w:rsidRPr="00303359" w:rsidRDefault="00303359" w:rsidP="00A04A0A">
            <w:pPr>
              <w:rPr>
                <w:rFonts w:asciiTheme="minorHAnsi" w:hAnsiTheme="minorHAnsi" w:cstheme="minorBidi"/>
                <w:sz w:val="22"/>
                <w:szCs w:val="22"/>
              </w:rPr>
            </w:pPr>
          </w:p>
        </w:tc>
        <w:tc>
          <w:tcPr>
            <w:tcW w:w="2268" w:type="dxa"/>
          </w:tcPr>
          <w:p w14:paraId="655DEB9E" w14:textId="77777777" w:rsidR="00303359" w:rsidRPr="00303359" w:rsidRDefault="00303359" w:rsidP="00A04A0A">
            <w:pPr>
              <w:rPr>
                <w:rFonts w:asciiTheme="minorHAnsi" w:hAnsiTheme="minorHAnsi" w:cstheme="minorBidi"/>
                <w:b/>
                <w:sz w:val="22"/>
                <w:szCs w:val="22"/>
              </w:rPr>
            </w:pPr>
            <w:r w:rsidRPr="00303359">
              <w:rPr>
                <w:rFonts w:asciiTheme="minorHAnsi" w:hAnsiTheme="minorHAnsi" w:cstheme="minorBidi"/>
                <w:b/>
                <w:sz w:val="22"/>
                <w:szCs w:val="22"/>
              </w:rPr>
              <w:t>Financial</w:t>
            </w:r>
          </w:p>
          <w:p w14:paraId="5F24E63C" w14:textId="77777777" w:rsidR="00303359" w:rsidRPr="00303359" w:rsidRDefault="00303359" w:rsidP="00A04A0A">
            <w:pPr>
              <w:rPr>
                <w:rFonts w:asciiTheme="minorHAnsi" w:hAnsiTheme="minorHAnsi" w:cstheme="minorBidi"/>
                <w:sz w:val="22"/>
                <w:szCs w:val="22"/>
              </w:rPr>
            </w:pPr>
          </w:p>
        </w:tc>
        <w:tc>
          <w:tcPr>
            <w:tcW w:w="2551" w:type="dxa"/>
          </w:tcPr>
          <w:p w14:paraId="25A183D5" w14:textId="77777777" w:rsidR="00303359" w:rsidRPr="00303359" w:rsidRDefault="00303359" w:rsidP="00A04A0A">
            <w:pPr>
              <w:rPr>
                <w:rFonts w:asciiTheme="minorHAnsi" w:hAnsiTheme="minorHAnsi" w:cstheme="minorBidi"/>
                <w:b/>
                <w:sz w:val="22"/>
                <w:szCs w:val="22"/>
              </w:rPr>
            </w:pPr>
            <w:r w:rsidRPr="00303359">
              <w:rPr>
                <w:rFonts w:asciiTheme="minorHAnsi" w:hAnsiTheme="minorHAnsi" w:cstheme="minorBidi"/>
                <w:b/>
                <w:sz w:val="22"/>
                <w:szCs w:val="22"/>
              </w:rPr>
              <w:t>People</w:t>
            </w:r>
          </w:p>
          <w:p w14:paraId="404B5BC5" w14:textId="77777777" w:rsidR="00303359" w:rsidRPr="00303359" w:rsidRDefault="00303359" w:rsidP="00A04A0A">
            <w:pPr>
              <w:rPr>
                <w:rFonts w:asciiTheme="minorHAnsi" w:hAnsiTheme="minorHAnsi" w:cstheme="minorBidi"/>
                <w:color w:val="FF0000"/>
                <w:sz w:val="22"/>
                <w:szCs w:val="22"/>
              </w:rPr>
            </w:pPr>
            <w:r w:rsidRPr="00303359">
              <w:rPr>
                <w:rFonts w:asciiTheme="minorHAnsi" w:hAnsiTheme="minorHAnsi" w:cstheme="minorBidi"/>
                <w:color w:val="FF0000"/>
                <w:sz w:val="22"/>
                <w:szCs w:val="22"/>
              </w:rPr>
              <w:t xml:space="preserve"> </w:t>
            </w:r>
          </w:p>
        </w:tc>
        <w:tc>
          <w:tcPr>
            <w:tcW w:w="2127" w:type="dxa"/>
          </w:tcPr>
          <w:p w14:paraId="260C62CB" w14:textId="77777777" w:rsidR="00303359" w:rsidRPr="00303359" w:rsidRDefault="00303359" w:rsidP="00A04A0A">
            <w:pPr>
              <w:rPr>
                <w:rFonts w:asciiTheme="minorHAnsi" w:hAnsiTheme="minorHAnsi" w:cstheme="minorBidi"/>
                <w:b/>
                <w:sz w:val="22"/>
                <w:szCs w:val="22"/>
              </w:rPr>
            </w:pPr>
            <w:r w:rsidRPr="00303359">
              <w:rPr>
                <w:rFonts w:asciiTheme="minorHAnsi" w:hAnsiTheme="minorHAnsi" w:cstheme="minorBidi"/>
                <w:b/>
                <w:sz w:val="22"/>
                <w:szCs w:val="22"/>
              </w:rPr>
              <w:t>Infrastructure</w:t>
            </w:r>
          </w:p>
          <w:p w14:paraId="4436D180" w14:textId="77777777" w:rsidR="00303359" w:rsidRPr="00303359" w:rsidRDefault="00303359" w:rsidP="00A04A0A">
            <w:pPr>
              <w:rPr>
                <w:rFonts w:asciiTheme="minorHAnsi" w:hAnsiTheme="minorHAnsi" w:cstheme="minorBidi"/>
                <w:sz w:val="22"/>
                <w:szCs w:val="22"/>
              </w:rPr>
            </w:pPr>
          </w:p>
        </w:tc>
        <w:tc>
          <w:tcPr>
            <w:tcW w:w="3627" w:type="dxa"/>
          </w:tcPr>
          <w:p w14:paraId="060FE77B" w14:textId="77777777" w:rsidR="00303359" w:rsidRPr="00303359" w:rsidRDefault="00303359" w:rsidP="00A04A0A">
            <w:pPr>
              <w:rPr>
                <w:rFonts w:asciiTheme="minorHAnsi" w:hAnsiTheme="minorHAnsi" w:cstheme="minorBidi"/>
                <w:b/>
                <w:sz w:val="22"/>
                <w:szCs w:val="22"/>
              </w:rPr>
            </w:pPr>
            <w:r w:rsidRPr="00303359">
              <w:rPr>
                <w:rFonts w:asciiTheme="minorHAnsi" w:hAnsiTheme="minorHAnsi" w:cstheme="minorBidi"/>
                <w:b/>
                <w:sz w:val="22"/>
                <w:szCs w:val="22"/>
              </w:rPr>
              <w:t>Compliance</w:t>
            </w:r>
          </w:p>
          <w:p w14:paraId="2B301434" w14:textId="77777777" w:rsidR="00303359" w:rsidRPr="00303359" w:rsidRDefault="00303359" w:rsidP="00A04A0A">
            <w:pPr>
              <w:rPr>
                <w:rFonts w:asciiTheme="minorHAnsi" w:hAnsiTheme="minorHAnsi" w:cstheme="minorBidi"/>
                <w:sz w:val="22"/>
                <w:szCs w:val="22"/>
              </w:rPr>
            </w:pPr>
          </w:p>
        </w:tc>
      </w:tr>
      <w:tr w:rsidR="00303359" w:rsidRPr="00303359" w14:paraId="29BE073D" w14:textId="77777777" w:rsidTr="00A04A0A">
        <w:trPr>
          <w:trHeight w:val="1734"/>
        </w:trPr>
        <w:tc>
          <w:tcPr>
            <w:tcW w:w="1129" w:type="dxa"/>
            <w:shd w:val="clear" w:color="auto" w:fill="92D050"/>
          </w:tcPr>
          <w:p w14:paraId="54B808C9" w14:textId="77777777" w:rsidR="00303359" w:rsidRPr="00303359" w:rsidRDefault="00303359" w:rsidP="00A04A0A">
            <w:pPr>
              <w:jc w:val="center"/>
              <w:rPr>
                <w:rFonts w:asciiTheme="minorHAnsi" w:hAnsiTheme="minorHAnsi" w:cstheme="minorBidi"/>
                <w:sz w:val="18"/>
                <w:szCs w:val="18"/>
              </w:rPr>
            </w:pPr>
          </w:p>
          <w:p w14:paraId="3335F889" w14:textId="77777777" w:rsidR="00303359" w:rsidRPr="00303359" w:rsidRDefault="00303359" w:rsidP="00A04A0A">
            <w:pPr>
              <w:jc w:val="center"/>
              <w:rPr>
                <w:rFonts w:asciiTheme="minorHAnsi" w:hAnsiTheme="minorHAnsi" w:cstheme="minorBidi"/>
                <w:b/>
                <w:sz w:val="18"/>
                <w:szCs w:val="18"/>
              </w:rPr>
            </w:pPr>
            <w:r w:rsidRPr="00303359">
              <w:rPr>
                <w:rFonts w:asciiTheme="minorHAnsi" w:hAnsiTheme="minorHAnsi" w:cstheme="minorBidi"/>
                <w:b/>
                <w:sz w:val="18"/>
                <w:szCs w:val="18"/>
              </w:rPr>
              <w:t>Insignificant</w:t>
            </w:r>
          </w:p>
          <w:p w14:paraId="388C80BA" w14:textId="77777777" w:rsidR="00303359" w:rsidRPr="00303359" w:rsidRDefault="00303359" w:rsidP="00A04A0A">
            <w:pPr>
              <w:jc w:val="center"/>
              <w:rPr>
                <w:rFonts w:asciiTheme="minorHAnsi" w:hAnsiTheme="minorHAnsi" w:cstheme="minorBidi"/>
                <w:sz w:val="18"/>
                <w:szCs w:val="18"/>
              </w:rPr>
            </w:pPr>
            <w:r w:rsidRPr="00303359">
              <w:rPr>
                <w:rFonts w:asciiTheme="minorHAnsi" w:hAnsiTheme="minorHAnsi" w:cstheme="minorBidi"/>
                <w:b/>
                <w:sz w:val="18"/>
                <w:szCs w:val="18"/>
              </w:rPr>
              <w:t>1</w:t>
            </w:r>
          </w:p>
        </w:tc>
        <w:tc>
          <w:tcPr>
            <w:tcW w:w="3686" w:type="dxa"/>
          </w:tcPr>
          <w:p w14:paraId="01333B10" w14:textId="77777777" w:rsidR="00303359" w:rsidRPr="00303359" w:rsidRDefault="00303359" w:rsidP="00A04A0A">
            <w:pPr>
              <w:rPr>
                <w:rFonts w:asciiTheme="minorHAnsi" w:hAnsiTheme="minorHAnsi" w:cstheme="minorBidi"/>
                <w:sz w:val="20"/>
                <w:szCs w:val="20"/>
              </w:rPr>
            </w:pPr>
          </w:p>
          <w:p w14:paraId="256D7FF9"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Negative trend across specific KPI’s, evidence of mitigating action in place.</w:t>
            </w:r>
          </w:p>
          <w:p w14:paraId="74D33EE8" w14:textId="77777777" w:rsidR="00303359" w:rsidRPr="00303359" w:rsidRDefault="00303359" w:rsidP="00A04A0A">
            <w:pPr>
              <w:rPr>
                <w:rFonts w:asciiTheme="minorHAnsi" w:hAnsiTheme="minorHAnsi" w:cstheme="minorBidi"/>
                <w:sz w:val="20"/>
                <w:szCs w:val="20"/>
              </w:rPr>
            </w:pPr>
          </w:p>
          <w:p w14:paraId="6721529C"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Some social media comments, not picked up by local or national media. </w:t>
            </w:r>
          </w:p>
          <w:p w14:paraId="046B2ABA" w14:textId="77777777" w:rsidR="00303359" w:rsidRPr="00303359" w:rsidRDefault="00303359" w:rsidP="00A04A0A">
            <w:pPr>
              <w:rPr>
                <w:rFonts w:asciiTheme="minorHAnsi" w:hAnsiTheme="minorHAnsi" w:cstheme="minorBidi"/>
                <w:sz w:val="20"/>
                <w:szCs w:val="20"/>
              </w:rPr>
            </w:pPr>
          </w:p>
          <w:p w14:paraId="1E52E54F"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Little or no impact on public confidence.</w:t>
            </w:r>
          </w:p>
          <w:p w14:paraId="6D33C2F7" w14:textId="77777777" w:rsidR="00303359" w:rsidRPr="00303359" w:rsidRDefault="00303359" w:rsidP="00A04A0A">
            <w:pPr>
              <w:rPr>
                <w:rFonts w:asciiTheme="minorHAnsi" w:hAnsiTheme="minorHAnsi" w:cstheme="minorBidi"/>
                <w:sz w:val="20"/>
                <w:szCs w:val="20"/>
              </w:rPr>
            </w:pPr>
          </w:p>
          <w:p w14:paraId="75CB7191"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Good HMICFRS outcome with areas for improvement identified in less than two categories.</w:t>
            </w:r>
          </w:p>
          <w:p w14:paraId="18D0C0FD" w14:textId="77777777" w:rsidR="00303359" w:rsidRPr="00303359" w:rsidRDefault="00303359" w:rsidP="00A04A0A">
            <w:pPr>
              <w:rPr>
                <w:rFonts w:asciiTheme="minorHAnsi" w:hAnsiTheme="minorHAnsi" w:cstheme="minorBidi"/>
                <w:sz w:val="20"/>
                <w:szCs w:val="20"/>
              </w:rPr>
            </w:pPr>
          </w:p>
          <w:p w14:paraId="1B886063"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No impact on community work and partnerships</w:t>
            </w:r>
          </w:p>
          <w:p w14:paraId="59E66B76" w14:textId="77777777" w:rsidR="00303359" w:rsidRPr="00303359" w:rsidRDefault="00303359" w:rsidP="00A04A0A">
            <w:pPr>
              <w:rPr>
                <w:rFonts w:asciiTheme="minorHAnsi" w:hAnsiTheme="minorHAnsi" w:cstheme="minorBidi"/>
                <w:sz w:val="20"/>
                <w:szCs w:val="20"/>
              </w:rPr>
            </w:pPr>
          </w:p>
        </w:tc>
        <w:tc>
          <w:tcPr>
            <w:tcW w:w="2268" w:type="dxa"/>
          </w:tcPr>
          <w:p w14:paraId="77B5823A" w14:textId="77777777" w:rsidR="00303359" w:rsidRPr="00303359" w:rsidRDefault="00303359" w:rsidP="00A04A0A">
            <w:pPr>
              <w:rPr>
                <w:rFonts w:asciiTheme="minorHAnsi" w:hAnsiTheme="minorHAnsi" w:cstheme="minorBidi"/>
                <w:sz w:val="20"/>
                <w:szCs w:val="20"/>
              </w:rPr>
            </w:pPr>
          </w:p>
          <w:p w14:paraId="0951EEA6"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Solution not likely to require additional funds </w:t>
            </w:r>
          </w:p>
          <w:p w14:paraId="273D0849" w14:textId="77777777" w:rsidR="00303359" w:rsidRPr="00303359" w:rsidRDefault="00303359" w:rsidP="00A04A0A">
            <w:pPr>
              <w:rPr>
                <w:rFonts w:asciiTheme="minorHAnsi" w:hAnsiTheme="minorHAnsi" w:cstheme="minorBidi"/>
                <w:sz w:val="20"/>
                <w:szCs w:val="20"/>
              </w:rPr>
            </w:pPr>
          </w:p>
          <w:p w14:paraId="6B7391EA" w14:textId="77777777" w:rsidR="00303359" w:rsidRPr="00303359" w:rsidRDefault="00303359" w:rsidP="00A04A0A">
            <w:pPr>
              <w:rPr>
                <w:rFonts w:asciiTheme="minorHAnsi" w:hAnsiTheme="minorHAnsi" w:cstheme="minorBidi"/>
                <w:sz w:val="20"/>
                <w:szCs w:val="20"/>
              </w:rPr>
            </w:pPr>
          </w:p>
        </w:tc>
        <w:tc>
          <w:tcPr>
            <w:tcW w:w="2551" w:type="dxa"/>
          </w:tcPr>
          <w:p w14:paraId="4BB19D17" w14:textId="77777777" w:rsidR="00303359" w:rsidRPr="00303359" w:rsidRDefault="00303359" w:rsidP="00A04A0A">
            <w:pPr>
              <w:rPr>
                <w:rFonts w:asciiTheme="minorHAnsi" w:hAnsiTheme="minorHAnsi" w:cstheme="minorBidi"/>
                <w:sz w:val="20"/>
                <w:szCs w:val="20"/>
              </w:rPr>
            </w:pPr>
          </w:p>
          <w:p w14:paraId="77E46886"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Minimal people issues raised</w:t>
            </w:r>
          </w:p>
          <w:p w14:paraId="108ACF79" w14:textId="77777777" w:rsidR="00303359" w:rsidRPr="00303359" w:rsidRDefault="00303359" w:rsidP="00A04A0A">
            <w:pPr>
              <w:rPr>
                <w:rFonts w:asciiTheme="minorHAnsi" w:hAnsiTheme="minorHAnsi" w:cstheme="minorBidi"/>
                <w:sz w:val="20"/>
                <w:szCs w:val="20"/>
              </w:rPr>
            </w:pPr>
          </w:p>
          <w:p w14:paraId="384612EC"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Delivery of people programmes on track</w:t>
            </w:r>
          </w:p>
          <w:p w14:paraId="7350C9E3" w14:textId="77777777" w:rsidR="00303359" w:rsidRPr="00303359" w:rsidRDefault="00303359" w:rsidP="00A04A0A">
            <w:pPr>
              <w:rPr>
                <w:rFonts w:asciiTheme="minorHAnsi" w:hAnsiTheme="minorHAnsi" w:cstheme="minorBidi"/>
                <w:sz w:val="20"/>
                <w:szCs w:val="20"/>
              </w:rPr>
            </w:pPr>
          </w:p>
          <w:p w14:paraId="7D5E07B7"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People KPI’s (Engagement etc.) reflect a healthy and engaged workforce</w:t>
            </w:r>
          </w:p>
        </w:tc>
        <w:tc>
          <w:tcPr>
            <w:tcW w:w="2127" w:type="dxa"/>
          </w:tcPr>
          <w:p w14:paraId="1B5AFA3C" w14:textId="77777777" w:rsidR="00303359" w:rsidRPr="00303359" w:rsidRDefault="00303359" w:rsidP="00A04A0A">
            <w:pPr>
              <w:rPr>
                <w:rFonts w:asciiTheme="minorHAnsi" w:hAnsiTheme="minorHAnsi" w:cstheme="minorBidi"/>
                <w:sz w:val="20"/>
                <w:szCs w:val="20"/>
              </w:rPr>
            </w:pPr>
          </w:p>
          <w:p w14:paraId="0C3E81ED"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Minor disruption to some non-critical services.</w:t>
            </w:r>
          </w:p>
        </w:tc>
        <w:tc>
          <w:tcPr>
            <w:tcW w:w="3627" w:type="dxa"/>
          </w:tcPr>
          <w:p w14:paraId="550B286E" w14:textId="77777777" w:rsidR="00303359" w:rsidRPr="00303359" w:rsidRDefault="00303359" w:rsidP="00A04A0A">
            <w:pPr>
              <w:rPr>
                <w:rFonts w:asciiTheme="minorHAnsi" w:hAnsiTheme="minorHAnsi"/>
                <w:sz w:val="20"/>
                <w:szCs w:val="20"/>
                <w:lang w:eastAsia="en-GB"/>
              </w:rPr>
            </w:pPr>
          </w:p>
          <w:p w14:paraId="281ADACE" w14:textId="77777777" w:rsidR="00303359" w:rsidRPr="00303359" w:rsidRDefault="00303359" w:rsidP="00A04A0A">
            <w:pPr>
              <w:rPr>
                <w:rFonts w:asciiTheme="minorHAnsi" w:hAnsiTheme="minorHAnsi"/>
                <w:sz w:val="20"/>
                <w:szCs w:val="20"/>
                <w:lang w:eastAsia="en-GB"/>
              </w:rPr>
            </w:pPr>
            <w:r w:rsidRPr="00303359">
              <w:rPr>
                <w:rFonts w:asciiTheme="minorHAnsi" w:hAnsiTheme="minorHAnsi"/>
                <w:sz w:val="20"/>
                <w:szCs w:val="20"/>
                <w:lang w:eastAsia="en-GB"/>
              </w:rPr>
              <w:t>Minor cuts/abrasions requiring minimal treatment</w:t>
            </w:r>
          </w:p>
          <w:p w14:paraId="2948D852" w14:textId="77777777" w:rsidR="00303359" w:rsidRPr="00303359" w:rsidRDefault="00303359" w:rsidP="00A04A0A">
            <w:pPr>
              <w:rPr>
                <w:rFonts w:asciiTheme="minorHAnsi" w:hAnsiTheme="minorHAnsi"/>
                <w:sz w:val="20"/>
                <w:szCs w:val="20"/>
                <w:lang w:eastAsia="en-GB"/>
              </w:rPr>
            </w:pPr>
          </w:p>
          <w:p w14:paraId="6A9F8034" w14:textId="77777777" w:rsidR="00303359" w:rsidRPr="00303359" w:rsidRDefault="00303359" w:rsidP="00A04A0A">
            <w:pPr>
              <w:rPr>
                <w:rFonts w:asciiTheme="minorHAnsi" w:hAnsiTheme="minorHAnsi"/>
                <w:sz w:val="20"/>
                <w:szCs w:val="20"/>
              </w:rPr>
            </w:pPr>
            <w:r w:rsidRPr="00303359">
              <w:rPr>
                <w:rFonts w:asciiTheme="minorHAnsi" w:hAnsiTheme="minorHAnsi"/>
                <w:sz w:val="20"/>
                <w:szCs w:val="20"/>
              </w:rPr>
              <w:t>Incidents involving an individual or a few data subjects that can be easily contacted and resolved.</w:t>
            </w:r>
          </w:p>
          <w:p w14:paraId="0406307F" w14:textId="77777777" w:rsidR="00303359" w:rsidRPr="00303359" w:rsidRDefault="00303359" w:rsidP="00A04A0A">
            <w:pPr>
              <w:rPr>
                <w:rFonts w:asciiTheme="minorHAnsi" w:hAnsiTheme="minorHAnsi"/>
                <w:sz w:val="20"/>
                <w:szCs w:val="20"/>
                <w:lang w:eastAsia="en-GB"/>
              </w:rPr>
            </w:pPr>
          </w:p>
          <w:p w14:paraId="7C7F374C" w14:textId="77777777" w:rsidR="00303359" w:rsidRPr="00303359" w:rsidRDefault="00303359" w:rsidP="00A04A0A">
            <w:pPr>
              <w:rPr>
                <w:rFonts w:asciiTheme="minorHAnsi" w:hAnsiTheme="minorHAnsi"/>
                <w:color w:val="000000"/>
                <w:sz w:val="20"/>
                <w:szCs w:val="20"/>
              </w:rPr>
            </w:pPr>
          </w:p>
          <w:p w14:paraId="37796388" w14:textId="77777777" w:rsidR="00303359" w:rsidRPr="00303359" w:rsidRDefault="00303359" w:rsidP="00A04A0A">
            <w:pPr>
              <w:rPr>
                <w:rFonts w:asciiTheme="minorHAnsi" w:hAnsiTheme="minorHAnsi" w:cstheme="minorBidi"/>
                <w:color w:val="000000"/>
                <w:sz w:val="20"/>
                <w:szCs w:val="20"/>
              </w:rPr>
            </w:pPr>
            <w:r w:rsidRPr="00303359">
              <w:rPr>
                <w:rFonts w:asciiTheme="minorHAnsi" w:hAnsiTheme="minorHAnsi" w:cstheme="minorBidi"/>
                <w:color w:val="000000"/>
                <w:sz w:val="20"/>
                <w:szCs w:val="20"/>
              </w:rPr>
              <w:t>Minor impact on environment</w:t>
            </w:r>
          </w:p>
          <w:p w14:paraId="46EC3B3D" w14:textId="77777777" w:rsidR="00303359" w:rsidRPr="00303359" w:rsidRDefault="00303359" w:rsidP="00A04A0A">
            <w:pPr>
              <w:rPr>
                <w:rFonts w:asciiTheme="minorHAnsi" w:hAnsiTheme="minorHAnsi" w:cstheme="minorBidi"/>
                <w:color w:val="000000"/>
                <w:sz w:val="20"/>
                <w:szCs w:val="20"/>
              </w:rPr>
            </w:pPr>
          </w:p>
          <w:p w14:paraId="6FA95D09" w14:textId="77777777" w:rsidR="00303359" w:rsidRPr="00303359" w:rsidRDefault="00303359" w:rsidP="00A04A0A">
            <w:pPr>
              <w:rPr>
                <w:rFonts w:asciiTheme="minorHAnsi" w:hAnsiTheme="minorHAnsi" w:cstheme="minorBidi"/>
                <w:color w:val="000000"/>
                <w:sz w:val="20"/>
                <w:szCs w:val="20"/>
              </w:rPr>
            </w:pPr>
            <w:r w:rsidRPr="00303359">
              <w:rPr>
                <w:rFonts w:asciiTheme="minorHAnsi" w:hAnsiTheme="minorHAnsi" w:cstheme="minorBidi"/>
                <w:color w:val="000000"/>
                <w:sz w:val="20"/>
                <w:szCs w:val="20"/>
              </w:rPr>
              <w:t xml:space="preserve">Minimal impact of breach of guidance/statutory duty  </w:t>
            </w:r>
          </w:p>
          <w:p w14:paraId="4F632638" w14:textId="77777777" w:rsidR="00303359" w:rsidRPr="00303359" w:rsidRDefault="00303359" w:rsidP="00A04A0A">
            <w:pPr>
              <w:rPr>
                <w:rFonts w:asciiTheme="minorHAnsi" w:hAnsiTheme="minorHAnsi" w:cstheme="minorBidi"/>
                <w:sz w:val="20"/>
                <w:szCs w:val="20"/>
              </w:rPr>
            </w:pPr>
          </w:p>
        </w:tc>
      </w:tr>
      <w:tr w:rsidR="00303359" w:rsidRPr="00303359" w14:paraId="4EA05561" w14:textId="77777777" w:rsidTr="00A04A0A">
        <w:trPr>
          <w:trHeight w:val="2350"/>
        </w:trPr>
        <w:tc>
          <w:tcPr>
            <w:tcW w:w="1129" w:type="dxa"/>
            <w:shd w:val="clear" w:color="auto" w:fill="FFFF00"/>
          </w:tcPr>
          <w:p w14:paraId="7A288147" w14:textId="77777777" w:rsidR="00303359" w:rsidRPr="00303359" w:rsidRDefault="00303359" w:rsidP="00A04A0A">
            <w:pPr>
              <w:jc w:val="center"/>
              <w:rPr>
                <w:rFonts w:asciiTheme="minorHAnsi" w:hAnsiTheme="minorHAnsi" w:cstheme="minorBidi"/>
                <w:b/>
                <w:sz w:val="18"/>
                <w:szCs w:val="18"/>
              </w:rPr>
            </w:pPr>
          </w:p>
          <w:p w14:paraId="7EF483FD" w14:textId="77777777" w:rsidR="00303359" w:rsidRPr="00303359" w:rsidRDefault="00303359" w:rsidP="00A04A0A">
            <w:pPr>
              <w:jc w:val="center"/>
              <w:rPr>
                <w:rFonts w:asciiTheme="minorHAnsi" w:hAnsiTheme="minorHAnsi" w:cstheme="minorBidi"/>
                <w:b/>
                <w:sz w:val="18"/>
                <w:szCs w:val="18"/>
              </w:rPr>
            </w:pPr>
            <w:r w:rsidRPr="00303359">
              <w:rPr>
                <w:rFonts w:asciiTheme="minorHAnsi" w:hAnsiTheme="minorHAnsi" w:cstheme="minorBidi"/>
                <w:b/>
                <w:sz w:val="18"/>
                <w:szCs w:val="18"/>
              </w:rPr>
              <w:t>Minor</w:t>
            </w:r>
          </w:p>
          <w:p w14:paraId="05788337" w14:textId="77777777" w:rsidR="00303359" w:rsidRPr="00303359" w:rsidRDefault="00303359" w:rsidP="00A04A0A">
            <w:pPr>
              <w:jc w:val="center"/>
              <w:rPr>
                <w:rFonts w:asciiTheme="minorHAnsi" w:hAnsiTheme="minorHAnsi" w:cstheme="minorBidi"/>
                <w:sz w:val="18"/>
                <w:szCs w:val="18"/>
              </w:rPr>
            </w:pPr>
            <w:r w:rsidRPr="00303359">
              <w:rPr>
                <w:rFonts w:asciiTheme="minorHAnsi" w:hAnsiTheme="minorHAnsi" w:cstheme="minorBidi"/>
                <w:b/>
                <w:sz w:val="18"/>
                <w:szCs w:val="18"/>
              </w:rPr>
              <w:t>2</w:t>
            </w:r>
          </w:p>
        </w:tc>
        <w:tc>
          <w:tcPr>
            <w:tcW w:w="3686" w:type="dxa"/>
          </w:tcPr>
          <w:p w14:paraId="7B4E83A8" w14:textId="77777777" w:rsidR="00303359" w:rsidRPr="00303359" w:rsidRDefault="00303359" w:rsidP="00A04A0A">
            <w:pPr>
              <w:rPr>
                <w:rFonts w:asciiTheme="minorHAnsi" w:hAnsiTheme="minorHAnsi" w:cstheme="minorBidi"/>
                <w:sz w:val="20"/>
                <w:szCs w:val="20"/>
              </w:rPr>
            </w:pPr>
          </w:p>
          <w:p w14:paraId="0E1DCA75"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Negative trend across several KPI’s, evidence of mitigating action in place.</w:t>
            </w:r>
          </w:p>
          <w:p w14:paraId="27EC98E3" w14:textId="77777777" w:rsidR="00303359" w:rsidRPr="00303359" w:rsidRDefault="00303359" w:rsidP="00A04A0A">
            <w:pPr>
              <w:rPr>
                <w:rFonts w:asciiTheme="minorHAnsi" w:hAnsiTheme="minorHAnsi" w:cstheme="minorBidi"/>
                <w:sz w:val="20"/>
                <w:szCs w:val="20"/>
              </w:rPr>
            </w:pPr>
          </w:p>
          <w:p w14:paraId="3AB200A6" w14:textId="77777777" w:rsidR="00303359" w:rsidRPr="00303359" w:rsidRDefault="00303359" w:rsidP="00A04A0A">
            <w:pPr>
              <w:rPr>
                <w:rFonts w:asciiTheme="minorHAnsi" w:hAnsiTheme="minorHAnsi" w:cstheme="minorBidi"/>
                <w:color w:val="000000"/>
                <w:sz w:val="20"/>
                <w:szCs w:val="20"/>
              </w:rPr>
            </w:pPr>
            <w:r w:rsidRPr="00303359">
              <w:rPr>
                <w:rFonts w:asciiTheme="minorHAnsi" w:hAnsiTheme="minorHAnsi" w:cstheme="minorBidi"/>
                <w:color w:val="000000"/>
                <w:sz w:val="20"/>
                <w:szCs w:val="20"/>
              </w:rPr>
              <w:t>Short term adverse local publicity</w:t>
            </w:r>
          </w:p>
          <w:p w14:paraId="59CFC562" w14:textId="77777777" w:rsidR="00303359" w:rsidRPr="00303359" w:rsidRDefault="00303359" w:rsidP="00A04A0A">
            <w:pPr>
              <w:rPr>
                <w:rFonts w:asciiTheme="minorHAnsi" w:hAnsiTheme="minorHAnsi" w:cstheme="minorBidi"/>
                <w:color w:val="000000"/>
                <w:sz w:val="20"/>
                <w:szCs w:val="20"/>
              </w:rPr>
            </w:pPr>
            <w:r w:rsidRPr="00303359">
              <w:rPr>
                <w:rFonts w:asciiTheme="minorHAnsi" w:hAnsiTheme="minorHAnsi" w:cstheme="minorBidi"/>
                <w:color w:val="000000"/>
                <w:sz w:val="20"/>
                <w:szCs w:val="20"/>
              </w:rPr>
              <w:t>Minor damage to reputation &amp; temporary reduction in public confidence</w:t>
            </w:r>
          </w:p>
          <w:p w14:paraId="12D41BB8" w14:textId="77777777" w:rsidR="00303359" w:rsidRPr="00303359" w:rsidRDefault="00303359" w:rsidP="00A04A0A">
            <w:pPr>
              <w:rPr>
                <w:rFonts w:asciiTheme="minorHAnsi" w:hAnsiTheme="minorHAnsi" w:cstheme="minorBidi"/>
                <w:sz w:val="20"/>
                <w:szCs w:val="20"/>
              </w:rPr>
            </w:pPr>
          </w:p>
          <w:p w14:paraId="6E381086"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Good HMICFRS with areas for improvement identified in more than three categories</w:t>
            </w:r>
          </w:p>
          <w:p w14:paraId="77DEC4BC" w14:textId="77777777" w:rsidR="00303359" w:rsidRPr="00303359" w:rsidRDefault="00303359" w:rsidP="00A04A0A">
            <w:pPr>
              <w:rPr>
                <w:rFonts w:asciiTheme="minorHAnsi" w:hAnsiTheme="minorHAnsi" w:cstheme="minorBidi"/>
                <w:sz w:val="20"/>
                <w:szCs w:val="20"/>
              </w:rPr>
            </w:pPr>
          </w:p>
          <w:p w14:paraId="1F512161" w14:textId="77777777" w:rsid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Community Safety work is temporarily disrupted  and partnership work may be put on hold</w:t>
            </w:r>
          </w:p>
          <w:p w14:paraId="382E5B68" w14:textId="60B1C7F6" w:rsidR="008949F4" w:rsidRPr="00303359" w:rsidRDefault="008949F4" w:rsidP="00A04A0A">
            <w:pPr>
              <w:rPr>
                <w:rFonts w:asciiTheme="minorHAnsi" w:hAnsiTheme="minorHAnsi" w:cstheme="minorBidi"/>
                <w:sz w:val="20"/>
                <w:szCs w:val="20"/>
              </w:rPr>
            </w:pPr>
          </w:p>
        </w:tc>
        <w:tc>
          <w:tcPr>
            <w:tcW w:w="2268" w:type="dxa"/>
          </w:tcPr>
          <w:p w14:paraId="6575690A" w14:textId="77777777" w:rsidR="00303359" w:rsidRPr="00303359" w:rsidRDefault="00303359" w:rsidP="00A04A0A">
            <w:pPr>
              <w:rPr>
                <w:rFonts w:asciiTheme="minorHAnsi" w:hAnsiTheme="minorHAnsi" w:cstheme="minorBidi"/>
                <w:sz w:val="20"/>
                <w:szCs w:val="20"/>
                <w:lang w:val="en-US" w:eastAsia="en-GB"/>
              </w:rPr>
            </w:pPr>
          </w:p>
          <w:p w14:paraId="644B90AD" w14:textId="77777777" w:rsidR="00303359" w:rsidRPr="00303359" w:rsidRDefault="00303359" w:rsidP="00A04A0A">
            <w:pPr>
              <w:rPr>
                <w:rFonts w:asciiTheme="minorHAnsi" w:hAnsiTheme="minorHAnsi" w:cstheme="minorBidi"/>
                <w:sz w:val="20"/>
                <w:szCs w:val="20"/>
                <w:lang w:val="en-US" w:eastAsia="en-GB"/>
              </w:rPr>
            </w:pPr>
            <w:r w:rsidRPr="00303359">
              <w:rPr>
                <w:rFonts w:asciiTheme="minorHAnsi" w:hAnsiTheme="minorHAnsi" w:cstheme="minorBidi"/>
                <w:sz w:val="20"/>
                <w:szCs w:val="20"/>
                <w:lang w:val="en-US" w:eastAsia="en-GB"/>
              </w:rPr>
              <w:t>Solution possible within amendments to current working practices</w:t>
            </w:r>
          </w:p>
          <w:p w14:paraId="41FA3A34" w14:textId="77777777" w:rsidR="00303359" w:rsidRPr="00303359" w:rsidRDefault="00303359" w:rsidP="00A04A0A">
            <w:pPr>
              <w:rPr>
                <w:rFonts w:asciiTheme="minorHAnsi" w:hAnsiTheme="minorHAnsi" w:cstheme="minorBidi"/>
                <w:sz w:val="20"/>
                <w:szCs w:val="20"/>
                <w:lang w:val="en-US" w:eastAsia="en-GB"/>
              </w:rPr>
            </w:pPr>
          </w:p>
          <w:p w14:paraId="3797B24F" w14:textId="77777777" w:rsidR="00303359" w:rsidRPr="00303359" w:rsidRDefault="00303359" w:rsidP="00A04A0A">
            <w:pPr>
              <w:rPr>
                <w:rFonts w:asciiTheme="minorHAnsi" w:hAnsiTheme="minorHAnsi" w:cstheme="minorBidi"/>
                <w:sz w:val="20"/>
                <w:szCs w:val="20"/>
              </w:rPr>
            </w:pPr>
          </w:p>
        </w:tc>
        <w:tc>
          <w:tcPr>
            <w:tcW w:w="2551" w:type="dxa"/>
          </w:tcPr>
          <w:p w14:paraId="51A05D3C" w14:textId="77777777" w:rsidR="00303359" w:rsidRPr="00303359" w:rsidRDefault="00303359" w:rsidP="00A04A0A">
            <w:pPr>
              <w:rPr>
                <w:rFonts w:asciiTheme="minorHAnsi" w:hAnsiTheme="minorHAnsi" w:cstheme="minorBidi"/>
                <w:sz w:val="20"/>
                <w:szCs w:val="20"/>
              </w:rPr>
            </w:pPr>
          </w:p>
          <w:p w14:paraId="1025AD27"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Minor levels of people issues</w:t>
            </w:r>
          </w:p>
          <w:p w14:paraId="1070694B" w14:textId="77777777" w:rsidR="00303359" w:rsidRPr="00303359" w:rsidRDefault="00303359" w:rsidP="00A04A0A">
            <w:pPr>
              <w:rPr>
                <w:rFonts w:asciiTheme="minorHAnsi" w:hAnsiTheme="minorHAnsi" w:cstheme="minorBidi"/>
                <w:sz w:val="20"/>
                <w:szCs w:val="20"/>
              </w:rPr>
            </w:pPr>
          </w:p>
          <w:p w14:paraId="43841798"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Delivery of people change programmes broadly on track</w:t>
            </w:r>
          </w:p>
          <w:p w14:paraId="3D8A08A5" w14:textId="77777777" w:rsidR="00303359" w:rsidRPr="00303359" w:rsidRDefault="00303359" w:rsidP="00A04A0A">
            <w:pPr>
              <w:rPr>
                <w:rFonts w:asciiTheme="minorHAnsi" w:hAnsiTheme="minorHAnsi" w:cstheme="minorBidi"/>
                <w:sz w:val="20"/>
                <w:szCs w:val="20"/>
              </w:rPr>
            </w:pPr>
          </w:p>
          <w:p w14:paraId="737A8764"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A short term small decrease to one of the People KPI’s (Engagement etc.) but reflective of a generally healthy and engaged workforce</w:t>
            </w:r>
          </w:p>
        </w:tc>
        <w:tc>
          <w:tcPr>
            <w:tcW w:w="2127" w:type="dxa"/>
          </w:tcPr>
          <w:p w14:paraId="3EA90548" w14:textId="77777777" w:rsidR="00303359" w:rsidRPr="00303359" w:rsidRDefault="00303359" w:rsidP="00A04A0A">
            <w:pPr>
              <w:rPr>
                <w:rFonts w:asciiTheme="minorHAnsi" w:hAnsiTheme="minorHAnsi" w:cstheme="minorBidi"/>
                <w:sz w:val="20"/>
                <w:szCs w:val="20"/>
              </w:rPr>
            </w:pPr>
          </w:p>
          <w:p w14:paraId="753C8208"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Disruption to physical environment which would require some alternative working and staff information but no real impact on ability to perform.</w:t>
            </w:r>
          </w:p>
          <w:p w14:paraId="2D5555CF" w14:textId="77777777" w:rsidR="00303359" w:rsidRPr="00303359" w:rsidRDefault="00303359" w:rsidP="00A04A0A">
            <w:pPr>
              <w:rPr>
                <w:rFonts w:asciiTheme="minorHAnsi" w:hAnsiTheme="minorHAnsi" w:cstheme="minorBidi"/>
                <w:sz w:val="20"/>
                <w:szCs w:val="20"/>
              </w:rPr>
            </w:pPr>
          </w:p>
          <w:p w14:paraId="3DC9A511" w14:textId="77777777" w:rsidR="00303359" w:rsidRPr="00303359" w:rsidRDefault="00303359" w:rsidP="00A04A0A">
            <w:pPr>
              <w:rPr>
                <w:rFonts w:asciiTheme="minorHAnsi" w:hAnsiTheme="minorHAnsi" w:cstheme="minorBidi"/>
                <w:sz w:val="20"/>
                <w:szCs w:val="20"/>
              </w:rPr>
            </w:pPr>
          </w:p>
        </w:tc>
        <w:tc>
          <w:tcPr>
            <w:tcW w:w="3627" w:type="dxa"/>
          </w:tcPr>
          <w:p w14:paraId="7BCE3FDC" w14:textId="77777777" w:rsidR="00303359" w:rsidRPr="00303359" w:rsidRDefault="00303359" w:rsidP="00A04A0A">
            <w:pPr>
              <w:rPr>
                <w:rFonts w:asciiTheme="minorHAnsi" w:hAnsiTheme="minorHAnsi" w:cstheme="minorBidi"/>
                <w:sz w:val="20"/>
                <w:szCs w:val="20"/>
              </w:rPr>
            </w:pPr>
          </w:p>
          <w:p w14:paraId="3274CE16"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sz w:val="20"/>
                <w:szCs w:val="20"/>
                <w:lang w:eastAsia="en-GB"/>
              </w:rPr>
              <w:t>4 - 14 day lost time injury. Medical treatment required.</w:t>
            </w:r>
          </w:p>
          <w:p w14:paraId="461302E0" w14:textId="77777777" w:rsidR="00303359" w:rsidRPr="00303359" w:rsidRDefault="00303359" w:rsidP="00A04A0A">
            <w:pPr>
              <w:rPr>
                <w:rFonts w:asciiTheme="minorHAnsi" w:hAnsiTheme="minorHAnsi"/>
                <w:sz w:val="20"/>
                <w:szCs w:val="20"/>
              </w:rPr>
            </w:pPr>
          </w:p>
          <w:p w14:paraId="62621FE4"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A single incident involving less than 100 data subjects. no special category data is compromised</w:t>
            </w:r>
          </w:p>
          <w:p w14:paraId="696E69D5" w14:textId="77777777" w:rsidR="00303359" w:rsidRPr="00303359" w:rsidRDefault="00303359" w:rsidP="00A04A0A">
            <w:pPr>
              <w:rPr>
                <w:rFonts w:asciiTheme="minorHAnsi" w:hAnsiTheme="minorHAnsi" w:cstheme="minorBidi"/>
                <w:color w:val="000000"/>
                <w:sz w:val="20"/>
                <w:szCs w:val="20"/>
              </w:rPr>
            </w:pPr>
          </w:p>
          <w:p w14:paraId="4BDF01D2" w14:textId="77777777" w:rsidR="00303359" w:rsidRPr="00303359" w:rsidRDefault="00303359" w:rsidP="00A04A0A">
            <w:pPr>
              <w:rPr>
                <w:rFonts w:asciiTheme="minorHAnsi" w:hAnsiTheme="minorHAnsi" w:cstheme="minorBidi"/>
                <w:color w:val="000000"/>
                <w:sz w:val="20"/>
                <w:szCs w:val="20"/>
              </w:rPr>
            </w:pPr>
            <w:r w:rsidRPr="00303359">
              <w:rPr>
                <w:rFonts w:asciiTheme="minorHAnsi" w:hAnsiTheme="minorHAnsi" w:cstheme="minorBidi"/>
                <w:color w:val="000000"/>
                <w:sz w:val="20"/>
                <w:szCs w:val="20"/>
              </w:rPr>
              <w:t xml:space="preserve">Impact on environment in the short term which can be rectified. </w:t>
            </w:r>
          </w:p>
          <w:p w14:paraId="4555AF47" w14:textId="77777777" w:rsidR="00303359" w:rsidRPr="00303359" w:rsidRDefault="00303359" w:rsidP="00A04A0A">
            <w:pPr>
              <w:rPr>
                <w:rFonts w:asciiTheme="minorHAnsi" w:hAnsiTheme="minorHAnsi" w:cstheme="minorBidi"/>
                <w:color w:val="000000"/>
                <w:sz w:val="20"/>
                <w:szCs w:val="20"/>
              </w:rPr>
            </w:pPr>
          </w:p>
          <w:p w14:paraId="03321668"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Internal or external Audit criticism/failure to meet recommended best practice</w:t>
            </w:r>
          </w:p>
          <w:p w14:paraId="33923E91" w14:textId="77777777" w:rsidR="00303359" w:rsidRPr="00303359" w:rsidRDefault="00303359" w:rsidP="00A04A0A">
            <w:pPr>
              <w:rPr>
                <w:rFonts w:asciiTheme="minorHAnsi" w:hAnsiTheme="minorHAnsi"/>
                <w:sz w:val="20"/>
                <w:szCs w:val="20"/>
              </w:rPr>
            </w:pPr>
          </w:p>
          <w:p w14:paraId="0C770FA8" w14:textId="77777777" w:rsidR="00303359" w:rsidRPr="00303359" w:rsidRDefault="00303359" w:rsidP="00A04A0A">
            <w:pPr>
              <w:rPr>
                <w:rFonts w:asciiTheme="minorHAnsi" w:hAnsiTheme="minorHAnsi" w:cstheme="minorBidi"/>
                <w:sz w:val="20"/>
                <w:szCs w:val="20"/>
              </w:rPr>
            </w:pPr>
          </w:p>
        </w:tc>
      </w:tr>
      <w:tr w:rsidR="00303359" w:rsidRPr="00303359" w14:paraId="1B0423F5" w14:textId="77777777" w:rsidTr="00A04A0A">
        <w:trPr>
          <w:trHeight w:val="1921"/>
        </w:trPr>
        <w:tc>
          <w:tcPr>
            <w:tcW w:w="1129" w:type="dxa"/>
            <w:shd w:val="clear" w:color="auto" w:fill="FFC000"/>
          </w:tcPr>
          <w:p w14:paraId="77F850AA" w14:textId="77777777" w:rsidR="00303359" w:rsidRPr="00303359" w:rsidRDefault="00303359" w:rsidP="00A04A0A">
            <w:pPr>
              <w:jc w:val="center"/>
              <w:rPr>
                <w:rFonts w:asciiTheme="minorHAnsi" w:hAnsiTheme="minorHAnsi" w:cstheme="minorBidi"/>
                <w:sz w:val="18"/>
                <w:szCs w:val="18"/>
              </w:rPr>
            </w:pPr>
          </w:p>
          <w:p w14:paraId="0C3B6F37" w14:textId="77777777" w:rsidR="00303359" w:rsidRPr="00303359" w:rsidRDefault="00303359" w:rsidP="00A04A0A">
            <w:pPr>
              <w:jc w:val="center"/>
              <w:rPr>
                <w:rFonts w:asciiTheme="minorHAnsi" w:hAnsiTheme="minorHAnsi" w:cstheme="minorBidi"/>
                <w:b/>
                <w:sz w:val="18"/>
                <w:szCs w:val="18"/>
              </w:rPr>
            </w:pPr>
            <w:r w:rsidRPr="00303359">
              <w:rPr>
                <w:rFonts w:asciiTheme="minorHAnsi" w:hAnsiTheme="minorHAnsi" w:cstheme="minorBidi"/>
                <w:b/>
                <w:sz w:val="18"/>
                <w:szCs w:val="18"/>
              </w:rPr>
              <w:t>Significant</w:t>
            </w:r>
          </w:p>
          <w:p w14:paraId="5F26425B" w14:textId="77777777" w:rsidR="00303359" w:rsidRPr="00303359" w:rsidRDefault="00303359" w:rsidP="00A04A0A">
            <w:pPr>
              <w:jc w:val="center"/>
              <w:rPr>
                <w:rFonts w:asciiTheme="minorHAnsi" w:hAnsiTheme="minorHAnsi" w:cstheme="minorBidi"/>
                <w:sz w:val="18"/>
                <w:szCs w:val="18"/>
              </w:rPr>
            </w:pPr>
            <w:r w:rsidRPr="00303359">
              <w:rPr>
                <w:rFonts w:asciiTheme="minorHAnsi" w:hAnsiTheme="minorHAnsi" w:cstheme="minorBidi"/>
                <w:b/>
                <w:sz w:val="18"/>
                <w:szCs w:val="18"/>
              </w:rPr>
              <w:t>3</w:t>
            </w:r>
          </w:p>
        </w:tc>
        <w:tc>
          <w:tcPr>
            <w:tcW w:w="3686" w:type="dxa"/>
          </w:tcPr>
          <w:p w14:paraId="59CC91CC" w14:textId="77777777" w:rsidR="00303359" w:rsidRPr="00303359" w:rsidRDefault="00303359" w:rsidP="00A04A0A">
            <w:pPr>
              <w:rPr>
                <w:rFonts w:asciiTheme="minorHAnsi" w:hAnsiTheme="minorHAnsi" w:cstheme="minorBidi"/>
                <w:sz w:val="20"/>
                <w:szCs w:val="20"/>
              </w:rPr>
            </w:pPr>
          </w:p>
          <w:p w14:paraId="180218CD"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Declining performance standards, with no evidence of mitigating action in place.</w:t>
            </w:r>
          </w:p>
          <w:p w14:paraId="237E3436" w14:textId="77777777" w:rsidR="00303359" w:rsidRPr="00303359" w:rsidRDefault="00303359" w:rsidP="00A04A0A">
            <w:pPr>
              <w:rPr>
                <w:rFonts w:asciiTheme="minorHAnsi" w:hAnsiTheme="minorHAnsi" w:cstheme="minorBidi"/>
                <w:sz w:val="20"/>
                <w:szCs w:val="20"/>
              </w:rPr>
            </w:pPr>
          </w:p>
          <w:p w14:paraId="3BA5B6E3"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Sustained adverse local publicity</w:t>
            </w:r>
          </w:p>
          <w:p w14:paraId="5F65EFF0" w14:textId="77777777" w:rsidR="00303359" w:rsidRPr="00303359" w:rsidRDefault="00303359" w:rsidP="00A04A0A">
            <w:pPr>
              <w:rPr>
                <w:rFonts w:asciiTheme="minorHAnsi" w:hAnsiTheme="minorHAnsi" w:cstheme="minorBidi"/>
                <w:sz w:val="20"/>
                <w:szCs w:val="20"/>
              </w:rPr>
            </w:pPr>
          </w:p>
          <w:p w14:paraId="64B2C358"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Damage to reputation and reduction in public confidence</w:t>
            </w:r>
          </w:p>
          <w:p w14:paraId="38FCFC28" w14:textId="77777777" w:rsidR="00303359" w:rsidRPr="00303359" w:rsidRDefault="00303359" w:rsidP="00A04A0A">
            <w:pPr>
              <w:rPr>
                <w:rFonts w:asciiTheme="minorHAnsi" w:hAnsiTheme="minorHAnsi" w:cstheme="minorBidi"/>
                <w:sz w:val="20"/>
                <w:szCs w:val="20"/>
              </w:rPr>
            </w:pPr>
          </w:p>
          <w:p w14:paraId="5C6267AA"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Requires Improvement HMICFRS with areas for improvement identified</w:t>
            </w:r>
          </w:p>
          <w:p w14:paraId="462FDC7E" w14:textId="77777777" w:rsidR="00303359" w:rsidRPr="00303359" w:rsidRDefault="00303359" w:rsidP="00A04A0A">
            <w:pPr>
              <w:rPr>
                <w:rFonts w:asciiTheme="minorHAnsi" w:hAnsiTheme="minorHAnsi" w:cstheme="minorBidi"/>
                <w:sz w:val="20"/>
                <w:szCs w:val="20"/>
              </w:rPr>
            </w:pPr>
          </w:p>
          <w:p w14:paraId="352AB1A7"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Community activity is significantly disrupted, with a negative effect on existing Partnership arrangements.</w:t>
            </w:r>
          </w:p>
        </w:tc>
        <w:tc>
          <w:tcPr>
            <w:tcW w:w="2268" w:type="dxa"/>
          </w:tcPr>
          <w:p w14:paraId="41EE3261" w14:textId="77777777" w:rsidR="00303359" w:rsidRPr="00303359" w:rsidRDefault="00303359" w:rsidP="00A04A0A">
            <w:pPr>
              <w:rPr>
                <w:rFonts w:asciiTheme="minorHAnsi" w:hAnsiTheme="minorHAnsi" w:cstheme="minorBidi"/>
                <w:sz w:val="20"/>
                <w:szCs w:val="20"/>
              </w:rPr>
            </w:pPr>
          </w:p>
          <w:p w14:paraId="6A0F7D7D"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Solution requires additional resources within organisation and potential over-spend</w:t>
            </w:r>
          </w:p>
          <w:p w14:paraId="6F4E24D6" w14:textId="77777777" w:rsidR="00303359" w:rsidRPr="00303359" w:rsidRDefault="00303359" w:rsidP="00A04A0A">
            <w:pPr>
              <w:rPr>
                <w:rFonts w:asciiTheme="minorHAnsi" w:hAnsiTheme="minorHAnsi" w:cstheme="minorBidi"/>
                <w:sz w:val="20"/>
                <w:szCs w:val="20"/>
              </w:rPr>
            </w:pPr>
          </w:p>
          <w:p w14:paraId="23E80C52" w14:textId="77777777" w:rsidR="00303359" w:rsidRPr="00303359" w:rsidRDefault="00303359" w:rsidP="00A04A0A">
            <w:pPr>
              <w:rPr>
                <w:rFonts w:asciiTheme="minorHAnsi" w:hAnsiTheme="minorHAnsi" w:cstheme="minorBidi"/>
                <w:sz w:val="20"/>
                <w:szCs w:val="20"/>
              </w:rPr>
            </w:pPr>
          </w:p>
        </w:tc>
        <w:tc>
          <w:tcPr>
            <w:tcW w:w="2551" w:type="dxa"/>
          </w:tcPr>
          <w:p w14:paraId="182D72E5" w14:textId="77777777" w:rsidR="00303359" w:rsidRPr="00303359" w:rsidRDefault="00303359" w:rsidP="00A04A0A">
            <w:pPr>
              <w:rPr>
                <w:rFonts w:asciiTheme="minorHAnsi" w:hAnsiTheme="minorHAnsi" w:cstheme="minorBidi"/>
                <w:sz w:val="20"/>
                <w:szCs w:val="20"/>
              </w:rPr>
            </w:pPr>
          </w:p>
          <w:p w14:paraId="229D6B26"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Increasing levels of significant people issues.</w:t>
            </w:r>
          </w:p>
          <w:p w14:paraId="0C244DE0" w14:textId="77777777" w:rsidR="00303359" w:rsidRPr="00303359" w:rsidRDefault="00303359" w:rsidP="00A04A0A">
            <w:pPr>
              <w:rPr>
                <w:rFonts w:asciiTheme="minorHAnsi" w:hAnsiTheme="minorHAnsi" w:cstheme="minorBidi"/>
                <w:sz w:val="20"/>
                <w:szCs w:val="20"/>
              </w:rPr>
            </w:pPr>
          </w:p>
          <w:p w14:paraId="67CC3F46"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Significant delay or disturbance in delivery of people change </w:t>
            </w:r>
          </w:p>
          <w:p w14:paraId="21A4436A"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Programmes</w:t>
            </w:r>
          </w:p>
          <w:p w14:paraId="35BAEAF6" w14:textId="77777777" w:rsidR="00303359" w:rsidRPr="00303359" w:rsidRDefault="00303359" w:rsidP="00A04A0A">
            <w:pPr>
              <w:rPr>
                <w:rFonts w:asciiTheme="minorHAnsi" w:hAnsiTheme="minorHAnsi" w:cstheme="minorBidi"/>
                <w:sz w:val="20"/>
                <w:szCs w:val="20"/>
              </w:rPr>
            </w:pPr>
          </w:p>
          <w:p w14:paraId="5ED4B4B5"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Sustained decrease across one or two of the People KPI’s (e.g. regretted attrition and engagement).  </w:t>
            </w:r>
          </w:p>
        </w:tc>
        <w:tc>
          <w:tcPr>
            <w:tcW w:w="2127" w:type="dxa"/>
          </w:tcPr>
          <w:p w14:paraId="21257FB0" w14:textId="77777777" w:rsidR="00303359" w:rsidRPr="00303359" w:rsidRDefault="00303359" w:rsidP="00A04A0A">
            <w:pPr>
              <w:rPr>
                <w:rFonts w:asciiTheme="minorHAnsi" w:hAnsiTheme="minorHAnsi" w:cstheme="minorBidi"/>
                <w:sz w:val="20"/>
                <w:szCs w:val="20"/>
              </w:rPr>
            </w:pPr>
          </w:p>
          <w:p w14:paraId="36A0470C"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Disruption which can be managed with existing BCP arrangements and is limited or short term in nature.</w:t>
            </w:r>
          </w:p>
          <w:p w14:paraId="3DD27578" w14:textId="77777777" w:rsidR="00303359" w:rsidRPr="00303359" w:rsidRDefault="00303359" w:rsidP="00A04A0A">
            <w:pPr>
              <w:rPr>
                <w:rFonts w:asciiTheme="minorHAnsi" w:hAnsiTheme="minorHAnsi" w:cstheme="minorBidi"/>
                <w:sz w:val="20"/>
                <w:szCs w:val="20"/>
              </w:rPr>
            </w:pPr>
          </w:p>
        </w:tc>
        <w:tc>
          <w:tcPr>
            <w:tcW w:w="3627" w:type="dxa"/>
          </w:tcPr>
          <w:p w14:paraId="4DF15BD4" w14:textId="77777777" w:rsidR="00303359" w:rsidRPr="00303359" w:rsidRDefault="00303359" w:rsidP="00A04A0A">
            <w:pPr>
              <w:rPr>
                <w:rFonts w:asciiTheme="minorHAnsi" w:hAnsiTheme="minorHAnsi"/>
                <w:sz w:val="20"/>
                <w:szCs w:val="20"/>
                <w:lang w:eastAsia="en-GB"/>
              </w:rPr>
            </w:pPr>
          </w:p>
          <w:p w14:paraId="3F5CA8AF" w14:textId="77777777" w:rsidR="00303359" w:rsidRPr="00303359" w:rsidRDefault="00303359" w:rsidP="00A04A0A">
            <w:pPr>
              <w:rPr>
                <w:rFonts w:asciiTheme="minorHAnsi" w:hAnsiTheme="minorHAnsi"/>
                <w:sz w:val="20"/>
                <w:szCs w:val="20"/>
                <w:lang w:eastAsia="en-GB"/>
              </w:rPr>
            </w:pPr>
            <w:r w:rsidRPr="00303359">
              <w:rPr>
                <w:rFonts w:asciiTheme="minorHAnsi" w:hAnsiTheme="minorHAnsi"/>
                <w:sz w:val="20"/>
                <w:szCs w:val="20"/>
                <w:lang w:eastAsia="en-GB"/>
              </w:rPr>
              <w:t>A major injury, including permanent disabling injury to an individual</w:t>
            </w:r>
          </w:p>
          <w:p w14:paraId="60C02527" w14:textId="77777777" w:rsidR="00303359" w:rsidRPr="00303359" w:rsidRDefault="00303359" w:rsidP="00A04A0A">
            <w:pPr>
              <w:rPr>
                <w:rFonts w:asciiTheme="minorHAnsi" w:hAnsiTheme="minorHAnsi"/>
                <w:sz w:val="20"/>
                <w:szCs w:val="20"/>
                <w:lang w:eastAsia="en-GB"/>
              </w:rPr>
            </w:pPr>
          </w:p>
          <w:p w14:paraId="465E325E" w14:textId="77777777" w:rsidR="00303359" w:rsidRPr="00303359" w:rsidRDefault="00303359" w:rsidP="00A04A0A">
            <w:pPr>
              <w:rPr>
                <w:rFonts w:asciiTheme="minorHAnsi" w:hAnsiTheme="minorHAnsi" w:cstheme="minorBidi"/>
                <w:sz w:val="20"/>
                <w:szCs w:val="20"/>
                <w:lang w:eastAsia="en-GB"/>
              </w:rPr>
            </w:pPr>
            <w:r w:rsidRPr="00303359">
              <w:rPr>
                <w:rFonts w:asciiTheme="minorHAnsi" w:hAnsiTheme="minorHAnsi" w:cstheme="minorBidi"/>
                <w:sz w:val="20"/>
                <w:szCs w:val="20"/>
                <w:lang w:eastAsia="en-GB"/>
              </w:rPr>
              <w:t>Multiple instances of data breech, no</w:t>
            </w:r>
            <w:r w:rsidRPr="00303359">
              <w:rPr>
                <w:rFonts w:asciiTheme="minorHAnsi" w:hAnsiTheme="minorHAnsi" w:cstheme="minorBidi"/>
                <w:sz w:val="20"/>
                <w:szCs w:val="20"/>
              </w:rPr>
              <w:t xml:space="preserve"> special category data is compromised</w:t>
            </w:r>
          </w:p>
          <w:p w14:paraId="26BF1AE3" w14:textId="77777777" w:rsidR="00303359" w:rsidRPr="00303359" w:rsidRDefault="00303359" w:rsidP="00A04A0A">
            <w:pPr>
              <w:rPr>
                <w:rFonts w:asciiTheme="minorHAnsi" w:hAnsiTheme="minorHAnsi"/>
                <w:sz w:val="20"/>
                <w:szCs w:val="20"/>
              </w:rPr>
            </w:pPr>
          </w:p>
          <w:p w14:paraId="0C774F09"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Some environmental impact which may be lasting be not immediate.</w:t>
            </w:r>
          </w:p>
          <w:p w14:paraId="581FB435" w14:textId="77777777" w:rsidR="00303359" w:rsidRPr="00303359" w:rsidRDefault="00303359" w:rsidP="00A04A0A">
            <w:pPr>
              <w:rPr>
                <w:rFonts w:asciiTheme="minorHAnsi" w:hAnsiTheme="minorHAnsi" w:cstheme="minorBidi"/>
                <w:sz w:val="20"/>
                <w:szCs w:val="20"/>
              </w:rPr>
            </w:pPr>
          </w:p>
          <w:p w14:paraId="535127F9"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Breach of statutory duty, legal/contractual obligation</w:t>
            </w:r>
          </w:p>
          <w:p w14:paraId="6B7769AD" w14:textId="77777777" w:rsidR="00303359" w:rsidRPr="00303359" w:rsidRDefault="00303359" w:rsidP="00A04A0A">
            <w:pPr>
              <w:rPr>
                <w:rFonts w:asciiTheme="minorHAnsi" w:hAnsiTheme="minorHAnsi" w:cstheme="minorBidi"/>
                <w:sz w:val="20"/>
                <w:szCs w:val="20"/>
              </w:rPr>
            </w:pPr>
          </w:p>
          <w:p w14:paraId="5F1DF31A" w14:textId="77777777" w:rsidR="00303359" w:rsidRPr="00303359" w:rsidRDefault="00303359" w:rsidP="00A04A0A">
            <w:pPr>
              <w:rPr>
                <w:rFonts w:asciiTheme="minorHAnsi" w:hAnsiTheme="minorHAnsi" w:cstheme="minorBidi"/>
                <w:sz w:val="20"/>
                <w:szCs w:val="20"/>
              </w:rPr>
            </w:pPr>
          </w:p>
        </w:tc>
      </w:tr>
      <w:tr w:rsidR="00303359" w:rsidRPr="00303359" w14:paraId="060F5FC8" w14:textId="77777777" w:rsidTr="00A04A0A">
        <w:trPr>
          <w:trHeight w:val="1517"/>
        </w:trPr>
        <w:tc>
          <w:tcPr>
            <w:tcW w:w="1129" w:type="dxa"/>
            <w:shd w:val="clear" w:color="auto" w:fill="FF0000"/>
          </w:tcPr>
          <w:p w14:paraId="08E43CFB" w14:textId="77777777" w:rsidR="00303359" w:rsidRPr="00303359" w:rsidRDefault="00303359" w:rsidP="00A04A0A">
            <w:pPr>
              <w:jc w:val="center"/>
              <w:rPr>
                <w:rFonts w:asciiTheme="minorHAnsi" w:hAnsiTheme="minorHAnsi" w:cstheme="minorBidi"/>
                <w:b/>
                <w:sz w:val="18"/>
                <w:szCs w:val="18"/>
              </w:rPr>
            </w:pPr>
          </w:p>
          <w:p w14:paraId="37042DE5" w14:textId="77777777" w:rsidR="00303359" w:rsidRPr="00303359" w:rsidRDefault="00303359" w:rsidP="00A04A0A">
            <w:pPr>
              <w:jc w:val="center"/>
              <w:rPr>
                <w:rFonts w:asciiTheme="minorHAnsi" w:hAnsiTheme="minorHAnsi" w:cstheme="minorBidi"/>
                <w:b/>
                <w:sz w:val="18"/>
                <w:szCs w:val="18"/>
              </w:rPr>
            </w:pPr>
            <w:r w:rsidRPr="00303359">
              <w:rPr>
                <w:rFonts w:asciiTheme="minorHAnsi" w:hAnsiTheme="minorHAnsi" w:cstheme="minorBidi"/>
                <w:b/>
                <w:sz w:val="18"/>
                <w:szCs w:val="18"/>
              </w:rPr>
              <w:t>Major</w:t>
            </w:r>
          </w:p>
          <w:p w14:paraId="36617353" w14:textId="77777777" w:rsidR="00303359" w:rsidRPr="00303359" w:rsidRDefault="00303359" w:rsidP="00A04A0A">
            <w:pPr>
              <w:jc w:val="center"/>
              <w:rPr>
                <w:rFonts w:asciiTheme="minorHAnsi" w:hAnsiTheme="minorHAnsi" w:cstheme="minorBidi"/>
                <w:sz w:val="18"/>
                <w:szCs w:val="18"/>
              </w:rPr>
            </w:pPr>
            <w:r w:rsidRPr="00303359">
              <w:rPr>
                <w:rFonts w:asciiTheme="minorHAnsi" w:hAnsiTheme="minorHAnsi" w:cstheme="minorBidi"/>
                <w:b/>
                <w:sz w:val="18"/>
                <w:szCs w:val="18"/>
              </w:rPr>
              <w:t>4</w:t>
            </w:r>
          </w:p>
        </w:tc>
        <w:tc>
          <w:tcPr>
            <w:tcW w:w="3686" w:type="dxa"/>
          </w:tcPr>
          <w:p w14:paraId="5391F56B" w14:textId="77777777" w:rsidR="00303359" w:rsidRPr="00303359" w:rsidRDefault="00303359" w:rsidP="00A04A0A">
            <w:pPr>
              <w:rPr>
                <w:rFonts w:asciiTheme="minorHAnsi" w:hAnsiTheme="minorHAnsi" w:cstheme="minorBidi"/>
                <w:sz w:val="20"/>
                <w:szCs w:val="20"/>
              </w:rPr>
            </w:pPr>
          </w:p>
          <w:p w14:paraId="2180E18A"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Performance targets not being achieved, with continuing negative trends, no evidence of mitigating action or actions in place having little or no impact on trend.</w:t>
            </w:r>
          </w:p>
          <w:p w14:paraId="6859328A" w14:textId="77777777" w:rsidR="00303359" w:rsidRPr="00303359" w:rsidRDefault="00303359" w:rsidP="00A04A0A">
            <w:pPr>
              <w:rPr>
                <w:rFonts w:asciiTheme="minorHAnsi" w:hAnsiTheme="minorHAnsi" w:cstheme="minorBidi"/>
                <w:sz w:val="20"/>
                <w:szCs w:val="20"/>
              </w:rPr>
            </w:pPr>
          </w:p>
          <w:p w14:paraId="40F4B5F1"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Failure to meet primary objectives of the Fire and Rescue Plan</w:t>
            </w:r>
          </w:p>
          <w:p w14:paraId="06F4C847" w14:textId="77777777" w:rsidR="00303359" w:rsidRPr="00303359" w:rsidRDefault="00303359" w:rsidP="00A04A0A">
            <w:pPr>
              <w:rPr>
                <w:rFonts w:asciiTheme="minorHAnsi" w:hAnsiTheme="minorHAnsi" w:cstheme="minorBidi"/>
                <w:sz w:val="20"/>
                <w:szCs w:val="20"/>
              </w:rPr>
            </w:pPr>
          </w:p>
          <w:p w14:paraId="77B40A94"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Short term national media coverage</w:t>
            </w:r>
          </w:p>
          <w:p w14:paraId="5106D836"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 </w:t>
            </w:r>
          </w:p>
          <w:p w14:paraId="0EA1609E"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Significant damage to reputation &amp; public confidence</w:t>
            </w:r>
          </w:p>
          <w:p w14:paraId="60044E6F" w14:textId="77777777" w:rsidR="00303359" w:rsidRPr="00303359" w:rsidRDefault="00303359" w:rsidP="00A04A0A">
            <w:pPr>
              <w:rPr>
                <w:rFonts w:asciiTheme="minorHAnsi" w:hAnsiTheme="minorHAnsi" w:cstheme="minorBidi"/>
                <w:sz w:val="20"/>
                <w:szCs w:val="20"/>
              </w:rPr>
            </w:pPr>
          </w:p>
          <w:p w14:paraId="2041EBA4"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Inadequate HMICFRS, with area of improvements identified.</w:t>
            </w:r>
          </w:p>
          <w:p w14:paraId="1BF9BAF6" w14:textId="77777777" w:rsidR="00303359" w:rsidRPr="00303359" w:rsidRDefault="00303359" w:rsidP="00A04A0A">
            <w:pPr>
              <w:rPr>
                <w:rFonts w:asciiTheme="minorHAnsi" w:hAnsiTheme="minorHAnsi" w:cstheme="minorBidi"/>
                <w:sz w:val="20"/>
                <w:szCs w:val="20"/>
              </w:rPr>
            </w:pPr>
          </w:p>
          <w:p w14:paraId="568634AD"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Community activity stops, incidents of harm increase &amp; existing partners no longer view ECFRS as a credible partner, or partners withdraw from partnership/collaboration arrangements.</w:t>
            </w:r>
          </w:p>
        </w:tc>
        <w:tc>
          <w:tcPr>
            <w:tcW w:w="2268" w:type="dxa"/>
          </w:tcPr>
          <w:p w14:paraId="759FAB5C" w14:textId="77777777" w:rsidR="00303359" w:rsidRPr="00303359" w:rsidRDefault="00303359" w:rsidP="00A04A0A">
            <w:pPr>
              <w:rPr>
                <w:rFonts w:asciiTheme="minorHAnsi" w:hAnsiTheme="minorHAnsi" w:cstheme="minorBidi"/>
                <w:sz w:val="20"/>
                <w:szCs w:val="20"/>
              </w:rPr>
            </w:pPr>
          </w:p>
          <w:p w14:paraId="097DD273"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Solution requires additional resources not within the current staff profile, inevitable over spend</w:t>
            </w:r>
          </w:p>
          <w:p w14:paraId="3AFF3A27" w14:textId="77777777" w:rsidR="00303359" w:rsidRPr="00303359" w:rsidRDefault="00303359" w:rsidP="00A04A0A">
            <w:pPr>
              <w:rPr>
                <w:rFonts w:asciiTheme="minorHAnsi" w:hAnsiTheme="minorHAnsi" w:cstheme="minorBidi"/>
                <w:sz w:val="20"/>
                <w:szCs w:val="20"/>
              </w:rPr>
            </w:pPr>
          </w:p>
          <w:p w14:paraId="6C66C2BB" w14:textId="77777777" w:rsidR="00303359" w:rsidRPr="00303359" w:rsidRDefault="00303359" w:rsidP="00A04A0A">
            <w:pPr>
              <w:rPr>
                <w:rFonts w:asciiTheme="minorHAnsi" w:hAnsiTheme="minorHAnsi" w:cstheme="minorBidi"/>
                <w:sz w:val="20"/>
                <w:szCs w:val="20"/>
              </w:rPr>
            </w:pPr>
          </w:p>
        </w:tc>
        <w:tc>
          <w:tcPr>
            <w:tcW w:w="2551" w:type="dxa"/>
          </w:tcPr>
          <w:p w14:paraId="3D497499" w14:textId="77777777" w:rsidR="00303359" w:rsidRPr="00303359" w:rsidRDefault="00303359" w:rsidP="00A04A0A">
            <w:pPr>
              <w:rPr>
                <w:rFonts w:asciiTheme="minorHAnsi" w:hAnsiTheme="minorHAnsi" w:cstheme="minorBidi"/>
                <w:sz w:val="20"/>
                <w:szCs w:val="20"/>
              </w:rPr>
            </w:pPr>
          </w:p>
          <w:p w14:paraId="460AE461"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High and increasing levels of complex people issues such as complex grievance and discipline</w:t>
            </w:r>
          </w:p>
          <w:p w14:paraId="2AE82C11" w14:textId="77777777" w:rsidR="00303359" w:rsidRPr="00303359" w:rsidRDefault="00303359" w:rsidP="00A04A0A">
            <w:pPr>
              <w:rPr>
                <w:rFonts w:asciiTheme="minorHAnsi" w:hAnsiTheme="minorHAnsi" w:cstheme="minorBidi"/>
                <w:sz w:val="20"/>
                <w:szCs w:val="20"/>
              </w:rPr>
            </w:pPr>
          </w:p>
          <w:p w14:paraId="27EF3EF3"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Major delay or disruption to delivery of people change programmes.</w:t>
            </w:r>
          </w:p>
          <w:p w14:paraId="204EC1A7" w14:textId="77777777" w:rsidR="00303359" w:rsidRPr="00303359" w:rsidRDefault="00303359" w:rsidP="00A04A0A">
            <w:pPr>
              <w:rPr>
                <w:rFonts w:asciiTheme="minorHAnsi" w:hAnsiTheme="minorHAnsi" w:cstheme="minorBidi"/>
                <w:sz w:val="20"/>
                <w:szCs w:val="20"/>
              </w:rPr>
            </w:pPr>
          </w:p>
          <w:p w14:paraId="0867E130"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Significant decrease across all people KPI’s indicating major sustained issues with health and engagement of workforce i.e. withdraw of good will/work to rule.</w:t>
            </w:r>
          </w:p>
        </w:tc>
        <w:tc>
          <w:tcPr>
            <w:tcW w:w="2127" w:type="dxa"/>
          </w:tcPr>
          <w:p w14:paraId="1436A6C9" w14:textId="77777777" w:rsidR="00303359" w:rsidRPr="00303359" w:rsidRDefault="00303359" w:rsidP="00A04A0A">
            <w:pPr>
              <w:rPr>
                <w:rFonts w:asciiTheme="minorHAnsi" w:hAnsiTheme="minorHAnsi" w:cstheme="minorBidi"/>
                <w:sz w:val="20"/>
                <w:szCs w:val="20"/>
              </w:rPr>
            </w:pPr>
          </w:p>
          <w:p w14:paraId="0FA93747"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Disruption which is sustained or impacts multiple locations. </w:t>
            </w:r>
          </w:p>
          <w:p w14:paraId="69BA527E" w14:textId="77777777" w:rsidR="00303359" w:rsidRPr="00303359" w:rsidRDefault="00303359" w:rsidP="00A04A0A">
            <w:pPr>
              <w:rPr>
                <w:rFonts w:asciiTheme="minorHAnsi" w:hAnsiTheme="minorHAnsi" w:cstheme="minorBidi"/>
                <w:sz w:val="20"/>
                <w:szCs w:val="20"/>
              </w:rPr>
            </w:pPr>
          </w:p>
          <w:p w14:paraId="2BFB925A"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Existing BCP arrangements may reach limits. </w:t>
            </w:r>
          </w:p>
        </w:tc>
        <w:tc>
          <w:tcPr>
            <w:tcW w:w="3627" w:type="dxa"/>
          </w:tcPr>
          <w:p w14:paraId="6D2A53B8" w14:textId="77777777" w:rsidR="00303359" w:rsidRPr="00303359" w:rsidRDefault="00303359" w:rsidP="00A04A0A">
            <w:pPr>
              <w:rPr>
                <w:rFonts w:asciiTheme="minorHAnsi" w:hAnsiTheme="minorHAnsi"/>
                <w:sz w:val="20"/>
                <w:szCs w:val="20"/>
                <w:lang w:eastAsia="en-GB"/>
              </w:rPr>
            </w:pPr>
          </w:p>
          <w:p w14:paraId="0BDAAF8F"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sz w:val="20"/>
                <w:szCs w:val="20"/>
                <w:lang w:eastAsia="en-GB"/>
              </w:rPr>
              <w:t>Major injuries including permanent disabling injuries involving a number of people.</w:t>
            </w:r>
          </w:p>
          <w:p w14:paraId="5F8DC236" w14:textId="77777777" w:rsidR="00303359" w:rsidRPr="00303359" w:rsidRDefault="00303359" w:rsidP="00A04A0A">
            <w:pPr>
              <w:rPr>
                <w:rFonts w:asciiTheme="minorHAnsi" w:hAnsiTheme="minorHAnsi"/>
                <w:sz w:val="20"/>
                <w:szCs w:val="20"/>
              </w:rPr>
            </w:pPr>
          </w:p>
          <w:p w14:paraId="5C607379"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A single incident in which special category data is compromised</w:t>
            </w:r>
          </w:p>
          <w:p w14:paraId="7B3ACB56" w14:textId="77777777" w:rsidR="00303359" w:rsidRPr="00303359" w:rsidRDefault="00303359" w:rsidP="00A04A0A">
            <w:pPr>
              <w:rPr>
                <w:rFonts w:asciiTheme="minorHAnsi" w:hAnsiTheme="minorHAnsi"/>
                <w:sz w:val="20"/>
                <w:szCs w:val="20"/>
              </w:rPr>
            </w:pPr>
          </w:p>
          <w:p w14:paraId="19978F0A"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Major impact on environment which may not be easily rectified.</w:t>
            </w:r>
          </w:p>
          <w:p w14:paraId="66574294" w14:textId="77777777" w:rsidR="00303359" w:rsidRPr="00303359" w:rsidRDefault="00303359" w:rsidP="00A04A0A">
            <w:pPr>
              <w:rPr>
                <w:rFonts w:asciiTheme="minorHAnsi" w:hAnsiTheme="minorHAnsi" w:cstheme="minorBidi"/>
                <w:sz w:val="20"/>
                <w:szCs w:val="20"/>
              </w:rPr>
            </w:pPr>
          </w:p>
          <w:p w14:paraId="3CA220B3"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Serious breach of statutory duty, legal/contractual obligation</w:t>
            </w:r>
          </w:p>
          <w:p w14:paraId="32CD5350" w14:textId="77777777" w:rsidR="00303359" w:rsidRPr="00303359" w:rsidRDefault="00303359" w:rsidP="00A04A0A">
            <w:pPr>
              <w:rPr>
                <w:rFonts w:asciiTheme="minorHAnsi" w:hAnsiTheme="minorHAnsi" w:cstheme="minorBidi"/>
                <w:sz w:val="20"/>
                <w:szCs w:val="20"/>
              </w:rPr>
            </w:pPr>
          </w:p>
          <w:p w14:paraId="0A01E734" w14:textId="77777777" w:rsidR="00303359" w:rsidRPr="00303359" w:rsidRDefault="00303359" w:rsidP="00A04A0A">
            <w:pPr>
              <w:rPr>
                <w:rFonts w:asciiTheme="minorHAnsi" w:hAnsiTheme="minorHAnsi" w:cstheme="minorBidi"/>
                <w:sz w:val="20"/>
                <w:szCs w:val="20"/>
              </w:rPr>
            </w:pPr>
          </w:p>
        </w:tc>
      </w:tr>
      <w:tr w:rsidR="00303359" w:rsidRPr="00303359" w14:paraId="62C98533" w14:textId="77777777" w:rsidTr="00A04A0A">
        <w:trPr>
          <w:trHeight w:val="1064"/>
        </w:trPr>
        <w:tc>
          <w:tcPr>
            <w:tcW w:w="1129" w:type="dxa"/>
            <w:shd w:val="clear" w:color="auto" w:fill="CC3300"/>
          </w:tcPr>
          <w:p w14:paraId="16DA1D60" w14:textId="77777777" w:rsidR="00303359" w:rsidRPr="00303359" w:rsidRDefault="00303359" w:rsidP="00A04A0A">
            <w:pPr>
              <w:jc w:val="center"/>
              <w:rPr>
                <w:rFonts w:asciiTheme="minorHAnsi" w:hAnsiTheme="minorHAnsi" w:cstheme="minorBidi"/>
                <w:sz w:val="18"/>
                <w:szCs w:val="18"/>
              </w:rPr>
            </w:pPr>
          </w:p>
          <w:p w14:paraId="48A5BBAC" w14:textId="77777777" w:rsidR="00303359" w:rsidRPr="00303359" w:rsidRDefault="00303359" w:rsidP="00A04A0A">
            <w:pPr>
              <w:jc w:val="center"/>
              <w:rPr>
                <w:rFonts w:asciiTheme="minorHAnsi" w:hAnsiTheme="minorHAnsi" w:cstheme="minorBidi"/>
                <w:b/>
                <w:sz w:val="18"/>
                <w:szCs w:val="18"/>
              </w:rPr>
            </w:pPr>
            <w:r w:rsidRPr="00303359">
              <w:rPr>
                <w:rFonts w:asciiTheme="minorHAnsi" w:hAnsiTheme="minorHAnsi" w:cstheme="minorBidi"/>
                <w:b/>
                <w:sz w:val="18"/>
                <w:szCs w:val="18"/>
              </w:rPr>
              <w:t>Critical</w:t>
            </w:r>
          </w:p>
          <w:p w14:paraId="191DA07C" w14:textId="77777777" w:rsidR="00303359" w:rsidRPr="00303359" w:rsidRDefault="00303359" w:rsidP="00A04A0A">
            <w:pPr>
              <w:jc w:val="center"/>
              <w:rPr>
                <w:rFonts w:asciiTheme="minorHAnsi" w:hAnsiTheme="minorHAnsi" w:cstheme="minorBidi"/>
                <w:sz w:val="18"/>
                <w:szCs w:val="18"/>
              </w:rPr>
            </w:pPr>
            <w:r w:rsidRPr="00303359">
              <w:rPr>
                <w:rFonts w:asciiTheme="minorHAnsi" w:hAnsiTheme="minorHAnsi" w:cstheme="minorBidi"/>
                <w:b/>
                <w:sz w:val="18"/>
                <w:szCs w:val="18"/>
              </w:rPr>
              <w:t>5</w:t>
            </w:r>
          </w:p>
        </w:tc>
        <w:tc>
          <w:tcPr>
            <w:tcW w:w="3686" w:type="dxa"/>
          </w:tcPr>
          <w:p w14:paraId="20A27736" w14:textId="77777777" w:rsidR="00303359" w:rsidRPr="00303359" w:rsidRDefault="00303359" w:rsidP="00A04A0A">
            <w:pPr>
              <w:rPr>
                <w:rFonts w:asciiTheme="minorHAnsi" w:hAnsiTheme="minorHAnsi" w:cstheme="minorBidi"/>
                <w:sz w:val="20"/>
                <w:szCs w:val="20"/>
              </w:rPr>
            </w:pPr>
          </w:p>
          <w:p w14:paraId="13C41502"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KPI’s are not clearly defined with little or no Performance taking place.</w:t>
            </w:r>
          </w:p>
          <w:p w14:paraId="64669EA7" w14:textId="77777777" w:rsidR="00303359" w:rsidRPr="00303359" w:rsidRDefault="00303359" w:rsidP="00A04A0A">
            <w:pPr>
              <w:rPr>
                <w:rFonts w:asciiTheme="minorHAnsi" w:hAnsiTheme="minorHAnsi" w:cstheme="minorBidi"/>
                <w:sz w:val="20"/>
                <w:szCs w:val="20"/>
              </w:rPr>
            </w:pPr>
          </w:p>
          <w:p w14:paraId="4FE15DF5"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Not meeting statuary duties under the Fire Service Framework etc. …….</w:t>
            </w:r>
          </w:p>
          <w:p w14:paraId="13DE726C" w14:textId="77777777" w:rsidR="00303359" w:rsidRPr="00303359" w:rsidRDefault="00303359" w:rsidP="00A04A0A">
            <w:pPr>
              <w:rPr>
                <w:rFonts w:asciiTheme="minorHAnsi" w:hAnsiTheme="minorHAnsi" w:cstheme="minorBidi"/>
                <w:sz w:val="20"/>
                <w:szCs w:val="20"/>
              </w:rPr>
            </w:pPr>
          </w:p>
          <w:p w14:paraId="57D85AB8" w14:textId="77777777" w:rsidR="00303359" w:rsidRPr="00303359" w:rsidRDefault="00303359" w:rsidP="00A04A0A">
            <w:pPr>
              <w:rPr>
                <w:rFonts w:asciiTheme="minorHAnsi" w:hAnsiTheme="minorHAnsi" w:cstheme="minorBidi"/>
                <w:sz w:val="20"/>
                <w:szCs w:val="20"/>
                <w:lang w:val="en-US" w:eastAsia="en-GB"/>
              </w:rPr>
            </w:pPr>
            <w:r w:rsidRPr="00303359">
              <w:rPr>
                <w:rFonts w:asciiTheme="minorHAnsi" w:hAnsiTheme="minorHAnsi" w:cstheme="minorBidi"/>
                <w:sz w:val="20"/>
                <w:szCs w:val="20"/>
                <w:lang w:val="en-US" w:eastAsia="en-GB"/>
              </w:rPr>
              <w:t xml:space="preserve">Extensive negative national media coverage over sustained period </w:t>
            </w:r>
          </w:p>
          <w:p w14:paraId="221D3B9B" w14:textId="77777777" w:rsidR="00303359" w:rsidRPr="00303359" w:rsidRDefault="00303359" w:rsidP="00A04A0A">
            <w:pPr>
              <w:rPr>
                <w:rFonts w:asciiTheme="minorHAnsi" w:hAnsiTheme="minorHAnsi" w:cstheme="minorBidi"/>
                <w:sz w:val="20"/>
                <w:szCs w:val="20"/>
                <w:lang w:val="en-US" w:eastAsia="en-GB"/>
              </w:rPr>
            </w:pPr>
          </w:p>
          <w:p w14:paraId="56847F53" w14:textId="77777777" w:rsidR="00303359" w:rsidRPr="00303359" w:rsidRDefault="00303359" w:rsidP="00A04A0A">
            <w:pPr>
              <w:rPr>
                <w:rFonts w:asciiTheme="minorHAnsi" w:hAnsiTheme="minorHAnsi" w:cstheme="minorBidi"/>
                <w:sz w:val="20"/>
                <w:szCs w:val="20"/>
                <w:lang w:val="en-US" w:eastAsia="en-GB"/>
              </w:rPr>
            </w:pPr>
            <w:r w:rsidRPr="00303359">
              <w:rPr>
                <w:rFonts w:asciiTheme="minorHAnsi" w:hAnsiTheme="minorHAnsi" w:cstheme="minorBidi"/>
                <w:sz w:val="20"/>
                <w:szCs w:val="20"/>
                <w:lang w:val="en-US" w:eastAsia="en-GB"/>
              </w:rPr>
              <w:t>loss of credibility and widespread &amp; permanent reduction in public and partner confidence</w:t>
            </w:r>
          </w:p>
          <w:p w14:paraId="34158113" w14:textId="77777777" w:rsidR="00303359" w:rsidRPr="00303359" w:rsidRDefault="00303359" w:rsidP="00A04A0A">
            <w:pPr>
              <w:rPr>
                <w:rFonts w:asciiTheme="minorHAnsi" w:hAnsiTheme="minorHAnsi" w:cstheme="minorBidi"/>
                <w:sz w:val="20"/>
                <w:szCs w:val="20"/>
              </w:rPr>
            </w:pPr>
          </w:p>
          <w:p w14:paraId="38057B49"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Inadequate HMICFRS with immediate cause for concern identified </w:t>
            </w:r>
          </w:p>
          <w:p w14:paraId="45578100" w14:textId="77777777" w:rsidR="00303359" w:rsidRPr="00303359" w:rsidRDefault="00303359" w:rsidP="00A04A0A">
            <w:pPr>
              <w:rPr>
                <w:rFonts w:asciiTheme="minorHAnsi" w:hAnsiTheme="minorHAnsi" w:cstheme="minorBidi"/>
                <w:sz w:val="20"/>
                <w:szCs w:val="20"/>
              </w:rPr>
            </w:pPr>
          </w:p>
          <w:p w14:paraId="48FCC2E7"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Community work fails to fulfil legislative requirements, vulnerable people are not safe from harm, high incidents of ADF and RTC</w:t>
            </w:r>
          </w:p>
        </w:tc>
        <w:tc>
          <w:tcPr>
            <w:tcW w:w="2268" w:type="dxa"/>
          </w:tcPr>
          <w:p w14:paraId="23CDF2F5" w14:textId="77777777" w:rsidR="00303359" w:rsidRPr="00303359" w:rsidRDefault="00303359" w:rsidP="00A04A0A">
            <w:pPr>
              <w:rPr>
                <w:rFonts w:asciiTheme="minorHAnsi" w:hAnsiTheme="minorHAnsi" w:cstheme="minorBidi"/>
                <w:sz w:val="20"/>
                <w:szCs w:val="20"/>
              </w:rPr>
            </w:pPr>
          </w:p>
          <w:p w14:paraId="2EEE6F15"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The additional resources required are not available within the Service’s current financial position.</w:t>
            </w:r>
          </w:p>
          <w:p w14:paraId="0C283673" w14:textId="77777777" w:rsidR="00303359" w:rsidRPr="00303359" w:rsidRDefault="00303359" w:rsidP="00A04A0A">
            <w:pPr>
              <w:rPr>
                <w:rFonts w:asciiTheme="minorHAnsi" w:hAnsiTheme="minorHAnsi" w:cstheme="minorBidi"/>
                <w:sz w:val="20"/>
                <w:szCs w:val="20"/>
              </w:rPr>
            </w:pPr>
          </w:p>
          <w:p w14:paraId="7DBD87A1"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Overspend Cannot be met</w:t>
            </w:r>
          </w:p>
        </w:tc>
        <w:tc>
          <w:tcPr>
            <w:tcW w:w="2551" w:type="dxa"/>
          </w:tcPr>
          <w:p w14:paraId="6B0931FB" w14:textId="77777777" w:rsidR="00303359" w:rsidRPr="00303359" w:rsidRDefault="00303359" w:rsidP="00A04A0A">
            <w:pPr>
              <w:rPr>
                <w:rFonts w:asciiTheme="minorHAnsi" w:hAnsiTheme="minorHAnsi" w:cstheme="minorBidi"/>
                <w:sz w:val="20"/>
                <w:szCs w:val="20"/>
              </w:rPr>
            </w:pPr>
          </w:p>
          <w:p w14:paraId="5ACF6C2F"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Unable to manage people issues or deliver people change programmes.</w:t>
            </w:r>
          </w:p>
          <w:p w14:paraId="6276269B" w14:textId="77777777" w:rsidR="00303359" w:rsidRPr="00303359" w:rsidRDefault="00303359" w:rsidP="00A04A0A">
            <w:pPr>
              <w:rPr>
                <w:rFonts w:asciiTheme="minorHAnsi" w:hAnsiTheme="minorHAnsi" w:cstheme="minorBidi"/>
                <w:sz w:val="20"/>
                <w:szCs w:val="20"/>
              </w:rPr>
            </w:pPr>
          </w:p>
          <w:p w14:paraId="69B3F8D9"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All people KPI measures indicate a drastic and long term reduction in the health and engagement of the workforce i.e. withdrawal of labour</w:t>
            </w:r>
          </w:p>
        </w:tc>
        <w:tc>
          <w:tcPr>
            <w:tcW w:w="2127" w:type="dxa"/>
          </w:tcPr>
          <w:p w14:paraId="385E964B" w14:textId="77777777" w:rsidR="00303359" w:rsidRPr="00303359" w:rsidRDefault="00303359" w:rsidP="00A04A0A">
            <w:pPr>
              <w:rPr>
                <w:rFonts w:asciiTheme="minorHAnsi" w:hAnsiTheme="minorHAnsi" w:cstheme="minorBidi"/>
                <w:sz w:val="20"/>
                <w:szCs w:val="20"/>
              </w:rPr>
            </w:pPr>
          </w:p>
          <w:p w14:paraId="1FB87F95"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Disruption to critical services which would require emergency plans, and leave the Service unable to attend or prevent incidents.</w:t>
            </w:r>
          </w:p>
          <w:p w14:paraId="040343C9" w14:textId="77777777" w:rsidR="00303359" w:rsidRPr="00303359" w:rsidRDefault="00303359" w:rsidP="00A04A0A">
            <w:pPr>
              <w:rPr>
                <w:rFonts w:asciiTheme="minorHAnsi" w:hAnsiTheme="minorHAnsi" w:cstheme="minorBidi"/>
                <w:sz w:val="20"/>
                <w:szCs w:val="20"/>
              </w:rPr>
            </w:pPr>
            <w:r w:rsidRPr="00303359">
              <w:rPr>
                <w:rFonts w:asciiTheme="minorHAnsi" w:hAnsiTheme="minorHAnsi" w:cstheme="minorBidi"/>
                <w:sz w:val="20"/>
                <w:szCs w:val="20"/>
              </w:rPr>
              <w:t xml:space="preserve"> </w:t>
            </w:r>
          </w:p>
        </w:tc>
        <w:tc>
          <w:tcPr>
            <w:tcW w:w="3627" w:type="dxa"/>
          </w:tcPr>
          <w:p w14:paraId="0C4C2288" w14:textId="77777777" w:rsidR="00303359" w:rsidRPr="00303359" w:rsidRDefault="00303359" w:rsidP="00A04A0A">
            <w:pPr>
              <w:rPr>
                <w:rFonts w:asciiTheme="minorHAnsi" w:hAnsiTheme="minorHAnsi"/>
                <w:sz w:val="20"/>
                <w:szCs w:val="20"/>
                <w:lang w:eastAsia="en-GB"/>
              </w:rPr>
            </w:pPr>
            <w:r w:rsidRPr="00303359">
              <w:rPr>
                <w:rFonts w:asciiTheme="minorHAnsi" w:hAnsiTheme="minorHAnsi"/>
                <w:sz w:val="20"/>
                <w:szCs w:val="20"/>
                <w:lang w:eastAsia="en-GB"/>
              </w:rPr>
              <w:t>Single or multiple deaths involving any persons</w:t>
            </w:r>
          </w:p>
          <w:p w14:paraId="5FD56AD6" w14:textId="77777777" w:rsidR="00303359" w:rsidRPr="00303359" w:rsidRDefault="00303359" w:rsidP="00A04A0A">
            <w:pPr>
              <w:rPr>
                <w:rFonts w:asciiTheme="minorHAnsi" w:hAnsiTheme="minorHAnsi"/>
                <w:sz w:val="20"/>
                <w:szCs w:val="20"/>
                <w:lang w:eastAsia="en-GB"/>
              </w:rPr>
            </w:pPr>
          </w:p>
          <w:p w14:paraId="19706CC2" w14:textId="77777777" w:rsidR="00303359" w:rsidRPr="00303359" w:rsidRDefault="00303359" w:rsidP="00A04A0A">
            <w:pPr>
              <w:rPr>
                <w:rFonts w:asciiTheme="minorHAnsi" w:hAnsiTheme="minorHAnsi" w:cstheme="minorBidi"/>
                <w:sz w:val="20"/>
                <w:szCs w:val="20"/>
                <w:lang w:eastAsia="en-GB"/>
              </w:rPr>
            </w:pPr>
            <w:r w:rsidRPr="00303359">
              <w:rPr>
                <w:rFonts w:asciiTheme="minorHAnsi" w:hAnsiTheme="minorHAnsi" w:cstheme="minorBidi"/>
                <w:sz w:val="20"/>
                <w:szCs w:val="20"/>
                <w:lang w:eastAsia="en-GB"/>
              </w:rPr>
              <w:t>Multiple or large data incident in which special category data is compromised which results in extensive media coverage and regulatory action</w:t>
            </w:r>
          </w:p>
          <w:p w14:paraId="0909203A" w14:textId="77777777" w:rsidR="00303359" w:rsidRPr="00303359" w:rsidRDefault="00303359" w:rsidP="00A04A0A">
            <w:pPr>
              <w:rPr>
                <w:rFonts w:asciiTheme="minorHAnsi" w:hAnsiTheme="minorHAnsi"/>
                <w:sz w:val="20"/>
                <w:szCs w:val="20"/>
                <w:lang w:eastAsia="en-GB"/>
              </w:rPr>
            </w:pPr>
          </w:p>
          <w:p w14:paraId="3E260B11" w14:textId="77777777" w:rsidR="00303359" w:rsidRPr="00303359" w:rsidRDefault="00303359" w:rsidP="00A04A0A">
            <w:pPr>
              <w:rPr>
                <w:rFonts w:asciiTheme="minorHAnsi" w:hAnsiTheme="minorHAnsi"/>
                <w:sz w:val="20"/>
                <w:szCs w:val="20"/>
              </w:rPr>
            </w:pPr>
            <w:r w:rsidRPr="00303359">
              <w:rPr>
                <w:rFonts w:asciiTheme="minorHAnsi" w:hAnsiTheme="minorHAnsi"/>
                <w:sz w:val="20"/>
                <w:szCs w:val="20"/>
              </w:rPr>
              <w:t>Data breach involving personal data</w:t>
            </w:r>
          </w:p>
          <w:p w14:paraId="54835547" w14:textId="77777777" w:rsidR="00303359" w:rsidRPr="00303359" w:rsidRDefault="00303359" w:rsidP="00A04A0A">
            <w:pPr>
              <w:rPr>
                <w:rFonts w:asciiTheme="minorHAnsi" w:hAnsiTheme="minorHAnsi"/>
                <w:sz w:val="20"/>
                <w:szCs w:val="20"/>
              </w:rPr>
            </w:pPr>
          </w:p>
          <w:p w14:paraId="4D6B7748" w14:textId="77777777" w:rsidR="00303359" w:rsidRPr="00303359" w:rsidRDefault="00303359" w:rsidP="00A04A0A">
            <w:pPr>
              <w:rPr>
                <w:rFonts w:asciiTheme="minorHAnsi" w:hAnsiTheme="minorHAnsi" w:cstheme="minorBidi"/>
                <w:sz w:val="20"/>
                <w:szCs w:val="20"/>
                <w:lang w:val="en-US" w:eastAsia="en-GB"/>
              </w:rPr>
            </w:pPr>
            <w:r w:rsidRPr="00303359">
              <w:rPr>
                <w:rFonts w:asciiTheme="minorHAnsi" w:hAnsiTheme="minorHAnsi" w:cstheme="minorBidi"/>
                <w:sz w:val="20"/>
                <w:szCs w:val="20"/>
                <w:lang w:val="en-US" w:eastAsia="en-GB"/>
              </w:rPr>
              <w:t>Catastrophic and immediate impact on environment.</w:t>
            </w:r>
          </w:p>
          <w:p w14:paraId="2ECBF3FA" w14:textId="77777777" w:rsidR="00303359" w:rsidRPr="00303359" w:rsidRDefault="00303359" w:rsidP="00A04A0A">
            <w:pPr>
              <w:rPr>
                <w:rFonts w:asciiTheme="minorHAnsi" w:hAnsiTheme="minorHAnsi" w:cstheme="minorBidi"/>
                <w:sz w:val="20"/>
                <w:szCs w:val="20"/>
                <w:lang w:val="en-US" w:eastAsia="en-GB"/>
              </w:rPr>
            </w:pPr>
          </w:p>
          <w:p w14:paraId="615B8A18" w14:textId="77777777" w:rsidR="00303359" w:rsidRPr="00303359" w:rsidRDefault="00303359" w:rsidP="00A04A0A">
            <w:pPr>
              <w:rPr>
                <w:rFonts w:asciiTheme="minorHAnsi" w:hAnsiTheme="minorHAnsi" w:cstheme="minorBidi"/>
                <w:sz w:val="20"/>
                <w:szCs w:val="20"/>
                <w:lang w:val="en-US" w:eastAsia="en-GB"/>
              </w:rPr>
            </w:pPr>
            <w:r w:rsidRPr="00303359">
              <w:rPr>
                <w:rFonts w:asciiTheme="minorHAnsi" w:hAnsiTheme="minorHAnsi" w:cstheme="minorBidi"/>
                <w:sz w:val="20"/>
                <w:szCs w:val="20"/>
                <w:lang w:val="en-US" w:eastAsia="en-GB"/>
              </w:rPr>
              <w:t xml:space="preserve">Serious breach of legal or contractual obligation </w:t>
            </w:r>
          </w:p>
          <w:p w14:paraId="0FCDB77A" w14:textId="77777777" w:rsidR="00303359" w:rsidRPr="00303359" w:rsidRDefault="00303359" w:rsidP="00A04A0A">
            <w:pPr>
              <w:rPr>
                <w:rFonts w:asciiTheme="minorHAnsi" w:hAnsiTheme="minorHAnsi" w:cstheme="minorBidi"/>
                <w:sz w:val="20"/>
                <w:szCs w:val="20"/>
              </w:rPr>
            </w:pPr>
          </w:p>
          <w:p w14:paraId="6204875A" w14:textId="77777777" w:rsidR="00303359" w:rsidRPr="00303359" w:rsidRDefault="00303359" w:rsidP="00A04A0A">
            <w:pPr>
              <w:rPr>
                <w:rFonts w:asciiTheme="minorHAnsi" w:hAnsiTheme="minorHAnsi" w:cstheme="minorBidi"/>
                <w:sz w:val="20"/>
                <w:szCs w:val="20"/>
              </w:rPr>
            </w:pPr>
          </w:p>
        </w:tc>
      </w:tr>
    </w:tbl>
    <w:p w14:paraId="385D7AB8" w14:textId="77777777" w:rsidR="000A19D6" w:rsidRPr="000318AD" w:rsidRDefault="000A19D6" w:rsidP="00011869">
      <w:pPr>
        <w:pStyle w:val="NumbList3"/>
        <w:numPr>
          <w:ilvl w:val="0"/>
          <w:numId w:val="0"/>
        </w:numPr>
        <w:spacing w:after="240"/>
        <w:rPr>
          <w:sz w:val="22"/>
          <w:szCs w:val="22"/>
        </w:rPr>
      </w:pPr>
    </w:p>
    <w:sectPr w:rsidR="000A19D6" w:rsidRPr="000318AD" w:rsidSect="000A19D6">
      <w:pgSz w:w="16838" w:h="11906" w:orient="landscape" w:code="9"/>
      <w:pgMar w:top="720" w:right="720" w:bottom="720" w:left="72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9ADF" w14:textId="77777777" w:rsidR="000538C2" w:rsidRDefault="000538C2">
      <w:r>
        <w:separator/>
      </w:r>
    </w:p>
  </w:endnote>
  <w:endnote w:type="continuationSeparator" w:id="0">
    <w:p w14:paraId="1DBFDBB5" w14:textId="77777777" w:rsidR="000538C2" w:rsidRDefault="0005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BDCK J+ Syntax">
    <w:altName w:val="Syntax"/>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49A2" w14:textId="77777777" w:rsidR="000538C2" w:rsidRDefault="000538C2" w:rsidP="00AA60E6">
    <w:pPr>
      <w:pStyle w:val="Footer"/>
      <w:jc w:val="center"/>
      <w:rPr>
        <w:sz w:val="22"/>
        <w:szCs w:val="22"/>
      </w:rPr>
    </w:pPr>
  </w:p>
  <w:p w14:paraId="3BCED4AC" w14:textId="31525FD8" w:rsidR="000538C2" w:rsidRPr="00AA60E6" w:rsidRDefault="000538C2"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35530">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35530">
      <w:rPr>
        <w:noProof/>
        <w:sz w:val="22"/>
        <w:szCs w:val="22"/>
      </w:rPr>
      <w:t>10</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E7F9" w14:textId="5B251664" w:rsidR="000538C2" w:rsidRPr="00AA60E6" w:rsidRDefault="000538C2"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35530">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35530">
      <w:rPr>
        <w:noProof/>
        <w:sz w:val="22"/>
        <w:szCs w:val="22"/>
      </w:rPr>
      <w:t>10</w:t>
    </w:r>
    <w:r w:rsidRPr="00AA60E6">
      <w:rPr>
        <w:sz w:val="22"/>
        <w:szCs w:val="22"/>
      </w:rPr>
      <w:fldChar w:fldCharType="end"/>
    </w:r>
  </w:p>
  <w:p w14:paraId="6C5EE2F1" w14:textId="77777777" w:rsidR="000538C2" w:rsidRDefault="000538C2"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0DF54" w14:textId="77777777" w:rsidR="000538C2" w:rsidRDefault="000538C2">
      <w:r>
        <w:separator/>
      </w:r>
    </w:p>
  </w:footnote>
  <w:footnote w:type="continuationSeparator" w:id="0">
    <w:p w14:paraId="7479E075" w14:textId="77777777" w:rsidR="000538C2" w:rsidRDefault="0005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E0181"/>
    <w:multiLevelType w:val="hybridMultilevel"/>
    <w:tmpl w:val="46C8C9CA"/>
    <w:lvl w:ilvl="0" w:tplc="E02C76D4">
      <w:start w:val="1"/>
      <w:numFmt w:val="decimal"/>
      <w:pStyle w:val="NumbList3"/>
      <w:lvlText w:val="%1."/>
      <w:lvlJc w:val="left"/>
      <w:pPr>
        <w:ind w:left="502" w:hanging="360"/>
      </w:pPr>
      <w:rPr>
        <w:rFonts w:hint="default"/>
        <w:color w:val="000000" w:themeColor="text1"/>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7DB5228"/>
    <w:multiLevelType w:val="hybridMultilevel"/>
    <w:tmpl w:val="0242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9639E"/>
    <w:multiLevelType w:val="hybridMultilevel"/>
    <w:tmpl w:val="0E80A626"/>
    <w:lvl w:ilvl="0" w:tplc="ADA626BE">
      <w:start w:val="1"/>
      <w:numFmt w:val="bullet"/>
      <w:lvlRestart w:val="0"/>
      <w:pStyle w:val="Bullets"/>
      <w:lvlText w:val=""/>
      <w:lvlJc w:val="left"/>
      <w:pPr>
        <w:tabs>
          <w:tab w:val="num" w:pos="2412"/>
        </w:tabs>
        <w:ind w:left="2412"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1869"/>
    <w:rsid w:val="000127F2"/>
    <w:rsid w:val="000129FE"/>
    <w:rsid w:val="00014B58"/>
    <w:rsid w:val="00015016"/>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8AD"/>
    <w:rsid w:val="00031DE4"/>
    <w:rsid w:val="0003296A"/>
    <w:rsid w:val="00032BE5"/>
    <w:rsid w:val="00032EE9"/>
    <w:rsid w:val="000340B9"/>
    <w:rsid w:val="00035151"/>
    <w:rsid w:val="000351C5"/>
    <w:rsid w:val="00035A87"/>
    <w:rsid w:val="00035B01"/>
    <w:rsid w:val="00037C5B"/>
    <w:rsid w:val="00047123"/>
    <w:rsid w:val="000506B7"/>
    <w:rsid w:val="00050A61"/>
    <w:rsid w:val="00050FB5"/>
    <w:rsid w:val="000538C2"/>
    <w:rsid w:val="000562DA"/>
    <w:rsid w:val="00057608"/>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19D6"/>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5D88"/>
    <w:rsid w:val="000E6924"/>
    <w:rsid w:val="000F1BFE"/>
    <w:rsid w:val="000F24CB"/>
    <w:rsid w:val="000F38B9"/>
    <w:rsid w:val="000F41F3"/>
    <w:rsid w:val="000F65A2"/>
    <w:rsid w:val="00100492"/>
    <w:rsid w:val="00100810"/>
    <w:rsid w:val="00101758"/>
    <w:rsid w:val="00103FA4"/>
    <w:rsid w:val="001041C9"/>
    <w:rsid w:val="00106736"/>
    <w:rsid w:val="0010759D"/>
    <w:rsid w:val="00107888"/>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530"/>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6F9E"/>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B7E1B"/>
    <w:rsid w:val="001C2A15"/>
    <w:rsid w:val="001C38A3"/>
    <w:rsid w:val="001C438F"/>
    <w:rsid w:val="001C474C"/>
    <w:rsid w:val="001C5581"/>
    <w:rsid w:val="001C5FD5"/>
    <w:rsid w:val="001C6A87"/>
    <w:rsid w:val="001D0EF3"/>
    <w:rsid w:val="001D219C"/>
    <w:rsid w:val="001D21F4"/>
    <w:rsid w:val="001D391E"/>
    <w:rsid w:val="001D3CCE"/>
    <w:rsid w:val="001D555B"/>
    <w:rsid w:val="001D58E7"/>
    <w:rsid w:val="001D6166"/>
    <w:rsid w:val="001D63B7"/>
    <w:rsid w:val="001D66D7"/>
    <w:rsid w:val="001E024E"/>
    <w:rsid w:val="001E0EA4"/>
    <w:rsid w:val="001E1D30"/>
    <w:rsid w:val="001E3211"/>
    <w:rsid w:val="001E608C"/>
    <w:rsid w:val="001E6FA7"/>
    <w:rsid w:val="001E71C9"/>
    <w:rsid w:val="001E76E0"/>
    <w:rsid w:val="001E7C2B"/>
    <w:rsid w:val="001F042E"/>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1D78"/>
    <w:rsid w:val="0021368E"/>
    <w:rsid w:val="0021521F"/>
    <w:rsid w:val="002156C7"/>
    <w:rsid w:val="00216527"/>
    <w:rsid w:val="00216E8E"/>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07"/>
    <w:rsid w:val="00252076"/>
    <w:rsid w:val="0025315B"/>
    <w:rsid w:val="00254127"/>
    <w:rsid w:val="00256991"/>
    <w:rsid w:val="0026017D"/>
    <w:rsid w:val="002604C2"/>
    <w:rsid w:val="0026099E"/>
    <w:rsid w:val="00260C5B"/>
    <w:rsid w:val="00261662"/>
    <w:rsid w:val="0026264D"/>
    <w:rsid w:val="00263B8A"/>
    <w:rsid w:val="00263D8D"/>
    <w:rsid w:val="00265F63"/>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C7D37"/>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47B"/>
    <w:rsid w:val="002F6550"/>
    <w:rsid w:val="003007DC"/>
    <w:rsid w:val="00303359"/>
    <w:rsid w:val="00303742"/>
    <w:rsid w:val="00304F86"/>
    <w:rsid w:val="00307E2F"/>
    <w:rsid w:val="00310FB4"/>
    <w:rsid w:val="00311DE8"/>
    <w:rsid w:val="0031264D"/>
    <w:rsid w:val="00313226"/>
    <w:rsid w:val="00313AC9"/>
    <w:rsid w:val="00317A6C"/>
    <w:rsid w:val="00320AFF"/>
    <w:rsid w:val="00321030"/>
    <w:rsid w:val="003213BF"/>
    <w:rsid w:val="00321BED"/>
    <w:rsid w:val="00322997"/>
    <w:rsid w:val="00322E3E"/>
    <w:rsid w:val="003242F3"/>
    <w:rsid w:val="00324549"/>
    <w:rsid w:val="003247B7"/>
    <w:rsid w:val="003247D0"/>
    <w:rsid w:val="00325B97"/>
    <w:rsid w:val="00326EE8"/>
    <w:rsid w:val="00327063"/>
    <w:rsid w:val="0032754E"/>
    <w:rsid w:val="00327BB4"/>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5C1"/>
    <w:rsid w:val="00410923"/>
    <w:rsid w:val="0041116E"/>
    <w:rsid w:val="0041154E"/>
    <w:rsid w:val="00411F90"/>
    <w:rsid w:val="00413B48"/>
    <w:rsid w:val="00414FE6"/>
    <w:rsid w:val="00416883"/>
    <w:rsid w:val="00420BDF"/>
    <w:rsid w:val="00420F52"/>
    <w:rsid w:val="00421629"/>
    <w:rsid w:val="0042171B"/>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1969"/>
    <w:rsid w:val="0044279D"/>
    <w:rsid w:val="004438D2"/>
    <w:rsid w:val="00445032"/>
    <w:rsid w:val="00446BE6"/>
    <w:rsid w:val="00447ECF"/>
    <w:rsid w:val="004521A1"/>
    <w:rsid w:val="0045506D"/>
    <w:rsid w:val="004576F0"/>
    <w:rsid w:val="00457FF3"/>
    <w:rsid w:val="00460210"/>
    <w:rsid w:val="00463C77"/>
    <w:rsid w:val="004644BF"/>
    <w:rsid w:val="00464B78"/>
    <w:rsid w:val="00464C3C"/>
    <w:rsid w:val="00465BBB"/>
    <w:rsid w:val="00466B4D"/>
    <w:rsid w:val="00466D89"/>
    <w:rsid w:val="00467072"/>
    <w:rsid w:val="00467CDC"/>
    <w:rsid w:val="00470C15"/>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A65C7"/>
    <w:rsid w:val="004B0C8C"/>
    <w:rsid w:val="004B1F27"/>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58C8"/>
    <w:rsid w:val="004D6709"/>
    <w:rsid w:val="004D69B7"/>
    <w:rsid w:val="004D70D3"/>
    <w:rsid w:val="004D740F"/>
    <w:rsid w:val="004D742A"/>
    <w:rsid w:val="004D7F3F"/>
    <w:rsid w:val="004E1391"/>
    <w:rsid w:val="004E2135"/>
    <w:rsid w:val="004E26BD"/>
    <w:rsid w:val="004E3072"/>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41F9"/>
    <w:rsid w:val="0051689E"/>
    <w:rsid w:val="00517DE4"/>
    <w:rsid w:val="00520A8B"/>
    <w:rsid w:val="00520F4F"/>
    <w:rsid w:val="00521BBE"/>
    <w:rsid w:val="0052597D"/>
    <w:rsid w:val="00526681"/>
    <w:rsid w:val="00530735"/>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67E39"/>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1B82"/>
    <w:rsid w:val="005A2872"/>
    <w:rsid w:val="005A433F"/>
    <w:rsid w:val="005A4EA0"/>
    <w:rsid w:val="005A53DB"/>
    <w:rsid w:val="005A6FFA"/>
    <w:rsid w:val="005A7917"/>
    <w:rsid w:val="005B0195"/>
    <w:rsid w:val="005B0353"/>
    <w:rsid w:val="005B06DA"/>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5892"/>
    <w:rsid w:val="005D74B8"/>
    <w:rsid w:val="005E0DB3"/>
    <w:rsid w:val="005E1ABF"/>
    <w:rsid w:val="005E317F"/>
    <w:rsid w:val="005E360D"/>
    <w:rsid w:val="005E41B0"/>
    <w:rsid w:val="005E539D"/>
    <w:rsid w:val="005E5B4A"/>
    <w:rsid w:val="005F06DF"/>
    <w:rsid w:val="005F0721"/>
    <w:rsid w:val="005F1929"/>
    <w:rsid w:val="005F3B50"/>
    <w:rsid w:val="005F4245"/>
    <w:rsid w:val="005F50B7"/>
    <w:rsid w:val="005F64B4"/>
    <w:rsid w:val="005F6D3C"/>
    <w:rsid w:val="005F7DDE"/>
    <w:rsid w:val="006008F1"/>
    <w:rsid w:val="0060091C"/>
    <w:rsid w:val="00600FC8"/>
    <w:rsid w:val="0060101E"/>
    <w:rsid w:val="006013F6"/>
    <w:rsid w:val="00601858"/>
    <w:rsid w:val="00601897"/>
    <w:rsid w:val="00602FFF"/>
    <w:rsid w:val="00604664"/>
    <w:rsid w:val="0060473C"/>
    <w:rsid w:val="006071D7"/>
    <w:rsid w:val="00612012"/>
    <w:rsid w:val="00613206"/>
    <w:rsid w:val="006138CD"/>
    <w:rsid w:val="00614254"/>
    <w:rsid w:val="0061459E"/>
    <w:rsid w:val="0061598E"/>
    <w:rsid w:val="006167A7"/>
    <w:rsid w:val="0061751F"/>
    <w:rsid w:val="006236EB"/>
    <w:rsid w:val="00626166"/>
    <w:rsid w:val="006265EC"/>
    <w:rsid w:val="00626E42"/>
    <w:rsid w:val="006275AD"/>
    <w:rsid w:val="00632B60"/>
    <w:rsid w:val="00633C11"/>
    <w:rsid w:val="00633C3C"/>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6D"/>
    <w:rsid w:val="00693C95"/>
    <w:rsid w:val="00693D23"/>
    <w:rsid w:val="006A0DC2"/>
    <w:rsid w:val="006A10FC"/>
    <w:rsid w:val="006A2B71"/>
    <w:rsid w:val="006A3E36"/>
    <w:rsid w:val="006A4DED"/>
    <w:rsid w:val="006A5076"/>
    <w:rsid w:val="006A54CE"/>
    <w:rsid w:val="006A6A86"/>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0C6"/>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6864"/>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1F22"/>
    <w:rsid w:val="007823A5"/>
    <w:rsid w:val="007849C6"/>
    <w:rsid w:val="00784AA4"/>
    <w:rsid w:val="00785024"/>
    <w:rsid w:val="007852E5"/>
    <w:rsid w:val="00785949"/>
    <w:rsid w:val="00785BF4"/>
    <w:rsid w:val="00785BF6"/>
    <w:rsid w:val="00787168"/>
    <w:rsid w:val="007905E9"/>
    <w:rsid w:val="007911BF"/>
    <w:rsid w:val="00791FB8"/>
    <w:rsid w:val="007923A6"/>
    <w:rsid w:val="00793F0C"/>
    <w:rsid w:val="007955FB"/>
    <w:rsid w:val="00795673"/>
    <w:rsid w:val="0079680D"/>
    <w:rsid w:val="00797D5F"/>
    <w:rsid w:val="007A0064"/>
    <w:rsid w:val="007A0351"/>
    <w:rsid w:val="007A09DF"/>
    <w:rsid w:val="007A3658"/>
    <w:rsid w:val="007A41CD"/>
    <w:rsid w:val="007A49E0"/>
    <w:rsid w:val="007A5ECC"/>
    <w:rsid w:val="007A602E"/>
    <w:rsid w:val="007A6C0B"/>
    <w:rsid w:val="007B0EB2"/>
    <w:rsid w:val="007B1C55"/>
    <w:rsid w:val="007B29A7"/>
    <w:rsid w:val="007B34F2"/>
    <w:rsid w:val="007B7A23"/>
    <w:rsid w:val="007C17D7"/>
    <w:rsid w:val="007C188D"/>
    <w:rsid w:val="007C23EB"/>
    <w:rsid w:val="007C262E"/>
    <w:rsid w:val="007C3AE4"/>
    <w:rsid w:val="007C5650"/>
    <w:rsid w:val="007C5DF4"/>
    <w:rsid w:val="007C6BCD"/>
    <w:rsid w:val="007D00AF"/>
    <w:rsid w:val="007D1296"/>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806"/>
    <w:rsid w:val="007F6B3A"/>
    <w:rsid w:val="00800CCA"/>
    <w:rsid w:val="0080243D"/>
    <w:rsid w:val="00802EC1"/>
    <w:rsid w:val="00803C2F"/>
    <w:rsid w:val="00804AF8"/>
    <w:rsid w:val="00805EAE"/>
    <w:rsid w:val="00806198"/>
    <w:rsid w:val="00807BE2"/>
    <w:rsid w:val="00807CA6"/>
    <w:rsid w:val="008106B2"/>
    <w:rsid w:val="00810876"/>
    <w:rsid w:val="00810E1C"/>
    <w:rsid w:val="0081151B"/>
    <w:rsid w:val="008124C0"/>
    <w:rsid w:val="00815866"/>
    <w:rsid w:val="00815C39"/>
    <w:rsid w:val="00815FD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47B"/>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6D13"/>
    <w:rsid w:val="008675C2"/>
    <w:rsid w:val="00871C9B"/>
    <w:rsid w:val="00873B81"/>
    <w:rsid w:val="008740D6"/>
    <w:rsid w:val="00874C99"/>
    <w:rsid w:val="0087716D"/>
    <w:rsid w:val="00877F83"/>
    <w:rsid w:val="008846EC"/>
    <w:rsid w:val="0088500B"/>
    <w:rsid w:val="008858C0"/>
    <w:rsid w:val="00885E7A"/>
    <w:rsid w:val="00885FB0"/>
    <w:rsid w:val="00887076"/>
    <w:rsid w:val="008870CC"/>
    <w:rsid w:val="008872DB"/>
    <w:rsid w:val="00887997"/>
    <w:rsid w:val="008901A9"/>
    <w:rsid w:val="0089021B"/>
    <w:rsid w:val="00890F99"/>
    <w:rsid w:val="00891097"/>
    <w:rsid w:val="0089129D"/>
    <w:rsid w:val="008919ED"/>
    <w:rsid w:val="0089216C"/>
    <w:rsid w:val="0089221E"/>
    <w:rsid w:val="00893CF1"/>
    <w:rsid w:val="008949F4"/>
    <w:rsid w:val="00895413"/>
    <w:rsid w:val="00895426"/>
    <w:rsid w:val="008A019A"/>
    <w:rsid w:val="008A046A"/>
    <w:rsid w:val="008A06C2"/>
    <w:rsid w:val="008A0DC1"/>
    <w:rsid w:val="008A183E"/>
    <w:rsid w:val="008A26ED"/>
    <w:rsid w:val="008A272A"/>
    <w:rsid w:val="008A3E73"/>
    <w:rsid w:val="008A3E79"/>
    <w:rsid w:val="008A79C6"/>
    <w:rsid w:val="008A7E82"/>
    <w:rsid w:val="008B1403"/>
    <w:rsid w:val="008B2F5B"/>
    <w:rsid w:val="008B310E"/>
    <w:rsid w:val="008B3804"/>
    <w:rsid w:val="008B3A78"/>
    <w:rsid w:val="008B4318"/>
    <w:rsid w:val="008B63A6"/>
    <w:rsid w:val="008B6635"/>
    <w:rsid w:val="008B7B36"/>
    <w:rsid w:val="008C133A"/>
    <w:rsid w:val="008C2128"/>
    <w:rsid w:val="008C2C96"/>
    <w:rsid w:val="008C3492"/>
    <w:rsid w:val="008C68E5"/>
    <w:rsid w:val="008C7346"/>
    <w:rsid w:val="008C7D04"/>
    <w:rsid w:val="008D00E2"/>
    <w:rsid w:val="008D0984"/>
    <w:rsid w:val="008D459A"/>
    <w:rsid w:val="008D4941"/>
    <w:rsid w:val="008D5A03"/>
    <w:rsid w:val="008E0038"/>
    <w:rsid w:val="008E0747"/>
    <w:rsid w:val="008E09C0"/>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0C8E"/>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1F4C"/>
    <w:rsid w:val="00932949"/>
    <w:rsid w:val="00933D7D"/>
    <w:rsid w:val="00935084"/>
    <w:rsid w:val="0094057A"/>
    <w:rsid w:val="009437A9"/>
    <w:rsid w:val="0094425A"/>
    <w:rsid w:val="0094427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378"/>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10C3"/>
    <w:rsid w:val="009C2780"/>
    <w:rsid w:val="009C2C6F"/>
    <w:rsid w:val="009C3017"/>
    <w:rsid w:val="009C31B4"/>
    <w:rsid w:val="009C41EF"/>
    <w:rsid w:val="009C70B2"/>
    <w:rsid w:val="009C740A"/>
    <w:rsid w:val="009D17B6"/>
    <w:rsid w:val="009D1903"/>
    <w:rsid w:val="009D1BF6"/>
    <w:rsid w:val="009D23FE"/>
    <w:rsid w:val="009D2E7A"/>
    <w:rsid w:val="009D4561"/>
    <w:rsid w:val="009D5166"/>
    <w:rsid w:val="009D5628"/>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194B"/>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1AB6"/>
    <w:rsid w:val="00A62226"/>
    <w:rsid w:val="00A642B5"/>
    <w:rsid w:val="00A67C86"/>
    <w:rsid w:val="00A7226E"/>
    <w:rsid w:val="00A73C77"/>
    <w:rsid w:val="00A75354"/>
    <w:rsid w:val="00A75C19"/>
    <w:rsid w:val="00A80F16"/>
    <w:rsid w:val="00A82004"/>
    <w:rsid w:val="00A82090"/>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15A"/>
    <w:rsid w:val="00AC44D4"/>
    <w:rsid w:val="00AC5446"/>
    <w:rsid w:val="00AC5A6D"/>
    <w:rsid w:val="00AC5EE8"/>
    <w:rsid w:val="00AC6169"/>
    <w:rsid w:val="00AC6F3D"/>
    <w:rsid w:val="00AC72CE"/>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2398"/>
    <w:rsid w:val="00AF3A92"/>
    <w:rsid w:val="00AF59ED"/>
    <w:rsid w:val="00AF6800"/>
    <w:rsid w:val="00B014AA"/>
    <w:rsid w:val="00B01D9A"/>
    <w:rsid w:val="00B01DD2"/>
    <w:rsid w:val="00B01EEE"/>
    <w:rsid w:val="00B0340C"/>
    <w:rsid w:val="00B07E43"/>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BEC"/>
    <w:rsid w:val="00B21D92"/>
    <w:rsid w:val="00B2217F"/>
    <w:rsid w:val="00B22434"/>
    <w:rsid w:val="00B239AB"/>
    <w:rsid w:val="00B23D4C"/>
    <w:rsid w:val="00B24344"/>
    <w:rsid w:val="00B2481F"/>
    <w:rsid w:val="00B24C81"/>
    <w:rsid w:val="00B256D1"/>
    <w:rsid w:val="00B25924"/>
    <w:rsid w:val="00B25C9C"/>
    <w:rsid w:val="00B2632B"/>
    <w:rsid w:val="00B263EF"/>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5C12"/>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86A75"/>
    <w:rsid w:val="00B90FC5"/>
    <w:rsid w:val="00B91291"/>
    <w:rsid w:val="00B92921"/>
    <w:rsid w:val="00B929F4"/>
    <w:rsid w:val="00B93569"/>
    <w:rsid w:val="00B95499"/>
    <w:rsid w:val="00B968B3"/>
    <w:rsid w:val="00BA0836"/>
    <w:rsid w:val="00BA3D29"/>
    <w:rsid w:val="00BA45AB"/>
    <w:rsid w:val="00BA4E7E"/>
    <w:rsid w:val="00BA54E8"/>
    <w:rsid w:val="00BA58CA"/>
    <w:rsid w:val="00BA5C46"/>
    <w:rsid w:val="00BA5FE0"/>
    <w:rsid w:val="00BA60F8"/>
    <w:rsid w:val="00BA6811"/>
    <w:rsid w:val="00BA780A"/>
    <w:rsid w:val="00BA7DC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6875"/>
    <w:rsid w:val="00BE7588"/>
    <w:rsid w:val="00BF0BB2"/>
    <w:rsid w:val="00BF142D"/>
    <w:rsid w:val="00BF1B22"/>
    <w:rsid w:val="00BF1D4E"/>
    <w:rsid w:val="00BF1E5F"/>
    <w:rsid w:val="00BF25D1"/>
    <w:rsid w:val="00BF2749"/>
    <w:rsid w:val="00BF2CB5"/>
    <w:rsid w:val="00BF4E7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17698"/>
    <w:rsid w:val="00C20A32"/>
    <w:rsid w:val="00C20BF4"/>
    <w:rsid w:val="00C2318C"/>
    <w:rsid w:val="00C24B29"/>
    <w:rsid w:val="00C252DE"/>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4D4"/>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578A1"/>
    <w:rsid w:val="00C60A6F"/>
    <w:rsid w:val="00C611CC"/>
    <w:rsid w:val="00C6150B"/>
    <w:rsid w:val="00C641CF"/>
    <w:rsid w:val="00C644D9"/>
    <w:rsid w:val="00C64C60"/>
    <w:rsid w:val="00C6506C"/>
    <w:rsid w:val="00C658B8"/>
    <w:rsid w:val="00C65E58"/>
    <w:rsid w:val="00C66931"/>
    <w:rsid w:val="00C71416"/>
    <w:rsid w:val="00C714DC"/>
    <w:rsid w:val="00C7167F"/>
    <w:rsid w:val="00C71A12"/>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6"/>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4143"/>
    <w:rsid w:val="00CE56D2"/>
    <w:rsid w:val="00CE5C6C"/>
    <w:rsid w:val="00CE6959"/>
    <w:rsid w:val="00CE6F0F"/>
    <w:rsid w:val="00CE7312"/>
    <w:rsid w:val="00CE7344"/>
    <w:rsid w:val="00CE7E27"/>
    <w:rsid w:val="00CF0BDA"/>
    <w:rsid w:val="00CF26D3"/>
    <w:rsid w:val="00CF3A77"/>
    <w:rsid w:val="00CF3C99"/>
    <w:rsid w:val="00CF581A"/>
    <w:rsid w:val="00CF5C0C"/>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13D"/>
    <w:rsid w:val="00D528B8"/>
    <w:rsid w:val="00D54008"/>
    <w:rsid w:val="00D542EC"/>
    <w:rsid w:val="00D56329"/>
    <w:rsid w:val="00D56879"/>
    <w:rsid w:val="00D604B4"/>
    <w:rsid w:val="00D6090B"/>
    <w:rsid w:val="00D616AA"/>
    <w:rsid w:val="00D63F47"/>
    <w:rsid w:val="00D653F4"/>
    <w:rsid w:val="00D65CD4"/>
    <w:rsid w:val="00D66669"/>
    <w:rsid w:val="00D67DE8"/>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20A"/>
    <w:rsid w:val="00D95595"/>
    <w:rsid w:val="00DA0B19"/>
    <w:rsid w:val="00DA167F"/>
    <w:rsid w:val="00DA2A53"/>
    <w:rsid w:val="00DA36F6"/>
    <w:rsid w:val="00DA5472"/>
    <w:rsid w:val="00DA6BA8"/>
    <w:rsid w:val="00DA74C4"/>
    <w:rsid w:val="00DA78DA"/>
    <w:rsid w:val="00DB07D3"/>
    <w:rsid w:val="00DB18F8"/>
    <w:rsid w:val="00DB284B"/>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758"/>
    <w:rsid w:val="00DF0C58"/>
    <w:rsid w:val="00DF0ED5"/>
    <w:rsid w:val="00DF1552"/>
    <w:rsid w:val="00DF2853"/>
    <w:rsid w:val="00DF45C4"/>
    <w:rsid w:val="00DF5756"/>
    <w:rsid w:val="00DF5A59"/>
    <w:rsid w:val="00DF61B6"/>
    <w:rsid w:val="00E00F8F"/>
    <w:rsid w:val="00E015B6"/>
    <w:rsid w:val="00E02CE5"/>
    <w:rsid w:val="00E04668"/>
    <w:rsid w:val="00E07B4F"/>
    <w:rsid w:val="00E10049"/>
    <w:rsid w:val="00E105A9"/>
    <w:rsid w:val="00E10CCF"/>
    <w:rsid w:val="00E12382"/>
    <w:rsid w:val="00E12C10"/>
    <w:rsid w:val="00E13765"/>
    <w:rsid w:val="00E13A7A"/>
    <w:rsid w:val="00E14EEF"/>
    <w:rsid w:val="00E163BA"/>
    <w:rsid w:val="00E1711B"/>
    <w:rsid w:val="00E21494"/>
    <w:rsid w:val="00E21E60"/>
    <w:rsid w:val="00E2357A"/>
    <w:rsid w:val="00E24EC7"/>
    <w:rsid w:val="00E2542A"/>
    <w:rsid w:val="00E2573C"/>
    <w:rsid w:val="00E2761E"/>
    <w:rsid w:val="00E306B7"/>
    <w:rsid w:val="00E30F51"/>
    <w:rsid w:val="00E31F5D"/>
    <w:rsid w:val="00E34C86"/>
    <w:rsid w:val="00E376B2"/>
    <w:rsid w:val="00E37FEE"/>
    <w:rsid w:val="00E40A7D"/>
    <w:rsid w:val="00E4173D"/>
    <w:rsid w:val="00E42B27"/>
    <w:rsid w:val="00E437DF"/>
    <w:rsid w:val="00E461D9"/>
    <w:rsid w:val="00E47909"/>
    <w:rsid w:val="00E47EEE"/>
    <w:rsid w:val="00E5009F"/>
    <w:rsid w:val="00E50689"/>
    <w:rsid w:val="00E51102"/>
    <w:rsid w:val="00E52332"/>
    <w:rsid w:val="00E536CD"/>
    <w:rsid w:val="00E541DC"/>
    <w:rsid w:val="00E5538B"/>
    <w:rsid w:val="00E55598"/>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18E2"/>
    <w:rsid w:val="00EC1EFE"/>
    <w:rsid w:val="00EC22A3"/>
    <w:rsid w:val="00EC5B45"/>
    <w:rsid w:val="00EC5BF0"/>
    <w:rsid w:val="00EC67C8"/>
    <w:rsid w:val="00EC6ABE"/>
    <w:rsid w:val="00EC7871"/>
    <w:rsid w:val="00EC7BFD"/>
    <w:rsid w:val="00ED04C5"/>
    <w:rsid w:val="00ED124A"/>
    <w:rsid w:val="00ED2D6D"/>
    <w:rsid w:val="00ED313A"/>
    <w:rsid w:val="00ED5808"/>
    <w:rsid w:val="00ED5F6D"/>
    <w:rsid w:val="00ED66EC"/>
    <w:rsid w:val="00EE0677"/>
    <w:rsid w:val="00EE09C8"/>
    <w:rsid w:val="00EE3C72"/>
    <w:rsid w:val="00EE5E4B"/>
    <w:rsid w:val="00EF0FE1"/>
    <w:rsid w:val="00EF156D"/>
    <w:rsid w:val="00EF1941"/>
    <w:rsid w:val="00EF1FF1"/>
    <w:rsid w:val="00EF24DB"/>
    <w:rsid w:val="00EF3AB3"/>
    <w:rsid w:val="00EF3D08"/>
    <w:rsid w:val="00EF4C06"/>
    <w:rsid w:val="00EF4C36"/>
    <w:rsid w:val="00EF5200"/>
    <w:rsid w:val="00EF586B"/>
    <w:rsid w:val="00EF6E8D"/>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27BB5"/>
    <w:rsid w:val="00F31F42"/>
    <w:rsid w:val="00F32FD0"/>
    <w:rsid w:val="00F33954"/>
    <w:rsid w:val="00F33DCE"/>
    <w:rsid w:val="00F34A69"/>
    <w:rsid w:val="00F357BF"/>
    <w:rsid w:val="00F35975"/>
    <w:rsid w:val="00F361AD"/>
    <w:rsid w:val="00F3635C"/>
    <w:rsid w:val="00F36C8E"/>
    <w:rsid w:val="00F3781B"/>
    <w:rsid w:val="00F37A42"/>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669"/>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88D"/>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1BB4"/>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653"/>
    <w:rsid w:val="00FD37F5"/>
    <w:rsid w:val="00FD4213"/>
    <w:rsid w:val="00FD45D4"/>
    <w:rsid w:val="00FD4F53"/>
    <w:rsid w:val="00FD5F86"/>
    <w:rsid w:val="00FE0E97"/>
    <w:rsid w:val="00FE1536"/>
    <w:rsid w:val="00FE1956"/>
    <w:rsid w:val="00FE1AF1"/>
    <w:rsid w:val="00FE1B2D"/>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77FC1D"/>
  <w15:chartTrackingRefBased/>
  <w15:docId w15:val="{8ECD466E-431C-45AE-A1F4-645A6B12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2">
    <w:name w:val="heading 2"/>
    <w:basedOn w:val="Normal"/>
    <w:next w:val="Normal"/>
    <w:link w:val="Heading2Char"/>
    <w:unhideWhenUsed/>
    <w:qFormat/>
    <w:rsid w:val="00EF0F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EF0FE1"/>
    <w:pPr>
      <w:keepNext/>
      <w:keepLines/>
      <w:spacing w:before="200"/>
      <w:ind w:left="864" w:hanging="864"/>
      <w:outlineLvl w:val="3"/>
    </w:pPr>
    <w:rPr>
      <w:rFonts w:asciiTheme="majorHAnsi" w:eastAsiaTheme="majorEastAsia" w:hAnsiTheme="majorHAnsi" w:cstheme="majorBidi"/>
      <w:b/>
      <w:bCs/>
      <w:i/>
      <w:iCs/>
      <w:color w:val="5B9BD5" w:themeColor="accent1"/>
      <w:lang w:eastAsia="en-GB"/>
    </w:rPr>
  </w:style>
  <w:style w:type="paragraph" w:styleId="Heading5">
    <w:name w:val="heading 5"/>
    <w:basedOn w:val="Normal"/>
    <w:next w:val="Normal"/>
    <w:link w:val="Heading5Char"/>
    <w:semiHidden/>
    <w:unhideWhenUsed/>
    <w:qFormat/>
    <w:rsid w:val="00EF0FE1"/>
    <w:pPr>
      <w:keepNext/>
      <w:keepLines/>
      <w:spacing w:before="200"/>
      <w:ind w:left="1008" w:hanging="1008"/>
      <w:outlineLvl w:val="4"/>
    </w:pPr>
    <w:rPr>
      <w:rFonts w:asciiTheme="majorHAnsi" w:eastAsiaTheme="majorEastAsia" w:hAnsiTheme="majorHAnsi" w:cstheme="majorBidi"/>
      <w:color w:val="1F4D78" w:themeColor="accent1" w:themeShade="7F"/>
      <w:lang w:eastAsia="en-GB"/>
    </w:rPr>
  </w:style>
  <w:style w:type="paragraph" w:styleId="Heading6">
    <w:name w:val="heading 6"/>
    <w:basedOn w:val="Normal"/>
    <w:next w:val="Normal"/>
    <w:link w:val="Heading6Char"/>
    <w:semiHidden/>
    <w:unhideWhenUsed/>
    <w:qFormat/>
    <w:rsid w:val="00EF0FE1"/>
    <w:pPr>
      <w:keepNext/>
      <w:keepLines/>
      <w:spacing w:before="200"/>
      <w:ind w:left="1152" w:hanging="1152"/>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semiHidden/>
    <w:unhideWhenUsed/>
    <w:qFormat/>
    <w:rsid w:val="00EF0FE1"/>
    <w:pPr>
      <w:keepNext/>
      <w:keepLines/>
      <w:spacing w:before="200"/>
      <w:ind w:left="1296" w:hanging="1296"/>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semiHidden/>
    <w:unhideWhenUsed/>
    <w:qFormat/>
    <w:rsid w:val="00EF0FE1"/>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EF0FE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iPriority w:val="99"/>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uiPriority w:val="22"/>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uiPriority w:val="99"/>
    <w:rsid w:val="004B357C"/>
    <w:rPr>
      <w:rFonts w:ascii="Tahoma" w:hAnsi="Tahoma" w:cs="Tahoma"/>
      <w:sz w:val="16"/>
      <w:szCs w:val="16"/>
    </w:rPr>
  </w:style>
  <w:style w:type="character" w:customStyle="1" w:styleId="BalloonTextChar">
    <w:name w:val="Balloon Text Char"/>
    <w:link w:val="BalloonText"/>
    <w:uiPriority w:val="99"/>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uiPriority w:val="99"/>
    <w:rsid w:val="009D5628"/>
    <w:rPr>
      <w:sz w:val="16"/>
      <w:szCs w:val="16"/>
    </w:rPr>
  </w:style>
  <w:style w:type="paragraph" w:styleId="CommentText">
    <w:name w:val="annotation text"/>
    <w:basedOn w:val="Normal"/>
    <w:link w:val="CommentTextChar"/>
    <w:rsid w:val="009D5628"/>
    <w:rPr>
      <w:sz w:val="20"/>
      <w:szCs w:val="20"/>
    </w:rPr>
  </w:style>
  <w:style w:type="character" w:customStyle="1" w:styleId="CommentTextChar">
    <w:name w:val="Comment Text Char"/>
    <w:basedOn w:val="DefaultParagraphFont"/>
    <w:link w:val="CommentText"/>
    <w:rsid w:val="009D5628"/>
    <w:rPr>
      <w:rFonts w:ascii="Arial" w:hAnsi="Arial" w:cs="Arial"/>
      <w:lang w:eastAsia="en-US"/>
    </w:rPr>
  </w:style>
  <w:style w:type="paragraph" w:styleId="CommentSubject">
    <w:name w:val="annotation subject"/>
    <w:basedOn w:val="CommentText"/>
    <w:next w:val="CommentText"/>
    <w:link w:val="CommentSubjectChar"/>
    <w:rsid w:val="009D5628"/>
    <w:rPr>
      <w:b/>
      <w:bCs/>
    </w:rPr>
  </w:style>
  <w:style w:type="character" w:customStyle="1" w:styleId="CommentSubjectChar">
    <w:name w:val="Comment Subject Char"/>
    <w:basedOn w:val="CommentTextChar"/>
    <w:link w:val="CommentSubject"/>
    <w:rsid w:val="009D5628"/>
    <w:rPr>
      <w:rFonts w:ascii="Arial" w:hAnsi="Arial" w:cs="Arial"/>
      <w:b/>
      <w:bCs/>
      <w:lang w:eastAsia="en-US"/>
    </w:rPr>
  </w:style>
  <w:style w:type="character" w:customStyle="1" w:styleId="Heading2Char">
    <w:name w:val="Heading 2 Char"/>
    <w:basedOn w:val="DefaultParagraphFont"/>
    <w:link w:val="Heading2"/>
    <w:rsid w:val="00EF0FE1"/>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EF0FE1"/>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EF0FE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EF0FE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EF0FE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F0F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F0FE1"/>
    <w:rPr>
      <w:rFonts w:asciiTheme="majorHAnsi" w:eastAsiaTheme="majorEastAsia" w:hAnsiTheme="majorHAnsi" w:cstheme="majorBidi"/>
      <w:i/>
      <w:iCs/>
      <w:color w:val="404040" w:themeColor="text1" w:themeTint="BF"/>
    </w:rPr>
  </w:style>
  <w:style w:type="character" w:customStyle="1" w:styleId="Heading3Char">
    <w:name w:val="Heading 3 Char"/>
    <w:link w:val="Heading3"/>
    <w:rsid w:val="00EF0FE1"/>
    <w:rPr>
      <w:rFonts w:ascii="Arial" w:hAnsi="Arial" w:cs="Arial"/>
      <w:b/>
      <w:bCs/>
      <w:sz w:val="26"/>
      <w:szCs w:val="26"/>
      <w:lang w:eastAsia="en-US"/>
    </w:rPr>
  </w:style>
  <w:style w:type="character" w:customStyle="1" w:styleId="FooterChar">
    <w:name w:val="Footer Char"/>
    <w:link w:val="Footer"/>
    <w:uiPriority w:val="99"/>
    <w:rsid w:val="00EF0FE1"/>
    <w:rPr>
      <w:rFonts w:ascii="Arial" w:hAnsi="Arial" w:cs="Arial"/>
      <w:sz w:val="24"/>
      <w:szCs w:val="24"/>
      <w:lang w:eastAsia="en-US"/>
    </w:rPr>
  </w:style>
  <w:style w:type="paragraph" w:styleId="NormalWeb">
    <w:name w:val="Normal (Web)"/>
    <w:basedOn w:val="Normal"/>
    <w:link w:val="NormalWebChar"/>
    <w:rsid w:val="00EF0FE1"/>
    <w:pPr>
      <w:spacing w:before="100" w:beforeAutospacing="1" w:after="100" w:afterAutospacing="1"/>
    </w:pPr>
    <w:rPr>
      <w:rFonts w:ascii="Times New Roman" w:hAnsi="Times New Roman" w:cs="Times New Roman"/>
    </w:rPr>
  </w:style>
  <w:style w:type="character" w:customStyle="1" w:styleId="NormalWebChar">
    <w:name w:val="Normal (Web) Char"/>
    <w:link w:val="NormalWeb"/>
    <w:rsid w:val="00EF0FE1"/>
    <w:rPr>
      <w:sz w:val="24"/>
      <w:szCs w:val="24"/>
      <w:lang w:eastAsia="en-US"/>
    </w:rPr>
  </w:style>
  <w:style w:type="paragraph" w:styleId="BodyText">
    <w:name w:val="Body Text"/>
    <w:basedOn w:val="Normal"/>
    <w:link w:val="BodyTextChar"/>
    <w:rsid w:val="00EF0FE1"/>
    <w:pPr>
      <w:jc w:val="both"/>
    </w:pPr>
    <w:rPr>
      <w:rFonts w:cs="Times New Roman"/>
      <w:sz w:val="22"/>
      <w:szCs w:val="22"/>
    </w:rPr>
  </w:style>
  <w:style w:type="character" w:customStyle="1" w:styleId="BodyTextChar">
    <w:name w:val="Body Text Char"/>
    <w:basedOn w:val="DefaultParagraphFont"/>
    <w:link w:val="BodyText"/>
    <w:rsid w:val="00EF0FE1"/>
    <w:rPr>
      <w:rFonts w:ascii="Arial" w:hAnsi="Arial"/>
      <w:sz w:val="22"/>
      <w:szCs w:val="22"/>
      <w:lang w:eastAsia="en-US"/>
    </w:rPr>
  </w:style>
  <w:style w:type="paragraph" w:customStyle="1" w:styleId="p25">
    <w:name w:val="p25"/>
    <w:basedOn w:val="Normal"/>
    <w:rsid w:val="00EF0FE1"/>
    <w:pPr>
      <w:tabs>
        <w:tab w:val="left" w:pos="720"/>
      </w:tabs>
      <w:spacing w:line="280" w:lineRule="atLeast"/>
      <w:jc w:val="both"/>
    </w:pPr>
    <w:rPr>
      <w:rFonts w:ascii="Times New Roman" w:hAnsi="Times New Roman" w:cs="Times New Roman"/>
      <w:szCs w:val="22"/>
      <w:lang w:val="en-US"/>
    </w:rPr>
  </w:style>
  <w:style w:type="paragraph" w:styleId="BodyTextIndent">
    <w:name w:val="Body Text Indent"/>
    <w:basedOn w:val="Normal"/>
    <w:link w:val="BodyTextIndentChar"/>
    <w:rsid w:val="00EF0FE1"/>
    <w:pPr>
      <w:spacing w:after="120"/>
      <w:ind w:left="283"/>
    </w:pPr>
    <w:rPr>
      <w:rFonts w:cs="Times New Roman"/>
      <w:sz w:val="22"/>
      <w:szCs w:val="22"/>
    </w:rPr>
  </w:style>
  <w:style w:type="character" w:customStyle="1" w:styleId="BodyTextIndentChar">
    <w:name w:val="Body Text Indent Char"/>
    <w:basedOn w:val="DefaultParagraphFont"/>
    <w:link w:val="BodyTextIndent"/>
    <w:rsid w:val="00EF0FE1"/>
    <w:rPr>
      <w:rFonts w:ascii="Arial" w:hAnsi="Arial"/>
      <w:sz w:val="22"/>
      <w:szCs w:val="22"/>
      <w:lang w:eastAsia="en-US"/>
    </w:rPr>
  </w:style>
  <w:style w:type="paragraph" w:styleId="BodyText3">
    <w:name w:val="Body Text 3"/>
    <w:basedOn w:val="Normal"/>
    <w:link w:val="BodyText3Char"/>
    <w:rsid w:val="00EF0FE1"/>
    <w:pPr>
      <w:spacing w:after="120"/>
    </w:pPr>
    <w:rPr>
      <w:rFonts w:cs="Times New Roman"/>
      <w:sz w:val="16"/>
      <w:szCs w:val="16"/>
    </w:rPr>
  </w:style>
  <w:style w:type="character" w:customStyle="1" w:styleId="BodyText3Char">
    <w:name w:val="Body Text 3 Char"/>
    <w:basedOn w:val="DefaultParagraphFont"/>
    <w:link w:val="BodyText3"/>
    <w:rsid w:val="00EF0FE1"/>
    <w:rPr>
      <w:rFonts w:ascii="Arial" w:hAnsi="Arial"/>
      <w:sz w:val="16"/>
      <w:szCs w:val="16"/>
      <w:lang w:eastAsia="en-US"/>
    </w:rPr>
  </w:style>
  <w:style w:type="paragraph" w:styleId="BodyText2">
    <w:name w:val="Body Text 2"/>
    <w:basedOn w:val="Normal"/>
    <w:link w:val="BodyText2Char"/>
    <w:rsid w:val="00EF0FE1"/>
    <w:pPr>
      <w:spacing w:after="120" w:line="480" w:lineRule="auto"/>
    </w:pPr>
    <w:rPr>
      <w:rFonts w:cs="Times New Roman"/>
      <w:sz w:val="22"/>
      <w:szCs w:val="22"/>
    </w:rPr>
  </w:style>
  <w:style w:type="character" w:customStyle="1" w:styleId="BodyText2Char">
    <w:name w:val="Body Text 2 Char"/>
    <w:basedOn w:val="DefaultParagraphFont"/>
    <w:link w:val="BodyText2"/>
    <w:rsid w:val="00EF0FE1"/>
    <w:rPr>
      <w:rFonts w:ascii="Arial" w:hAnsi="Arial"/>
      <w:sz w:val="22"/>
      <w:szCs w:val="22"/>
      <w:lang w:eastAsia="en-US"/>
    </w:rPr>
  </w:style>
  <w:style w:type="paragraph" w:styleId="List2">
    <w:name w:val="List 2"/>
    <w:basedOn w:val="Normal"/>
    <w:rsid w:val="00EF0FE1"/>
    <w:pPr>
      <w:ind w:left="720" w:hanging="360"/>
    </w:pPr>
    <w:rPr>
      <w:rFonts w:ascii="Times New Roman" w:hAnsi="Times New Roman" w:cs="Times New Roman"/>
      <w:szCs w:val="22"/>
    </w:rPr>
  </w:style>
  <w:style w:type="paragraph" w:styleId="Subtitle">
    <w:name w:val="Subtitle"/>
    <w:basedOn w:val="Normal"/>
    <w:link w:val="SubtitleChar"/>
    <w:qFormat/>
    <w:rsid w:val="00EF0FE1"/>
    <w:pPr>
      <w:jc w:val="center"/>
    </w:pPr>
    <w:rPr>
      <w:rFonts w:ascii="Times New Roman" w:hAnsi="Times New Roman" w:cs="Times New Roman"/>
      <w:b/>
      <w:sz w:val="28"/>
      <w:szCs w:val="22"/>
    </w:rPr>
  </w:style>
  <w:style w:type="character" w:customStyle="1" w:styleId="SubtitleChar">
    <w:name w:val="Subtitle Char"/>
    <w:basedOn w:val="DefaultParagraphFont"/>
    <w:link w:val="Subtitle"/>
    <w:rsid w:val="00EF0FE1"/>
    <w:rPr>
      <w:b/>
      <w:sz w:val="28"/>
      <w:szCs w:val="22"/>
      <w:lang w:eastAsia="en-US"/>
    </w:rPr>
  </w:style>
  <w:style w:type="paragraph" w:styleId="ListContinue2">
    <w:name w:val="List Continue 2"/>
    <w:basedOn w:val="Normal"/>
    <w:rsid w:val="00EF0FE1"/>
    <w:pPr>
      <w:spacing w:after="120"/>
      <w:ind w:left="566"/>
    </w:pPr>
    <w:rPr>
      <w:lang w:eastAsia="en-GB"/>
    </w:rPr>
  </w:style>
  <w:style w:type="paragraph" w:customStyle="1" w:styleId="NormalWeb3">
    <w:name w:val="Normal (Web)3"/>
    <w:basedOn w:val="Normal"/>
    <w:rsid w:val="00EF0FE1"/>
    <w:pPr>
      <w:spacing w:after="100" w:afterAutospacing="1"/>
    </w:pPr>
    <w:rPr>
      <w:rFonts w:ascii="Times New Roman" w:hAnsi="Times New Roman" w:cs="Times New Roman"/>
      <w:lang w:eastAsia="en-GB"/>
    </w:rPr>
  </w:style>
  <w:style w:type="paragraph" w:customStyle="1" w:styleId="Bullets">
    <w:name w:val="Bullets"/>
    <w:basedOn w:val="Normal"/>
    <w:locked/>
    <w:rsid w:val="00EF0FE1"/>
    <w:pPr>
      <w:numPr>
        <w:numId w:val="3"/>
      </w:numPr>
      <w:jc w:val="both"/>
    </w:pPr>
    <w:rPr>
      <w:rFonts w:ascii="Verdana" w:hAnsi="Verdana" w:cs="Times New Roman"/>
      <w:sz w:val="22"/>
      <w:szCs w:val="20"/>
    </w:rPr>
  </w:style>
  <w:style w:type="character" w:styleId="HTMLCite">
    <w:name w:val="HTML Cite"/>
    <w:rsid w:val="00EF0FE1"/>
    <w:rPr>
      <w:i w:val="0"/>
      <w:iCs w:val="0"/>
      <w:color w:val="008000"/>
    </w:rPr>
  </w:style>
  <w:style w:type="paragraph" w:styleId="Title">
    <w:name w:val="Title"/>
    <w:basedOn w:val="Normal"/>
    <w:link w:val="TitleChar"/>
    <w:qFormat/>
    <w:rsid w:val="00EF0FE1"/>
    <w:pPr>
      <w:spacing w:before="100" w:beforeAutospacing="1" w:after="100" w:afterAutospacing="1"/>
    </w:pPr>
    <w:rPr>
      <w:b/>
      <w:color w:val="5B9BD5" w:themeColor="accent1"/>
      <w:sz w:val="32"/>
      <w:szCs w:val="32"/>
      <w:lang w:eastAsia="en-GB"/>
    </w:rPr>
  </w:style>
  <w:style w:type="character" w:customStyle="1" w:styleId="TitleChar">
    <w:name w:val="Title Char"/>
    <w:basedOn w:val="DefaultParagraphFont"/>
    <w:link w:val="Title"/>
    <w:rsid w:val="00EF0FE1"/>
    <w:rPr>
      <w:rFonts w:ascii="Arial" w:hAnsi="Arial" w:cs="Arial"/>
      <w:b/>
      <w:color w:val="5B9BD5" w:themeColor="accent1"/>
      <w:sz w:val="32"/>
      <w:szCs w:val="32"/>
    </w:rPr>
  </w:style>
  <w:style w:type="paragraph" w:styleId="TOCHeading">
    <w:name w:val="TOC Heading"/>
    <w:basedOn w:val="Heading1"/>
    <w:next w:val="Normal"/>
    <w:uiPriority w:val="39"/>
    <w:unhideWhenUsed/>
    <w:qFormat/>
    <w:rsid w:val="00EF0FE1"/>
    <w:pPr>
      <w:spacing w:before="480" w:after="0" w:line="276" w:lineRule="auto"/>
      <w:ind w:left="432" w:hanging="432"/>
      <w:outlineLvl w:val="9"/>
    </w:pPr>
    <w:rPr>
      <w:rFonts w:ascii="Cambria" w:eastAsia="MS Gothic" w:hAnsi="Cambria" w:cs="Times New Roman"/>
      <w:bCs/>
      <w:color w:val="365F91"/>
      <w:sz w:val="32"/>
      <w:lang w:val="en-US" w:eastAsia="ja-JP"/>
    </w:rPr>
  </w:style>
  <w:style w:type="paragraph" w:styleId="TOC2">
    <w:name w:val="toc 2"/>
    <w:basedOn w:val="Normal"/>
    <w:next w:val="Normal"/>
    <w:autoRedefine/>
    <w:uiPriority w:val="39"/>
    <w:unhideWhenUsed/>
    <w:qFormat/>
    <w:rsid w:val="00EF0FE1"/>
    <w:pPr>
      <w:spacing w:after="100" w:line="276" w:lineRule="auto"/>
      <w:ind w:left="220"/>
    </w:pPr>
    <w:rPr>
      <w:rFonts w:ascii="Calibri" w:eastAsia="MS Mincho" w:hAnsi="Calibri"/>
      <w:sz w:val="22"/>
      <w:szCs w:val="22"/>
      <w:lang w:val="en-US" w:eastAsia="ja-JP"/>
    </w:rPr>
  </w:style>
  <w:style w:type="paragraph" w:styleId="TOC1">
    <w:name w:val="toc 1"/>
    <w:basedOn w:val="Normal"/>
    <w:next w:val="Normal"/>
    <w:autoRedefine/>
    <w:uiPriority w:val="39"/>
    <w:unhideWhenUsed/>
    <w:qFormat/>
    <w:rsid w:val="00EF0FE1"/>
    <w:pPr>
      <w:spacing w:after="100" w:line="276" w:lineRule="auto"/>
    </w:pPr>
    <w:rPr>
      <w:rFonts w:ascii="Calibri" w:eastAsia="MS Mincho" w:hAnsi="Calibri"/>
      <w:sz w:val="22"/>
      <w:szCs w:val="22"/>
      <w:lang w:val="en-US" w:eastAsia="ja-JP"/>
    </w:rPr>
  </w:style>
  <w:style w:type="paragraph" w:styleId="TOC3">
    <w:name w:val="toc 3"/>
    <w:basedOn w:val="Normal"/>
    <w:next w:val="Normal"/>
    <w:autoRedefine/>
    <w:uiPriority w:val="39"/>
    <w:unhideWhenUsed/>
    <w:qFormat/>
    <w:rsid w:val="00EF0FE1"/>
    <w:pPr>
      <w:spacing w:after="100" w:line="276" w:lineRule="auto"/>
      <w:ind w:left="440"/>
    </w:pPr>
    <w:rPr>
      <w:rFonts w:ascii="Calibri" w:eastAsia="MS Mincho" w:hAnsi="Calibri"/>
      <w:sz w:val="22"/>
      <w:szCs w:val="22"/>
      <w:lang w:val="en-US" w:eastAsia="ja-JP"/>
    </w:rPr>
  </w:style>
  <w:style w:type="paragraph" w:styleId="TOC4">
    <w:name w:val="toc 4"/>
    <w:basedOn w:val="Normal"/>
    <w:next w:val="Normal"/>
    <w:autoRedefine/>
    <w:uiPriority w:val="39"/>
    <w:unhideWhenUsed/>
    <w:rsid w:val="00EF0FE1"/>
    <w:pPr>
      <w:spacing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EF0FE1"/>
    <w:pPr>
      <w:spacing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EF0FE1"/>
    <w:pPr>
      <w:spacing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EF0FE1"/>
    <w:pPr>
      <w:spacing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EF0FE1"/>
    <w:pPr>
      <w:spacing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EF0FE1"/>
    <w:pPr>
      <w:spacing w:after="100" w:line="276" w:lineRule="auto"/>
      <w:ind w:left="1760"/>
    </w:pPr>
    <w:rPr>
      <w:rFonts w:ascii="Calibri" w:hAnsi="Calibri" w:cs="Times New Roman"/>
      <w:sz w:val="22"/>
      <w:szCs w:val="22"/>
      <w:lang w:eastAsia="en-GB"/>
    </w:rPr>
  </w:style>
  <w:style w:type="paragraph" w:customStyle="1" w:styleId="JoHead3">
    <w:name w:val="Jo Head 3"/>
    <w:basedOn w:val="Heading3"/>
    <w:link w:val="JoHead3Char"/>
    <w:qFormat/>
    <w:rsid w:val="00EF0FE1"/>
    <w:pPr>
      <w:numPr>
        <w:ilvl w:val="2"/>
      </w:numPr>
      <w:spacing w:before="60"/>
    </w:pPr>
    <w:rPr>
      <w:sz w:val="24"/>
      <w:szCs w:val="24"/>
    </w:rPr>
  </w:style>
  <w:style w:type="character" w:customStyle="1" w:styleId="JoHead3Char">
    <w:name w:val="Jo Head 3 Char"/>
    <w:link w:val="JoHead3"/>
    <w:rsid w:val="00EF0FE1"/>
    <w:rPr>
      <w:rFonts w:ascii="Arial" w:hAnsi="Arial" w:cs="Arial"/>
      <w:b/>
      <w:bCs/>
      <w:sz w:val="24"/>
      <w:szCs w:val="24"/>
      <w:lang w:eastAsia="en-US"/>
    </w:rPr>
  </w:style>
  <w:style w:type="character" w:styleId="FollowedHyperlink">
    <w:name w:val="FollowedHyperlink"/>
    <w:basedOn w:val="DefaultParagraphFont"/>
    <w:rsid w:val="00EF0FE1"/>
    <w:rPr>
      <w:color w:val="954F72" w:themeColor="followedHyperlink"/>
      <w:u w:val="single"/>
    </w:rPr>
  </w:style>
  <w:style w:type="paragraph" w:styleId="FootnoteText">
    <w:name w:val="footnote text"/>
    <w:basedOn w:val="Normal"/>
    <w:link w:val="FootnoteTextChar"/>
    <w:unhideWhenUsed/>
    <w:rsid w:val="00EF0FE1"/>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EF0FE1"/>
  </w:style>
  <w:style w:type="character" w:styleId="FootnoteReference">
    <w:name w:val="footnote reference"/>
    <w:unhideWhenUsed/>
    <w:rsid w:val="00EF0FE1"/>
    <w:rPr>
      <w:vertAlign w:val="superscript"/>
    </w:rPr>
  </w:style>
  <w:style w:type="paragraph" w:styleId="PlainText">
    <w:name w:val="Plain Text"/>
    <w:basedOn w:val="Normal"/>
    <w:link w:val="PlainTextChar"/>
    <w:uiPriority w:val="99"/>
    <w:unhideWhenUsed/>
    <w:rsid w:val="00EF0FE1"/>
    <w:rPr>
      <w:rFonts w:eastAsiaTheme="minorHAnsi"/>
      <w:sz w:val="20"/>
      <w:szCs w:val="20"/>
    </w:rPr>
  </w:style>
  <w:style w:type="character" w:customStyle="1" w:styleId="PlainTextChar">
    <w:name w:val="Plain Text Char"/>
    <w:basedOn w:val="DefaultParagraphFont"/>
    <w:link w:val="PlainText"/>
    <w:uiPriority w:val="99"/>
    <w:rsid w:val="00EF0FE1"/>
    <w:rPr>
      <w:rFonts w:ascii="Arial" w:eastAsiaTheme="minorHAnsi" w:hAnsi="Arial" w:cs="Arial"/>
      <w:lang w:eastAsia="en-US"/>
    </w:rPr>
  </w:style>
  <w:style w:type="character" w:customStyle="1" w:styleId="apple-style-span">
    <w:name w:val="apple-style-span"/>
    <w:basedOn w:val="DefaultParagraphFont"/>
    <w:rsid w:val="00EF0FE1"/>
  </w:style>
  <w:style w:type="table" w:customStyle="1" w:styleId="TableGrid11">
    <w:name w:val="Table Grid11"/>
    <w:basedOn w:val="TableNormal"/>
    <w:next w:val="TableGrid"/>
    <w:rsid w:val="0021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D78"/>
    <w:rPr>
      <w:rFonts w:ascii="Arial" w:hAnsi="Arial" w:cs="Arial"/>
      <w:sz w:val="24"/>
      <w:szCs w:val="24"/>
    </w:rPr>
  </w:style>
  <w:style w:type="table" w:styleId="TableClassic2">
    <w:name w:val="Table Classic 2"/>
    <w:basedOn w:val="TableNormal"/>
    <w:unhideWhenUsed/>
    <w:rsid w:val="00211D78"/>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211D7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i">
    <w:name w:val="Vicki"/>
    <w:basedOn w:val="Normal"/>
    <w:rsid w:val="00211D78"/>
    <w:rPr>
      <w:rFonts w:cs="Times New Roman"/>
      <w:lang w:eastAsia="en-GB"/>
    </w:rPr>
  </w:style>
  <w:style w:type="paragraph" w:customStyle="1" w:styleId="CM64">
    <w:name w:val="CM64"/>
    <w:basedOn w:val="Normal"/>
    <w:next w:val="Normal"/>
    <w:rsid w:val="00211D78"/>
    <w:pPr>
      <w:autoSpaceDE w:val="0"/>
      <w:autoSpaceDN w:val="0"/>
      <w:adjustRightInd w:val="0"/>
      <w:spacing w:after="165"/>
    </w:pPr>
    <w:rPr>
      <w:rFonts w:ascii="DBDCK J+ Syntax" w:hAnsi="DBDCK J+ Syntax" w:cs="Times New Roman"/>
      <w:lang w:val="en-US"/>
    </w:rPr>
  </w:style>
  <w:style w:type="paragraph" w:customStyle="1" w:styleId="CM8">
    <w:name w:val="CM8"/>
    <w:basedOn w:val="Normal"/>
    <w:next w:val="Normal"/>
    <w:rsid w:val="00211D78"/>
    <w:pPr>
      <w:autoSpaceDE w:val="0"/>
      <w:autoSpaceDN w:val="0"/>
      <w:adjustRightInd w:val="0"/>
      <w:spacing w:line="320" w:lineRule="atLeast"/>
    </w:pPr>
    <w:rPr>
      <w:rFonts w:ascii="DBDCK J+ Syntax" w:hAnsi="DBDCK J+ Syntax" w:cs="Times New Roman"/>
      <w:lang w:val="en-US"/>
    </w:rPr>
  </w:style>
  <w:style w:type="table" w:customStyle="1" w:styleId="TableGrid13">
    <w:name w:val="Table Grid13"/>
    <w:basedOn w:val="TableNormal"/>
    <w:next w:val="TableGrid"/>
    <w:uiPriority w:val="39"/>
    <w:rsid w:val="000A1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11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033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3930">
      <w:bodyDiv w:val="1"/>
      <w:marLeft w:val="0"/>
      <w:marRight w:val="0"/>
      <w:marTop w:val="0"/>
      <w:marBottom w:val="0"/>
      <w:divBdr>
        <w:top w:val="none" w:sz="0" w:space="0" w:color="auto"/>
        <w:left w:val="none" w:sz="0" w:space="0" w:color="auto"/>
        <w:bottom w:val="none" w:sz="0" w:space="0" w:color="auto"/>
        <w:right w:val="none" w:sz="0" w:space="0" w:color="auto"/>
      </w:divBdr>
    </w:div>
    <w:div w:id="715012521">
      <w:bodyDiv w:val="1"/>
      <w:marLeft w:val="0"/>
      <w:marRight w:val="0"/>
      <w:marTop w:val="0"/>
      <w:marBottom w:val="0"/>
      <w:divBdr>
        <w:top w:val="none" w:sz="0" w:space="0" w:color="auto"/>
        <w:left w:val="none" w:sz="0" w:space="0" w:color="auto"/>
        <w:bottom w:val="none" w:sz="0" w:space="0" w:color="auto"/>
        <w:right w:val="none" w:sz="0" w:space="0" w:color="auto"/>
      </w:divBdr>
    </w:div>
    <w:div w:id="1395856845">
      <w:bodyDiv w:val="1"/>
      <w:marLeft w:val="0"/>
      <w:marRight w:val="0"/>
      <w:marTop w:val="0"/>
      <w:marBottom w:val="0"/>
      <w:divBdr>
        <w:top w:val="none" w:sz="0" w:space="0" w:color="auto"/>
        <w:left w:val="none" w:sz="0" w:space="0" w:color="auto"/>
        <w:bottom w:val="none" w:sz="0" w:space="0" w:color="auto"/>
        <w:right w:val="none" w:sz="0" w:space="0" w:color="auto"/>
      </w:divBdr>
    </w:div>
    <w:div w:id="1563367737">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995791291">
      <w:bodyDiv w:val="1"/>
      <w:marLeft w:val="0"/>
      <w:marRight w:val="0"/>
      <w:marTop w:val="0"/>
      <w:marBottom w:val="0"/>
      <w:divBdr>
        <w:top w:val="none" w:sz="0" w:space="0" w:color="auto"/>
        <w:left w:val="none" w:sz="0" w:space="0" w:color="auto"/>
        <w:bottom w:val="none" w:sz="0" w:space="0" w:color="auto"/>
        <w:right w:val="none" w:sz="0" w:space="0" w:color="auto"/>
      </w:divBdr>
    </w:div>
    <w:div w:id="20038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E3F1-CC47-4652-83CD-D1051273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Rebecca Twin</cp:lastModifiedBy>
  <cp:revision>8</cp:revision>
  <cp:lastPrinted>2019-05-10T12:02:00Z</cp:lastPrinted>
  <dcterms:created xsi:type="dcterms:W3CDTF">2019-05-16T10:37:00Z</dcterms:created>
  <dcterms:modified xsi:type="dcterms:W3CDTF">2019-05-21T10:38:00Z</dcterms:modified>
</cp:coreProperties>
</file>