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230" w:rsidRDefault="00F71230" w:rsidP="00F71230">
      <w:pPr>
        <w:spacing w:line="240" w:lineRule="auto"/>
        <w:jc w:val="center"/>
        <w:rPr>
          <w:rFonts w:cs="Arial"/>
          <w:b/>
          <w:sz w:val="24"/>
        </w:rPr>
      </w:pPr>
      <w:bookmarkStart w:id="0" w:name="_Toc424893992"/>
      <w:bookmarkStart w:id="1" w:name="_Toc424896271"/>
      <w:bookmarkStart w:id="2" w:name="_Toc431290606"/>
      <w:bookmarkStart w:id="3" w:name="_Toc432146302"/>
      <w:bookmarkStart w:id="4" w:name="_Toc432146390"/>
      <w:bookmarkStart w:id="5" w:name="_Toc432158487"/>
      <w:bookmarkStart w:id="6" w:name="_Toc440901931"/>
      <w:bookmarkStart w:id="7" w:name="_Toc445373701"/>
      <w:bookmarkStart w:id="8" w:name="_Toc450572663"/>
      <w:r>
        <w:rPr>
          <w:rFonts w:cs="Arial"/>
          <w:b/>
          <w:sz w:val="24"/>
        </w:rPr>
        <w:t>Performance and Resources Scrutiny Programme 2018/2019</w:t>
      </w:r>
    </w:p>
    <w:p w:rsidR="00F71230" w:rsidRDefault="00F71230" w:rsidP="00F71230">
      <w:pPr>
        <w:spacing w:line="240" w:lineRule="auto"/>
        <w:jc w:val="center"/>
        <w:rPr>
          <w:rFonts w:cs="Arial"/>
          <w:b/>
          <w:sz w:val="24"/>
        </w:rPr>
      </w:pPr>
    </w:p>
    <w:p w:rsidR="00F71230" w:rsidRDefault="00F71230" w:rsidP="00F71230">
      <w:pPr>
        <w:spacing w:line="240" w:lineRule="auto"/>
        <w:jc w:val="center"/>
        <w:rPr>
          <w:rFonts w:cs="Arial"/>
          <w:b/>
          <w:sz w:val="24"/>
        </w:rPr>
      </w:pPr>
      <w:r>
        <w:rPr>
          <w:rFonts w:cs="Arial"/>
          <w:b/>
          <w:sz w:val="24"/>
        </w:rPr>
        <w:t>Report to: the Office of the Police, Fire and Crime Commissioner for Essex</w:t>
      </w:r>
    </w:p>
    <w:p w:rsidR="00F71230" w:rsidRDefault="00F71230" w:rsidP="00F71230">
      <w:pPr>
        <w:spacing w:line="240" w:lineRule="auto"/>
        <w:jc w:val="center"/>
        <w:rPr>
          <w:rFonts w:cs="Arial"/>
          <w:b/>
          <w:sz w:val="24"/>
        </w:rPr>
      </w:pPr>
    </w:p>
    <w:p w:rsidR="00F71230" w:rsidRDefault="00F71230" w:rsidP="00F71230">
      <w:pPr>
        <w:spacing w:line="240" w:lineRule="auto"/>
        <w:jc w:val="center"/>
        <w:rPr>
          <w:rFonts w:cs="Arial"/>
          <w:b/>
          <w:sz w:val="24"/>
        </w:rPr>
      </w:pPr>
    </w:p>
    <w:tbl>
      <w:tblPr>
        <w:tblStyle w:val="TableGrid"/>
        <w:tblW w:w="0" w:type="auto"/>
        <w:tblInd w:w="817" w:type="dxa"/>
        <w:tblLook w:val="04A0" w:firstRow="1" w:lastRow="0" w:firstColumn="1" w:lastColumn="0" w:noHBand="0" w:noVBand="1"/>
      </w:tblPr>
      <w:tblGrid>
        <w:gridCol w:w="3260"/>
        <w:gridCol w:w="5103"/>
      </w:tblGrid>
      <w:tr w:rsidR="00F71230" w:rsidTr="00F71230">
        <w:tc>
          <w:tcPr>
            <w:tcW w:w="3260" w:type="dxa"/>
            <w:tcBorders>
              <w:top w:val="single" w:sz="4" w:space="0" w:color="auto"/>
              <w:left w:val="single" w:sz="4" w:space="0" w:color="auto"/>
              <w:bottom w:val="single" w:sz="4" w:space="0" w:color="auto"/>
              <w:right w:val="single" w:sz="4" w:space="0" w:color="auto"/>
            </w:tcBorders>
            <w:hideMark/>
          </w:tcPr>
          <w:p w:rsidR="00F71230" w:rsidRDefault="00F71230">
            <w:pPr>
              <w:spacing w:line="480" w:lineRule="auto"/>
              <w:rPr>
                <w:rFonts w:cs="Arial"/>
                <w:b/>
                <w:sz w:val="24"/>
              </w:rPr>
            </w:pPr>
            <w:r>
              <w:rPr>
                <w:rFonts w:cs="Arial"/>
                <w:b/>
                <w:sz w:val="24"/>
              </w:rPr>
              <w:t>Title of Report:</w:t>
            </w:r>
          </w:p>
        </w:tc>
        <w:tc>
          <w:tcPr>
            <w:tcW w:w="5103" w:type="dxa"/>
            <w:tcBorders>
              <w:top w:val="single" w:sz="4" w:space="0" w:color="auto"/>
              <w:left w:val="single" w:sz="4" w:space="0" w:color="auto"/>
              <w:bottom w:val="single" w:sz="4" w:space="0" w:color="auto"/>
              <w:right w:val="single" w:sz="4" w:space="0" w:color="auto"/>
            </w:tcBorders>
            <w:hideMark/>
          </w:tcPr>
          <w:p w:rsidR="00F71230" w:rsidRDefault="006C7262">
            <w:pPr>
              <w:rPr>
                <w:rFonts w:cs="Arial"/>
                <w:b/>
                <w:szCs w:val="22"/>
              </w:rPr>
            </w:pPr>
            <w:r>
              <w:rPr>
                <w:rFonts w:cs="Arial"/>
                <w:b/>
              </w:rPr>
              <w:t>2018/19 Month 11</w:t>
            </w:r>
            <w:r w:rsidR="00F71230">
              <w:rPr>
                <w:rFonts w:cs="Arial"/>
                <w:b/>
              </w:rPr>
              <w:t xml:space="preserve"> Financial Monitoring Report</w:t>
            </w:r>
          </w:p>
        </w:tc>
      </w:tr>
      <w:tr w:rsidR="00F71230" w:rsidTr="00F71230">
        <w:tc>
          <w:tcPr>
            <w:tcW w:w="3260" w:type="dxa"/>
            <w:tcBorders>
              <w:top w:val="single" w:sz="4" w:space="0" w:color="auto"/>
              <w:left w:val="single" w:sz="4" w:space="0" w:color="auto"/>
              <w:bottom w:val="single" w:sz="4" w:space="0" w:color="auto"/>
              <w:right w:val="single" w:sz="4" w:space="0" w:color="auto"/>
            </w:tcBorders>
            <w:hideMark/>
          </w:tcPr>
          <w:p w:rsidR="00F71230" w:rsidRDefault="00F71230">
            <w:pPr>
              <w:spacing w:line="480" w:lineRule="auto"/>
              <w:rPr>
                <w:rFonts w:cs="Arial"/>
                <w:b/>
                <w:sz w:val="24"/>
              </w:rPr>
            </w:pPr>
            <w:r>
              <w:rPr>
                <w:rFonts w:cs="Arial"/>
                <w:b/>
                <w:color w:val="0070C0"/>
                <w:sz w:val="24"/>
              </w:rPr>
              <w:t>Agenda Number:</w:t>
            </w:r>
          </w:p>
        </w:tc>
        <w:tc>
          <w:tcPr>
            <w:tcW w:w="5103" w:type="dxa"/>
            <w:tcBorders>
              <w:top w:val="single" w:sz="4" w:space="0" w:color="auto"/>
              <w:left w:val="single" w:sz="4" w:space="0" w:color="auto"/>
              <w:bottom w:val="single" w:sz="4" w:space="0" w:color="auto"/>
              <w:right w:val="single" w:sz="4" w:space="0" w:color="auto"/>
            </w:tcBorders>
            <w:hideMark/>
          </w:tcPr>
          <w:p w:rsidR="00F71230" w:rsidRDefault="009C4938" w:rsidP="00AB423D">
            <w:pPr>
              <w:spacing w:line="480" w:lineRule="auto"/>
              <w:rPr>
                <w:rFonts w:cs="Arial"/>
                <w:b/>
                <w:sz w:val="24"/>
              </w:rPr>
            </w:pPr>
            <w:r>
              <w:rPr>
                <w:rFonts w:cs="Arial"/>
                <w:b/>
                <w:color w:val="0070C0"/>
                <w:sz w:val="24"/>
              </w:rPr>
              <w:t>1</w:t>
            </w:r>
            <w:r w:rsidR="00AB423D">
              <w:rPr>
                <w:rFonts w:cs="Arial"/>
                <w:b/>
                <w:color w:val="0070C0"/>
                <w:sz w:val="24"/>
              </w:rPr>
              <w:t>0</w:t>
            </w:r>
            <w:bookmarkStart w:id="9" w:name="_GoBack"/>
            <w:bookmarkEnd w:id="9"/>
            <w:r>
              <w:rPr>
                <w:rFonts w:cs="Arial"/>
                <w:b/>
                <w:color w:val="0070C0"/>
                <w:sz w:val="24"/>
              </w:rPr>
              <w:t>. ii</w:t>
            </w:r>
          </w:p>
        </w:tc>
      </w:tr>
      <w:tr w:rsidR="00F71230" w:rsidTr="00F71230">
        <w:tc>
          <w:tcPr>
            <w:tcW w:w="3260" w:type="dxa"/>
            <w:tcBorders>
              <w:top w:val="single" w:sz="4" w:space="0" w:color="auto"/>
              <w:left w:val="single" w:sz="4" w:space="0" w:color="auto"/>
              <w:bottom w:val="single" w:sz="4" w:space="0" w:color="auto"/>
              <w:right w:val="single" w:sz="4" w:space="0" w:color="auto"/>
            </w:tcBorders>
            <w:hideMark/>
          </w:tcPr>
          <w:p w:rsidR="00F71230" w:rsidRDefault="00F71230">
            <w:pPr>
              <w:spacing w:line="480" w:lineRule="auto"/>
              <w:rPr>
                <w:rFonts w:cs="Arial"/>
                <w:b/>
                <w:sz w:val="24"/>
              </w:rPr>
            </w:pPr>
            <w:r>
              <w:rPr>
                <w:rFonts w:cs="Arial"/>
                <w:b/>
                <w:sz w:val="24"/>
              </w:rPr>
              <w:t>Chief Officer</w:t>
            </w:r>
          </w:p>
        </w:tc>
        <w:tc>
          <w:tcPr>
            <w:tcW w:w="5103" w:type="dxa"/>
            <w:tcBorders>
              <w:top w:val="single" w:sz="4" w:space="0" w:color="auto"/>
              <w:left w:val="single" w:sz="4" w:space="0" w:color="auto"/>
              <w:bottom w:val="single" w:sz="4" w:space="0" w:color="auto"/>
              <w:right w:val="single" w:sz="4" w:space="0" w:color="auto"/>
            </w:tcBorders>
            <w:hideMark/>
          </w:tcPr>
          <w:p w:rsidR="00F71230" w:rsidRDefault="00F71230">
            <w:pPr>
              <w:rPr>
                <w:rFonts w:cs="Arial"/>
                <w:b/>
                <w:sz w:val="24"/>
              </w:rPr>
            </w:pPr>
            <w:r>
              <w:rPr>
                <w:rFonts w:cs="Arial"/>
                <w:b/>
                <w:sz w:val="24"/>
              </w:rPr>
              <w:t xml:space="preserve">Mark </w:t>
            </w:r>
            <w:proofErr w:type="spellStart"/>
            <w:r>
              <w:rPr>
                <w:b/>
                <w:sz w:val="24"/>
              </w:rPr>
              <w:t>Gilmartin</w:t>
            </w:r>
            <w:proofErr w:type="spellEnd"/>
            <w:r>
              <w:rPr>
                <w:rFonts w:cs="Arial"/>
                <w:b/>
                <w:sz w:val="24"/>
              </w:rPr>
              <w:t>, Director of Essex and Kent Support Services</w:t>
            </w:r>
          </w:p>
        </w:tc>
      </w:tr>
      <w:tr w:rsidR="00F71230" w:rsidTr="00F71230">
        <w:tc>
          <w:tcPr>
            <w:tcW w:w="3260" w:type="dxa"/>
            <w:tcBorders>
              <w:top w:val="single" w:sz="4" w:space="0" w:color="auto"/>
              <w:left w:val="single" w:sz="4" w:space="0" w:color="auto"/>
              <w:bottom w:val="single" w:sz="4" w:space="0" w:color="auto"/>
              <w:right w:val="single" w:sz="4" w:space="0" w:color="auto"/>
            </w:tcBorders>
            <w:hideMark/>
          </w:tcPr>
          <w:p w:rsidR="00F71230" w:rsidRDefault="00F71230">
            <w:pPr>
              <w:spacing w:line="480" w:lineRule="auto"/>
              <w:rPr>
                <w:rFonts w:cs="Arial"/>
                <w:b/>
                <w:sz w:val="24"/>
              </w:rPr>
            </w:pPr>
            <w:r>
              <w:rPr>
                <w:rFonts w:cs="Arial"/>
                <w:b/>
                <w:sz w:val="24"/>
              </w:rPr>
              <w:t>Date Paper was Written</w:t>
            </w:r>
          </w:p>
        </w:tc>
        <w:tc>
          <w:tcPr>
            <w:tcW w:w="5103" w:type="dxa"/>
            <w:tcBorders>
              <w:top w:val="single" w:sz="4" w:space="0" w:color="auto"/>
              <w:left w:val="single" w:sz="4" w:space="0" w:color="auto"/>
              <w:bottom w:val="single" w:sz="4" w:space="0" w:color="auto"/>
              <w:right w:val="single" w:sz="4" w:space="0" w:color="auto"/>
            </w:tcBorders>
            <w:hideMark/>
          </w:tcPr>
          <w:p w:rsidR="00F71230" w:rsidRDefault="00F71230" w:rsidP="006C7262">
            <w:pPr>
              <w:spacing w:line="480" w:lineRule="auto"/>
              <w:rPr>
                <w:rFonts w:cs="Arial"/>
                <w:b/>
                <w:sz w:val="24"/>
              </w:rPr>
            </w:pPr>
            <w:r>
              <w:rPr>
                <w:rFonts w:cs="Arial"/>
                <w:b/>
                <w:sz w:val="24"/>
              </w:rPr>
              <w:t>2</w:t>
            </w:r>
            <w:r w:rsidR="006C7262">
              <w:rPr>
                <w:rFonts w:cs="Arial"/>
                <w:b/>
                <w:sz w:val="24"/>
              </w:rPr>
              <w:t>1</w:t>
            </w:r>
            <w:r w:rsidR="006C7262" w:rsidRPr="006C7262">
              <w:rPr>
                <w:rFonts w:cs="Arial"/>
                <w:b/>
                <w:sz w:val="24"/>
                <w:vertAlign w:val="superscript"/>
              </w:rPr>
              <w:t>st</w:t>
            </w:r>
            <w:r w:rsidR="006C7262">
              <w:rPr>
                <w:rFonts w:cs="Arial"/>
                <w:b/>
                <w:sz w:val="24"/>
              </w:rPr>
              <w:t xml:space="preserve"> March</w:t>
            </w:r>
            <w:r>
              <w:rPr>
                <w:rFonts w:cs="Arial"/>
                <w:b/>
                <w:sz w:val="24"/>
              </w:rPr>
              <w:t xml:space="preserve"> 2019</w:t>
            </w:r>
          </w:p>
        </w:tc>
      </w:tr>
      <w:tr w:rsidR="00F71230" w:rsidTr="00F71230">
        <w:tc>
          <w:tcPr>
            <w:tcW w:w="3260" w:type="dxa"/>
            <w:tcBorders>
              <w:top w:val="single" w:sz="4" w:space="0" w:color="auto"/>
              <w:left w:val="single" w:sz="4" w:space="0" w:color="auto"/>
              <w:bottom w:val="single" w:sz="4" w:space="0" w:color="auto"/>
              <w:right w:val="single" w:sz="4" w:space="0" w:color="auto"/>
            </w:tcBorders>
            <w:hideMark/>
          </w:tcPr>
          <w:p w:rsidR="00F71230" w:rsidRDefault="00F71230">
            <w:pPr>
              <w:spacing w:line="480" w:lineRule="auto"/>
              <w:rPr>
                <w:rFonts w:cs="Arial"/>
                <w:b/>
                <w:sz w:val="24"/>
              </w:rPr>
            </w:pPr>
            <w:r>
              <w:rPr>
                <w:rFonts w:cs="Arial"/>
                <w:b/>
                <w:sz w:val="24"/>
              </w:rPr>
              <w:t>Version Number</w:t>
            </w:r>
          </w:p>
        </w:tc>
        <w:tc>
          <w:tcPr>
            <w:tcW w:w="5103" w:type="dxa"/>
            <w:tcBorders>
              <w:top w:val="single" w:sz="4" w:space="0" w:color="auto"/>
              <w:left w:val="single" w:sz="4" w:space="0" w:color="auto"/>
              <w:bottom w:val="single" w:sz="4" w:space="0" w:color="auto"/>
              <w:right w:val="single" w:sz="4" w:space="0" w:color="auto"/>
            </w:tcBorders>
            <w:hideMark/>
          </w:tcPr>
          <w:p w:rsidR="00F71230" w:rsidRDefault="00F71230">
            <w:pPr>
              <w:spacing w:line="480" w:lineRule="auto"/>
              <w:rPr>
                <w:rFonts w:cs="Arial"/>
                <w:b/>
                <w:sz w:val="24"/>
              </w:rPr>
            </w:pPr>
            <w:r>
              <w:rPr>
                <w:rFonts w:cs="Arial"/>
                <w:b/>
                <w:sz w:val="24"/>
              </w:rPr>
              <w:t>Version 1</w:t>
            </w:r>
          </w:p>
        </w:tc>
      </w:tr>
      <w:tr w:rsidR="00F71230" w:rsidTr="00F71230">
        <w:tc>
          <w:tcPr>
            <w:tcW w:w="3260" w:type="dxa"/>
            <w:tcBorders>
              <w:top w:val="single" w:sz="4" w:space="0" w:color="auto"/>
              <w:left w:val="single" w:sz="4" w:space="0" w:color="auto"/>
              <w:bottom w:val="single" w:sz="4" w:space="0" w:color="auto"/>
              <w:right w:val="single" w:sz="4" w:space="0" w:color="auto"/>
            </w:tcBorders>
            <w:hideMark/>
          </w:tcPr>
          <w:p w:rsidR="00F71230" w:rsidRDefault="00F71230">
            <w:pPr>
              <w:spacing w:line="480" w:lineRule="auto"/>
              <w:rPr>
                <w:rFonts w:cs="Arial"/>
                <w:b/>
                <w:sz w:val="24"/>
              </w:rPr>
            </w:pPr>
            <w:r>
              <w:rPr>
                <w:rFonts w:cs="Arial"/>
                <w:b/>
                <w:sz w:val="24"/>
              </w:rPr>
              <w:t xml:space="preserve">Report from: </w:t>
            </w:r>
          </w:p>
        </w:tc>
        <w:tc>
          <w:tcPr>
            <w:tcW w:w="5103" w:type="dxa"/>
            <w:tcBorders>
              <w:top w:val="single" w:sz="4" w:space="0" w:color="auto"/>
              <w:left w:val="single" w:sz="4" w:space="0" w:color="auto"/>
              <w:bottom w:val="single" w:sz="4" w:space="0" w:color="auto"/>
              <w:right w:val="single" w:sz="4" w:space="0" w:color="auto"/>
            </w:tcBorders>
            <w:hideMark/>
          </w:tcPr>
          <w:p w:rsidR="00F71230" w:rsidRDefault="00F71230">
            <w:pPr>
              <w:spacing w:line="480" w:lineRule="auto"/>
              <w:rPr>
                <w:rFonts w:cs="Arial"/>
                <w:b/>
                <w:sz w:val="24"/>
              </w:rPr>
            </w:pPr>
            <w:r>
              <w:rPr>
                <w:rFonts w:cs="Arial"/>
                <w:b/>
                <w:sz w:val="24"/>
              </w:rPr>
              <w:t>Essex Police: Corporate Finance</w:t>
            </w:r>
          </w:p>
        </w:tc>
      </w:tr>
      <w:tr w:rsidR="00F71230" w:rsidTr="00F71230">
        <w:tc>
          <w:tcPr>
            <w:tcW w:w="3260" w:type="dxa"/>
            <w:tcBorders>
              <w:top w:val="single" w:sz="4" w:space="0" w:color="auto"/>
              <w:left w:val="single" w:sz="4" w:space="0" w:color="auto"/>
              <w:bottom w:val="single" w:sz="4" w:space="0" w:color="auto"/>
              <w:right w:val="single" w:sz="4" w:space="0" w:color="auto"/>
            </w:tcBorders>
            <w:hideMark/>
          </w:tcPr>
          <w:p w:rsidR="00F71230" w:rsidRDefault="00F71230">
            <w:pPr>
              <w:spacing w:line="480" w:lineRule="auto"/>
              <w:rPr>
                <w:rFonts w:cs="Arial"/>
                <w:b/>
                <w:sz w:val="24"/>
              </w:rPr>
            </w:pPr>
            <w:r>
              <w:rPr>
                <w:rFonts w:cs="Arial"/>
                <w:b/>
                <w:sz w:val="24"/>
              </w:rPr>
              <w:t>Date of Meeting:</w:t>
            </w:r>
          </w:p>
        </w:tc>
        <w:tc>
          <w:tcPr>
            <w:tcW w:w="5103" w:type="dxa"/>
            <w:tcBorders>
              <w:top w:val="single" w:sz="4" w:space="0" w:color="auto"/>
              <w:left w:val="single" w:sz="4" w:space="0" w:color="auto"/>
              <w:bottom w:val="single" w:sz="4" w:space="0" w:color="auto"/>
              <w:right w:val="single" w:sz="4" w:space="0" w:color="auto"/>
            </w:tcBorders>
            <w:hideMark/>
          </w:tcPr>
          <w:p w:rsidR="00F71230" w:rsidRDefault="006C7262" w:rsidP="006C7262">
            <w:pPr>
              <w:spacing w:line="480" w:lineRule="auto"/>
              <w:rPr>
                <w:rFonts w:cs="Arial"/>
                <w:b/>
                <w:sz w:val="24"/>
              </w:rPr>
            </w:pPr>
            <w:r>
              <w:rPr>
                <w:rFonts w:cs="Arial"/>
                <w:b/>
                <w:sz w:val="24"/>
              </w:rPr>
              <w:t>28</w:t>
            </w:r>
            <w:r w:rsidRPr="006C7262">
              <w:rPr>
                <w:rFonts w:cs="Arial"/>
                <w:b/>
                <w:sz w:val="24"/>
                <w:vertAlign w:val="superscript"/>
              </w:rPr>
              <w:t>th</w:t>
            </w:r>
            <w:r>
              <w:rPr>
                <w:rFonts w:cs="Arial"/>
                <w:b/>
                <w:sz w:val="24"/>
              </w:rPr>
              <w:t xml:space="preserve"> March</w:t>
            </w:r>
            <w:r w:rsidR="00F71230">
              <w:rPr>
                <w:rFonts w:cs="Arial"/>
                <w:b/>
                <w:sz w:val="24"/>
              </w:rPr>
              <w:t xml:space="preserve"> 2019</w:t>
            </w:r>
          </w:p>
        </w:tc>
      </w:tr>
      <w:tr w:rsidR="00F71230" w:rsidTr="00F71230">
        <w:tc>
          <w:tcPr>
            <w:tcW w:w="3260" w:type="dxa"/>
            <w:tcBorders>
              <w:top w:val="single" w:sz="4" w:space="0" w:color="auto"/>
              <w:left w:val="single" w:sz="4" w:space="0" w:color="auto"/>
              <w:bottom w:val="single" w:sz="4" w:space="0" w:color="auto"/>
              <w:right w:val="single" w:sz="4" w:space="0" w:color="auto"/>
            </w:tcBorders>
            <w:hideMark/>
          </w:tcPr>
          <w:p w:rsidR="00F71230" w:rsidRDefault="00F71230">
            <w:pPr>
              <w:rPr>
                <w:rFonts w:cs="Arial"/>
                <w:b/>
                <w:sz w:val="24"/>
              </w:rPr>
            </w:pPr>
            <w:r>
              <w:rPr>
                <w:rFonts w:cs="Arial"/>
                <w:b/>
                <w:sz w:val="24"/>
              </w:rPr>
              <w:t>Author on behalf of Chief Officer:</w:t>
            </w:r>
          </w:p>
        </w:tc>
        <w:tc>
          <w:tcPr>
            <w:tcW w:w="5103" w:type="dxa"/>
            <w:tcBorders>
              <w:top w:val="single" w:sz="4" w:space="0" w:color="auto"/>
              <w:left w:val="single" w:sz="4" w:space="0" w:color="auto"/>
              <w:bottom w:val="single" w:sz="4" w:space="0" w:color="auto"/>
              <w:right w:val="single" w:sz="4" w:space="0" w:color="auto"/>
            </w:tcBorders>
            <w:hideMark/>
          </w:tcPr>
          <w:p w:rsidR="00F71230" w:rsidRDefault="00F71230">
            <w:pPr>
              <w:rPr>
                <w:rFonts w:cs="Arial"/>
                <w:b/>
                <w:sz w:val="24"/>
              </w:rPr>
            </w:pPr>
            <w:r>
              <w:rPr>
                <w:rFonts w:cs="Arial"/>
                <w:b/>
                <w:sz w:val="24"/>
              </w:rPr>
              <w:t>Richard Jones, Head of Business Partnering and Management Accounting</w:t>
            </w:r>
          </w:p>
        </w:tc>
      </w:tr>
      <w:tr w:rsidR="00F71230" w:rsidTr="00F71230">
        <w:tc>
          <w:tcPr>
            <w:tcW w:w="3260" w:type="dxa"/>
            <w:tcBorders>
              <w:top w:val="single" w:sz="4" w:space="0" w:color="auto"/>
              <w:left w:val="single" w:sz="4" w:space="0" w:color="auto"/>
              <w:bottom w:val="single" w:sz="4" w:space="0" w:color="auto"/>
              <w:right w:val="single" w:sz="4" w:space="0" w:color="auto"/>
            </w:tcBorders>
            <w:hideMark/>
          </w:tcPr>
          <w:p w:rsidR="00F71230" w:rsidRDefault="00F71230">
            <w:pPr>
              <w:spacing w:line="480" w:lineRule="auto"/>
              <w:rPr>
                <w:rFonts w:cs="Arial"/>
                <w:b/>
                <w:sz w:val="24"/>
              </w:rPr>
            </w:pPr>
            <w:r>
              <w:rPr>
                <w:rFonts w:cs="Arial"/>
                <w:b/>
                <w:sz w:val="24"/>
              </w:rPr>
              <w:t>Date of Approval:</w:t>
            </w:r>
          </w:p>
        </w:tc>
        <w:tc>
          <w:tcPr>
            <w:tcW w:w="5103" w:type="dxa"/>
            <w:tcBorders>
              <w:top w:val="single" w:sz="4" w:space="0" w:color="auto"/>
              <w:left w:val="single" w:sz="4" w:space="0" w:color="auto"/>
              <w:bottom w:val="single" w:sz="4" w:space="0" w:color="auto"/>
              <w:right w:val="single" w:sz="4" w:space="0" w:color="auto"/>
            </w:tcBorders>
          </w:tcPr>
          <w:p w:rsidR="00F71230" w:rsidRDefault="006F5550">
            <w:pPr>
              <w:spacing w:line="480" w:lineRule="auto"/>
              <w:rPr>
                <w:rFonts w:cs="Arial"/>
                <w:b/>
                <w:sz w:val="24"/>
              </w:rPr>
            </w:pPr>
            <w:r>
              <w:rPr>
                <w:rFonts w:cs="Arial"/>
                <w:b/>
                <w:sz w:val="24"/>
              </w:rPr>
              <w:t>21</w:t>
            </w:r>
            <w:r w:rsidRPr="006F5550">
              <w:rPr>
                <w:rFonts w:cs="Arial"/>
                <w:b/>
                <w:sz w:val="24"/>
                <w:vertAlign w:val="superscript"/>
              </w:rPr>
              <w:t>st</w:t>
            </w:r>
            <w:r>
              <w:rPr>
                <w:rFonts w:cs="Arial"/>
                <w:b/>
                <w:sz w:val="24"/>
              </w:rPr>
              <w:t xml:space="preserve"> March 2019</w:t>
            </w:r>
          </w:p>
        </w:tc>
      </w:tr>
    </w:tbl>
    <w:p w:rsidR="00F71230" w:rsidRDefault="00F71230" w:rsidP="00F71230">
      <w:pPr>
        <w:pStyle w:val="NoSpacing"/>
        <w:rPr>
          <w:rFonts w:ascii="Arial" w:hAnsi="Arial" w:cs="Arial"/>
          <w:sz w:val="24"/>
          <w:szCs w:val="24"/>
        </w:rPr>
      </w:pPr>
    </w:p>
    <w:p w:rsidR="00F71230" w:rsidRDefault="00F71230" w:rsidP="004C15FD">
      <w:pPr>
        <w:pStyle w:val="NoSpacing"/>
        <w:numPr>
          <w:ilvl w:val="0"/>
          <w:numId w:val="4"/>
        </w:numPr>
        <w:rPr>
          <w:rFonts w:ascii="Arial" w:hAnsi="Arial" w:cs="Arial"/>
          <w:b/>
          <w:sz w:val="24"/>
          <w:szCs w:val="24"/>
          <w:u w:val="single"/>
        </w:rPr>
      </w:pPr>
      <w:r>
        <w:rPr>
          <w:rFonts w:ascii="Arial" w:hAnsi="Arial" w:cs="Arial"/>
          <w:b/>
          <w:sz w:val="24"/>
          <w:szCs w:val="24"/>
          <w:u w:val="single"/>
        </w:rPr>
        <w:t>Purpose of Report</w:t>
      </w:r>
    </w:p>
    <w:p w:rsidR="00F71230" w:rsidRDefault="00F71230" w:rsidP="00F71230">
      <w:pPr>
        <w:pStyle w:val="NoSpacing"/>
        <w:ind w:left="720"/>
        <w:rPr>
          <w:rFonts w:ascii="Arial" w:hAnsi="Arial" w:cs="Arial"/>
          <w:b/>
          <w:sz w:val="24"/>
          <w:szCs w:val="24"/>
          <w:u w:val="single"/>
        </w:rPr>
      </w:pPr>
    </w:p>
    <w:p w:rsidR="00F71230" w:rsidRDefault="00F71230" w:rsidP="004C15FD">
      <w:pPr>
        <w:pStyle w:val="NoSpacing"/>
        <w:numPr>
          <w:ilvl w:val="1"/>
          <w:numId w:val="4"/>
        </w:numPr>
        <w:ind w:left="709"/>
        <w:rPr>
          <w:rFonts w:ascii="Arial" w:hAnsi="Arial" w:cs="Arial"/>
          <w:sz w:val="24"/>
          <w:szCs w:val="24"/>
        </w:rPr>
      </w:pPr>
      <w:r>
        <w:rPr>
          <w:rFonts w:ascii="Arial" w:hAnsi="Arial" w:cs="Arial"/>
          <w:sz w:val="24"/>
          <w:szCs w:val="24"/>
        </w:rPr>
        <w:t>This repor</w:t>
      </w:r>
      <w:r w:rsidR="006C7262">
        <w:rPr>
          <w:rFonts w:ascii="Arial" w:hAnsi="Arial" w:cs="Arial"/>
          <w:sz w:val="24"/>
          <w:szCs w:val="24"/>
        </w:rPr>
        <w:t>t identifies the 2018/19 month 11</w:t>
      </w:r>
      <w:r>
        <w:rPr>
          <w:rFonts w:ascii="Arial" w:hAnsi="Arial" w:cs="Arial"/>
          <w:sz w:val="24"/>
          <w:szCs w:val="24"/>
        </w:rPr>
        <w:t xml:space="preserve"> position for the Force.</w:t>
      </w:r>
    </w:p>
    <w:p w:rsidR="00F71230" w:rsidRDefault="00F71230" w:rsidP="00F71230">
      <w:pPr>
        <w:pStyle w:val="NoSpacing"/>
        <w:ind w:left="720"/>
        <w:rPr>
          <w:rFonts w:ascii="Arial" w:hAnsi="Arial" w:cs="Arial"/>
          <w:sz w:val="24"/>
          <w:szCs w:val="24"/>
        </w:rPr>
      </w:pPr>
    </w:p>
    <w:p w:rsidR="00F71230" w:rsidRDefault="00F71230" w:rsidP="004C15FD">
      <w:pPr>
        <w:pStyle w:val="NoSpacing"/>
        <w:numPr>
          <w:ilvl w:val="0"/>
          <w:numId w:val="4"/>
        </w:numPr>
        <w:rPr>
          <w:rFonts w:ascii="Arial" w:hAnsi="Arial" w:cs="Arial"/>
          <w:b/>
          <w:sz w:val="24"/>
          <w:szCs w:val="24"/>
          <w:u w:val="single"/>
        </w:rPr>
      </w:pPr>
      <w:r>
        <w:rPr>
          <w:rFonts w:ascii="Arial" w:hAnsi="Arial" w:cs="Arial"/>
          <w:b/>
          <w:sz w:val="24"/>
          <w:szCs w:val="24"/>
          <w:u w:val="single"/>
        </w:rPr>
        <w:t>Recommendations</w:t>
      </w:r>
    </w:p>
    <w:p w:rsidR="00F71230" w:rsidRDefault="00F71230" w:rsidP="00F71230">
      <w:pPr>
        <w:pStyle w:val="NoSpacing"/>
        <w:ind w:left="720"/>
        <w:rPr>
          <w:rFonts w:ascii="Arial" w:hAnsi="Arial" w:cs="Arial"/>
          <w:b/>
          <w:sz w:val="24"/>
          <w:szCs w:val="24"/>
          <w:u w:val="single"/>
        </w:rPr>
      </w:pPr>
    </w:p>
    <w:p w:rsidR="00F71230" w:rsidRDefault="00F71230" w:rsidP="004C15FD">
      <w:pPr>
        <w:pStyle w:val="NoSpacing"/>
        <w:numPr>
          <w:ilvl w:val="1"/>
          <w:numId w:val="4"/>
        </w:numPr>
        <w:ind w:left="709"/>
        <w:rPr>
          <w:rFonts w:ascii="Arial" w:hAnsi="Arial" w:cs="Arial"/>
          <w:sz w:val="24"/>
          <w:szCs w:val="24"/>
        </w:rPr>
      </w:pPr>
      <w:r>
        <w:rPr>
          <w:rFonts w:ascii="Arial" w:hAnsi="Arial" w:cs="Arial"/>
          <w:sz w:val="24"/>
          <w:szCs w:val="24"/>
        </w:rPr>
        <w:t>The report is for noting.</w:t>
      </w:r>
    </w:p>
    <w:p w:rsidR="00F71230" w:rsidRDefault="00F71230" w:rsidP="00F71230">
      <w:pPr>
        <w:pStyle w:val="NoSpacing"/>
        <w:ind w:left="720"/>
        <w:rPr>
          <w:rFonts w:ascii="Arial" w:hAnsi="Arial" w:cs="Arial"/>
          <w:sz w:val="24"/>
          <w:szCs w:val="24"/>
        </w:rPr>
      </w:pPr>
    </w:p>
    <w:p w:rsidR="00F71230" w:rsidRDefault="00F71230" w:rsidP="004C15FD">
      <w:pPr>
        <w:pStyle w:val="NoSpacing"/>
        <w:numPr>
          <w:ilvl w:val="0"/>
          <w:numId w:val="4"/>
        </w:numPr>
        <w:rPr>
          <w:rFonts w:ascii="Arial" w:hAnsi="Arial" w:cs="Arial"/>
          <w:b/>
          <w:sz w:val="24"/>
          <w:szCs w:val="24"/>
          <w:u w:val="single"/>
        </w:rPr>
      </w:pPr>
      <w:r>
        <w:rPr>
          <w:rFonts w:ascii="Arial" w:hAnsi="Arial" w:cs="Arial"/>
          <w:b/>
          <w:sz w:val="24"/>
          <w:szCs w:val="24"/>
          <w:u w:val="single"/>
        </w:rPr>
        <w:t>Executive Summary</w:t>
      </w:r>
    </w:p>
    <w:p w:rsidR="00F71230" w:rsidRDefault="00F71230" w:rsidP="00F71230">
      <w:pPr>
        <w:pStyle w:val="NoSpacing"/>
        <w:ind w:left="720"/>
        <w:rPr>
          <w:rFonts w:ascii="Arial" w:hAnsi="Arial" w:cs="Arial"/>
          <w:sz w:val="24"/>
          <w:szCs w:val="24"/>
          <w:u w:val="single"/>
        </w:rPr>
      </w:pPr>
    </w:p>
    <w:p w:rsidR="00F71230" w:rsidRDefault="00F71230" w:rsidP="004C15FD">
      <w:pPr>
        <w:pStyle w:val="NoSpacing"/>
        <w:numPr>
          <w:ilvl w:val="1"/>
          <w:numId w:val="4"/>
        </w:numPr>
        <w:ind w:left="720"/>
        <w:rPr>
          <w:rFonts w:ascii="Arial" w:hAnsi="Arial" w:cs="Arial"/>
          <w:sz w:val="24"/>
          <w:szCs w:val="24"/>
          <w:u w:val="single"/>
        </w:rPr>
      </w:pPr>
      <w:r>
        <w:rPr>
          <w:rFonts w:ascii="Arial" w:hAnsi="Arial" w:cs="Arial"/>
          <w:sz w:val="24"/>
          <w:szCs w:val="24"/>
        </w:rPr>
        <w:t xml:space="preserve">The latest forecast revenue overspend is </w:t>
      </w:r>
      <w:r w:rsidR="006C7262">
        <w:rPr>
          <w:rFonts w:ascii="Arial" w:hAnsi="Arial" w:cs="Arial"/>
          <w:b/>
          <w:sz w:val="24"/>
          <w:szCs w:val="24"/>
        </w:rPr>
        <w:t>£0.173</w:t>
      </w:r>
      <w:r>
        <w:rPr>
          <w:rFonts w:ascii="Arial" w:hAnsi="Arial" w:cs="Arial"/>
          <w:b/>
          <w:sz w:val="24"/>
          <w:szCs w:val="24"/>
        </w:rPr>
        <w:t>m</w:t>
      </w:r>
      <w:r>
        <w:rPr>
          <w:rFonts w:ascii="Arial" w:hAnsi="Arial" w:cs="Arial"/>
          <w:sz w:val="24"/>
          <w:szCs w:val="24"/>
        </w:rPr>
        <w:t>.</w:t>
      </w:r>
    </w:p>
    <w:p w:rsidR="00F71230" w:rsidRDefault="00F71230" w:rsidP="00F71230">
      <w:pPr>
        <w:pStyle w:val="NoSpacing"/>
        <w:ind w:left="720"/>
        <w:rPr>
          <w:rFonts w:ascii="Arial" w:hAnsi="Arial" w:cs="Arial"/>
          <w:b/>
          <w:sz w:val="24"/>
          <w:szCs w:val="24"/>
          <w:u w:val="single"/>
        </w:rPr>
      </w:pPr>
    </w:p>
    <w:p w:rsidR="00F71230" w:rsidRDefault="00F71230" w:rsidP="004C15FD">
      <w:pPr>
        <w:pStyle w:val="NoSpacing"/>
        <w:numPr>
          <w:ilvl w:val="1"/>
          <w:numId w:val="4"/>
        </w:numPr>
        <w:ind w:left="720"/>
        <w:rPr>
          <w:rFonts w:ascii="Arial" w:hAnsi="Arial" w:cs="Arial"/>
          <w:sz w:val="24"/>
          <w:szCs w:val="24"/>
          <w:u w:val="single"/>
        </w:rPr>
      </w:pPr>
      <w:r>
        <w:rPr>
          <w:rFonts w:ascii="Arial" w:hAnsi="Arial" w:cs="Arial"/>
          <w:sz w:val="24"/>
          <w:szCs w:val="24"/>
        </w:rPr>
        <w:t xml:space="preserve">The police officer strength forecast at end of </w:t>
      </w:r>
      <w:r w:rsidR="006C7262">
        <w:rPr>
          <w:rFonts w:ascii="Arial" w:hAnsi="Arial" w:cs="Arial"/>
          <w:sz w:val="24"/>
          <w:szCs w:val="24"/>
        </w:rPr>
        <w:t>January</w:t>
      </w:r>
      <w:r>
        <w:rPr>
          <w:rFonts w:ascii="Arial" w:hAnsi="Arial" w:cs="Arial"/>
          <w:sz w:val="24"/>
          <w:szCs w:val="24"/>
        </w:rPr>
        <w:t xml:space="preserve"> is </w:t>
      </w:r>
      <w:r w:rsidR="006C7262">
        <w:rPr>
          <w:rFonts w:ascii="Arial" w:hAnsi="Arial" w:cs="Arial"/>
          <w:b/>
          <w:sz w:val="24"/>
          <w:szCs w:val="24"/>
        </w:rPr>
        <w:t>3,065</w:t>
      </w:r>
      <w:r>
        <w:rPr>
          <w:rFonts w:ascii="Arial" w:hAnsi="Arial" w:cs="Arial"/>
          <w:b/>
          <w:sz w:val="24"/>
          <w:szCs w:val="24"/>
        </w:rPr>
        <w:t xml:space="preserve"> FTE</w:t>
      </w:r>
      <w:r>
        <w:rPr>
          <w:rFonts w:ascii="Arial" w:hAnsi="Arial" w:cs="Arial"/>
          <w:sz w:val="24"/>
          <w:szCs w:val="24"/>
        </w:rPr>
        <w:t xml:space="preserve"> and at year end is </w:t>
      </w:r>
      <w:r w:rsidR="006C7262">
        <w:rPr>
          <w:rFonts w:ascii="Arial" w:hAnsi="Arial" w:cs="Arial"/>
          <w:b/>
          <w:sz w:val="24"/>
          <w:szCs w:val="24"/>
        </w:rPr>
        <w:t>3,046</w:t>
      </w:r>
      <w:r>
        <w:rPr>
          <w:rFonts w:ascii="Arial" w:hAnsi="Arial" w:cs="Arial"/>
          <w:b/>
          <w:sz w:val="24"/>
          <w:szCs w:val="24"/>
        </w:rPr>
        <w:t xml:space="preserve"> FTE</w:t>
      </w:r>
      <w:r>
        <w:rPr>
          <w:rFonts w:ascii="Arial" w:hAnsi="Arial" w:cs="Arial"/>
          <w:sz w:val="24"/>
          <w:szCs w:val="24"/>
        </w:rPr>
        <w:t>.</w:t>
      </w:r>
    </w:p>
    <w:p w:rsidR="00F71230" w:rsidRDefault="00F71230" w:rsidP="00F71230">
      <w:pPr>
        <w:pStyle w:val="NoSpacing"/>
        <w:rPr>
          <w:rFonts w:ascii="Arial" w:hAnsi="Arial" w:cs="Arial"/>
          <w:b/>
          <w:sz w:val="24"/>
          <w:szCs w:val="24"/>
          <w:u w:val="single"/>
        </w:rPr>
      </w:pPr>
    </w:p>
    <w:p w:rsidR="00F71230" w:rsidRDefault="00F71230" w:rsidP="004C15FD">
      <w:pPr>
        <w:pStyle w:val="NoSpacing"/>
        <w:numPr>
          <w:ilvl w:val="1"/>
          <w:numId w:val="4"/>
        </w:numPr>
        <w:ind w:left="720"/>
        <w:rPr>
          <w:rFonts w:ascii="Arial" w:hAnsi="Arial" w:cs="Arial"/>
          <w:sz w:val="24"/>
          <w:szCs w:val="24"/>
          <w:u w:val="single"/>
        </w:rPr>
      </w:pPr>
      <w:r>
        <w:rPr>
          <w:rFonts w:ascii="Arial" w:hAnsi="Arial" w:cs="Arial"/>
          <w:sz w:val="24"/>
          <w:szCs w:val="24"/>
        </w:rPr>
        <w:t xml:space="preserve">The Capital Reserve is forecast to be </w:t>
      </w:r>
      <w:r w:rsidR="006C7262">
        <w:rPr>
          <w:rFonts w:ascii="Arial" w:hAnsi="Arial" w:cs="Arial"/>
          <w:b/>
          <w:sz w:val="24"/>
          <w:szCs w:val="24"/>
        </w:rPr>
        <w:t>£8.961</w:t>
      </w:r>
      <w:r>
        <w:rPr>
          <w:rFonts w:ascii="Arial" w:hAnsi="Arial" w:cs="Arial"/>
          <w:b/>
          <w:sz w:val="24"/>
          <w:szCs w:val="24"/>
        </w:rPr>
        <w:t xml:space="preserve">m </w:t>
      </w:r>
      <w:r>
        <w:rPr>
          <w:rFonts w:ascii="Arial" w:hAnsi="Arial" w:cs="Arial"/>
          <w:sz w:val="24"/>
          <w:szCs w:val="24"/>
        </w:rPr>
        <w:t>surplus at year end.</w:t>
      </w:r>
    </w:p>
    <w:p w:rsidR="00F71230" w:rsidRDefault="00F71230" w:rsidP="00F71230">
      <w:pPr>
        <w:pStyle w:val="NoSpacing"/>
        <w:rPr>
          <w:rFonts w:ascii="Arial" w:hAnsi="Arial" w:cs="Arial"/>
          <w:sz w:val="24"/>
          <w:szCs w:val="24"/>
          <w:u w:val="single"/>
        </w:rPr>
      </w:pPr>
    </w:p>
    <w:p w:rsidR="00F71230" w:rsidRDefault="00F71230" w:rsidP="004C15FD">
      <w:pPr>
        <w:pStyle w:val="NoSpacing"/>
        <w:numPr>
          <w:ilvl w:val="1"/>
          <w:numId w:val="4"/>
        </w:numPr>
        <w:ind w:left="720"/>
        <w:rPr>
          <w:rFonts w:ascii="Arial" w:hAnsi="Arial" w:cs="Arial"/>
          <w:sz w:val="24"/>
          <w:szCs w:val="24"/>
          <w:u w:val="single"/>
        </w:rPr>
      </w:pPr>
      <w:r>
        <w:rPr>
          <w:rFonts w:ascii="Arial" w:hAnsi="Arial" w:cs="Arial"/>
          <w:sz w:val="24"/>
          <w:szCs w:val="24"/>
        </w:rPr>
        <w:t xml:space="preserve">The forecast capital expenditure is </w:t>
      </w:r>
      <w:r w:rsidR="009B50A3">
        <w:rPr>
          <w:rFonts w:ascii="Arial" w:hAnsi="Arial" w:cs="Arial"/>
          <w:b/>
          <w:sz w:val="24"/>
          <w:szCs w:val="24"/>
        </w:rPr>
        <w:t>£8.227</w:t>
      </w:r>
      <w:r>
        <w:rPr>
          <w:rFonts w:ascii="Arial" w:hAnsi="Arial" w:cs="Arial"/>
          <w:b/>
          <w:sz w:val="24"/>
          <w:szCs w:val="24"/>
        </w:rPr>
        <w:t>m</w:t>
      </w:r>
      <w:r>
        <w:rPr>
          <w:rFonts w:ascii="Arial" w:hAnsi="Arial" w:cs="Arial"/>
          <w:sz w:val="24"/>
          <w:szCs w:val="24"/>
        </w:rPr>
        <w:t xml:space="preserve"> and the forecast capital income from property disposals is </w:t>
      </w:r>
      <w:r w:rsidR="009B50A3">
        <w:rPr>
          <w:rFonts w:ascii="Arial" w:hAnsi="Arial" w:cs="Arial"/>
          <w:b/>
          <w:sz w:val="24"/>
          <w:szCs w:val="24"/>
        </w:rPr>
        <w:t>£16.535</w:t>
      </w:r>
      <w:r>
        <w:rPr>
          <w:rFonts w:ascii="Arial" w:hAnsi="Arial" w:cs="Arial"/>
          <w:b/>
          <w:sz w:val="24"/>
          <w:szCs w:val="24"/>
        </w:rPr>
        <w:t>m</w:t>
      </w:r>
      <w:r>
        <w:rPr>
          <w:rFonts w:ascii="Arial" w:hAnsi="Arial" w:cs="Arial"/>
          <w:sz w:val="24"/>
          <w:szCs w:val="24"/>
        </w:rPr>
        <w:t>.</w:t>
      </w:r>
    </w:p>
    <w:p w:rsidR="00F71230" w:rsidRDefault="00F71230" w:rsidP="00F71230">
      <w:pPr>
        <w:pStyle w:val="NoSpacing"/>
        <w:ind w:left="720"/>
        <w:rPr>
          <w:rFonts w:ascii="Arial" w:hAnsi="Arial" w:cs="Arial"/>
          <w:b/>
          <w:sz w:val="24"/>
          <w:szCs w:val="24"/>
        </w:rPr>
      </w:pPr>
    </w:p>
    <w:p w:rsidR="006C7262" w:rsidRDefault="006C7262" w:rsidP="00F71230">
      <w:pPr>
        <w:pStyle w:val="NoSpacing"/>
        <w:ind w:left="720"/>
        <w:rPr>
          <w:rFonts w:ascii="Arial" w:hAnsi="Arial" w:cs="Arial"/>
          <w:b/>
          <w:sz w:val="24"/>
          <w:szCs w:val="24"/>
        </w:rPr>
      </w:pPr>
    </w:p>
    <w:p w:rsidR="006C7262" w:rsidRDefault="006C7262" w:rsidP="00F71230">
      <w:pPr>
        <w:pStyle w:val="NoSpacing"/>
        <w:ind w:left="720"/>
        <w:rPr>
          <w:rFonts w:ascii="Arial" w:hAnsi="Arial" w:cs="Arial"/>
          <w:b/>
          <w:sz w:val="24"/>
          <w:szCs w:val="24"/>
        </w:rPr>
      </w:pPr>
    </w:p>
    <w:p w:rsidR="006C7262" w:rsidRDefault="006C7262" w:rsidP="00F71230">
      <w:pPr>
        <w:pStyle w:val="NoSpacing"/>
        <w:ind w:left="720"/>
        <w:rPr>
          <w:rFonts w:ascii="Arial" w:hAnsi="Arial" w:cs="Arial"/>
          <w:b/>
          <w:sz w:val="24"/>
          <w:szCs w:val="24"/>
        </w:rPr>
      </w:pPr>
    </w:p>
    <w:p w:rsidR="006C7262" w:rsidRDefault="006C7262" w:rsidP="00F71230">
      <w:pPr>
        <w:pStyle w:val="NoSpacing"/>
        <w:ind w:left="720"/>
        <w:rPr>
          <w:rFonts w:ascii="Arial" w:hAnsi="Arial" w:cs="Arial"/>
          <w:b/>
          <w:sz w:val="24"/>
          <w:szCs w:val="24"/>
        </w:rPr>
      </w:pPr>
    </w:p>
    <w:p w:rsidR="006C7262" w:rsidRDefault="006C7262" w:rsidP="00F71230">
      <w:pPr>
        <w:pStyle w:val="NoSpacing"/>
        <w:ind w:left="720"/>
        <w:rPr>
          <w:rFonts w:ascii="Arial" w:hAnsi="Arial" w:cs="Arial"/>
          <w:b/>
          <w:sz w:val="24"/>
          <w:szCs w:val="24"/>
        </w:rPr>
      </w:pPr>
    </w:p>
    <w:p w:rsidR="00F71230" w:rsidRDefault="00F71230" w:rsidP="004C15FD">
      <w:pPr>
        <w:pStyle w:val="NoSpacing"/>
        <w:numPr>
          <w:ilvl w:val="0"/>
          <w:numId w:val="4"/>
        </w:numPr>
        <w:rPr>
          <w:rFonts w:ascii="Arial" w:hAnsi="Arial" w:cs="Arial"/>
          <w:b/>
          <w:sz w:val="24"/>
          <w:szCs w:val="24"/>
          <w:u w:val="single"/>
        </w:rPr>
      </w:pPr>
      <w:r>
        <w:rPr>
          <w:rFonts w:ascii="Arial" w:hAnsi="Arial" w:cs="Arial"/>
          <w:b/>
          <w:sz w:val="24"/>
          <w:szCs w:val="24"/>
          <w:u w:val="single"/>
        </w:rPr>
        <w:lastRenderedPageBreak/>
        <w:t xml:space="preserve">Introduction/Background </w:t>
      </w:r>
    </w:p>
    <w:p w:rsidR="00F71230" w:rsidRDefault="00F71230" w:rsidP="00F71230">
      <w:pPr>
        <w:pStyle w:val="NoSpacing"/>
        <w:ind w:left="720"/>
        <w:rPr>
          <w:rFonts w:ascii="Arial" w:hAnsi="Arial" w:cs="Arial"/>
          <w:sz w:val="24"/>
          <w:szCs w:val="24"/>
          <w:u w:val="single"/>
        </w:rPr>
      </w:pPr>
    </w:p>
    <w:p w:rsidR="00F71230" w:rsidRDefault="00F71230" w:rsidP="004C15FD">
      <w:pPr>
        <w:pStyle w:val="NoSpacing"/>
        <w:numPr>
          <w:ilvl w:val="1"/>
          <w:numId w:val="4"/>
        </w:numPr>
        <w:ind w:left="709"/>
        <w:rPr>
          <w:rFonts w:ascii="Arial" w:hAnsi="Arial" w:cs="Arial"/>
          <w:sz w:val="24"/>
          <w:szCs w:val="24"/>
          <w:u w:val="single"/>
        </w:rPr>
      </w:pPr>
      <w:r>
        <w:rPr>
          <w:rFonts w:ascii="Arial" w:hAnsi="Arial" w:cs="Arial"/>
          <w:sz w:val="24"/>
          <w:szCs w:val="24"/>
        </w:rPr>
        <w:t xml:space="preserve">This reports sets out the </w:t>
      </w:r>
      <w:r w:rsidR="006C7262">
        <w:rPr>
          <w:rFonts w:ascii="Arial" w:hAnsi="Arial" w:cs="Arial"/>
          <w:sz w:val="24"/>
          <w:szCs w:val="24"/>
        </w:rPr>
        <w:t>February, month 11</w:t>
      </w:r>
      <w:r>
        <w:rPr>
          <w:rFonts w:ascii="Arial" w:hAnsi="Arial" w:cs="Arial"/>
          <w:sz w:val="24"/>
          <w:szCs w:val="24"/>
        </w:rPr>
        <w:t>, financial position, highlighting th</w:t>
      </w:r>
      <w:r w:rsidR="006C7262">
        <w:rPr>
          <w:rFonts w:ascii="Arial" w:hAnsi="Arial" w:cs="Arial"/>
          <w:sz w:val="24"/>
          <w:szCs w:val="24"/>
        </w:rPr>
        <w:t>e changes from January, month 10</w:t>
      </w:r>
      <w:r>
        <w:rPr>
          <w:rFonts w:ascii="Arial" w:hAnsi="Arial" w:cs="Arial"/>
          <w:sz w:val="24"/>
          <w:szCs w:val="24"/>
        </w:rPr>
        <w:t>.</w:t>
      </w:r>
    </w:p>
    <w:p w:rsidR="00F71230" w:rsidRDefault="00F71230" w:rsidP="00F71230">
      <w:pPr>
        <w:pStyle w:val="NoSpacing"/>
        <w:rPr>
          <w:rFonts w:ascii="Arial" w:hAnsi="Arial" w:cs="Arial"/>
          <w:sz w:val="24"/>
          <w:szCs w:val="24"/>
        </w:rPr>
      </w:pPr>
    </w:p>
    <w:p w:rsidR="00F71230" w:rsidRDefault="00F71230" w:rsidP="004C15FD">
      <w:pPr>
        <w:pStyle w:val="NoSpacing"/>
        <w:numPr>
          <w:ilvl w:val="0"/>
          <w:numId w:val="4"/>
        </w:numPr>
        <w:rPr>
          <w:rFonts w:ascii="Arial" w:hAnsi="Arial" w:cs="Arial"/>
          <w:b/>
          <w:sz w:val="24"/>
          <w:szCs w:val="24"/>
          <w:u w:val="single"/>
        </w:rPr>
      </w:pPr>
      <w:r>
        <w:rPr>
          <w:rFonts w:ascii="Arial" w:hAnsi="Arial" w:cs="Arial"/>
          <w:b/>
          <w:sz w:val="24"/>
          <w:szCs w:val="24"/>
          <w:u w:val="single"/>
        </w:rPr>
        <w:t>Current Work and Performance</w:t>
      </w:r>
    </w:p>
    <w:p w:rsidR="00F71230" w:rsidRDefault="00F71230" w:rsidP="00F71230">
      <w:pPr>
        <w:pStyle w:val="NoSpacing"/>
        <w:rPr>
          <w:rFonts w:ascii="Arial" w:hAnsi="Arial" w:cs="Arial"/>
          <w:b/>
          <w:sz w:val="24"/>
          <w:szCs w:val="24"/>
          <w:u w:val="single"/>
        </w:rPr>
      </w:pPr>
    </w:p>
    <w:p w:rsidR="00F71230" w:rsidRDefault="006C7262" w:rsidP="004C15FD">
      <w:pPr>
        <w:pStyle w:val="NoSpacing"/>
        <w:numPr>
          <w:ilvl w:val="1"/>
          <w:numId w:val="4"/>
        </w:numPr>
        <w:ind w:left="709"/>
        <w:rPr>
          <w:rFonts w:ascii="Arial" w:hAnsi="Arial" w:cs="Arial"/>
          <w:sz w:val="24"/>
          <w:szCs w:val="24"/>
          <w:u w:val="single"/>
        </w:rPr>
      </w:pPr>
      <w:r>
        <w:rPr>
          <w:rFonts w:ascii="Arial" w:hAnsi="Arial" w:cs="Arial"/>
          <w:sz w:val="24"/>
          <w:szCs w:val="24"/>
        </w:rPr>
        <w:t xml:space="preserve">The month 11 </w:t>
      </w:r>
      <w:r w:rsidR="00F71230">
        <w:rPr>
          <w:rFonts w:ascii="Arial" w:hAnsi="Arial" w:cs="Arial"/>
          <w:sz w:val="24"/>
          <w:szCs w:val="24"/>
        </w:rPr>
        <w:t>financial position is shown at Annex 1.</w:t>
      </w:r>
    </w:p>
    <w:p w:rsidR="00F71230" w:rsidRDefault="00F71230" w:rsidP="00F71230">
      <w:pPr>
        <w:pStyle w:val="NoSpacing"/>
        <w:ind w:left="720"/>
        <w:rPr>
          <w:rFonts w:ascii="Arial" w:hAnsi="Arial" w:cs="Arial"/>
          <w:sz w:val="24"/>
          <w:szCs w:val="24"/>
        </w:rPr>
      </w:pPr>
    </w:p>
    <w:p w:rsidR="00F71230" w:rsidRDefault="00F71230" w:rsidP="004C15FD">
      <w:pPr>
        <w:pStyle w:val="NoSpacing"/>
        <w:numPr>
          <w:ilvl w:val="0"/>
          <w:numId w:val="4"/>
        </w:numPr>
        <w:rPr>
          <w:rFonts w:ascii="Arial" w:hAnsi="Arial" w:cs="Arial"/>
          <w:b/>
          <w:sz w:val="24"/>
          <w:szCs w:val="24"/>
          <w:u w:val="single"/>
        </w:rPr>
      </w:pPr>
      <w:r>
        <w:rPr>
          <w:rFonts w:ascii="Arial" w:hAnsi="Arial" w:cs="Arial"/>
          <w:b/>
          <w:sz w:val="24"/>
          <w:szCs w:val="24"/>
          <w:u w:val="single"/>
        </w:rPr>
        <w:t>Implications (Issues)</w:t>
      </w:r>
    </w:p>
    <w:p w:rsidR="00F71230" w:rsidRDefault="00F71230" w:rsidP="00F71230">
      <w:pPr>
        <w:pStyle w:val="NoSpacing"/>
        <w:ind w:left="720"/>
        <w:rPr>
          <w:rFonts w:ascii="Arial" w:hAnsi="Arial" w:cs="Arial"/>
          <w:b/>
          <w:szCs w:val="24"/>
          <w:u w:val="single"/>
        </w:rPr>
      </w:pPr>
    </w:p>
    <w:p w:rsidR="00F71230" w:rsidRDefault="00F71230" w:rsidP="004C15FD">
      <w:pPr>
        <w:pStyle w:val="NoSpacing"/>
        <w:numPr>
          <w:ilvl w:val="1"/>
          <w:numId w:val="4"/>
        </w:numPr>
        <w:ind w:left="709"/>
        <w:rPr>
          <w:rFonts w:ascii="Arial" w:hAnsi="Arial" w:cs="Arial"/>
          <w:sz w:val="24"/>
          <w:szCs w:val="24"/>
        </w:rPr>
      </w:pPr>
      <w:r>
        <w:rPr>
          <w:rFonts w:ascii="Arial" w:hAnsi="Arial" w:cs="Arial"/>
          <w:sz w:val="24"/>
          <w:szCs w:val="24"/>
        </w:rPr>
        <w:t>The implications are reported in Annex 1.</w:t>
      </w:r>
    </w:p>
    <w:p w:rsidR="00F71230" w:rsidRDefault="00F71230" w:rsidP="00F71230">
      <w:pPr>
        <w:pStyle w:val="NoSpacing"/>
        <w:rPr>
          <w:rFonts w:ascii="Arial" w:hAnsi="Arial" w:cs="Arial"/>
          <w:b/>
          <w:sz w:val="24"/>
          <w:szCs w:val="24"/>
          <w:u w:val="single"/>
        </w:rPr>
      </w:pPr>
    </w:p>
    <w:p w:rsidR="00F71230" w:rsidRDefault="00F71230" w:rsidP="004C15FD">
      <w:pPr>
        <w:pStyle w:val="NoSpacing"/>
        <w:numPr>
          <w:ilvl w:val="0"/>
          <w:numId w:val="4"/>
        </w:numPr>
        <w:rPr>
          <w:rFonts w:ascii="Arial" w:hAnsi="Arial" w:cs="Arial"/>
          <w:b/>
          <w:sz w:val="24"/>
          <w:szCs w:val="24"/>
          <w:u w:val="single"/>
        </w:rPr>
      </w:pPr>
      <w:r>
        <w:rPr>
          <w:rFonts w:ascii="Arial" w:hAnsi="Arial" w:cs="Arial"/>
          <w:b/>
          <w:sz w:val="24"/>
          <w:szCs w:val="24"/>
          <w:u w:val="single"/>
        </w:rPr>
        <w:t>Links to Police and Crime Plan Priorities</w:t>
      </w:r>
    </w:p>
    <w:p w:rsidR="00F71230" w:rsidRDefault="00F71230" w:rsidP="00F71230">
      <w:pPr>
        <w:pStyle w:val="NoSpacing"/>
        <w:ind w:left="720"/>
        <w:rPr>
          <w:rFonts w:ascii="Arial" w:hAnsi="Arial" w:cs="Arial"/>
          <w:b/>
          <w:szCs w:val="24"/>
          <w:u w:val="single"/>
        </w:rPr>
      </w:pPr>
    </w:p>
    <w:p w:rsidR="00F71230" w:rsidRDefault="00F71230" w:rsidP="004C15FD">
      <w:pPr>
        <w:pStyle w:val="NoSpacing"/>
        <w:numPr>
          <w:ilvl w:val="1"/>
          <w:numId w:val="4"/>
        </w:numPr>
        <w:ind w:left="709"/>
        <w:rPr>
          <w:rFonts w:ascii="Arial" w:hAnsi="Arial" w:cs="Arial"/>
          <w:sz w:val="24"/>
          <w:szCs w:val="24"/>
          <w:u w:val="single"/>
        </w:rPr>
      </w:pPr>
      <w:r>
        <w:rPr>
          <w:rFonts w:ascii="Arial" w:hAnsi="Arial" w:cs="Arial"/>
          <w:sz w:val="24"/>
          <w:szCs w:val="24"/>
        </w:rPr>
        <w:t>The Force budget is used to help meet the priorities of the Police and Crime plan.</w:t>
      </w:r>
    </w:p>
    <w:p w:rsidR="00F71230" w:rsidRDefault="00F71230" w:rsidP="00F71230">
      <w:pPr>
        <w:pStyle w:val="NoSpacing"/>
        <w:ind w:left="709"/>
        <w:rPr>
          <w:rFonts w:ascii="Arial" w:hAnsi="Arial" w:cs="Arial"/>
          <w:sz w:val="24"/>
          <w:szCs w:val="24"/>
        </w:rPr>
      </w:pPr>
    </w:p>
    <w:p w:rsidR="00F71230" w:rsidRDefault="00F71230" w:rsidP="004C15FD">
      <w:pPr>
        <w:pStyle w:val="NoSpacing"/>
        <w:numPr>
          <w:ilvl w:val="0"/>
          <w:numId w:val="4"/>
        </w:numPr>
        <w:rPr>
          <w:rFonts w:ascii="Arial" w:hAnsi="Arial" w:cs="Arial"/>
          <w:b/>
          <w:sz w:val="24"/>
          <w:szCs w:val="24"/>
          <w:u w:val="single"/>
        </w:rPr>
      </w:pPr>
      <w:r>
        <w:rPr>
          <w:rFonts w:ascii="Arial" w:hAnsi="Arial" w:cs="Arial"/>
          <w:b/>
          <w:sz w:val="24"/>
          <w:szCs w:val="24"/>
          <w:u w:val="single"/>
        </w:rPr>
        <w:t>Demand</w:t>
      </w:r>
    </w:p>
    <w:p w:rsidR="00F71230" w:rsidRDefault="00F71230" w:rsidP="00F71230">
      <w:pPr>
        <w:pStyle w:val="NoSpacing"/>
        <w:ind w:left="720"/>
        <w:rPr>
          <w:rFonts w:ascii="Arial" w:hAnsi="Arial" w:cs="Arial"/>
          <w:b/>
          <w:szCs w:val="24"/>
          <w:u w:val="single"/>
        </w:rPr>
      </w:pPr>
    </w:p>
    <w:p w:rsidR="00F71230" w:rsidRDefault="00F71230" w:rsidP="004C15FD">
      <w:pPr>
        <w:pStyle w:val="NoSpacing"/>
        <w:numPr>
          <w:ilvl w:val="1"/>
          <w:numId w:val="4"/>
        </w:numPr>
        <w:ind w:left="709"/>
        <w:rPr>
          <w:rFonts w:ascii="Arial" w:hAnsi="Arial" w:cs="Arial"/>
          <w:sz w:val="24"/>
          <w:szCs w:val="24"/>
          <w:u w:val="single"/>
        </w:rPr>
      </w:pPr>
      <w:r>
        <w:rPr>
          <w:rFonts w:ascii="Arial" w:hAnsi="Arial" w:cs="Arial"/>
          <w:sz w:val="24"/>
          <w:szCs w:val="24"/>
        </w:rPr>
        <w:t xml:space="preserve">The Force budget is reviewed and re-allocated within </w:t>
      </w:r>
      <w:proofErr w:type="spellStart"/>
      <w:r>
        <w:rPr>
          <w:rFonts w:ascii="Arial" w:hAnsi="Arial" w:cs="Arial"/>
          <w:sz w:val="24"/>
          <w:szCs w:val="24"/>
        </w:rPr>
        <w:t>virement</w:t>
      </w:r>
      <w:proofErr w:type="spellEnd"/>
      <w:r>
        <w:rPr>
          <w:rFonts w:ascii="Arial" w:hAnsi="Arial" w:cs="Arial"/>
          <w:sz w:val="24"/>
          <w:szCs w:val="24"/>
        </w:rPr>
        <w:t xml:space="preserve"> rules to match demand e.g. overtime funded by vacancies.  </w:t>
      </w:r>
    </w:p>
    <w:p w:rsidR="00F71230" w:rsidRDefault="00F71230" w:rsidP="00F71230">
      <w:pPr>
        <w:pStyle w:val="NoSpacing"/>
        <w:ind w:left="1418" w:hanging="709"/>
        <w:rPr>
          <w:rFonts w:ascii="Arial" w:hAnsi="Arial" w:cs="Arial"/>
          <w:b/>
          <w:sz w:val="24"/>
          <w:szCs w:val="24"/>
        </w:rPr>
      </w:pPr>
    </w:p>
    <w:p w:rsidR="00F71230" w:rsidRDefault="00F71230" w:rsidP="004C15FD">
      <w:pPr>
        <w:pStyle w:val="NoSpacing"/>
        <w:numPr>
          <w:ilvl w:val="0"/>
          <w:numId w:val="4"/>
        </w:numPr>
        <w:rPr>
          <w:rFonts w:ascii="Arial" w:hAnsi="Arial" w:cs="Arial"/>
          <w:b/>
          <w:sz w:val="24"/>
          <w:szCs w:val="24"/>
          <w:u w:val="single"/>
        </w:rPr>
      </w:pPr>
      <w:r>
        <w:rPr>
          <w:rFonts w:ascii="Arial" w:hAnsi="Arial" w:cs="Arial"/>
          <w:b/>
          <w:sz w:val="24"/>
          <w:szCs w:val="24"/>
          <w:u w:val="single"/>
        </w:rPr>
        <w:t>Risks/Mitigation</w:t>
      </w:r>
    </w:p>
    <w:p w:rsidR="00F71230" w:rsidRDefault="00F71230" w:rsidP="00F71230">
      <w:pPr>
        <w:pStyle w:val="NoSpacing"/>
        <w:ind w:left="720"/>
        <w:rPr>
          <w:rFonts w:ascii="Arial" w:hAnsi="Arial" w:cs="Arial"/>
          <w:b/>
          <w:szCs w:val="24"/>
          <w:u w:val="single"/>
        </w:rPr>
      </w:pPr>
    </w:p>
    <w:p w:rsidR="00F71230" w:rsidRDefault="00F71230" w:rsidP="004C15FD">
      <w:pPr>
        <w:pStyle w:val="NoSpacing"/>
        <w:numPr>
          <w:ilvl w:val="1"/>
          <w:numId w:val="4"/>
        </w:numPr>
        <w:ind w:left="709"/>
        <w:rPr>
          <w:rFonts w:ascii="Arial" w:hAnsi="Arial" w:cs="Arial"/>
          <w:sz w:val="24"/>
          <w:szCs w:val="24"/>
        </w:rPr>
      </w:pPr>
      <w:r>
        <w:rPr>
          <w:rFonts w:ascii="Arial" w:hAnsi="Arial" w:cs="Arial"/>
          <w:sz w:val="24"/>
          <w:szCs w:val="24"/>
        </w:rPr>
        <w:t>Risk Register URN 452 - Short and Long Term Capital Finance.</w:t>
      </w:r>
    </w:p>
    <w:p w:rsidR="00F71230" w:rsidRDefault="00F71230" w:rsidP="00F71230">
      <w:pPr>
        <w:pStyle w:val="NoSpacing"/>
        <w:ind w:left="720"/>
        <w:rPr>
          <w:rFonts w:ascii="Arial" w:hAnsi="Arial" w:cs="Arial"/>
          <w:sz w:val="24"/>
          <w:szCs w:val="24"/>
        </w:rPr>
      </w:pPr>
    </w:p>
    <w:p w:rsidR="00F71230" w:rsidRDefault="00F71230" w:rsidP="004C15FD">
      <w:pPr>
        <w:pStyle w:val="NoSpacing"/>
        <w:numPr>
          <w:ilvl w:val="0"/>
          <w:numId w:val="4"/>
        </w:numPr>
        <w:rPr>
          <w:rFonts w:ascii="Arial" w:hAnsi="Arial" w:cs="Arial"/>
          <w:b/>
          <w:sz w:val="24"/>
          <w:szCs w:val="24"/>
          <w:u w:val="single"/>
        </w:rPr>
      </w:pPr>
      <w:r>
        <w:rPr>
          <w:rFonts w:ascii="Arial" w:hAnsi="Arial" w:cs="Arial"/>
          <w:b/>
          <w:sz w:val="24"/>
          <w:szCs w:val="24"/>
          <w:u w:val="single"/>
        </w:rPr>
        <w:t xml:space="preserve">Equality and/or Human Rights Implications </w:t>
      </w:r>
    </w:p>
    <w:p w:rsidR="00F71230" w:rsidRDefault="00F71230" w:rsidP="00F71230">
      <w:pPr>
        <w:pStyle w:val="NoSpacing"/>
        <w:ind w:left="709"/>
        <w:rPr>
          <w:rFonts w:ascii="Arial" w:hAnsi="Arial" w:cs="Arial"/>
          <w:szCs w:val="24"/>
        </w:rPr>
      </w:pPr>
    </w:p>
    <w:p w:rsidR="00F71230" w:rsidRDefault="00F71230" w:rsidP="00F71230">
      <w:pPr>
        <w:pStyle w:val="NoSpacing"/>
        <w:ind w:left="720"/>
        <w:rPr>
          <w:rFonts w:ascii="Arial" w:hAnsi="Arial" w:cs="Arial"/>
          <w:sz w:val="24"/>
          <w:szCs w:val="24"/>
        </w:rPr>
      </w:pPr>
      <w:r>
        <w:rPr>
          <w:rFonts w:ascii="Arial" w:hAnsi="Arial" w:cs="Arial"/>
          <w:sz w:val="24"/>
          <w:szCs w:val="24"/>
        </w:rPr>
        <w:t>N/A</w:t>
      </w:r>
    </w:p>
    <w:p w:rsidR="00F71230" w:rsidRDefault="00F71230" w:rsidP="00F71230">
      <w:pPr>
        <w:pStyle w:val="NoSpacing"/>
        <w:rPr>
          <w:rFonts w:ascii="Arial" w:hAnsi="Arial" w:cs="Arial"/>
          <w:b/>
          <w:sz w:val="24"/>
          <w:szCs w:val="24"/>
        </w:rPr>
      </w:pPr>
    </w:p>
    <w:p w:rsidR="00F71230" w:rsidRDefault="00F71230" w:rsidP="004C15FD">
      <w:pPr>
        <w:pStyle w:val="NoSpacing"/>
        <w:numPr>
          <w:ilvl w:val="0"/>
          <w:numId w:val="4"/>
        </w:numPr>
        <w:rPr>
          <w:rFonts w:ascii="Arial" w:hAnsi="Arial" w:cs="Arial"/>
          <w:b/>
          <w:sz w:val="24"/>
          <w:szCs w:val="24"/>
          <w:u w:val="single"/>
        </w:rPr>
      </w:pPr>
      <w:r>
        <w:rPr>
          <w:rFonts w:ascii="Arial" w:hAnsi="Arial" w:cs="Arial"/>
          <w:b/>
          <w:sz w:val="24"/>
          <w:szCs w:val="24"/>
          <w:u w:val="single"/>
        </w:rPr>
        <w:t>Health and Safety Implications</w:t>
      </w:r>
    </w:p>
    <w:p w:rsidR="00F71230" w:rsidRDefault="00F71230" w:rsidP="00F71230">
      <w:pPr>
        <w:pStyle w:val="NoSpacing"/>
        <w:ind w:left="720"/>
        <w:rPr>
          <w:rFonts w:ascii="Arial" w:hAnsi="Arial" w:cs="Arial"/>
          <w:b/>
          <w:szCs w:val="24"/>
          <w:u w:val="single"/>
        </w:rPr>
      </w:pPr>
    </w:p>
    <w:p w:rsidR="00F71230" w:rsidRDefault="00F71230" w:rsidP="00F71230">
      <w:pPr>
        <w:pStyle w:val="NoSpacing"/>
        <w:ind w:left="720"/>
        <w:rPr>
          <w:rFonts w:ascii="Arial" w:hAnsi="Arial" w:cs="Arial"/>
          <w:sz w:val="24"/>
          <w:szCs w:val="24"/>
        </w:rPr>
      </w:pPr>
      <w:r>
        <w:rPr>
          <w:rFonts w:ascii="Arial" w:hAnsi="Arial" w:cs="Arial"/>
          <w:sz w:val="24"/>
          <w:szCs w:val="24"/>
        </w:rPr>
        <w:t>N/A</w:t>
      </w:r>
    </w:p>
    <w:p w:rsidR="00F71230" w:rsidRDefault="00F71230" w:rsidP="00F71230">
      <w:pPr>
        <w:pStyle w:val="NoSpacing"/>
        <w:ind w:left="709"/>
        <w:rPr>
          <w:rFonts w:ascii="Arial" w:hAnsi="Arial" w:cs="Arial"/>
          <w:b/>
          <w:sz w:val="24"/>
          <w:szCs w:val="24"/>
        </w:rPr>
      </w:pPr>
    </w:p>
    <w:p w:rsidR="00F71230" w:rsidRDefault="00F71230" w:rsidP="004C15FD">
      <w:pPr>
        <w:pStyle w:val="NoSpacing"/>
        <w:numPr>
          <w:ilvl w:val="0"/>
          <w:numId w:val="4"/>
        </w:numPr>
        <w:rPr>
          <w:rFonts w:ascii="Arial" w:hAnsi="Arial" w:cs="Arial"/>
          <w:b/>
          <w:sz w:val="24"/>
          <w:szCs w:val="24"/>
          <w:u w:val="single"/>
        </w:rPr>
      </w:pPr>
      <w:r>
        <w:rPr>
          <w:rFonts w:ascii="Arial" w:hAnsi="Arial" w:cs="Arial"/>
          <w:b/>
          <w:sz w:val="24"/>
          <w:szCs w:val="24"/>
          <w:u w:val="single"/>
        </w:rPr>
        <w:t>Consultation/Engagement</w:t>
      </w:r>
    </w:p>
    <w:p w:rsidR="00F71230" w:rsidRDefault="00F71230" w:rsidP="00F71230">
      <w:pPr>
        <w:pStyle w:val="NoSpacing"/>
        <w:ind w:left="720"/>
        <w:rPr>
          <w:rFonts w:ascii="Arial" w:hAnsi="Arial" w:cs="Arial"/>
          <w:b/>
          <w:szCs w:val="24"/>
          <w:u w:val="single"/>
        </w:rPr>
      </w:pPr>
    </w:p>
    <w:p w:rsidR="00F71230" w:rsidRDefault="00F71230" w:rsidP="004C15FD">
      <w:pPr>
        <w:pStyle w:val="NoSpacing"/>
        <w:numPr>
          <w:ilvl w:val="1"/>
          <w:numId w:val="4"/>
        </w:numPr>
        <w:ind w:left="709"/>
        <w:rPr>
          <w:rFonts w:ascii="Arial" w:hAnsi="Arial" w:cs="Arial"/>
          <w:sz w:val="24"/>
          <w:szCs w:val="24"/>
          <w:u w:val="single"/>
        </w:rPr>
      </w:pPr>
      <w:r>
        <w:rPr>
          <w:rFonts w:ascii="Arial" w:hAnsi="Arial" w:cs="Arial"/>
          <w:sz w:val="24"/>
          <w:szCs w:val="24"/>
        </w:rPr>
        <w:t>The pay forecasts are based on information received from HR Organisational Management</w:t>
      </w:r>
    </w:p>
    <w:p w:rsidR="00F71230" w:rsidRDefault="00F71230" w:rsidP="00F71230">
      <w:pPr>
        <w:pStyle w:val="NoSpacing"/>
        <w:ind w:left="709"/>
        <w:rPr>
          <w:rFonts w:ascii="Arial" w:hAnsi="Arial" w:cs="Arial"/>
          <w:sz w:val="24"/>
          <w:szCs w:val="24"/>
        </w:rPr>
      </w:pPr>
    </w:p>
    <w:p w:rsidR="00F71230" w:rsidRDefault="00F71230" w:rsidP="004C15FD">
      <w:pPr>
        <w:pStyle w:val="NoSpacing"/>
        <w:numPr>
          <w:ilvl w:val="0"/>
          <w:numId w:val="4"/>
        </w:numPr>
        <w:rPr>
          <w:rFonts w:ascii="Arial" w:hAnsi="Arial" w:cs="Arial"/>
          <w:b/>
          <w:sz w:val="24"/>
          <w:szCs w:val="24"/>
          <w:u w:val="single"/>
        </w:rPr>
      </w:pPr>
      <w:r>
        <w:rPr>
          <w:rFonts w:ascii="Arial" w:hAnsi="Arial" w:cs="Arial"/>
          <w:b/>
          <w:sz w:val="24"/>
          <w:szCs w:val="24"/>
          <w:u w:val="single"/>
        </w:rPr>
        <w:t>Actions for Improvement</w:t>
      </w:r>
    </w:p>
    <w:p w:rsidR="00F71230" w:rsidRDefault="00F71230" w:rsidP="00F71230">
      <w:pPr>
        <w:pStyle w:val="NoSpacing"/>
        <w:ind w:left="720"/>
        <w:rPr>
          <w:rFonts w:ascii="Arial" w:hAnsi="Arial" w:cs="Arial"/>
          <w:sz w:val="24"/>
          <w:szCs w:val="24"/>
        </w:rPr>
      </w:pPr>
    </w:p>
    <w:p w:rsidR="00F71230" w:rsidRDefault="00F71230" w:rsidP="00F71230">
      <w:pPr>
        <w:pStyle w:val="NoSpacing"/>
        <w:ind w:left="720"/>
        <w:rPr>
          <w:rFonts w:ascii="Arial" w:hAnsi="Arial" w:cs="Arial"/>
          <w:sz w:val="24"/>
          <w:szCs w:val="24"/>
        </w:rPr>
      </w:pPr>
      <w:r>
        <w:rPr>
          <w:rFonts w:ascii="Arial" w:hAnsi="Arial" w:cs="Arial"/>
          <w:sz w:val="24"/>
          <w:szCs w:val="24"/>
        </w:rPr>
        <w:t>N/A.</w:t>
      </w:r>
    </w:p>
    <w:p w:rsidR="00F71230" w:rsidRDefault="00F71230" w:rsidP="00F71230">
      <w:pPr>
        <w:pStyle w:val="NoSpacing"/>
        <w:ind w:left="709"/>
        <w:rPr>
          <w:rFonts w:ascii="Arial" w:hAnsi="Arial" w:cs="Arial"/>
          <w:sz w:val="24"/>
          <w:szCs w:val="24"/>
        </w:rPr>
      </w:pPr>
    </w:p>
    <w:p w:rsidR="00F71230" w:rsidRDefault="00F71230" w:rsidP="004C15FD">
      <w:pPr>
        <w:pStyle w:val="NoSpacing"/>
        <w:numPr>
          <w:ilvl w:val="0"/>
          <w:numId w:val="4"/>
        </w:numPr>
        <w:rPr>
          <w:rFonts w:ascii="Arial" w:hAnsi="Arial" w:cs="Arial"/>
          <w:b/>
          <w:sz w:val="24"/>
          <w:szCs w:val="24"/>
          <w:u w:val="single"/>
        </w:rPr>
      </w:pPr>
      <w:r>
        <w:rPr>
          <w:rFonts w:ascii="Arial" w:hAnsi="Arial" w:cs="Arial"/>
          <w:b/>
          <w:sz w:val="24"/>
          <w:szCs w:val="24"/>
          <w:u w:val="single"/>
        </w:rPr>
        <w:t>Future Work/Development and Expected Outcome</w:t>
      </w:r>
    </w:p>
    <w:p w:rsidR="00F71230" w:rsidRDefault="00F71230" w:rsidP="00F71230">
      <w:pPr>
        <w:pStyle w:val="NoSpacing"/>
        <w:ind w:left="720"/>
        <w:rPr>
          <w:rFonts w:ascii="Arial" w:hAnsi="Arial" w:cs="Arial"/>
          <w:b/>
          <w:sz w:val="24"/>
          <w:szCs w:val="24"/>
          <w:u w:val="single"/>
        </w:rPr>
      </w:pPr>
    </w:p>
    <w:p w:rsidR="00F71230" w:rsidRDefault="00F71230" w:rsidP="004C15FD">
      <w:pPr>
        <w:pStyle w:val="NoSpacing"/>
        <w:numPr>
          <w:ilvl w:val="1"/>
          <w:numId w:val="4"/>
        </w:numPr>
        <w:ind w:left="709"/>
        <w:rPr>
          <w:rFonts w:ascii="Arial" w:hAnsi="Arial" w:cs="Arial"/>
          <w:sz w:val="24"/>
          <w:szCs w:val="24"/>
        </w:rPr>
      </w:pPr>
      <w:r>
        <w:rPr>
          <w:rFonts w:ascii="Arial" w:hAnsi="Arial" w:cs="Arial"/>
          <w:sz w:val="24"/>
          <w:szCs w:val="24"/>
        </w:rPr>
        <w:t>Reviews will continue with budget holders, working towards a balanced budget by year end.</w:t>
      </w:r>
    </w:p>
    <w:p w:rsidR="00F71230" w:rsidRDefault="00F71230" w:rsidP="00F71230">
      <w:pPr>
        <w:pStyle w:val="NoSpacing"/>
        <w:ind w:left="720"/>
        <w:rPr>
          <w:rFonts w:ascii="Arial" w:hAnsi="Arial" w:cs="Arial"/>
          <w:sz w:val="24"/>
          <w:szCs w:val="24"/>
        </w:rPr>
      </w:pPr>
    </w:p>
    <w:p w:rsidR="00F71230" w:rsidRDefault="00F71230" w:rsidP="004C15FD">
      <w:pPr>
        <w:pStyle w:val="NoSpacing"/>
        <w:numPr>
          <w:ilvl w:val="0"/>
          <w:numId w:val="4"/>
        </w:numPr>
        <w:rPr>
          <w:rFonts w:ascii="Arial" w:hAnsi="Arial" w:cs="Arial"/>
          <w:b/>
          <w:sz w:val="24"/>
          <w:szCs w:val="24"/>
          <w:u w:val="single"/>
        </w:rPr>
      </w:pPr>
      <w:r>
        <w:rPr>
          <w:rFonts w:ascii="Arial" w:hAnsi="Arial" w:cs="Arial"/>
          <w:b/>
          <w:sz w:val="24"/>
          <w:szCs w:val="24"/>
          <w:u w:val="single"/>
        </w:rPr>
        <w:t>Decisions Required by the Police, Fire and Crime Commissioner</w:t>
      </w:r>
    </w:p>
    <w:p w:rsidR="00F71230" w:rsidRDefault="00F71230" w:rsidP="00F71230">
      <w:pPr>
        <w:pStyle w:val="NoSpacing"/>
        <w:ind w:left="720"/>
        <w:rPr>
          <w:rFonts w:ascii="Arial" w:hAnsi="Arial" w:cs="Arial"/>
          <w:b/>
          <w:sz w:val="24"/>
          <w:szCs w:val="24"/>
          <w:u w:val="single"/>
        </w:rPr>
      </w:pPr>
    </w:p>
    <w:p w:rsidR="00F71230" w:rsidRDefault="006C7262" w:rsidP="004C15FD">
      <w:pPr>
        <w:pStyle w:val="NoSpacing"/>
        <w:numPr>
          <w:ilvl w:val="1"/>
          <w:numId w:val="4"/>
        </w:numPr>
        <w:ind w:left="709"/>
        <w:rPr>
          <w:rFonts w:ascii="Arial" w:hAnsi="Arial" w:cs="Arial"/>
          <w:sz w:val="24"/>
          <w:szCs w:val="24"/>
        </w:rPr>
      </w:pPr>
      <w:r>
        <w:rPr>
          <w:rFonts w:ascii="Arial" w:hAnsi="Arial" w:cs="Arial"/>
          <w:sz w:val="24"/>
          <w:szCs w:val="24"/>
        </w:rPr>
        <w:t>None.</w:t>
      </w:r>
    </w:p>
    <w:p w:rsidR="00AC05F5" w:rsidRDefault="00AC05F5" w:rsidP="00AC05F5">
      <w:pPr>
        <w:jc w:val="center"/>
        <w:outlineLvl w:val="0"/>
        <w:rPr>
          <w:rFonts w:ascii="Tahoma" w:hAnsi="Tahoma" w:cs="Tahoma"/>
          <w:b/>
        </w:rPr>
      </w:pPr>
    </w:p>
    <w:p w:rsidR="00C53486" w:rsidRDefault="00C53486" w:rsidP="00AC05F5">
      <w:pPr>
        <w:jc w:val="center"/>
        <w:outlineLvl w:val="0"/>
        <w:rPr>
          <w:rFonts w:ascii="Tahoma" w:hAnsi="Tahoma" w:cs="Tahoma"/>
          <w:b/>
        </w:rPr>
        <w:sectPr w:rsidR="00C53486" w:rsidSect="009E6C5A">
          <w:headerReference w:type="default" r:id="rId8"/>
          <w:footerReference w:type="default" r:id="rId9"/>
          <w:pgSz w:w="11906" w:h="16838"/>
          <w:pgMar w:top="1135" w:right="707" w:bottom="1440" w:left="851" w:header="708" w:footer="708" w:gutter="0"/>
          <w:cols w:space="708"/>
          <w:docGrid w:linePitch="360"/>
        </w:sectPr>
      </w:pPr>
    </w:p>
    <w:p w:rsidR="006C7262" w:rsidRPr="009E0ACF" w:rsidRDefault="006C7262" w:rsidP="006C7262">
      <w:pPr>
        <w:pStyle w:val="Heading1"/>
        <w:ind w:left="-993" w:firstLine="0"/>
        <w:rPr>
          <w:noProof/>
        </w:rPr>
      </w:pPr>
      <w:bookmarkStart w:id="10" w:name="_Toc456249285"/>
      <w:bookmarkStart w:id="11" w:name="_Toc456335426"/>
      <w:bookmarkStart w:id="12" w:name="_Toc464397750"/>
      <w:bookmarkStart w:id="13" w:name="_Toc464397838"/>
      <w:bookmarkStart w:id="14" w:name="_Toc475009493"/>
      <w:bookmarkStart w:id="15" w:name="_Toc487212537"/>
      <w:bookmarkStart w:id="16" w:name="_Toc487212640"/>
      <w:bookmarkStart w:id="17" w:name="_Toc487639463"/>
      <w:bookmarkStart w:id="18" w:name="_Toc487642206"/>
      <w:bookmarkStart w:id="19" w:name="_Toc487644106"/>
      <w:bookmarkStart w:id="20" w:name="_Toc487644968"/>
      <w:bookmarkStart w:id="21" w:name="_Toc487645494"/>
      <w:bookmarkStart w:id="22" w:name="_Toc487730305"/>
      <w:bookmarkStart w:id="23" w:name="_Toc495874919"/>
      <w:bookmarkStart w:id="24" w:name="_Toc495920591"/>
      <w:bookmarkStart w:id="25" w:name="_Toc495920708"/>
      <w:bookmarkStart w:id="26" w:name="_Toc506309643"/>
      <w:bookmarkStart w:id="27" w:name="_Toc507149729"/>
      <w:bookmarkStart w:id="28" w:name="_Toc519251374"/>
      <w:bookmarkStart w:id="29" w:name="_Toc519698142"/>
      <w:bookmarkStart w:id="30" w:name="_Toc519698264"/>
      <w:bookmarkEnd w:id="0"/>
      <w:bookmarkEnd w:id="1"/>
      <w:bookmarkEnd w:id="2"/>
      <w:bookmarkEnd w:id="3"/>
      <w:bookmarkEnd w:id="4"/>
      <w:bookmarkEnd w:id="5"/>
      <w:bookmarkEnd w:id="6"/>
      <w:bookmarkEnd w:id="7"/>
      <w:bookmarkEnd w:id="8"/>
      <w:r w:rsidRPr="009E0ACF">
        <w:lastRenderedPageBreak/>
        <w:t>Executive Summary</w:t>
      </w:r>
      <w:r>
        <w:t xml:space="preserve"> – </w:t>
      </w:r>
      <w:bookmarkEnd w:id="10"/>
      <w:bookmarkEnd w:id="11"/>
      <w:bookmarkEnd w:id="12"/>
      <w:bookmarkEnd w:id="13"/>
      <w:bookmarkEnd w:id="14"/>
      <w:r>
        <w:t xml:space="preserve">2018/19 –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t>Month 11</w:t>
      </w:r>
    </w:p>
    <w:p w:rsidR="006C7262" w:rsidRDefault="006C7262" w:rsidP="006C7262">
      <w:pPr>
        <w:ind w:left="-851" w:right="-643"/>
        <w:jc w:val="center"/>
        <w:rPr>
          <w:rFonts w:ascii="Tahoma" w:hAnsi="Tahoma" w:cs="Tahoma"/>
          <w:b/>
          <w:u w:val="single"/>
        </w:rPr>
      </w:pPr>
      <w:r>
        <w:rPr>
          <w:rFonts w:ascii="Tahoma" w:hAnsi="Tahoma" w:cs="Tahoma"/>
          <w:b/>
          <w:noProof/>
          <w:u w:val="single"/>
        </w:rPr>
        <w:drawing>
          <wp:anchor distT="0" distB="0" distL="114300" distR="114300" simplePos="0" relativeHeight="251659264" behindDoc="0" locked="0" layoutInCell="1" allowOverlap="1" wp14:anchorId="07ADCBB9" wp14:editId="316D23F7">
            <wp:simplePos x="0" y="0"/>
            <wp:positionH relativeFrom="column">
              <wp:posOffset>-647700</wp:posOffset>
            </wp:positionH>
            <wp:positionV relativeFrom="paragraph">
              <wp:posOffset>-3175</wp:posOffset>
            </wp:positionV>
            <wp:extent cx="9791700" cy="5219700"/>
            <wp:effectExtent l="0" t="0" r="3615055" b="6985"/>
            <wp:wrapNone/>
            <wp:docPr id="37"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rsidR="006C7262" w:rsidRDefault="006C7262" w:rsidP="006C7262">
      <w:pPr>
        <w:ind w:left="-851" w:right="-643"/>
        <w:jc w:val="center"/>
        <w:rPr>
          <w:rFonts w:ascii="Tahoma" w:hAnsi="Tahoma" w:cs="Tahoma"/>
          <w:b/>
          <w:u w:val="single"/>
        </w:rPr>
        <w:sectPr w:rsidR="006C7262" w:rsidSect="009E6C5A">
          <w:headerReference w:type="even" r:id="rId15"/>
          <w:headerReference w:type="default" r:id="rId16"/>
          <w:footerReference w:type="default" r:id="rId17"/>
          <w:headerReference w:type="first" r:id="rId18"/>
          <w:pgSz w:w="16838" w:h="11906" w:orient="landscape"/>
          <w:pgMar w:top="851" w:right="1135" w:bottom="707" w:left="1440" w:header="708" w:footer="708" w:gutter="0"/>
          <w:cols w:space="708"/>
          <w:docGrid w:linePitch="360"/>
        </w:sectPr>
      </w:pPr>
    </w:p>
    <w:p w:rsidR="006C7262" w:rsidRPr="0024647F" w:rsidRDefault="006C7262" w:rsidP="006C7262">
      <w:pPr>
        <w:pStyle w:val="Heading1"/>
      </w:pPr>
      <w:bookmarkStart w:id="31" w:name="_Toc424893993"/>
      <w:bookmarkStart w:id="32" w:name="_Toc424896272"/>
      <w:bookmarkStart w:id="33" w:name="_Toc431290610"/>
      <w:bookmarkStart w:id="34" w:name="_Toc432146304"/>
      <w:bookmarkStart w:id="35" w:name="_Toc432146392"/>
      <w:bookmarkStart w:id="36" w:name="_Toc432158490"/>
      <w:bookmarkStart w:id="37" w:name="_Toc440901935"/>
      <w:bookmarkStart w:id="38" w:name="_Toc445373703"/>
      <w:bookmarkStart w:id="39" w:name="_Toc450572664"/>
      <w:bookmarkStart w:id="40" w:name="_Toc456249286"/>
      <w:bookmarkStart w:id="41" w:name="_Toc456335427"/>
      <w:bookmarkStart w:id="42" w:name="_Toc464397751"/>
      <w:bookmarkStart w:id="43" w:name="_Toc464397839"/>
      <w:bookmarkStart w:id="44" w:name="_Toc475009494"/>
      <w:bookmarkStart w:id="45" w:name="_Toc487212538"/>
      <w:bookmarkStart w:id="46" w:name="_Toc487212641"/>
      <w:bookmarkStart w:id="47" w:name="_Toc487639464"/>
      <w:bookmarkStart w:id="48" w:name="_Toc487642207"/>
      <w:bookmarkStart w:id="49" w:name="_Toc487644107"/>
      <w:bookmarkStart w:id="50" w:name="_Toc487644969"/>
      <w:bookmarkStart w:id="51" w:name="_Toc487645495"/>
      <w:bookmarkStart w:id="52" w:name="_Toc487730306"/>
      <w:bookmarkStart w:id="53" w:name="_Toc495874920"/>
      <w:bookmarkStart w:id="54" w:name="_Toc495920592"/>
      <w:bookmarkStart w:id="55" w:name="_Toc495920709"/>
      <w:bookmarkStart w:id="56" w:name="_Toc506309644"/>
      <w:bookmarkStart w:id="57" w:name="_Toc507149730"/>
      <w:bookmarkStart w:id="58" w:name="_Toc519251375"/>
      <w:bookmarkStart w:id="59" w:name="_Toc519698143"/>
      <w:bookmarkStart w:id="60" w:name="_Toc519698265"/>
      <w:r w:rsidRPr="0024647F">
        <w:lastRenderedPageBreak/>
        <w:t>Revenue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i/>
        </w:rPr>
        <w:t xml:space="preserve"> </w:t>
      </w:r>
    </w:p>
    <w:p w:rsidR="006C7262" w:rsidRPr="008334F6" w:rsidRDefault="006C7262" w:rsidP="006C7262">
      <w:pPr>
        <w:pStyle w:val="Heading2"/>
        <w:rPr>
          <w:i/>
          <w:sz w:val="28"/>
          <w:szCs w:val="28"/>
        </w:rPr>
      </w:pPr>
      <w:bookmarkStart w:id="61" w:name="_Toc456249287"/>
      <w:bookmarkStart w:id="62" w:name="_Toc456335428"/>
      <w:bookmarkStart w:id="63" w:name="_Toc464397752"/>
      <w:bookmarkStart w:id="64" w:name="_Toc464397840"/>
      <w:bookmarkStart w:id="65" w:name="_Toc475009495"/>
      <w:bookmarkStart w:id="66" w:name="_Toc487212539"/>
      <w:bookmarkStart w:id="67" w:name="_Toc487212642"/>
      <w:bookmarkStart w:id="68" w:name="_Toc487639465"/>
      <w:bookmarkStart w:id="69" w:name="_Toc487642208"/>
      <w:bookmarkStart w:id="70" w:name="_Toc487644108"/>
      <w:bookmarkStart w:id="71" w:name="_Toc487644970"/>
      <w:bookmarkStart w:id="72" w:name="_Toc487645496"/>
      <w:bookmarkStart w:id="73" w:name="_Toc487730307"/>
      <w:bookmarkStart w:id="74" w:name="_Toc495874921"/>
      <w:bookmarkStart w:id="75" w:name="_Toc495920593"/>
      <w:bookmarkStart w:id="76" w:name="_Toc495920710"/>
      <w:bookmarkStart w:id="77" w:name="_Toc506309645"/>
      <w:bookmarkStart w:id="78" w:name="_Toc507149731"/>
      <w:bookmarkStart w:id="79" w:name="_Toc519251376"/>
      <w:bookmarkStart w:id="80" w:name="_Toc519698144"/>
      <w:bookmarkStart w:id="81" w:name="_Toc519698266"/>
      <w:bookmarkStart w:id="82" w:name="_Toc424893995"/>
      <w:bookmarkStart w:id="83" w:name="_Toc424896274"/>
      <w:bookmarkStart w:id="84" w:name="_Toc431290612"/>
      <w:bookmarkStart w:id="85" w:name="_Toc432146312"/>
      <w:bookmarkStart w:id="86" w:name="_Toc432146400"/>
      <w:bookmarkStart w:id="87" w:name="_Toc432158498"/>
      <w:bookmarkStart w:id="88" w:name="_Toc440901943"/>
      <w:bookmarkStart w:id="89" w:name="_Toc450572665"/>
      <w:bookmarkStart w:id="90" w:name="_Toc424893997"/>
      <w:bookmarkStart w:id="91" w:name="_Toc424896276"/>
      <w:bookmarkStart w:id="92" w:name="_Toc431290614"/>
      <w:bookmarkStart w:id="93" w:name="_Toc432146307"/>
      <w:bookmarkStart w:id="94" w:name="_Toc432146395"/>
      <w:bookmarkStart w:id="95" w:name="_Toc432158493"/>
      <w:bookmarkStart w:id="96" w:name="_Toc440901938"/>
      <w:r>
        <w:rPr>
          <w:noProof/>
        </w:rPr>
        <w:drawing>
          <wp:anchor distT="0" distB="0" distL="114300" distR="114300" simplePos="0" relativeHeight="251666432" behindDoc="0" locked="0" layoutInCell="1" allowOverlap="1" wp14:anchorId="43099791" wp14:editId="62087189">
            <wp:simplePos x="0" y="0"/>
            <wp:positionH relativeFrom="margin">
              <wp:posOffset>5855334</wp:posOffset>
            </wp:positionH>
            <wp:positionV relativeFrom="paragraph">
              <wp:posOffset>414020</wp:posOffset>
            </wp:positionV>
            <wp:extent cx="3743325" cy="5600065"/>
            <wp:effectExtent l="0" t="0" r="9525" b="6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43325" cy="5600065"/>
                    </a:xfrm>
                    <a:prstGeom prst="rect">
                      <a:avLst/>
                    </a:prstGeom>
                    <a:noFill/>
                  </pic:spPr>
                </pic:pic>
              </a:graphicData>
            </a:graphic>
            <wp14:sizeRelH relativeFrom="page">
              <wp14:pctWidth>0</wp14:pctWidth>
            </wp14:sizeRelH>
            <wp14:sizeRelV relativeFrom="page">
              <wp14:pctHeight>0</wp14:pctHeight>
            </wp14:sizeRelV>
          </wp:anchor>
        </w:drawing>
      </w:r>
      <w:r>
        <w:t xml:space="preserve">Revenue Summary – </w:t>
      </w:r>
      <w:bookmarkEnd w:id="61"/>
      <w:bookmarkEnd w:id="62"/>
      <w:bookmarkEnd w:id="63"/>
      <w:bookmarkEnd w:id="64"/>
      <w:bookmarkEnd w:id="65"/>
      <w:r>
        <w:t xml:space="preserve">2018/19 – </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t>Month 11</w:t>
      </w:r>
    </w:p>
    <w:p w:rsidR="006C7262" w:rsidRDefault="006C7262" w:rsidP="006C7262">
      <w:pPr>
        <w:spacing w:line="240" w:lineRule="auto"/>
        <w:jc w:val="center"/>
      </w:pPr>
      <w:r w:rsidRPr="00385098">
        <w:rPr>
          <w:noProof/>
        </w:rPr>
        <w:drawing>
          <wp:anchor distT="0" distB="0" distL="114300" distR="114300" simplePos="0" relativeHeight="251665408" behindDoc="0" locked="0" layoutInCell="1" allowOverlap="1" wp14:anchorId="78F88921" wp14:editId="71B1BA8F">
            <wp:simplePos x="0" y="0"/>
            <wp:positionH relativeFrom="margin">
              <wp:align>left</wp:align>
            </wp:positionH>
            <wp:positionV relativeFrom="paragraph">
              <wp:posOffset>5715</wp:posOffset>
            </wp:positionV>
            <wp:extent cx="5838825" cy="4615180"/>
            <wp:effectExtent l="0" t="0" r="952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54152" cy="4627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7262" w:rsidRDefault="006C7262" w:rsidP="006C7262">
      <w:pPr>
        <w:spacing w:line="240" w:lineRule="auto"/>
        <w:jc w:val="center"/>
      </w:pPr>
    </w:p>
    <w:p w:rsidR="006C7262" w:rsidRDefault="006C7262" w:rsidP="006C7262">
      <w:pPr>
        <w:spacing w:line="240" w:lineRule="auto"/>
        <w:jc w:val="center"/>
      </w:pPr>
    </w:p>
    <w:p w:rsidR="006C7262" w:rsidRDefault="006C7262" w:rsidP="006C7262">
      <w:pPr>
        <w:spacing w:line="240" w:lineRule="auto"/>
        <w:jc w:val="center"/>
      </w:pPr>
    </w:p>
    <w:p w:rsidR="006C7262" w:rsidRDefault="006C7262" w:rsidP="006C7262">
      <w:pPr>
        <w:spacing w:line="240" w:lineRule="auto"/>
        <w:jc w:val="center"/>
      </w:pPr>
    </w:p>
    <w:p w:rsidR="006C7262" w:rsidRDefault="006C7262" w:rsidP="006C7262">
      <w:pPr>
        <w:spacing w:line="240" w:lineRule="auto"/>
        <w:jc w:val="center"/>
      </w:pPr>
    </w:p>
    <w:p w:rsidR="006C7262" w:rsidRDefault="006C7262" w:rsidP="006C7262">
      <w:pPr>
        <w:spacing w:line="240" w:lineRule="auto"/>
        <w:jc w:val="center"/>
      </w:pPr>
    </w:p>
    <w:p w:rsidR="006C7262" w:rsidRDefault="006C7262" w:rsidP="006C7262">
      <w:pPr>
        <w:spacing w:line="240" w:lineRule="auto"/>
        <w:jc w:val="center"/>
      </w:pPr>
    </w:p>
    <w:p w:rsidR="006C7262" w:rsidRDefault="006C7262" w:rsidP="006C7262">
      <w:pPr>
        <w:spacing w:line="240" w:lineRule="auto"/>
        <w:jc w:val="center"/>
      </w:pPr>
    </w:p>
    <w:p w:rsidR="006C7262" w:rsidRDefault="006C7262" w:rsidP="006C7262">
      <w:pPr>
        <w:spacing w:line="240" w:lineRule="auto"/>
        <w:jc w:val="center"/>
      </w:pPr>
    </w:p>
    <w:p w:rsidR="006C7262" w:rsidRDefault="006C7262" w:rsidP="006C7262">
      <w:pPr>
        <w:spacing w:line="240" w:lineRule="auto"/>
        <w:jc w:val="center"/>
      </w:pPr>
    </w:p>
    <w:p w:rsidR="006C7262" w:rsidRDefault="006C7262" w:rsidP="006C7262">
      <w:pPr>
        <w:spacing w:line="240" w:lineRule="auto"/>
        <w:jc w:val="center"/>
      </w:pPr>
    </w:p>
    <w:p w:rsidR="006C7262" w:rsidRDefault="006C7262" w:rsidP="006C7262">
      <w:pPr>
        <w:spacing w:line="240" w:lineRule="auto"/>
        <w:jc w:val="center"/>
      </w:pPr>
      <w:r>
        <w:rPr>
          <w:noProof/>
        </w:rPr>
        <w:drawing>
          <wp:anchor distT="0" distB="0" distL="114300" distR="114300" simplePos="0" relativeHeight="251660288" behindDoc="0" locked="0" layoutInCell="1" allowOverlap="1" wp14:anchorId="4A4EFEA7" wp14:editId="538C2C80">
            <wp:simplePos x="0" y="0"/>
            <wp:positionH relativeFrom="column">
              <wp:posOffset>1736725</wp:posOffset>
            </wp:positionH>
            <wp:positionV relativeFrom="paragraph">
              <wp:posOffset>2695575</wp:posOffset>
            </wp:positionV>
            <wp:extent cx="4170045" cy="621665"/>
            <wp:effectExtent l="0" t="0" r="1905"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70045" cy="621665"/>
                    </a:xfrm>
                    <a:prstGeom prst="rect">
                      <a:avLst/>
                    </a:prstGeom>
                    <a:noFill/>
                  </pic:spPr>
                </pic:pic>
              </a:graphicData>
            </a:graphic>
            <wp14:sizeRelH relativeFrom="page">
              <wp14:pctWidth>0</wp14:pctWidth>
            </wp14:sizeRelH>
            <wp14:sizeRelV relativeFrom="page">
              <wp14:pctHeight>0</wp14:pctHeight>
            </wp14:sizeRelV>
          </wp:anchor>
        </w:drawing>
      </w:r>
    </w:p>
    <w:p w:rsidR="006C7262" w:rsidRDefault="006C7262" w:rsidP="006C7262">
      <w:pPr>
        <w:rPr>
          <w:rFonts w:eastAsiaTheme="minorHAnsi"/>
        </w:rPr>
        <w:sectPr w:rsidR="006C7262" w:rsidSect="00124BBC">
          <w:headerReference w:type="even" r:id="rId22"/>
          <w:headerReference w:type="default" r:id="rId23"/>
          <w:footerReference w:type="default" r:id="rId24"/>
          <w:headerReference w:type="first" r:id="rId25"/>
          <w:pgSz w:w="16838" w:h="11906" w:orient="landscape"/>
          <w:pgMar w:top="1134" w:right="1134" w:bottom="1134" w:left="709" w:header="709" w:footer="709" w:gutter="0"/>
          <w:cols w:space="708"/>
          <w:docGrid w:linePitch="360"/>
        </w:sectPr>
      </w:pPr>
      <w:bookmarkStart w:id="97" w:name="_Toc450572666"/>
      <w:bookmarkStart w:id="98" w:name="_Toc456249288"/>
      <w:bookmarkStart w:id="99" w:name="_Toc456335429"/>
      <w:bookmarkStart w:id="100" w:name="_Toc464397754"/>
      <w:bookmarkStart w:id="101" w:name="_Toc464397842"/>
      <w:bookmarkStart w:id="102" w:name="_Toc475009498"/>
      <w:bookmarkStart w:id="103" w:name="_Toc487212542"/>
      <w:bookmarkStart w:id="104" w:name="_Toc487212645"/>
      <w:bookmarkStart w:id="105" w:name="_Toc487639466"/>
      <w:bookmarkStart w:id="106" w:name="_Toc487642209"/>
      <w:bookmarkStart w:id="107" w:name="_Toc487644110"/>
      <w:bookmarkStart w:id="108" w:name="_Toc487644972"/>
      <w:bookmarkStart w:id="109" w:name="_Toc487645498"/>
      <w:bookmarkStart w:id="110" w:name="_Toc487730309"/>
    </w:p>
    <w:p w:rsidR="006C7262" w:rsidRDefault="006C7262" w:rsidP="006C7262">
      <w:pPr>
        <w:pStyle w:val="Heading2"/>
      </w:pPr>
      <w:bookmarkStart w:id="111" w:name="_Toc456249290"/>
      <w:bookmarkStart w:id="112" w:name="_Toc456335431"/>
      <w:bookmarkStart w:id="113" w:name="_Toc464397756"/>
      <w:bookmarkStart w:id="114" w:name="_Toc464397844"/>
      <w:bookmarkStart w:id="115" w:name="_Toc475009500"/>
      <w:bookmarkStart w:id="116" w:name="_Toc487212547"/>
      <w:bookmarkStart w:id="117" w:name="_Toc487212650"/>
      <w:bookmarkStart w:id="118" w:name="_Toc487639471"/>
      <w:bookmarkStart w:id="119" w:name="_Toc487642214"/>
      <w:bookmarkStart w:id="120" w:name="_Toc487644115"/>
      <w:bookmarkStart w:id="121" w:name="_Toc487644977"/>
      <w:bookmarkStart w:id="122" w:name="_Toc487645503"/>
      <w:bookmarkStart w:id="123" w:name="_Toc487730314"/>
      <w:bookmarkStart w:id="124" w:name="_Toc424893998"/>
      <w:bookmarkStart w:id="125" w:name="_Toc424896278"/>
      <w:bookmarkStart w:id="126" w:name="_Toc431290607"/>
      <w:bookmarkStart w:id="127" w:name="_Toc432146308"/>
      <w:bookmarkStart w:id="128" w:name="_Toc432146396"/>
      <w:bookmarkStart w:id="129" w:name="_Toc432158494"/>
      <w:bookmarkStart w:id="130" w:name="_Toc440901939"/>
      <w:bookmarkStart w:id="131" w:name="_Toc445373704"/>
      <w:bookmarkStart w:id="132" w:name="_Toc450572668"/>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lastRenderedPageBreak/>
        <w:t xml:space="preserve">Main </w:t>
      </w:r>
      <w:r w:rsidRPr="008D1B1E">
        <w:t xml:space="preserve">Forecast </w:t>
      </w:r>
      <w:r>
        <w:t>Movements since month 10</w:t>
      </w:r>
    </w:p>
    <w:p w:rsidR="006C7262" w:rsidRPr="00345828" w:rsidRDefault="006C7262" w:rsidP="006C7262">
      <w:pPr>
        <w:rPr>
          <w:rFonts w:eastAsiaTheme="minorHAnsi"/>
        </w:rPr>
      </w:pPr>
      <w:r w:rsidRPr="00074A3E">
        <w:rPr>
          <w:noProof/>
        </w:rPr>
        <w:drawing>
          <wp:inline distT="0" distB="0" distL="0" distR="0" wp14:anchorId="4394108D" wp14:editId="224BDA33">
            <wp:extent cx="9521825" cy="283969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1825" cy="2839695"/>
                    </a:xfrm>
                    <a:prstGeom prst="rect">
                      <a:avLst/>
                    </a:prstGeom>
                    <a:noFill/>
                    <a:ln>
                      <a:noFill/>
                    </a:ln>
                  </pic:spPr>
                </pic:pic>
              </a:graphicData>
            </a:graphic>
          </wp:inline>
        </w:drawing>
      </w:r>
      <w:r>
        <w:br w:type="page"/>
      </w:r>
    </w:p>
    <w:p w:rsidR="006C7262" w:rsidRPr="002767F0" w:rsidRDefault="006C7262" w:rsidP="006C7262">
      <w:pPr>
        <w:pStyle w:val="Heading1"/>
        <w:rPr>
          <w:i/>
          <w:color w:val="auto"/>
          <w:sz w:val="52"/>
        </w:rPr>
      </w:pPr>
      <w:bookmarkStart w:id="133" w:name="_Toc495874932"/>
      <w:bookmarkStart w:id="134" w:name="_Toc495920604"/>
      <w:bookmarkStart w:id="135" w:name="_Toc495920721"/>
      <w:bookmarkStart w:id="136" w:name="_Toc506309657"/>
      <w:bookmarkStart w:id="137" w:name="_Toc507149743"/>
      <w:bookmarkStart w:id="138" w:name="_Toc519251386"/>
      <w:bookmarkStart w:id="139" w:name="_Toc519698153"/>
      <w:bookmarkStart w:id="140" w:name="_Toc519698275"/>
      <w:r w:rsidRPr="004F34DD">
        <w:lastRenderedPageBreak/>
        <w:t>Workforce Analysis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33"/>
      <w:bookmarkEnd w:id="134"/>
      <w:bookmarkEnd w:id="135"/>
      <w:bookmarkEnd w:id="136"/>
      <w:bookmarkEnd w:id="137"/>
      <w:bookmarkEnd w:id="138"/>
      <w:bookmarkEnd w:id="139"/>
      <w:bookmarkEnd w:id="140"/>
      <w:r>
        <w:t xml:space="preserve"> </w:t>
      </w:r>
      <w:bookmarkStart w:id="141" w:name="_Toc456249291"/>
      <w:bookmarkStart w:id="142" w:name="_Toc456335432"/>
      <w:bookmarkStart w:id="143" w:name="_Toc464397757"/>
      <w:bookmarkStart w:id="144" w:name="_Toc464397845"/>
      <w:bookmarkStart w:id="145" w:name="_Toc475009501"/>
      <w:bookmarkStart w:id="146" w:name="_Toc487212548"/>
      <w:bookmarkStart w:id="147" w:name="_Toc487212651"/>
      <w:bookmarkStart w:id="148" w:name="_Toc487639472"/>
      <w:bookmarkStart w:id="149" w:name="_Toc487642215"/>
      <w:bookmarkStart w:id="150" w:name="_Toc487644116"/>
      <w:bookmarkStart w:id="151" w:name="_Toc487644978"/>
      <w:bookmarkStart w:id="152" w:name="_Toc487645504"/>
      <w:bookmarkStart w:id="153" w:name="_Toc487730315"/>
      <w:bookmarkStart w:id="154" w:name="_Toc495874933"/>
      <w:bookmarkStart w:id="155" w:name="_Toc495920605"/>
      <w:bookmarkStart w:id="156" w:name="_Toc495920722"/>
    </w:p>
    <w:p w:rsidR="006C7262" w:rsidRPr="00437118" w:rsidRDefault="006C7262" w:rsidP="006C7262">
      <w:pPr>
        <w:pStyle w:val="Heading2"/>
        <w:rPr>
          <w:i/>
          <w:color w:val="auto"/>
          <w:sz w:val="36"/>
          <w:szCs w:val="36"/>
        </w:rPr>
      </w:pPr>
      <w:bookmarkStart w:id="157" w:name="_Toc495874934"/>
      <w:bookmarkStart w:id="158" w:name="_Toc495920606"/>
      <w:bookmarkStart w:id="159" w:name="_Toc495920723"/>
      <w:bookmarkStart w:id="160" w:name="_Toc506309658"/>
      <w:bookmarkStart w:id="161" w:name="_Toc507149744"/>
      <w:bookmarkStart w:id="162" w:name="_Toc519251387"/>
      <w:bookmarkStart w:id="163" w:name="_Toc519698154"/>
      <w:bookmarkStart w:id="164" w:name="_Toc519698276"/>
      <w:bookmarkStart w:id="165" w:name="_Toc456249292"/>
      <w:bookmarkStart w:id="166" w:name="_Toc456335433"/>
      <w:bookmarkStart w:id="167" w:name="_Toc464397758"/>
      <w:bookmarkStart w:id="168" w:name="_Toc464397846"/>
      <w:bookmarkStart w:id="169" w:name="_Toc475009502"/>
      <w:bookmarkStart w:id="170" w:name="_Toc487212549"/>
      <w:bookmarkStart w:id="171" w:name="_Toc487212652"/>
      <w:bookmarkStart w:id="172" w:name="_Toc487639473"/>
      <w:bookmarkStart w:id="173" w:name="_Toc487642216"/>
      <w:bookmarkStart w:id="174" w:name="_Toc487644117"/>
      <w:bookmarkStart w:id="175" w:name="_Toc487644979"/>
      <w:bookmarkStart w:id="176" w:name="_Toc487645505"/>
      <w:bookmarkStart w:id="177" w:name="_Toc487730316"/>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t>Pay Summary</w:t>
      </w:r>
      <w:bookmarkEnd w:id="157"/>
      <w:bookmarkEnd w:id="158"/>
      <w:bookmarkEnd w:id="159"/>
      <w:bookmarkEnd w:id="160"/>
      <w:bookmarkEnd w:id="161"/>
      <w:bookmarkEnd w:id="162"/>
      <w:bookmarkEnd w:id="163"/>
      <w:bookmarkEnd w:id="164"/>
    </w:p>
    <w:p w:rsidR="006C7262" w:rsidRDefault="006C7262" w:rsidP="006C7262">
      <w:r w:rsidRPr="00070609">
        <w:rPr>
          <w:noProof/>
        </w:rPr>
        <w:drawing>
          <wp:inline distT="0" distB="0" distL="0" distR="0" wp14:anchorId="52FE9C5C" wp14:editId="0CC15A5B">
            <wp:extent cx="9521825" cy="2958544"/>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1825" cy="2958544"/>
                    </a:xfrm>
                    <a:prstGeom prst="rect">
                      <a:avLst/>
                    </a:prstGeom>
                    <a:noFill/>
                    <a:ln>
                      <a:noFill/>
                    </a:ln>
                  </pic:spPr>
                </pic:pic>
              </a:graphicData>
            </a:graphic>
          </wp:inline>
        </w:drawing>
      </w:r>
    </w:p>
    <w:p w:rsidR="006C7262" w:rsidRDefault="006C7262" w:rsidP="006C7262">
      <w:pPr>
        <w:pStyle w:val="Heading2"/>
      </w:pPr>
      <w:bookmarkStart w:id="178" w:name="_Toc519251388"/>
      <w:bookmarkStart w:id="179" w:name="_Toc519698155"/>
      <w:bookmarkStart w:id="180" w:name="_Toc519698277"/>
      <w:bookmarkStart w:id="181" w:name="_Toc495874935"/>
      <w:bookmarkStart w:id="182" w:name="_Toc495920607"/>
      <w:bookmarkStart w:id="183" w:name="_Toc495920724"/>
      <w:bookmarkStart w:id="184" w:name="_Toc506309659"/>
      <w:bookmarkStart w:id="185" w:name="_Toc507149745"/>
      <w:bookmarkEnd w:id="165"/>
      <w:bookmarkEnd w:id="166"/>
      <w:bookmarkEnd w:id="167"/>
      <w:bookmarkEnd w:id="168"/>
      <w:bookmarkEnd w:id="169"/>
      <w:bookmarkEnd w:id="170"/>
      <w:bookmarkEnd w:id="171"/>
      <w:bookmarkEnd w:id="172"/>
      <w:bookmarkEnd w:id="173"/>
      <w:bookmarkEnd w:id="174"/>
      <w:bookmarkEnd w:id="175"/>
      <w:bookmarkEnd w:id="176"/>
      <w:bookmarkEnd w:id="177"/>
      <w:r>
        <w:lastRenderedPageBreak/>
        <w:t xml:space="preserve">Police Officer </w:t>
      </w:r>
      <w:r w:rsidRPr="009E576C">
        <w:t>FTEs</w:t>
      </w:r>
      <w:bookmarkEnd w:id="178"/>
      <w:bookmarkEnd w:id="179"/>
      <w:bookmarkEnd w:id="180"/>
      <w:r>
        <w:t xml:space="preserve"> </w:t>
      </w:r>
      <w:bookmarkEnd w:id="181"/>
      <w:bookmarkEnd w:id="182"/>
      <w:bookmarkEnd w:id="183"/>
      <w:bookmarkEnd w:id="184"/>
      <w:bookmarkEnd w:id="185"/>
    </w:p>
    <w:p w:rsidR="006C7262" w:rsidRDefault="006C7262" w:rsidP="006C7262">
      <w:pPr>
        <w:pStyle w:val="Heading3"/>
        <w:numPr>
          <w:ilvl w:val="0"/>
          <w:numId w:val="0"/>
        </w:numPr>
        <w:spacing w:before="0" w:line="240" w:lineRule="auto"/>
        <w:jc w:val="left"/>
      </w:pPr>
      <w:r w:rsidRPr="00025D42">
        <w:rPr>
          <w:noProof/>
        </w:rPr>
        <w:drawing>
          <wp:inline distT="0" distB="0" distL="0" distR="0" wp14:anchorId="70B3FBDE" wp14:editId="43D2774C">
            <wp:extent cx="9505950" cy="551467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37857" cy="5533187"/>
                    </a:xfrm>
                    <a:prstGeom prst="rect">
                      <a:avLst/>
                    </a:prstGeom>
                    <a:noFill/>
                    <a:ln>
                      <a:noFill/>
                    </a:ln>
                  </pic:spPr>
                </pic:pic>
              </a:graphicData>
            </a:graphic>
          </wp:inline>
        </w:drawing>
      </w:r>
      <w:r>
        <w:br w:type="page"/>
      </w:r>
    </w:p>
    <w:p w:rsidR="006C7262" w:rsidRDefault="006C7262" w:rsidP="006C7262">
      <w:r>
        <w:rPr>
          <w:noProof/>
        </w:rPr>
        <w:lastRenderedPageBreak/>
        <w:drawing>
          <wp:anchor distT="0" distB="0" distL="114300" distR="114300" simplePos="0" relativeHeight="251661312" behindDoc="0" locked="0" layoutInCell="1" allowOverlap="1" wp14:anchorId="7C377DFD" wp14:editId="77E95BE0">
            <wp:simplePos x="0" y="0"/>
            <wp:positionH relativeFrom="page">
              <wp:posOffset>2438400</wp:posOffset>
            </wp:positionH>
            <wp:positionV relativeFrom="paragraph">
              <wp:posOffset>3499485</wp:posOffset>
            </wp:positionV>
            <wp:extent cx="5957891" cy="3228975"/>
            <wp:effectExtent l="0" t="0" r="508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57891" cy="3228975"/>
                    </a:xfrm>
                    <a:prstGeom prst="rect">
                      <a:avLst/>
                    </a:prstGeom>
                    <a:noFill/>
                  </pic:spPr>
                </pic:pic>
              </a:graphicData>
            </a:graphic>
            <wp14:sizeRelH relativeFrom="page">
              <wp14:pctWidth>0</wp14:pctWidth>
            </wp14:sizeRelH>
            <wp14:sizeRelV relativeFrom="page">
              <wp14:pctHeight>0</wp14:pctHeight>
            </wp14:sizeRelV>
          </wp:anchor>
        </w:drawing>
      </w:r>
      <w:r w:rsidRPr="00025D42">
        <w:rPr>
          <w:noProof/>
        </w:rPr>
        <w:drawing>
          <wp:inline distT="0" distB="0" distL="0" distR="0" wp14:anchorId="4E76A213" wp14:editId="38349CED">
            <wp:extent cx="9521825" cy="3454430"/>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1825" cy="3454430"/>
                    </a:xfrm>
                    <a:prstGeom prst="rect">
                      <a:avLst/>
                    </a:prstGeom>
                    <a:noFill/>
                    <a:ln>
                      <a:noFill/>
                    </a:ln>
                  </pic:spPr>
                </pic:pic>
              </a:graphicData>
            </a:graphic>
          </wp:inline>
        </w:drawing>
      </w:r>
    </w:p>
    <w:p w:rsidR="006C7262" w:rsidRDefault="006C7262" w:rsidP="006C7262"/>
    <w:p w:rsidR="006C7262" w:rsidRDefault="006C7262" w:rsidP="006C7262">
      <w:pPr>
        <w:spacing w:line="240" w:lineRule="auto"/>
        <w:jc w:val="left"/>
      </w:pPr>
    </w:p>
    <w:p w:rsidR="006C7262" w:rsidRDefault="006C7262" w:rsidP="006C7262">
      <w:pPr>
        <w:spacing w:line="240" w:lineRule="auto"/>
        <w:jc w:val="left"/>
      </w:pPr>
    </w:p>
    <w:p w:rsidR="006C7262" w:rsidRDefault="006C7262" w:rsidP="006C7262">
      <w:pPr>
        <w:spacing w:line="240" w:lineRule="auto"/>
        <w:jc w:val="left"/>
      </w:pPr>
    </w:p>
    <w:p w:rsidR="006C7262" w:rsidRDefault="006C7262" w:rsidP="006C7262">
      <w:pPr>
        <w:spacing w:line="240" w:lineRule="auto"/>
        <w:jc w:val="left"/>
      </w:pPr>
    </w:p>
    <w:p w:rsidR="006C7262" w:rsidRDefault="006C7262" w:rsidP="006C7262">
      <w:pPr>
        <w:spacing w:line="240" w:lineRule="auto"/>
        <w:jc w:val="left"/>
      </w:pPr>
    </w:p>
    <w:p w:rsidR="006C7262" w:rsidRDefault="006C7262" w:rsidP="006C7262">
      <w:pPr>
        <w:spacing w:line="240" w:lineRule="auto"/>
        <w:jc w:val="left"/>
      </w:pPr>
    </w:p>
    <w:p w:rsidR="006C7262" w:rsidRDefault="006C7262" w:rsidP="006C7262">
      <w:pPr>
        <w:spacing w:line="240" w:lineRule="auto"/>
        <w:jc w:val="left"/>
      </w:pPr>
    </w:p>
    <w:p w:rsidR="006C7262" w:rsidRDefault="006C7262" w:rsidP="006C7262">
      <w:pPr>
        <w:spacing w:line="240" w:lineRule="auto"/>
        <w:jc w:val="left"/>
      </w:pPr>
    </w:p>
    <w:p w:rsidR="006C7262" w:rsidRDefault="006C7262" w:rsidP="006C7262">
      <w:pPr>
        <w:spacing w:line="240" w:lineRule="auto"/>
        <w:jc w:val="left"/>
      </w:pPr>
    </w:p>
    <w:p w:rsidR="006C7262" w:rsidRDefault="006C7262" w:rsidP="006C7262">
      <w:pPr>
        <w:spacing w:line="240" w:lineRule="auto"/>
        <w:jc w:val="left"/>
      </w:pPr>
    </w:p>
    <w:p w:rsidR="006C7262" w:rsidRDefault="006C7262" w:rsidP="006C7262">
      <w:pPr>
        <w:spacing w:line="240" w:lineRule="auto"/>
        <w:jc w:val="left"/>
      </w:pPr>
    </w:p>
    <w:p w:rsidR="006C7262" w:rsidRDefault="006C7262" w:rsidP="006C7262">
      <w:pPr>
        <w:spacing w:line="240" w:lineRule="auto"/>
        <w:jc w:val="left"/>
      </w:pPr>
      <w:r>
        <w:br w:type="page"/>
      </w:r>
    </w:p>
    <w:p w:rsidR="006C7262" w:rsidRDefault="006C7262" w:rsidP="006C7262">
      <w:pPr>
        <w:spacing w:line="240" w:lineRule="auto"/>
        <w:jc w:val="left"/>
      </w:pPr>
      <w:r>
        <w:rPr>
          <w:noProof/>
        </w:rPr>
        <w:lastRenderedPageBreak/>
        <w:drawing>
          <wp:anchor distT="0" distB="0" distL="114300" distR="114300" simplePos="0" relativeHeight="251662336" behindDoc="0" locked="0" layoutInCell="1" allowOverlap="1" wp14:anchorId="55750AC3" wp14:editId="062AAC71">
            <wp:simplePos x="0" y="0"/>
            <wp:positionH relativeFrom="margin">
              <wp:posOffset>4979035</wp:posOffset>
            </wp:positionH>
            <wp:positionV relativeFrom="paragraph">
              <wp:posOffset>3810</wp:posOffset>
            </wp:positionV>
            <wp:extent cx="4783972" cy="3408680"/>
            <wp:effectExtent l="0" t="0" r="0" b="127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83972" cy="34086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E26171C" wp14:editId="06515F86">
            <wp:extent cx="4924425" cy="341880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42344" cy="3431248"/>
                    </a:xfrm>
                    <a:prstGeom prst="rect">
                      <a:avLst/>
                    </a:prstGeom>
                    <a:noFill/>
                  </pic:spPr>
                </pic:pic>
              </a:graphicData>
            </a:graphic>
          </wp:inline>
        </w:drawing>
      </w:r>
    </w:p>
    <w:p w:rsidR="006C7262" w:rsidRDefault="006C7262" w:rsidP="006C7262">
      <w:pPr>
        <w:spacing w:line="240" w:lineRule="auto"/>
        <w:jc w:val="left"/>
      </w:pPr>
    </w:p>
    <w:p w:rsidR="006C7262" w:rsidRDefault="006C7262" w:rsidP="006C7262">
      <w:pPr>
        <w:spacing w:line="240" w:lineRule="auto"/>
        <w:jc w:val="left"/>
      </w:pPr>
    </w:p>
    <w:p w:rsidR="006C7262" w:rsidRDefault="006C7262" w:rsidP="006C7262">
      <w:pPr>
        <w:spacing w:line="240" w:lineRule="auto"/>
        <w:jc w:val="left"/>
      </w:pPr>
    </w:p>
    <w:p w:rsidR="006C7262" w:rsidRDefault="006C7262" w:rsidP="006C7262">
      <w:pPr>
        <w:spacing w:line="240" w:lineRule="auto"/>
        <w:jc w:val="left"/>
      </w:pPr>
    </w:p>
    <w:p w:rsidR="006C7262" w:rsidRDefault="006C7262" w:rsidP="006C7262">
      <w:pPr>
        <w:spacing w:line="240" w:lineRule="auto"/>
        <w:jc w:val="left"/>
      </w:pPr>
    </w:p>
    <w:p w:rsidR="006C7262" w:rsidRDefault="006C7262" w:rsidP="006C7262">
      <w:pPr>
        <w:spacing w:line="240" w:lineRule="auto"/>
        <w:jc w:val="left"/>
      </w:pPr>
    </w:p>
    <w:p w:rsidR="006C7262" w:rsidRDefault="006C7262" w:rsidP="006C7262">
      <w:pPr>
        <w:spacing w:line="240" w:lineRule="auto"/>
        <w:jc w:val="left"/>
      </w:pPr>
    </w:p>
    <w:p w:rsidR="006C7262" w:rsidRDefault="006C7262" w:rsidP="006C7262">
      <w:pPr>
        <w:spacing w:line="240" w:lineRule="auto"/>
        <w:jc w:val="left"/>
      </w:pPr>
      <w:r>
        <w:br w:type="page"/>
      </w:r>
    </w:p>
    <w:p w:rsidR="006C7262" w:rsidRPr="00A926AB" w:rsidRDefault="006C7262" w:rsidP="006C7262">
      <w:pPr>
        <w:pStyle w:val="Heading2"/>
      </w:pPr>
      <w:bookmarkStart w:id="186" w:name="_Toc495874936"/>
      <w:bookmarkStart w:id="187" w:name="_Toc495920608"/>
      <w:bookmarkStart w:id="188" w:name="_Toc495920725"/>
      <w:bookmarkStart w:id="189" w:name="_Toc506309660"/>
      <w:bookmarkStart w:id="190" w:name="_Toc507149746"/>
      <w:bookmarkStart w:id="191" w:name="_Toc519251389"/>
      <w:bookmarkStart w:id="192" w:name="_Toc519698156"/>
      <w:bookmarkStart w:id="193" w:name="_Toc519698278"/>
      <w:r w:rsidRPr="00A926AB">
        <w:lastRenderedPageBreak/>
        <w:t xml:space="preserve">Police </w:t>
      </w:r>
      <w:r>
        <w:t xml:space="preserve">Officers, Police </w:t>
      </w:r>
      <w:r w:rsidRPr="00A926AB">
        <w:t>Staff, PCSOs and Specials</w:t>
      </w:r>
      <w:bookmarkEnd w:id="186"/>
      <w:bookmarkEnd w:id="187"/>
      <w:bookmarkEnd w:id="188"/>
      <w:bookmarkEnd w:id="189"/>
      <w:bookmarkEnd w:id="190"/>
      <w:bookmarkEnd w:id="191"/>
      <w:bookmarkEnd w:id="192"/>
      <w:bookmarkEnd w:id="193"/>
    </w:p>
    <w:p w:rsidR="006C7262" w:rsidRPr="001B7C70" w:rsidRDefault="006C7262" w:rsidP="006C7262">
      <w:pPr>
        <w:spacing w:line="240" w:lineRule="auto"/>
        <w:jc w:val="left"/>
      </w:pPr>
      <w:r w:rsidRPr="00025D42">
        <w:rPr>
          <w:noProof/>
        </w:rPr>
        <w:drawing>
          <wp:inline distT="0" distB="0" distL="0" distR="0" wp14:anchorId="7ACA3CB1" wp14:editId="3B87482A">
            <wp:extent cx="7334250" cy="5347948"/>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369204" cy="5373436"/>
                    </a:xfrm>
                    <a:prstGeom prst="rect">
                      <a:avLst/>
                    </a:prstGeom>
                    <a:noFill/>
                    <a:ln>
                      <a:noFill/>
                    </a:ln>
                  </pic:spPr>
                </pic:pic>
              </a:graphicData>
            </a:graphic>
          </wp:inline>
        </w:drawing>
      </w:r>
    </w:p>
    <w:p w:rsidR="006C7262" w:rsidRDefault="006C7262" w:rsidP="006C7262">
      <w:pPr>
        <w:spacing w:line="240" w:lineRule="auto"/>
        <w:jc w:val="left"/>
      </w:pPr>
      <w:r>
        <w:br w:type="page"/>
      </w:r>
    </w:p>
    <w:p w:rsidR="006C7262" w:rsidRPr="00757945" w:rsidRDefault="006C7262" w:rsidP="006C7262">
      <w:pPr>
        <w:pStyle w:val="Heading1"/>
        <w:rPr>
          <w:szCs w:val="56"/>
        </w:rPr>
      </w:pPr>
      <w:bookmarkStart w:id="194" w:name="_Toc519698157"/>
      <w:bookmarkStart w:id="195" w:name="_Toc519698279"/>
      <w:bookmarkStart w:id="196" w:name="_Toc526708547"/>
      <w:bookmarkStart w:id="197" w:name="_Toc526781383"/>
      <w:bookmarkStart w:id="198" w:name="_Toc526783965"/>
      <w:bookmarkStart w:id="199" w:name="_Toc950035"/>
      <w:r>
        <w:rPr>
          <w:szCs w:val="56"/>
        </w:rPr>
        <w:lastRenderedPageBreak/>
        <w:t>Police Objective Analysis</w:t>
      </w:r>
      <w:bookmarkEnd w:id="194"/>
      <w:bookmarkEnd w:id="195"/>
      <w:bookmarkEnd w:id="196"/>
      <w:bookmarkEnd w:id="197"/>
      <w:bookmarkEnd w:id="198"/>
      <w:bookmarkEnd w:id="199"/>
    </w:p>
    <w:p w:rsidR="006C7262" w:rsidRPr="00714868" w:rsidRDefault="006C7262" w:rsidP="006C7262">
      <w:pPr>
        <w:pStyle w:val="Heading2"/>
        <w:rPr>
          <w:i/>
          <w:color w:val="auto"/>
          <w:szCs w:val="40"/>
        </w:rPr>
      </w:pPr>
      <w:r w:rsidRPr="00757945">
        <w:rPr>
          <w:sz w:val="48"/>
          <w:szCs w:val="48"/>
        </w:rPr>
        <w:t xml:space="preserve"> </w:t>
      </w:r>
      <w:r w:rsidRPr="00714868">
        <w:rPr>
          <w:szCs w:val="40"/>
        </w:rPr>
        <w:t>Level 1 – All POA Categories</w:t>
      </w:r>
    </w:p>
    <w:p w:rsidR="006C7262" w:rsidRDefault="006C7262" w:rsidP="006C7262">
      <w:pPr>
        <w:spacing w:line="240" w:lineRule="auto"/>
        <w:jc w:val="left"/>
      </w:pPr>
      <w:r w:rsidRPr="00C9570C">
        <w:rPr>
          <w:noProof/>
        </w:rPr>
        <w:drawing>
          <wp:inline distT="0" distB="0" distL="0" distR="0" wp14:anchorId="4FE84275" wp14:editId="1C4A5C1F">
            <wp:extent cx="9521825" cy="4856355"/>
            <wp:effectExtent l="0" t="0" r="317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1825" cy="4856355"/>
                    </a:xfrm>
                    <a:prstGeom prst="rect">
                      <a:avLst/>
                    </a:prstGeom>
                    <a:noFill/>
                    <a:ln>
                      <a:noFill/>
                    </a:ln>
                  </pic:spPr>
                </pic:pic>
              </a:graphicData>
            </a:graphic>
          </wp:inline>
        </w:drawing>
      </w:r>
    </w:p>
    <w:p w:rsidR="006C7262" w:rsidRPr="00714868" w:rsidRDefault="006C7262" w:rsidP="006C7262">
      <w:pPr>
        <w:pStyle w:val="Heading2"/>
        <w:rPr>
          <w:i/>
          <w:color w:val="auto"/>
          <w:szCs w:val="40"/>
        </w:rPr>
      </w:pPr>
      <w:r>
        <w:rPr>
          <w:sz w:val="48"/>
          <w:szCs w:val="48"/>
        </w:rPr>
        <w:lastRenderedPageBreak/>
        <w:t xml:space="preserve"> </w:t>
      </w:r>
      <w:r w:rsidRPr="00714868">
        <w:rPr>
          <w:szCs w:val="40"/>
        </w:rPr>
        <w:t>Level 2 – All POA categories</w:t>
      </w:r>
    </w:p>
    <w:p w:rsidR="006C7262" w:rsidRDefault="006C7262" w:rsidP="006C7262">
      <w:pPr>
        <w:spacing w:line="240" w:lineRule="auto"/>
        <w:jc w:val="left"/>
      </w:pPr>
      <w:r w:rsidRPr="00C9570C">
        <w:rPr>
          <w:noProof/>
        </w:rPr>
        <w:drawing>
          <wp:inline distT="0" distB="0" distL="0" distR="0" wp14:anchorId="6BBCCE07" wp14:editId="4538C84C">
            <wp:extent cx="9520555" cy="5478363"/>
            <wp:effectExtent l="0" t="0" r="4445"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35221" cy="5486802"/>
                    </a:xfrm>
                    <a:prstGeom prst="rect">
                      <a:avLst/>
                    </a:prstGeom>
                    <a:noFill/>
                    <a:ln>
                      <a:noFill/>
                    </a:ln>
                  </pic:spPr>
                </pic:pic>
              </a:graphicData>
            </a:graphic>
          </wp:inline>
        </w:drawing>
      </w:r>
    </w:p>
    <w:p w:rsidR="006C7262" w:rsidRDefault="006C7262" w:rsidP="006C7262">
      <w:pPr>
        <w:spacing w:line="240" w:lineRule="auto"/>
        <w:jc w:val="left"/>
      </w:pPr>
      <w:r w:rsidRPr="00C9570C">
        <w:rPr>
          <w:noProof/>
        </w:rPr>
        <w:lastRenderedPageBreak/>
        <w:drawing>
          <wp:inline distT="0" distB="0" distL="0" distR="0" wp14:anchorId="2E68D8DD" wp14:editId="0754542E">
            <wp:extent cx="9494520" cy="58007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01853" cy="5805205"/>
                    </a:xfrm>
                    <a:prstGeom prst="rect">
                      <a:avLst/>
                    </a:prstGeom>
                    <a:noFill/>
                    <a:ln>
                      <a:noFill/>
                    </a:ln>
                  </pic:spPr>
                </pic:pic>
              </a:graphicData>
            </a:graphic>
          </wp:inline>
        </w:drawing>
      </w:r>
      <w:r>
        <w:br w:type="page"/>
      </w:r>
    </w:p>
    <w:p w:rsidR="006C7262" w:rsidRPr="00714868" w:rsidRDefault="006C7262" w:rsidP="006C7262">
      <w:pPr>
        <w:pStyle w:val="Heading2"/>
        <w:rPr>
          <w:i/>
          <w:color w:val="auto"/>
          <w:szCs w:val="40"/>
        </w:rPr>
      </w:pPr>
      <w:r w:rsidRPr="00714868">
        <w:rPr>
          <w:szCs w:val="40"/>
        </w:rPr>
        <w:lastRenderedPageBreak/>
        <w:t>Level 2 – Local Policing</w:t>
      </w:r>
    </w:p>
    <w:p w:rsidR="006C7262" w:rsidRDefault="006C7262" w:rsidP="006C7262">
      <w:pPr>
        <w:spacing w:line="240" w:lineRule="auto"/>
        <w:jc w:val="left"/>
      </w:pPr>
      <w:r w:rsidRPr="00B11947">
        <w:rPr>
          <w:noProof/>
        </w:rPr>
        <w:drawing>
          <wp:inline distT="0" distB="0" distL="0" distR="0" wp14:anchorId="492E1D89" wp14:editId="092FECC9">
            <wp:extent cx="9521825" cy="2596861"/>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1825" cy="2596861"/>
                    </a:xfrm>
                    <a:prstGeom prst="rect">
                      <a:avLst/>
                    </a:prstGeom>
                    <a:noFill/>
                    <a:ln>
                      <a:noFill/>
                    </a:ln>
                  </pic:spPr>
                </pic:pic>
              </a:graphicData>
            </a:graphic>
          </wp:inline>
        </w:drawing>
      </w:r>
    </w:p>
    <w:p w:rsidR="006C7262" w:rsidRDefault="006C7262" w:rsidP="006C7262">
      <w:pPr>
        <w:spacing w:line="240" w:lineRule="auto"/>
        <w:jc w:val="left"/>
      </w:pPr>
    </w:p>
    <w:p w:rsidR="006C7262" w:rsidRPr="00F73208" w:rsidRDefault="006C7262" w:rsidP="006C7262">
      <w:pPr>
        <w:spacing w:after="160" w:line="259" w:lineRule="auto"/>
        <w:jc w:val="left"/>
        <w:rPr>
          <w:rFonts w:eastAsia="Calibri" w:cs="Arial"/>
          <w:b/>
          <w:sz w:val="20"/>
          <w:szCs w:val="20"/>
          <w:lang w:eastAsia="en-US"/>
        </w:rPr>
      </w:pPr>
      <w:r w:rsidRPr="00F73208">
        <w:rPr>
          <w:rFonts w:eastAsia="Calibri" w:cs="Arial"/>
          <w:b/>
          <w:sz w:val="20"/>
          <w:szCs w:val="20"/>
          <w:lang w:eastAsia="en-US"/>
        </w:rPr>
        <w:t>1a – Neighbourhood Policing</w:t>
      </w:r>
    </w:p>
    <w:p w:rsidR="006C7262" w:rsidRPr="00F73208" w:rsidRDefault="006C7262" w:rsidP="006C7262">
      <w:pPr>
        <w:spacing w:after="160" w:line="259" w:lineRule="auto"/>
        <w:jc w:val="left"/>
        <w:rPr>
          <w:rFonts w:eastAsia="Calibri" w:cs="Arial"/>
          <w:sz w:val="20"/>
          <w:szCs w:val="20"/>
          <w:u w:val="single"/>
          <w:lang w:eastAsia="en-US"/>
        </w:rPr>
      </w:pPr>
      <w:r w:rsidRPr="00F73208">
        <w:rPr>
          <w:rFonts w:eastAsia="Calibri" w:cs="Arial"/>
          <w:sz w:val="20"/>
          <w:szCs w:val="20"/>
          <w:u w:val="single"/>
          <w:lang w:eastAsia="en-US"/>
        </w:rPr>
        <w:t>2018/19 original budget</w:t>
      </w:r>
    </w:p>
    <w:p w:rsidR="006C7262" w:rsidRPr="00F73208" w:rsidRDefault="006C7262" w:rsidP="006C7262">
      <w:pPr>
        <w:numPr>
          <w:ilvl w:val="0"/>
          <w:numId w:val="5"/>
        </w:numPr>
        <w:spacing w:after="160" w:line="259" w:lineRule="auto"/>
        <w:contextualSpacing/>
        <w:jc w:val="left"/>
        <w:rPr>
          <w:rFonts w:ascii="Calibri" w:eastAsia="Calibri" w:hAnsi="Calibri"/>
          <w:sz w:val="20"/>
          <w:szCs w:val="20"/>
          <w:lang w:eastAsia="en-US"/>
        </w:rPr>
      </w:pPr>
      <w:r w:rsidRPr="00F73208">
        <w:rPr>
          <w:rFonts w:cs="Arial"/>
          <w:sz w:val="20"/>
          <w:szCs w:val="20"/>
        </w:rPr>
        <w:t>The pay budget for Police Officers allocated to Neighbourhood Policing decreased by £0.3m from the equivalent 17/18 position, including £0.1m of overtime element. There was also a £0.4m decrease in relation to supplies &amp; services corporate growth allocated within the 17/18 budget, which has subsequently been reallocated elsewhere in 18/19.</w:t>
      </w:r>
    </w:p>
    <w:p w:rsidR="006C7262" w:rsidRPr="00F73208" w:rsidRDefault="006C7262" w:rsidP="006C7262">
      <w:pPr>
        <w:spacing w:after="160" w:line="259" w:lineRule="auto"/>
        <w:jc w:val="left"/>
        <w:rPr>
          <w:rFonts w:eastAsia="Calibri" w:cs="Arial"/>
          <w:sz w:val="20"/>
          <w:szCs w:val="20"/>
          <w:u w:val="single"/>
          <w:lang w:eastAsia="en-US"/>
        </w:rPr>
      </w:pPr>
      <w:r w:rsidRPr="00F73208">
        <w:rPr>
          <w:rFonts w:eastAsia="Calibri" w:cs="Arial"/>
          <w:sz w:val="20"/>
          <w:szCs w:val="20"/>
          <w:u w:val="single"/>
          <w:lang w:eastAsia="en-US"/>
        </w:rPr>
        <w:t>2018/19 current budget</w:t>
      </w:r>
    </w:p>
    <w:p w:rsidR="006C7262" w:rsidRPr="00F73208" w:rsidRDefault="006C7262" w:rsidP="006C7262">
      <w:pPr>
        <w:numPr>
          <w:ilvl w:val="0"/>
          <w:numId w:val="5"/>
        </w:numPr>
        <w:spacing w:after="160" w:line="259" w:lineRule="auto"/>
        <w:contextualSpacing/>
        <w:jc w:val="left"/>
        <w:rPr>
          <w:rFonts w:ascii="Calibri" w:eastAsia="Calibri" w:hAnsi="Calibri"/>
          <w:sz w:val="20"/>
          <w:szCs w:val="20"/>
          <w:lang w:eastAsia="en-US"/>
        </w:rPr>
      </w:pPr>
      <w:r w:rsidRPr="00F73208">
        <w:rPr>
          <w:rFonts w:cs="Arial"/>
          <w:sz w:val="20"/>
          <w:szCs w:val="20"/>
        </w:rPr>
        <w:t xml:space="preserve">The </w:t>
      </w:r>
      <w:proofErr w:type="spellStart"/>
      <w:r w:rsidRPr="00F73208">
        <w:rPr>
          <w:rFonts w:cs="Arial"/>
          <w:sz w:val="20"/>
          <w:szCs w:val="20"/>
        </w:rPr>
        <w:t>virements</w:t>
      </w:r>
      <w:proofErr w:type="spellEnd"/>
      <w:r w:rsidRPr="00F73208">
        <w:rPr>
          <w:rFonts w:cs="Arial"/>
          <w:sz w:val="20"/>
          <w:szCs w:val="20"/>
        </w:rPr>
        <w:t xml:space="preserve"> shown include £0.9m additional budget for Police Officer pay, reflecting the increase in officers. These include £0.3m of salary uplifts and £0.2m allocation of non-consolidated pay for Local Policing Officers. In addition, £0.2m additional overtime has been allocated for Operation Thistle and there has been a £0.2m increase for Bear Scotland adjustments. In addition to Police Officer spend, there has been a £0.4m increase in PCSO's which has been funded from additional matched funding income, as well as £0.2m of additional staffing costs.</w:t>
      </w:r>
    </w:p>
    <w:p w:rsidR="006C7262" w:rsidRPr="00F73208" w:rsidRDefault="006C7262" w:rsidP="006C7262">
      <w:pPr>
        <w:spacing w:after="160" w:line="259" w:lineRule="auto"/>
        <w:jc w:val="left"/>
        <w:rPr>
          <w:rFonts w:cs="Arial"/>
          <w:sz w:val="20"/>
          <w:szCs w:val="20"/>
          <w:u w:val="single"/>
        </w:rPr>
      </w:pPr>
      <w:r w:rsidRPr="00F73208">
        <w:rPr>
          <w:rFonts w:cs="Arial"/>
          <w:sz w:val="20"/>
          <w:szCs w:val="20"/>
          <w:u w:val="single"/>
        </w:rPr>
        <w:t>2018/19 forecast outturn</w:t>
      </w:r>
    </w:p>
    <w:p w:rsidR="006C7262" w:rsidRPr="00F73208" w:rsidRDefault="006C7262" w:rsidP="006C7262">
      <w:pPr>
        <w:numPr>
          <w:ilvl w:val="0"/>
          <w:numId w:val="5"/>
        </w:numPr>
        <w:spacing w:after="160" w:line="259" w:lineRule="auto"/>
        <w:contextualSpacing/>
        <w:jc w:val="left"/>
        <w:rPr>
          <w:rFonts w:ascii="Calibri" w:eastAsia="Calibri" w:hAnsi="Calibri"/>
          <w:sz w:val="20"/>
          <w:szCs w:val="20"/>
          <w:u w:val="single"/>
          <w:lang w:eastAsia="en-US"/>
        </w:rPr>
      </w:pPr>
      <w:r w:rsidRPr="00F73208">
        <w:rPr>
          <w:rFonts w:cs="Arial"/>
          <w:sz w:val="20"/>
          <w:szCs w:val="20"/>
        </w:rPr>
        <w:t>There is a minor forecast overspend variance of £0.198m, with additional costs on probationer cost centres (including Police Now) offset by corresponding underspends in Local Policing pay lines and reductions in the amount of centrally held budgets being allocated to Neighbourhood Policing.</w:t>
      </w:r>
      <w:r w:rsidRPr="00F73208">
        <w:rPr>
          <w:rFonts w:cs="Arial"/>
          <w:sz w:val="20"/>
          <w:szCs w:val="20"/>
        </w:rPr>
        <w:br/>
      </w:r>
    </w:p>
    <w:p w:rsidR="006C7262" w:rsidRPr="00F73208" w:rsidRDefault="006C7262" w:rsidP="006C7262">
      <w:pPr>
        <w:spacing w:after="160" w:line="259" w:lineRule="auto"/>
        <w:jc w:val="left"/>
        <w:rPr>
          <w:rFonts w:eastAsia="Calibri" w:cs="Arial"/>
          <w:b/>
          <w:sz w:val="20"/>
          <w:szCs w:val="20"/>
          <w:lang w:eastAsia="en-US"/>
        </w:rPr>
      </w:pPr>
      <w:r w:rsidRPr="00F73208">
        <w:rPr>
          <w:rFonts w:eastAsia="Calibri" w:cs="Arial"/>
          <w:b/>
          <w:sz w:val="20"/>
          <w:szCs w:val="20"/>
          <w:lang w:eastAsia="en-US"/>
        </w:rPr>
        <w:lastRenderedPageBreak/>
        <w:t>1c – Specialist Community Liaison</w:t>
      </w:r>
    </w:p>
    <w:p w:rsidR="006C7262" w:rsidRPr="00F73208" w:rsidRDefault="006C7262" w:rsidP="006C7262">
      <w:pPr>
        <w:spacing w:after="160" w:line="259" w:lineRule="auto"/>
        <w:jc w:val="left"/>
        <w:rPr>
          <w:rFonts w:eastAsia="Calibri" w:cs="Arial"/>
          <w:sz w:val="20"/>
          <w:szCs w:val="20"/>
          <w:u w:val="single"/>
          <w:lang w:eastAsia="en-US"/>
        </w:rPr>
      </w:pPr>
      <w:r w:rsidRPr="00F73208">
        <w:rPr>
          <w:rFonts w:eastAsia="Calibri" w:cs="Arial"/>
          <w:sz w:val="20"/>
          <w:szCs w:val="20"/>
          <w:u w:val="single"/>
          <w:lang w:eastAsia="en-US"/>
        </w:rPr>
        <w:t>2018/19 original budget</w:t>
      </w:r>
    </w:p>
    <w:p w:rsidR="006C7262" w:rsidRPr="00F73208" w:rsidRDefault="006C7262" w:rsidP="006C7262">
      <w:pPr>
        <w:numPr>
          <w:ilvl w:val="0"/>
          <w:numId w:val="5"/>
        </w:numPr>
        <w:spacing w:after="160" w:line="259" w:lineRule="auto"/>
        <w:contextualSpacing/>
        <w:jc w:val="left"/>
        <w:rPr>
          <w:rFonts w:eastAsia="Calibri" w:cs="Arial"/>
          <w:b/>
          <w:sz w:val="20"/>
          <w:szCs w:val="20"/>
          <w:lang w:eastAsia="en-US"/>
        </w:rPr>
      </w:pPr>
      <w:r w:rsidRPr="00F73208">
        <w:rPr>
          <w:rFonts w:cs="Arial"/>
          <w:sz w:val="20"/>
          <w:szCs w:val="20"/>
        </w:rPr>
        <w:t>The main movements from 17/18 include a £0.3m increase in Police Officers and £0.2m increase in staffing. These increases are within the children and young persons, crime reduction &amp; licensing teams. In addition, £0.3m of centrally-held corporate budget has been allocated to Community Liaison for 18/19 (mainly in respect of Police Officers for youth offending teams).</w:t>
      </w:r>
    </w:p>
    <w:p w:rsidR="006C7262" w:rsidRPr="00F73208" w:rsidRDefault="006C7262" w:rsidP="006C7262">
      <w:pPr>
        <w:spacing w:after="160" w:line="259" w:lineRule="auto"/>
        <w:jc w:val="left"/>
        <w:rPr>
          <w:rFonts w:eastAsia="Calibri" w:cs="Arial"/>
          <w:sz w:val="20"/>
          <w:szCs w:val="20"/>
          <w:u w:val="single"/>
          <w:lang w:eastAsia="en-US"/>
        </w:rPr>
      </w:pPr>
      <w:r w:rsidRPr="00F73208">
        <w:rPr>
          <w:rFonts w:eastAsia="Calibri" w:cs="Arial"/>
          <w:sz w:val="20"/>
          <w:szCs w:val="20"/>
          <w:u w:val="single"/>
          <w:lang w:eastAsia="en-US"/>
        </w:rPr>
        <w:t>2018/19 current budget</w:t>
      </w:r>
    </w:p>
    <w:p w:rsidR="006C7262" w:rsidRPr="00F73208" w:rsidRDefault="006C7262" w:rsidP="006C7262">
      <w:pPr>
        <w:numPr>
          <w:ilvl w:val="0"/>
          <w:numId w:val="5"/>
        </w:numPr>
        <w:spacing w:after="160" w:line="259" w:lineRule="auto"/>
        <w:contextualSpacing/>
        <w:jc w:val="left"/>
        <w:rPr>
          <w:rFonts w:eastAsia="Calibri" w:cs="Arial"/>
          <w:sz w:val="20"/>
          <w:szCs w:val="20"/>
          <w:lang w:eastAsia="en-US"/>
        </w:rPr>
      </w:pPr>
      <w:r w:rsidRPr="00F73208">
        <w:rPr>
          <w:rFonts w:cs="Arial"/>
          <w:sz w:val="20"/>
          <w:szCs w:val="20"/>
        </w:rPr>
        <w:t>The Police Officers budget has increased by £0.123m, funded by Epping Forest District Council for a CPT.</w:t>
      </w:r>
    </w:p>
    <w:p w:rsidR="006C7262" w:rsidRPr="00F73208" w:rsidRDefault="006C7262" w:rsidP="006C7262">
      <w:pPr>
        <w:numPr>
          <w:ilvl w:val="0"/>
          <w:numId w:val="5"/>
        </w:numPr>
        <w:spacing w:after="160" w:line="259" w:lineRule="auto"/>
        <w:contextualSpacing/>
        <w:jc w:val="left"/>
        <w:rPr>
          <w:rFonts w:eastAsia="Calibri" w:cs="Arial"/>
          <w:sz w:val="20"/>
          <w:szCs w:val="20"/>
          <w:lang w:eastAsia="en-US"/>
        </w:rPr>
      </w:pPr>
      <w:r w:rsidRPr="00F73208">
        <w:rPr>
          <w:rFonts w:cs="Arial"/>
          <w:sz w:val="20"/>
          <w:szCs w:val="20"/>
        </w:rPr>
        <w:t>It should also be noted that reallocations have been adjusted between the 1a and 1c lines which result in a decrease. The POA classifications are still being reviewed in this area.</w:t>
      </w:r>
    </w:p>
    <w:p w:rsidR="006C7262" w:rsidRPr="00F73208" w:rsidRDefault="006C7262" w:rsidP="006C7262">
      <w:pPr>
        <w:spacing w:after="160" w:line="259" w:lineRule="auto"/>
        <w:jc w:val="left"/>
        <w:rPr>
          <w:rFonts w:eastAsia="Calibri" w:cs="Arial"/>
          <w:sz w:val="20"/>
          <w:szCs w:val="20"/>
          <w:u w:val="single"/>
          <w:lang w:eastAsia="en-US"/>
        </w:rPr>
      </w:pPr>
      <w:r w:rsidRPr="00F73208">
        <w:rPr>
          <w:rFonts w:eastAsia="Calibri" w:cs="Arial"/>
          <w:sz w:val="20"/>
          <w:szCs w:val="20"/>
          <w:u w:val="single"/>
          <w:lang w:eastAsia="en-US"/>
        </w:rPr>
        <w:t>2018/19 forecast outturn</w:t>
      </w:r>
    </w:p>
    <w:p w:rsidR="006C7262" w:rsidRPr="00F73208" w:rsidRDefault="006C7262" w:rsidP="006C7262">
      <w:pPr>
        <w:numPr>
          <w:ilvl w:val="0"/>
          <w:numId w:val="6"/>
        </w:numPr>
        <w:spacing w:after="160" w:line="259" w:lineRule="auto"/>
        <w:contextualSpacing/>
        <w:jc w:val="left"/>
        <w:rPr>
          <w:rFonts w:cs="Arial"/>
          <w:sz w:val="20"/>
          <w:szCs w:val="20"/>
        </w:rPr>
      </w:pPr>
      <w:r w:rsidRPr="00F73208">
        <w:rPr>
          <w:rFonts w:cs="Arial"/>
          <w:sz w:val="20"/>
          <w:szCs w:val="20"/>
        </w:rPr>
        <w:t>The forecast outturn variance of £0.488m comprises forecast overspends for Police Officers, dangerous dogs, stray horses and a shortfall in income in respect of firearms licences</w:t>
      </w:r>
      <w:r w:rsidRPr="00F73208">
        <w:rPr>
          <w:rFonts w:cs="Arial"/>
          <w:sz w:val="20"/>
          <w:szCs w:val="20"/>
        </w:rPr>
        <w:br/>
      </w:r>
      <w:r w:rsidRPr="00F73208">
        <w:rPr>
          <w:rFonts w:cs="Arial"/>
          <w:sz w:val="20"/>
          <w:szCs w:val="20"/>
        </w:rPr>
        <w:br/>
      </w:r>
    </w:p>
    <w:p w:rsidR="006C7262" w:rsidRPr="00F73208" w:rsidRDefault="006C7262" w:rsidP="006C7262">
      <w:pPr>
        <w:spacing w:after="160" w:line="259" w:lineRule="auto"/>
        <w:jc w:val="left"/>
        <w:rPr>
          <w:rFonts w:eastAsia="Calibri" w:cs="Arial"/>
          <w:b/>
          <w:sz w:val="20"/>
          <w:szCs w:val="20"/>
          <w:lang w:eastAsia="en-US"/>
        </w:rPr>
      </w:pPr>
      <w:r w:rsidRPr="00F73208">
        <w:rPr>
          <w:rFonts w:eastAsia="Calibri" w:cs="Arial"/>
          <w:b/>
          <w:sz w:val="20"/>
          <w:szCs w:val="20"/>
          <w:lang w:eastAsia="en-US"/>
        </w:rPr>
        <w:t>1d – Command Team</w:t>
      </w:r>
    </w:p>
    <w:p w:rsidR="006C7262" w:rsidRPr="00F73208" w:rsidRDefault="006C7262" w:rsidP="006C7262">
      <w:pPr>
        <w:spacing w:after="160" w:line="259" w:lineRule="auto"/>
        <w:jc w:val="left"/>
        <w:rPr>
          <w:rFonts w:eastAsia="Calibri" w:cs="Arial"/>
          <w:sz w:val="20"/>
          <w:szCs w:val="20"/>
          <w:u w:val="single"/>
          <w:lang w:eastAsia="en-US"/>
        </w:rPr>
      </w:pPr>
      <w:r w:rsidRPr="00F73208">
        <w:rPr>
          <w:rFonts w:eastAsia="Calibri" w:cs="Arial"/>
          <w:sz w:val="20"/>
          <w:szCs w:val="20"/>
          <w:u w:val="single"/>
          <w:lang w:eastAsia="en-US"/>
        </w:rPr>
        <w:t>2018/19 original budget</w:t>
      </w:r>
    </w:p>
    <w:p w:rsidR="006C7262" w:rsidRPr="00F73208" w:rsidRDefault="006C7262" w:rsidP="006C7262">
      <w:pPr>
        <w:numPr>
          <w:ilvl w:val="0"/>
          <w:numId w:val="5"/>
        </w:numPr>
        <w:spacing w:after="160" w:line="259" w:lineRule="auto"/>
        <w:contextualSpacing/>
        <w:jc w:val="left"/>
        <w:rPr>
          <w:rFonts w:eastAsia="Calibri" w:cs="Arial"/>
          <w:b/>
          <w:sz w:val="20"/>
          <w:szCs w:val="20"/>
          <w:lang w:eastAsia="en-US"/>
        </w:rPr>
      </w:pPr>
      <w:r w:rsidRPr="00F73208">
        <w:rPr>
          <w:rFonts w:cs="Arial"/>
          <w:sz w:val="20"/>
          <w:szCs w:val="20"/>
        </w:rPr>
        <w:t>The Police Officer budget has decreased by £1.4m comprising a £1m reduction in LPA Commands and £0.4m in Territorial Policing. In addition there has been a £0.3m reduction in Police Officer overtime and £0.5m reduction in staffing (all within LPA Commands). £0.2m of corporate growth held within central budgets has also been allocated to the Command Team for the purposes of the 18/19 budget POA allocations.</w:t>
      </w:r>
      <w:r w:rsidRPr="00F73208">
        <w:rPr>
          <w:rFonts w:cs="Arial"/>
          <w:sz w:val="20"/>
          <w:szCs w:val="20"/>
        </w:rPr>
        <w:br/>
      </w:r>
    </w:p>
    <w:p w:rsidR="006C7262" w:rsidRPr="00F73208" w:rsidRDefault="006C7262" w:rsidP="006C7262">
      <w:pPr>
        <w:spacing w:after="160" w:line="259" w:lineRule="auto"/>
        <w:jc w:val="left"/>
        <w:rPr>
          <w:rFonts w:eastAsia="Calibri" w:cs="Arial"/>
          <w:sz w:val="20"/>
          <w:szCs w:val="20"/>
          <w:u w:val="single"/>
          <w:lang w:eastAsia="en-US"/>
        </w:rPr>
      </w:pPr>
      <w:r w:rsidRPr="00F73208">
        <w:rPr>
          <w:rFonts w:eastAsia="Calibri" w:cs="Arial"/>
          <w:sz w:val="20"/>
          <w:szCs w:val="20"/>
          <w:u w:val="single"/>
          <w:lang w:eastAsia="en-US"/>
        </w:rPr>
        <w:t>2018/19 current budget</w:t>
      </w:r>
    </w:p>
    <w:p w:rsidR="006C7262" w:rsidRPr="00F73208" w:rsidRDefault="006C7262" w:rsidP="006C7262">
      <w:pPr>
        <w:numPr>
          <w:ilvl w:val="0"/>
          <w:numId w:val="5"/>
        </w:numPr>
        <w:spacing w:after="160" w:line="259" w:lineRule="auto"/>
        <w:contextualSpacing/>
        <w:jc w:val="left"/>
        <w:rPr>
          <w:rFonts w:eastAsia="Calibri" w:cs="Arial"/>
          <w:b/>
          <w:sz w:val="20"/>
          <w:szCs w:val="20"/>
          <w:lang w:eastAsia="en-US"/>
        </w:rPr>
      </w:pPr>
      <w:r w:rsidRPr="00F73208">
        <w:rPr>
          <w:rFonts w:cs="Arial"/>
          <w:sz w:val="20"/>
          <w:szCs w:val="20"/>
        </w:rPr>
        <w:t xml:space="preserve">The main theme of the </w:t>
      </w:r>
      <w:proofErr w:type="spellStart"/>
      <w:r w:rsidRPr="00F73208">
        <w:rPr>
          <w:rFonts w:cs="Arial"/>
          <w:sz w:val="20"/>
          <w:szCs w:val="20"/>
        </w:rPr>
        <w:t>virements</w:t>
      </w:r>
      <w:proofErr w:type="spellEnd"/>
      <w:r w:rsidRPr="00F73208">
        <w:rPr>
          <w:rFonts w:cs="Arial"/>
          <w:sz w:val="20"/>
          <w:szCs w:val="20"/>
        </w:rPr>
        <w:t xml:space="preserve"> movement for the Local Policing Command Team budget in 18/19 has been an increase in overtime. Overall there has been a £0.372m increase for overtime costs which has reduced to </w:t>
      </w:r>
      <w:proofErr w:type="gramStart"/>
      <w:r w:rsidRPr="00F73208">
        <w:rPr>
          <w:rFonts w:cs="Arial"/>
          <w:sz w:val="20"/>
          <w:szCs w:val="20"/>
        </w:rPr>
        <w:t>an overspend</w:t>
      </w:r>
      <w:proofErr w:type="gramEnd"/>
      <w:r w:rsidRPr="00F73208">
        <w:rPr>
          <w:rFonts w:cs="Arial"/>
          <w:sz w:val="20"/>
          <w:szCs w:val="20"/>
        </w:rPr>
        <w:t xml:space="preserve"> of £0.247m, due to other underspends within the department, as well as additional income received. </w:t>
      </w:r>
    </w:p>
    <w:p w:rsidR="006C7262" w:rsidRPr="00F73208" w:rsidRDefault="006C7262" w:rsidP="006C7262">
      <w:pPr>
        <w:numPr>
          <w:ilvl w:val="0"/>
          <w:numId w:val="5"/>
        </w:numPr>
        <w:spacing w:after="160" w:line="259" w:lineRule="auto"/>
        <w:contextualSpacing/>
        <w:jc w:val="left"/>
        <w:rPr>
          <w:rFonts w:eastAsia="Calibri" w:cs="Arial"/>
          <w:b/>
          <w:sz w:val="20"/>
          <w:szCs w:val="20"/>
          <w:lang w:eastAsia="en-US"/>
        </w:rPr>
      </w:pPr>
      <w:r w:rsidRPr="00F73208">
        <w:rPr>
          <w:rFonts w:cs="Arial"/>
          <w:sz w:val="20"/>
          <w:szCs w:val="20"/>
        </w:rPr>
        <w:t>The £0.139m external funding received for the additional overtime includes £0.048m from the College of Policing for Superintendent direct entry training, £0.025m from Thurrock Council in respect of Operation Raptor and Operation Sacrifice, and £0.015m partnership funding for Operation Spider.</w:t>
      </w:r>
    </w:p>
    <w:p w:rsidR="006C7262" w:rsidRPr="00F73208" w:rsidRDefault="006C7262" w:rsidP="006C7262">
      <w:pPr>
        <w:numPr>
          <w:ilvl w:val="0"/>
          <w:numId w:val="5"/>
        </w:numPr>
        <w:spacing w:after="160" w:line="259" w:lineRule="auto"/>
        <w:contextualSpacing/>
        <w:jc w:val="left"/>
        <w:rPr>
          <w:rFonts w:eastAsia="Calibri" w:cs="Arial"/>
          <w:b/>
          <w:sz w:val="20"/>
          <w:szCs w:val="20"/>
          <w:lang w:eastAsia="en-US"/>
        </w:rPr>
      </w:pPr>
      <w:r w:rsidRPr="00F73208">
        <w:rPr>
          <w:rFonts w:cs="Arial"/>
          <w:sz w:val="20"/>
          <w:szCs w:val="20"/>
        </w:rPr>
        <w:t>The POA reclassifications have resulted in a decrease of £0.229m.</w:t>
      </w:r>
      <w:r w:rsidRPr="00F73208">
        <w:rPr>
          <w:rFonts w:cs="Arial"/>
          <w:sz w:val="20"/>
          <w:szCs w:val="20"/>
        </w:rPr>
        <w:br/>
      </w:r>
    </w:p>
    <w:p w:rsidR="006C7262" w:rsidRPr="00F73208" w:rsidRDefault="006C7262" w:rsidP="006C7262">
      <w:pPr>
        <w:spacing w:after="160" w:line="259" w:lineRule="auto"/>
        <w:jc w:val="left"/>
        <w:rPr>
          <w:rFonts w:eastAsia="Calibri" w:cs="Arial"/>
          <w:sz w:val="20"/>
          <w:szCs w:val="20"/>
          <w:u w:val="single"/>
          <w:lang w:eastAsia="en-US"/>
        </w:rPr>
      </w:pPr>
      <w:r w:rsidRPr="00F73208">
        <w:rPr>
          <w:rFonts w:eastAsia="Calibri" w:cs="Arial"/>
          <w:sz w:val="20"/>
          <w:szCs w:val="20"/>
          <w:u w:val="single"/>
          <w:lang w:eastAsia="en-US"/>
        </w:rPr>
        <w:t>2018/19 forecast outturn</w:t>
      </w:r>
    </w:p>
    <w:p w:rsidR="006C7262" w:rsidRPr="00F73208" w:rsidRDefault="006C7262" w:rsidP="006C7262">
      <w:pPr>
        <w:numPr>
          <w:ilvl w:val="0"/>
          <w:numId w:val="7"/>
        </w:numPr>
        <w:spacing w:after="160" w:line="259" w:lineRule="auto"/>
        <w:contextualSpacing/>
        <w:jc w:val="left"/>
        <w:rPr>
          <w:rFonts w:eastAsia="Calibri" w:cs="Arial"/>
          <w:sz w:val="20"/>
          <w:szCs w:val="20"/>
          <w:lang w:eastAsia="en-US"/>
        </w:rPr>
      </w:pPr>
      <w:r w:rsidRPr="00F73208">
        <w:rPr>
          <w:rFonts w:eastAsia="Calibri" w:cs="Arial"/>
          <w:sz w:val="20"/>
          <w:szCs w:val="20"/>
          <w:lang w:eastAsia="en-US"/>
        </w:rPr>
        <w:t>The forecast outturn variance of £0.276m overspend is mainly comprised of Police Officer overtime as well as an increase in Police Officer pa</w:t>
      </w:r>
      <w:r>
        <w:rPr>
          <w:rFonts w:eastAsia="Calibri" w:cs="Arial"/>
          <w:sz w:val="20"/>
          <w:szCs w:val="20"/>
          <w:lang w:eastAsia="en-US"/>
        </w:rPr>
        <w:t>y in the LPA North Command team</w:t>
      </w:r>
    </w:p>
    <w:p w:rsidR="006C7262" w:rsidRPr="00714868" w:rsidRDefault="006C7262" w:rsidP="006C7262">
      <w:pPr>
        <w:pStyle w:val="Heading2"/>
        <w:rPr>
          <w:i/>
          <w:color w:val="auto"/>
          <w:szCs w:val="40"/>
        </w:rPr>
      </w:pPr>
      <w:r w:rsidRPr="00714868">
        <w:rPr>
          <w:szCs w:val="40"/>
        </w:rPr>
        <w:lastRenderedPageBreak/>
        <w:t>Level 2 – Support Services</w:t>
      </w:r>
    </w:p>
    <w:p w:rsidR="006C7262" w:rsidRDefault="006C7262" w:rsidP="006C7262">
      <w:pPr>
        <w:spacing w:line="240" w:lineRule="auto"/>
        <w:jc w:val="left"/>
      </w:pPr>
      <w:r w:rsidRPr="00FE1B54">
        <w:rPr>
          <w:noProof/>
        </w:rPr>
        <w:drawing>
          <wp:inline distT="0" distB="0" distL="0" distR="0" wp14:anchorId="0E9B9099" wp14:editId="0106EC31">
            <wp:extent cx="9521825" cy="4004389"/>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1825" cy="4004389"/>
                    </a:xfrm>
                    <a:prstGeom prst="rect">
                      <a:avLst/>
                    </a:prstGeom>
                    <a:noFill/>
                    <a:ln>
                      <a:noFill/>
                    </a:ln>
                  </pic:spPr>
                </pic:pic>
              </a:graphicData>
            </a:graphic>
          </wp:inline>
        </w:drawing>
      </w:r>
    </w:p>
    <w:p w:rsidR="006C7262" w:rsidRDefault="006C7262" w:rsidP="006C7262">
      <w:pPr>
        <w:spacing w:line="240" w:lineRule="auto"/>
        <w:jc w:val="left"/>
      </w:pPr>
    </w:p>
    <w:p w:rsidR="006C7262" w:rsidRDefault="006C7262" w:rsidP="006C7262">
      <w:pPr>
        <w:spacing w:line="240" w:lineRule="auto"/>
        <w:jc w:val="left"/>
      </w:pPr>
    </w:p>
    <w:p w:rsidR="006C7262" w:rsidRDefault="006C7262" w:rsidP="006C7262">
      <w:pPr>
        <w:spacing w:line="240" w:lineRule="auto"/>
        <w:jc w:val="left"/>
      </w:pPr>
    </w:p>
    <w:p w:rsidR="006C7262" w:rsidRDefault="006C7262" w:rsidP="006C7262">
      <w:pPr>
        <w:spacing w:line="240" w:lineRule="auto"/>
        <w:jc w:val="left"/>
      </w:pPr>
    </w:p>
    <w:p w:rsidR="006C7262" w:rsidRDefault="006C7262" w:rsidP="006C7262">
      <w:pPr>
        <w:spacing w:line="240" w:lineRule="auto"/>
        <w:jc w:val="left"/>
      </w:pPr>
    </w:p>
    <w:p w:rsidR="006C7262" w:rsidRDefault="006C7262" w:rsidP="006C7262">
      <w:pPr>
        <w:spacing w:line="240" w:lineRule="auto"/>
        <w:jc w:val="left"/>
      </w:pPr>
    </w:p>
    <w:p w:rsidR="006C7262" w:rsidRDefault="006C7262" w:rsidP="006C7262">
      <w:pPr>
        <w:spacing w:line="240" w:lineRule="auto"/>
        <w:jc w:val="left"/>
      </w:pPr>
    </w:p>
    <w:p w:rsidR="006C7262" w:rsidRDefault="006C7262" w:rsidP="006C7262">
      <w:pPr>
        <w:spacing w:line="240" w:lineRule="auto"/>
        <w:jc w:val="left"/>
      </w:pPr>
    </w:p>
    <w:p w:rsidR="006C7262" w:rsidRDefault="006C7262" w:rsidP="006C7262">
      <w:pPr>
        <w:spacing w:line="240" w:lineRule="auto"/>
        <w:jc w:val="left"/>
      </w:pPr>
    </w:p>
    <w:p w:rsidR="006C7262" w:rsidRPr="00F73208" w:rsidRDefault="006C7262" w:rsidP="006C7262">
      <w:pPr>
        <w:spacing w:after="160" w:line="259" w:lineRule="auto"/>
        <w:jc w:val="left"/>
        <w:rPr>
          <w:rFonts w:eastAsia="Calibri" w:cs="Arial"/>
          <w:b/>
          <w:sz w:val="20"/>
          <w:szCs w:val="20"/>
          <w:lang w:eastAsia="en-US"/>
        </w:rPr>
      </w:pPr>
      <w:r w:rsidRPr="00F73208">
        <w:rPr>
          <w:rFonts w:eastAsia="Calibri" w:cs="Arial"/>
          <w:b/>
          <w:sz w:val="20"/>
          <w:szCs w:val="20"/>
          <w:lang w:eastAsia="en-US"/>
        </w:rPr>
        <w:lastRenderedPageBreak/>
        <w:t>10a – Human Resources</w:t>
      </w:r>
    </w:p>
    <w:p w:rsidR="006C7262" w:rsidRPr="00F73208" w:rsidRDefault="006C7262" w:rsidP="006C7262">
      <w:pPr>
        <w:spacing w:after="160" w:line="259" w:lineRule="auto"/>
        <w:jc w:val="left"/>
        <w:rPr>
          <w:rFonts w:eastAsia="Calibri" w:cs="Arial"/>
          <w:sz w:val="20"/>
          <w:szCs w:val="20"/>
          <w:u w:val="single"/>
          <w:lang w:eastAsia="en-US"/>
        </w:rPr>
      </w:pPr>
      <w:r w:rsidRPr="00F73208">
        <w:rPr>
          <w:rFonts w:eastAsia="Calibri" w:cs="Arial"/>
          <w:sz w:val="20"/>
          <w:szCs w:val="20"/>
          <w:u w:val="single"/>
          <w:lang w:eastAsia="en-US"/>
        </w:rPr>
        <w:t>2018/19 current budget</w:t>
      </w:r>
    </w:p>
    <w:p w:rsidR="006C7262" w:rsidRPr="00F73208" w:rsidRDefault="006C7262" w:rsidP="006C7262">
      <w:pPr>
        <w:numPr>
          <w:ilvl w:val="0"/>
          <w:numId w:val="5"/>
        </w:numPr>
        <w:spacing w:after="160" w:line="259" w:lineRule="auto"/>
        <w:contextualSpacing/>
        <w:jc w:val="left"/>
        <w:rPr>
          <w:rFonts w:ascii="Calibri" w:eastAsia="Calibri" w:hAnsi="Calibri"/>
          <w:sz w:val="20"/>
          <w:szCs w:val="20"/>
          <w:lang w:eastAsia="en-US"/>
        </w:rPr>
      </w:pPr>
      <w:r w:rsidRPr="00F73208">
        <w:rPr>
          <w:rFonts w:cs="Arial"/>
          <w:sz w:val="20"/>
          <w:szCs w:val="20"/>
        </w:rPr>
        <w:t>During the year £0.112m of additional staffing costs previously held centrally have been transferred to HR, as part of the £1m growth allocation. Also an additional £0.138m of excess travel costs have been added into the budget, funded from earmarked reserves. There has also been a £0.096m increase in the medical costs budget in respect of the Specials programme, funded by both recurring &amp; one-off growth.</w:t>
      </w:r>
    </w:p>
    <w:p w:rsidR="006C7262" w:rsidRPr="00F73208" w:rsidRDefault="006C7262" w:rsidP="006C7262">
      <w:pPr>
        <w:numPr>
          <w:ilvl w:val="0"/>
          <w:numId w:val="5"/>
        </w:numPr>
        <w:spacing w:after="160" w:line="259" w:lineRule="auto"/>
        <w:contextualSpacing/>
        <w:jc w:val="left"/>
        <w:rPr>
          <w:rFonts w:ascii="Calibri" w:eastAsia="Calibri" w:hAnsi="Calibri"/>
          <w:sz w:val="20"/>
          <w:szCs w:val="20"/>
          <w:lang w:eastAsia="en-US"/>
        </w:rPr>
      </w:pPr>
      <w:r w:rsidRPr="00F73208">
        <w:rPr>
          <w:rFonts w:cs="Arial"/>
          <w:sz w:val="20"/>
          <w:szCs w:val="20"/>
        </w:rPr>
        <w:t>Following the completion of the 2018/19 POA return an exercise was undertaken to tidy up the coding for staff located within Business Services. This lead to some reallocations for three principal areas, namely, Administration Support, Finance and HR. As part of this exercise £0.482m of staffing costs have been reallocated into the HR heading, offset by circa £0.600m of staffing costs already within the HR original budget which had previously been manually allocated anticipating the tidy-up exercise required. An additional £0.273m of central costs previously allocated to HR have been removed during 18/19. Going forward the force now has more accurate information to ensure that the coding for all three of these POA functions will be more accurate.</w:t>
      </w:r>
    </w:p>
    <w:p w:rsidR="006C7262" w:rsidRPr="00F73208" w:rsidRDefault="006C7262" w:rsidP="006C7262">
      <w:pPr>
        <w:spacing w:after="160" w:line="259" w:lineRule="auto"/>
        <w:ind w:left="720"/>
        <w:contextualSpacing/>
        <w:jc w:val="left"/>
        <w:rPr>
          <w:rFonts w:ascii="Calibri" w:eastAsia="Calibri" w:hAnsi="Calibri"/>
          <w:sz w:val="20"/>
          <w:szCs w:val="20"/>
          <w:lang w:eastAsia="en-US"/>
        </w:rPr>
      </w:pPr>
    </w:p>
    <w:p w:rsidR="006C7262" w:rsidRPr="00F73208" w:rsidRDefault="006C7262" w:rsidP="006C7262">
      <w:pPr>
        <w:spacing w:after="160" w:line="259" w:lineRule="auto"/>
        <w:jc w:val="left"/>
        <w:rPr>
          <w:rFonts w:eastAsia="Calibri" w:cs="Arial"/>
          <w:b/>
          <w:sz w:val="20"/>
          <w:szCs w:val="20"/>
          <w:lang w:eastAsia="en-US"/>
        </w:rPr>
      </w:pPr>
      <w:r w:rsidRPr="00F73208">
        <w:rPr>
          <w:rFonts w:eastAsia="Calibri" w:cs="Arial"/>
          <w:b/>
          <w:sz w:val="20"/>
          <w:szCs w:val="20"/>
          <w:lang w:eastAsia="en-US"/>
        </w:rPr>
        <w:t>10b - Finance</w:t>
      </w:r>
    </w:p>
    <w:p w:rsidR="006C7262" w:rsidRPr="00F73208" w:rsidRDefault="006C7262" w:rsidP="006C7262">
      <w:pPr>
        <w:spacing w:after="160" w:line="259" w:lineRule="auto"/>
        <w:jc w:val="left"/>
        <w:rPr>
          <w:rFonts w:eastAsia="Calibri" w:cs="Arial"/>
          <w:sz w:val="20"/>
          <w:szCs w:val="20"/>
          <w:u w:val="single"/>
          <w:lang w:eastAsia="en-US"/>
        </w:rPr>
      </w:pPr>
      <w:r w:rsidRPr="00F73208">
        <w:rPr>
          <w:rFonts w:eastAsia="Calibri" w:cs="Arial"/>
          <w:sz w:val="20"/>
          <w:szCs w:val="20"/>
          <w:u w:val="single"/>
          <w:lang w:eastAsia="en-US"/>
        </w:rPr>
        <w:t>2018/19 current budget</w:t>
      </w:r>
    </w:p>
    <w:p w:rsidR="006C7262" w:rsidRPr="00F73208" w:rsidRDefault="006C7262" w:rsidP="006C7262">
      <w:pPr>
        <w:numPr>
          <w:ilvl w:val="0"/>
          <w:numId w:val="5"/>
        </w:numPr>
        <w:spacing w:after="160" w:line="259" w:lineRule="auto"/>
        <w:contextualSpacing/>
        <w:jc w:val="left"/>
        <w:rPr>
          <w:rFonts w:cs="Arial"/>
          <w:sz w:val="20"/>
          <w:szCs w:val="20"/>
          <w:u w:val="single"/>
        </w:rPr>
      </w:pPr>
      <w:r w:rsidRPr="00F73208">
        <w:rPr>
          <w:rFonts w:cs="Arial"/>
          <w:sz w:val="20"/>
          <w:szCs w:val="20"/>
        </w:rPr>
        <w:t>An additional budget of £0.091m for forfeitures income has been created in year, with all of these monies being transferred into the forfeitures earmarked reserve at the point at which these monies are recognised as income in the force accounts.</w:t>
      </w:r>
    </w:p>
    <w:p w:rsidR="006C7262" w:rsidRPr="00F73208" w:rsidRDefault="006C7262" w:rsidP="006C7262">
      <w:pPr>
        <w:numPr>
          <w:ilvl w:val="0"/>
          <w:numId w:val="5"/>
        </w:numPr>
        <w:spacing w:after="160" w:line="259" w:lineRule="auto"/>
        <w:contextualSpacing/>
        <w:jc w:val="left"/>
        <w:rPr>
          <w:rFonts w:cs="Arial"/>
          <w:sz w:val="20"/>
          <w:szCs w:val="20"/>
          <w:u w:val="single"/>
        </w:rPr>
      </w:pPr>
      <w:r w:rsidRPr="00F73208">
        <w:rPr>
          <w:rFonts w:cs="Arial"/>
          <w:sz w:val="20"/>
          <w:szCs w:val="20"/>
        </w:rPr>
        <w:t>A net increase of £0.294m has been allocated to Finance as part of the Business Services review exercise referred to within ‘10a – Human Resources’.</w:t>
      </w:r>
    </w:p>
    <w:p w:rsidR="006C7262" w:rsidRPr="00F73208" w:rsidRDefault="006C7262" w:rsidP="006C7262">
      <w:pPr>
        <w:spacing w:after="160" w:line="259" w:lineRule="auto"/>
        <w:ind w:left="720"/>
        <w:contextualSpacing/>
        <w:jc w:val="left"/>
        <w:rPr>
          <w:rFonts w:cs="Arial"/>
          <w:sz w:val="20"/>
          <w:szCs w:val="20"/>
          <w:u w:val="single"/>
        </w:rPr>
      </w:pPr>
    </w:p>
    <w:p w:rsidR="006C7262" w:rsidRPr="00F73208" w:rsidRDefault="006C7262" w:rsidP="006C7262">
      <w:pPr>
        <w:spacing w:after="160" w:line="259" w:lineRule="auto"/>
        <w:jc w:val="left"/>
        <w:rPr>
          <w:rFonts w:cs="Arial"/>
          <w:b/>
          <w:sz w:val="20"/>
          <w:szCs w:val="20"/>
        </w:rPr>
      </w:pPr>
      <w:r w:rsidRPr="00F73208">
        <w:rPr>
          <w:rFonts w:cs="Arial"/>
          <w:b/>
          <w:sz w:val="20"/>
          <w:szCs w:val="20"/>
        </w:rPr>
        <w:t>10c – Legal</w:t>
      </w:r>
    </w:p>
    <w:p w:rsidR="006C7262" w:rsidRPr="00F73208" w:rsidRDefault="006C7262" w:rsidP="006C7262">
      <w:pPr>
        <w:spacing w:after="160" w:line="259" w:lineRule="auto"/>
        <w:jc w:val="left"/>
        <w:rPr>
          <w:rFonts w:eastAsia="Calibri" w:cs="Arial"/>
          <w:sz w:val="20"/>
          <w:szCs w:val="20"/>
          <w:u w:val="single"/>
          <w:lang w:eastAsia="en-US"/>
        </w:rPr>
      </w:pPr>
      <w:r w:rsidRPr="00F73208">
        <w:rPr>
          <w:rFonts w:eastAsia="Calibri" w:cs="Arial"/>
          <w:sz w:val="20"/>
          <w:szCs w:val="20"/>
          <w:u w:val="single"/>
          <w:lang w:eastAsia="en-US"/>
        </w:rPr>
        <w:t>2018/19 current budget</w:t>
      </w:r>
    </w:p>
    <w:p w:rsidR="006C7262" w:rsidRPr="00F73208" w:rsidRDefault="006C7262" w:rsidP="006C7262">
      <w:pPr>
        <w:numPr>
          <w:ilvl w:val="0"/>
          <w:numId w:val="5"/>
        </w:numPr>
        <w:spacing w:after="160" w:line="259" w:lineRule="auto"/>
        <w:contextualSpacing/>
        <w:jc w:val="left"/>
        <w:rPr>
          <w:rFonts w:cs="Arial"/>
          <w:b/>
          <w:sz w:val="20"/>
          <w:szCs w:val="20"/>
        </w:rPr>
      </w:pPr>
      <w:r w:rsidRPr="00F73208">
        <w:rPr>
          <w:rFonts w:cs="Arial"/>
          <w:sz w:val="20"/>
          <w:szCs w:val="20"/>
        </w:rPr>
        <w:t>The budget has increased due to £0.045m of legal advice requirements for ICT as well as £0.090m for Procurement. In addition, significant legal work on the Allard claim has resulted in a £0.341m budget increase, all of which has been funded from earmarked reserves. In addition the Essex County Council SLA contract has increased by £0.060m.</w:t>
      </w:r>
    </w:p>
    <w:p w:rsidR="006C7262" w:rsidRPr="00F73208" w:rsidRDefault="006C7262" w:rsidP="006C7262">
      <w:pPr>
        <w:numPr>
          <w:ilvl w:val="0"/>
          <w:numId w:val="5"/>
        </w:numPr>
        <w:spacing w:after="160" w:line="259" w:lineRule="auto"/>
        <w:contextualSpacing/>
        <w:jc w:val="left"/>
        <w:rPr>
          <w:rFonts w:cs="Arial"/>
          <w:b/>
          <w:sz w:val="20"/>
          <w:szCs w:val="20"/>
        </w:rPr>
      </w:pPr>
      <w:r w:rsidRPr="00F73208">
        <w:rPr>
          <w:rFonts w:cs="Arial"/>
          <w:sz w:val="20"/>
          <w:szCs w:val="20"/>
        </w:rPr>
        <w:t>Additional external partnership funding of £0.060m has been received to pay for the increase in legal advice for ICT.</w:t>
      </w:r>
    </w:p>
    <w:p w:rsidR="006C7262" w:rsidRPr="00F73208" w:rsidRDefault="006C7262" w:rsidP="006C7262">
      <w:pPr>
        <w:spacing w:after="160" w:line="259" w:lineRule="auto"/>
        <w:jc w:val="left"/>
        <w:rPr>
          <w:rFonts w:cs="Arial"/>
          <w:b/>
          <w:sz w:val="20"/>
          <w:szCs w:val="20"/>
        </w:rPr>
      </w:pPr>
      <w:r w:rsidRPr="00F73208">
        <w:rPr>
          <w:rFonts w:eastAsia="Calibri" w:cs="Arial"/>
          <w:b/>
          <w:sz w:val="20"/>
          <w:szCs w:val="20"/>
          <w:lang w:eastAsia="en-US"/>
        </w:rPr>
        <w:br/>
        <w:t>10d – Fleet Services</w:t>
      </w:r>
    </w:p>
    <w:p w:rsidR="006C7262" w:rsidRPr="00F73208" w:rsidRDefault="006C7262" w:rsidP="006C7262">
      <w:pPr>
        <w:spacing w:after="160" w:line="259" w:lineRule="auto"/>
        <w:jc w:val="left"/>
        <w:rPr>
          <w:rFonts w:eastAsia="Calibri" w:cs="Arial"/>
          <w:sz w:val="20"/>
          <w:szCs w:val="20"/>
          <w:u w:val="single"/>
          <w:lang w:eastAsia="en-US"/>
        </w:rPr>
      </w:pPr>
      <w:r w:rsidRPr="00F73208">
        <w:rPr>
          <w:rFonts w:eastAsia="Calibri" w:cs="Arial"/>
          <w:sz w:val="20"/>
          <w:szCs w:val="20"/>
          <w:u w:val="single"/>
          <w:lang w:eastAsia="en-US"/>
        </w:rPr>
        <w:t>2018/19 current budget</w:t>
      </w:r>
    </w:p>
    <w:p w:rsidR="006C7262" w:rsidRPr="00F73208" w:rsidRDefault="006C7262" w:rsidP="006C7262">
      <w:pPr>
        <w:numPr>
          <w:ilvl w:val="0"/>
          <w:numId w:val="8"/>
        </w:numPr>
        <w:spacing w:after="160" w:line="259" w:lineRule="auto"/>
        <w:contextualSpacing/>
        <w:jc w:val="left"/>
        <w:rPr>
          <w:rFonts w:eastAsia="Calibri" w:cs="Arial"/>
          <w:sz w:val="20"/>
          <w:szCs w:val="20"/>
          <w:u w:val="single"/>
          <w:lang w:eastAsia="en-US"/>
        </w:rPr>
      </w:pPr>
      <w:r w:rsidRPr="00F73208">
        <w:rPr>
          <w:rFonts w:cs="Arial"/>
          <w:sz w:val="20"/>
          <w:szCs w:val="20"/>
        </w:rPr>
        <w:t>The main reason for the current budget increase is the additional £0.700m of motor insurance premium following the re-tender of this contract and subsequent award to Edison. This increase has been funded from the General Reserve. Offset against this increase has been £0.082m of additional recharged transport costs.</w:t>
      </w:r>
    </w:p>
    <w:p w:rsidR="006C7262" w:rsidRPr="00F73208" w:rsidRDefault="006C7262" w:rsidP="006C7262">
      <w:pPr>
        <w:numPr>
          <w:ilvl w:val="0"/>
          <w:numId w:val="8"/>
        </w:numPr>
        <w:spacing w:after="160" w:line="259" w:lineRule="auto"/>
        <w:contextualSpacing/>
        <w:jc w:val="left"/>
        <w:rPr>
          <w:rFonts w:eastAsia="Calibri" w:cs="Arial"/>
          <w:sz w:val="20"/>
          <w:szCs w:val="20"/>
          <w:u w:val="single"/>
          <w:lang w:eastAsia="en-US"/>
        </w:rPr>
      </w:pPr>
      <w:r w:rsidRPr="00F73208">
        <w:rPr>
          <w:rFonts w:cs="Arial"/>
          <w:sz w:val="20"/>
          <w:szCs w:val="20"/>
        </w:rPr>
        <w:lastRenderedPageBreak/>
        <w:t>Within the reclassifications column it should be noted that £0.494m has been adjusted in respect of the revenue consequences of capital budget. For the original budget position an assumption was made that the revenue consequences budget was pro-rated in accordance with areas of the approved capital programme spend. The Period 11 position now reflects the updated position that all of these costs actually relate to ICT for 18/19.</w:t>
      </w:r>
    </w:p>
    <w:p w:rsidR="006C7262" w:rsidRDefault="006C7262" w:rsidP="006C7262">
      <w:pPr>
        <w:spacing w:after="160" w:line="259" w:lineRule="auto"/>
        <w:jc w:val="left"/>
        <w:rPr>
          <w:rFonts w:eastAsia="Calibri" w:cs="Arial"/>
          <w:sz w:val="20"/>
          <w:szCs w:val="20"/>
          <w:u w:val="single"/>
          <w:lang w:eastAsia="en-US"/>
        </w:rPr>
      </w:pPr>
    </w:p>
    <w:p w:rsidR="006C7262" w:rsidRPr="00F73208" w:rsidRDefault="006C7262" w:rsidP="006C7262">
      <w:pPr>
        <w:spacing w:after="160" w:line="259" w:lineRule="auto"/>
        <w:jc w:val="left"/>
        <w:rPr>
          <w:rFonts w:eastAsia="Calibri" w:cs="Arial"/>
          <w:b/>
          <w:sz w:val="20"/>
          <w:szCs w:val="20"/>
          <w:lang w:eastAsia="en-US"/>
        </w:rPr>
      </w:pPr>
      <w:r w:rsidRPr="00F73208">
        <w:rPr>
          <w:rFonts w:eastAsia="Calibri" w:cs="Arial"/>
          <w:b/>
          <w:sz w:val="20"/>
          <w:szCs w:val="20"/>
          <w:lang w:eastAsia="en-US"/>
        </w:rPr>
        <w:t>10e – Estates</w:t>
      </w:r>
    </w:p>
    <w:p w:rsidR="006C7262" w:rsidRPr="00F73208" w:rsidRDefault="006C7262" w:rsidP="006C7262">
      <w:pPr>
        <w:spacing w:after="160" w:line="259" w:lineRule="auto"/>
        <w:jc w:val="left"/>
        <w:rPr>
          <w:rFonts w:eastAsia="Calibri" w:cs="Arial"/>
          <w:sz w:val="20"/>
          <w:szCs w:val="20"/>
          <w:u w:val="single"/>
          <w:lang w:eastAsia="en-US"/>
        </w:rPr>
      </w:pPr>
      <w:r w:rsidRPr="00F73208">
        <w:rPr>
          <w:rFonts w:eastAsia="Calibri" w:cs="Arial"/>
          <w:sz w:val="20"/>
          <w:szCs w:val="20"/>
          <w:u w:val="single"/>
          <w:lang w:eastAsia="en-US"/>
        </w:rPr>
        <w:t>2018/19 current budget</w:t>
      </w:r>
    </w:p>
    <w:p w:rsidR="006C7262" w:rsidRPr="00F73208" w:rsidRDefault="006C7262" w:rsidP="006C7262">
      <w:pPr>
        <w:numPr>
          <w:ilvl w:val="0"/>
          <w:numId w:val="9"/>
        </w:numPr>
        <w:spacing w:after="160" w:line="259" w:lineRule="auto"/>
        <w:contextualSpacing/>
        <w:jc w:val="left"/>
        <w:rPr>
          <w:rFonts w:eastAsia="Calibri" w:cs="Arial"/>
          <w:sz w:val="20"/>
          <w:szCs w:val="20"/>
          <w:u w:val="single"/>
          <w:lang w:eastAsia="en-US"/>
        </w:rPr>
      </w:pPr>
      <w:r w:rsidRPr="00F73208">
        <w:rPr>
          <w:rFonts w:cs="Arial"/>
          <w:sz w:val="20"/>
          <w:szCs w:val="20"/>
        </w:rPr>
        <w:t>There have been various increases to Estates budgets in the year, funded from various sources. Planned maintenance for Operation Dagenham has increased by £0.078m funded from additional income. In addition there has been £0.159m for extra security installation costs and £0.072m for security guards. The professional fees budget requirement has increased by £0.164m, with funding for this from the Transformation Reserve. Offset against these increases is a reduction of £0.168km in respect of leasehold rental costs.</w:t>
      </w:r>
    </w:p>
    <w:p w:rsidR="006C7262" w:rsidRPr="00F73208" w:rsidRDefault="006C7262" w:rsidP="006C7262">
      <w:pPr>
        <w:numPr>
          <w:ilvl w:val="0"/>
          <w:numId w:val="9"/>
        </w:numPr>
        <w:spacing w:after="160" w:line="259" w:lineRule="auto"/>
        <w:contextualSpacing/>
        <w:jc w:val="left"/>
        <w:rPr>
          <w:rFonts w:eastAsia="Calibri" w:cs="Arial"/>
          <w:sz w:val="20"/>
          <w:szCs w:val="20"/>
          <w:u w:val="single"/>
          <w:lang w:eastAsia="en-US"/>
        </w:rPr>
      </w:pPr>
      <w:r w:rsidRPr="00F73208">
        <w:rPr>
          <w:rFonts w:cs="Arial"/>
          <w:sz w:val="20"/>
          <w:szCs w:val="20"/>
        </w:rPr>
        <w:t>The net external funding received comprises £0.082m for Operation Dagenham as well as a £0.030m shortfall for rental income.</w:t>
      </w:r>
    </w:p>
    <w:p w:rsidR="006C7262" w:rsidRPr="00F73208" w:rsidRDefault="006C7262" w:rsidP="006C7262">
      <w:pPr>
        <w:numPr>
          <w:ilvl w:val="0"/>
          <w:numId w:val="9"/>
        </w:numPr>
        <w:spacing w:after="160" w:line="259" w:lineRule="auto"/>
        <w:contextualSpacing/>
        <w:jc w:val="left"/>
        <w:rPr>
          <w:rFonts w:eastAsia="Calibri" w:cs="Arial"/>
          <w:sz w:val="20"/>
          <w:szCs w:val="20"/>
          <w:u w:val="single"/>
          <w:lang w:eastAsia="en-US"/>
        </w:rPr>
      </w:pPr>
      <w:r w:rsidRPr="00F73208">
        <w:rPr>
          <w:rFonts w:cs="Arial"/>
          <w:sz w:val="20"/>
          <w:szCs w:val="20"/>
        </w:rPr>
        <w:t>Within the reclassifications column £0.393m has been adjusted in respect of the revenue consequences of capital budget. This is referred to within the commentary for ‘10d – Fleet Services’.</w:t>
      </w:r>
      <w:r w:rsidRPr="00F73208">
        <w:rPr>
          <w:rFonts w:cs="Arial"/>
          <w:sz w:val="20"/>
          <w:szCs w:val="20"/>
        </w:rPr>
        <w:br/>
      </w:r>
    </w:p>
    <w:p w:rsidR="006C7262" w:rsidRPr="00F73208" w:rsidRDefault="006C7262" w:rsidP="006C7262">
      <w:pPr>
        <w:spacing w:after="160" w:line="259" w:lineRule="auto"/>
        <w:jc w:val="left"/>
        <w:rPr>
          <w:rFonts w:eastAsia="Calibri" w:cs="Arial"/>
          <w:b/>
          <w:sz w:val="20"/>
          <w:szCs w:val="20"/>
          <w:lang w:eastAsia="en-US"/>
        </w:rPr>
      </w:pPr>
      <w:r w:rsidRPr="00F73208">
        <w:rPr>
          <w:rFonts w:eastAsia="Calibri" w:cs="Arial"/>
          <w:b/>
          <w:sz w:val="20"/>
          <w:szCs w:val="20"/>
          <w:lang w:eastAsia="en-US"/>
        </w:rPr>
        <w:t>10f – Information Communication Technology</w:t>
      </w:r>
    </w:p>
    <w:p w:rsidR="006C7262" w:rsidRPr="00F73208" w:rsidRDefault="006C7262" w:rsidP="006C7262">
      <w:pPr>
        <w:spacing w:after="160" w:line="259" w:lineRule="auto"/>
        <w:jc w:val="left"/>
        <w:rPr>
          <w:rFonts w:eastAsia="Calibri" w:cs="Arial"/>
          <w:sz w:val="20"/>
          <w:szCs w:val="20"/>
          <w:u w:val="single"/>
          <w:lang w:eastAsia="en-US"/>
        </w:rPr>
      </w:pPr>
      <w:r w:rsidRPr="00F73208">
        <w:rPr>
          <w:rFonts w:eastAsia="Calibri" w:cs="Arial"/>
          <w:sz w:val="20"/>
          <w:szCs w:val="20"/>
          <w:u w:val="single"/>
          <w:lang w:eastAsia="en-US"/>
        </w:rPr>
        <w:t>2018/19 original budget</w:t>
      </w:r>
    </w:p>
    <w:p w:rsidR="006C7262" w:rsidRPr="00F73208" w:rsidRDefault="006C7262" w:rsidP="006C7262">
      <w:pPr>
        <w:numPr>
          <w:ilvl w:val="0"/>
          <w:numId w:val="10"/>
        </w:numPr>
        <w:spacing w:after="160" w:line="259" w:lineRule="auto"/>
        <w:contextualSpacing/>
        <w:jc w:val="left"/>
        <w:rPr>
          <w:rFonts w:eastAsia="Calibri" w:cs="Arial"/>
          <w:sz w:val="20"/>
          <w:szCs w:val="20"/>
          <w:u w:val="single"/>
          <w:lang w:eastAsia="en-US"/>
        </w:rPr>
      </w:pPr>
      <w:r w:rsidRPr="00F73208">
        <w:rPr>
          <w:rFonts w:cs="Arial"/>
          <w:sz w:val="20"/>
          <w:szCs w:val="20"/>
        </w:rPr>
        <w:t>The main material movements from the 2017/18 budget include £0.5m of staffing increase, £0.8m additional supplies &amp; services requirement as well as a £1.3m allocation for ICT’s element of corporate budgets held centrally. It should be noted that the process for mapping and allocating the centrally-held budgets has been more detailed in 2018/19, but is an area still under review.</w:t>
      </w:r>
    </w:p>
    <w:p w:rsidR="006C7262" w:rsidRPr="00F73208" w:rsidRDefault="006C7262" w:rsidP="006C7262">
      <w:pPr>
        <w:spacing w:after="160" w:line="259" w:lineRule="auto"/>
        <w:ind w:left="720"/>
        <w:contextualSpacing/>
        <w:jc w:val="left"/>
        <w:rPr>
          <w:rFonts w:eastAsia="Calibri" w:cs="Arial"/>
          <w:sz w:val="20"/>
          <w:szCs w:val="20"/>
          <w:u w:val="single"/>
          <w:lang w:eastAsia="en-US"/>
        </w:rPr>
      </w:pPr>
    </w:p>
    <w:p w:rsidR="006C7262" w:rsidRPr="00F73208" w:rsidRDefault="006C7262" w:rsidP="006C7262">
      <w:pPr>
        <w:spacing w:after="160" w:line="259" w:lineRule="auto"/>
        <w:jc w:val="left"/>
        <w:rPr>
          <w:rFonts w:eastAsia="Calibri" w:cs="Arial"/>
          <w:sz w:val="20"/>
          <w:szCs w:val="20"/>
          <w:u w:val="single"/>
          <w:lang w:eastAsia="en-US"/>
        </w:rPr>
      </w:pPr>
      <w:r w:rsidRPr="00F73208">
        <w:rPr>
          <w:rFonts w:eastAsia="Calibri" w:cs="Arial"/>
          <w:sz w:val="20"/>
          <w:szCs w:val="20"/>
          <w:u w:val="single"/>
          <w:lang w:eastAsia="en-US"/>
        </w:rPr>
        <w:t>2018/19 current budget</w:t>
      </w:r>
    </w:p>
    <w:p w:rsidR="006C7262" w:rsidRPr="00F73208" w:rsidRDefault="006C7262" w:rsidP="006C7262">
      <w:pPr>
        <w:numPr>
          <w:ilvl w:val="0"/>
          <w:numId w:val="10"/>
        </w:numPr>
        <w:spacing w:after="160" w:line="259" w:lineRule="auto"/>
        <w:contextualSpacing/>
        <w:jc w:val="left"/>
        <w:rPr>
          <w:rFonts w:eastAsia="Calibri" w:cs="Arial"/>
          <w:sz w:val="20"/>
          <w:szCs w:val="20"/>
          <w:u w:val="single"/>
          <w:lang w:eastAsia="en-US"/>
        </w:rPr>
      </w:pPr>
      <w:r w:rsidRPr="00F73208">
        <w:rPr>
          <w:rFonts w:cs="Arial"/>
          <w:sz w:val="20"/>
          <w:szCs w:val="20"/>
        </w:rPr>
        <w:t>During the year staffing has increased by £0.564m with £0.500m of this funded from extra income. There have been various other supplies &amp; services increases, including £0.062m of agency costs, £0.093m of mobile phones rental costs, £0.098m relating to circuit networks and £0.076m relating to enabling software. Some of the larger budget increases comprise £2.127m of additional IT maintenance software, £0.615m of IT software, £0.342m of consultancy, £0.284m of mobile data costs and £0.204m relating to other shared services. £0.924m of additional contractors costs have been offset by £0.483m funded from extra income.</w:t>
      </w:r>
    </w:p>
    <w:p w:rsidR="006C7262" w:rsidRPr="00F73208" w:rsidRDefault="006C7262" w:rsidP="006C7262">
      <w:pPr>
        <w:numPr>
          <w:ilvl w:val="0"/>
          <w:numId w:val="10"/>
        </w:numPr>
        <w:spacing w:after="160" w:line="259" w:lineRule="auto"/>
        <w:contextualSpacing/>
        <w:jc w:val="left"/>
        <w:rPr>
          <w:rFonts w:eastAsia="Calibri" w:cs="Arial"/>
          <w:sz w:val="20"/>
          <w:szCs w:val="20"/>
          <w:lang w:eastAsia="en-US"/>
        </w:rPr>
      </w:pPr>
      <w:r w:rsidRPr="00F73208">
        <w:rPr>
          <w:rFonts w:eastAsia="Calibri" w:cs="Arial"/>
          <w:sz w:val="20"/>
          <w:szCs w:val="20"/>
          <w:lang w:eastAsia="en-US"/>
        </w:rPr>
        <w:t xml:space="preserve">The extra income received of £1.318m comprises partnership &amp; other funding. </w:t>
      </w:r>
    </w:p>
    <w:p w:rsidR="006C7262" w:rsidRPr="00F73208" w:rsidRDefault="006C7262" w:rsidP="006C7262">
      <w:pPr>
        <w:numPr>
          <w:ilvl w:val="0"/>
          <w:numId w:val="10"/>
        </w:numPr>
        <w:spacing w:after="160" w:line="259" w:lineRule="auto"/>
        <w:contextualSpacing/>
        <w:jc w:val="left"/>
        <w:rPr>
          <w:rFonts w:eastAsia="Calibri" w:cs="Arial"/>
          <w:sz w:val="20"/>
          <w:szCs w:val="20"/>
          <w:u w:val="single"/>
          <w:lang w:eastAsia="en-US"/>
        </w:rPr>
      </w:pPr>
      <w:r w:rsidRPr="00F73208">
        <w:rPr>
          <w:rFonts w:cs="Arial"/>
          <w:sz w:val="20"/>
          <w:szCs w:val="20"/>
        </w:rPr>
        <w:t xml:space="preserve">It should also be noted that £1.452m of revenue consequences of capital funding has been allocated to finance the ICT </w:t>
      </w:r>
      <w:proofErr w:type="spellStart"/>
      <w:r w:rsidRPr="00F73208">
        <w:rPr>
          <w:rFonts w:cs="Arial"/>
          <w:sz w:val="20"/>
          <w:szCs w:val="20"/>
        </w:rPr>
        <w:t>virements</w:t>
      </w:r>
      <w:proofErr w:type="spellEnd"/>
      <w:r w:rsidRPr="00F73208">
        <w:rPr>
          <w:rFonts w:cs="Arial"/>
          <w:sz w:val="20"/>
          <w:szCs w:val="20"/>
        </w:rPr>
        <w:t xml:space="preserve"> referred to above e.g. covering projects such as Mobile First, ESMCP, SAP refresh, FIM, Athena and ACU insider threat. This funding is included within the reclassifications and reallocations column.</w:t>
      </w:r>
    </w:p>
    <w:p w:rsidR="006C7262" w:rsidRDefault="006C7262" w:rsidP="006C7262">
      <w:pPr>
        <w:spacing w:after="160" w:line="259" w:lineRule="auto"/>
        <w:contextualSpacing/>
        <w:jc w:val="left"/>
        <w:rPr>
          <w:rFonts w:cs="Arial"/>
          <w:sz w:val="20"/>
          <w:szCs w:val="20"/>
        </w:rPr>
      </w:pPr>
    </w:p>
    <w:p w:rsidR="006C7262" w:rsidRPr="00F73208" w:rsidRDefault="006C7262" w:rsidP="006C7262">
      <w:pPr>
        <w:spacing w:after="160" w:line="259" w:lineRule="auto"/>
        <w:contextualSpacing/>
        <w:jc w:val="left"/>
        <w:rPr>
          <w:rFonts w:eastAsia="Calibri" w:cs="Arial"/>
          <w:sz w:val="20"/>
          <w:szCs w:val="20"/>
          <w:u w:val="single"/>
          <w:lang w:eastAsia="en-US"/>
        </w:rPr>
      </w:pPr>
    </w:p>
    <w:p w:rsidR="006C7262" w:rsidRPr="00F73208" w:rsidRDefault="006C7262" w:rsidP="006C7262">
      <w:pPr>
        <w:spacing w:after="160" w:line="259" w:lineRule="auto"/>
        <w:contextualSpacing/>
        <w:jc w:val="left"/>
        <w:rPr>
          <w:rFonts w:eastAsia="Calibri" w:cs="Arial"/>
          <w:sz w:val="20"/>
          <w:szCs w:val="20"/>
          <w:u w:val="single"/>
          <w:lang w:eastAsia="en-US"/>
        </w:rPr>
      </w:pPr>
    </w:p>
    <w:p w:rsidR="006C7262" w:rsidRPr="00F73208" w:rsidRDefault="006C7262" w:rsidP="006C7262">
      <w:pPr>
        <w:spacing w:after="160" w:line="259" w:lineRule="auto"/>
        <w:jc w:val="left"/>
        <w:rPr>
          <w:rFonts w:eastAsia="Calibri" w:cs="Arial"/>
          <w:sz w:val="20"/>
          <w:szCs w:val="20"/>
          <w:u w:val="single"/>
          <w:lang w:eastAsia="en-US"/>
        </w:rPr>
      </w:pPr>
      <w:r w:rsidRPr="00F73208">
        <w:rPr>
          <w:rFonts w:eastAsia="Calibri" w:cs="Arial"/>
          <w:sz w:val="20"/>
          <w:szCs w:val="20"/>
          <w:u w:val="single"/>
          <w:lang w:eastAsia="en-US"/>
        </w:rPr>
        <w:lastRenderedPageBreak/>
        <w:t>2018/19 forecast outturn</w:t>
      </w:r>
    </w:p>
    <w:p w:rsidR="006C7262" w:rsidRPr="00F73208" w:rsidRDefault="006C7262" w:rsidP="006C7262">
      <w:pPr>
        <w:numPr>
          <w:ilvl w:val="0"/>
          <w:numId w:val="11"/>
        </w:numPr>
        <w:spacing w:after="160" w:line="259" w:lineRule="auto"/>
        <w:contextualSpacing/>
        <w:jc w:val="left"/>
        <w:rPr>
          <w:rFonts w:eastAsia="Calibri" w:cs="Arial"/>
          <w:sz w:val="20"/>
          <w:szCs w:val="20"/>
          <w:u w:val="single"/>
          <w:lang w:eastAsia="en-US"/>
        </w:rPr>
      </w:pPr>
      <w:r w:rsidRPr="00F73208">
        <w:rPr>
          <w:rFonts w:eastAsia="Calibri" w:cs="Arial"/>
          <w:sz w:val="20"/>
          <w:szCs w:val="20"/>
          <w:lang w:eastAsia="en-US"/>
        </w:rPr>
        <w:t>The forecast outturn variance of £0.823m underspend relates to various budgets including Airwave and IT software, software maintenance and hardware, as well as an assumption that the remaining revenue consequences of capital budget will not be spent in 18/19.</w:t>
      </w:r>
    </w:p>
    <w:p w:rsidR="006C7262" w:rsidRPr="00F73208" w:rsidRDefault="006C7262" w:rsidP="006C7262">
      <w:pPr>
        <w:spacing w:after="160" w:line="259" w:lineRule="auto"/>
        <w:contextualSpacing/>
        <w:jc w:val="left"/>
        <w:rPr>
          <w:rFonts w:eastAsia="Calibri" w:cs="Arial"/>
          <w:sz w:val="20"/>
          <w:szCs w:val="20"/>
          <w:u w:val="single"/>
          <w:lang w:eastAsia="en-US"/>
        </w:rPr>
      </w:pPr>
    </w:p>
    <w:p w:rsidR="006C7262" w:rsidRPr="00F73208" w:rsidRDefault="006C7262" w:rsidP="006C7262">
      <w:pPr>
        <w:spacing w:after="160" w:line="259" w:lineRule="auto"/>
        <w:jc w:val="left"/>
        <w:rPr>
          <w:rFonts w:eastAsia="Calibri" w:cs="Arial"/>
          <w:b/>
          <w:sz w:val="20"/>
          <w:szCs w:val="20"/>
          <w:lang w:eastAsia="en-US"/>
        </w:rPr>
      </w:pPr>
      <w:r w:rsidRPr="00F73208">
        <w:rPr>
          <w:rFonts w:eastAsia="Calibri" w:cs="Arial"/>
          <w:b/>
          <w:sz w:val="20"/>
          <w:szCs w:val="20"/>
          <w:lang w:eastAsia="en-US"/>
        </w:rPr>
        <w:t>10g – Professional Standards</w:t>
      </w:r>
    </w:p>
    <w:p w:rsidR="006C7262" w:rsidRPr="00F73208" w:rsidRDefault="006C7262" w:rsidP="006C7262">
      <w:pPr>
        <w:spacing w:after="160" w:line="259" w:lineRule="auto"/>
        <w:jc w:val="left"/>
        <w:rPr>
          <w:rFonts w:eastAsia="Calibri" w:cs="Arial"/>
          <w:sz w:val="20"/>
          <w:szCs w:val="20"/>
          <w:u w:val="single"/>
          <w:lang w:eastAsia="en-US"/>
        </w:rPr>
      </w:pPr>
      <w:r w:rsidRPr="00F73208">
        <w:rPr>
          <w:rFonts w:eastAsia="Calibri" w:cs="Arial"/>
          <w:sz w:val="20"/>
          <w:szCs w:val="20"/>
          <w:u w:val="single"/>
          <w:lang w:eastAsia="en-US"/>
        </w:rPr>
        <w:t>2018/19 current budget</w:t>
      </w:r>
    </w:p>
    <w:p w:rsidR="006C7262" w:rsidRPr="00F73208" w:rsidRDefault="006C7262" w:rsidP="006C7262">
      <w:pPr>
        <w:numPr>
          <w:ilvl w:val="0"/>
          <w:numId w:val="11"/>
        </w:numPr>
        <w:spacing w:after="160" w:line="259" w:lineRule="auto"/>
        <w:contextualSpacing/>
        <w:jc w:val="left"/>
        <w:rPr>
          <w:rFonts w:eastAsia="Calibri" w:cs="Arial"/>
          <w:sz w:val="20"/>
          <w:szCs w:val="20"/>
          <w:u w:val="single"/>
          <w:lang w:eastAsia="en-US"/>
        </w:rPr>
      </w:pPr>
      <w:r w:rsidRPr="00F73208">
        <w:rPr>
          <w:rFonts w:cs="Arial"/>
          <w:sz w:val="20"/>
          <w:szCs w:val="20"/>
        </w:rPr>
        <w:t>The movement in year includes £0.016m of additional Police Officer pay, part of which has been funded from additional contractor vetting income. In addition, staff pay has increased by £0.297m with £0.128m of this funded by additional DBS grant.</w:t>
      </w:r>
    </w:p>
    <w:p w:rsidR="006C7262" w:rsidRPr="00F73208" w:rsidRDefault="006C7262" w:rsidP="006C7262">
      <w:pPr>
        <w:spacing w:after="160" w:line="259" w:lineRule="auto"/>
        <w:ind w:left="720"/>
        <w:contextualSpacing/>
        <w:jc w:val="left"/>
        <w:rPr>
          <w:rFonts w:eastAsia="Calibri" w:cs="Arial"/>
          <w:sz w:val="20"/>
          <w:szCs w:val="20"/>
          <w:u w:val="single"/>
          <w:lang w:eastAsia="en-US"/>
        </w:rPr>
      </w:pPr>
    </w:p>
    <w:p w:rsidR="006C7262" w:rsidRPr="00F73208" w:rsidRDefault="006C7262" w:rsidP="006C7262">
      <w:pPr>
        <w:spacing w:after="160" w:line="259" w:lineRule="auto"/>
        <w:jc w:val="left"/>
        <w:rPr>
          <w:rFonts w:eastAsia="Calibri" w:cs="Arial"/>
          <w:b/>
          <w:sz w:val="20"/>
          <w:szCs w:val="20"/>
          <w:lang w:eastAsia="en-US"/>
        </w:rPr>
      </w:pPr>
      <w:r w:rsidRPr="00F73208">
        <w:rPr>
          <w:rFonts w:eastAsia="Calibri" w:cs="Arial"/>
          <w:b/>
          <w:sz w:val="20"/>
          <w:szCs w:val="20"/>
          <w:lang w:eastAsia="en-US"/>
        </w:rPr>
        <w:t>10h – Press and Media</w:t>
      </w:r>
    </w:p>
    <w:p w:rsidR="006C7262" w:rsidRPr="00F73208" w:rsidRDefault="006C7262" w:rsidP="006C7262">
      <w:pPr>
        <w:spacing w:after="160" w:line="259" w:lineRule="auto"/>
        <w:jc w:val="left"/>
        <w:rPr>
          <w:rFonts w:eastAsia="Calibri" w:cs="Arial"/>
          <w:sz w:val="20"/>
          <w:szCs w:val="20"/>
          <w:u w:val="single"/>
          <w:lang w:eastAsia="en-US"/>
        </w:rPr>
      </w:pPr>
      <w:r w:rsidRPr="00F73208">
        <w:rPr>
          <w:rFonts w:eastAsia="Calibri" w:cs="Arial"/>
          <w:sz w:val="20"/>
          <w:szCs w:val="20"/>
          <w:u w:val="single"/>
          <w:lang w:eastAsia="en-US"/>
        </w:rPr>
        <w:t>2018/19 current budget</w:t>
      </w:r>
    </w:p>
    <w:p w:rsidR="006C7262" w:rsidRPr="00F73208" w:rsidRDefault="006C7262" w:rsidP="006C7262">
      <w:pPr>
        <w:numPr>
          <w:ilvl w:val="0"/>
          <w:numId w:val="11"/>
        </w:numPr>
        <w:spacing w:after="160" w:line="259" w:lineRule="auto"/>
        <w:contextualSpacing/>
        <w:jc w:val="left"/>
        <w:rPr>
          <w:rFonts w:eastAsia="Calibri" w:cs="Arial"/>
          <w:sz w:val="20"/>
          <w:szCs w:val="20"/>
          <w:u w:val="single"/>
          <w:lang w:eastAsia="en-US"/>
        </w:rPr>
      </w:pPr>
      <w:r w:rsidRPr="00F73208">
        <w:rPr>
          <w:rFonts w:cs="Arial"/>
          <w:sz w:val="20"/>
          <w:szCs w:val="20"/>
        </w:rPr>
        <w:t>The Media budgets have increased by £0.029m for force marketing and £0.020m for social media costs. Both of these increases relate to the Specials programme and have been funded from both recurring &amp; one-off growth pots.</w:t>
      </w:r>
    </w:p>
    <w:p w:rsidR="006C7262" w:rsidRPr="00F73208" w:rsidRDefault="006C7262" w:rsidP="006C7262">
      <w:pPr>
        <w:spacing w:after="160" w:line="259" w:lineRule="auto"/>
        <w:ind w:left="720"/>
        <w:contextualSpacing/>
        <w:jc w:val="left"/>
        <w:rPr>
          <w:rFonts w:eastAsia="Calibri" w:cs="Arial"/>
          <w:sz w:val="20"/>
          <w:szCs w:val="20"/>
          <w:u w:val="single"/>
          <w:lang w:eastAsia="en-US"/>
        </w:rPr>
      </w:pPr>
    </w:p>
    <w:p w:rsidR="006C7262" w:rsidRPr="00F73208" w:rsidRDefault="006C7262" w:rsidP="006C7262">
      <w:pPr>
        <w:spacing w:after="160" w:line="259" w:lineRule="auto"/>
        <w:jc w:val="left"/>
        <w:rPr>
          <w:rFonts w:eastAsia="Calibri" w:cs="Arial"/>
          <w:b/>
          <w:sz w:val="20"/>
          <w:szCs w:val="20"/>
          <w:lang w:eastAsia="en-US"/>
        </w:rPr>
      </w:pPr>
      <w:r w:rsidRPr="00F73208">
        <w:rPr>
          <w:rFonts w:eastAsia="Calibri" w:cs="Arial"/>
          <w:b/>
          <w:sz w:val="20"/>
          <w:szCs w:val="20"/>
          <w:lang w:eastAsia="en-US"/>
        </w:rPr>
        <w:t>10i – Performance Review/Corporate Development</w:t>
      </w:r>
    </w:p>
    <w:p w:rsidR="006C7262" w:rsidRPr="00F73208" w:rsidRDefault="006C7262" w:rsidP="006C7262">
      <w:pPr>
        <w:spacing w:after="160" w:line="259" w:lineRule="auto"/>
        <w:jc w:val="left"/>
        <w:rPr>
          <w:rFonts w:eastAsia="Calibri" w:cs="Arial"/>
          <w:sz w:val="20"/>
          <w:szCs w:val="20"/>
          <w:u w:val="single"/>
          <w:lang w:eastAsia="en-US"/>
        </w:rPr>
      </w:pPr>
      <w:r w:rsidRPr="00F73208">
        <w:rPr>
          <w:rFonts w:eastAsia="Calibri" w:cs="Arial"/>
          <w:sz w:val="20"/>
          <w:szCs w:val="20"/>
          <w:u w:val="single"/>
          <w:lang w:eastAsia="en-US"/>
        </w:rPr>
        <w:t>2018/19 original budget</w:t>
      </w:r>
    </w:p>
    <w:p w:rsidR="006C7262" w:rsidRPr="00F73208" w:rsidRDefault="006C7262" w:rsidP="006C7262">
      <w:pPr>
        <w:numPr>
          <w:ilvl w:val="0"/>
          <w:numId w:val="10"/>
        </w:numPr>
        <w:spacing w:after="160" w:line="259" w:lineRule="auto"/>
        <w:contextualSpacing/>
        <w:jc w:val="left"/>
        <w:rPr>
          <w:rFonts w:eastAsia="Calibri" w:cs="Arial"/>
          <w:sz w:val="20"/>
          <w:szCs w:val="20"/>
          <w:u w:val="single"/>
          <w:lang w:eastAsia="en-US"/>
        </w:rPr>
      </w:pPr>
      <w:r w:rsidRPr="00F73208">
        <w:rPr>
          <w:rFonts w:cs="Arial"/>
          <w:sz w:val="20"/>
          <w:szCs w:val="20"/>
        </w:rPr>
        <w:t>The main material movements from the 2017/18 budget include £0.5m of additional staffing (ECFRS &amp; Operational Change Project) as well as £0.3m of extra third party payments relating to the Essex share of the 7 Force collaboration. These increases were offset by a £0.1m reduction in supplies &amp; services.</w:t>
      </w:r>
    </w:p>
    <w:p w:rsidR="006C7262" w:rsidRPr="00F73208" w:rsidRDefault="006C7262" w:rsidP="006C7262">
      <w:pPr>
        <w:spacing w:after="160" w:line="259" w:lineRule="auto"/>
        <w:ind w:left="720"/>
        <w:contextualSpacing/>
        <w:jc w:val="left"/>
        <w:rPr>
          <w:rFonts w:eastAsia="Calibri" w:cs="Arial"/>
          <w:sz w:val="20"/>
          <w:szCs w:val="20"/>
          <w:u w:val="single"/>
          <w:lang w:eastAsia="en-US"/>
        </w:rPr>
      </w:pPr>
    </w:p>
    <w:p w:rsidR="006C7262" w:rsidRPr="00F73208" w:rsidRDefault="006C7262" w:rsidP="006C7262">
      <w:pPr>
        <w:spacing w:after="160" w:line="259" w:lineRule="auto"/>
        <w:jc w:val="left"/>
        <w:rPr>
          <w:rFonts w:eastAsia="Calibri" w:cs="Arial"/>
          <w:sz w:val="20"/>
          <w:szCs w:val="20"/>
          <w:u w:val="single"/>
          <w:lang w:eastAsia="en-US"/>
        </w:rPr>
      </w:pPr>
      <w:r w:rsidRPr="00F73208">
        <w:rPr>
          <w:rFonts w:eastAsia="Calibri" w:cs="Arial"/>
          <w:sz w:val="20"/>
          <w:szCs w:val="20"/>
          <w:u w:val="single"/>
          <w:lang w:eastAsia="en-US"/>
        </w:rPr>
        <w:t>2018/19 current budget</w:t>
      </w:r>
    </w:p>
    <w:p w:rsidR="006C7262" w:rsidRPr="00F73208" w:rsidRDefault="006C7262" w:rsidP="006C7262">
      <w:pPr>
        <w:numPr>
          <w:ilvl w:val="0"/>
          <w:numId w:val="10"/>
        </w:numPr>
        <w:spacing w:after="160" w:line="259" w:lineRule="auto"/>
        <w:contextualSpacing/>
        <w:jc w:val="left"/>
        <w:rPr>
          <w:rFonts w:eastAsia="Calibri" w:cs="Arial"/>
          <w:sz w:val="20"/>
          <w:szCs w:val="20"/>
          <w:lang w:eastAsia="en-US"/>
        </w:rPr>
      </w:pPr>
      <w:r w:rsidRPr="00F73208">
        <w:rPr>
          <w:rFonts w:cs="Arial"/>
          <w:sz w:val="20"/>
          <w:szCs w:val="20"/>
        </w:rPr>
        <w:t xml:space="preserve">Police Officer </w:t>
      </w:r>
      <w:proofErr w:type="gramStart"/>
      <w:r w:rsidRPr="00F73208">
        <w:rPr>
          <w:rFonts w:cs="Arial"/>
          <w:sz w:val="20"/>
          <w:szCs w:val="20"/>
        </w:rPr>
        <w:t>pay</w:t>
      </w:r>
      <w:proofErr w:type="gramEnd"/>
      <w:r w:rsidRPr="00F73208">
        <w:rPr>
          <w:rFonts w:cs="Arial"/>
          <w:sz w:val="20"/>
          <w:szCs w:val="20"/>
        </w:rPr>
        <w:t xml:space="preserve"> has increased by £0.263m with £0.158m of this funded from additional income. Staffing has also increased by £0.708m with £0.273m of this also funded from additional income. The majority of these increases related to the ECFRS and 7 Force collaborations with other elements also related to the Strategic Change and the Operational Change Programme. Other increases include £0.050m in respect of agency and hospitality expenses, and £0.460m of consultancy.</w:t>
      </w:r>
    </w:p>
    <w:p w:rsidR="006C7262" w:rsidRPr="00F73208" w:rsidRDefault="006C7262" w:rsidP="006C7262">
      <w:pPr>
        <w:numPr>
          <w:ilvl w:val="0"/>
          <w:numId w:val="10"/>
        </w:numPr>
        <w:spacing w:after="160" w:line="259" w:lineRule="auto"/>
        <w:contextualSpacing/>
        <w:jc w:val="left"/>
        <w:rPr>
          <w:rFonts w:eastAsia="Calibri" w:cs="Arial"/>
          <w:sz w:val="20"/>
          <w:szCs w:val="20"/>
          <w:lang w:eastAsia="en-US"/>
        </w:rPr>
      </w:pPr>
      <w:r w:rsidRPr="00F73208">
        <w:rPr>
          <w:rFonts w:cs="Arial"/>
          <w:sz w:val="20"/>
          <w:szCs w:val="20"/>
        </w:rPr>
        <w:t>The external funding received comprises £0.110m of Police Innovation funding in respect of the ECFRS collaboration, £0.100m of One Public Estate Grant and £0.330m relating to the creation of a Seven Forces income budget (to pay for officers and staff)</w:t>
      </w:r>
      <w:r w:rsidRPr="00F73208">
        <w:rPr>
          <w:rFonts w:cs="Arial"/>
          <w:sz w:val="20"/>
          <w:szCs w:val="20"/>
        </w:rPr>
        <w:br/>
      </w:r>
    </w:p>
    <w:p w:rsidR="006C7262" w:rsidRDefault="006C7262" w:rsidP="006C7262">
      <w:pPr>
        <w:spacing w:after="160" w:line="259" w:lineRule="auto"/>
        <w:jc w:val="left"/>
        <w:rPr>
          <w:rFonts w:eastAsia="Calibri" w:cs="Arial"/>
          <w:b/>
          <w:sz w:val="20"/>
          <w:szCs w:val="20"/>
          <w:lang w:eastAsia="en-US"/>
        </w:rPr>
      </w:pPr>
    </w:p>
    <w:p w:rsidR="006C7262" w:rsidRDefault="006C7262" w:rsidP="006C7262">
      <w:pPr>
        <w:spacing w:after="160" w:line="259" w:lineRule="auto"/>
        <w:jc w:val="left"/>
        <w:rPr>
          <w:rFonts w:eastAsia="Calibri" w:cs="Arial"/>
          <w:b/>
          <w:sz w:val="20"/>
          <w:szCs w:val="20"/>
          <w:lang w:eastAsia="en-US"/>
        </w:rPr>
      </w:pPr>
    </w:p>
    <w:p w:rsidR="006C7262" w:rsidRDefault="006C7262" w:rsidP="006C7262">
      <w:pPr>
        <w:spacing w:after="160" w:line="259" w:lineRule="auto"/>
        <w:jc w:val="left"/>
        <w:rPr>
          <w:rFonts w:eastAsia="Calibri" w:cs="Arial"/>
          <w:b/>
          <w:sz w:val="20"/>
          <w:szCs w:val="20"/>
          <w:lang w:eastAsia="en-US"/>
        </w:rPr>
      </w:pPr>
    </w:p>
    <w:p w:rsidR="006C7262" w:rsidRPr="00F73208" w:rsidRDefault="006C7262" w:rsidP="006C7262">
      <w:pPr>
        <w:spacing w:after="160" w:line="259" w:lineRule="auto"/>
        <w:jc w:val="left"/>
        <w:rPr>
          <w:rFonts w:eastAsia="Calibri" w:cs="Arial"/>
          <w:b/>
          <w:sz w:val="20"/>
          <w:szCs w:val="20"/>
          <w:lang w:eastAsia="en-US"/>
        </w:rPr>
      </w:pPr>
      <w:r w:rsidRPr="00F73208">
        <w:rPr>
          <w:rFonts w:eastAsia="Calibri" w:cs="Arial"/>
          <w:b/>
          <w:sz w:val="20"/>
          <w:szCs w:val="20"/>
          <w:lang w:eastAsia="en-US"/>
        </w:rPr>
        <w:lastRenderedPageBreak/>
        <w:t>10j – Procurement</w:t>
      </w:r>
    </w:p>
    <w:p w:rsidR="006C7262" w:rsidRPr="00F73208" w:rsidRDefault="006C7262" w:rsidP="006C7262">
      <w:pPr>
        <w:spacing w:after="160" w:line="259" w:lineRule="auto"/>
        <w:jc w:val="left"/>
        <w:rPr>
          <w:rFonts w:eastAsia="Calibri" w:cs="Arial"/>
          <w:sz w:val="20"/>
          <w:szCs w:val="20"/>
          <w:u w:val="single"/>
          <w:lang w:eastAsia="en-US"/>
        </w:rPr>
      </w:pPr>
      <w:r w:rsidRPr="00F73208">
        <w:rPr>
          <w:rFonts w:eastAsia="Calibri" w:cs="Arial"/>
          <w:sz w:val="20"/>
          <w:szCs w:val="20"/>
          <w:u w:val="single"/>
          <w:lang w:eastAsia="en-US"/>
        </w:rPr>
        <w:t>2018/19 current budget</w:t>
      </w:r>
    </w:p>
    <w:p w:rsidR="006C7262" w:rsidRPr="00F73208" w:rsidRDefault="006C7262" w:rsidP="006C7262">
      <w:pPr>
        <w:numPr>
          <w:ilvl w:val="0"/>
          <w:numId w:val="12"/>
        </w:numPr>
        <w:spacing w:after="160" w:line="259" w:lineRule="auto"/>
        <w:contextualSpacing/>
        <w:jc w:val="left"/>
        <w:rPr>
          <w:rFonts w:eastAsia="Calibri" w:cs="Arial"/>
          <w:sz w:val="20"/>
          <w:szCs w:val="20"/>
          <w:lang w:eastAsia="en-US"/>
        </w:rPr>
      </w:pPr>
      <w:r w:rsidRPr="00F73208">
        <w:rPr>
          <w:rFonts w:cs="Arial"/>
          <w:sz w:val="20"/>
          <w:szCs w:val="20"/>
        </w:rPr>
        <w:t>The uniform budget has been increased by £0.071m for the increase in Police Officers (with funding reallocated from central budgets as part of the £1m growth). In addition £0.025km of budget has been transferred to Legal for specific advice in respect of Procurement work (see ‘10c – Legal Services’)</w:t>
      </w:r>
    </w:p>
    <w:p w:rsidR="006C7262" w:rsidRPr="00F73208" w:rsidRDefault="006C7262" w:rsidP="006C7262">
      <w:pPr>
        <w:spacing w:after="160" w:line="259" w:lineRule="auto"/>
        <w:jc w:val="left"/>
        <w:rPr>
          <w:rFonts w:eastAsia="Calibri" w:cs="Arial"/>
          <w:b/>
          <w:sz w:val="20"/>
          <w:szCs w:val="20"/>
          <w:lang w:eastAsia="en-US"/>
        </w:rPr>
      </w:pPr>
      <w:r w:rsidRPr="00F73208">
        <w:rPr>
          <w:rFonts w:eastAsia="Calibri" w:cs="Arial"/>
          <w:b/>
          <w:sz w:val="20"/>
          <w:szCs w:val="20"/>
          <w:lang w:eastAsia="en-US"/>
        </w:rPr>
        <w:br/>
        <w:t>10k – Training</w:t>
      </w:r>
    </w:p>
    <w:p w:rsidR="006C7262" w:rsidRPr="00F73208" w:rsidRDefault="006C7262" w:rsidP="006C7262">
      <w:pPr>
        <w:spacing w:after="160" w:line="259" w:lineRule="auto"/>
        <w:jc w:val="left"/>
        <w:rPr>
          <w:rFonts w:eastAsia="Calibri" w:cs="Arial"/>
          <w:sz w:val="20"/>
          <w:szCs w:val="20"/>
          <w:u w:val="single"/>
          <w:lang w:eastAsia="en-US"/>
        </w:rPr>
      </w:pPr>
      <w:r w:rsidRPr="00F73208">
        <w:rPr>
          <w:rFonts w:eastAsia="Calibri" w:cs="Arial"/>
          <w:sz w:val="20"/>
          <w:szCs w:val="20"/>
          <w:u w:val="single"/>
          <w:lang w:eastAsia="en-US"/>
        </w:rPr>
        <w:t>2018/19 original budget</w:t>
      </w:r>
    </w:p>
    <w:p w:rsidR="006C7262" w:rsidRPr="00F73208" w:rsidRDefault="006C7262" w:rsidP="006C7262">
      <w:pPr>
        <w:numPr>
          <w:ilvl w:val="0"/>
          <w:numId w:val="12"/>
        </w:numPr>
        <w:spacing w:after="160" w:line="259" w:lineRule="auto"/>
        <w:contextualSpacing/>
        <w:jc w:val="left"/>
        <w:rPr>
          <w:rFonts w:eastAsia="Calibri" w:cs="Arial"/>
          <w:b/>
          <w:sz w:val="20"/>
          <w:szCs w:val="20"/>
          <w:lang w:eastAsia="en-US"/>
        </w:rPr>
      </w:pPr>
      <w:r w:rsidRPr="00F73208">
        <w:rPr>
          <w:rFonts w:cs="Arial"/>
          <w:sz w:val="20"/>
          <w:szCs w:val="20"/>
        </w:rPr>
        <w:t>The main movements from the 17/18 budget include £0.2m relating to Police Officers within the EPC Strategic Management, Dogs &amp; Weapons training teams, a £0.9m increase in relation to staffing, and additional income of £0.3m relating to apprenticeship government funding</w:t>
      </w:r>
    </w:p>
    <w:p w:rsidR="006C7262" w:rsidRPr="00F73208" w:rsidRDefault="006C7262" w:rsidP="006C7262">
      <w:pPr>
        <w:spacing w:after="160" w:line="259" w:lineRule="auto"/>
        <w:ind w:left="720"/>
        <w:contextualSpacing/>
        <w:jc w:val="left"/>
        <w:rPr>
          <w:rFonts w:eastAsia="Calibri" w:cs="Arial"/>
          <w:b/>
          <w:sz w:val="20"/>
          <w:szCs w:val="20"/>
          <w:lang w:eastAsia="en-US"/>
        </w:rPr>
      </w:pPr>
    </w:p>
    <w:p w:rsidR="006C7262" w:rsidRPr="00F73208" w:rsidRDefault="006C7262" w:rsidP="006C7262">
      <w:pPr>
        <w:spacing w:after="160" w:line="259" w:lineRule="auto"/>
        <w:jc w:val="left"/>
        <w:rPr>
          <w:rFonts w:eastAsia="Calibri" w:cs="Arial"/>
          <w:sz w:val="20"/>
          <w:szCs w:val="20"/>
          <w:u w:val="single"/>
          <w:lang w:eastAsia="en-US"/>
        </w:rPr>
      </w:pPr>
      <w:r w:rsidRPr="00F73208">
        <w:rPr>
          <w:rFonts w:eastAsia="Calibri" w:cs="Arial"/>
          <w:sz w:val="20"/>
          <w:szCs w:val="20"/>
          <w:u w:val="single"/>
          <w:lang w:eastAsia="en-US"/>
        </w:rPr>
        <w:t>2018/19 current budget</w:t>
      </w:r>
    </w:p>
    <w:p w:rsidR="006C7262" w:rsidRPr="00F73208" w:rsidRDefault="006C7262" w:rsidP="006C7262">
      <w:pPr>
        <w:numPr>
          <w:ilvl w:val="0"/>
          <w:numId w:val="12"/>
        </w:numPr>
        <w:spacing w:after="160" w:line="259" w:lineRule="auto"/>
        <w:contextualSpacing/>
        <w:jc w:val="left"/>
        <w:rPr>
          <w:rFonts w:eastAsia="Calibri" w:cs="Arial"/>
          <w:sz w:val="20"/>
          <w:szCs w:val="20"/>
          <w:lang w:eastAsia="en-US"/>
        </w:rPr>
      </w:pPr>
      <w:r w:rsidRPr="00F73208">
        <w:rPr>
          <w:rFonts w:cs="Arial"/>
          <w:sz w:val="20"/>
          <w:szCs w:val="20"/>
        </w:rPr>
        <w:t>During the year Police Officer pay has increased by £0.279m Police Officer Pay. External training has also increased by £0.198m as well as a £0.027m increase in training fees relating to the ECFRS collaboration, £0.020m of which has been funded from additional Police Innovation funding. Other net increases of £0.038m comprise mileage, public transport and subsistence costs.</w:t>
      </w:r>
    </w:p>
    <w:p w:rsidR="006C7262" w:rsidRPr="00F73208" w:rsidRDefault="006C7262" w:rsidP="006C7262">
      <w:pPr>
        <w:spacing w:after="160" w:line="259" w:lineRule="auto"/>
        <w:ind w:left="720"/>
        <w:contextualSpacing/>
        <w:jc w:val="left"/>
        <w:rPr>
          <w:rFonts w:eastAsia="Calibri" w:cs="Arial"/>
          <w:sz w:val="20"/>
          <w:szCs w:val="20"/>
          <w:lang w:eastAsia="en-US"/>
        </w:rPr>
      </w:pPr>
    </w:p>
    <w:p w:rsidR="006C7262" w:rsidRPr="00F73208" w:rsidRDefault="006C7262" w:rsidP="006C7262">
      <w:pPr>
        <w:spacing w:after="160" w:line="259" w:lineRule="auto"/>
        <w:jc w:val="left"/>
        <w:rPr>
          <w:rFonts w:eastAsia="Calibri" w:cs="Arial"/>
          <w:sz w:val="20"/>
          <w:szCs w:val="20"/>
          <w:u w:val="single"/>
          <w:lang w:eastAsia="en-US"/>
        </w:rPr>
      </w:pPr>
      <w:r w:rsidRPr="00F73208">
        <w:rPr>
          <w:rFonts w:eastAsia="Calibri" w:cs="Arial"/>
          <w:sz w:val="20"/>
          <w:szCs w:val="20"/>
          <w:u w:val="single"/>
          <w:lang w:eastAsia="en-US"/>
        </w:rPr>
        <w:t>2018/19 forecast outturn</w:t>
      </w:r>
    </w:p>
    <w:p w:rsidR="006C7262" w:rsidRDefault="006C7262" w:rsidP="006C7262">
      <w:pPr>
        <w:numPr>
          <w:ilvl w:val="0"/>
          <w:numId w:val="12"/>
        </w:numPr>
        <w:spacing w:after="160" w:line="259" w:lineRule="auto"/>
        <w:contextualSpacing/>
        <w:jc w:val="left"/>
        <w:rPr>
          <w:rFonts w:eastAsia="Calibri" w:cs="Arial"/>
          <w:sz w:val="20"/>
          <w:szCs w:val="20"/>
          <w:lang w:eastAsia="en-US"/>
        </w:rPr>
      </w:pPr>
      <w:r w:rsidRPr="00F73208">
        <w:rPr>
          <w:rFonts w:eastAsia="Calibri" w:cs="Arial"/>
          <w:sz w:val="20"/>
          <w:szCs w:val="20"/>
          <w:lang w:eastAsia="en-US"/>
        </w:rPr>
        <w:t>The in-year forecast variance of £0.575m overspend mainly comprise other employee costs including £0.141m of external training costs for Police Officers and £0.097m of training for staff. In addition, there is a forecast overspend on pay budgets of £0.2m and a net decrease of £0.090m income.</w:t>
      </w:r>
    </w:p>
    <w:p w:rsidR="006C7262" w:rsidRPr="00F73208" w:rsidRDefault="006C7262" w:rsidP="006C7262">
      <w:pPr>
        <w:spacing w:after="160" w:line="259" w:lineRule="auto"/>
        <w:ind w:left="720"/>
        <w:contextualSpacing/>
        <w:jc w:val="left"/>
        <w:rPr>
          <w:rFonts w:eastAsia="Calibri" w:cs="Arial"/>
          <w:sz w:val="20"/>
          <w:szCs w:val="20"/>
          <w:lang w:eastAsia="en-US"/>
        </w:rPr>
      </w:pPr>
    </w:p>
    <w:p w:rsidR="006C7262" w:rsidRPr="00F73208" w:rsidRDefault="006C7262" w:rsidP="006C7262">
      <w:pPr>
        <w:spacing w:after="160" w:line="259" w:lineRule="auto"/>
        <w:jc w:val="left"/>
        <w:rPr>
          <w:rFonts w:eastAsia="Calibri" w:cs="Arial"/>
          <w:b/>
          <w:sz w:val="20"/>
          <w:szCs w:val="20"/>
          <w:lang w:eastAsia="en-US"/>
        </w:rPr>
      </w:pPr>
      <w:r w:rsidRPr="00F73208">
        <w:rPr>
          <w:rFonts w:eastAsia="Calibri" w:cs="Arial"/>
          <w:b/>
          <w:sz w:val="20"/>
          <w:szCs w:val="20"/>
          <w:lang w:eastAsia="en-US"/>
        </w:rPr>
        <w:t>10l – Administration Support</w:t>
      </w:r>
    </w:p>
    <w:p w:rsidR="006C7262" w:rsidRPr="00F73208" w:rsidRDefault="006C7262" w:rsidP="006C7262">
      <w:pPr>
        <w:spacing w:after="160" w:line="259" w:lineRule="auto"/>
        <w:jc w:val="left"/>
        <w:rPr>
          <w:rFonts w:eastAsia="Calibri" w:cs="Arial"/>
          <w:sz w:val="20"/>
          <w:szCs w:val="20"/>
          <w:u w:val="single"/>
          <w:lang w:eastAsia="en-US"/>
        </w:rPr>
      </w:pPr>
      <w:r w:rsidRPr="00F73208">
        <w:rPr>
          <w:rFonts w:eastAsia="Calibri" w:cs="Arial"/>
          <w:sz w:val="20"/>
          <w:szCs w:val="20"/>
          <w:u w:val="single"/>
          <w:lang w:eastAsia="en-US"/>
        </w:rPr>
        <w:t>2018/19 current budget</w:t>
      </w:r>
    </w:p>
    <w:p w:rsidR="006C7262" w:rsidRPr="00F73208" w:rsidRDefault="006C7262" w:rsidP="006C7262">
      <w:pPr>
        <w:numPr>
          <w:ilvl w:val="0"/>
          <w:numId w:val="12"/>
        </w:numPr>
        <w:spacing w:after="160" w:line="259" w:lineRule="auto"/>
        <w:contextualSpacing/>
        <w:jc w:val="left"/>
        <w:rPr>
          <w:rFonts w:eastAsia="Calibri" w:cs="Arial"/>
          <w:sz w:val="20"/>
          <w:szCs w:val="20"/>
          <w:lang w:eastAsia="en-US"/>
        </w:rPr>
      </w:pPr>
      <w:r w:rsidRPr="00F73208">
        <w:rPr>
          <w:rFonts w:cs="Arial"/>
          <w:sz w:val="20"/>
          <w:szCs w:val="20"/>
        </w:rPr>
        <w:t>The main increases within the current budget relate to £0.083m of agency staff costs, £0.052m of mileage &amp; public transport costs, and £0.023m of additional office equipment/furniture. The remainder of the increase in year relates to staffing.</w:t>
      </w:r>
    </w:p>
    <w:p w:rsidR="006C7262" w:rsidRPr="00F73208" w:rsidRDefault="006C7262" w:rsidP="006C7262">
      <w:pPr>
        <w:numPr>
          <w:ilvl w:val="0"/>
          <w:numId w:val="12"/>
        </w:numPr>
        <w:spacing w:after="160" w:line="259" w:lineRule="auto"/>
        <w:contextualSpacing/>
        <w:jc w:val="left"/>
        <w:rPr>
          <w:rFonts w:cs="Arial"/>
          <w:sz w:val="20"/>
          <w:szCs w:val="20"/>
          <w:u w:val="single"/>
        </w:rPr>
      </w:pPr>
      <w:r w:rsidRPr="00F73208">
        <w:rPr>
          <w:rFonts w:cs="Arial"/>
          <w:sz w:val="20"/>
          <w:szCs w:val="20"/>
        </w:rPr>
        <w:t>A net decrease of £0.847m within reclassifications has been allocated out of Administration Services as part of the Business Services review exercise referred to within ‘10a – Human Resources’</w:t>
      </w:r>
    </w:p>
    <w:p w:rsidR="006C7262" w:rsidRPr="00F73208" w:rsidRDefault="006C7262" w:rsidP="006C7262">
      <w:pPr>
        <w:spacing w:after="160" w:line="259" w:lineRule="auto"/>
        <w:ind w:left="720"/>
        <w:contextualSpacing/>
        <w:jc w:val="left"/>
        <w:rPr>
          <w:rFonts w:cs="Arial"/>
          <w:sz w:val="20"/>
          <w:szCs w:val="20"/>
          <w:u w:val="single"/>
        </w:rPr>
      </w:pPr>
    </w:p>
    <w:p w:rsidR="006C7262" w:rsidRPr="00F73208" w:rsidRDefault="006C7262" w:rsidP="006C7262">
      <w:pPr>
        <w:spacing w:after="160" w:line="259" w:lineRule="auto"/>
        <w:jc w:val="left"/>
        <w:rPr>
          <w:rFonts w:eastAsia="Calibri" w:cs="Arial"/>
          <w:sz w:val="20"/>
          <w:szCs w:val="20"/>
          <w:u w:val="single"/>
          <w:lang w:eastAsia="en-US"/>
        </w:rPr>
      </w:pPr>
      <w:r w:rsidRPr="00F73208">
        <w:rPr>
          <w:rFonts w:eastAsia="Calibri" w:cs="Arial"/>
          <w:sz w:val="20"/>
          <w:szCs w:val="20"/>
          <w:u w:val="single"/>
          <w:lang w:eastAsia="en-US"/>
        </w:rPr>
        <w:t>2018/19 forecast outturn</w:t>
      </w:r>
    </w:p>
    <w:p w:rsidR="006C7262" w:rsidRPr="00F73208" w:rsidRDefault="006C7262" w:rsidP="006C7262">
      <w:pPr>
        <w:numPr>
          <w:ilvl w:val="0"/>
          <w:numId w:val="14"/>
        </w:numPr>
        <w:spacing w:after="160" w:line="259" w:lineRule="auto"/>
        <w:contextualSpacing/>
        <w:jc w:val="left"/>
        <w:rPr>
          <w:rFonts w:eastAsia="Calibri" w:cs="Arial"/>
          <w:b/>
          <w:sz w:val="20"/>
          <w:szCs w:val="20"/>
          <w:lang w:eastAsia="en-US"/>
        </w:rPr>
      </w:pPr>
      <w:r w:rsidRPr="00F73208">
        <w:rPr>
          <w:rFonts w:cs="Arial"/>
          <w:sz w:val="20"/>
          <w:szCs w:val="20"/>
        </w:rPr>
        <w:t>The in-year forecast outturn variance of £0.647m overspend comprises various supplies and services budgets held centrally with the force.</w:t>
      </w:r>
      <w:r w:rsidRPr="00F73208">
        <w:rPr>
          <w:rFonts w:cs="Arial"/>
          <w:sz w:val="20"/>
          <w:szCs w:val="20"/>
        </w:rPr>
        <w:br/>
      </w:r>
      <w:r w:rsidRPr="00F73208">
        <w:rPr>
          <w:rFonts w:cs="Arial"/>
          <w:sz w:val="20"/>
          <w:szCs w:val="20"/>
          <w:u w:val="single"/>
        </w:rPr>
        <w:t xml:space="preserve"> </w:t>
      </w:r>
    </w:p>
    <w:p w:rsidR="006C7262" w:rsidRDefault="006C7262" w:rsidP="006C7262">
      <w:pPr>
        <w:spacing w:after="160" w:line="259" w:lineRule="auto"/>
        <w:contextualSpacing/>
        <w:jc w:val="left"/>
        <w:rPr>
          <w:rFonts w:cs="Arial"/>
          <w:sz w:val="20"/>
          <w:szCs w:val="20"/>
          <w:u w:val="single"/>
        </w:rPr>
      </w:pPr>
    </w:p>
    <w:p w:rsidR="006C7262" w:rsidRPr="00F73208" w:rsidRDefault="006C7262" w:rsidP="006C7262">
      <w:pPr>
        <w:spacing w:after="160" w:line="259" w:lineRule="auto"/>
        <w:contextualSpacing/>
        <w:jc w:val="left"/>
        <w:rPr>
          <w:rFonts w:eastAsia="Calibri" w:cs="Arial"/>
          <w:b/>
          <w:sz w:val="20"/>
          <w:szCs w:val="20"/>
          <w:lang w:eastAsia="en-US"/>
        </w:rPr>
      </w:pPr>
    </w:p>
    <w:p w:rsidR="006C7262" w:rsidRPr="00F73208" w:rsidRDefault="006C7262" w:rsidP="006C7262">
      <w:pPr>
        <w:spacing w:after="160" w:line="259" w:lineRule="auto"/>
        <w:jc w:val="left"/>
        <w:rPr>
          <w:rFonts w:eastAsia="Calibri" w:cs="Arial"/>
          <w:b/>
          <w:sz w:val="20"/>
          <w:szCs w:val="20"/>
          <w:lang w:eastAsia="en-US"/>
        </w:rPr>
      </w:pPr>
      <w:r w:rsidRPr="00F73208">
        <w:rPr>
          <w:rFonts w:eastAsia="Calibri" w:cs="Arial"/>
          <w:b/>
          <w:sz w:val="20"/>
          <w:szCs w:val="20"/>
          <w:lang w:eastAsia="en-US"/>
        </w:rPr>
        <w:lastRenderedPageBreak/>
        <w:t>10m – Force Command</w:t>
      </w:r>
    </w:p>
    <w:p w:rsidR="006C7262" w:rsidRPr="00F73208" w:rsidRDefault="006C7262" w:rsidP="006C7262">
      <w:pPr>
        <w:spacing w:after="160" w:line="259" w:lineRule="auto"/>
        <w:jc w:val="left"/>
        <w:rPr>
          <w:rFonts w:eastAsia="Calibri" w:cs="Arial"/>
          <w:sz w:val="20"/>
          <w:szCs w:val="20"/>
          <w:u w:val="single"/>
          <w:lang w:eastAsia="en-US"/>
        </w:rPr>
      </w:pPr>
      <w:r w:rsidRPr="00F73208">
        <w:rPr>
          <w:rFonts w:eastAsia="Calibri" w:cs="Arial"/>
          <w:sz w:val="20"/>
          <w:szCs w:val="20"/>
          <w:u w:val="single"/>
          <w:lang w:eastAsia="en-US"/>
        </w:rPr>
        <w:t>2018/19 current budget</w:t>
      </w:r>
    </w:p>
    <w:p w:rsidR="006C7262" w:rsidRPr="00F73208" w:rsidRDefault="006C7262" w:rsidP="006C7262">
      <w:pPr>
        <w:numPr>
          <w:ilvl w:val="0"/>
          <w:numId w:val="13"/>
        </w:numPr>
        <w:spacing w:after="160" w:line="259" w:lineRule="auto"/>
        <w:contextualSpacing/>
        <w:jc w:val="left"/>
        <w:rPr>
          <w:rFonts w:cs="Arial"/>
          <w:sz w:val="20"/>
          <w:szCs w:val="20"/>
        </w:rPr>
      </w:pPr>
      <w:r w:rsidRPr="00F73208">
        <w:rPr>
          <w:rFonts w:cs="Arial"/>
          <w:sz w:val="20"/>
          <w:szCs w:val="20"/>
        </w:rPr>
        <w:t>The main movements in year relate to £0.023m of additional Police Officer pay, and the creation of a Chief Officer contingency budget which is currently £0.088m.</w:t>
      </w:r>
    </w:p>
    <w:tbl>
      <w:tblPr>
        <w:tblW w:w="1807" w:type="dxa"/>
        <w:tblLook w:val="04A0" w:firstRow="1" w:lastRow="0" w:firstColumn="1" w:lastColumn="0" w:noHBand="0" w:noVBand="1"/>
      </w:tblPr>
      <w:tblGrid>
        <w:gridCol w:w="1807"/>
      </w:tblGrid>
      <w:tr w:rsidR="006C7262" w:rsidRPr="00F73208" w:rsidTr="009360D9">
        <w:trPr>
          <w:trHeight w:val="264"/>
        </w:trPr>
        <w:tc>
          <w:tcPr>
            <w:tcW w:w="1807" w:type="dxa"/>
            <w:tcBorders>
              <w:top w:val="nil"/>
              <w:left w:val="nil"/>
              <w:bottom w:val="nil"/>
              <w:right w:val="nil"/>
            </w:tcBorders>
            <w:shd w:val="clear" w:color="000000" w:fill="FFFFFF"/>
            <w:noWrap/>
            <w:vAlign w:val="bottom"/>
            <w:hideMark/>
          </w:tcPr>
          <w:p w:rsidR="006C7262" w:rsidRPr="00F73208" w:rsidRDefault="006C7262" w:rsidP="009360D9">
            <w:pPr>
              <w:spacing w:line="240" w:lineRule="auto"/>
              <w:jc w:val="left"/>
              <w:rPr>
                <w:rFonts w:cs="Arial"/>
                <w:sz w:val="20"/>
                <w:szCs w:val="20"/>
              </w:rPr>
            </w:pPr>
            <w:r w:rsidRPr="00F73208">
              <w:rPr>
                <w:rFonts w:cs="Arial"/>
                <w:sz w:val="20"/>
                <w:szCs w:val="20"/>
              </w:rPr>
              <w:t> </w:t>
            </w:r>
          </w:p>
        </w:tc>
      </w:tr>
    </w:tbl>
    <w:p w:rsidR="006C7262" w:rsidRPr="00F73208" w:rsidRDefault="006C7262" w:rsidP="006C7262">
      <w:pPr>
        <w:spacing w:after="160" w:line="259" w:lineRule="auto"/>
        <w:jc w:val="left"/>
        <w:rPr>
          <w:rFonts w:eastAsia="Calibri" w:cs="Arial"/>
          <w:b/>
          <w:sz w:val="20"/>
          <w:szCs w:val="20"/>
          <w:lang w:eastAsia="en-US"/>
        </w:rPr>
      </w:pPr>
      <w:r w:rsidRPr="00F73208">
        <w:rPr>
          <w:rFonts w:eastAsia="Calibri" w:cs="Arial"/>
          <w:b/>
          <w:sz w:val="20"/>
          <w:szCs w:val="20"/>
          <w:lang w:eastAsia="en-US"/>
        </w:rPr>
        <w:t>10n – Support to Associations and Trade Unions</w:t>
      </w:r>
    </w:p>
    <w:p w:rsidR="006C7262" w:rsidRPr="00F73208" w:rsidRDefault="006C7262" w:rsidP="006C7262">
      <w:pPr>
        <w:spacing w:after="160" w:line="259" w:lineRule="auto"/>
        <w:jc w:val="left"/>
        <w:rPr>
          <w:rFonts w:eastAsia="Calibri" w:cs="Arial"/>
          <w:sz w:val="20"/>
          <w:szCs w:val="20"/>
          <w:u w:val="single"/>
          <w:lang w:eastAsia="en-US"/>
        </w:rPr>
      </w:pPr>
      <w:r w:rsidRPr="00F73208">
        <w:rPr>
          <w:rFonts w:eastAsia="Calibri" w:cs="Arial"/>
          <w:sz w:val="20"/>
          <w:szCs w:val="20"/>
          <w:u w:val="single"/>
          <w:lang w:eastAsia="en-US"/>
        </w:rPr>
        <w:t>2018/19 current budget</w:t>
      </w:r>
    </w:p>
    <w:p w:rsidR="006C7262" w:rsidRPr="00F73208" w:rsidRDefault="006C7262" w:rsidP="006C7262">
      <w:pPr>
        <w:numPr>
          <w:ilvl w:val="0"/>
          <w:numId w:val="13"/>
        </w:numPr>
        <w:spacing w:after="160" w:line="259" w:lineRule="auto"/>
        <w:contextualSpacing/>
        <w:jc w:val="left"/>
        <w:rPr>
          <w:rFonts w:eastAsia="Calibri" w:cs="Arial"/>
          <w:sz w:val="20"/>
          <w:szCs w:val="20"/>
          <w:u w:val="single"/>
          <w:lang w:eastAsia="en-US"/>
        </w:rPr>
      </w:pPr>
      <w:r w:rsidRPr="00F73208">
        <w:rPr>
          <w:rFonts w:eastAsia="Calibri" w:cs="Arial"/>
          <w:sz w:val="20"/>
          <w:szCs w:val="20"/>
          <w:lang w:eastAsia="en-US"/>
        </w:rPr>
        <w:t>The staffing budget has increased by £0.041m, funded from additional Federation staff recharges income.</w:t>
      </w:r>
    </w:p>
    <w:p w:rsidR="006C7262" w:rsidRPr="00F73208" w:rsidRDefault="006C7262" w:rsidP="006C7262">
      <w:pPr>
        <w:spacing w:after="160" w:line="259" w:lineRule="auto"/>
        <w:jc w:val="left"/>
        <w:rPr>
          <w:rFonts w:cs="Arial"/>
          <w:sz w:val="20"/>
          <w:szCs w:val="20"/>
        </w:rPr>
      </w:pPr>
    </w:p>
    <w:p w:rsidR="006C7262" w:rsidRPr="00F73208" w:rsidRDefault="006C7262" w:rsidP="006C7262">
      <w:pPr>
        <w:spacing w:after="160" w:line="259" w:lineRule="auto"/>
        <w:jc w:val="left"/>
        <w:rPr>
          <w:rFonts w:eastAsia="Calibri" w:cs="Arial"/>
          <w:b/>
          <w:sz w:val="20"/>
          <w:szCs w:val="20"/>
          <w:lang w:eastAsia="en-US"/>
        </w:rPr>
      </w:pPr>
      <w:r w:rsidRPr="00F73208">
        <w:rPr>
          <w:rFonts w:eastAsia="Calibri" w:cs="Arial"/>
          <w:b/>
          <w:sz w:val="20"/>
          <w:szCs w:val="20"/>
          <w:lang w:eastAsia="en-US"/>
        </w:rPr>
        <w:t>10o – Social Club</w:t>
      </w:r>
    </w:p>
    <w:p w:rsidR="006C7262" w:rsidRPr="00F73208" w:rsidRDefault="006C7262" w:rsidP="006C7262">
      <w:pPr>
        <w:spacing w:after="160" w:line="259" w:lineRule="auto"/>
        <w:jc w:val="left"/>
        <w:rPr>
          <w:rFonts w:eastAsia="Calibri" w:cs="Arial"/>
          <w:sz w:val="20"/>
          <w:szCs w:val="20"/>
          <w:u w:val="single"/>
          <w:lang w:eastAsia="en-US"/>
        </w:rPr>
      </w:pPr>
      <w:r w:rsidRPr="00F73208">
        <w:rPr>
          <w:rFonts w:eastAsia="Calibri" w:cs="Arial"/>
          <w:sz w:val="20"/>
          <w:szCs w:val="20"/>
          <w:u w:val="single"/>
          <w:lang w:eastAsia="en-US"/>
        </w:rPr>
        <w:t>2018/19 current budget</w:t>
      </w:r>
    </w:p>
    <w:p w:rsidR="006C7262" w:rsidRPr="00F73208" w:rsidRDefault="006C7262" w:rsidP="006C7262">
      <w:pPr>
        <w:numPr>
          <w:ilvl w:val="0"/>
          <w:numId w:val="13"/>
        </w:numPr>
        <w:spacing w:after="160" w:line="259" w:lineRule="auto"/>
        <w:contextualSpacing/>
        <w:jc w:val="left"/>
        <w:rPr>
          <w:rFonts w:eastAsia="Calibri" w:cs="Arial"/>
          <w:sz w:val="20"/>
          <w:szCs w:val="20"/>
          <w:u w:val="single"/>
          <w:lang w:eastAsia="en-US"/>
        </w:rPr>
      </w:pPr>
      <w:r w:rsidRPr="00F73208">
        <w:rPr>
          <w:rFonts w:eastAsia="Calibri" w:cs="Arial"/>
          <w:sz w:val="20"/>
          <w:szCs w:val="20"/>
          <w:lang w:eastAsia="en-US"/>
        </w:rPr>
        <w:t>The staffing budget has increased by £0.046m, funded from additional EPSA recharges income.</w:t>
      </w:r>
    </w:p>
    <w:p w:rsidR="006C7262" w:rsidRPr="00F73208" w:rsidRDefault="006C7262" w:rsidP="006C7262">
      <w:pPr>
        <w:spacing w:after="160" w:line="259" w:lineRule="auto"/>
        <w:jc w:val="left"/>
        <w:rPr>
          <w:rFonts w:cs="Arial"/>
          <w:sz w:val="20"/>
          <w:szCs w:val="20"/>
          <w:u w:val="single"/>
        </w:rPr>
      </w:pPr>
    </w:p>
    <w:p w:rsidR="006C7262" w:rsidRPr="00F73208" w:rsidRDefault="006C7262" w:rsidP="006C7262">
      <w:pPr>
        <w:spacing w:after="160" w:line="259" w:lineRule="auto"/>
        <w:jc w:val="left"/>
        <w:rPr>
          <w:rFonts w:eastAsia="Calibri" w:cs="Arial"/>
          <w:b/>
          <w:sz w:val="20"/>
          <w:szCs w:val="20"/>
          <w:lang w:eastAsia="en-US"/>
        </w:rPr>
      </w:pPr>
      <w:r w:rsidRPr="00F73208">
        <w:rPr>
          <w:rFonts w:eastAsia="Calibri" w:cs="Arial"/>
          <w:b/>
          <w:sz w:val="20"/>
          <w:szCs w:val="20"/>
          <w:lang w:eastAsia="en-US"/>
        </w:rPr>
        <w:t>10p – Insurance/Risk Management</w:t>
      </w:r>
    </w:p>
    <w:p w:rsidR="006C7262" w:rsidRPr="00F73208" w:rsidRDefault="006C7262" w:rsidP="006C7262">
      <w:pPr>
        <w:spacing w:after="160" w:line="259" w:lineRule="auto"/>
        <w:jc w:val="left"/>
        <w:rPr>
          <w:rFonts w:eastAsia="Calibri" w:cs="Arial"/>
          <w:sz w:val="20"/>
          <w:szCs w:val="20"/>
          <w:u w:val="single"/>
          <w:lang w:eastAsia="en-US"/>
        </w:rPr>
      </w:pPr>
      <w:r w:rsidRPr="00F73208">
        <w:rPr>
          <w:rFonts w:eastAsia="Calibri" w:cs="Arial"/>
          <w:sz w:val="20"/>
          <w:szCs w:val="20"/>
          <w:u w:val="single"/>
          <w:lang w:eastAsia="en-US"/>
        </w:rPr>
        <w:t>2018/19 current budget</w:t>
      </w:r>
    </w:p>
    <w:p w:rsidR="006C7262" w:rsidRPr="00F73208" w:rsidRDefault="006C7262" w:rsidP="006C7262">
      <w:pPr>
        <w:numPr>
          <w:ilvl w:val="0"/>
          <w:numId w:val="13"/>
        </w:numPr>
        <w:spacing w:after="160" w:line="259" w:lineRule="auto"/>
        <w:contextualSpacing/>
        <w:jc w:val="left"/>
        <w:rPr>
          <w:rFonts w:eastAsia="Calibri" w:cs="Arial"/>
          <w:sz w:val="20"/>
          <w:szCs w:val="20"/>
          <w:u w:val="single"/>
          <w:lang w:eastAsia="en-US"/>
        </w:rPr>
      </w:pPr>
      <w:r w:rsidRPr="00F73208">
        <w:rPr>
          <w:rFonts w:eastAsia="Calibri" w:cs="Arial"/>
          <w:sz w:val="20"/>
          <w:szCs w:val="20"/>
          <w:lang w:eastAsia="en-US"/>
        </w:rPr>
        <w:t>The original budget reflected an apportionment to Insurance of £0.043m of centrally-held corporate budgets, which have subsequently been reallocated during 2018/19.</w:t>
      </w:r>
    </w:p>
    <w:p w:rsidR="006C7262" w:rsidRPr="00F73208" w:rsidRDefault="006C7262" w:rsidP="006C7262">
      <w:pPr>
        <w:spacing w:after="160" w:line="259" w:lineRule="auto"/>
        <w:jc w:val="left"/>
        <w:rPr>
          <w:rFonts w:cs="Arial"/>
          <w:sz w:val="20"/>
          <w:szCs w:val="20"/>
          <w:u w:val="single"/>
        </w:rPr>
      </w:pPr>
    </w:p>
    <w:p w:rsidR="006C7262" w:rsidRPr="00F73208" w:rsidRDefault="006C7262" w:rsidP="006C7262">
      <w:pPr>
        <w:spacing w:after="160" w:line="259" w:lineRule="auto"/>
        <w:jc w:val="left"/>
        <w:rPr>
          <w:rFonts w:cs="Arial"/>
          <w:b/>
          <w:sz w:val="20"/>
          <w:szCs w:val="20"/>
          <w:u w:val="single"/>
        </w:rPr>
      </w:pPr>
      <w:r w:rsidRPr="00F73208">
        <w:rPr>
          <w:rFonts w:cs="Arial"/>
          <w:b/>
          <w:sz w:val="20"/>
          <w:szCs w:val="20"/>
          <w:u w:val="single"/>
        </w:rPr>
        <w:t>Note on commentary provided</w:t>
      </w:r>
    </w:p>
    <w:p w:rsidR="006C7262" w:rsidRPr="00F73208" w:rsidRDefault="006C7262" w:rsidP="006C7262">
      <w:pPr>
        <w:numPr>
          <w:ilvl w:val="0"/>
          <w:numId w:val="13"/>
        </w:numPr>
        <w:spacing w:after="160" w:line="259" w:lineRule="auto"/>
        <w:contextualSpacing/>
        <w:jc w:val="left"/>
        <w:rPr>
          <w:rFonts w:cs="Arial"/>
          <w:sz w:val="20"/>
          <w:szCs w:val="20"/>
        </w:rPr>
      </w:pPr>
      <w:r w:rsidRPr="00F73208">
        <w:rPr>
          <w:rFonts w:cs="Arial"/>
          <w:sz w:val="20"/>
          <w:szCs w:val="20"/>
        </w:rPr>
        <w:t xml:space="preserve">An explanation of the key movements between the 2018/19 Original and Current Budget has been provided for all Level 2 headings within Support Services. </w:t>
      </w:r>
    </w:p>
    <w:p w:rsidR="006C7262" w:rsidRPr="00F73208" w:rsidRDefault="006C7262" w:rsidP="006C7262">
      <w:pPr>
        <w:numPr>
          <w:ilvl w:val="0"/>
          <w:numId w:val="13"/>
        </w:numPr>
        <w:spacing w:after="160" w:line="259" w:lineRule="auto"/>
        <w:contextualSpacing/>
        <w:jc w:val="left"/>
        <w:rPr>
          <w:rFonts w:cs="Arial"/>
          <w:sz w:val="20"/>
          <w:szCs w:val="20"/>
        </w:rPr>
      </w:pPr>
      <w:r w:rsidRPr="00F73208">
        <w:rPr>
          <w:rFonts w:cs="Arial"/>
          <w:sz w:val="20"/>
          <w:szCs w:val="20"/>
        </w:rPr>
        <w:t>Where the movement between the 2017/18 Original and 2018/19 Original Budget exceeds £0.5m for a Level 2 heading, an additional note has been provided.</w:t>
      </w:r>
    </w:p>
    <w:p w:rsidR="006C7262" w:rsidRPr="00F73208" w:rsidRDefault="006C7262" w:rsidP="006C7262">
      <w:pPr>
        <w:numPr>
          <w:ilvl w:val="0"/>
          <w:numId w:val="13"/>
        </w:numPr>
        <w:spacing w:after="160" w:line="259" w:lineRule="auto"/>
        <w:contextualSpacing/>
        <w:jc w:val="left"/>
        <w:rPr>
          <w:rFonts w:cs="Arial"/>
          <w:sz w:val="20"/>
          <w:szCs w:val="20"/>
        </w:rPr>
      </w:pPr>
      <w:r w:rsidRPr="00F73208">
        <w:rPr>
          <w:rFonts w:cs="Arial"/>
          <w:sz w:val="20"/>
          <w:szCs w:val="20"/>
        </w:rPr>
        <w:t>Where the movement between the 2018/19 Forecast Outturn and 2018/19 Current Budget exceeds £0.5m for a Level 2 heading, an additional note has been provided.</w:t>
      </w:r>
    </w:p>
    <w:p w:rsidR="006C7262" w:rsidRPr="00F73208" w:rsidRDefault="006C7262" w:rsidP="006C7262">
      <w:pPr>
        <w:spacing w:after="160" w:line="259" w:lineRule="auto"/>
        <w:jc w:val="left"/>
        <w:rPr>
          <w:rFonts w:cs="Arial"/>
          <w:sz w:val="20"/>
          <w:szCs w:val="20"/>
        </w:rPr>
      </w:pPr>
    </w:p>
    <w:p w:rsidR="006C7262" w:rsidRDefault="006C7262" w:rsidP="006C7262">
      <w:pPr>
        <w:spacing w:line="240" w:lineRule="auto"/>
        <w:jc w:val="left"/>
      </w:pPr>
    </w:p>
    <w:p w:rsidR="006C7262" w:rsidRDefault="006C7262" w:rsidP="006C7262">
      <w:pPr>
        <w:spacing w:line="240" w:lineRule="auto"/>
        <w:jc w:val="left"/>
      </w:pPr>
    </w:p>
    <w:p w:rsidR="006C7262" w:rsidRDefault="006C7262" w:rsidP="006C7262">
      <w:pPr>
        <w:spacing w:line="240" w:lineRule="auto"/>
        <w:jc w:val="left"/>
      </w:pPr>
    </w:p>
    <w:p w:rsidR="006C7262" w:rsidRDefault="006C7262" w:rsidP="006C7262">
      <w:pPr>
        <w:spacing w:line="240" w:lineRule="auto"/>
        <w:jc w:val="left"/>
      </w:pPr>
    </w:p>
    <w:p w:rsidR="006C7262" w:rsidRDefault="006C7262" w:rsidP="006C7262">
      <w:pPr>
        <w:spacing w:line="240" w:lineRule="auto"/>
        <w:jc w:val="left"/>
        <w:sectPr w:rsidR="006C7262" w:rsidSect="009269AC">
          <w:pgSz w:w="16838" w:h="11906" w:orient="landscape"/>
          <w:pgMar w:top="1134" w:right="1134" w:bottom="1134" w:left="709" w:header="709" w:footer="709" w:gutter="0"/>
          <w:cols w:space="708"/>
          <w:docGrid w:linePitch="360"/>
        </w:sectPr>
      </w:pPr>
    </w:p>
    <w:p w:rsidR="006C7262" w:rsidRDefault="006C7262" w:rsidP="006C7262">
      <w:pPr>
        <w:pStyle w:val="Heading1"/>
        <w:rPr>
          <w:szCs w:val="56"/>
        </w:rPr>
      </w:pPr>
      <w:r>
        <w:rPr>
          <w:szCs w:val="56"/>
        </w:rPr>
        <w:lastRenderedPageBreak/>
        <w:t>Reserves</w:t>
      </w:r>
    </w:p>
    <w:p w:rsidR="006C7262" w:rsidRDefault="006C7262" w:rsidP="006C7262">
      <w:pPr>
        <w:pStyle w:val="Heading2"/>
      </w:pPr>
      <w:r>
        <w:t>Detail Reserve Analysis</w:t>
      </w:r>
    </w:p>
    <w:p w:rsidR="006C7262" w:rsidRDefault="006C7262" w:rsidP="006C7262">
      <w:pPr>
        <w:spacing w:line="240" w:lineRule="auto"/>
        <w:jc w:val="left"/>
        <w:sectPr w:rsidR="006C7262" w:rsidSect="009269AC">
          <w:headerReference w:type="default" r:id="rId39"/>
          <w:pgSz w:w="11906" w:h="16838"/>
          <w:pgMar w:top="1134" w:right="1134" w:bottom="709" w:left="1134" w:header="709" w:footer="709" w:gutter="0"/>
          <w:cols w:space="708"/>
          <w:docGrid w:linePitch="360"/>
        </w:sectPr>
      </w:pPr>
      <w:r w:rsidRPr="00CB1976">
        <w:rPr>
          <w:noProof/>
        </w:rPr>
        <w:drawing>
          <wp:inline distT="0" distB="0" distL="0" distR="0" wp14:anchorId="019FC688" wp14:editId="699001C2">
            <wp:extent cx="6134100" cy="7886065"/>
            <wp:effectExtent l="0" t="0" r="0"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142677" cy="7897092"/>
                    </a:xfrm>
                    <a:prstGeom prst="rect">
                      <a:avLst/>
                    </a:prstGeom>
                    <a:noFill/>
                    <a:ln>
                      <a:noFill/>
                    </a:ln>
                  </pic:spPr>
                </pic:pic>
              </a:graphicData>
            </a:graphic>
          </wp:inline>
        </w:drawing>
      </w:r>
      <w:r>
        <w:br w:type="page"/>
      </w:r>
    </w:p>
    <w:p w:rsidR="006C7262" w:rsidRDefault="006C7262" w:rsidP="006C7262">
      <w:pPr>
        <w:pStyle w:val="Heading2"/>
      </w:pPr>
      <w:r>
        <w:lastRenderedPageBreak/>
        <w:t xml:space="preserve">Transformation Reserve </w:t>
      </w:r>
    </w:p>
    <w:p w:rsidR="006C7262" w:rsidRDefault="006C7262" w:rsidP="006C7262">
      <w:pPr>
        <w:spacing w:line="240" w:lineRule="auto"/>
        <w:jc w:val="left"/>
      </w:pPr>
      <w:r w:rsidRPr="004E2E4E">
        <w:rPr>
          <w:noProof/>
        </w:rPr>
        <w:drawing>
          <wp:inline distT="0" distB="0" distL="0" distR="0" wp14:anchorId="54A05736" wp14:editId="263E9B25">
            <wp:extent cx="8039100" cy="3762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039100" cy="3762375"/>
                    </a:xfrm>
                    <a:prstGeom prst="rect">
                      <a:avLst/>
                    </a:prstGeom>
                    <a:noFill/>
                    <a:ln>
                      <a:noFill/>
                    </a:ln>
                  </pic:spPr>
                </pic:pic>
              </a:graphicData>
            </a:graphic>
          </wp:inline>
        </w:drawing>
      </w:r>
    </w:p>
    <w:p w:rsidR="006C7262" w:rsidRDefault="006C7262" w:rsidP="006C7262">
      <w:bookmarkStart w:id="200" w:name="_Toc464397768"/>
      <w:bookmarkStart w:id="201" w:name="_Toc464397856"/>
      <w:bookmarkStart w:id="202" w:name="_Toc475009506"/>
      <w:bookmarkStart w:id="203" w:name="_Toc487212553"/>
      <w:bookmarkStart w:id="204" w:name="_Toc487212656"/>
      <w:bookmarkStart w:id="205" w:name="_Toc487639477"/>
      <w:bookmarkStart w:id="206" w:name="_Toc487642220"/>
      <w:bookmarkStart w:id="207" w:name="_Toc487644121"/>
      <w:bookmarkStart w:id="208" w:name="_Toc487644983"/>
      <w:bookmarkStart w:id="209" w:name="_Toc487645509"/>
      <w:bookmarkStart w:id="210" w:name="_Toc487730320"/>
      <w:bookmarkStart w:id="211" w:name="_Toc424894005"/>
      <w:bookmarkStart w:id="212" w:name="_Toc424896285"/>
      <w:bookmarkStart w:id="213" w:name="_Toc431290623"/>
      <w:bookmarkStart w:id="214" w:name="_Toc432146324"/>
      <w:bookmarkStart w:id="215" w:name="_Toc432146412"/>
      <w:bookmarkStart w:id="216" w:name="_Toc432158510"/>
      <w:bookmarkStart w:id="217" w:name="_Toc440901955"/>
      <w:bookmarkStart w:id="218" w:name="_Toc445373710"/>
      <w:bookmarkStart w:id="219" w:name="_Toc450572677"/>
      <w:bookmarkStart w:id="220" w:name="_Toc456249301"/>
      <w:bookmarkStart w:id="221" w:name="_Toc456335442"/>
      <w:bookmarkEnd w:id="124"/>
      <w:bookmarkEnd w:id="125"/>
      <w:bookmarkEnd w:id="126"/>
      <w:bookmarkEnd w:id="127"/>
      <w:bookmarkEnd w:id="128"/>
      <w:bookmarkEnd w:id="129"/>
      <w:bookmarkEnd w:id="130"/>
      <w:bookmarkEnd w:id="131"/>
      <w:bookmarkEnd w:id="132"/>
    </w:p>
    <w:p w:rsidR="006C7262" w:rsidRDefault="006C7262" w:rsidP="006C7262"/>
    <w:p w:rsidR="006C7262" w:rsidRDefault="006C7262" w:rsidP="006C7262"/>
    <w:p w:rsidR="006C7262" w:rsidRDefault="006C7262" w:rsidP="006C7262"/>
    <w:p w:rsidR="006C7262" w:rsidRDefault="006C7262" w:rsidP="006C7262"/>
    <w:p w:rsidR="006C7262" w:rsidRDefault="006C7262" w:rsidP="006C7262"/>
    <w:p w:rsidR="006C7262" w:rsidRDefault="006C7262" w:rsidP="006C7262"/>
    <w:p w:rsidR="006C7262" w:rsidRPr="004F34DD" w:rsidRDefault="006C7262" w:rsidP="006C7262">
      <w:pPr>
        <w:pStyle w:val="Heading1"/>
      </w:pPr>
      <w:bookmarkStart w:id="222" w:name="_Toc464397769"/>
      <w:bookmarkStart w:id="223" w:name="_Toc464397857"/>
      <w:bookmarkStart w:id="224" w:name="_Toc475009507"/>
      <w:bookmarkStart w:id="225" w:name="_Toc487212554"/>
      <w:bookmarkStart w:id="226" w:name="_Toc487212657"/>
      <w:bookmarkStart w:id="227" w:name="_Toc487639478"/>
      <w:bookmarkStart w:id="228" w:name="_Toc487642221"/>
      <w:bookmarkStart w:id="229" w:name="_Toc487644122"/>
      <w:bookmarkStart w:id="230" w:name="_Toc487644984"/>
      <w:bookmarkStart w:id="231" w:name="_Toc487645510"/>
      <w:bookmarkStart w:id="232" w:name="_Toc487730321"/>
      <w:bookmarkStart w:id="233" w:name="_Toc495874939"/>
      <w:bookmarkStart w:id="234" w:name="_Toc495920611"/>
      <w:bookmarkStart w:id="235" w:name="_Toc495920728"/>
      <w:bookmarkStart w:id="236" w:name="_Toc506309663"/>
      <w:bookmarkStart w:id="237" w:name="_Toc507149749"/>
      <w:bookmarkStart w:id="238" w:name="_Toc519251392"/>
      <w:bookmarkStart w:id="239" w:name="_Toc519698160"/>
      <w:bookmarkStart w:id="240" w:name="_Toc519698282"/>
      <w:bookmarkEnd w:id="200"/>
      <w:bookmarkEnd w:id="201"/>
      <w:bookmarkEnd w:id="202"/>
      <w:bookmarkEnd w:id="203"/>
      <w:bookmarkEnd w:id="204"/>
      <w:bookmarkEnd w:id="205"/>
      <w:bookmarkEnd w:id="206"/>
      <w:bookmarkEnd w:id="207"/>
      <w:bookmarkEnd w:id="208"/>
      <w:bookmarkEnd w:id="209"/>
      <w:bookmarkEnd w:id="210"/>
      <w:r w:rsidRPr="004F34DD">
        <w:lastRenderedPageBreak/>
        <w:t>Capital</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6C7262" w:rsidRDefault="006C7262" w:rsidP="006C7262">
      <w:pPr>
        <w:pStyle w:val="Heading2"/>
      </w:pPr>
      <w:bookmarkStart w:id="241" w:name="_Toc487212556"/>
      <w:bookmarkStart w:id="242" w:name="_Toc487212659"/>
      <w:bookmarkStart w:id="243" w:name="_Toc487639480"/>
      <w:bookmarkStart w:id="244" w:name="_Toc487642223"/>
      <w:bookmarkStart w:id="245" w:name="_Toc487644124"/>
      <w:bookmarkStart w:id="246" w:name="_Toc487644986"/>
      <w:bookmarkStart w:id="247" w:name="_Toc487645512"/>
      <w:bookmarkStart w:id="248" w:name="_Toc487730323"/>
      <w:bookmarkStart w:id="249" w:name="_Toc424894008"/>
      <w:bookmarkStart w:id="250" w:name="_Toc424896288"/>
      <w:bookmarkStart w:id="251" w:name="_Toc431290626"/>
      <w:bookmarkStart w:id="252" w:name="_Toc432146327"/>
      <w:bookmarkStart w:id="253" w:name="_Toc432146415"/>
      <w:bookmarkStart w:id="254" w:name="_Toc432158513"/>
      <w:bookmarkStart w:id="255" w:name="_Toc440901959"/>
      <w:bookmarkStart w:id="256" w:name="_Toc450572681"/>
      <w:r>
        <w:t xml:space="preserve"> </w:t>
      </w:r>
      <w:bookmarkStart w:id="257" w:name="_Toc464397771"/>
      <w:bookmarkStart w:id="258" w:name="_Toc464397859"/>
      <w:bookmarkStart w:id="259" w:name="_Toc475009509"/>
      <w:bookmarkStart w:id="260" w:name="_Toc495874941"/>
      <w:bookmarkStart w:id="261" w:name="_Toc495920613"/>
      <w:bookmarkStart w:id="262" w:name="_Toc495920730"/>
      <w:bookmarkStart w:id="263" w:name="_Toc506309665"/>
      <w:bookmarkStart w:id="264" w:name="_Toc507149751"/>
      <w:bookmarkStart w:id="265" w:name="_Toc519251394"/>
      <w:bookmarkStart w:id="266" w:name="_Toc519698162"/>
      <w:bookmarkStart w:id="267" w:name="_Toc519698284"/>
      <w:r>
        <w:t>Movement in Capital Reserve Forecast</w:t>
      </w:r>
      <w:bookmarkEnd w:id="241"/>
      <w:bookmarkEnd w:id="242"/>
      <w:bookmarkEnd w:id="243"/>
      <w:bookmarkEnd w:id="244"/>
      <w:bookmarkEnd w:id="245"/>
      <w:bookmarkEnd w:id="246"/>
      <w:bookmarkEnd w:id="247"/>
      <w:bookmarkEnd w:id="248"/>
      <w:bookmarkEnd w:id="257"/>
      <w:bookmarkEnd w:id="258"/>
      <w:bookmarkEnd w:id="259"/>
      <w:bookmarkEnd w:id="260"/>
      <w:bookmarkEnd w:id="261"/>
      <w:bookmarkEnd w:id="262"/>
      <w:bookmarkEnd w:id="263"/>
      <w:bookmarkEnd w:id="264"/>
      <w:bookmarkEnd w:id="265"/>
      <w:bookmarkEnd w:id="266"/>
      <w:bookmarkEnd w:id="267"/>
    </w:p>
    <w:bookmarkEnd w:id="249"/>
    <w:bookmarkEnd w:id="250"/>
    <w:bookmarkEnd w:id="251"/>
    <w:bookmarkEnd w:id="252"/>
    <w:bookmarkEnd w:id="253"/>
    <w:bookmarkEnd w:id="254"/>
    <w:bookmarkEnd w:id="255"/>
    <w:bookmarkEnd w:id="256"/>
    <w:p w:rsidR="006C7262" w:rsidRPr="0074176B" w:rsidRDefault="006C7262" w:rsidP="006C7262">
      <w:r w:rsidRPr="002A03BA">
        <w:rPr>
          <w:noProof/>
        </w:rPr>
        <w:drawing>
          <wp:inline distT="0" distB="0" distL="0" distR="0" wp14:anchorId="4AD29CD4" wp14:editId="0CD7484F">
            <wp:extent cx="9553575" cy="4723130"/>
            <wp:effectExtent l="0" t="0" r="9525"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626428" cy="4759147"/>
                    </a:xfrm>
                    <a:prstGeom prst="rect">
                      <a:avLst/>
                    </a:prstGeom>
                    <a:noFill/>
                    <a:ln>
                      <a:noFill/>
                    </a:ln>
                  </pic:spPr>
                </pic:pic>
              </a:graphicData>
            </a:graphic>
          </wp:inline>
        </w:drawing>
      </w:r>
      <w:r>
        <w:rPr>
          <w:rFonts w:cs="Arial"/>
          <w:b/>
        </w:rPr>
        <w:br w:type="textWrapping" w:clear="all"/>
      </w:r>
    </w:p>
    <w:p w:rsidR="006C7262" w:rsidRDefault="006C7262" w:rsidP="006C7262">
      <w:pPr>
        <w:pStyle w:val="Heading2"/>
      </w:pPr>
      <w:bookmarkStart w:id="268" w:name="_Toc475009511"/>
      <w:bookmarkStart w:id="269" w:name="_Toc487212558"/>
      <w:bookmarkStart w:id="270" w:name="_Toc487212661"/>
      <w:bookmarkStart w:id="271" w:name="_Toc487639482"/>
      <w:bookmarkStart w:id="272" w:name="_Toc487642225"/>
      <w:bookmarkStart w:id="273" w:name="_Toc487644126"/>
      <w:bookmarkStart w:id="274" w:name="_Toc487644988"/>
      <w:bookmarkStart w:id="275" w:name="_Toc487645514"/>
      <w:bookmarkStart w:id="276" w:name="_Toc487730325"/>
      <w:bookmarkStart w:id="277" w:name="_Toc495874943"/>
      <w:bookmarkStart w:id="278" w:name="_Toc495920615"/>
      <w:bookmarkStart w:id="279" w:name="_Toc495920732"/>
      <w:bookmarkStart w:id="280" w:name="_Toc506309667"/>
      <w:bookmarkStart w:id="281" w:name="_Toc507149753"/>
      <w:bookmarkStart w:id="282" w:name="_Toc519251396"/>
      <w:bookmarkStart w:id="283" w:name="_Toc519698164"/>
      <w:bookmarkStart w:id="284" w:name="_Toc519698286"/>
      <w:r>
        <w:lastRenderedPageBreak/>
        <w:t xml:space="preserve">Projection of Capital Reserves – </w:t>
      </w:r>
      <w:proofErr w:type="spellStart"/>
      <w:r>
        <w:t>Cashflow</w:t>
      </w:r>
      <w:proofErr w:type="spellEnd"/>
      <w:r>
        <w:t xml:space="preserve"> Profile</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6C7262" w:rsidRDefault="006C7262" w:rsidP="006C7262">
      <w:r w:rsidRPr="002A03BA">
        <w:rPr>
          <w:noProof/>
        </w:rPr>
        <w:drawing>
          <wp:anchor distT="0" distB="0" distL="114300" distR="114300" simplePos="0" relativeHeight="251663360" behindDoc="0" locked="0" layoutInCell="1" allowOverlap="1" wp14:anchorId="39FDC9A1" wp14:editId="582CF18A">
            <wp:simplePos x="0" y="0"/>
            <wp:positionH relativeFrom="column">
              <wp:posOffset>-2540</wp:posOffset>
            </wp:positionH>
            <wp:positionV relativeFrom="paragraph">
              <wp:posOffset>1905</wp:posOffset>
            </wp:positionV>
            <wp:extent cx="9521825" cy="4500101"/>
            <wp:effectExtent l="0" t="0" r="317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1825" cy="45001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7262" w:rsidRDefault="006C7262" w:rsidP="006C7262">
      <w:r>
        <w:rPr>
          <w:noProof/>
        </w:rPr>
        <w:drawing>
          <wp:anchor distT="0" distB="0" distL="114300" distR="114300" simplePos="0" relativeHeight="251664384" behindDoc="0" locked="0" layoutInCell="1" allowOverlap="1" wp14:anchorId="4F3B22FC" wp14:editId="2AB9EDF2">
            <wp:simplePos x="0" y="0"/>
            <wp:positionH relativeFrom="column">
              <wp:posOffset>854709</wp:posOffset>
            </wp:positionH>
            <wp:positionV relativeFrom="paragraph">
              <wp:posOffset>4275455</wp:posOffset>
            </wp:positionV>
            <wp:extent cx="8684569" cy="1828800"/>
            <wp:effectExtent l="0" t="0" r="254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689000" cy="1829733"/>
                    </a:xfrm>
                    <a:prstGeom prst="rect">
                      <a:avLst/>
                    </a:prstGeom>
                    <a:noFill/>
                  </pic:spPr>
                </pic:pic>
              </a:graphicData>
            </a:graphic>
            <wp14:sizeRelH relativeFrom="page">
              <wp14:pctWidth>0</wp14:pctWidth>
            </wp14:sizeRelH>
            <wp14:sizeRelV relativeFrom="page">
              <wp14:pctHeight>0</wp14:pctHeight>
            </wp14:sizeRelV>
          </wp:anchor>
        </w:drawing>
      </w:r>
    </w:p>
    <w:sectPr w:rsidR="006C7262" w:rsidSect="009269AC">
      <w:headerReference w:type="default" r:id="rId45"/>
      <w:pgSz w:w="16838" w:h="11906" w:orient="landscape"/>
      <w:pgMar w:top="1134" w:right="1134"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2F5" w:rsidRDefault="00D922F5" w:rsidP="00113794">
      <w:r>
        <w:separator/>
      </w:r>
    </w:p>
  </w:endnote>
  <w:endnote w:type="continuationSeparator" w:id="0">
    <w:p w:rsidR="00D922F5" w:rsidRDefault="00D922F5" w:rsidP="0011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DF5" w:rsidRPr="00A158D8" w:rsidRDefault="00D03613" w:rsidP="00F71230">
    <w:pPr>
      <w:pStyle w:val="Footer"/>
      <w:jc w:val="center"/>
      <w:rPr>
        <w:rFonts w:asciiTheme="minorHAnsi" w:hAnsiTheme="minorHAnsi"/>
        <w:noProof/>
      </w:rPr>
    </w:pPr>
    <w:r w:rsidRPr="00F71230">
      <w:rPr>
        <w:rFonts w:cs="Arial"/>
        <w:sz w:val="20"/>
        <w:szCs w:val="20"/>
      </w:rPr>
      <w:t>Page</w:t>
    </w:r>
    <w:r w:rsidRPr="00A158D8">
      <w:rPr>
        <w:rFonts w:asciiTheme="minorHAnsi" w:hAnsiTheme="minorHAnsi"/>
      </w:rPr>
      <w:t xml:space="preserve"> </w:t>
    </w:r>
    <w:r w:rsidRPr="00A158D8">
      <w:rPr>
        <w:rFonts w:asciiTheme="minorHAnsi" w:hAnsiTheme="minorHAnsi"/>
      </w:rPr>
      <w:fldChar w:fldCharType="begin"/>
    </w:r>
    <w:r w:rsidRPr="00A158D8">
      <w:rPr>
        <w:rFonts w:asciiTheme="minorHAnsi" w:hAnsiTheme="minorHAnsi"/>
      </w:rPr>
      <w:instrText xml:space="preserve"> PAGE   \* MERGEFORMAT </w:instrText>
    </w:r>
    <w:r w:rsidRPr="00A158D8">
      <w:rPr>
        <w:rFonts w:asciiTheme="minorHAnsi" w:hAnsiTheme="minorHAnsi"/>
      </w:rPr>
      <w:fldChar w:fldCharType="separate"/>
    </w:r>
    <w:r w:rsidR="00AB423D">
      <w:rPr>
        <w:rFonts w:asciiTheme="minorHAnsi" w:hAnsiTheme="minorHAnsi"/>
        <w:noProof/>
      </w:rPr>
      <w:t>1</w:t>
    </w:r>
    <w:r w:rsidRPr="00A158D8">
      <w:rPr>
        <w:rFonts w:asciiTheme="minorHAnsi" w:hAnsiTheme="minorHAnsi"/>
      </w:rPr>
      <w:fldChar w:fldCharType="end"/>
    </w:r>
    <w:r w:rsidRPr="00A158D8">
      <w:rPr>
        <w:rFonts w:asciiTheme="minorHAnsi" w:hAnsiTheme="minorHAnsi"/>
      </w:rPr>
      <w:t xml:space="preserve"> of </w:t>
    </w:r>
    <w:r w:rsidRPr="00A158D8">
      <w:rPr>
        <w:rFonts w:asciiTheme="minorHAnsi" w:hAnsiTheme="minorHAnsi"/>
        <w:noProof/>
      </w:rPr>
      <w:fldChar w:fldCharType="begin"/>
    </w:r>
    <w:r w:rsidRPr="00A158D8">
      <w:rPr>
        <w:rFonts w:asciiTheme="minorHAnsi" w:hAnsiTheme="minorHAnsi"/>
        <w:noProof/>
      </w:rPr>
      <w:instrText xml:space="preserve"> NUMPAGES   \* MERGEFORMAT </w:instrText>
    </w:r>
    <w:r w:rsidRPr="00A158D8">
      <w:rPr>
        <w:rFonts w:asciiTheme="minorHAnsi" w:hAnsiTheme="minorHAnsi"/>
        <w:noProof/>
      </w:rPr>
      <w:fldChar w:fldCharType="separate"/>
    </w:r>
    <w:r w:rsidR="00AB423D">
      <w:rPr>
        <w:rFonts w:asciiTheme="minorHAnsi" w:hAnsiTheme="minorHAnsi"/>
        <w:noProof/>
      </w:rPr>
      <w:t>25</w:t>
    </w:r>
    <w:r w:rsidRPr="00A158D8">
      <w:rPr>
        <w:rFonts w:asciiTheme="minorHAnsi" w:hAnsiTheme="minorHAnsi"/>
        <w:noProof/>
      </w:rPr>
      <w:fldChar w:fldCharType="end"/>
    </w:r>
  </w:p>
  <w:p w:rsidR="00A158D8" w:rsidRPr="00D03613" w:rsidRDefault="00A158D8" w:rsidP="00D03613">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659712"/>
      <w:docPartObj>
        <w:docPartGallery w:val="Page Numbers (Bottom of Page)"/>
        <w:docPartUnique/>
      </w:docPartObj>
    </w:sdtPr>
    <w:sdtEndPr>
      <w:rPr>
        <w:rFonts w:asciiTheme="minorHAnsi" w:hAnsiTheme="minorHAnsi"/>
        <w:noProof/>
      </w:rPr>
    </w:sdtEndPr>
    <w:sdtContent>
      <w:p w:rsidR="006C7262" w:rsidRPr="00A158D8" w:rsidRDefault="006C7262" w:rsidP="00D03613">
        <w:pPr>
          <w:pStyle w:val="Footer"/>
          <w:jc w:val="left"/>
          <w:rPr>
            <w:rFonts w:asciiTheme="minorHAnsi" w:hAnsiTheme="minorHAnsi"/>
          </w:rPr>
        </w:pPr>
        <w:r w:rsidRPr="00A158D8">
          <w:rPr>
            <w:rFonts w:asciiTheme="minorHAnsi" w:hAnsiTheme="minorHAnsi"/>
          </w:rPr>
          <w:t xml:space="preserve">Page </w:t>
        </w:r>
        <w:r w:rsidRPr="00A158D8">
          <w:rPr>
            <w:rFonts w:asciiTheme="minorHAnsi" w:hAnsiTheme="minorHAnsi"/>
          </w:rPr>
          <w:fldChar w:fldCharType="begin"/>
        </w:r>
        <w:r w:rsidRPr="00A158D8">
          <w:rPr>
            <w:rFonts w:asciiTheme="minorHAnsi" w:hAnsiTheme="minorHAnsi"/>
          </w:rPr>
          <w:instrText xml:space="preserve"> PAGE   \* MERGEFORMAT </w:instrText>
        </w:r>
        <w:r w:rsidRPr="00A158D8">
          <w:rPr>
            <w:rFonts w:asciiTheme="minorHAnsi" w:hAnsiTheme="minorHAnsi"/>
          </w:rPr>
          <w:fldChar w:fldCharType="separate"/>
        </w:r>
        <w:r w:rsidR="00AB423D">
          <w:rPr>
            <w:rFonts w:asciiTheme="minorHAnsi" w:hAnsiTheme="minorHAnsi"/>
            <w:noProof/>
          </w:rPr>
          <w:t>3</w:t>
        </w:r>
        <w:r w:rsidRPr="00A158D8">
          <w:rPr>
            <w:rFonts w:asciiTheme="minorHAnsi" w:hAnsiTheme="minorHAnsi"/>
          </w:rPr>
          <w:fldChar w:fldCharType="end"/>
        </w:r>
        <w:r w:rsidRPr="00A158D8">
          <w:rPr>
            <w:rFonts w:asciiTheme="minorHAnsi" w:hAnsiTheme="minorHAnsi"/>
          </w:rPr>
          <w:t xml:space="preserve"> of </w:t>
        </w:r>
        <w:r w:rsidRPr="00A158D8">
          <w:rPr>
            <w:rFonts w:asciiTheme="minorHAnsi" w:hAnsiTheme="minorHAnsi"/>
            <w:noProof/>
          </w:rPr>
          <w:fldChar w:fldCharType="begin"/>
        </w:r>
        <w:r w:rsidRPr="00A158D8">
          <w:rPr>
            <w:rFonts w:asciiTheme="minorHAnsi" w:hAnsiTheme="minorHAnsi"/>
            <w:noProof/>
          </w:rPr>
          <w:instrText xml:space="preserve"> NUMPAGES   \* MERGEFORMAT </w:instrText>
        </w:r>
        <w:r w:rsidRPr="00A158D8">
          <w:rPr>
            <w:rFonts w:asciiTheme="minorHAnsi" w:hAnsiTheme="minorHAnsi"/>
            <w:noProof/>
          </w:rPr>
          <w:fldChar w:fldCharType="separate"/>
        </w:r>
        <w:r w:rsidR="00AB423D">
          <w:rPr>
            <w:rFonts w:asciiTheme="minorHAnsi" w:hAnsiTheme="minorHAnsi"/>
            <w:noProof/>
          </w:rPr>
          <w:t>3</w:t>
        </w:r>
        <w:r w:rsidRPr="00A158D8">
          <w:rPr>
            <w:rFonts w:asciiTheme="minorHAnsi" w:hAnsiTheme="minorHAnsi"/>
            <w:noProof/>
          </w:rPr>
          <w:fldChar w:fldCharType="end"/>
        </w:r>
      </w:p>
    </w:sdtContent>
  </w:sdt>
  <w:p w:rsidR="006C7262" w:rsidRPr="00113794" w:rsidRDefault="006C7262" w:rsidP="00113794">
    <w:pPr>
      <w:pStyle w:val="Footer"/>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43255"/>
      <w:docPartObj>
        <w:docPartGallery w:val="Page Numbers (Bottom of Page)"/>
        <w:docPartUnique/>
      </w:docPartObj>
    </w:sdtPr>
    <w:sdtEndPr>
      <w:rPr>
        <w:rFonts w:asciiTheme="minorHAnsi" w:hAnsiTheme="minorHAnsi"/>
        <w:noProof/>
      </w:rPr>
    </w:sdtEndPr>
    <w:sdtContent>
      <w:p w:rsidR="006C7262" w:rsidRPr="00A158D8" w:rsidRDefault="006C7262" w:rsidP="00D03613">
        <w:pPr>
          <w:pStyle w:val="Footer"/>
          <w:jc w:val="left"/>
          <w:rPr>
            <w:rFonts w:asciiTheme="minorHAnsi" w:hAnsiTheme="minorHAnsi"/>
          </w:rPr>
        </w:pPr>
        <w:r w:rsidRPr="00A158D8">
          <w:rPr>
            <w:rFonts w:asciiTheme="minorHAnsi" w:hAnsiTheme="minorHAnsi"/>
          </w:rPr>
          <w:t xml:space="preserve">Page </w:t>
        </w:r>
        <w:r w:rsidRPr="00A158D8">
          <w:rPr>
            <w:rFonts w:asciiTheme="minorHAnsi" w:hAnsiTheme="minorHAnsi"/>
          </w:rPr>
          <w:fldChar w:fldCharType="begin"/>
        </w:r>
        <w:r w:rsidRPr="00A158D8">
          <w:rPr>
            <w:rFonts w:asciiTheme="minorHAnsi" w:hAnsiTheme="minorHAnsi"/>
          </w:rPr>
          <w:instrText xml:space="preserve"> PAGE   \* MERGEFORMAT </w:instrText>
        </w:r>
        <w:r w:rsidRPr="00A158D8">
          <w:rPr>
            <w:rFonts w:asciiTheme="minorHAnsi" w:hAnsiTheme="minorHAnsi"/>
          </w:rPr>
          <w:fldChar w:fldCharType="separate"/>
        </w:r>
        <w:r w:rsidR="00AB423D">
          <w:rPr>
            <w:rFonts w:asciiTheme="minorHAnsi" w:hAnsiTheme="minorHAnsi"/>
            <w:noProof/>
          </w:rPr>
          <w:t>25</w:t>
        </w:r>
        <w:r w:rsidRPr="00A158D8">
          <w:rPr>
            <w:rFonts w:asciiTheme="minorHAnsi" w:hAnsiTheme="minorHAnsi"/>
          </w:rPr>
          <w:fldChar w:fldCharType="end"/>
        </w:r>
        <w:r w:rsidRPr="00A158D8">
          <w:rPr>
            <w:rFonts w:asciiTheme="minorHAnsi" w:hAnsiTheme="minorHAnsi"/>
          </w:rPr>
          <w:t xml:space="preserve"> of </w:t>
        </w:r>
        <w:r w:rsidRPr="00A158D8">
          <w:rPr>
            <w:rFonts w:asciiTheme="minorHAnsi" w:hAnsiTheme="minorHAnsi"/>
            <w:noProof/>
          </w:rPr>
          <w:fldChar w:fldCharType="begin"/>
        </w:r>
        <w:r w:rsidRPr="00A158D8">
          <w:rPr>
            <w:rFonts w:asciiTheme="minorHAnsi" w:hAnsiTheme="minorHAnsi"/>
            <w:noProof/>
          </w:rPr>
          <w:instrText xml:space="preserve"> NUMPAGES   \* MERGEFORMAT </w:instrText>
        </w:r>
        <w:r w:rsidRPr="00A158D8">
          <w:rPr>
            <w:rFonts w:asciiTheme="minorHAnsi" w:hAnsiTheme="minorHAnsi"/>
            <w:noProof/>
          </w:rPr>
          <w:fldChar w:fldCharType="separate"/>
        </w:r>
        <w:r w:rsidR="00AB423D">
          <w:rPr>
            <w:rFonts w:asciiTheme="minorHAnsi" w:hAnsiTheme="minorHAnsi"/>
            <w:noProof/>
          </w:rPr>
          <w:t>25</w:t>
        </w:r>
        <w:r w:rsidRPr="00A158D8">
          <w:rPr>
            <w:rFonts w:asciiTheme="minorHAnsi" w:hAnsiTheme="minorHAnsi"/>
            <w:noProof/>
          </w:rPr>
          <w:fldChar w:fldCharType="end"/>
        </w:r>
      </w:p>
    </w:sdtContent>
  </w:sdt>
  <w:p w:rsidR="006C7262" w:rsidRPr="00113794" w:rsidRDefault="006C7262" w:rsidP="00113794">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2F5" w:rsidRDefault="00D922F5" w:rsidP="00113794">
      <w:r>
        <w:separator/>
      </w:r>
    </w:p>
  </w:footnote>
  <w:footnote w:type="continuationSeparator" w:id="0">
    <w:p w:rsidR="00D922F5" w:rsidRDefault="00D922F5" w:rsidP="00113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9E0" w:rsidRDefault="00A158D8">
    <w:pPr>
      <w:pStyle w:val="Header"/>
    </w:pPr>
    <w:r w:rsidRPr="00A158D8">
      <w:rPr>
        <w:rFonts w:eastAsiaTheme="minorHAnsi" w:cs="Arial"/>
        <w:b/>
        <w:bCs/>
        <w:noProof/>
        <w:color w:val="002D56"/>
        <w:sz w:val="36"/>
        <w:szCs w:val="36"/>
      </w:rPr>
      <mc:AlternateContent>
        <mc:Choice Requires="wps">
          <w:drawing>
            <wp:anchor distT="0" distB="0" distL="114300" distR="114300" simplePos="0" relativeHeight="251665408" behindDoc="1" locked="0" layoutInCell="1" allowOverlap="1" wp14:anchorId="5D4C2408" wp14:editId="4D0F33B4">
              <wp:simplePos x="0" y="0"/>
              <wp:positionH relativeFrom="page">
                <wp:align>right</wp:align>
              </wp:positionH>
              <wp:positionV relativeFrom="paragraph">
                <wp:posOffset>-266700</wp:posOffset>
              </wp:positionV>
              <wp:extent cx="7840980" cy="6953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0980" cy="695325"/>
                      </a:xfrm>
                      <a:prstGeom prst="rect">
                        <a:avLst/>
                      </a:prstGeom>
                      <a:noFill/>
                      <a:ln w="9525">
                        <a:noFill/>
                        <a:miter lim="800000"/>
                        <a:headEnd/>
                        <a:tailEnd/>
                      </a:ln>
                    </wps:spPr>
                    <wps:txbx>
                      <w:txbxContent>
                        <w:p w:rsidR="00A158D8" w:rsidRPr="00F71230" w:rsidRDefault="00A158D8" w:rsidP="00F71230">
                          <w:pPr>
                            <w:ind w:left="709"/>
                            <w:jc w:val="center"/>
                            <w:rPr>
                              <w:rFonts w:cs="Arial"/>
                              <w:color w:val="365F91" w:themeColor="accent1" w:themeShade="BF"/>
                              <w:sz w:val="20"/>
                              <w:szCs w:val="20"/>
                            </w:rPr>
                          </w:pPr>
                          <w:r w:rsidRPr="00F71230">
                            <w:rPr>
                              <w:rFonts w:cs="Arial"/>
                              <w:sz w:val="20"/>
                              <w:szCs w:val="20"/>
                            </w:rPr>
                            <w:t>O</w:t>
                          </w:r>
                          <w:r w:rsidR="00F71230" w:rsidRPr="00F71230">
                            <w:rPr>
                              <w:rFonts w:cs="Arial"/>
                              <w:sz w:val="20"/>
                              <w:szCs w:val="20"/>
                            </w:rPr>
                            <w:t>FFICIAL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4C2408" id="_x0000_t202" coordsize="21600,21600" o:spt="202" path="m,l,21600r21600,l21600,xe">
              <v:stroke joinstyle="miter"/>
              <v:path gradientshapeok="t" o:connecttype="rect"/>
            </v:shapetype>
            <v:shape id="Text Box 2" o:spid="_x0000_s1026" type="#_x0000_t202" style="position:absolute;left:0;text-align:left;margin-left:566.2pt;margin-top:-21pt;width:617.4pt;height:54.75pt;z-index:-2516510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" filled="f" stroked="f">
              <v:textbox>
                <w:txbxContent>
                  <w:p w:rsidR="00A158D8" w:rsidRPr="00F71230" w:rsidRDefault="00A158D8" w:rsidP="00F71230">
                    <w:pPr>
                      <w:ind w:left="709"/>
                      <w:jc w:val="center"/>
                      <w:rPr>
                        <w:rFonts w:cs="Arial"/>
                        <w:color w:val="365F91" w:themeColor="accent1" w:themeShade="BF"/>
                        <w:sz w:val="20"/>
                        <w:szCs w:val="20"/>
                      </w:rPr>
                    </w:pPr>
                    <w:r w:rsidRPr="00F71230">
                      <w:rPr>
                        <w:rFonts w:cs="Arial"/>
                        <w:sz w:val="20"/>
                        <w:szCs w:val="20"/>
                      </w:rPr>
                      <w:t>O</w:t>
                    </w:r>
                    <w:r w:rsidR="00F71230" w:rsidRPr="00F71230">
                      <w:rPr>
                        <w:rFonts w:cs="Arial"/>
                        <w:sz w:val="20"/>
                        <w:szCs w:val="20"/>
                      </w:rPr>
                      <w:t>FFICIAL</w:t>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262" w:rsidRDefault="006C7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262" w:rsidRDefault="006C7262">
    <w:pPr>
      <w:pStyle w:val="Header"/>
    </w:pPr>
    <w:r w:rsidRPr="005971EA">
      <w:rPr>
        <w:rFonts w:cs="Arial"/>
        <w:b/>
        <w:bCs/>
        <w:noProof/>
        <w:color w:val="002D56"/>
        <w:sz w:val="36"/>
        <w:szCs w:val="36"/>
      </w:rPr>
      <mc:AlternateContent>
        <mc:Choice Requires="wps">
          <w:drawing>
            <wp:anchor distT="0" distB="0" distL="114300" distR="114300" simplePos="0" relativeHeight="251673600" behindDoc="1" locked="0" layoutInCell="1" allowOverlap="1" wp14:anchorId="58CAEEF5" wp14:editId="7C3E258F">
              <wp:simplePos x="0" y="0"/>
              <wp:positionH relativeFrom="column">
                <wp:posOffset>-1150620</wp:posOffset>
              </wp:positionH>
              <wp:positionV relativeFrom="paragraph">
                <wp:posOffset>-45720</wp:posOffset>
              </wp:positionV>
              <wp:extent cx="10919460" cy="42862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9460" cy="428625"/>
                      </a:xfrm>
                      <a:prstGeom prst="rect">
                        <a:avLst/>
                      </a:prstGeom>
                      <a:noFill/>
                      <a:ln w="9525">
                        <a:noFill/>
                        <a:miter lim="800000"/>
                        <a:headEnd/>
                        <a:tailEnd/>
                      </a:ln>
                    </wps:spPr>
                    <wps:txbx>
                      <w:txbxContent>
                        <w:p w:rsidR="00122183" w:rsidRPr="00F71230" w:rsidRDefault="00122183" w:rsidP="00122183">
                          <w:pPr>
                            <w:ind w:left="709"/>
                            <w:jc w:val="center"/>
                            <w:rPr>
                              <w:rFonts w:cs="Arial"/>
                              <w:color w:val="365F91" w:themeColor="accent1" w:themeShade="BF"/>
                              <w:sz w:val="20"/>
                              <w:szCs w:val="20"/>
                            </w:rPr>
                          </w:pPr>
                          <w:r w:rsidRPr="00F71230">
                            <w:rPr>
                              <w:rFonts w:cs="Arial"/>
                              <w:sz w:val="20"/>
                              <w:szCs w:val="20"/>
                            </w:rPr>
                            <w:t>OFFICIAL</w:t>
                          </w:r>
                        </w:p>
                        <w:p w:rsidR="006C7262" w:rsidRPr="00A158D8" w:rsidRDefault="006C7262" w:rsidP="00A158D8">
                          <w:pPr>
                            <w:ind w:left="709"/>
                            <w:rPr>
                              <w:rFonts w:asciiTheme="minorHAnsi" w:hAnsiTheme="minorHAnsi"/>
                              <w:b/>
                              <w:color w:val="365F91" w:themeColor="accent1" w:themeShade="BF"/>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CAEEF5" id="_x0000_t202" coordsize="21600,21600" o:spt="202" path="m,l,21600r21600,l21600,xe">
              <v:stroke joinstyle="miter"/>
              <v:path gradientshapeok="t" o:connecttype="rect"/>
            </v:shapetype>
            <v:shape id="_x0000_s1027" type="#_x0000_t202" style="position:absolute;left:0;text-align:left;margin-left:-90.6pt;margin-top:-3.6pt;width:859.8pt;height:33.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" filled="f" stroked="f">
              <v:textbox>
                <w:txbxContent>
                  <w:p w:rsidR="00122183" w:rsidRPr="00F71230" w:rsidRDefault="00122183" w:rsidP="00122183">
                    <w:pPr>
                      <w:ind w:left="709"/>
                      <w:jc w:val="center"/>
                      <w:rPr>
                        <w:rFonts w:cs="Arial"/>
                        <w:color w:val="365F91" w:themeColor="accent1" w:themeShade="BF"/>
                        <w:sz w:val="20"/>
                        <w:szCs w:val="20"/>
                      </w:rPr>
                    </w:pPr>
                    <w:r w:rsidRPr="00F71230">
                      <w:rPr>
                        <w:rFonts w:cs="Arial"/>
                        <w:sz w:val="20"/>
                        <w:szCs w:val="20"/>
                      </w:rPr>
                      <w:t>OFFICIAL</w:t>
                    </w:r>
                  </w:p>
                  <w:p w:rsidR="006C7262" w:rsidRPr="00A158D8" w:rsidRDefault="006C7262" w:rsidP="00A158D8">
                    <w:pPr>
                      <w:ind w:left="709"/>
                      <w:rPr>
                        <w:rFonts w:asciiTheme="minorHAnsi" w:hAnsiTheme="minorHAnsi"/>
                        <w:b/>
                        <w:color w:val="365F91" w:themeColor="accent1" w:themeShade="BF"/>
                        <w:sz w:val="24"/>
                      </w:rPr>
                    </w:pP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262" w:rsidRDefault="006C72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262" w:rsidRDefault="006C72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262" w:rsidRDefault="006C7262">
    <w:pPr>
      <w:pStyle w:val="Header"/>
    </w:pPr>
    <w:r w:rsidRPr="005971EA">
      <w:rPr>
        <w:rFonts w:cs="Arial"/>
        <w:b/>
        <w:bCs/>
        <w:noProof/>
        <w:color w:val="002D56"/>
        <w:sz w:val="36"/>
        <w:szCs w:val="36"/>
      </w:rPr>
      <mc:AlternateContent>
        <mc:Choice Requires="wps">
          <w:drawing>
            <wp:anchor distT="0" distB="0" distL="114300" distR="114300" simplePos="0" relativeHeight="251674624" behindDoc="1" locked="0" layoutInCell="1" allowOverlap="1" wp14:anchorId="44FC9107" wp14:editId="28549A34">
              <wp:simplePos x="0" y="0"/>
              <wp:positionH relativeFrom="page">
                <wp:align>right</wp:align>
              </wp:positionH>
              <wp:positionV relativeFrom="paragraph">
                <wp:posOffset>-23495</wp:posOffset>
              </wp:positionV>
              <wp:extent cx="10919460" cy="4286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9460" cy="428625"/>
                      </a:xfrm>
                      <a:prstGeom prst="rect">
                        <a:avLst/>
                      </a:prstGeom>
                      <a:noFill/>
                      <a:ln w="9525">
                        <a:noFill/>
                        <a:miter lim="800000"/>
                        <a:headEnd/>
                        <a:tailEnd/>
                      </a:ln>
                    </wps:spPr>
                    <wps:txbx>
                      <w:txbxContent>
                        <w:p w:rsidR="00122183" w:rsidRPr="00F71230" w:rsidRDefault="00122183" w:rsidP="00122183">
                          <w:pPr>
                            <w:ind w:left="709"/>
                            <w:jc w:val="center"/>
                            <w:rPr>
                              <w:rFonts w:cs="Arial"/>
                              <w:color w:val="365F91" w:themeColor="accent1" w:themeShade="BF"/>
                              <w:sz w:val="20"/>
                              <w:szCs w:val="20"/>
                            </w:rPr>
                          </w:pPr>
                          <w:r w:rsidRPr="00F71230">
                            <w:rPr>
                              <w:rFonts w:cs="Arial"/>
                              <w:sz w:val="20"/>
                              <w:szCs w:val="20"/>
                            </w:rPr>
                            <w:t>OFFICIAL</w:t>
                          </w:r>
                        </w:p>
                        <w:p w:rsidR="006C7262" w:rsidRPr="00A158D8" w:rsidRDefault="006C7262" w:rsidP="00A158D8">
                          <w:pPr>
                            <w:ind w:left="709"/>
                            <w:rPr>
                              <w:rFonts w:asciiTheme="minorHAnsi" w:hAnsiTheme="minorHAnsi"/>
                              <w:b/>
                              <w:color w:val="365F91" w:themeColor="accent1" w:themeShade="BF"/>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FC9107" id="_x0000_t202" coordsize="21600,21600" o:spt="202" path="m,l,21600r21600,l21600,xe">
              <v:stroke joinstyle="miter"/>
              <v:path gradientshapeok="t" o:connecttype="rect"/>
            </v:shapetype>
            <v:shape id="_x0000_s1028" type="#_x0000_t202" style="position:absolute;left:0;text-align:left;margin-left:808.6pt;margin-top:-1.85pt;width:859.8pt;height:33.75pt;z-index:-2516418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" filled="f" stroked="f">
              <v:textbox>
                <w:txbxContent>
                  <w:p w:rsidR="00122183" w:rsidRPr="00F71230" w:rsidRDefault="00122183" w:rsidP="00122183">
                    <w:pPr>
                      <w:ind w:left="709"/>
                      <w:jc w:val="center"/>
                      <w:rPr>
                        <w:rFonts w:cs="Arial"/>
                        <w:color w:val="365F91" w:themeColor="accent1" w:themeShade="BF"/>
                        <w:sz w:val="20"/>
                        <w:szCs w:val="20"/>
                      </w:rPr>
                    </w:pPr>
                    <w:r w:rsidRPr="00F71230">
                      <w:rPr>
                        <w:rFonts w:cs="Arial"/>
                        <w:sz w:val="20"/>
                        <w:szCs w:val="20"/>
                      </w:rPr>
                      <w:t>OFFICIAL</w:t>
                    </w:r>
                  </w:p>
                  <w:p w:rsidR="006C7262" w:rsidRPr="00A158D8" w:rsidRDefault="006C7262" w:rsidP="00A158D8">
                    <w:pPr>
                      <w:ind w:left="709"/>
                      <w:rPr>
                        <w:rFonts w:asciiTheme="minorHAnsi" w:hAnsiTheme="minorHAnsi"/>
                        <w:b/>
                        <w:color w:val="365F91" w:themeColor="accent1" w:themeShade="BF"/>
                        <w:sz w:val="24"/>
                      </w:rPr>
                    </w:pPr>
                  </w:p>
                </w:txbxContent>
              </v:textbox>
              <w10:wrap anchorx="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262" w:rsidRDefault="006C726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1EC" w:rsidRDefault="00D651EC">
    <w:pPr>
      <w:pStyle w:val="Header"/>
    </w:pPr>
    <w:r w:rsidRPr="005971EA">
      <w:rPr>
        <w:rFonts w:cs="Arial"/>
        <w:b/>
        <w:bCs/>
        <w:noProof/>
        <w:color w:val="002D56"/>
        <w:sz w:val="36"/>
        <w:szCs w:val="36"/>
      </w:rPr>
      <mc:AlternateContent>
        <mc:Choice Requires="wps">
          <w:drawing>
            <wp:anchor distT="0" distB="0" distL="114300" distR="114300" simplePos="0" relativeHeight="251676672" behindDoc="1" locked="0" layoutInCell="1" allowOverlap="1" wp14:anchorId="32C4EA53" wp14:editId="475E416D">
              <wp:simplePos x="0" y="0"/>
              <wp:positionH relativeFrom="page">
                <wp:align>right</wp:align>
              </wp:positionH>
              <wp:positionV relativeFrom="paragraph">
                <wp:posOffset>-23495</wp:posOffset>
              </wp:positionV>
              <wp:extent cx="10919460" cy="4286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9460" cy="428625"/>
                      </a:xfrm>
                      <a:prstGeom prst="rect">
                        <a:avLst/>
                      </a:prstGeom>
                      <a:noFill/>
                      <a:ln w="9525">
                        <a:noFill/>
                        <a:miter lim="800000"/>
                        <a:headEnd/>
                        <a:tailEnd/>
                      </a:ln>
                    </wps:spPr>
                    <wps:txbx>
                      <w:txbxContent>
                        <w:p w:rsidR="00D651EC" w:rsidRPr="00F71230" w:rsidRDefault="00D651EC" w:rsidP="00122183">
                          <w:pPr>
                            <w:ind w:left="709"/>
                            <w:jc w:val="center"/>
                            <w:rPr>
                              <w:rFonts w:cs="Arial"/>
                              <w:color w:val="365F91" w:themeColor="accent1" w:themeShade="BF"/>
                              <w:sz w:val="20"/>
                              <w:szCs w:val="20"/>
                            </w:rPr>
                          </w:pPr>
                          <w:r>
                            <w:rPr>
                              <w:rFonts w:cs="Arial"/>
                              <w:sz w:val="20"/>
                              <w:szCs w:val="20"/>
                            </w:rPr>
                            <w:t xml:space="preserve">                                                                                </w:t>
                          </w:r>
                          <w:r w:rsidRPr="00F71230">
                            <w:rPr>
                              <w:rFonts w:cs="Arial"/>
                              <w:sz w:val="20"/>
                              <w:szCs w:val="20"/>
                            </w:rPr>
                            <w:t>OFFICIAL</w:t>
                          </w:r>
                        </w:p>
                        <w:p w:rsidR="00D651EC" w:rsidRPr="00A158D8" w:rsidRDefault="00D651EC" w:rsidP="00A158D8">
                          <w:pPr>
                            <w:ind w:left="709"/>
                            <w:rPr>
                              <w:rFonts w:asciiTheme="minorHAnsi" w:hAnsiTheme="minorHAnsi"/>
                              <w:b/>
                              <w:color w:val="365F91" w:themeColor="accent1" w:themeShade="BF"/>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C4EA53" id="_x0000_t202" coordsize="21600,21600" o:spt="202" path="m,l,21600r21600,l21600,xe">
              <v:stroke joinstyle="miter"/>
              <v:path gradientshapeok="t" o:connecttype="rect"/>
            </v:shapetype>
            <v:shape id="_x0000_s1029" type="#_x0000_t202" style="position:absolute;left:0;text-align:left;margin-left:808.6pt;margin-top:-1.85pt;width:859.8pt;height:33.75pt;z-index:-2516398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" filled="f" stroked="f">
              <v:textbox>
                <w:txbxContent>
                  <w:p w:rsidR="00D651EC" w:rsidRPr="00F71230" w:rsidRDefault="00D651EC" w:rsidP="00122183">
                    <w:pPr>
                      <w:ind w:left="709"/>
                      <w:jc w:val="center"/>
                      <w:rPr>
                        <w:rFonts w:cs="Arial"/>
                        <w:color w:val="365F91" w:themeColor="accent1" w:themeShade="BF"/>
                        <w:sz w:val="20"/>
                        <w:szCs w:val="20"/>
                      </w:rPr>
                    </w:pPr>
                    <w:r>
                      <w:rPr>
                        <w:rFonts w:cs="Arial"/>
                        <w:sz w:val="20"/>
                        <w:szCs w:val="20"/>
                      </w:rPr>
                      <w:t xml:space="preserve">                                                                                </w:t>
                    </w:r>
                    <w:r w:rsidRPr="00F71230">
                      <w:rPr>
                        <w:rFonts w:cs="Arial"/>
                        <w:sz w:val="20"/>
                        <w:szCs w:val="20"/>
                      </w:rPr>
                      <w:t>OFFICIAL</w:t>
                    </w:r>
                  </w:p>
                  <w:p w:rsidR="00D651EC" w:rsidRPr="00A158D8" w:rsidRDefault="00D651EC" w:rsidP="00A158D8">
                    <w:pPr>
                      <w:ind w:left="709"/>
                      <w:rPr>
                        <w:rFonts w:asciiTheme="minorHAnsi" w:hAnsiTheme="minorHAnsi"/>
                        <w:b/>
                        <w:color w:val="365F91" w:themeColor="accent1" w:themeShade="BF"/>
                        <w:sz w:val="24"/>
                      </w:rPr>
                    </w:pPr>
                  </w:p>
                </w:txbxContent>
              </v:textbox>
              <w10:wrap anchorx="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1EC" w:rsidRDefault="00D651EC">
    <w:pPr>
      <w:pStyle w:val="Header"/>
    </w:pPr>
    <w:r w:rsidRPr="005971EA">
      <w:rPr>
        <w:rFonts w:cs="Arial"/>
        <w:b/>
        <w:bCs/>
        <w:noProof/>
        <w:color w:val="002D56"/>
        <w:sz w:val="36"/>
        <w:szCs w:val="36"/>
      </w:rPr>
      <mc:AlternateContent>
        <mc:Choice Requires="wps">
          <w:drawing>
            <wp:anchor distT="0" distB="0" distL="114300" distR="114300" simplePos="0" relativeHeight="251678720" behindDoc="1" locked="0" layoutInCell="1" allowOverlap="1" wp14:anchorId="5A4EFE58" wp14:editId="23806D08">
              <wp:simplePos x="0" y="0"/>
              <wp:positionH relativeFrom="page">
                <wp:align>right</wp:align>
              </wp:positionH>
              <wp:positionV relativeFrom="paragraph">
                <wp:posOffset>-23495</wp:posOffset>
              </wp:positionV>
              <wp:extent cx="10919460" cy="4286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9460" cy="428625"/>
                      </a:xfrm>
                      <a:prstGeom prst="rect">
                        <a:avLst/>
                      </a:prstGeom>
                      <a:noFill/>
                      <a:ln w="9525">
                        <a:noFill/>
                        <a:miter lim="800000"/>
                        <a:headEnd/>
                        <a:tailEnd/>
                      </a:ln>
                    </wps:spPr>
                    <wps:txbx>
                      <w:txbxContent>
                        <w:p w:rsidR="00D651EC" w:rsidRPr="00F71230" w:rsidRDefault="00D651EC" w:rsidP="00D651EC">
                          <w:pPr>
                            <w:ind w:left="7920"/>
                            <w:rPr>
                              <w:rFonts w:cs="Arial"/>
                              <w:color w:val="365F91" w:themeColor="accent1" w:themeShade="BF"/>
                              <w:sz w:val="20"/>
                              <w:szCs w:val="20"/>
                            </w:rPr>
                          </w:pPr>
                          <w:r>
                            <w:rPr>
                              <w:rFonts w:cs="Arial"/>
                              <w:sz w:val="20"/>
                              <w:szCs w:val="20"/>
                            </w:rPr>
                            <w:t xml:space="preserve">  </w:t>
                          </w:r>
                          <w:r w:rsidRPr="00F71230">
                            <w:rPr>
                              <w:rFonts w:cs="Arial"/>
                              <w:sz w:val="20"/>
                              <w:szCs w:val="20"/>
                            </w:rPr>
                            <w:t>OFFICIAL</w:t>
                          </w:r>
                        </w:p>
                        <w:p w:rsidR="00D651EC" w:rsidRPr="00A158D8" w:rsidRDefault="00D651EC" w:rsidP="00A158D8">
                          <w:pPr>
                            <w:ind w:left="709"/>
                            <w:rPr>
                              <w:rFonts w:asciiTheme="minorHAnsi" w:hAnsiTheme="minorHAnsi"/>
                              <w:b/>
                              <w:color w:val="365F91" w:themeColor="accent1" w:themeShade="BF"/>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EFE58" id="_x0000_t202" coordsize="21600,21600" o:spt="202" path="m,l,21600r21600,l21600,xe">
              <v:stroke joinstyle="miter"/>
              <v:path gradientshapeok="t" o:connecttype="rect"/>
            </v:shapetype>
            <v:shape id="_x0000_s1030" type="#_x0000_t202" style="position:absolute;left:0;text-align:left;margin-left:808.6pt;margin-top:-1.85pt;width:859.8pt;height:33.75pt;z-index:-2516377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" filled="f" stroked="f">
              <v:textbox>
                <w:txbxContent>
                  <w:p w:rsidR="00D651EC" w:rsidRPr="00F71230" w:rsidRDefault="00D651EC" w:rsidP="00D651EC">
                    <w:pPr>
                      <w:ind w:left="7920"/>
                      <w:rPr>
                        <w:rFonts w:cs="Arial"/>
                        <w:color w:val="365F91" w:themeColor="accent1" w:themeShade="BF"/>
                        <w:sz w:val="20"/>
                        <w:szCs w:val="20"/>
                      </w:rPr>
                    </w:pPr>
                    <w:r>
                      <w:rPr>
                        <w:rFonts w:cs="Arial"/>
                        <w:sz w:val="20"/>
                        <w:szCs w:val="20"/>
                      </w:rPr>
                      <w:t xml:space="preserve">  </w:t>
                    </w:r>
                    <w:r w:rsidRPr="00F71230">
                      <w:rPr>
                        <w:rFonts w:cs="Arial"/>
                        <w:sz w:val="20"/>
                        <w:szCs w:val="20"/>
                      </w:rPr>
                      <w:t>OFFICIAL</w:t>
                    </w:r>
                  </w:p>
                  <w:p w:rsidR="00D651EC" w:rsidRPr="00A158D8" w:rsidRDefault="00D651EC" w:rsidP="00A158D8">
                    <w:pPr>
                      <w:ind w:left="709"/>
                      <w:rPr>
                        <w:rFonts w:asciiTheme="minorHAnsi" w:hAnsiTheme="minorHAnsi"/>
                        <w:b/>
                        <w:color w:val="365F91" w:themeColor="accent1" w:themeShade="BF"/>
                        <w:sz w:val="24"/>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16525"/>
    <w:multiLevelType w:val="hybridMultilevel"/>
    <w:tmpl w:val="0590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42BA3"/>
    <w:multiLevelType w:val="hybridMultilevel"/>
    <w:tmpl w:val="B936E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433FD"/>
    <w:multiLevelType w:val="hybridMultilevel"/>
    <w:tmpl w:val="2C260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B76FE"/>
    <w:multiLevelType w:val="hybridMultilevel"/>
    <w:tmpl w:val="704A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270A59"/>
    <w:multiLevelType w:val="multilevel"/>
    <w:tmpl w:val="9750805C"/>
    <w:lvl w:ilvl="0">
      <w:start w:val="1"/>
      <w:numFmt w:val="decimal"/>
      <w:pStyle w:val="Heading1"/>
      <w:lvlText w:val="%1."/>
      <w:lvlJc w:val="left"/>
      <w:pPr>
        <w:ind w:left="644" w:hanging="360"/>
      </w:pPr>
      <w:rPr>
        <w:rFonts w:hint="default"/>
        <w:i w:val="0"/>
        <w:color w:val="000000" w:themeColor="text1"/>
        <w:sz w:val="48"/>
        <w:szCs w:val="28"/>
      </w:rPr>
    </w:lvl>
    <w:lvl w:ilvl="1">
      <w:start w:val="1"/>
      <w:numFmt w:val="decimal"/>
      <w:pStyle w:val="Heading2"/>
      <w:lvlText w:val="%1.%2"/>
      <w:lvlJc w:val="left"/>
      <w:pPr>
        <w:ind w:left="576" w:hanging="576"/>
      </w:pPr>
      <w:rPr>
        <w:i w:val="0"/>
        <w:color w:val="auto"/>
        <w:sz w:val="40"/>
        <w:szCs w:val="40"/>
      </w:rPr>
    </w:lvl>
    <w:lvl w:ilvl="2">
      <w:start w:val="1"/>
      <w:numFmt w:val="decimal"/>
      <w:pStyle w:val="Heading3"/>
      <w:lvlText w:val="%1.%2.%3"/>
      <w:lvlJc w:val="left"/>
      <w:pPr>
        <w:ind w:left="1004" w:hanging="720"/>
      </w:pPr>
      <w:rPr>
        <w:b/>
        <w:sz w:val="24"/>
        <w:szCs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80E20B9"/>
    <w:multiLevelType w:val="hybridMultilevel"/>
    <w:tmpl w:val="AA68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4D6EE6"/>
    <w:multiLevelType w:val="multilevel"/>
    <w:tmpl w:val="6B6456FA"/>
    <w:styleLink w:val="111111"/>
    <w:lvl w:ilvl="0">
      <w:start w:val="1"/>
      <w:numFmt w:val="decimal"/>
      <w:lvlText w:val="%1.0"/>
      <w:lvlJc w:val="left"/>
      <w:pPr>
        <w:tabs>
          <w:tab w:val="num" w:pos="851"/>
        </w:tabs>
        <w:ind w:left="851" w:hanging="491"/>
      </w:pPr>
      <w:rPr>
        <w:rFonts w:hint="default"/>
        <w:sz w:val="24"/>
        <w:szCs w:val="24"/>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008"/>
        </w:tabs>
        <w:ind w:left="1576"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 w15:restartNumberingAfterBreak="0">
    <w:nsid w:val="46A279B3"/>
    <w:multiLevelType w:val="multilevel"/>
    <w:tmpl w:val="316E960E"/>
    <w:lvl w:ilvl="0">
      <w:start w:val="1"/>
      <w:numFmt w:val="decimal"/>
      <w:lvlText w:val="%1.0"/>
      <w:lvlJc w:val="left"/>
      <w:pPr>
        <w:ind w:left="720" w:hanging="720"/>
      </w:pPr>
      <w:rPr>
        <w:strike w:val="0"/>
        <w:dstrike w:val="0"/>
        <w:u w:val="none"/>
        <w:effect w:val="none"/>
      </w:rPr>
    </w:lvl>
    <w:lvl w:ilvl="1">
      <w:start w:val="1"/>
      <w:numFmt w:val="decimal"/>
      <w:lvlText w:val="%1.%2"/>
      <w:lvlJc w:val="left"/>
      <w:pPr>
        <w:ind w:left="1440" w:hanging="720"/>
      </w:pPr>
      <w:rPr>
        <w:strike w:val="0"/>
        <w:dstrike w:val="0"/>
        <w:u w:val="none"/>
        <w:effect w:val="none"/>
      </w:rPr>
    </w:lvl>
    <w:lvl w:ilvl="2">
      <w:start w:val="1"/>
      <w:numFmt w:val="decimal"/>
      <w:lvlText w:val="%1.%2.%3"/>
      <w:lvlJc w:val="left"/>
      <w:pPr>
        <w:ind w:left="2160" w:hanging="720"/>
      </w:pPr>
      <w:rPr>
        <w:strike w:val="0"/>
        <w:dstrike w:val="0"/>
        <w:u w:val="none"/>
        <w:effect w:val="none"/>
      </w:rPr>
    </w:lvl>
    <w:lvl w:ilvl="3">
      <w:start w:val="1"/>
      <w:numFmt w:val="decimal"/>
      <w:lvlText w:val="%1.%2.%3.%4"/>
      <w:lvlJc w:val="left"/>
      <w:pPr>
        <w:ind w:left="3240" w:hanging="1080"/>
      </w:pPr>
      <w:rPr>
        <w:strike w:val="0"/>
        <w:dstrike w:val="0"/>
        <w:u w:val="none"/>
        <w:effect w:val="none"/>
      </w:rPr>
    </w:lvl>
    <w:lvl w:ilvl="4">
      <w:start w:val="1"/>
      <w:numFmt w:val="decimal"/>
      <w:lvlText w:val="%1.%2.%3.%4.%5"/>
      <w:lvlJc w:val="left"/>
      <w:pPr>
        <w:ind w:left="3960" w:hanging="1080"/>
      </w:pPr>
      <w:rPr>
        <w:strike w:val="0"/>
        <w:dstrike w:val="0"/>
        <w:u w:val="none"/>
        <w:effect w:val="none"/>
      </w:rPr>
    </w:lvl>
    <w:lvl w:ilvl="5">
      <w:start w:val="1"/>
      <w:numFmt w:val="decimal"/>
      <w:lvlText w:val="%1.%2.%3.%4.%5.%6"/>
      <w:lvlJc w:val="left"/>
      <w:pPr>
        <w:ind w:left="5040" w:hanging="1440"/>
      </w:pPr>
      <w:rPr>
        <w:strike w:val="0"/>
        <w:dstrike w:val="0"/>
        <w:u w:val="none"/>
        <w:effect w:val="none"/>
      </w:rPr>
    </w:lvl>
    <w:lvl w:ilvl="6">
      <w:start w:val="1"/>
      <w:numFmt w:val="decimal"/>
      <w:lvlText w:val="%1.%2.%3.%4.%5.%6.%7"/>
      <w:lvlJc w:val="left"/>
      <w:pPr>
        <w:ind w:left="5760" w:hanging="1440"/>
      </w:pPr>
      <w:rPr>
        <w:strike w:val="0"/>
        <w:dstrike w:val="0"/>
        <w:u w:val="none"/>
        <w:effect w:val="none"/>
      </w:rPr>
    </w:lvl>
    <w:lvl w:ilvl="7">
      <w:start w:val="1"/>
      <w:numFmt w:val="decimal"/>
      <w:lvlText w:val="%1.%2.%3.%4.%5.%6.%7.%8"/>
      <w:lvlJc w:val="left"/>
      <w:pPr>
        <w:ind w:left="6840" w:hanging="1800"/>
      </w:pPr>
      <w:rPr>
        <w:strike w:val="0"/>
        <w:dstrike w:val="0"/>
        <w:u w:val="none"/>
        <w:effect w:val="none"/>
      </w:rPr>
    </w:lvl>
    <w:lvl w:ilvl="8">
      <w:start w:val="1"/>
      <w:numFmt w:val="decimal"/>
      <w:lvlText w:val="%1.%2.%3.%4.%5.%6.%7.%8.%9"/>
      <w:lvlJc w:val="left"/>
      <w:pPr>
        <w:ind w:left="7560" w:hanging="1800"/>
      </w:pPr>
      <w:rPr>
        <w:strike w:val="0"/>
        <w:dstrike w:val="0"/>
        <w:u w:val="none"/>
        <w:effect w:val="none"/>
      </w:rPr>
    </w:lvl>
  </w:abstractNum>
  <w:abstractNum w:abstractNumId="8" w15:restartNumberingAfterBreak="0">
    <w:nsid w:val="61E9746B"/>
    <w:multiLevelType w:val="hybridMultilevel"/>
    <w:tmpl w:val="E9AE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590E9D"/>
    <w:multiLevelType w:val="hybridMultilevel"/>
    <w:tmpl w:val="B4C2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FC093C"/>
    <w:multiLevelType w:val="hybridMultilevel"/>
    <w:tmpl w:val="E026B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84F2B"/>
    <w:multiLevelType w:val="multilevel"/>
    <w:tmpl w:val="A9EC52E2"/>
    <w:lvl w:ilvl="0">
      <w:start w:val="1"/>
      <w:numFmt w:val="decimal"/>
      <w:pStyle w:val="StyleBodyText12pt"/>
      <w:lvlText w:val="%1."/>
      <w:lvlJc w:val="left"/>
      <w:pPr>
        <w:tabs>
          <w:tab w:val="num" w:pos="432"/>
        </w:tabs>
        <w:ind w:left="432" w:hanging="432"/>
      </w:pPr>
      <w:rPr>
        <w:rFonts w:ascii="Arial" w:hAnsi="Arial" w:hint="default"/>
        <w:b/>
        <w:i w:val="0"/>
        <w:sz w:val="24"/>
        <w:szCs w:val="24"/>
      </w:rPr>
    </w:lvl>
    <w:lvl w:ilvl="1">
      <w:numFmt w:val="decimal"/>
      <w:pStyle w:val="BodyText"/>
      <w:lvlText w:val="%1.%2"/>
      <w:lvlJc w:val="left"/>
      <w:pPr>
        <w:tabs>
          <w:tab w:val="num" w:pos="576"/>
        </w:tabs>
        <w:ind w:left="576" w:hanging="576"/>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C0E00C0"/>
    <w:multiLevelType w:val="hybridMultilevel"/>
    <w:tmpl w:val="2618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1C0FAE"/>
    <w:multiLevelType w:val="hybridMultilevel"/>
    <w:tmpl w:val="4E068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13"/>
  </w:num>
  <w:num w:numId="8">
    <w:abstractNumId w:val="9"/>
  </w:num>
  <w:num w:numId="9">
    <w:abstractNumId w:val="8"/>
  </w:num>
  <w:num w:numId="10">
    <w:abstractNumId w:val="1"/>
  </w:num>
  <w:num w:numId="11">
    <w:abstractNumId w:val="5"/>
  </w:num>
  <w:num w:numId="12">
    <w:abstractNumId w:val="0"/>
  </w:num>
  <w:num w:numId="13">
    <w:abstractNumId w:val="12"/>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ED"/>
    <w:rsid w:val="00000488"/>
    <w:rsid w:val="00000707"/>
    <w:rsid w:val="00002477"/>
    <w:rsid w:val="00002764"/>
    <w:rsid w:val="000033A1"/>
    <w:rsid w:val="00003767"/>
    <w:rsid w:val="0000664D"/>
    <w:rsid w:val="00006953"/>
    <w:rsid w:val="00010F38"/>
    <w:rsid w:val="000121AD"/>
    <w:rsid w:val="000128F3"/>
    <w:rsid w:val="0001350C"/>
    <w:rsid w:val="00014638"/>
    <w:rsid w:val="00014CF2"/>
    <w:rsid w:val="00014D47"/>
    <w:rsid w:val="00015517"/>
    <w:rsid w:val="000163C4"/>
    <w:rsid w:val="000175F8"/>
    <w:rsid w:val="00020237"/>
    <w:rsid w:val="0002195F"/>
    <w:rsid w:val="00024B15"/>
    <w:rsid w:val="00026538"/>
    <w:rsid w:val="00026A02"/>
    <w:rsid w:val="00027207"/>
    <w:rsid w:val="00027AAA"/>
    <w:rsid w:val="00030890"/>
    <w:rsid w:val="00030A9A"/>
    <w:rsid w:val="00030FEF"/>
    <w:rsid w:val="00031880"/>
    <w:rsid w:val="000327BC"/>
    <w:rsid w:val="000338F2"/>
    <w:rsid w:val="00033BB7"/>
    <w:rsid w:val="00034AD1"/>
    <w:rsid w:val="0003698A"/>
    <w:rsid w:val="00036E1C"/>
    <w:rsid w:val="000373B8"/>
    <w:rsid w:val="00041910"/>
    <w:rsid w:val="000426D2"/>
    <w:rsid w:val="00042C68"/>
    <w:rsid w:val="00043457"/>
    <w:rsid w:val="00043DA9"/>
    <w:rsid w:val="000443B4"/>
    <w:rsid w:val="000443F1"/>
    <w:rsid w:val="00044447"/>
    <w:rsid w:val="00045471"/>
    <w:rsid w:val="00046656"/>
    <w:rsid w:val="00047487"/>
    <w:rsid w:val="00052678"/>
    <w:rsid w:val="00052D5B"/>
    <w:rsid w:val="0005344F"/>
    <w:rsid w:val="00055A45"/>
    <w:rsid w:val="000573B0"/>
    <w:rsid w:val="000600A4"/>
    <w:rsid w:val="000613B7"/>
    <w:rsid w:val="00062D53"/>
    <w:rsid w:val="000630EE"/>
    <w:rsid w:val="000635F7"/>
    <w:rsid w:val="00063C3D"/>
    <w:rsid w:val="00063E82"/>
    <w:rsid w:val="00064EE5"/>
    <w:rsid w:val="00064F9E"/>
    <w:rsid w:val="0006514C"/>
    <w:rsid w:val="00065B7F"/>
    <w:rsid w:val="00066105"/>
    <w:rsid w:val="00067275"/>
    <w:rsid w:val="0006741F"/>
    <w:rsid w:val="0007136C"/>
    <w:rsid w:val="00072B81"/>
    <w:rsid w:val="00072BC7"/>
    <w:rsid w:val="000741CF"/>
    <w:rsid w:val="00076646"/>
    <w:rsid w:val="0007782A"/>
    <w:rsid w:val="000779A1"/>
    <w:rsid w:val="00077CA2"/>
    <w:rsid w:val="000805D9"/>
    <w:rsid w:val="00080A8F"/>
    <w:rsid w:val="00081B4C"/>
    <w:rsid w:val="00083234"/>
    <w:rsid w:val="000835D1"/>
    <w:rsid w:val="00084732"/>
    <w:rsid w:val="00085E3C"/>
    <w:rsid w:val="0008639E"/>
    <w:rsid w:val="000863BF"/>
    <w:rsid w:val="00086D9D"/>
    <w:rsid w:val="00087AB4"/>
    <w:rsid w:val="00093710"/>
    <w:rsid w:val="00094A94"/>
    <w:rsid w:val="00095449"/>
    <w:rsid w:val="000974F5"/>
    <w:rsid w:val="00097E44"/>
    <w:rsid w:val="00097EA4"/>
    <w:rsid w:val="000A0D45"/>
    <w:rsid w:val="000A0FE4"/>
    <w:rsid w:val="000A2C18"/>
    <w:rsid w:val="000A328C"/>
    <w:rsid w:val="000A3DE3"/>
    <w:rsid w:val="000A42AE"/>
    <w:rsid w:val="000A6693"/>
    <w:rsid w:val="000A71C0"/>
    <w:rsid w:val="000A7D2D"/>
    <w:rsid w:val="000B143E"/>
    <w:rsid w:val="000B2524"/>
    <w:rsid w:val="000B301C"/>
    <w:rsid w:val="000B39E7"/>
    <w:rsid w:val="000B5FB6"/>
    <w:rsid w:val="000B6354"/>
    <w:rsid w:val="000C028A"/>
    <w:rsid w:val="000C0969"/>
    <w:rsid w:val="000C239D"/>
    <w:rsid w:val="000C27C1"/>
    <w:rsid w:val="000C2BB0"/>
    <w:rsid w:val="000C3233"/>
    <w:rsid w:val="000C37BD"/>
    <w:rsid w:val="000C3983"/>
    <w:rsid w:val="000C52CD"/>
    <w:rsid w:val="000C5BBA"/>
    <w:rsid w:val="000C5F29"/>
    <w:rsid w:val="000C6928"/>
    <w:rsid w:val="000D1295"/>
    <w:rsid w:val="000D25F2"/>
    <w:rsid w:val="000D2939"/>
    <w:rsid w:val="000D32D2"/>
    <w:rsid w:val="000D3FF3"/>
    <w:rsid w:val="000D441D"/>
    <w:rsid w:val="000D4707"/>
    <w:rsid w:val="000E0D87"/>
    <w:rsid w:val="000E0F61"/>
    <w:rsid w:val="000E157F"/>
    <w:rsid w:val="000E1B25"/>
    <w:rsid w:val="000E4476"/>
    <w:rsid w:val="000E4A7F"/>
    <w:rsid w:val="000E4C7A"/>
    <w:rsid w:val="000E5C9B"/>
    <w:rsid w:val="000E7AEB"/>
    <w:rsid w:val="000F062E"/>
    <w:rsid w:val="000F0AF2"/>
    <w:rsid w:val="000F1F65"/>
    <w:rsid w:val="000F48C5"/>
    <w:rsid w:val="000F5151"/>
    <w:rsid w:val="000F61FB"/>
    <w:rsid w:val="000F6291"/>
    <w:rsid w:val="000F6494"/>
    <w:rsid w:val="000F7924"/>
    <w:rsid w:val="00101C5E"/>
    <w:rsid w:val="00101F4E"/>
    <w:rsid w:val="001032C3"/>
    <w:rsid w:val="001035D5"/>
    <w:rsid w:val="00104AB8"/>
    <w:rsid w:val="0010503F"/>
    <w:rsid w:val="00105058"/>
    <w:rsid w:val="001056BA"/>
    <w:rsid w:val="001058C7"/>
    <w:rsid w:val="00106CEB"/>
    <w:rsid w:val="001104E5"/>
    <w:rsid w:val="001117AD"/>
    <w:rsid w:val="00111D9C"/>
    <w:rsid w:val="00113794"/>
    <w:rsid w:val="00114374"/>
    <w:rsid w:val="00114D44"/>
    <w:rsid w:val="001150DC"/>
    <w:rsid w:val="0011737B"/>
    <w:rsid w:val="00117AFF"/>
    <w:rsid w:val="00120719"/>
    <w:rsid w:val="001220EB"/>
    <w:rsid w:val="00122183"/>
    <w:rsid w:val="00122456"/>
    <w:rsid w:val="00122667"/>
    <w:rsid w:val="001230D6"/>
    <w:rsid w:val="0012368E"/>
    <w:rsid w:val="00123EA8"/>
    <w:rsid w:val="00123F88"/>
    <w:rsid w:val="001240A2"/>
    <w:rsid w:val="00124BBC"/>
    <w:rsid w:val="00125377"/>
    <w:rsid w:val="00126487"/>
    <w:rsid w:val="001305C7"/>
    <w:rsid w:val="001318C9"/>
    <w:rsid w:val="0013213D"/>
    <w:rsid w:val="001327A2"/>
    <w:rsid w:val="00135216"/>
    <w:rsid w:val="00135443"/>
    <w:rsid w:val="0013597C"/>
    <w:rsid w:val="00135F85"/>
    <w:rsid w:val="001363C8"/>
    <w:rsid w:val="00136F9C"/>
    <w:rsid w:val="001372AB"/>
    <w:rsid w:val="00137F6C"/>
    <w:rsid w:val="00140F21"/>
    <w:rsid w:val="001435AA"/>
    <w:rsid w:val="001436ED"/>
    <w:rsid w:val="00144FE0"/>
    <w:rsid w:val="00145520"/>
    <w:rsid w:val="00145B1E"/>
    <w:rsid w:val="00145C8C"/>
    <w:rsid w:val="00145F34"/>
    <w:rsid w:val="001462D3"/>
    <w:rsid w:val="00146B82"/>
    <w:rsid w:val="001474E1"/>
    <w:rsid w:val="00147960"/>
    <w:rsid w:val="00147F07"/>
    <w:rsid w:val="00150B71"/>
    <w:rsid w:val="001518B9"/>
    <w:rsid w:val="001522C3"/>
    <w:rsid w:val="001524F4"/>
    <w:rsid w:val="0015443F"/>
    <w:rsid w:val="00154A37"/>
    <w:rsid w:val="00154B05"/>
    <w:rsid w:val="001550BA"/>
    <w:rsid w:val="00155187"/>
    <w:rsid w:val="0015615D"/>
    <w:rsid w:val="001573DF"/>
    <w:rsid w:val="001577F5"/>
    <w:rsid w:val="001578A3"/>
    <w:rsid w:val="001600FB"/>
    <w:rsid w:val="00160636"/>
    <w:rsid w:val="00160FF9"/>
    <w:rsid w:val="001625E1"/>
    <w:rsid w:val="00163C97"/>
    <w:rsid w:val="00164EA0"/>
    <w:rsid w:val="00166166"/>
    <w:rsid w:val="00167E1B"/>
    <w:rsid w:val="00170AC1"/>
    <w:rsid w:val="00171E41"/>
    <w:rsid w:val="001723D5"/>
    <w:rsid w:val="00172C19"/>
    <w:rsid w:val="00172C21"/>
    <w:rsid w:val="0017444B"/>
    <w:rsid w:val="001809F0"/>
    <w:rsid w:val="00181412"/>
    <w:rsid w:val="00182F9A"/>
    <w:rsid w:val="001832C3"/>
    <w:rsid w:val="0018448D"/>
    <w:rsid w:val="00186961"/>
    <w:rsid w:val="00187740"/>
    <w:rsid w:val="0018790D"/>
    <w:rsid w:val="00187BC6"/>
    <w:rsid w:val="001908A8"/>
    <w:rsid w:val="001930A2"/>
    <w:rsid w:val="00193354"/>
    <w:rsid w:val="00196F17"/>
    <w:rsid w:val="00197BF9"/>
    <w:rsid w:val="001A0CE5"/>
    <w:rsid w:val="001A14BD"/>
    <w:rsid w:val="001A1991"/>
    <w:rsid w:val="001A33A9"/>
    <w:rsid w:val="001A37F4"/>
    <w:rsid w:val="001A46F1"/>
    <w:rsid w:val="001A5046"/>
    <w:rsid w:val="001A5920"/>
    <w:rsid w:val="001A5B25"/>
    <w:rsid w:val="001A5BA4"/>
    <w:rsid w:val="001A620B"/>
    <w:rsid w:val="001A6D67"/>
    <w:rsid w:val="001A71CE"/>
    <w:rsid w:val="001B0000"/>
    <w:rsid w:val="001B05E8"/>
    <w:rsid w:val="001B1003"/>
    <w:rsid w:val="001B1D38"/>
    <w:rsid w:val="001B21E7"/>
    <w:rsid w:val="001B2A0F"/>
    <w:rsid w:val="001B30DC"/>
    <w:rsid w:val="001B3DFD"/>
    <w:rsid w:val="001B4C24"/>
    <w:rsid w:val="001B503A"/>
    <w:rsid w:val="001B7C70"/>
    <w:rsid w:val="001C08FA"/>
    <w:rsid w:val="001C35EA"/>
    <w:rsid w:val="001C66EF"/>
    <w:rsid w:val="001C6B6B"/>
    <w:rsid w:val="001D02BD"/>
    <w:rsid w:val="001D0E20"/>
    <w:rsid w:val="001D2172"/>
    <w:rsid w:val="001D2409"/>
    <w:rsid w:val="001D2D7C"/>
    <w:rsid w:val="001D2F97"/>
    <w:rsid w:val="001D3A61"/>
    <w:rsid w:val="001D5374"/>
    <w:rsid w:val="001D56A6"/>
    <w:rsid w:val="001D6123"/>
    <w:rsid w:val="001D7C55"/>
    <w:rsid w:val="001E2E03"/>
    <w:rsid w:val="001E3791"/>
    <w:rsid w:val="001E4834"/>
    <w:rsid w:val="001E58DF"/>
    <w:rsid w:val="001E6992"/>
    <w:rsid w:val="001E7111"/>
    <w:rsid w:val="001E719A"/>
    <w:rsid w:val="001F0649"/>
    <w:rsid w:val="001F2334"/>
    <w:rsid w:val="001F2362"/>
    <w:rsid w:val="001F251F"/>
    <w:rsid w:val="001F2722"/>
    <w:rsid w:val="001F2E5F"/>
    <w:rsid w:val="001F2F70"/>
    <w:rsid w:val="001F33F9"/>
    <w:rsid w:val="001F3ECE"/>
    <w:rsid w:val="001F5633"/>
    <w:rsid w:val="001F5936"/>
    <w:rsid w:val="001F5D87"/>
    <w:rsid w:val="001F5E27"/>
    <w:rsid w:val="001F5FC0"/>
    <w:rsid w:val="001F7477"/>
    <w:rsid w:val="001F762C"/>
    <w:rsid w:val="001F7CC3"/>
    <w:rsid w:val="00200283"/>
    <w:rsid w:val="002003D0"/>
    <w:rsid w:val="00200CD0"/>
    <w:rsid w:val="0020132F"/>
    <w:rsid w:val="00202CE9"/>
    <w:rsid w:val="00203A22"/>
    <w:rsid w:val="00204626"/>
    <w:rsid w:val="002051B8"/>
    <w:rsid w:val="002054E6"/>
    <w:rsid w:val="00206D85"/>
    <w:rsid w:val="0020758C"/>
    <w:rsid w:val="00210729"/>
    <w:rsid w:val="00212088"/>
    <w:rsid w:val="002121CE"/>
    <w:rsid w:val="002133F3"/>
    <w:rsid w:val="002149E8"/>
    <w:rsid w:val="00214B5C"/>
    <w:rsid w:val="00217656"/>
    <w:rsid w:val="00221707"/>
    <w:rsid w:val="00223EAC"/>
    <w:rsid w:val="00224042"/>
    <w:rsid w:val="00225B8D"/>
    <w:rsid w:val="00227E7E"/>
    <w:rsid w:val="00230AB7"/>
    <w:rsid w:val="00232FC8"/>
    <w:rsid w:val="002359FB"/>
    <w:rsid w:val="00236386"/>
    <w:rsid w:val="00237913"/>
    <w:rsid w:val="00237F9B"/>
    <w:rsid w:val="00240228"/>
    <w:rsid w:val="002428E0"/>
    <w:rsid w:val="00242D1C"/>
    <w:rsid w:val="002430F4"/>
    <w:rsid w:val="0024352A"/>
    <w:rsid w:val="002439BB"/>
    <w:rsid w:val="00244691"/>
    <w:rsid w:val="00244999"/>
    <w:rsid w:val="002459BF"/>
    <w:rsid w:val="00245B2C"/>
    <w:rsid w:val="0024647F"/>
    <w:rsid w:val="0024699F"/>
    <w:rsid w:val="00250AD0"/>
    <w:rsid w:val="002515E0"/>
    <w:rsid w:val="002518C7"/>
    <w:rsid w:val="00253B39"/>
    <w:rsid w:val="00254440"/>
    <w:rsid w:val="00255811"/>
    <w:rsid w:val="00255E3A"/>
    <w:rsid w:val="00256497"/>
    <w:rsid w:val="00256851"/>
    <w:rsid w:val="00256B3A"/>
    <w:rsid w:val="00256DE4"/>
    <w:rsid w:val="00257347"/>
    <w:rsid w:val="00262FB3"/>
    <w:rsid w:val="0026393E"/>
    <w:rsid w:val="00263DAF"/>
    <w:rsid w:val="0026558D"/>
    <w:rsid w:val="00265FA2"/>
    <w:rsid w:val="002661DF"/>
    <w:rsid w:val="00267718"/>
    <w:rsid w:val="0027033E"/>
    <w:rsid w:val="002709FB"/>
    <w:rsid w:val="00270A1B"/>
    <w:rsid w:val="00270E41"/>
    <w:rsid w:val="002736D0"/>
    <w:rsid w:val="0027381B"/>
    <w:rsid w:val="002767F0"/>
    <w:rsid w:val="00277723"/>
    <w:rsid w:val="00280289"/>
    <w:rsid w:val="002818E0"/>
    <w:rsid w:val="00282C59"/>
    <w:rsid w:val="00284655"/>
    <w:rsid w:val="00284E94"/>
    <w:rsid w:val="0028520E"/>
    <w:rsid w:val="0028638D"/>
    <w:rsid w:val="00286607"/>
    <w:rsid w:val="00286F7B"/>
    <w:rsid w:val="0029078B"/>
    <w:rsid w:val="00291C34"/>
    <w:rsid w:val="00291E5D"/>
    <w:rsid w:val="002920A5"/>
    <w:rsid w:val="002962B2"/>
    <w:rsid w:val="00296960"/>
    <w:rsid w:val="00297EA1"/>
    <w:rsid w:val="002A1707"/>
    <w:rsid w:val="002A1E03"/>
    <w:rsid w:val="002A1F12"/>
    <w:rsid w:val="002A2134"/>
    <w:rsid w:val="002A2644"/>
    <w:rsid w:val="002A300A"/>
    <w:rsid w:val="002A407F"/>
    <w:rsid w:val="002A44E1"/>
    <w:rsid w:val="002A53EC"/>
    <w:rsid w:val="002A55C9"/>
    <w:rsid w:val="002A57FD"/>
    <w:rsid w:val="002A6CD9"/>
    <w:rsid w:val="002A6CFC"/>
    <w:rsid w:val="002B129F"/>
    <w:rsid w:val="002B1DF8"/>
    <w:rsid w:val="002B23C8"/>
    <w:rsid w:val="002B383B"/>
    <w:rsid w:val="002B44FF"/>
    <w:rsid w:val="002B4692"/>
    <w:rsid w:val="002B47F8"/>
    <w:rsid w:val="002B5656"/>
    <w:rsid w:val="002B6D0A"/>
    <w:rsid w:val="002C0662"/>
    <w:rsid w:val="002C22F8"/>
    <w:rsid w:val="002C31EE"/>
    <w:rsid w:val="002C365D"/>
    <w:rsid w:val="002C3B85"/>
    <w:rsid w:val="002C3BCA"/>
    <w:rsid w:val="002C3CEE"/>
    <w:rsid w:val="002C5274"/>
    <w:rsid w:val="002C677C"/>
    <w:rsid w:val="002C68B0"/>
    <w:rsid w:val="002C6B09"/>
    <w:rsid w:val="002C74DE"/>
    <w:rsid w:val="002D26B4"/>
    <w:rsid w:val="002D2E99"/>
    <w:rsid w:val="002D39E2"/>
    <w:rsid w:val="002D3F78"/>
    <w:rsid w:val="002D43B1"/>
    <w:rsid w:val="002D4903"/>
    <w:rsid w:val="002D4BEA"/>
    <w:rsid w:val="002D5703"/>
    <w:rsid w:val="002D5DF8"/>
    <w:rsid w:val="002D617C"/>
    <w:rsid w:val="002D7716"/>
    <w:rsid w:val="002D7A0E"/>
    <w:rsid w:val="002E0D09"/>
    <w:rsid w:val="002E151F"/>
    <w:rsid w:val="002E1793"/>
    <w:rsid w:val="002E1EE2"/>
    <w:rsid w:val="002E3661"/>
    <w:rsid w:val="002E4183"/>
    <w:rsid w:val="002E7872"/>
    <w:rsid w:val="002F0068"/>
    <w:rsid w:val="002F01A0"/>
    <w:rsid w:val="002F0981"/>
    <w:rsid w:val="002F2AB3"/>
    <w:rsid w:val="002F3AEC"/>
    <w:rsid w:val="002F46FC"/>
    <w:rsid w:val="002F483F"/>
    <w:rsid w:val="002F4957"/>
    <w:rsid w:val="002F568F"/>
    <w:rsid w:val="002F70D5"/>
    <w:rsid w:val="003007DB"/>
    <w:rsid w:val="00301219"/>
    <w:rsid w:val="0030141E"/>
    <w:rsid w:val="00301D49"/>
    <w:rsid w:val="003029FB"/>
    <w:rsid w:val="00303632"/>
    <w:rsid w:val="00304EA4"/>
    <w:rsid w:val="00306746"/>
    <w:rsid w:val="00306927"/>
    <w:rsid w:val="003070AD"/>
    <w:rsid w:val="00307413"/>
    <w:rsid w:val="00307FC2"/>
    <w:rsid w:val="0031018E"/>
    <w:rsid w:val="00310D69"/>
    <w:rsid w:val="00311D9E"/>
    <w:rsid w:val="003120AE"/>
    <w:rsid w:val="0031210D"/>
    <w:rsid w:val="00313865"/>
    <w:rsid w:val="0031432E"/>
    <w:rsid w:val="0031551B"/>
    <w:rsid w:val="00316B64"/>
    <w:rsid w:val="00316C08"/>
    <w:rsid w:val="00316D9A"/>
    <w:rsid w:val="0031749F"/>
    <w:rsid w:val="00317E5C"/>
    <w:rsid w:val="0032134F"/>
    <w:rsid w:val="003242E2"/>
    <w:rsid w:val="00324F7D"/>
    <w:rsid w:val="003251FD"/>
    <w:rsid w:val="003254ED"/>
    <w:rsid w:val="003259D2"/>
    <w:rsid w:val="00325BA9"/>
    <w:rsid w:val="00325EFA"/>
    <w:rsid w:val="00330C95"/>
    <w:rsid w:val="00330F92"/>
    <w:rsid w:val="0033120E"/>
    <w:rsid w:val="00331A4D"/>
    <w:rsid w:val="0033359C"/>
    <w:rsid w:val="003340A5"/>
    <w:rsid w:val="00337B95"/>
    <w:rsid w:val="0034000E"/>
    <w:rsid w:val="00340FA1"/>
    <w:rsid w:val="00342618"/>
    <w:rsid w:val="003426EA"/>
    <w:rsid w:val="00342D08"/>
    <w:rsid w:val="00343C76"/>
    <w:rsid w:val="00345828"/>
    <w:rsid w:val="00347084"/>
    <w:rsid w:val="0035027F"/>
    <w:rsid w:val="003502B8"/>
    <w:rsid w:val="00350D01"/>
    <w:rsid w:val="003529FE"/>
    <w:rsid w:val="00353083"/>
    <w:rsid w:val="003544FD"/>
    <w:rsid w:val="00354575"/>
    <w:rsid w:val="003545CF"/>
    <w:rsid w:val="003559E0"/>
    <w:rsid w:val="003564DD"/>
    <w:rsid w:val="0035661A"/>
    <w:rsid w:val="003571D7"/>
    <w:rsid w:val="003571DD"/>
    <w:rsid w:val="0035787C"/>
    <w:rsid w:val="00360243"/>
    <w:rsid w:val="00360330"/>
    <w:rsid w:val="00360FB2"/>
    <w:rsid w:val="003612AA"/>
    <w:rsid w:val="003619B6"/>
    <w:rsid w:val="00362C3F"/>
    <w:rsid w:val="00362C83"/>
    <w:rsid w:val="00362FC6"/>
    <w:rsid w:val="00363015"/>
    <w:rsid w:val="00363206"/>
    <w:rsid w:val="00363291"/>
    <w:rsid w:val="003637EF"/>
    <w:rsid w:val="00364075"/>
    <w:rsid w:val="00364DF5"/>
    <w:rsid w:val="0036650F"/>
    <w:rsid w:val="0036767E"/>
    <w:rsid w:val="00370CB3"/>
    <w:rsid w:val="00371010"/>
    <w:rsid w:val="003745EC"/>
    <w:rsid w:val="00374FCF"/>
    <w:rsid w:val="00376A66"/>
    <w:rsid w:val="00377F3B"/>
    <w:rsid w:val="0038011F"/>
    <w:rsid w:val="003804D1"/>
    <w:rsid w:val="00380CCD"/>
    <w:rsid w:val="00381BF6"/>
    <w:rsid w:val="00382938"/>
    <w:rsid w:val="003841F6"/>
    <w:rsid w:val="0038590B"/>
    <w:rsid w:val="0038693B"/>
    <w:rsid w:val="00387778"/>
    <w:rsid w:val="0038783E"/>
    <w:rsid w:val="00390EC4"/>
    <w:rsid w:val="0039101E"/>
    <w:rsid w:val="0039158A"/>
    <w:rsid w:val="00392B1A"/>
    <w:rsid w:val="003932D1"/>
    <w:rsid w:val="00393C72"/>
    <w:rsid w:val="00393FE2"/>
    <w:rsid w:val="00394955"/>
    <w:rsid w:val="00394B60"/>
    <w:rsid w:val="00395F6F"/>
    <w:rsid w:val="0039627F"/>
    <w:rsid w:val="003A0D27"/>
    <w:rsid w:val="003A1126"/>
    <w:rsid w:val="003A1E5E"/>
    <w:rsid w:val="003A25B5"/>
    <w:rsid w:val="003A3AD0"/>
    <w:rsid w:val="003A4DC7"/>
    <w:rsid w:val="003A6F52"/>
    <w:rsid w:val="003A70B8"/>
    <w:rsid w:val="003A7A1D"/>
    <w:rsid w:val="003A7A83"/>
    <w:rsid w:val="003B1F1D"/>
    <w:rsid w:val="003B2631"/>
    <w:rsid w:val="003B2C9F"/>
    <w:rsid w:val="003B49E7"/>
    <w:rsid w:val="003B4A87"/>
    <w:rsid w:val="003B4B46"/>
    <w:rsid w:val="003B5A11"/>
    <w:rsid w:val="003B6568"/>
    <w:rsid w:val="003B67F7"/>
    <w:rsid w:val="003B69BE"/>
    <w:rsid w:val="003B789F"/>
    <w:rsid w:val="003C2A86"/>
    <w:rsid w:val="003C463F"/>
    <w:rsid w:val="003C4BC8"/>
    <w:rsid w:val="003C4E5C"/>
    <w:rsid w:val="003C58EA"/>
    <w:rsid w:val="003C5A29"/>
    <w:rsid w:val="003D2B60"/>
    <w:rsid w:val="003D2E06"/>
    <w:rsid w:val="003D35B0"/>
    <w:rsid w:val="003D3690"/>
    <w:rsid w:val="003D4C82"/>
    <w:rsid w:val="003D700A"/>
    <w:rsid w:val="003D7059"/>
    <w:rsid w:val="003E0F02"/>
    <w:rsid w:val="003E0FF8"/>
    <w:rsid w:val="003E1286"/>
    <w:rsid w:val="003E1845"/>
    <w:rsid w:val="003E28CC"/>
    <w:rsid w:val="003E2AFF"/>
    <w:rsid w:val="003E3325"/>
    <w:rsid w:val="003E35FF"/>
    <w:rsid w:val="003E3C0B"/>
    <w:rsid w:val="003E489C"/>
    <w:rsid w:val="003E6220"/>
    <w:rsid w:val="003E6499"/>
    <w:rsid w:val="003E656B"/>
    <w:rsid w:val="003E6BAC"/>
    <w:rsid w:val="003E7AC3"/>
    <w:rsid w:val="003F0889"/>
    <w:rsid w:val="003F09DA"/>
    <w:rsid w:val="003F0ABF"/>
    <w:rsid w:val="003F3329"/>
    <w:rsid w:val="003F3342"/>
    <w:rsid w:val="003F3603"/>
    <w:rsid w:val="003F3AB0"/>
    <w:rsid w:val="003F470B"/>
    <w:rsid w:val="003F6392"/>
    <w:rsid w:val="004014ED"/>
    <w:rsid w:val="004018C5"/>
    <w:rsid w:val="00401E4B"/>
    <w:rsid w:val="00402760"/>
    <w:rsid w:val="00402C79"/>
    <w:rsid w:val="00402E69"/>
    <w:rsid w:val="00404756"/>
    <w:rsid w:val="00405367"/>
    <w:rsid w:val="00405AAA"/>
    <w:rsid w:val="00406042"/>
    <w:rsid w:val="00406050"/>
    <w:rsid w:val="00406084"/>
    <w:rsid w:val="004112B1"/>
    <w:rsid w:val="004122C3"/>
    <w:rsid w:val="00413703"/>
    <w:rsid w:val="00414884"/>
    <w:rsid w:val="004149AD"/>
    <w:rsid w:val="00414CDA"/>
    <w:rsid w:val="00414D0C"/>
    <w:rsid w:val="004155CD"/>
    <w:rsid w:val="00416120"/>
    <w:rsid w:val="00417AFE"/>
    <w:rsid w:val="00417C98"/>
    <w:rsid w:val="004211DB"/>
    <w:rsid w:val="00421CA9"/>
    <w:rsid w:val="00421F40"/>
    <w:rsid w:val="00424566"/>
    <w:rsid w:val="00425A09"/>
    <w:rsid w:val="00425EB8"/>
    <w:rsid w:val="00427D0E"/>
    <w:rsid w:val="0043028E"/>
    <w:rsid w:val="00430ABD"/>
    <w:rsid w:val="00430D26"/>
    <w:rsid w:val="00431684"/>
    <w:rsid w:val="00432028"/>
    <w:rsid w:val="00433B5F"/>
    <w:rsid w:val="004351D6"/>
    <w:rsid w:val="0043589A"/>
    <w:rsid w:val="00436548"/>
    <w:rsid w:val="00436DB4"/>
    <w:rsid w:val="00437E83"/>
    <w:rsid w:val="00440401"/>
    <w:rsid w:val="00440484"/>
    <w:rsid w:val="00441010"/>
    <w:rsid w:val="00441450"/>
    <w:rsid w:val="00441A47"/>
    <w:rsid w:val="00441F4C"/>
    <w:rsid w:val="00443506"/>
    <w:rsid w:val="004441D9"/>
    <w:rsid w:val="00444895"/>
    <w:rsid w:val="0044626E"/>
    <w:rsid w:val="0045177D"/>
    <w:rsid w:val="00452EB6"/>
    <w:rsid w:val="00453284"/>
    <w:rsid w:val="00453D4B"/>
    <w:rsid w:val="00453D75"/>
    <w:rsid w:val="004553B2"/>
    <w:rsid w:val="00456555"/>
    <w:rsid w:val="00456E39"/>
    <w:rsid w:val="00463F26"/>
    <w:rsid w:val="004644C9"/>
    <w:rsid w:val="00464AF7"/>
    <w:rsid w:val="00465424"/>
    <w:rsid w:val="00467D58"/>
    <w:rsid w:val="00470E33"/>
    <w:rsid w:val="00476297"/>
    <w:rsid w:val="00476A29"/>
    <w:rsid w:val="00476CE7"/>
    <w:rsid w:val="00477E28"/>
    <w:rsid w:val="00480DA3"/>
    <w:rsid w:val="004815AC"/>
    <w:rsid w:val="004816A8"/>
    <w:rsid w:val="00481B5A"/>
    <w:rsid w:val="00482FE2"/>
    <w:rsid w:val="00483280"/>
    <w:rsid w:val="0048544C"/>
    <w:rsid w:val="00486486"/>
    <w:rsid w:val="0048761C"/>
    <w:rsid w:val="00490299"/>
    <w:rsid w:val="00490AF8"/>
    <w:rsid w:val="00491079"/>
    <w:rsid w:val="0049191D"/>
    <w:rsid w:val="00492187"/>
    <w:rsid w:val="0049449F"/>
    <w:rsid w:val="004964D9"/>
    <w:rsid w:val="0049653E"/>
    <w:rsid w:val="00497C83"/>
    <w:rsid w:val="004A1637"/>
    <w:rsid w:val="004A1E35"/>
    <w:rsid w:val="004A384B"/>
    <w:rsid w:val="004A3D95"/>
    <w:rsid w:val="004A4955"/>
    <w:rsid w:val="004A558D"/>
    <w:rsid w:val="004A5773"/>
    <w:rsid w:val="004B007C"/>
    <w:rsid w:val="004B127F"/>
    <w:rsid w:val="004B1626"/>
    <w:rsid w:val="004B233D"/>
    <w:rsid w:val="004B2366"/>
    <w:rsid w:val="004B2FB1"/>
    <w:rsid w:val="004B3B91"/>
    <w:rsid w:val="004B4162"/>
    <w:rsid w:val="004B581C"/>
    <w:rsid w:val="004B5CC1"/>
    <w:rsid w:val="004B5CF5"/>
    <w:rsid w:val="004B754B"/>
    <w:rsid w:val="004B7B08"/>
    <w:rsid w:val="004B7B91"/>
    <w:rsid w:val="004C08D2"/>
    <w:rsid w:val="004C0AB7"/>
    <w:rsid w:val="004C0E5A"/>
    <w:rsid w:val="004C15FD"/>
    <w:rsid w:val="004C26C8"/>
    <w:rsid w:val="004C3179"/>
    <w:rsid w:val="004C3F1D"/>
    <w:rsid w:val="004C4287"/>
    <w:rsid w:val="004C429A"/>
    <w:rsid w:val="004C4D62"/>
    <w:rsid w:val="004C59F9"/>
    <w:rsid w:val="004C5C3C"/>
    <w:rsid w:val="004C5C70"/>
    <w:rsid w:val="004C5FC2"/>
    <w:rsid w:val="004C62CD"/>
    <w:rsid w:val="004C6E2F"/>
    <w:rsid w:val="004D02CA"/>
    <w:rsid w:val="004D03F4"/>
    <w:rsid w:val="004D0531"/>
    <w:rsid w:val="004D0DE3"/>
    <w:rsid w:val="004D121A"/>
    <w:rsid w:val="004D21F7"/>
    <w:rsid w:val="004D2973"/>
    <w:rsid w:val="004D2FD0"/>
    <w:rsid w:val="004D3EA1"/>
    <w:rsid w:val="004D40F0"/>
    <w:rsid w:val="004D4879"/>
    <w:rsid w:val="004D4C30"/>
    <w:rsid w:val="004D7BC9"/>
    <w:rsid w:val="004D7CA2"/>
    <w:rsid w:val="004E33E1"/>
    <w:rsid w:val="004E381B"/>
    <w:rsid w:val="004E48A6"/>
    <w:rsid w:val="004E5768"/>
    <w:rsid w:val="004E5FA1"/>
    <w:rsid w:val="004E6887"/>
    <w:rsid w:val="004E7409"/>
    <w:rsid w:val="004F012E"/>
    <w:rsid w:val="004F09EC"/>
    <w:rsid w:val="004F2481"/>
    <w:rsid w:val="004F2731"/>
    <w:rsid w:val="004F2993"/>
    <w:rsid w:val="004F34DD"/>
    <w:rsid w:val="004F40D6"/>
    <w:rsid w:val="004F4A4C"/>
    <w:rsid w:val="004F4C81"/>
    <w:rsid w:val="004F4D2F"/>
    <w:rsid w:val="004F67CE"/>
    <w:rsid w:val="004F6D46"/>
    <w:rsid w:val="004F713A"/>
    <w:rsid w:val="004F7598"/>
    <w:rsid w:val="004F762D"/>
    <w:rsid w:val="005012C0"/>
    <w:rsid w:val="00501591"/>
    <w:rsid w:val="0050181A"/>
    <w:rsid w:val="00501BCF"/>
    <w:rsid w:val="005020D9"/>
    <w:rsid w:val="00502717"/>
    <w:rsid w:val="00502CC2"/>
    <w:rsid w:val="005034D6"/>
    <w:rsid w:val="00503A28"/>
    <w:rsid w:val="005043EA"/>
    <w:rsid w:val="005047F3"/>
    <w:rsid w:val="005050CD"/>
    <w:rsid w:val="00506B6E"/>
    <w:rsid w:val="00507281"/>
    <w:rsid w:val="005074AE"/>
    <w:rsid w:val="005079B1"/>
    <w:rsid w:val="005079D4"/>
    <w:rsid w:val="005106AD"/>
    <w:rsid w:val="005119E1"/>
    <w:rsid w:val="00512A1A"/>
    <w:rsid w:val="005145E3"/>
    <w:rsid w:val="005155BC"/>
    <w:rsid w:val="005157E8"/>
    <w:rsid w:val="00516547"/>
    <w:rsid w:val="0051755B"/>
    <w:rsid w:val="00521413"/>
    <w:rsid w:val="0052151D"/>
    <w:rsid w:val="005215CF"/>
    <w:rsid w:val="00521BC4"/>
    <w:rsid w:val="0052428B"/>
    <w:rsid w:val="00524C2B"/>
    <w:rsid w:val="005254EE"/>
    <w:rsid w:val="00526EE7"/>
    <w:rsid w:val="00527440"/>
    <w:rsid w:val="00527A51"/>
    <w:rsid w:val="00531427"/>
    <w:rsid w:val="005345AD"/>
    <w:rsid w:val="00537647"/>
    <w:rsid w:val="00537C0B"/>
    <w:rsid w:val="005409B2"/>
    <w:rsid w:val="00541BDE"/>
    <w:rsid w:val="00541EA5"/>
    <w:rsid w:val="005423EE"/>
    <w:rsid w:val="005429B0"/>
    <w:rsid w:val="005432F2"/>
    <w:rsid w:val="005437C8"/>
    <w:rsid w:val="005440BE"/>
    <w:rsid w:val="00546B6B"/>
    <w:rsid w:val="005470B1"/>
    <w:rsid w:val="00547821"/>
    <w:rsid w:val="005479C0"/>
    <w:rsid w:val="00550932"/>
    <w:rsid w:val="005511B9"/>
    <w:rsid w:val="005519B5"/>
    <w:rsid w:val="00552125"/>
    <w:rsid w:val="00554A8E"/>
    <w:rsid w:val="005557CC"/>
    <w:rsid w:val="00556A0E"/>
    <w:rsid w:val="0055765E"/>
    <w:rsid w:val="00557B37"/>
    <w:rsid w:val="00557DDD"/>
    <w:rsid w:val="00560917"/>
    <w:rsid w:val="00561E9A"/>
    <w:rsid w:val="0056402F"/>
    <w:rsid w:val="005643D4"/>
    <w:rsid w:val="005655A7"/>
    <w:rsid w:val="0056614F"/>
    <w:rsid w:val="00570C9C"/>
    <w:rsid w:val="00572FDF"/>
    <w:rsid w:val="00574AEC"/>
    <w:rsid w:val="00576B2E"/>
    <w:rsid w:val="0057718A"/>
    <w:rsid w:val="00577B1A"/>
    <w:rsid w:val="005801F3"/>
    <w:rsid w:val="00580C25"/>
    <w:rsid w:val="005820AA"/>
    <w:rsid w:val="00586A9B"/>
    <w:rsid w:val="0058757B"/>
    <w:rsid w:val="005902F1"/>
    <w:rsid w:val="0059194C"/>
    <w:rsid w:val="00592C9C"/>
    <w:rsid w:val="0059302D"/>
    <w:rsid w:val="00593C0A"/>
    <w:rsid w:val="0059546A"/>
    <w:rsid w:val="0059586F"/>
    <w:rsid w:val="005A0C7B"/>
    <w:rsid w:val="005A2F65"/>
    <w:rsid w:val="005A30CB"/>
    <w:rsid w:val="005A54FF"/>
    <w:rsid w:val="005A5850"/>
    <w:rsid w:val="005A58FD"/>
    <w:rsid w:val="005A5A01"/>
    <w:rsid w:val="005A5B69"/>
    <w:rsid w:val="005A5F0A"/>
    <w:rsid w:val="005A7719"/>
    <w:rsid w:val="005B04D6"/>
    <w:rsid w:val="005B11A6"/>
    <w:rsid w:val="005B35E0"/>
    <w:rsid w:val="005B3924"/>
    <w:rsid w:val="005B40DB"/>
    <w:rsid w:val="005B6614"/>
    <w:rsid w:val="005B7035"/>
    <w:rsid w:val="005B711F"/>
    <w:rsid w:val="005C292D"/>
    <w:rsid w:val="005C3DBD"/>
    <w:rsid w:val="005C3DF3"/>
    <w:rsid w:val="005C4148"/>
    <w:rsid w:val="005C4334"/>
    <w:rsid w:val="005C4452"/>
    <w:rsid w:val="005C5803"/>
    <w:rsid w:val="005C5D48"/>
    <w:rsid w:val="005C6135"/>
    <w:rsid w:val="005C62A9"/>
    <w:rsid w:val="005C7226"/>
    <w:rsid w:val="005C7530"/>
    <w:rsid w:val="005C7F54"/>
    <w:rsid w:val="005D0502"/>
    <w:rsid w:val="005D1863"/>
    <w:rsid w:val="005D22E9"/>
    <w:rsid w:val="005D3548"/>
    <w:rsid w:val="005D3BAF"/>
    <w:rsid w:val="005D3E0E"/>
    <w:rsid w:val="005D4AAA"/>
    <w:rsid w:val="005D4E08"/>
    <w:rsid w:val="005D5EFB"/>
    <w:rsid w:val="005D6847"/>
    <w:rsid w:val="005E0F7D"/>
    <w:rsid w:val="005E2F4B"/>
    <w:rsid w:val="005E3D38"/>
    <w:rsid w:val="005E4698"/>
    <w:rsid w:val="005E4864"/>
    <w:rsid w:val="005E5E93"/>
    <w:rsid w:val="005E78FA"/>
    <w:rsid w:val="005F0209"/>
    <w:rsid w:val="005F14DD"/>
    <w:rsid w:val="005F44C7"/>
    <w:rsid w:val="005F5DDB"/>
    <w:rsid w:val="005F69D7"/>
    <w:rsid w:val="005F6C9D"/>
    <w:rsid w:val="005F75CF"/>
    <w:rsid w:val="005F7776"/>
    <w:rsid w:val="006006E5"/>
    <w:rsid w:val="00600BBC"/>
    <w:rsid w:val="0060186B"/>
    <w:rsid w:val="00601DC5"/>
    <w:rsid w:val="00605429"/>
    <w:rsid w:val="00605851"/>
    <w:rsid w:val="00605AED"/>
    <w:rsid w:val="00606489"/>
    <w:rsid w:val="00606B00"/>
    <w:rsid w:val="00607BC4"/>
    <w:rsid w:val="00610AA7"/>
    <w:rsid w:val="00611022"/>
    <w:rsid w:val="0061257B"/>
    <w:rsid w:val="006129F5"/>
    <w:rsid w:val="006139A2"/>
    <w:rsid w:val="00614029"/>
    <w:rsid w:val="006141F2"/>
    <w:rsid w:val="006149D7"/>
    <w:rsid w:val="00615061"/>
    <w:rsid w:val="0061507B"/>
    <w:rsid w:val="006203C0"/>
    <w:rsid w:val="006212C2"/>
    <w:rsid w:val="00623DCA"/>
    <w:rsid w:val="00624015"/>
    <w:rsid w:val="00626025"/>
    <w:rsid w:val="006261DF"/>
    <w:rsid w:val="0063167E"/>
    <w:rsid w:val="00631859"/>
    <w:rsid w:val="00631AD5"/>
    <w:rsid w:val="006330AA"/>
    <w:rsid w:val="0063327E"/>
    <w:rsid w:val="0063375C"/>
    <w:rsid w:val="00633E32"/>
    <w:rsid w:val="00636592"/>
    <w:rsid w:val="00636FA8"/>
    <w:rsid w:val="0063731B"/>
    <w:rsid w:val="00640FE8"/>
    <w:rsid w:val="0064173E"/>
    <w:rsid w:val="00641F3F"/>
    <w:rsid w:val="006420D6"/>
    <w:rsid w:val="00643454"/>
    <w:rsid w:val="0064453D"/>
    <w:rsid w:val="00644719"/>
    <w:rsid w:val="006449AE"/>
    <w:rsid w:val="00647DFD"/>
    <w:rsid w:val="00650ABA"/>
    <w:rsid w:val="006511C8"/>
    <w:rsid w:val="00651498"/>
    <w:rsid w:val="00653630"/>
    <w:rsid w:val="00654053"/>
    <w:rsid w:val="00655999"/>
    <w:rsid w:val="00656792"/>
    <w:rsid w:val="0065681A"/>
    <w:rsid w:val="0065695A"/>
    <w:rsid w:val="0065697D"/>
    <w:rsid w:val="00656B77"/>
    <w:rsid w:val="0066009E"/>
    <w:rsid w:val="0066049B"/>
    <w:rsid w:val="0066073D"/>
    <w:rsid w:val="0066106A"/>
    <w:rsid w:val="0066144E"/>
    <w:rsid w:val="006622AB"/>
    <w:rsid w:val="00662F6D"/>
    <w:rsid w:val="0066332D"/>
    <w:rsid w:val="00664E83"/>
    <w:rsid w:val="00664E8C"/>
    <w:rsid w:val="00665951"/>
    <w:rsid w:val="00665A6D"/>
    <w:rsid w:val="00665B3D"/>
    <w:rsid w:val="00665D99"/>
    <w:rsid w:val="00667F09"/>
    <w:rsid w:val="00670303"/>
    <w:rsid w:val="006709A5"/>
    <w:rsid w:val="00670BB9"/>
    <w:rsid w:val="00670C11"/>
    <w:rsid w:val="0067243F"/>
    <w:rsid w:val="00673576"/>
    <w:rsid w:val="006739E2"/>
    <w:rsid w:val="006746BC"/>
    <w:rsid w:val="00674D21"/>
    <w:rsid w:val="0067587B"/>
    <w:rsid w:val="00675FFD"/>
    <w:rsid w:val="006761DF"/>
    <w:rsid w:val="00676619"/>
    <w:rsid w:val="00676E27"/>
    <w:rsid w:val="00676F2F"/>
    <w:rsid w:val="00677615"/>
    <w:rsid w:val="00680375"/>
    <w:rsid w:val="00681242"/>
    <w:rsid w:val="00682262"/>
    <w:rsid w:val="0068271B"/>
    <w:rsid w:val="006837C7"/>
    <w:rsid w:val="00686D86"/>
    <w:rsid w:val="0068700E"/>
    <w:rsid w:val="00690011"/>
    <w:rsid w:val="006912DF"/>
    <w:rsid w:val="00691927"/>
    <w:rsid w:val="00693507"/>
    <w:rsid w:val="00694064"/>
    <w:rsid w:val="00694EA0"/>
    <w:rsid w:val="006951DC"/>
    <w:rsid w:val="00696595"/>
    <w:rsid w:val="00696C01"/>
    <w:rsid w:val="00697440"/>
    <w:rsid w:val="0069750E"/>
    <w:rsid w:val="00697E68"/>
    <w:rsid w:val="006A013C"/>
    <w:rsid w:val="006A1093"/>
    <w:rsid w:val="006A1C1E"/>
    <w:rsid w:val="006A234C"/>
    <w:rsid w:val="006A2E61"/>
    <w:rsid w:val="006A327D"/>
    <w:rsid w:val="006A391D"/>
    <w:rsid w:val="006A3C0E"/>
    <w:rsid w:val="006A56C0"/>
    <w:rsid w:val="006A5C97"/>
    <w:rsid w:val="006A61C6"/>
    <w:rsid w:val="006A6F98"/>
    <w:rsid w:val="006A78D3"/>
    <w:rsid w:val="006B03E1"/>
    <w:rsid w:val="006B106F"/>
    <w:rsid w:val="006B12F0"/>
    <w:rsid w:val="006B3AEA"/>
    <w:rsid w:val="006B3DC1"/>
    <w:rsid w:val="006B554F"/>
    <w:rsid w:val="006B5BA0"/>
    <w:rsid w:val="006B5F64"/>
    <w:rsid w:val="006B7675"/>
    <w:rsid w:val="006C1AE4"/>
    <w:rsid w:val="006C1C53"/>
    <w:rsid w:val="006C2158"/>
    <w:rsid w:val="006C2BD0"/>
    <w:rsid w:val="006C2DFD"/>
    <w:rsid w:val="006C3E80"/>
    <w:rsid w:val="006C4041"/>
    <w:rsid w:val="006C7262"/>
    <w:rsid w:val="006C76CC"/>
    <w:rsid w:val="006C78E1"/>
    <w:rsid w:val="006D0C9A"/>
    <w:rsid w:val="006D11B4"/>
    <w:rsid w:val="006D4628"/>
    <w:rsid w:val="006D5B03"/>
    <w:rsid w:val="006D6280"/>
    <w:rsid w:val="006D723A"/>
    <w:rsid w:val="006E0FD4"/>
    <w:rsid w:val="006E1838"/>
    <w:rsid w:val="006E1CA8"/>
    <w:rsid w:val="006E2093"/>
    <w:rsid w:val="006E2D91"/>
    <w:rsid w:val="006E2DF7"/>
    <w:rsid w:val="006E31AA"/>
    <w:rsid w:val="006E6A40"/>
    <w:rsid w:val="006E6DA6"/>
    <w:rsid w:val="006E6EF9"/>
    <w:rsid w:val="006E748E"/>
    <w:rsid w:val="006F00B8"/>
    <w:rsid w:val="006F1B58"/>
    <w:rsid w:val="006F1D55"/>
    <w:rsid w:val="006F291A"/>
    <w:rsid w:val="006F3FCE"/>
    <w:rsid w:val="006F5550"/>
    <w:rsid w:val="006F6832"/>
    <w:rsid w:val="006F73EF"/>
    <w:rsid w:val="00701A5C"/>
    <w:rsid w:val="00702C0A"/>
    <w:rsid w:val="0070394F"/>
    <w:rsid w:val="00704992"/>
    <w:rsid w:val="00705CA3"/>
    <w:rsid w:val="00705D3C"/>
    <w:rsid w:val="0070701F"/>
    <w:rsid w:val="00707579"/>
    <w:rsid w:val="00711A21"/>
    <w:rsid w:val="00713D4F"/>
    <w:rsid w:val="007140E2"/>
    <w:rsid w:val="007140EE"/>
    <w:rsid w:val="00716F53"/>
    <w:rsid w:val="00721770"/>
    <w:rsid w:val="00723B7B"/>
    <w:rsid w:val="00724266"/>
    <w:rsid w:val="0072448E"/>
    <w:rsid w:val="00725C80"/>
    <w:rsid w:val="00726981"/>
    <w:rsid w:val="00727C47"/>
    <w:rsid w:val="0073079C"/>
    <w:rsid w:val="007309BA"/>
    <w:rsid w:val="00730A99"/>
    <w:rsid w:val="0073111F"/>
    <w:rsid w:val="00732EB8"/>
    <w:rsid w:val="00732F09"/>
    <w:rsid w:val="00733C84"/>
    <w:rsid w:val="00733F07"/>
    <w:rsid w:val="00734207"/>
    <w:rsid w:val="00734999"/>
    <w:rsid w:val="00740339"/>
    <w:rsid w:val="00740DB7"/>
    <w:rsid w:val="00740DC1"/>
    <w:rsid w:val="0074176B"/>
    <w:rsid w:val="007419FC"/>
    <w:rsid w:val="007430C9"/>
    <w:rsid w:val="00743809"/>
    <w:rsid w:val="00743BE4"/>
    <w:rsid w:val="00745193"/>
    <w:rsid w:val="00745325"/>
    <w:rsid w:val="00745625"/>
    <w:rsid w:val="00746002"/>
    <w:rsid w:val="0074631A"/>
    <w:rsid w:val="00746379"/>
    <w:rsid w:val="0074765B"/>
    <w:rsid w:val="00747D37"/>
    <w:rsid w:val="00750295"/>
    <w:rsid w:val="00750824"/>
    <w:rsid w:val="00751400"/>
    <w:rsid w:val="00751BEA"/>
    <w:rsid w:val="00753167"/>
    <w:rsid w:val="007532D7"/>
    <w:rsid w:val="0075375E"/>
    <w:rsid w:val="007544E0"/>
    <w:rsid w:val="00755634"/>
    <w:rsid w:val="0075577F"/>
    <w:rsid w:val="0075619D"/>
    <w:rsid w:val="007566CF"/>
    <w:rsid w:val="0075731F"/>
    <w:rsid w:val="00760C22"/>
    <w:rsid w:val="00761C8E"/>
    <w:rsid w:val="00762545"/>
    <w:rsid w:val="00762E40"/>
    <w:rsid w:val="00762EC3"/>
    <w:rsid w:val="007632C3"/>
    <w:rsid w:val="00764371"/>
    <w:rsid w:val="00764E47"/>
    <w:rsid w:val="00764F31"/>
    <w:rsid w:val="0076570F"/>
    <w:rsid w:val="00766751"/>
    <w:rsid w:val="00767CCC"/>
    <w:rsid w:val="00767DDD"/>
    <w:rsid w:val="00770219"/>
    <w:rsid w:val="007709A2"/>
    <w:rsid w:val="007724EE"/>
    <w:rsid w:val="007727EE"/>
    <w:rsid w:val="00773427"/>
    <w:rsid w:val="0077386C"/>
    <w:rsid w:val="00773BED"/>
    <w:rsid w:val="0077476F"/>
    <w:rsid w:val="0077506F"/>
    <w:rsid w:val="00775A68"/>
    <w:rsid w:val="007772EC"/>
    <w:rsid w:val="007808F0"/>
    <w:rsid w:val="00780B2C"/>
    <w:rsid w:val="00781DD0"/>
    <w:rsid w:val="00782BB0"/>
    <w:rsid w:val="00782FBA"/>
    <w:rsid w:val="007831B1"/>
    <w:rsid w:val="007837D9"/>
    <w:rsid w:val="007848DE"/>
    <w:rsid w:val="00785575"/>
    <w:rsid w:val="00786907"/>
    <w:rsid w:val="00786F99"/>
    <w:rsid w:val="007871D8"/>
    <w:rsid w:val="007879B4"/>
    <w:rsid w:val="00787C3B"/>
    <w:rsid w:val="00790266"/>
    <w:rsid w:val="0079101A"/>
    <w:rsid w:val="0079165D"/>
    <w:rsid w:val="00791E01"/>
    <w:rsid w:val="00792575"/>
    <w:rsid w:val="0079268B"/>
    <w:rsid w:val="00792D2D"/>
    <w:rsid w:val="00793E26"/>
    <w:rsid w:val="00795CC6"/>
    <w:rsid w:val="007965AC"/>
    <w:rsid w:val="007A0A91"/>
    <w:rsid w:val="007A14A9"/>
    <w:rsid w:val="007A1E2D"/>
    <w:rsid w:val="007A262B"/>
    <w:rsid w:val="007A45EC"/>
    <w:rsid w:val="007A5BEF"/>
    <w:rsid w:val="007A6DBE"/>
    <w:rsid w:val="007A6E29"/>
    <w:rsid w:val="007A72D0"/>
    <w:rsid w:val="007A7341"/>
    <w:rsid w:val="007B00D6"/>
    <w:rsid w:val="007B0814"/>
    <w:rsid w:val="007B1435"/>
    <w:rsid w:val="007B1460"/>
    <w:rsid w:val="007B1AC0"/>
    <w:rsid w:val="007B2AA8"/>
    <w:rsid w:val="007B356C"/>
    <w:rsid w:val="007B3697"/>
    <w:rsid w:val="007B3F3A"/>
    <w:rsid w:val="007B44D6"/>
    <w:rsid w:val="007B47AD"/>
    <w:rsid w:val="007B4B8A"/>
    <w:rsid w:val="007B4D4D"/>
    <w:rsid w:val="007B5A98"/>
    <w:rsid w:val="007B69C5"/>
    <w:rsid w:val="007B6DEF"/>
    <w:rsid w:val="007B719C"/>
    <w:rsid w:val="007B775C"/>
    <w:rsid w:val="007B7DDD"/>
    <w:rsid w:val="007C0B1B"/>
    <w:rsid w:val="007C1AD6"/>
    <w:rsid w:val="007C2625"/>
    <w:rsid w:val="007C31CD"/>
    <w:rsid w:val="007C36C0"/>
    <w:rsid w:val="007C3866"/>
    <w:rsid w:val="007C4020"/>
    <w:rsid w:val="007C53BA"/>
    <w:rsid w:val="007C6A62"/>
    <w:rsid w:val="007C765D"/>
    <w:rsid w:val="007C7732"/>
    <w:rsid w:val="007D0BA5"/>
    <w:rsid w:val="007D141D"/>
    <w:rsid w:val="007D242B"/>
    <w:rsid w:val="007D26FE"/>
    <w:rsid w:val="007D2A58"/>
    <w:rsid w:val="007D3300"/>
    <w:rsid w:val="007D3A44"/>
    <w:rsid w:val="007D427B"/>
    <w:rsid w:val="007D473E"/>
    <w:rsid w:val="007D4A7E"/>
    <w:rsid w:val="007D6CAE"/>
    <w:rsid w:val="007D7011"/>
    <w:rsid w:val="007D74DE"/>
    <w:rsid w:val="007E073B"/>
    <w:rsid w:val="007E214E"/>
    <w:rsid w:val="007E22A6"/>
    <w:rsid w:val="007E3BCB"/>
    <w:rsid w:val="007E3D0A"/>
    <w:rsid w:val="007E4440"/>
    <w:rsid w:val="007E48F8"/>
    <w:rsid w:val="007E4F00"/>
    <w:rsid w:val="007E4F95"/>
    <w:rsid w:val="007E540B"/>
    <w:rsid w:val="007E5F04"/>
    <w:rsid w:val="007E6E78"/>
    <w:rsid w:val="007E7B2E"/>
    <w:rsid w:val="007F242C"/>
    <w:rsid w:val="007F24D3"/>
    <w:rsid w:val="007F2FC3"/>
    <w:rsid w:val="007F2FE0"/>
    <w:rsid w:val="007F42EB"/>
    <w:rsid w:val="007F4CE5"/>
    <w:rsid w:val="007F539F"/>
    <w:rsid w:val="007F6122"/>
    <w:rsid w:val="007F76F3"/>
    <w:rsid w:val="00800005"/>
    <w:rsid w:val="008017D8"/>
    <w:rsid w:val="00801C6E"/>
    <w:rsid w:val="008034B4"/>
    <w:rsid w:val="0080369D"/>
    <w:rsid w:val="00803E08"/>
    <w:rsid w:val="0080422A"/>
    <w:rsid w:val="00804E39"/>
    <w:rsid w:val="0080534C"/>
    <w:rsid w:val="00806444"/>
    <w:rsid w:val="00806518"/>
    <w:rsid w:val="00807112"/>
    <w:rsid w:val="00807444"/>
    <w:rsid w:val="008076C6"/>
    <w:rsid w:val="008078F6"/>
    <w:rsid w:val="008102EF"/>
    <w:rsid w:val="00812F74"/>
    <w:rsid w:val="00812F79"/>
    <w:rsid w:val="008146F2"/>
    <w:rsid w:val="00814A16"/>
    <w:rsid w:val="00815C81"/>
    <w:rsid w:val="00815FA4"/>
    <w:rsid w:val="008161F2"/>
    <w:rsid w:val="0081681C"/>
    <w:rsid w:val="00816A38"/>
    <w:rsid w:val="00816D85"/>
    <w:rsid w:val="00817A5E"/>
    <w:rsid w:val="00817A6D"/>
    <w:rsid w:val="008209B1"/>
    <w:rsid w:val="008209EA"/>
    <w:rsid w:val="00821DDB"/>
    <w:rsid w:val="00822666"/>
    <w:rsid w:val="008229E6"/>
    <w:rsid w:val="008230A2"/>
    <w:rsid w:val="00823B2C"/>
    <w:rsid w:val="00824043"/>
    <w:rsid w:val="0082463E"/>
    <w:rsid w:val="00824913"/>
    <w:rsid w:val="00824FF0"/>
    <w:rsid w:val="00827DEB"/>
    <w:rsid w:val="008321DA"/>
    <w:rsid w:val="008324EE"/>
    <w:rsid w:val="00832654"/>
    <w:rsid w:val="0083267F"/>
    <w:rsid w:val="008334F6"/>
    <w:rsid w:val="00833FAE"/>
    <w:rsid w:val="008346CE"/>
    <w:rsid w:val="00835B66"/>
    <w:rsid w:val="00835FCC"/>
    <w:rsid w:val="0083674A"/>
    <w:rsid w:val="00836AEC"/>
    <w:rsid w:val="00837A75"/>
    <w:rsid w:val="00837BC7"/>
    <w:rsid w:val="0084179B"/>
    <w:rsid w:val="00842A44"/>
    <w:rsid w:val="00843B1F"/>
    <w:rsid w:val="00845091"/>
    <w:rsid w:val="008458D0"/>
    <w:rsid w:val="008461A3"/>
    <w:rsid w:val="008465A1"/>
    <w:rsid w:val="00846D79"/>
    <w:rsid w:val="00851386"/>
    <w:rsid w:val="00851C0C"/>
    <w:rsid w:val="00852C2C"/>
    <w:rsid w:val="00853CB7"/>
    <w:rsid w:val="0085531B"/>
    <w:rsid w:val="008570FB"/>
    <w:rsid w:val="00861E43"/>
    <w:rsid w:val="00862079"/>
    <w:rsid w:val="0086268A"/>
    <w:rsid w:val="00862921"/>
    <w:rsid w:val="00862D1A"/>
    <w:rsid w:val="00862EBD"/>
    <w:rsid w:val="008667A6"/>
    <w:rsid w:val="00866F28"/>
    <w:rsid w:val="008701D3"/>
    <w:rsid w:val="00870DC5"/>
    <w:rsid w:val="0087133E"/>
    <w:rsid w:val="00875472"/>
    <w:rsid w:val="008768E9"/>
    <w:rsid w:val="008777EE"/>
    <w:rsid w:val="00877807"/>
    <w:rsid w:val="00883D7A"/>
    <w:rsid w:val="008843FE"/>
    <w:rsid w:val="00886377"/>
    <w:rsid w:val="00886D3E"/>
    <w:rsid w:val="00887EC8"/>
    <w:rsid w:val="0089211A"/>
    <w:rsid w:val="00892D28"/>
    <w:rsid w:val="00892D4C"/>
    <w:rsid w:val="008936F7"/>
    <w:rsid w:val="008977DB"/>
    <w:rsid w:val="008A12CE"/>
    <w:rsid w:val="008A1C43"/>
    <w:rsid w:val="008A1DE5"/>
    <w:rsid w:val="008A21B1"/>
    <w:rsid w:val="008A374D"/>
    <w:rsid w:val="008A41CF"/>
    <w:rsid w:val="008A4EFF"/>
    <w:rsid w:val="008A6196"/>
    <w:rsid w:val="008A7739"/>
    <w:rsid w:val="008A7FD5"/>
    <w:rsid w:val="008B1471"/>
    <w:rsid w:val="008B1DF8"/>
    <w:rsid w:val="008B2AE2"/>
    <w:rsid w:val="008B3162"/>
    <w:rsid w:val="008B507E"/>
    <w:rsid w:val="008B52F8"/>
    <w:rsid w:val="008B6C96"/>
    <w:rsid w:val="008B7743"/>
    <w:rsid w:val="008B7EA8"/>
    <w:rsid w:val="008C0055"/>
    <w:rsid w:val="008C1650"/>
    <w:rsid w:val="008C1C24"/>
    <w:rsid w:val="008C2A0D"/>
    <w:rsid w:val="008C3731"/>
    <w:rsid w:val="008C41E1"/>
    <w:rsid w:val="008C5A24"/>
    <w:rsid w:val="008C6209"/>
    <w:rsid w:val="008C6963"/>
    <w:rsid w:val="008C7009"/>
    <w:rsid w:val="008C724A"/>
    <w:rsid w:val="008C7678"/>
    <w:rsid w:val="008D1178"/>
    <w:rsid w:val="008D136F"/>
    <w:rsid w:val="008D1711"/>
    <w:rsid w:val="008D1B1E"/>
    <w:rsid w:val="008D2216"/>
    <w:rsid w:val="008D2F47"/>
    <w:rsid w:val="008D3265"/>
    <w:rsid w:val="008D3522"/>
    <w:rsid w:val="008D3A4E"/>
    <w:rsid w:val="008D4376"/>
    <w:rsid w:val="008D4BAC"/>
    <w:rsid w:val="008D4DF9"/>
    <w:rsid w:val="008D4E3D"/>
    <w:rsid w:val="008D6ABE"/>
    <w:rsid w:val="008E01E6"/>
    <w:rsid w:val="008E0F41"/>
    <w:rsid w:val="008E14B1"/>
    <w:rsid w:val="008E14C9"/>
    <w:rsid w:val="008E3788"/>
    <w:rsid w:val="008E3D78"/>
    <w:rsid w:val="008E4394"/>
    <w:rsid w:val="008E45EB"/>
    <w:rsid w:val="008E6386"/>
    <w:rsid w:val="008E63D6"/>
    <w:rsid w:val="008F002B"/>
    <w:rsid w:val="008F144F"/>
    <w:rsid w:val="008F2531"/>
    <w:rsid w:val="008F25F0"/>
    <w:rsid w:val="008F34F5"/>
    <w:rsid w:val="008F39CA"/>
    <w:rsid w:val="008F4189"/>
    <w:rsid w:val="008F4F50"/>
    <w:rsid w:val="008F4FC5"/>
    <w:rsid w:val="008F50A8"/>
    <w:rsid w:val="008F57CA"/>
    <w:rsid w:val="008F6935"/>
    <w:rsid w:val="008F79BC"/>
    <w:rsid w:val="00900269"/>
    <w:rsid w:val="00900689"/>
    <w:rsid w:val="009045D8"/>
    <w:rsid w:val="00906F0A"/>
    <w:rsid w:val="00911CF3"/>
    <w:rsid w:val="009120A2"/>
    <w:rsid w:val="009127A2"/>
    <w:rsid w:val="009132D3"/>
    <w:rsid w:val="00915C07"/>
    <w:rsid w:val="00915E94"/>
    <w:rsid w:val="00916E7F"/>
    <w:rsid w:val="009206DD"/>
    <w:rsid w:val="0092090F"/>
    <w:rsid w:val="00920B18"/>
    <w:rsid w:val="00920F2E"/>
    <w:rsid w:val="00921066"/>
    <w:rsid w:val="009215C4"/>
    <w:rsid w:val="00921BFB"/>
    <w:rsid w:val="00922511"/>
    <w:rsid w:val="00923FF5"/>
    <w:rsid w:val="009241A1"/>
    <w:rsid w:val="0092546C"/>
    <w:rsid w:val="0092640F"/>
    <w:rsid w:val="00926884"/>
    <w:rsid w:val="009269AC"/>
    <w:rsid w:val="00927443"/>
    <w:rsid w:val="0092764E"/>
    <w:rsid w:val="009277C9"/>
    <w:rsid w:val="009303B5"/>
    <w:rsid w:val="00933035"/>
    <w:rsid w:val="00934A74"/>
    <w:rsid w:val="009364E9"/>
    <w:rsid w:val="009366F9"/>
    <w:rsid w:val="00936EF5"/>
    <w:rsid w:val="009370C8"/>
    <w:rsid w:val="009374BB"/>
    <w:rsid w:val="00937527"/>
    <w:rsid w:val="009403CB"/>
    <w:rsid w:val="00941843"/>
    <w:rsid w:val="0094185A"/>
    <w:rsid w:val="009433B6"/>
    <w:rsid w:val="00943E56"/>
    <w:rsid w:val="009441A3"/>
    <w:rsid w:val="009443D6"/>
    <w:rsid w:val="00944C47"/>
    <w:rsid w:val="00944F47"/>
    <w:rsid w:val="0094559A"/>
    <w:rsid w:val="009455B8"/>
    <w:rsid w:val="00945B01"/>
    <w:rsid w:val="00945D2C"/>
    <w:rsid w:val="00945E8E"/>
    <w:rsid w:val="00945F9D"/>
    <w:rsid w:val="009462A1"/>
    <w:rsid w:val="00950BFE"/>
    <w:rsid w:val="00950F5D"/>
    <w:rsid w:val="009510B5"/>
    <w:rsid w:val="009511EB"/>
    <w:rsid w:val="0095139A"/>
    <w:rsid w:val="009522FF"/>
    <w:rsid w:val="00952C3F"/>
    <w:rsid w:val="0095512F"/>
    <w:rsid w:val="009563BE"/>
    <w:rsid w:val="00961907"/>
    <w:rsid w:val="00963A9F"/>
    <w:rsid w:val="0096410F"/>
    <w:rsid w:val="009643F3"/>
    <w:rsid w:val="00965489"/>
    <w:rsid w:val="009658CD"/>
    <w:rsid w:val="00966E34"/>
    <w:rsid w:val="00967611"/>
    <w:rsid w:val="00967958"/>
    <w:rsid w:val="009704AB"/>
    <w:rsid w:val="00971018"/>
    <w:rsid w:val="00972636"/>
    <w:rsid w:val="00972D89"/>
    <w:rsid w:val="00973726"/>
    <w:rsid w:val="0097444A"/>
    <w:rsid w:val="0097516D"/>
    <w:rsid w:val="009760A9"/>
    <w:rsid w:val="00977DFE"/>
    <w:rsid w:val="009813DE"/>
    <w:rsid w:val="009813F3"/>
    <w:rsid w:val="0098337A"/>
    <w:rsid w:val="00983EBA"/>
    <w:rsid w:val="00983F87"/>
    <w:rsid w:val="009845A5"/>
    <w:rsid w:val="0098495C"/>
    <w:rsid w:val="009857B4"/>
    <w:rsid w:val="00985B6D"/>
    <w:rsid w:val="0099023C"/>
    <w:rsid w:val="00990722"/>
    <w:rsid w:val="0099238B"/>
    <w:rsid w:val="00993824"/>
    <w:rsid w:val="00996C80"/>
    <w:rsid w:val="009976F6"/>
    <w:rsid w:val="00997D82"/>
    <w:rsid w:val="00997FDB"/>
    <w:rsid w:val="009A0397"/>
    <w:rsid w:val="009A051F"/>
    <w:rsid w:val="009A05F8"/>
    <w:rsid w:val="009A18D3"/>
    <w:rsid w:val="009A1ABE"/>
    <w:rsid w:val="009A1ED0"/>
    <w:rsid w:val="009A243C"/>
    <w:rsid w:val="009A2937"/>
    <w:rsid w:val="009A380C"/>
    <w:rsid w:val="009A42D3"/>
    <w:rsid w:val="009A4BC9"/>
    <w:rsid w:val="009A5789"/>
    <w:rsid w:val="009B0496"/>
    <w:rsid w:val="009B30CE"/>
    <w:rsid w:val="009B3620"/>
    <w:rsid w:val="009B4095"/>
    <w:rsid w:val="009B47AD"/>
    <w:rsid w:val="009B4A5A"/>
    <w:rsid w:val="009B50A3"/>
    <w:rsid w:val="009B5AC4"/>
    <w:rsid w:val="009B65C1"/>
    <w:rsid w:val="009B6E12"/>
    <w:rsid w:val="009B7860"/>
    <w:rsid w:val="009C325F"/>
    <w:rsid w:val="009C3FE6"/>
    <w:rsid w:val="009C44B0"/>
    <w:rsid w:val="009C4938"/>
    <w:rsid w:val="009C54F7"/>
    <w:rsid w:val="009C6E7F"/>
    <w:rsid w:val="009D0230"/>
    <w:rsid w:val="009D08BA"/>
    <w:rsid w:val="009D0E31"/>
    <w:rsid w:val="009D1107"/>
    <w:rsid w:val="009D157A"/>
    <w:rsid w:val="009D1AB2"/>
    <w:rsid w:val="009D309F"/>
    <w:rsid w:val="009D3B51"/>
    <w:rsid w:val="009D448E"/>
    <w:rsid w:val="009D4812"/>
    <w:rsid w:val="009D53DE"/>
    <w:rsid w:val="009D5F00"/>
    <w:rsid w:val="009D5F3C"/>
    <w:rsid w:val="009D6526"/>
    <w:rsid w:val="009D66D0"/>
    <w:rsid w:val="009E0ACF"/>
    <w:rsid w:val="009E170D"/>
    <w:rsid w:val="009E27B4"/>
    <w:rsid w:val="009E311A"/>
    <w:rsid w:val="009E33A5"/>
    <w:rsid w:val="009E4032"/>
    <w:rsid w:val="009E576C"/>
    <w:rsid w:val="009E5C72"/>
    <w:rsid w:val="009E5DBF"/>
    <w:rsid w:val="009E6C5A"/>
    <w:rsid w:val="009E7A12"/>
    <w:rsid w:val="009F0AF4"/>
    <w:rsid w:val="009F104F"/>
    <w:rsid w:val="009F151B"/>
    <w:rsid w:val="009F1E07"/>
    <w:rsid w:val="009F35DF"/>
    <w:rsid w:val="009F5690"/>
    <w:rsid w:val="009F5D54"/>
    <w:rsid w:val="009F6517"/>
    <w:rsid w:val="009F76AF"/>
    <w:rsid w:val="009F7980"/>
    <w:rsid w:val="00A0032D"/>
    <w:rsid w:val="00A00ACF"/>
    <w:rsid w:val="00A00D9B"/>
    <w:rsid w:val="00A0200B"/>
    <w:rsid w:val="00A02D76"/>
    <w:rsid w:val="00A03D27"/>
    <w:rsid w:val="00A03EC2"/>
    <w:rsid w:val="00A04D61"/>
    <w:rsid w:val="00A054A7"/>
    <w:rsid w:val="00A05F8C"/>
    <w:rsid w:val="00A105B5"/>
    <w:rsid w:val="00A116E8"/>
    <w:rsid w:val="00A12633"/>
    <w:rsid w:val="00A151EB"/>
    <w:rsid w:val="00A156C5"/>
    <w:rsid w:val="00A158D8"/>
    <w:rsid w:val="00A22124"/>
    <w:rsid w:val="00A22554"/>
    <w:rsid w:val="00A225A8"/>
    <w:rsid w:val="00A227D5"/>
    <w:rsid w:val="00A22C35"/>
    <w:rsid w:val="00A22E2A"/>
    <w:rsid w:val="00A239FA"/>
    <w:rsid w:val="00A2420F"/>
    <w:rsid w:val="00A26877"/>
    <w:rsid w:val="00A26A20"/>
    <w:rsid w:val="00A305AB"/>
    <w:rsid w:val="00A34146"/>
    <w:rsid w:val="00A34FE9"/>
    <w:rsid w:val="00A3515B"/>
    <w:rsid w:val="00A40383"/>
    <w:rsid w:val="00A4053F"/>
    <w:rsid w:val="00A41D31"/>
    <w:rsid w:val="00A42526"/>
    <w:rsid w:val="00A4275C"/>
    <w:rsid w:val="00A42FE4"/>
    <w:rsid w:val="00A43BB4"/>
    <w:rsid w:val="00A44B7C"/>
    <w:rsid w:val="00A4619F"/>
    <w:rsid w:val="00A474BA"/>
    <w:rsid w:val="00A47FA3"/>
    <w:rsid w:val="00A5019B"/>
    <w:rsid w:val="00A501D4"/>
    <w:rsid w:val="00A50F67"/>
    <w:rsid w:val="00A511D4"/>
    <w:rsid w:val="00A515CE"/>
    <w:rsid w:val="00A52443"/>
    <w:rsid w:val="00A52B3D"/>
    <w:rsid w:val="00A533A9"/>
    <w:rsid w:val="00A53E59"/>
    <w:rsid w:val="00A55151"/>
    <w:rsid w:val="00A551E5"/>
    <w:rsid w:val="00A5546D"/>
    <w:rsid w:val="00A55C92"/>
    <w:rsid w:val="00A56A4E"/>
    <w:rsid w:val="00A61C3E"/>
    <w:rsid w:val="00A622B9"/>
    <w:rsid w:val="00A62563"/>
    <w:rsid w:val="00A62D4B"/>
    <w:rsid w:val="00A63B6A"/>
    <w:rsid w:val="00A642BF"/>
    <w:rsid w:val="00A643B4"/>
    <w:rsid w:val="00A65824"/>
    <w:rsid w:val="00A709F4"/>
    <w:rsid w:val="00A71559"/>
    <w:rsid w:val="00A72B2C"/>
    <w:rsid w:val="00A72EB7"/>
    <w:rsid w:val="00A72FD1"/>
    <w:rsid w:val="00A73EBF"/>
    <w:rsid w:val="00A745EB"/>
    <w:rsid w:val="00A75089"/>
    <w:rsid w:val="00A75B5D"/>
    <w:rsid w:val="00A76011"/>
    <w:rsid w:val="00A7619E"/>
    <w:rsid w:val="00A77159"/>
    <w:rsid w:val="00A80C3F"/>
    <w:rsid w:val="00A8218D"/>
    <w:rsid w:val="00A82AFD"/>
    <w:rsid w:val="00A8306C"/>
    <w:rsid w:val="00A83622"/>
    <w:rsid w:val="00A83D1D"/>
    <w:rsid w:val="00A83E5A"/>
    <w:rsid w:val="00A84C3C"/>
    <w:rsid w:val="00A85552"/>
    <w:rsid w:val="00A85755"/>
    <w:rsid w:val="00A858E7"/>
    <w:rsid w:val="00A85ABC"/>
    <w:rsid w:val="00A86869"/>
    <w:rsid w:val="00A876B2"/>
    <w:rsid w:val="00A9013F"/>
    <w:rsid w:val="00A9069C"/>
    <w:rsid w:val="00A926AB"/>
    <w:rsid w:val="00A94A77"/>
    <w:rsid w:val="00A9524C"/>
    <w:rsid w:val="00A95259"/>
    <w:rsid w:val="00A96F66"/>
    <w:rsid w:val="00A971E9"/>
    <w:rsid w:val="00A972EF"/>
    <w:rsid w:val="00AA0EE5"/>
    <w:rsid w:val="00AA1FBE"/>
    <w:rsid w:val="00AA28FF"/>
    <w:rsid w:val="00AA2D16"/>
    <w:rsid w:val="00AA32D7"/>
    <w:rsid w:val="00AA3794"/>
    <w:rsid w:val="00AA52D5"/>
    <w:rsid w:val="00AA60CC"/>
    <w:rsid w:val="00AA63B7"/>
    <w:rsid w:val="00AA73F6"/>
    <w:rsid w:val="00AB0423"/>
    <w:rsid w:val="00AB0B98"/>
    <w:rsid w:val="00AB1750"/>
    <w:rsid w:val="00AB1DC4"/>
    <w:rsid w:val="00AB2225"/>
    <w:rsid w:val="00AB302C"/>
    <w:rsid w:val="00AB39FD"/>
    <w:rsid w:val="00AB3E99"/>
    <w:rsid w:val="00AB423D"/>
    <w:rsid w:val="00AB4309"/>
    <w:rsid w:val="00AB4590"/>
    <w:rsid w:val="00AB4941"/>
    <w:rsid w:val="00AB7059"/>
    <w:rsid w:val="00AB7F1C"/>
    <w:rsid w:val="00AB7FA2"/>
    <w:rsid w:val="00AC05F5"/>
    <w:rsid w:val="00AC0616"/>
    <w:rsid w:val="00AC1482"/>
    <w:rsid w:val="00AC1E22"/>
    <w:rsid w:val="00AC2BCD"/>
    <w:rsid w:val="00AC3481"/>
    <w:rsid w:val="00AC3841"/>
    <w:rsid w:val="00AC3BF3"/>
    <w:rsid w:val="00AC5C25"/>
    <w:rsid w:val="00AC5C86"/>
    <w:rsid w:val="00AC5CEE"/>
    <w:rsid w:val="00AC669D"/>
    <w:rsid w:val="00AC7CA6"/>
    <w:rsid w:val="00AD1AAE"/>
    <w:rsid w:val="00AD3920"/>
    <w:rsid w:val="00AD3AF3"/>
    <w:rsid w:val="00AD3FF7"/>
    <w:rsid w:val="00AD54A5"/>
    <w:rsid w:val="00AD55D4"/>
    <w:rsid w:val="00AD57B3"/>
    <w:rsid w:val="00AD69E7"/>
    <w:rsid w:val="00AD6C3C"/>
    <w:rsid w:val="00AD7097"/>
    <w:rsid w:val="00AD70BD"/>
    <w:rsid w:val="00AD7B37"/>
    <w:rsid w:val="00AE1473"/>
    <w:rsid w:val="00AE278E"/>
    <w:rsid w:val="00AE36D2"/>
    <w:rsid w:val="00AE48F7"/>
    <w:rsid w:val="00AE4A32"/>
    <w:rsid w:val="00AE58AF"/>
    <w:rsid w:val="00AE7035"/>
    <w:rsid w:val="00AE714F"/>
    <w:rsid w:val="00AF01B7"/>
    <w:rsid w:val="00AF05CE"/>
    <w:rsid w:val="00AF1BC2"/>
    <w:rsid w:val="00AF1D69"/>
    <w:rsid w:val="00AF2720"/>
    <w:rsid w:val="00AF32C8"/>
    <w:rsid w:val="00AF38E3"/>
    <w:rsid w:val="00AF3BB9"/>
    <w:rsid w:val="00AF47FB"/>
    <w:rsid w:val="00AF489E"/>
    <w:rsid w:val="00AF5D17"/>
    <w:rsid w:val="00AF612A"/>
    <w:rsid w:val="00AF72B4"/>
    <w:rsid w:val="00AF7496"/>
    <w:rsid w:val="00AF7FCD"/>
    <w:rsid w:val="00B00158"/>
    <w:rsid w:val="00B0024F"/>
    <w:rsid w:val="00B0163E"/>
    <w:rsid w:val="00B01CB5"/>
    <w:rsid w:val="00B033D4"/>
    <w:rsid w:val="00B045EB"/>
    <w:rsid w:val="00B05941"/>
    <w:rsid w:val="00B07388"/>
    <w:rsid w:val="00B10824"/>
    <w:rsid w:val="00B1142D"/>
    <w:rsid w:val="00B11CBC"/>
    <w:rsid w:val="00B14199"/>
    <w:rsid w:val="00B14AA4"/>
    <w:rsid w:val="00B16031"/>
    <w:rsid w:val="00B20371"/>
    <w:rsid w:val="00B20450"/>
    <w:rsid w:val="00B20C1C"/>
    <w:rsid w:val="00B217F7"/>
    <w:rsid w:val="00B22D7A"/>
    <w:rsid w:val="00B2394F"/>
    <w:rsid w:val="00B25BDC"/>
    <w:rsid w:val="00B26466"/>
    <w:rsid w:val="00B27571"/>
    <w:rsid w:val="00B27689"/>
    <w:rsid w:val="00B27F00"/>
    <w:rsid w:val="00B27F8C"/>
    <w:rsid w:val="00B317E2"/>
    <w:rsid w:val="00B31A61"/>
    <w:rsid w:val="00B33DE0"/>
    <w:rsid w:val="00B343ED"/>
    <w:rsid w:val="00B35007"/>
    <w:rsid w:val="00B36933"/>
    <w:rsid w:val="00B40BAD"/>
    <w:rsid w:val="00B41687"/>
    <w:rsid w:val="00B42841"/>
    <w:rsid w:val="00B42CDE"/>
    <w:rsid w:val="00B42DDC"/>
    <w:rsid w:val="00B44963"/>
    <w:rsid w:val="00B44B77"/>
    <w:rsid w:val="00B46EE3"/>
    <w:rsid w:val="00B47D5D"/>
    <w:rsid w:val="00B51AAD"/>
    <w:rsid w:val="00B51D3A"/>
    <w:rsid w:val="00B51E11"/>
    <w:rsid w:val="00B52978"/>
    <w:rsid w:val="00B53051"/>
    <w:rsid w:val="00B535F7"/>
    <w:rsid w:val="00B53F4B"/>
    <w:rsid w:val="00B54609"/>
    <w:rsid w:val="00B5664F"/>
    <w:rsid w:val="00B566E0"/>
    <w:rsid w:val="00B56CC1"/>
    <w:rsid w:val="00B57C47"/>
    <w:rsid w:val="00B615F9"/>
    <w:rsid w:val="00B62542"/>
    <w:rsid w:val="00B62D8A"/>
    <w:rsid w:val="00B641DE"/>
    <w:rsid w:val="00B644F3"/>
    <w:rsid w:val="00B651AA"/>
    <w:rsid w:val="00B7095B"/>
    <w:rsid w:val="00B7110C"/>
    <w:rsid w:val="00B71CC1"/>
    <w:rsid w:val="00B720B1"/>
    <w:rsid w:val="00B721E6"/>
    <w:rsid w:val="00B73A0C"/>
    <w:rsid w:val="00B7405F"/>
    <w:rsid w:val="00B74B20"/>
    <w:rsid w:val="00B76F64"/>
    <w:rsid w:val="00B77C4B"/>
    <w:rsid w:val="00B77D8F"/>
    <w:rsid w:val="00B82738"/>
    <w:rsid w:val="00B828C8"/>
    <w:rsid w:val="00B82EC9"/>
    <w:rsid w:val="00B84381"/>
    <w:rsid w:val="00B846C7"/>
    <w:rsid w:val="00B860FD"/>
    <w:rsid w:val="00B862D5"/>
    <w:rsid w:val="00B871F5"/>
    <w:rsid w:val="00B8747F"/>
    <w:rsid w:val="00B904AF"/>
    <w:rsid w:val="00B90E12"/>
    <w:rsid w:val="00B92637"/>
    <w:rsid w:val="00B959A0"/>
    <w:rsid w:val="00B96CA7"/>
    <w:rsid w:val="00B96F06"/>
    <w:rsid w:val="00B97107"/>
    <w:rsid w:val="00B97ABC"/>
    <w:rsid w:val="00BA0034"/>
    <w:rsid w:val="00BA2801"/>
    <w:rsid w:val="00BA3AA4"/>
    <w:rsid w:val="00BA41AE"/>
    <w:rsid w:val="00BA5FA4"/>
    <w:rsid w:val="00BA6EB0"/>
    <w:rsid w:val="00BA7085"/>
    <w:rsid w:val="00BB071D"/>
    <w:rsid w:val="00BB3AD8"/>
    <w:rsid w:val="00BB3EB1"/>
    <w:rsid w:val="00BB63E0"/>
    <w:rsid w:val="00BC0D15"/>
    <w:rsid w:val="00BC1CBA"/>
    <w:rsid w:val="00BC1E0A"/>
    <w:rsid w:val="00BC209B"/>
    <w:rsid w:val="00BC27A3"/>
    <w:rsid w:val="00BC292C"/>
    <w:rsid w:val="00BC330B"/>
    <w:rsid w:val="00BC3D68"/>
    <w:rsid w:val="00BC4180"/>
    <w:rsid w:val="00BC420D"/>
    <w:rsid w:val="00BC4386"/>
    <w:rsid w:val="00BC59FD"/>
    <w:rsid w:val="00BC64ED"/>
    <w:rsid w:val="00BC716A"/>
    <w:rsid w:val="00BC7DE9"/>
    <w:rsid w:val="00BD1B2D"/>
    <w:rsid w:val="00BD2E24"/>
    <w:rsid w:val="00BD3086"/>
    <w:rsid w:val="00BD4A32"/>
    <w:rsid w:val="00BD4DF3"/>
    <w:rsid w:val="00BE1A3F"/>
    <w:rsid w:val="00BE4DC7"/>
    <w:rsid w:val="00BE5899"/>
    <w:rsid w:val="00BE5D58"/>
    <w:rsid w:val="00BE61C5"/>
    <w:rsid w:val="00BE62DC"/>
    <w:rsid w:val="00BE6318"/>
    <w:rsid w:val="00BE64F3"/>
    <w:rsid w:val="00BE72FD"/>
    <w:rsid w:val="00BE7900"/>
    <w:rsid w:val="00BF0A7D"/>
    <w:rsid w:val="00BF0D37"/>
    <w:rsid w:val="00BF1B26"/>
    <w:rsid w:val="00BF229F"/>
    <w:rsid w:val="00BF2C4D"/>
    <w:rsid w:val="00BF40D1"/>
    <w:rsid w:val="00BF4990"/>
    <w:rsid w:val="00BF5188"/>
    <w:rsid w:val="00BF5630"/>
    <w:rsid w:val="00BF5A38"/>
    <w:rsid w:val="00BF7C1B"/>
    <w:rsid w:val="00C016D1"/>
    <w:rsid w:val="00C03484"/>
    <w:rsid w:val="00C041E8"/>
    <w:rsid w:val="00C047B2"/>
    <w:rsid w:val="00C0758E"/>
    <w:rsid w:val="00C075D5"/>
    <w:rsid w:val="00C07F52"/>
    <w:rsid w:val="00C1029C"/>
    <w:rsid w:val="00C11B4A"/>
    <w:rsid w:val="00C13633"/>
    <w:rsid w:val="00C1457E"/>
    <w:rsid w:val="00C15266"/>
    <w:rsid w:val="00C15B28"/>
    <w:rsid w:val="00C1682E"/>
    <w:rsid w:val="00C17891"/>
    <w:rsid w:val="00C1799E"/>
    <w:rsid w:val="00C202E4"/>
    <w:rsid w:val="00C215AF"/>
    <w:rsid w:val="00C216F9"/>
    <w:rsid w:val="00C2211B"/>
    <w:rsid w:val="00C2268A"/>
    <w:rsid w:val="00C22F0A"/>
    <w:rsid w:val="00C24CB3"/>
    <w:rsid w:val="00C256CF"/>
    <w:rsid w:val="00C25981"/>
    <w:rsid w:val="00C2611D"/>
    <w:rsid w:val="00C2713B"/>
    <w:rsid w:val="00C302BE"/>
    <w:rsid w:val="00C312A0"/>
    <w:rsid w:val="00C3144C"/>
    <w:rsid w:val="00C319DC"/>
    <w:rsid w:val="00C3273F"/>
    <w:rsid w:val="00C347EF"/>
    <w:rsid w:val="00C35248"/>
    <w:rsid w:val="00C36468"/>
    <w:rsid w:val="00C3706D"/>
    <w:rsid w:val="00C37158"/>
    <w:rsid w:val="00C37A48"/>
    <w:rsid w:val="00C37D98"/>
    <w:rsid w:val="00C402CF"/>
    <w:rsid w:val="00C419A6"/>
    <w:rsid w:val="00C435C0"/>
    <w:rsid w:val="00C43C04"/>
    <w:rsid w:val="00C44BDC"/>
    <w:rsid w:val="00C45859"/>
    <w:rsid w:val="00C45A67"/>
    <w:rsid w:val="00C45F50"/>
    <w:rsid w:val="00C46508"/>
    <w:rsid w:val="00C478EA"/>
    <w:rsid w:val="00C503F8"/>
    <w:rsid w:val="00C5047C"/>
    <w:rsid w:val="00C50F6D"/>
    <w:rsid w:val="00C51011"/>
    <w:rsid w:val="00C5324A"/>
    <w:rsid w:val="00C53486"/>
    <w:rsid w:val="00C53A1E"/>
    <w:rsid w:val="00C545EE"/>
    <w:rsid w:val="00C564A4"/>
    <w:rsid w:val="00C56F09"/>
    <w:rsid w:val="00C60A03"/>
    <w:rsid w:val="00C617DF"/>
    <w:rsid w:val="00C61CA6"/>
    <w:rsid w:val="00C6278D"/>
    <w:rsid w:val="00C6344F"/>
    <w:rsid w:val="00C638E5"/>
    <w:rsid w:val="00C63EB8"/>
    <w:rsid w:val="00C65661"/>
    <w:rsid w:val="00C65A92"/>
    <w:rsid w:val="00C6648F"/>
    <w:rsid w:val="00C67C8D"/>
    <w:rsid w:val="00C67F71"/>
    <w:rsid w:val="00C7299C"/>
    <w:rsid w:val="00C72CF8"/>
    <w:rsid w:val="00C72D5E"/>
    <w:rsid w:val="00C74027"/>
    <w:rsid w:val="00C76409"/>
    <w:rsid w:val="00C805ED"/>
    <w:rsid w:val="00C815F1"/>
    <w:rsid w:val="00C81BE7"/>
    <w:rsid w:val="00C81CC6"/>
    <w:rsid w:val="00C81CFD"/>
    <w:rsid w:val="00C8400D"/>
    <w:rsid w:val="00C8632E"/>
    <w:rsid w:val="00C866E7"/>
    <w:rsid w:val="00C90643"/>
    <w:rsid w:val="00C90B5B"/>
    <w:rsid w:val="00C90BF8"/>
    <w:rsid w:val="00C921DC"/>
    <w:rsid w:val="00C94C38"/>
    <w:rsid w:val="00C956D7"/>
    <w:rsid w:val="00C9600D"/>
    <w:rsid w:val="00C972A8"/>
    <w:rsid w:val="00C974AE"/>
    <w:rsid w:val="00C977D3"/>
    <w:rsid w:val="00CA0042"/>
    <w:rsid w:val="00CA0D44"/>
    <w:rsid w:val="00CA2043"/>
    <w:rsid w:val="00CA22E7"/>
    <w:rsid w:val="00CA2B8D"/>
    <w:rsid w:val="00CA3A40"/>
    <w:rsid w:val="00CA5E6E"/>
    <w:rsid w:val="00CA5FDE"/>
    <w:rsid w:val="00CA6033"/>
    <w:rsid w:val="00CA67E3"/>
    <w:rsid w:val="00CA6E41"/>
    <w:rsid w:val="00CA7015"/>
    <w:rsid w:val="00CB00E8"/>
    <w:rsid w:val="00CB08A7"/>
    <w:rsid w:val="00CB140C"/>
    <w:rsid w:val="00CB19B3"/>
    <w:rsid w:val="00CB2593"/>
    <w:rsid w:val="00CB35F9"/>
    <w:rsid w:val="00CB38F5"/>
    <w:rsid w:val="00CB5019"/>
    <w:rsid w:val="00CB5CF9"/>
    <w:rsid w:val="00CB6981"/>
    <w:rsid w:val="00CB71A1"/>
    <w:rsid w:val="00CC054C"/>
    <w:rsid w:val="00CC0DA6"/>
    <w:rsid w:val="00CC291B"/>
    <w:rsid w:val="00CC3A8D"/>
    <w:rsid w:val="00CC4031"/>
    <w:rsid w:val="00CC42B6"/>
    <w:rsid w:val="00CC5655"/>
    <w:rsid w:val="00CC7394"/>
    <w:rsid w:val="00CD0C3E"/>
    <w:rsid w:val="00CD0FAA"/>
    <w:rsid w:val="00CD224F"/>
    <w:rsid w:val="00CD30EC"/>
    <w:rsid w:val="00CD3276"/>
    <w:rsid w:val="00CD50E5"/>
    <w:rsid w:val="00CD5130"/>
    <w:rsid w:val="00CD7329"/>
    <w:rsid w:val="00CE05EE"/>
    <w:rsid w:val="00CE0DAE"/>
    <w:rsid w:val="00CE1346"/>
    <w:rsid w:val="00CE1C5C"/>
    <w:rsid w:val="00CE491A"/>
    <w:rsid w:val="00CE5C76"/>
    <w:rsid w:val="00CE6F1B"/>
    <w:rsid w:val="00CE6FD1"/>
    <w:rsid w:val="00CE776E"/>
    <w:rsid w:val="00CF1BD6"/>
    <w:rsid w:val="00CF1C8E"/>
    <w:rsid w:val="00CF2849"/>
    <w:rsid w:val="00CF329C"/>
    <w:rsid w:val="00CF37CF"/>
    <w:rsid w:val="00CF3E86"/>
    <w:rsid w:val="00CF43E7"/>
    <w:rsid w:val="00CF4A07"/>
    <w:rsid w:val="00CF4B35"/>
    <w:rsid w:val="00CF502F"/>
    <w:rsid w:val="00CF528C"/>
    <w:rsid w:val="00CF58EC"/>
    <w:rsid w:val="00CF5AC9"/>
    <w:rsid w:val="00CF5CCF"/>
    <w:rsid w:val="00CF72F0"/>
    <w:rsid w:val="00CF7EA0"/>
    <w:rsid w:val="00D005D8"/>
    <w:rsid w:val="00D02288"/>
    <w:rsid w:val="00D025BB"/>
    <w:rsid w:val="00D02611"/>
    <w:rsid w:val="00D02A13"/>
    <w:rsid w:val="00D034A6"/>
    <w:rsid w:val="00D03613"/>
    <w:rsid w:val="00D04423"/>
    <w:rsid w:val="00D058F0"/>
    <w:rsid w:val="00D0657E"/>
    <w:rsid w:val="00D07A25"/>
    <w:rsid w:val="00D10B4A"/>
    <w:rsid w:val="00D110E5"/>
    <w:rsid w:val="00D1399A"/>
    <w:rsid w:val="00D13CA9"/>
    <w:rsid w:val="00D14087"/>
    <w:rsid w:val="00D149DF"/>
    <w:rsid w:val="00D15CE9"/>
    <w:rsid w:val="00D15E84"/>
    <w:rsid w:val="00D178BD"/>
    <w:rsid w:val="00D214D4"/>
    <w:rsid w:val="00D22273"/>
    <w:rsid w:val="00D223E0"/>
    <w:rsid w:val="00D23943"/>
    <w:rsid w:val="00D24107"/>
    <w:rsid w:val="00D261AE"/>
    <w:rsid w:val="00D26960"/>
    <w:rsid w:val="00D26D58"/>
    <w:rsid w:val="00D336B0"/>
    <w:rsid w:val="00D34622"/>
    <w:rsid w:val="00D34D44"/>
    <w:rsid w:val="00D35384"/>
    <w:rsid w:val="00D35EE5"/>
    <w:rsid w:val="00D36560"/>
    <w:rsid w:val="00D36676"/>
    <w:rsid w:val="00D36EAC"/>
    <w:rsid w:val="00D36F96"/>
    <w:rsid w:val="00D405A4"/>
    <w:rsid w:val="00D41927"/>
    <w:rsid w:val="00D42EC3"/>
    <w:rsid w:val="00D4301F"/>
    <w:rsid w:val="00D43651"/>
    <w:rsid w:val="00D46FCB"/>
    <w:rsid w:val="00D50226"/>
    <w:rsid w:val="00D50445"/>
    <w:rsid w:val="00D505FD"/>
    <w:rsid w:val="00D50AAC"/>
    <w:rsid w:val="00D52797"/>
    <w:rsid w:val="00D52BC9"/>
    <w:rsid w:val="00D5351B"/>
    <w:rsid w:val="00D61D7A"/>
    <w:rsid w:val="00D621C2"/>
    <w:rsid w:val="00D6429E"/>
    <w:rsid w:val="00D651EC"/>
    <w:rsid w:val="00D65813"/>
    <w:rsid w:val="00D65A3A"/>
    <w:rsid w:val="00D6656A"/>
    <w:rsid w:val="00D67225"/>
    <w:rsid w:val="00D674B6"/>
    <w:rsid w:val="00D703B6"/>
    <w:rsid w:val="00D70A4E"/>
    <w:rsid w:val="00D740EF"/>
    <w:rsid w:val="00D7443B"/>
    <w:rsid w:val="00D7565F"/>
    <w:rsid w:val="00D75709"/>
    <w:rsid w:val="00D764BA"/>
    <w:rsid w:val="00D7708D"/>
    <w:rsid w:val="00D77E93"/>
    <w:rsid w:val="00D82D95"/>
    <w:rsid w:val="00D83DB1"/>
    <w:rsid w:val="00D84481"/>
    <w:rsid w:val="00D845CD"/>
    <w:rsid w:val="00D858D5"/>
    <w:rsid w:val="00D85DA0"/>
    <w:rsid w:val="00D86384"/>
    <w:rsid w:val="00D905EA"/>
    <w:rsid w:val="00D91101"/>
    <w:rsid w:val="00D91C8D"/>
    <w:rsid w:val="00D922F5"/>
    <w:rsid w:val="00D92655"/>
    <w:rsid w:val="00D93012"/>
    <w:rsid w:val="00D963BD"/>
    <w:rsid w:val="00D96542"/>
    <w:rsid w:val="00D9670E"/>
    <w:rsid w:val="00D969DB"/>
    <w:rsid w:val="00D97A6A"/>
    <w:rsid w:val="00D97F36"/>
    <w:rsid w:val="00DA067E"/>
    <w:rsid w:val="00DA09F4"/>
    <w:rsid w:val="00DA10C0"/>
    <w:rsid w:val="00DA35A0"/>
    <w:rsid w:val="00DA38E8"/>
    <w:rsid w:val="00DA57A1"/>
    <w:rsid w:val="00DA6F42"/>
    <w:rsid w:val="00DA700F"/>
    <w:rsid w:val="00DA7B7D"/>
    <w:rsid w:val="00DA7DD2"/>
    <w:rsid w:val="00DB0398"/>
    <w:rsid w:val="00DB07B2"/>
    <w:rsid w:val="00DB0F24"/>
    <w:rsid w:val="00DB1540"/>
    <w:rsid w:val="00DB34D0"/>
    <w:rsid w:val="00DB5A98"/>
    <w:rsid w:val="00DB6143"/>
    <w:rsid w:val="00DB62EF"/>
    <w:rsid w:val="00DB702B"/>
    <w:rsid w:val="00DB73B0"/>
    <w:rsid w:val="00DC10BB"/>
    <w:rsid w:val="00DC3750"/>
    <w:rsid w:val="00DC3831"/>
    <w:rsid w:val="00DC4CDC"/>
    <w:rsid w:val="00DC5691"/>
    <w:rsid w:val="00DC6A5D"/>
    <w:rsid w:val="00DC73C9"/>
    <w:rsid w:val="00DD026E"/>
    <w:rsid w:val="00DD0362"/>
    <w:rsid w:val="00DD0750"/>
    <w:rsid w:val="00DD0EA0"/>
    <w:rsid w:val="00DD2D94"/>
    <w:rsid w:val="00DD3044"/>
    <w:rsid w:val="00DD325A"/>
    <w:rsid w:val="00DD37C4"/>
    <w:rsid w:val="00DD3925"/>
    <w:rsid w:val="00DD4AD4"/>
    <w:rsid w:val="00DD55DE"/>
    <w:rsid w:val="00DD561D"/>
    <w:rsid w:val="00DD5A0E"/>
    <w:rsid w:val="00DD5D50"/>
    <w:rsid w:val="00DD6E1E"/>
    <w:rsid w:val="00DE0A0B"/>
    <w:rsid w:val="00DE1149"/>
    <w:rsid w:val="00DE1C12"/>
    <w:rsid w:val="00DE20DB"/>
    <w:rsid w:val="00DE2686"/>
    <w:rsid w:val="00DE2E99"/>
    <w:rsid w:val="00DE361C"/>
    <w:rsid w:val="00DE3C81"/>
    <w:rsid w:val="00DE4448"/>
    <w:rsid w:val="00DE5E14"/>
    <w:rsid w:val="00DF0156"/>
    <w:rsid w:val="00DF084E"/>
    <w:rsid w:val="00DF0B62"/>
    <w:rsid w:val="00DF0DA8"/>
    <w:rsid w:val="00DF1111"/>
    <w:rsid w:val="00DF133D"/>
    <w:rsid w:val="00DF2D3F"/>
    <w:rsid w:val="00DF3124"/>
    <w:rsid w:val="00DF3D6E"/>
    <w:rsid w:val="00DF43C4"/>
    <w:rsid w:val="00DF474D"/>
    <w:rsid w:val="00DF57FD"/>
    <w:rsid w:val="00DF6130"/>
    <w:rsid w:val="00DF6A2C"/>
    <w:rsid w:val="00DF7B96"/>
    <w:rsid w:val="00E00661"/>
    <w:rsid w:val="00E00EB8"/>
    <w:rsid w:val="00E010F8"/>
    <w:rsid w:val="00E01A85"/>
    <w:rsid w:val="00E020BE"/>
    <w:rsid w:val="00E034B9"/>
    <w:rsid w:val="00E03908"/>
    <w:rsid w:val="00E04D41"/>
    <w:rsid w:val="00E052F7"/>
    <w:rsid w:val="00E060FB"/>
    <w:rsid w:val="00E06EB4"/>
    <w:rsid w:val="00E06ECA"/>
    <w:rsid w:val="00E07788"/>
    <w:rsid w:val="00E07CA7"/>
    <w:rsid w:val="00E10232"/>
    <w:rsid w:val="00E1081F"/>
    <w:rsid w:val="00E115AA"/>
    <w:rsid w:val="00E14018"/>
    <w:rsid w:val="00E146D4"/>
    <w:rsid w:val="00E14E83"/>
    <w:rsid w:val="00E2100C"/>
    <w:rsid w:val="00E223DE"/>
    <w:rsid w:val="00E225C1"/>
    <w:rsid w:val="00E25012"/>
    <w:rsid w:val="00E2538C"/>
    <w:rsid w:val="00E26B53"/>
    <w:rsid w:val="00E2729B"/>
    <w:rsid w:val="00E27B6F"/>
    <w:rsid w:val="00E30770"/>
    <w:rsid w:val="00E33C4C"/>
    <w:rsid w:val="00E3589F"/>
    <w:rsid w:val="00E366BA"/>
    <w:rsid w:val="00E36D9A"/>
    <w:rsid w:val="00E41568"/>
    <w:rsid w:val="00E41830"/>
    <w:rsid w:val="00E43872"/>
    <w:rsid w:val="00E43E5D"/>
    <w:rsid w:val="00E43F24"/>
    <w:rsid w:val="00E46EE4"/>
    <w:rsid w:val="00E47B9C"/>
    <w:rsid w:val="00E5181F"/>
    <w:rsid w:val="00E51AF6"/>
    <w:rsid w:val="00E51FE1"/>
    <w:rsid w:val="00E528CC"/>
    <w:rsid w:val="00E558C6"/>
    <w:rsid w:val="00E5594D"/>
    <w:rsid w:val="00E56C06"/>
    <w:rsid w:val="00E57197"/>
    <w:rsid w:val="00E60AF4"/>
    <w:rsid w:val="00E61929"/>
    <w:rsid w:val="00E61C52"/>
    <w:rsid w:val="00E64A35"/>
    <w:rsid w:val="00E64E51"/>
    <w:rsid w:val="00E6512C"/>
    <w:rsid w:val="00E65407"/>
    <w:rsid w:val="00E658DF"/>
    <w:rsid w:val="00E658FE"/>
    <w:rsid w:val="00E65D13"/>
    <w:rsid w:val="00E65D17"/>
    <w:rsid w:val="00E664F2"/>
    <w:rsid w:val="00E67228"/>
    <w:rsid w:val="00E6781C"/>
    <w:rsid w:val="00E70ADE"/>
    <w:rsid w:val="00E70B2F"/>
    <w:rsid w:val="00E7128C"/>
    <w:rsid w:val="00E71B14"/>
    <w:rsid w:val="00E72EE9"/>
    <w:rsid w:val="00E75246"/>
    <w:rsid w:val="00E7654B"/>
    <w:rsid w:val="00E76F47"/>
    <w:rsid w:val="00E7770C"/>
    <w:rsid w:val="00E77B9C"/>
    <w:rsid w:val="00E812EA"/>
    <w:rsid w:val="00E81F0E"/>
    <w:rsid w:val="00E82558"/>
    <w:rsid w:val="00E83445"/>
    <w:rsid w:val="00E8359C"/>
    <w:rsid w:val="00E8473E"/>
    <w:rsid w:val="00E8563F"/>
    <w:rsid w:val="00E866FC"/>
    <w:rsid w:val="00E87AF4"/>
    <w:rsid w:val="00E90D78"/>
    <w:rsid w:val="00E92195"/>
    <w:rsid w:val="00E93021"/>
    <w:rsid w:val="00E9331E"/>
    <w:rsid w:val="00E93CD6"/>
    <w:rsid w:val="00E945DB"/>
    <w:rsid w:val="00E94990"/>
    <w:rsid w:val="00E95E8C"/>
    <w:rsid w:val="00E96DB0"/>
    <w:rsid w:val="00EA0081"/>
    <w:rsid w:val="00EA0B29"/>
    <w:rsid w:val="00EA15EF"/>
    <w:rsid w:val="00EA2C4F"/>
    <w:rsid w:val="00EA2D25"/>
    <w:rsid w:val="00EA6501"/>
    <w:rsid w:val="00EA6563"/>
    <w:rsid w:val="00EA6E51"/>
    <w:rsid w:val="00EA6E94"/>
    <w:rsid w:val="00EB03FC"/>
    <w:rsid w:val="00EB0416"/>
    <w:rsid w:val="00EB1783"/>
    <w:rsid w:val="00EB4814"/>
    <w:rsid w:val="00EB4931"/>
    <w:rsid w:val="00EB4E36"/>
    <w:rsid w:val="00EB5470"/>
    <w:rsid w:val="00EB5998"/>
    <w:rsid w:val="00EB5F68"/>
    <w:rsid w:val="00EB6C57"/>
    <w:rsid w:val="00EC19B9"/>
    <w:rsid w:val="00EC2104"/>
    <w:rsid w:val="00EC2E8A"/>
    <w:rsid w:val="00EC4781"/>
    <w:rsid w:val="00EC6357"/>
    <w:rsid w:val="00EC6717"/>
    <w:rsid w:val="00EC687D"/>
    <w:rsid w:val="00EC7270"/>
    <w:rsid w:val="00EC7C52"/>
    <w:rsid w:val="00EC7F9C"/>
    <w:rsid w:val="00ED11FE"/>
    <w:rsid w:val="00ED190C"/>
    <w:rsid w:val="00ED1C2A"/>
    <w:rsid w:val="00ED4C62"/>
    <w:rsid w:val="00ED4ED5"/>
    <w:rsid w:val="00ED5B11"/>
    <w:rsid w:val="00ED5E94"/>
    <w:rsid w:val="00EE0BB6"/>
    <w:rsid w:val="00EE1AAF"/>
    <w:rsid w:val="00EE372F"/>
    <w:rsid w:val="00EE438A"/>
    <w:rsid w:val="00EE4AC6"/>
    <w:rsid w:val="00EE58CB"/>
    <w:rsid w:val="00EE7070"/>
    <w:rsid w:val="00EF0017"/>
    <w:rsid w:val="00EF1EAE"/>
    <w:rsid w:val="00EF29F8"/>
    <w:rsid w:val="00EF4AC6"/>
    <w:rsid w:val="00EF4F9A"/>
    <w:rsid w:val="00EF6B74"/>
    <w:rsid w:val="00EF718D"/>
    <w:rsid w:val="00EF74C5"/>
    <w:rsid w:val="00F00083"/>
    <w:rsid w:val="00F003F5"/>
    <w:rsid w:val="00F00E1C"/>
    <w:rsid w:val="00F02397"/>
    <w:rsid w:val="00F029F9"/>
    <w:rsid w:val="00F06A78"/>
    <w:rsid w:val="00F07124"/>
    <w:rsid w:val="00F071AA"/>
    <w:rsid w:val="00F07CD3"/>
    <w:rsid w:val="00F10001"/>
    <w:rsid w:val="00F1070F"/>
    <w:rsid w:val="00F12C53"/>
    <w:rsid w:val="00F13C59"/>
    <w:rsid w:val="00F14852"/>
    <w:rsid w:val="00F15024"/>
    <w:rsid w:val="00F150FD"/>
    <w:rsid w:val="00F15227"/>
    <w:rsid w:val="00F17F4A"/>
    <w:rsid w:val="00F20B09"/>
    <w:rsid w:val="00F21A3B"/>
    <w:rsid w:val="00F2265F"/>
    <w:rsid w:val="00F23084"/>
    <w:rsid w:val="00F23D48"/>
    <w:rsid w:val="00F23EBD"/>
    <w:rsid w:val="00F241F1"/>
    <w:rsid w:val="00F24755"/>
    <w:rsid w:val="00F25356"/>
    <w:rsid w:val="00F26345"/>
    <w:rsid w:val="00F27E91"/>
    <w:rsid w:val="00F306EC"/>
    <w:rsid w:val="00F30F5C"/>
    <w:rsid w:val="00F31C08"/>
    <w:rsid w:val="00F3281B"/>
    <w:rsid w:val="00F34328"/>
    <w:rsid w:val="00F35333"/>
    <w:rsid w:val="00F3533C"/>
    <w:rsid w:val="00F356F6"/>
    <w:rsid w:val="00F3772B"/>
    <w:rsid w:val="00F37B4C"/>
    <w:rsid w:val="00F37F24"/>
    <w:rsid w:val="00F4181C"/>
    <w:rsid w:val="00F41CE6"/>
    <w:rsid w:val="00F42073"/>
    <w:rsid w:val="00F420BB"/>
    <w:rsid w:val="00F422EF"/>
    <w:rsid w:val="00F429E3"/>
    <w:rsid w:val="00F43497"/>
    <w:rsid w:val="00F437D3"/>
    <w:rsid w:val="00F44402"/>
    <w:rsid w:val="00F44A5E"/>
    <w:rsid w:val="00F45250"/>
    <w:rsid w:val="00F47266"/>
    <w:rsid w:val="00F47B9C"/>
    <w:rsid w:val="00F503EB"/>
    <w:rsid w:val="00F52373"/>
    <w:rsid w:val="00F53409"/>
    <w:rsid w:val="00F536A8"/>
    <w:rsid w:val="00F53F0D"/>
    <w:rsid w:val="00F54120"/>
    <w:rsid w:val="00F54A06"/>
    <w:rsid w:val="00F552DC"/>
    <w:rsid w:val="00F576F5"/>
    <w:rsid w:val="00F61173"/>
    <w:rsid w:val="00F6246B"/>
    <w:rsid w:val="00F6406F"/>
    <w:rsid w:val="00F640F0"/>
    <w:rsid w:val="00F64366"/>
    <w:rsid w:val="00F64577"/>
    <w:rsid w:val="00F679AB"/>
    <w:rsid w:val="00F71230"/>
    <w:rsid w:val="00F75863"/>
    <w:rsid w:val="00F758CA"/>
    <w:rsid w:val="00F75E2F"/>
    <w:rsid w:val="00F7685D"/>
    <w:rsid w:val="00F8000D"/>
    <w:rsid w:val="00F81AA1"/>
    <w:rsid w:val="00F82A53"/>
    <w:rsid w:val="00F83827"/>
    <w:rsid w:val="00F838E4"/>
    <w:rsid w:val="00F84668"/>
    <w:rsid w:val="00F85921"/>
    <w:rsid w:val="00F8606C"/>
    <w:rsid w:val="00F8766A"/>
    <w:rsid w:val="00F9249B"/>
    <w:rsid w:val="00F927C4"/>
    <w:rsid w:val="00F92E02"/>
    <w:rsid w:val="00F94271"/>
    <w:rsid w:val="00F94A54"/>
    <w:rsid w:val="00F95FDE"/>
    <w:rsid w:val="00F96B9A"/>
    <w:rsid w:val="00F97143"/>
    <w:rsid w:val="00F97748"/>
    <w:rsid w:val="00F97A68"/>
    <w:rsid w:val="00F97CA5"/>
    <w:rsid w:val="00FA16A6"/>
    <w:rsid w:val="00FA213A"/>
    <w:rsid w:val="00FA4643"/>
    <w:rsid w:val="00FA4ADA"/>
    <w:rsid w:val="00FA51D2"/>
    <w:rsid w:val="00FA569C"/>
    <w:rsid w:val="00FA6458"/>
    <w:rsid w:val="00FA72A0"/>
    <w:rsid w:val="00FA7BC8"/>
    <w:rsid w:val="00FB0DBD"/>
    <w:rsid w:val="00FB323B"/>
    <w:rsid w:val="00FB477E"/>
    <w:rsid w:val="00FB4D35"/>
    <w:rsid w:val="00FB539F"/>
    <w:rsid w:val="00FB53F1"/>
    <w:rsid w:val="00FB6FD8"/>
    <w:rsid w:val="00FB7F3C"/>
    <w:rsid w:val="00FC036C"/>
    <w:rsid w:val="00FC0BC7"/>
    <w:rsid w:val="00FC1EBB"/>
    <w:rsid w:val="00FC35EC"/>
    <w:rsid w:val="00FC3EE5"/>
    <w:rsid w:val="00FC4E60"/>
    <w:rsid w:val="00FC5FE8"/>
    <w:rsid w:val="00FC7839"/>
    <w:rsid w:val="00FD1AE6"/>
    <w:rsid w:val="00FD25BE"/>
    <w:rsid w:val="00FD26E7"/>
    <w:rsid w:val="00FD2915"/>
    <w:rsid w:val="00FD3F70"/>
    <w:rsid w:val="00FD47B6"/>
    <w:rsid w:val="00FD49D9"/>
    <w:rsid w:val="00FD5A8A"/>
    <w:rsid w:val="00FD5BDB"/>
    <w:rsid w:val="00FD6AE1"/>
    <w:rsid w:val="00FE1DE8"/>
    <w:rsid w:val="00FE2967"/>
    <w:rsid w:val="00FE2E19"/>
    <w:rsid w:val="00FE31E6"/>
    <w:rsid w:val="00FE434C"/>
    <w:rsid w:val="00FE4C13"/>
    <w:rsid w:val="00FE74EC"/>
    <w:rsid w:val="00FE7EE5"/>
    <w:rsid w:val="00FF2BBC"/>
    <w:rsid w:val="00FF3363"/>
    <w:rsid w:val="00FF36D3"/>
    <w:rsid w:val="00FF3F4B"/>
    <w:rsid w:val="00FF4B63"/>
    <w:rsid w:val="00FF4F3D"/>
    <w:rsid w:val="00FF719D"/>
    <w:rsid w:val="00FF7843"/>
    <w:rsid w:val="00FF7878"/>
    <w:rsid w:val="00FF7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7016AF8F"/>
  <w15:docId w15:val="{4707EBEF-5377-4CC0-A6CA-8D003D73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0BA"/>
    <w:pPr>
      <w:spacing w:line="360" w:lineRule="auto"/>
      <w:jc w:val="both"/>
    </w:pPr>
    <w:rPr>
      <w:rFonts w:ascii="Arial" w:hAnsi="Arial"/>
      <w:sz w:val="22"/>
      <w:szCs w:val="24"/>
    </w:rPr>
  </w:style>
  <w:style w:type="paragraph" w:styleId="Heading1">
    <w:name w:val="heading 1"/>
    <w:basedOn w:val="Title"/>
    <w:link w:val="Heading1Char"/>
    <w:uiPriority w:val="9"/>
    <w:qFormat/>
    <w:rsid w:val="009E0ACF"/>
    <w:pPr>
      <w:numPr>
        <w:numId w:val="3"/>
      </w:numPr>
      <w:shd w:val="clear" w:color="auto" w:fill="8DB3E2" w:themeFill="text2" w:themeFillTint="66"/>
      <w:spacing w:before="100" w:beforeAutospacing="1" w:after="100" w:afterAutospacing="1" w:line="240" w:lineRule="auto"/>
      <w:ind w:left="360"/>
      <w:jc w:val="left"/>
      <w:outlineLvl w:val="0"/>
    </w:pPr>
    <w:rPr>
      <w:rFonts w:asciiTheme="minorHAnsi" w:hAnsiTheme="minorHAnsi"/>
      <w:b/>
      <w:bCs/>
      <w:color w:val="000000" w:themeColor="text1"/>
      <w:kern w:val="36"/>
      <w:sz w:val="56"/>
      <w:szCs w:val="48"/>
    </w:rPr>
  </w:style>
  <w:style w:type="paragraph" w:styleId="Heading2">
    <w:name w:val="heading 2"/>
    <w:basedOn w:val="Normal"/>
    <w:next w:val="Normal"/>
    <w:link w:val="Heading2Char"/>
    <w:unhideWhenUsed/>
    <w:qFormat/>
    <w:rsid w:val="009E0ACF"/>
    <w:pPr>
      <w:keepNext/>
      <w:keepLines/>
      <w:numPr>
        <w:ilvl w:val="1"/>
        <w:numId w:val="3"/>
      </w:numPr>
      <w:shd w:val="clear" w:color="auto" w:fill="8DB3E2" w:themeFill="text2" w:themeFillTint="66"/>
      <w:spacing w:before="100" w:after="100" w:line="240" w:lineRule="auto"/>
      <w:jc w:val="left"/>
      <w:outlineLvl w:val="1"/>
    </w:pPr>
    <w:rPr>
      <w:rFonts w:asciiTheme="minorHAnsi" w:eastAsiaTheme="majorEastAsia" w:hAnsiTheme="minorHAnsi" w:cstheme="majorBidi"/>
      <w:b/>
      <w:bCs/>
      <w:color w:val="000000" w:themeColor="text1"/>
      <w:sz w:val="40"/>
      <w:szCs w:val="26"/>
    </w:rPr>
  </w:style>
  <w:style w:type="paragraph" w:styleId="Heading3">
    <w:name w:val="heading 3"/>
    <w:basedOn w:val="Normal"/>
    <w:next w:val="Normal"/>
    <w:link w:val="Heading3Char"/>
    <w:unhideWhenUsed/>
    <w:qFormat/>
    <w:rsid w:val="00921066"/>
    <w:pPr>
      <w:keepNext/>
      <w:keepLines/>
      <w:numPr>
        <w:ilvl w:val="2"/>
        <w:numId w:val="3"/>
      </w:numPr>
      <w:spacing w:before="200"/>
      <w:ind w:left="720"/>
      <w:outlineLvl w:val="2"/>
    </w:pPr>
    <w:rPr>
      <w:rFonts w:eastAsiaTheme="majorEastAsia" w:cstheme="majorBidi"/>
      <w:bCs/>
    </w:rPr>
  </w:style>
  <w:style w:type="paragraph" w:styleId="Heading4">
    <w:name w:val="heading 4"/>
    <w:basedOn w:val="Normal"/>
    <w:next w:val="Normal"/>
    <w:link w:val="Heading4Char"/>
    <w:unhideWhenUsed/>
    <w:qFormat/>
    <w:rsid w:val="0058757B"/>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58757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8757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8757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8757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8757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BED"/>
    <w:pPr>
      <w:ind w:left="720"/>
      <w:contextualSpacing/>
    </w:pPr>
  </w:style>
  <w:style w:type="paragraph" w:styleId="Header">
    <w:name w:val="header"/>
    <w:basedOn w:val="Normal"/>
    <w:link w:val="HeaderChar"/>
    <w:rsid w:val="00113794"/>
    <w:pPr>
      <w:tabs>
        <w:tab w:val="center" w:pos="4513"/>
        <w:tab w:val="right" w:pos="9026"/>
      </w:tabs>
    </w:pPr>
  </w:style>
  <w:style w:type="character" w:customStyle="1" w:styleId="HeaderChar">
    <w:name w:val="Header Char"/>
    <w:basedOn w:val="DefaultParagraphFont"/>
    <w:link w:val="Header"/>
    <w:rsid w:val="00113794"/>
    <w:rPr>
      <w:rFonts w:ascii="Arial" w:hAnsi="Arial"/>
      <w:sz w:val="24"/>
      <w:szCs w:val="24"/>
    </w:rPr>
  </w:style>
  <w:style w:type="paragraph" w:styleId="Footer">
    <w:name w:val="footer"/>
    <w:basedOn w:val="Normal"/>
    <w:link w:val="FooterChar"/>
    <w:uiPriority w:val="99"/>
    <w:rsid w:val="00113794"/>
    <w:pPr>
      <w:tabs>
        <w:tab w:val="center" w:pos="4513"/>
        <w:tab w:val="right" w:pos="9026"/>
      </w:tabs>
    </w:pPr>
  </w:style>
  <w:style w:type="character" w:customStyle="1" w:styleId="FooterChar">
    <w:name w:val="Footer Char"/>
    <w:basedOn w:val="DefaultParagraphFont"/>
    <w:link w:val="Footer"/>
    <w:uiPriority w:val="99"/>
    <w:rsid w:val="00113794"/>
    <w:rPr>
      <w:rFonts w:ascii="Arial" w:hAnsi="Arial"/>
      <w:sz w:val="24"/>
      <w:szCs w:val="24"/>
    </w:rPr>
  </w:style>
  <w:style w:type="paragraph" w:styleId="BalloonText">
    <w:name w:val="Balloon Text"/>
    <w:basedOn w:val="Normal"/>
    <w:link w:val="BalloonTextChar"/>
    <w:rsid w:val="001D6123"/>
    <w:rPr>
      <w:rFonts w:ascii="Tahoma" w:hAnsi="Tahoma" w:cs="Tahoma"/>
      <w:sz w:val="16"/>
      <w:szCs w:val="16"/>
    </w:rPr>
  </w:style>
  <w:style w:type="character" w:customStyle="1" w:styleId="BalloonTextChar">
    <w:name w:val="Balloon Text Char"/>
    <w:basedOn w:val="DefaultParagraphFont"/>
    <w:link w:val="BalloonText"/>
    <w:rsid w:val="001D6123"/>
    <w:rPr>
      <w:rFonts w:ascii="Tahoma" w:hAnsi="Tahoma" w:cs="Tahoma"/>
      <w:sz w:val="16"/>
      <w:szCs w:val="16"/>
    </w:rPr>
  </w:style>
  <w:style w:type="paragraph" w:styleId="EndnoteText">
    <w:name w:val="endnote text"/>
    <w:basedOn w:val="Normal"/>
    <w:link w:val="EndnoteTextChar"/>
    <w:rsid w:val="00E8473E"/>
    <w:rPr>
      <w:sz w:val="20"/>
      <w:szCs w:val="20"/>
    </w:rPr>
  </w:style>
  <w:style w:type="character" w:customStyle="1" w:styleId="EndnoteTextChar">
    <w:name w:val="Endnote Text Char"/>
    <w:basedOn w:val="DefaultParagraphFont"/>
    <w:link w:val="EndnoteText"/>
    <w:rsid w:val="00E8473E"/>
    <w:rPr>
      <w:rFonts w:ascii="Arial" w:hAnsi="Arial"/>
    </w:rPr>
  </w:style>
  <w:style w:type="character" w:styleId="EndnoteReference">
    <w:name w:val="endnote reference"/>
    <w:basedOn w:val="DefaultParagraphFont"/>
    <w:rsid w:val="00E8473E"/>
    <w:rPr>
      <w:vertAlign w:val="superscript"/>
    </w:rPr>
  </w:style>
  <w:style w:type="paragraph" w:styleId="FootnoteText">
    <w:name w:val="footnote text"/>
    <w:basedOn w:val="Normal"/>
    <w:link w:val="FootnoteTextChar"/>
    <w:uiPriority w:val="99"/>
    <w:rsid w:val="00E8473E"/>
    <w:rPr>
      <w:sz w:val="20"/>
      <w:szCs w:val="20"/>
    </w:rPr>
  </w:style>
  <w:style w:type="character" w:customStyle="1" w:styleId="FootnoteTextChar">
    <w:name w:val="Footnote Text Char"/>
    <w:basedOn w:val="DefaultParagraphFont"/>
    <w:link w:val="FootnoteText"/>
    <w:uiPriority w:val="99"/>
    <w:rsid w:val="00E8473E"/>
    <w:rPr>
      <w:rFonts w:ascii="Arial" w:hAnsi="Arial"/>
    </w:rPr>
  </w:style>
  <w:style w:type="character" w:styleId="FootnoteReference">
    <w:name w:val="footnote reference"/>
    <w:basedOn w:val="DefaultParagraphFont"/>
    <w:uiPriority w:val="99"/>
    <w:rsid w:val="00E8473E"/>
    <w:rPr>
      <w:vertAlign w:val="superscript"/>
    </w:rPr>
  </w:style>
  <w:style w:type="numbering" w:styleId="111111">
    <w:name w:val="Outline List 2"/>
    <w:aliases w:val="1.0 / 1.1 / 1.1.1"/>
    <w:basedOn w:val="NoList"/>
    <w:rsid w:val="004B2FB1"/>
    <w:pPr>
      <w:numPr>
        <w:numId w:val="1"/>
      </w:numPr>
    </w:pPr>
  </w:style>
  <w:style w:type="paragraph" w:customStyle="1" w:styleId="StyleBodyText12pt">
    <w:name w:val="Style Body Text + 12 pt"/>
    <w:basedOn w:val="BodyText"/>
    <w:rsid w:val="003544FD"/>
    <w:pPr>
      <w:numPr>
        <w:ilvl w:val="0"/>
      </w:numPr>
      <w:spacing w:after="0"/>
    </w:pPr>
    <w:rPr>
      <w:rFonts w:ascii="Arial" w:hAnsi="Arial"/>
      <w:szCs w:val="20"/>
      <w:lang w:eastAsia="en-US"/>
    </w:rPr>
  </w:style>
  <w:style w:type="paragraph" w:styleId="BodyText">
    <w:name w:val="Body Text"/>
    <w:basedOn w:val="Normal"/>
    <w:link w:val="BodyTextChar"/>
    <w:rsid w:val="003544FD"/>
    <w:pPr>
      <w:numPr>
        <w:ilvl w:val="1"/>
        <w:numId w:val="2"/>
      </w:numPr>
      <w:spacing w:after="120"/>
    </w:pPr>
    <w:rPr>
      <w:rFonts w:ascii="Times New Roman" w:hAnsi="Times New Roman"/>
    </w:rPr>
  </w:style>
  <w:style w:type="character" w:customStyle="1" w:styleId="BodyTextChar">
    <w:name w:val="Body Text Char"/>
    <w:basedOn w:val="DefaultParagraphFont"/>
    <w:link w:val="BodyText"/>
    <w:rsid w:val="003544FD"/>
    <w:rPr>
      <w:sz w:val="22"/>
      <w:szCs w:val="24"/>
    </w:rPr>
  </w:style>
  <w:style w:type="character" w:customStyle="1" w:styleId="Heading1Char">
    <w:name w:val="Heading 1 Char"/>
    <w:basedOn w:val="DefaultParagraphFont"/>
    <w:link w:val="Heading1"/>
    <w:uiPriority w:val="9"/>
    <w:rsid w:val="009E0ACF"/>
    <w:rPr>
      <w:rFonts w:asciiTheme="minorHAnsi" w:eastAsiaTheme="majorEastAsia" w:hAnsiTheme="minorHAnsi" w:cstheme="majorBidi"/>
      <w:b/>
      <w:bCs/>
      <w:color w:val="000000" w:themeColor="text1"/>
      <w:spacing w:val="5"/>
      <w:kern w:val="36"/>
      <w:sz w:val="56"/>
      <w:szCs w:val="48"/>
      <w:shd w:val="clear" w:color="auto" w:fill="8DB3E2" w:themeFill="text2" w:themeFillTint="66"/>
    </w:rPr>
  </w:style>
  <w:style w:type="character" w:customStyle="1" w:styleId="Heading2Char">
    <w:name w:val="Heading 2 Char"/>
    <w:basedOn w:val="DefaultParagraphFont"/>
    <w:link w:val="Heading2"/>
    <w:rsid w:val="009E0ACF"/>
    <w:rPr>
      <w:rFonts w:asciiTheme="minorHAnsi" w:eastAsiaTheme="majorEastAsia" w:hAnsiTheme="minorHAnsi" w:cstheme="majorBidi"/>
      <w:b/>
      <w:bCs/>
      <w:color w:val="000000" w:themeColor="text1"/>
      <w:sz w:val="40"/>
      <w:szCs w:val="26"/>
      <w:shd w:val="clear" w:color="auto" w:fill="8DB3E2" w:themeFill="text2" w:themeFillTint="66"/>
    </w:rPr>
  </w:style>
  <w:style w:type="character" w:customStyle="1" w:styleId="Heading3Char">
    <w:name w:val="Heading 3 Char"/>
    <w:basedOn w:val="DefaultParagraphFont"/>
    <w:link w:val="Heading3"/>
    <w:rsid w:val="00921066"/>
    <w:rPr>
      <w:rFonts w:ascii="Arial" w:eastAsiaTheme="majorEastAsia" w:hAnsi="Arial" w:cstheme="majorBidi"/>
      <w:bCs/>
      <w:sz w:val="22"/>
      <w:szCs w:val="24"/>
    </w:rPr>
  </w:style>
  <w:style w:type="character" w:styleId="Strong">
    <w:name w:val="Strong"/>
    <w:qFormat/>
    <w:rsid w:val="00713D4F"/>
    <w:rPr>
      <w:b/>
      <w:bCs/>
    </w:rPr>
  </w:style>
  <w:style w:type="paragraph" w:styleId="Title">
    <w:name w:val="Title"/>
    <w:basedOn w:val="Normal"/>
    <w:next w:val="Normal"/>
    <w:link w:val="TitleChar"/>
    <w:qFormat/>
    <w:rsid w:val="00AA52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A52D5"/>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rsid w:val="0058757B"/>
    <w:rPr>
      <w:rFonts w:asciiTheme="majorHAnsi" w:eastAsiaTheme="majorEastAsia" w:hAnsiTheme="majorHAnsi" w:cstheme="majorBidi"/>
      <w:b/>
      <w:bCs/>
      <w:i/>
      <w:iCs/>
      <w:color w:val="4F81BD" w:themeColor="accent1"/>
      <w:sz w:val="22"/>
      <w:szCs w:val="24"/>
    </w:rPr>
  </w:style>
  <w:style w:type="character" w:customStyle="1" w:styleId="Heading5Char">
    <w:name w:val="Heading 5 Char"/>
    <w:basedOn w:val="DefaultParagraphFont"/>
    <w:link w:val="Heading5"/>
    <w:rsid w:val="0058757B"/>
    <w:rPr>
      <w:rFonts w:asciiTheme="majorHAnsi" w:eastAsiaTheme="majorEastAsia" w:hAnsiTheme="majorHAnsi" w:cstheme="majorBidi"/>
      <w:color w:val="243F60" w:themeColor="accent1" w:themeShade="7F"/>
      <w:sz w:val="22"/>
      <w:szCs w:val="24"/>
    </w:rPr>
  </w:style>
  <w:style w:type="character" w:customStyle="1" w:styleId="Heading6Char">
    <w:name w:val="Heading 6 Char"/>
    <w:basedOn w:val="DefaultParagraphFont"/>
    <w:link w:val="Heading6"/>
    <w:semiHidden/>
    <w:rsid w:val="0058757B"/>
    <w:rPr>
      <w:rFonts w:asciiTheme="majorHAnsi" w:eastAsiaTheme="majorEastAsia" w:hAnsiTheme="majorHAnsi" w:cstheme="majorBidi"/>
      <w:i/>
      <w:iCs/>
      <w:color w:val="243F60" w:themeColor="accent1" w:themeShade="7F"/>
      <w:sz w:val="22"/>
      <w:szCs w:val="24"/>
    </w:rPr>
  </w:style>
  <w:style w:type="character" w:customStyle="1" w:styleId="Heading7Char">
    <w:name w:val="Heading 7 Char"/>
    <w:basedOn w:val="DefaultParagraphFont"/>
    <w:link w:val="Heading7"/>
    <w:semiHidden/>
    <w:rsid w:val="0058757B"/>
    <w:rPr>
      <w:rFonts w:asciiTheme="majorHAnsi" w:eastAsiaTheme="majorEastAsia" w:hAnsiTheme="majorHAnsi" w:cstheme="majorBidi"/>
      <w:i/>
      <w:iCs/>
      <w:color w:val="404040" w:themeColor="text1" w:themeTint="BF"/>
      <w:sz w:val="22"/>
      <w:szCs w:val="24"/>
    </w:rPr>
  </w:style>
  <w:style w:type="character" w:customStyle="1" w:styleId="Heading8Char">
    <w:name w:val="Heading 8 Char"/>
    <w:basedOn w:val="DefaultParagraphFont"/>
    <w:link w:val="Heading8"/>
    <w:semiHidden/>
    <w:rsid w:val="0058757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58757B"/>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semiHidden/>
    <w:unhideWhenUsed/>
    <w:qFormat/>
    <w:rsid w:val="009D4812"/>
    <w:pPr>
      <w:keepNext/>
      <w:keepLines/>
      <w:numPr>
        <w:numId w:val="0"/>
      </w:numPr>
      <w:pBdr>
        <w:bottom w:val="none" w:sz="0" w:space="0" w:color="auto"/>
      </w:pBdr>
      <w:shd w:val="clear" w:color="auto" w:fill="auto"/>
      <w:spacing w:before="480" w:beforeAutospacing="0" w:after="0" w:afterAutospacing="0" w:line="276" w:lineRule="auto"/>
      <w:contextualSpacing w:val="0"/>
      <w:outlineLvl w:val="9"/>
    </w:pPr>
    <w:rPr>
      <w:rFonts w:asciiTheme="majorHAnsi" w:hAnsiTheme="majorHAnsi"/>
      <w:color w:val="365F91" w:themeColor="accent1" w:themeShade="BF"/>
      <w:spacing w:val="0"/>
      <w:kern w:val="0"/>
      <w:sz w:val="28"/>
      <w:szCs w:val="28"/>
      <w:lang w:val="en-US" w:eastAsia="ja-JP"/>
    </w:rPr>
  </w:style>
  <w:style w:type="paragraph" w:styleId="TOC1">
    <w:name w:val="toc 1"/>
    <w:basedOn w:val="Normal"/>
    <w:next w:val="Normal"/>
    <w:autoRedefine/>
    <w:uiPriority w:val="39"/>
    <w:rsid w:val="00DF6A2C"/>
    <w:pPr>
      <w:tabs>
        <w:tab w:val="left" w:pos="426"/>
        <w:tab w:val="right" w:leader="dot" w:pos="13948"/>
      </w:tabs>
      <w:spacing w:after="100"/>
    </w:pPr>
  </w:style>
  <w:style w:type="paragraph" w:styleId="TOC3">
    <w:name w:val="toc 3"/>
    <w:basedOn w:val="Normal"/>
    <w:next w:val="Normal"/>
    <w:autoRedefine/>
    <w:uiPriority w:val="39"/>
    <w:rsid w:val="009D4812"/>
    <w:pPr>
      <w:spacing w:after="100"/>
      <w:ind w:left="440"/>
    </w:pPr>
  </w:style>
  <w:style w:type="paragraph" w:styleId="TOC2">
    <w:name w:val="toc 2"/>
    <w:basedOn w:val="Normal"/>
    <w:next w:val="Normal"/>
    <w:autoRedefine/>
    <w:uiPriority w:val="39"/>
    <w:rsid w:val="00F53409"/>
    <w:pPr>
      <w:spacing w:after="100"/>
    </w:pPr>
  </w:style>
  <w:style w:type="character" w:styleId="Hyperlink">
    <w:name w:val="Hyperlink"/>
    <w:basedOn w:val="DefaultParagraphFont"/>
    <w:uiPriority w:val="99"/>
    <w:unhideWhenUsed/>
    <w:rsid w:val="009D4812"/>
    <w:rPr>
      <w:color w:val="0000FF" w:themeColor="hyperlink"/>
      <w:u w:val="single"/>
    </w:rPr>
  </w:style>
  <w:style w:type="paragraph" w:styleId="NoSpacing">
    <w:name w:val="No Spacing"/>
    <w:uiPriority w:val="1"/>
    <w:qFormat/>
    <w:rsid w:val="00F7123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7218">
      <w:bodyDiv w:val="1"/>
      <w:marLeft w:val="0"/>
      <w:marRight w:val="0"/>
      <w:marTop w:val="0"/>
      <w:marBottom w:val="0"/>
      <w:divBdr>
        <w:top w:val="none" w:sz="0" w:space="0" w:color="auto"/>
        <w:left w:val="none" w:sz="0" w:space="0" w:color="auto"/>
        <w:bottom w:val="none" w:sz="0" w:space="0" w:color="auto"/>
        <w:right w:val="none" w:sz="0" w:space="0" w:color="auto"/>
      </w:divBdr>
    </w:div>
    <w:div w:id="93551786">
      <w:bodyDiv w:val="1"/>
      <w:marLeft w:val="0"/>
      <w:marRight w:val="0"/>
      <w:marTop w:val="0"/>
      <w:marBottom w:val="0"/>
      <w:divBdr>
        <w:top w:val="none" w:sz="0" w:space="0" w:color="auto"/>
        <w:left w:val="none" w:sz="0" w:space="0" w:color="auto"/>
        <w:bottom w:val="none" w:sz="0" w:space="0" w:color="auto"/>
        <w:right w:val="none" w:sz="0" w:space="0" w:color="auto"/>
      </w:divBdr>
    </w:div>
    <w:div w:id="120881145">
      <w:bodyDiv w:val="1"/>
      <w:marLeft w:val="0"/>
      <w:marRight w:val="0"/>
      <w:marTop w:val="0"/>
      <w:marBottom w:val="0"/>
      <w:divBdr>
        <w:top w:val="none" w:sz="0" w:space="0" w:color="auto"/>
        <w:left w:val="none" w:sz="0" w:space="0" w:color="auto"/>
        <w:bottom w:val="none" w:sz="0" w:space="0" w:color="auto"/>
        <w:right w:val="none" w:sz="0" w:space="0" w:color="auto"/>
      </w:divBdr>
    </w:div>
    <w:div w:id="127600210">
      <w:bodyDiv w:val="1"/>
      <w:marLeft w:val="0"/>
      <w:marRight w:val="0"/>
      <w:marTop w:val="0"/>
      <w:marBottom w:val="0"/>
      <w:divBdr>
        <w:top w:val="none" w:sz="0" w:space="0" w:color="auto"/>
        <w:left w:val="none" w:sz="0" w:space="0" w:color="auto"/>
        <w:bottom w:val="none" w:sz="0" w:space="0" w:color="auto"/>
        <w:right w:val="none" w:sz="0" w:space="0" w:color="auto"/>
      </w:divBdr>
    </w:div>
    <w:div w:id="157506244">
      <w:bodyDiv w:val="1"/>
      <w:marLeft w:val="0"/>
      <w:marRight w:val="0"/>
      <w:marTop w:val="0"/>
      <w:marBottom w:val="0"/>
      <w:divBdr>
        <w:top w:val="none" w:sz="0" w:space="0" w:color="auto"/>
        <w:left w:val="none" w:sz="0" w:space="0" w:color="auto"/>
        <w:bottom w:val="none" w:sz="0" w:space="0" w:color="auto"/>
        <w:right w:val="none" w:sz="0" w:space="0" w:color="auto"/>
      </w:divBdr>
    </w:div>
    <w:div w:id="162742041">
      <w:bodyDiv w:val="1"/>
      <w:marLeft w:val="0"/>
      <w:marRight w:val="0"/>
      <w:marTop w:val="0"/>
      <w:marBottom w:val="0"/>
      <w:divBdr>
        <w:top w:val="none" w:sz="0" w:space="0" w:color="auto"/>
        <w:left w:val="none" w:sz="0" w:space="0" w:color="auto"/>
        <w:bottom w:val="none" w:sz="0" w:space="0" w:color="auto"/>
        <w:right w:val="none" w:sz="0" w:space="0" w:color="auto"/>
      </w:divBdr>
    </w:div>
    <w:div w:id="175656856">
      <w:bodyDiv w:val="1"/>
      <w:marLeft w:val="0"/>
      <w:marRight w:val="0"/>
      <w:marTop w:val="0"/>
      <w:marBottom w:val="0"/>
      <w:divBdr>
        <w:top w:val="none" w:sz="0" w:space="0" w:color="auto"/>
        <w:left w:val="none" w:sz="0" w:space="0" w:color="auto"/>
        <w:bottom w:val="none" w:sz="0" w:space="0" w:color="auto"/>
        <w:right w:val="none" w:sz="0" w:space="0" w:color="auto"/>
      </w:divBdr>
    </w:div>
    <w:div w:id="191041615">
      <w:bodyDiv w:val="1"/>
      <w:marLeft w:val="0"/>
      <w:marRight w:val="0"/>
      <w:marTop w:val="0"/>
      <w:marBottom w:val="0"/>
      <w:divBdr>
        <w:top w:val="none" w:sz="0" w:space="0" w:color="auto"/>
        <w:left w:val="none" w:sz="0" w:space="0" w:color="auto"/>
        <w:bottom w:val="none" w:sz="0" w:space="0" w:color="auto"/>
        <w:right w:val="none" w:sz="0" w:space="0" w:color="auto"/>
      </w:divBdr>
    </w:div>
    <w:div w:id="204024155">
      <w:bodyDiv w:val="1"/>
      <w:marLeft w:val="0"/>
      <w:marRight w:val="0"/>
      <w:marTop w:val="0"/>
      <w:marBottom w:val="0"/>
      <w:divBdr>
        <w:top w:val="none" w:sz="0" w:space="0" w:color="auto"/>
        <w:left w:val="none" w:sz="0" w:space="0" w:color="auto"/>
        <w:bottom w:val="none" w:sz="0" w:space="0" w:color="auto"/>
        <w:right w:val="none" w:sz="0" w:space="0" w:color="auto"/>
      </w:divBdr>
    </w:div>
    <w:div w:id="211158046">
      <w:bodyDiv w:val="1"/>
      <w:marLeft w:val="0"/>
      <w:marRight w:val="0"/>
      <w:marTop w:val="0"/>
      <w:marBottom w:val="0"/>
      <w:divBdr>
        <w:top w:val="none" w:sz="0" w:space="0" w:color="auto"/>
        <w:left w:val="none" w:sz="0" w:space="0" w:color="auto"/>
        <w:bottom w:val="none" w:sz="0" w:space="0" w:color="auto"/>
        <w:right w:val="none" w:sz="0" w:space="0" w:color="auto"/>
      </w:divBdr>
    </w:div>
    <w:div w:id="217086720">
      <w:bodyDiv w:val="1"/>
      <w:marLeft w:val="0"/>
      <w:marRight w:val="0"/>
      <w:marTop w:val="0"/>
      <w:marBottom w:val="0"/>
      <w:divBdr>
        <w:top w:val="none" w:sz="0" w:space="0" w:color="auto"/>
        <w:left w:val="none" w:sz="0" w:space="0" w:color="auto"/>
        <w:bottom w:val="none" w:sz="0" w:space="0" w:color="auto"/>
        <w:right w:val="none" w:sz="0" w:space="0" w:color="auto"/>
      </w:divBdr>
    </w:div>
    <w:div w:id="238247147">
      <w:bodyDiv w:val="1"/>
      <w:marLeft w:val="0"/>
      <w:marRight w:val="0"/>
      <w:marTop w:val="0"/>
      <w:marBottom w:val="0"/>
      <w:divBdr>
        <w:top w:val="none" w:sz="0" w:space="0" w:color="auto"/>
        <w:left w:val="none" w:sz="0" w:space="0" w:color="auto"/>
        <w:bottom w:val="none" w:sz="0" w:space="0" w:color="auto"/>
        <w:right w:val="none" w:sz="0" w:space="0" w:color="auto"/>
      </w:divBdr>
    </w:div>
    <w:div w:id="293340236">
      <w:bodyDiv w:val="1"/>
      <w:marLeft w:val="0"/>
      <w:marRight w:val="0"/>
      <w:marTop w:val="0"/>
      <w:marBottom w:val="0"/>
      <w:divBdr>
        <w:top w:val="none" w:sz="0" w:space="0" w:color="auto"/>
        <w:left w:val="none" w:sz="0" w:space="0" w:color="auto"/>
        <w:bottom w:val="none" w:sz="0" w:space="0" w:color="auto"/>
        <w:right w:val="none" w:sz="0" w:space="0" w:color="auto"/>
      </w:divBdr>
    </w:div>
    <w:div w:id="307252381">
      <w:bodyDiv w:val="1"/>
      <w:marLeft w:val="0"/>
      <w:marRight w:val="0"/>
      <w:marTop w:val="0"/>
      <w:marBottom w:val="0"/>
      <w:divBdr>
        <w:top w:val="none" w:sz="0" w:space="0" w:color="auto"/>
        <w:left w:val="none" w:sz="0" w:space="0" w:color="auto"/>
        <w:bottom w:val="none" w:sz="0" w:space="0" w:color="auto"/>
        <w:right w:val="none" w:sz="0" w:space="0" w:color="auto"/>
      </w:divBdr>
    </w:div>
    <w:div w:id="311905383">
      <w:bodyDiv w:val="1"/>
      <w:marLeft w:val="0"/>
      <w:marRight w:val="0"/>
      <w:marTop w:val="0"/>
      <w:marBottom w:val="0"/>
      <w:divBdr>
        <w:top w:val="none" w:sz="0" w:space="0" w:color="auto"/>
        <w:left w:val="none" w:sz="0" w:space="0" w:color="auto"/>
        <w:bottom w:val="none" w:sz="0" w:space="0" w:color="auto"/>
        <w:right w:val="none" w:sz="0" w:space="0" w:color="auto"/>
      </w:divBdr>
    </w:div>
    <w:div w:id="352462080">
      <w:bodyDiv w:val="1"/>
      <w:marLeft w:val="0"/>
      <w:marRight w:val="0"/>
      <w:marTop w:val="0"/>
      <w:marBottom w:val="0"/>
      <w:divBdr>
        <w:top w:val="none" w:sz="0" w:space="0" w:color="auto"/>
        <w:left w:val="none" w:sz="0" w:space="0" w:color="auto"/>
        <w:bottom w:val="none" w:sz="0" w:space="0" w:color="auto"/>
        <w:right w:val="none" w:sz="0" w:space="0" w:color="auto"/>
      </w:divBdr>
    </w:div>
    <w:div w:id="356277608">
      <w:bodyDiv w:val="1"/>
      <w:marLeft w:val="0"/>
      <w:marRight w:val="0"/>
      <w:marTop w:val="0"/>
      <w:marBottom w:val="0"/>
      <w:divBdr>
        <w:top w:val="none" w:sz="0" w:space="0" w:color="auto"/>
        <w:left w:val="none" w:sz="0" w:space="0" w:color="auto"/>
        <w:bottom w:val="none" w:sz="0" w:space="0" w:color="auto"/>
        <w:right w:val="none" w:sz="0" w:space="0" w:color="auto"/>
      </w:divBdr>
    </w:div>
    <w:div w:id="444159182">
      <w:bodyDiv w:val="1"/>
      <w:marLeft w:val="0"/>
      <w:marRight w:val="0"/>
      <w:marTop w:val="0"/>
      <w:marBottom w:val="0"/>
      <w:divBdr>
        <w:top w:val="none" w:sz="0" w:space="0" w:color="auto"/>
        <w:left w:val="none" w:sz="0" w:space="0" w:color="auto"/>
        <w:bottom w:val="none" w:sz="0" w:space="0" w:color="auto"/>
        <w:right w:val="none" w:sz="0" w:space="0" w:color="auto"/>
      </w:divBdr>
    </w:div>
    <w:div w:id="465778726">
      <w:bodyDiv w:val="1"/>
      <w:marLeft w:val="0"/>
      <w:marRight w:val="0"/>
      <w:marTop w:val="0"/>
      <w:marBottom w:val="0"/>
      <w:divBdr>
        <w:top w:val="none" w:sz="0" w:space="0" w:color="auto"/>
        <w:left w:val="none" w:sz="0" w:space="0" w:color="auto"/>
        <w:bottom w:val="none" w:sz="0" w:space="0" w:color="auto"/>
        <w:right w:val="none" w:sz="0" w:space="0" w:color="auto"/>
      </w:divBdr>
    </w:div>
    <w:div w:id="466243293">
      <w:bodyDiv w:val="1"/>
      <w:marLeft w:val="0"/>
      <w:marRight w:val="0"/>
      <w:marTop w:val="0"/>
      <w:marBottom w:val="0"/>
      <w:divBdr>
        <w:top w:val="none" w:sz="0" w:space="0" w:color="auto"/>
        <w:left w:val="none" w:sz="0" w:space="0" w:color="auto"/>
        <w:bottom w:val="none" w:sz="0" w:space="0" w:color="auto"/>
        <w:right w:val="none" w:sz="0" w:space="0" w:color="auto"/>
      </w:divBdr>
    </w:div>
    <w:div w:id="486211636">
      <w:bodyDiv w:val="1"/>
      <w:marLeft w:val="0"/>
      <w:marRight w:val="0"/>
      <w:marTop w:val="0"/>
      <w:marBottom w:val="0"/>
      <w:divBdr>
        <w:top w:val="none" w:sz="0" w:space="0" w:color="auto"/>
        <w:left w:val="none" w:sz="0" w:space="0" w:color="auto"/>
        <w:bottom w:val="none" w:sz="0" w:space="0" w:color="auto"/>
        <w:right w:val="none" w:sz="0" w:space="0" w:color="auto"/>
      </w:divBdr>
    </w:div>
    <w:div w:id="502166092">
      <w:bodyDiv w:val="1"/>
      <w:marLeft w:val="0"/>
      <w:marRight w:val="0"/>
      <w:marTop w:val="0"/>
      <w:marBottom w:val="0"/>
      <w:divBdr>
        <w:top w:val="none" w:sz="0" w:space="0" w:color="auto"/>
        <w:left w:val="none" w:sz="0" w:space="0" w:color="auto"/>
        <w:bottom w:val="none" w:sz="0" w:space="0" w:color="auto"/>
        <w:right w:val="none" w:sz="0" w:space="0" w:color="auto"/>
      </w:divBdr>
    </w:div>
    <w:div w:id="569852280">
      <w:bodyDiv w:val="1"/>
      <w:marLeft w:val="0"/>
      <w:marRight w:val="0"/>
      <w:marTop w:val="0"/>
      <w:marBottom w:val="0"/>
      <w:divBdr>
        <w:top w:val="none" w:sz="0" w:space="0" w:color="auto"/>
        <w:left w:val="none" w:sz="0" w:space="0" w:color="auto"/>
        <w:bottom w:val="none" w:sz="0" w:space="0" w:color="auto"/>
        <w:right w:val="none" w:sz="0" w:space="0" w:color="auto"/>
      </w:divBdr>
    </w:div>
    <w:div w:id="642929630">
      <w:bodyDiv w:val="1"/>
      <w:marLeft w:val="0"/>
      <w:marRight w:val="0"/>
      <w:marTop w:val="0"/>
      <w:marBottom w:val="0"/>
      <w:divBdr>
        <w:top w:val="none" w:sz="0" w:space="0" w:color="auto"/>
        <w:left w:val="none" w:sz="0" w:space="0" w:color="auto"/>
        <w:bottom w:val="none" w:sz="0" w:space="0" w:color="auto"/>
        <w:right w:val="none" w:sz="0" w:space="0" w:color="auto"/>
      </w:divBdr>
    </w:div>
    <w:div w:id="687871824">
      <w:bodyDiv w:val="1"/>
      <w:marLeft w:val="0"/>
      <w:marRight w:val="0"/>
      <w:marTop w:val="0"/>
      <w:marBottom w:val="0"/>
      <w:divBdr>
        <w:top w:val="none" w:sz="0" w:space="0" w:color="auto"/>
        <w:left w:val="none" w:sz="0" w:space="0" w:color="auto"/>
        <w:bottom w:val="none" w:sz="0" w:space="0" w:color="auto"/>
        <w:right w:val="none" w:sz="0" w:space="0" w:color="auto"/>
      </w:divBdr>
    </w:div>
    <w:div w:id="701202017">
      <w:bodyDiv w:val="1"/>
      <w:marLeft w:val="0"/>
      <w:marRight w:val="0"/>
      <w:marTop w:val="0"/>
      <w:marBottom w:val="0"/>
      <w:divBdr>
        <w:top w:val="none" w:sz="0" w:space="0" w:color="auto"/>
        <w:left w:val="none" w:sz="0" w:space="0" w:color="auto"/>
        <w:bottom w:val="none" w:sz="0" w:space="0" w:color="auto"/>
        <w:right w:val="none" w:sz="0" w:space="0" w:color="auto"/>
      </w:divBdr>
    </w:div>
    <w:div w:id="807669813">
      <w:bodyDiv w:val="1"/>
      <w:marLeft w:val="0"/>
      <w:marRight w:val="0"/>
      <w:marTop w:val="0"/>
      <w:marBottom w:val="0"/>
      <w:divBdr>
        <w:top w:val="none" w:sz="0" w:space="0" w:color="auto"/>
        <w:left w:val="none" w:sz="0" w:space="0" w:color="auto"/>
        <w:bottom w:val="none" w:sz="0" w:space="0" w:color="auto"/>
        <w:right w:val="none" w:sz="0" w:space="0" w:color="auto"/>
      </w:divBdr>
    </w:div>
    <w:div w:id="810634968">
      <w:bodyDiv w:val="1"/>
      <w:marLeft w:val="0"/>
      <w:marRight w:val="0"/>
      <w:marTop w:val="0"/>
      <w:marBottom w:val="0"/>
      <w:divBdr>
        <w:top w:val="none" w:sz="0" w:space="0" w:color="auto"/>
        <w:left w:val="none" w:sz="0" w:space="0" w:color="auto"/>
        <w:bottom w:val="none" w:sz="0" w:space="0" w:color="auto"/>
        <w:right w:val="none" w:sz="0" w:space="0" w:color="auto"/>
      </w:divBdr>
    </w:div>
    <w:div w:id="821585878">
      <w:bodyDiv w:val="1"/>
      <w:marLeft w:val="0"/>
      <w:marRight w:val="0"/>
      <w:marTop w:val="0"/>
      <w:marBottom w:val="0"/>
      <w:divBdr>
        <w:top w:val="none" w:sz="0" w:space="0" w:color="auto"/>
        <w:left w:val="none" w:sz="0" w:space="0" w:color="auto"/>
        <w:bottom w:val="none" w:sz="0" w:space="0" w:color="auto"/>
        <w:right w:val="none" w:sz="0" w:space="0" w:color="auto"/>
      </w:divBdr>
    </w:div>
    <w:div w:id="849610116">
      <w:bodyDiv w:val="1"/>
      <w:marLeft w:val="0"/>
      <w:marRight w:val="0"/>
      <w:marTop w:val="0"/>
      <w:marBottom w:val="0"/>
      <w:divBdr>
        <w:top w:val="none" w:sz="0" w:space="0" w:color="auto"/>
        <w:left w:val="none" w:sz="0" w:space="0" w:color="auto"/>
        <w:bottom w:val="none" w:sz="0" w:space="0" w:color="auto"/>
        <w:right w:val="none" w:sz="0" w:space="0" w:color="auto"/>
      </w:divBdr>
    </w:div>
    <w:div w:id="888609753">
      <w:bodyDiv w:val="1"/>
      <w:marLeft w:val="0"/>
      <w:marRight w:val="0"/>
      <w:marTop w:val="0"/>
      <w:marBottom w:val="0"/>
      <w:divBdr>
        <w:top w:val="none" w:sz="0" w:space="0" w:color="auto"/>
        <w:left w:val="none" w:sz="0" w:space="0" w:color="auto"/>
        <w:bottom w:val="none" w:sz="0" w:space="0" w:color="auto"/>
        <w:right w:val="none" w:sz="0" w:space="0" w:color="auto"/>
      </w:divBdr>
    </w:div>
    <w:div w:id="946808712">
      <w:bodyDiv w:val="1"/>
      <w:marLeft w:val="0"/>
      <w:marRight w:val="0"/>
      <w:marTop w:val="0"/>
      <w:marBottom w:val="0"/>
      <w:divBdr>
        <w:top w:val="none" w:sz="0" w:space="0" w:color="auto"/>
        <w:left w:val="none" w:sz="0" w:space="0" w:color="auto"/>
        <w:bottom w:val="none" w:sz="0" w:space="0" w:color="auto"/>
        <w:right w:val="none" w:sz="0" w:space="0" w:color="auto"/>
      </w:divBdr>
    </w:div>
    <w:div w:id="975528095">
      <w:bodyDiv w:val="1"/>
      <w:marLeft w:val="0"/>
      <w:marRight w:val="0"/>
      <w:marTop w:val="0"/>
      <w:marBottom w:val="0"/>
      <w:divBdr>
        <w:top w:val="none" w:sz="0" w:space="0" w:color="auto"/>
        <w:left w:val="none" w:sz="0" w:space="0" w:color="auto"/>
        <w:bottom w:val="none" w:sz="0" w:space="0" w:color="auto"/>
        <w:right w:val="none" w:sz="0" w:space="0" w:color="auto"/>
      </w:divBdr>
    </w:div>
    <w:div w:id="1006714423">
      <w:bodyDiv w:val="1"/>
      <w:marLeft w:val="0"/>
      <w:marRight w:val="0"/>
      <w:marTop w:val="0"/>
      <w:marBottom w:val="0"/>
      <w:divBdr>
        <w:top w:val="none" w:sz="0" w:space="0" w:color="auto"/>
        <w:left w:val="none" w:sz="0" w:space="0" w:color="auto"/>
        <w:bottom w:val="none" w:sz="0" w:space="0" w:color="auto"/>
        <w:right w:val="none" w:sz="0" w:space="0" w:color="auto"/>
      </w:divBdr>
    </w:div>
    <w:div w:id="1008947412">
      <w:bodyDiv w:val="1"/>
      <w:marLeft w:val="0"/>
      <w:marRight w:val="0"/>
      <w:marTop w:val="0"/>
      <w:marBottom w:val="0"/>
      <w:divBdr>
        <w:top w:val="none" w:sz="0" w:space="0" w:color="auto"/>
        <w:left w:val="none" w:sz="0" w:space="0" w:color="auto"/>
        <w:bottom w:val="none" w:sz="0" w:space="0" w:color="auto"/>
        <w:right w:val="none" w:sz="0" w:space="0" w:color="auto"/>
      </w:divBdr>
    </w:div>
    <w:div w:id="1051534941">
      <w:bodyDiv w:val="1"/>
      <w:marLeft w:val="0"/>
      <w:marRight w:val="0"/>
      <w:marTop w:val="0"/>
      <w:marBottom w:val="0"/>
      <w:divBdr>
        <w:top w:val="none" w:sz="0" w:space="0" w:color="auto"/>
        <w:left w:val="none" w:sz="0" w:space="0" w:color="auto"/>
        <w:bottom w:val="none" w:sz="0" w:space="0" w:color="auto"/>
        <w:right w:val="none" w:sz="0" w:space="0" w:color="auto"/>
      </w:divBdr>
    </w:div>
    <w:div w:id="1056391327">
      <w:bodyDiv w:val="1"/>
      <w:marLeft w:val="0"/>
      <w:marRight w:val="0"/>
      <w:marTop w:val="0"/>
      <w:marBottom w:val="0"/>
      <w:divBdr>
        <w:top w:val="none" w:sz="0" w:space="0" w:color="auto"/>
        <w:left w:val="none" w:sz="0" w:space="0" w:color="auto"/>
        <w:bottom w:val="none" w:sz="0" w:space="0" w:color="auto"/>
        <w:right w:val="none" w:sz="0" w:space="0" w:color="auto"/>
      </w:divBdr>
    </w:div>
    <w:div w:id="1241409278">
      <w:bodyDiv w:val="1"/>
      <w:marLeft w:val="0"/>
      <w:marRight w:val="0"/>
      <w:marTop w:val="0"/>
      <w:marBottom w:val="0"/>
      <w:divBdr>
        <w:top w:val="none" w:sz="0" w:space="0" w:color="auto"/>
        <w:left w:val="none" w:sz="0" w:space="0" w:color="auto"/>
        <w:bottom w:val="none" w:sz="0" w:space="0" w:color="auto"/>
        <w:right w:val="none" w:sz="0" w:space="0" w:color="auto"/>
      </w:divBdr>
    </w:div>
    <w:div w:id="1287854185">
      <w:bodyDiv w:val="1"/>
      <w:marLeft w:val="0"/>
      <w:marRight w:val="0"/>
      <w:marTop w:val="0"/>
      <w:marBottom w:val="0"/>
      <w:divBdr>
        <w:top w:val="none" w:sz="0" w:space="0" w:color="auto"/>
        <w:left w:val="none" w:sz="0" w:space="0" w:color="auto"/>
        <w:bottom w:val="none" w:sz="0" w:space="0" w:color="auto"/>
        <w:right w:val="none" w:sz="0" w:space="0" w:color="auto"/>
      </w:divBdr>
    </w:div>
    <w:div w:id="1323508808">
      <w:bodyDiv w:val="1"/>
      <w:marLeft w:val="0"/>
      <w:marRight w:val="0"/>
      <w:marTop w:val="0"/>
      <w:marBottom w:val="0"/>
      <w:divBdr>
        <w:top w:val="none" w:sz="0" w:space="0" w:color="auto"/>
        <w:left w:val="none" w:sz="0" w:space="0" w:color="auto"/>
        <w:bottom w:val="none" w:sz="0" w:space="0" w:color="auto"/>
        <w:right w:val="none" w:sz="0" w:space="0" w:color="auto"/>
      </w:divBdr>
    </w:div>
    <w:div w:id="1367757814">
      <w:bodyDiv w:val="1"/>
      <w:marLeft w:val="0"/>
      <w:marRight w:val="0"/>
      <w:marTop w:val="0"/>
      <w:marBottom w:val="0"/>
      <w:divBdr>
        <w:top w:val="none" w:sz="0" w:space="0" w:color="auto"/>
        <w:left w:val="none" w:sz="0" w:space="0" w:color="auto"/>
        <w:bottom w:val="none" w:sz="0" w:space="0" w:color="auto"/>
        <w:right w:val="none" w:sz="0" w:space="0" w:color="auto"/>
      </w:divBdr>
    </w:div>
    <w:div w:id="1447888862">
      <w:bodyDiv w:val="1"/>
      <w:marLeft w:val="0"/>
      <w:marRight w:val="0"/>
      <w:marTop w:val="0"/>
      <w:marBottom w:val="0"/>
      <w:divBdr>
        <w:top w:val="none" w:sz="0" w:space="0" w:color="auto"/>
        <w:left w:val="none" w:sz="0" w:space="0" w:color="auto"/>
        <w:bottom w:val="none" w:sz="0" w:space="0" w:color="auto"/>
        <w:right w:val="none" w:sz="0" w:space="0" w:color="auto"/>
      </w:divBdr>
    </w:div>
    <w:div w:id="1456021259">
      <w:bodyDiv w:val="1"/>
      <w:marLeft w:val="0"/>
      <w:marRight w:val="0"/>
      <w:marTop w:val="0"/>
      <w:marBottom w:val="0"/>
      <w:divBdr>
        <w:top w:val="none" w:sz="0" w:space="0" w:color="auto"/>
        <w:left w:val="none" w:sz="0" w:space="0" w:color="auto"/>
        <w:bottom w:val="none" w:sz="0" w:space="0" w:color="auto"/>
        <w:right w:val="none" w:sz="0" w:space="0" w:color="auto"/>
      </w:divBdr>
    </w:div>
    <w:div w:id="1480027869">
      <w:bodyDiv w:val="1"/>
      <w:marLeft w:val="0"/>
      <w:marRight w:val="0"/>
      <w:marTop w:val="0"/>
      <w:marBottom w:val="0"/>
      <w:divBdr>
        <w:top w:val="none" w:sz="0" w:space="0" w:color="auto"/>
        <w:left w:val="none" w:sz="0" w:space="0" w:color="auto"/>
        <w:bottom w:val="none" w:sz="0" w:space="0" w:color="auto"/>
        <w:right w:val="none" w:sz="0" w:space="0" w:color="auto"/>
      </w:divBdr>
    </w:div>
    <w:div w:id="1528637455">
      <w:bodyDiv w:val="1"/>
      <w:marLeft w:val="0"/>
      <w:marRight w:val="0"/>
      <w:marTop w:val="0"/>
      <w:marBottom w:val="0"/>
      <w:divBdr>
        <w:top w:val="none" w:sz="0" w:space="0" w:color="auto"/>
        <w:left w:val="none" w:sz="0" w:space="0" w:color="auto"/>
        <w:bottom w:val="none" w:sz="0" w:space="0" w:color="auto"/>
        <w:right w:val="none" w:sz="0" w:space="0" w:color="auto"/>
      </w:divBdr>
    </w:div>
    <w:div w:id="1568421780">
      <w:bodyDiv w:val="1"/>
      <w:marLeft w:val="0"/>
      <w:marRight w:val="0"/>
      <w:marTop w:val="0"/>
      <w:marBottom w:val="0"/>
      <w:divBdr>
        <w:top w:val="none" w:sz="0" w:space="0" w:color="auto"/>
        <w:left w:val="none" w:sz="0" w:space="0" w:color="auto"/>
        <w:bottom w:val="none" w:sz="0" w:space="0" w:color="auto"/>
        <w:right w:val="none" w:sz="0" w:space="0" w:color="auto"/>
      </w:divBdr>
    </w:div>
    <w:div w:id="1608394157">
      <w:bodyDiv w:val="1"/>
      <w:marLeft w:val="0"/>
      <w:marRight w:val="0"/>
      <w:marTop w:val="0"/>
      <w:marBottom w:val="0"/>
      <w:divBdr>
        <w:top w:val="none" w:sz="0" w:space="0" w:color="auto"/>
        <w:left w:val="none" w:sz="0" w:space="0" w:color="auto"/>
        <w:bottom w:val="none" w:sz="0" w:space="0" w:color="auto"/>
        <w:right w:val="none" w:sz="0" w:space="0" w:color="auto"/>
      </w:divBdr>
    </w:div>
    <w:div w:id="1614746015">
      <w:bodyDiv w:val="1"/>
      <w:marLeft w:val="0"/>
      <w:marRight w:val="0"/>
      <w:marTop w:val="0"/>
      <w:marBottom w:val="0"/>
      <w:divBdr>
        <w:top w:val="none" w:sz="0" w:space="0" w:color="auto"/>
        <w:left w:val="none" w:sz="0" w:space="0" w:color="auto"/>
        <w:bottom w:val="none" w:sz="0" w:space="0" w:color="auto"/>
        <w:right w:val="none" w:sz="0" w:space="0" w:color="auto"/>
      </w:divBdr>
    </w:div>
    <w:div w:id="1635719880">
      <w:bodyDiv w:val="1"/>
      <w:marLeft w:val="0"/>
      <w:marRight w:val="0"/>
      <w:marTop w:val="0"/>
      <w:marBottom w:val="0"/>
      <w:divBdr>
        <w:top w:val="none" w:sz="0" w:space="0" w:color="auto"/>
        <w:left w:val="none" w:sz="0" w:space="0" w:color="auto"/>
        <w:bottom w:val="none" w:sz="0" w:space="0" w:color="auto"/>
        <w:right w:val="none" w:sz="0" w:space="0" w:color="auto"/>
      </w:divBdr>
    </w:div>
    <w:div w:id="1640643275">
      <w:bodyDiv w:val="1"/>
      <w:marLeft w:val="0"/>
      <w:marRight w:val="0"/>
      <w:marTop w:val="0"/>
      <w:marBottom w:val="0"/>
      <w:divBdr>
        <w:top w:val="none" w:sz="0" w:space="0" w:color="auto"/>
        <w:left w:val="none" w:sz="0" w:space="0" w:color="auto"/>
        <w:bottom w:val="none" w:sz="0" w:space="0" w:color="auto"/>
        <w:right w:val="none" w:sz="0" w:space="0" w:color="auto"/>
      </w:divBdr>
    </w:div>
    <w:div w:id="1683700448">
      <w:bodyDiv w:val="1"/>
      <w:marLeft w:val="0"/>
      <w:marRight w:val="0"/>
      <w:marTop w:val="0"/>
      <w:marBottom w:val="0"/>
      <w:divBdr>
        <w:top w:val="none" w:sz="0" w:space="0" w:color="auto"/>
        <w:left w:val="none" w:sz="0" w:space="0" w:color="auto"/>
        <w:bottom w:val="none" w:sz="0" w:space="0" w:color="auto"/>
        <w:right w:val="none" w:sz="0" w:space="0" w:color="auto"/>
      </w:divBdr>
      <w:divsChild>
        <w:div w:id="554632071">
          <w:marLeft w:val="547"/>
          <w:marRight w:val="0"/>
          <w:marTop w:val="0"/>
          <w:marBottom w:val="0"/>
          <w:divBdr>
            <w:top w:val="none" w:sz="0" w:space="0" w:color="auto"/>
            <w:left w:val="none" w:sz="0" w:space="0" w:color="auto"/>
            <w:bottom w:val="none" w:sz="0" w:space="0" w:color="auto"/>
            <w:right w:val="none" w:sz="0" w:space="0" w:color="auto"/>
          </w:divBdr>
        </w:div>
      </w:divsChild>
    </w:div>
    <w:div w:id="1688171546">
      <w:bodyDiv w:val="1"/>
      <w:marLeft w:val="0"/>
      <w:marRight w:val="0"/>
      <w:marTop w:val="0"/>
      <w:marBottom w:val="0"/>
      <w:divBdr>
        <w:top w:val="none" w:sz="0" w:space="0" w:color="auto"/>
        <w:left w:val="none" w:sz="0" w:space="0" w:color="auto"/>
        <w:bottom w:val="none" w:sz="0" w:space="0" w:color="auto"/>
        <w:right w:val="none" w:sz="0" w:space="0" w:color="auto"/>
      </w:divBdr>
    </w:div>
    <w:div w:id="1759518603">
      <w:bodyDiv w:val="1"/>
      <w:marLeft w:val="0"/>
      <w:marRight w:val="0"/>
      <w:marTop w:val="0"/>
      <w:marBottom w:val="0"/>
      <w:divBdr>
        <w:top w:val="none" w:sz="0" w:space="0" w:color="auto"/>
        <w:left w:val="none" w:sz="0" w:space="0" w:color="auto"/>
        <w:bottom w:val="none" w:sz="0" w:space="0" w:color="auto"/>
        <w:right w:val="none" w:sz="0" w:space="0" w:color="auto"/>
      </w:divBdr>
    </w:div>
    <w:div w:id="1797333028">
      <w:bodyDiv w:val="1"/>
      <w:marLeft w:val="0"/>
      <w:marRight w:val="0"/>
      <w:marTop w:val="0"/>
      <w:marBottom w:val="0"/>
      <w:divBdr>
        <w:top w:val="none" w:sz="0" w:space="0" w:color="auto"/>
        <w:left w:val="none" w:sz="0" w:space="0" w:color="auto"/>
        <w:bottom w:val="none" w:sz="0" w:space="0" w:color="auto"/>
        <w:right w:val="none" w:sz="0" w:space="0" w:color="auto"/>
      </w:divBdr>
    </w:div>
    <w:div w:id="1842551224">
      <w:bodyDiv w:val="1"/>
      <w:marLeft w:val="0"/>
      <w:marRight w:val="0"/>
      <w:marTop w:val="0"/>
      <w:marBottom w:val="0"/>
      <w:divBdr>
        <w:top w:val="none" w:sz="0" w:space="0" w:color="auto"/>
        <w:left w:val="none" w:sz="0" w:space="0" w:color="auto"/>
        <w:bottom w:val="none" w:sz="0" w:space="0" w:color="auto"/>
        <w:right w:val="none" w:sz="0" w:space="0" w:color="auto"/>
      </w:divBdr>
    </w:div>
    <w:div w:id="1854027297">
      <w:bodyDiv w:val="1"/>
      <w:marLeft w:val="0"/>
      <w:marRight w:val="0"/>
      <w:marTop w:val="0"/>
      <w:marBottom w:val="0"/>
      <w:divBdr>
        <w:top w:val="none" w:sz="0" w:space="0" w:color="auto"/>
        <w:left w:val="none" w:sz="0" w:space="0" w:color="auto"/>
        <w:bottom w:val="none" w:sz="0" w:space="0" w:color="auto"/>
        <w:right w:val="none" w:sz="0" w:space="0" w:color="auto"/>
      </w:divBdr>
      <w:divsChild>
        <w:div w:id="702824662">
          <w:marLeft w:val="547"/>
          <w:marRight w:val="0"/>
          <w:marTop w:val="0"/>
          <w:marBottom w:val="0"/>
          <w:divBdr>
            <w:top w:val="none" w:sz="0" w:space="0" w:color="auto"/>
            <w:left w:val="none" w:sz="0" w:space="0" w:color="auto"/>
            <w:bottom w:val="none" w:sz="0" w:space="0" w:color="auto"/>
            <w:right w:val="none" w:sz="0" w:space="0" w:color="auto"/>
          </w:divBdr>
        </w:div>
      </w:divsChild>
    </w:div>
    <w:div w:id="1880976185">
      <w:bodyDiv w:val="1"/>
      <w:marLeft w:val="0"/>
      <w:marRight w:val="0"/>
      <w:marTop w:val="0"/>
      <w:marBottom w:val="0"/>
      <w:divBdr>
        <w:top w:val="none" w:sz="0" w:space="0" w:color="auto"/>
        <w:left w:val="none" w:sz="0" w:space="0" w:color="auto"/>
        <w:bottom w:val="none" w:sz="0" w:space="0" w:color="auto"/>
        <w:right w:val="none" w:sz="0" w:space="0" w:color="auto"/>
      </w:divBdr>
      <w:divsChild>
        <w:div w:id="1338507980">
          <w:marLeft w:val="547"/>
          <w:marRight w:val="0"/>
          <w:marTop w:val="0"/>
          <w:marBottom w:val="0"/>
          <w:divBdr>
            <w:top w:val="none" w:sz="0" w:space="0" w:color="auto"/>
            <w:left w:val="none" w:sz="0" w:space="0" w:color="auto"/>
            <w:bottom w:val="none" w:sz="0" w:space="0" w:color="auto"/>
            <w:right w:val="none" w:sz="0" w:space="0" w:color="auto"/>
          </w:divBdr>
        </w:div>
        <w:div w:id="40790413">
          <w:marLeft w:val="547"/>
          <w:marRight w:val="0"/>
          <w:marTop w:val="0"/>
          <w:marBottom w:val="0"/>
          <w:divBdr>
            <w:top w:val="none" w:sz="0" w:space="0" w:color="auto"/>
            <w:left w:val="none" w:sz="0" w:space="0" w:color="auto"/>
            <w:bottom w:val="none" w:sz="0" w:space="0" w:color="auto"/>
            <w:right w:val="none" w:sz="0" w:space="0" w:color="auto"/>
          </w:divBdr>
        </w:div>
      </w:divsChild>
    </w:div>
    <w:div w:id="1938321402">
      <w:bodyDiv w:val="1"/>
      <w:marLeft w:val="0"/>
      <w:marRight w:val="0"/>
      <w:marTop w:val="0"/>
      <w:marBottom w:val="0"/>
      <w:divBdr>
        <w:top w:val="none" w:sz="0" w:space="0" w:color="auto"/>
        <w:left w:val="none" w:sz="0" w:space="0" w:color="auto"/>
        <w:bottom w:val="none" w:sz="0" w:space="0" w:color="auto"/>
        <w:right w:val="none" w:sz="0" w:space="0" w:color="auto"/>
      </w:divBdr>
    </w:div>
    <w:div w:id="2005744142">
      <w:bodyDiv w:val="1"/>
      <w:marLeft w:val="0"/>
      <w:marRight w:val="0"/>
      <w:marTop w:val="0"/>
      <w:marBottom w:val="0"/>
      <w:divBdr>
        <w:top w:val="none" w:sz="0" w:space="0" w:color="auto"/>
        <w:left w:val="none" w:sz="0" w:space="0" w:color="auto"/>
        <w:bottom w:val="none" w:sz="0" w:space="0" w:color="auto"/>
        <w:right w:val="none" w:sz="0" w:space="0" w:color="auto"/>
      </w:divBdr>
    </w:div>
    <w:div w:id="2059669092">
      <w:bodyDiv w:val="1"/>
      <w:marLeft w:val="0"/>
      <w:marRight w:val="0"/>
      <w:marTop w:val="0"/>
      <w:marBottom w:val="0"/>
      <w:divBdr>
        <w:top w:val="none" w:sz="0" w:space="0" w:color="auto"/>
        <w:left w:val="none" w:sz="0" w:space="0" w:color="auto"/>
        <w:bottom w:val="none" w:sz="0" w:space="0" w:color="auto"/>
        <w:right w:val="none" w:sz="0" w:space="0" w:color="auto"/>
      </w:divBdr>
    </w:div>
    <w:div w:id="2084721009">
      <w:bodyDiv w:val="1"/>
      <w:marLeft w:val="0"/>
      <w:marRight w:val="0"/>
      <w:marTop w:val="0"/>
      <w:marBottom w:val="0"/>
      <w:divBdr>
        <w:top w:val="none" w:sz="0" w:space="0" w:color="auto"/>
        <w:left w:val="none" w:sz="0" w:space="0" w:color="auto"/>
        <w:bottom w:val="none" w:sz="0" w:space="0" w:color="auto"/>
        <w:right w:val="none" w:sz="0" w:space="0" w:color="auto"/>
      </w:divBdr>
    </w:div>
    <w:div w:id="2115321563">
      <w:bodyDiv w:val="1"/>
      <w:marLeft w:val="0"/>
      <w:marRight w:val="0"/>
      <w:marTop w:val="0"/>
      <w:marBottom w:val="0"/>
      <w:divBdr>
        <w:top w:val="none" w:sz="0" w:space="0" w:color="auto"/>
        <w:left w:val="none" w:sz="0" w:space="0" w:color="auto"/>
        <w:bottom w:val="none" w:sz="0" w:space="0" w:color="auto"/>
        <w:right w:val="none" w:sz="0" w:space="0" w:color="auto"/>
      </w:divBdr>
    </w:div>
    <w:div w:id="214415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18" Type="http://schemas.openxmlformats.org/officeDocument/2006/relationships/header" Target="header4.xml"/><Relationship Id="rId26" Type="http://schemas.openxmlformats.org/officeDocument/2006/relationships/image" Target="media/image4.emf"/><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image" Target="media/image12.emf"/><Relationship Id="rId42" Type="http://schemas.openxmlformats.org/officeDocument/2006/relationships/image" Target="media/image19.e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image" Target="media/image11.emf"/><Relationship Id="rId38" Type="http://schemas.openxmlformats.org/officeDocument/2006/relationships/image" Target="media/image16.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image" Target="media/image7.png"/><Relationship Id="rId41"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oter" Target="footer3.xml"/><Relationship Id="rId32" Type="http://schemas.openxmlformats.org/officeDocument/2006/relationships/image" Target="media/image10.png"/><Relationship Id="rId37" Type="http://schemas.openxmlformats.org/officeDocument/2006/relationships/image" Target="media/image15.emf"/><Relationship Id="rId40" Type="http://schemas.openxmlformats.org/officeDocument/2006/relationships/image" Target="media/image17.emf"/><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image" Target="media/image6.emf"/><Relationship Id="rId36" Type="http://schemas.openxmlformats.org/officeDocument/2006/relationships/image" Target="media/image14.emf"/><Relationship Id="rId10" Type="http://schemas.openxmlformats.org/officeDocument/2006/relationships/diagramData" Target="diagrams/data1.xml"/><Relationship Id="rId19" Type="http://schemas.openxmlformats.org/officeDocument/2006/relationships/image" Target="media/image1.png"/><Relationship Id="rId31" Type="http://schemas.openxmlformats.org/officeDocument/2006/relationships/image" Target="media/image9.png"/><Relationship Id="rId44"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header" Target="header5.xml"/><Relationship Id="rId27" Type="http://schemas.openxmlformats.org/officeDocument/2006/relationships/image" Target="media/image5.emf"/><Relationship Id="rId30" Type="http://schemas.openxmlformats.org/officeDocument/2006/relationships/image" Target="media/image8.emf"/><Relationship Id="rId35" Type="http://schemas.openxmlformats.org/officeDocument/2006/relationships/image" Target="media/image13.emf"/><Relationship Id="rId43" Type="http://schemas.openxmlformats.org/officeDocument/2006/relationships/image" Target="media/image20.emf"/></Relationships>
</file>

<file path=word/diagrams/colors1.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28830C-59A0-4B6D-A093-EE2FEB176881}" type="doc">
      <dgm:prSet loTypeId="urn:microsoft.com/office/officeart/2008/layout/VerticalCurvedList" loCatId="list" qsTypeId="urn:microsoft.com/office/officeart/2005/8/quickstyle/simple3" qsCatId="simple" csTypeId="urn:microsoft.com/office/officeart/2005/8/colors/accent4_5" csCatId="accent4" phldr="1"/>
      <dgm:spPr/>
      <dgm:t>
        <a:bodyPr/>
        <a:lstStyle/>
        <a:p>
          <a:endParaRPr lang="en-GB"/>
        </a:p>
      </dgm:t>
    </dgm:pt>
    <dgm:pt modelId="{BB8391E2-3206-4B37-9234-A5BFF28AFD63}">
      <dgm:prSet phldrT="[Text]" custT="1"/>
      <dgm:spPr/>
      <dgm:t>
        <a:bodyPr/>
        <a:lstStyle/>
        <a:p>
          <a:pPr algn="l"/>
          <a:r>
            <a:rPr lang="en-GB" sz="2400" b="1"/>
            <a:t>£0.173m </a:t>
          </a:r>
          <a:r>
            <a:rPr lang="en-GB" sz="1800"/>
            <a:t>– Latest forecast revenue overspend, an increase of £0.105m from month 10. </a:t>
          </a:r>
          <a:r>
            <a:rPr lang="en-GB" sz="2400"/>
            <a:t> </a:t>
          </a:r>
          <a:endParaRPr lang="en-GB" sz="1400" b="0"/>
        </a:p>
      </dgm:t>
    </dgm:pt>
    <dgm:pt modelId="{E99AD956-8B92-4CAA-B9D6-0E09CC6A4226}" type="parTrans" cxnId="{981E7617-4E1B-45CA-8E84-DDBFD764F0C5}">
      <dgm:prSet/>
      <dgm:spPr/>
      <dgm:t>
        <a:bodyPr/>
        <a:lstStyle/>
        <a:p>
          <a:pPr algn="l"/>
          <a:endParaRPr lang="en-GB" b="1">
            <a:solidFill>
              <a:sysClr val="windowText" lastClr="000000"/>
            </a:solidFill>
          </a:endParaRPr>
        </a:p>
      </dgm:t>
    </dgm:pt>
    <dgm:pt modelId="{7A203250-3AAE-4632-BAD8-898CEB49F780}" type="sibTrans" cxnId="{981E7617-4E1B-45CA-8E84-DDBFD764F0C5}">
      <dgm:prSet/>
      <dgm:spPr/>
      <dgm:t>
        <a:bodyPr/>
        <a:lstStyle/>
        <a:p>
          <a:pPr algn="l"/>
          <a:endParaRPr lang="en-GB" b="1">
            <a:solidFill>
              <a:sysClr val="windowText" lastClr="000000"/>
            </a:solidFill>
          </a:endParaRPr>
        </a:p>
      </dgm:t>
    </dgm:pt>
    <dgm:pt modelId="{10C15333-C7A5-4D66-A716-A7FF2988C534}">
      <dgm:prSet custT="1"/>
      <dgm:spPr/>
      <dgm:t>
        <a:bodyPr/>
        <a:lstStyle/>
        <a:p>
          <a:r>
            <a:rPr lang="en-GB" sz="2400" b="1"/>
            <a:t>3,065 FTE </a:t>
          </a:r>
          <a:r>
            <a:rPr lang="en-GB" sz="1800" b="1"/>
            <a:t>– </a:t>
          </a:r>
          <a:r>
            <a:rPr lang="en-GB" sz="1800"/>
            <a:t>Police Officer strength forecast at end of January and </a:t>
          </a:r>
          <a:r>
            <a:rPr lang="en-GB" sz="2400" b="1"/>
            <a:t>3,046 FTE </a:t>
          </a:r>
          <a:r>
            <a:rPr lang="en-GB" sz="1800" b="0"/>
            <a:t>Police Officer strength forecast at year end.</a:t>
          </a:r>
          <a:endParaRPr lang="en-GB" sz="1200" i="1">
            <a:solidFill>
              <a:srgbClr val="FF0000"/>
            </a:solidFill>
          </a:endParaRPr>
        </a:p>
      </dgm:t>
    </dgm:pt>
    <dgm:pt modelId="{D279CD6B-D61A-449C-8A87-0037C2B0281E}" type="parTrans" cxnId="{94DD898A-88B7-46B9-A24F-BFE54712406D}">
      <dgm:prSet/>
      <dgm:spPr/>
      <dgm:t>
        <a:bodyPr/>
        <a:lstStyle/>
        <a:p>
          <a:endParaRPr lang="en-GB"/>
        </a:p>
      </dgm:t>
    </dgm:pt>
    <dgm:pt modelId="{FFF3EB58-66E6-4609-B500-B54F633D7AD4}" type="sibTrans" cxnId="{94DD898A-88B7-46B9-A24F-BFE54712406D}">
      <dgm:prSet/>
      <dgm:spPr/>
      <dgm:t>
        <a:bodyPr/>
        <a:lstStyle/>
        <a:p>
          <a:endParaRPr lang="en-GB"/>
        </a:p>
      </dgm:t>
    </dgm:pt>
    <dgm:pt modelId="{81F65FEC-8FA0-475F-B5DD-41991DB586D9}">
      <dgm:prSet custT="1"/>
      <dgm:spPr>
        <a:solidFill>
          <a:srgbClr val="FFFFCC"/>
        </a:solidFill>
      </dgm:spPr>
      <dgm:t>
        <a:bodyPr/>
        <a:lstStyle/>
        <a:p>
          <a:r>
            <a:rPr lang="en-GB" sz="2400" b="1"/>
            <a:t>£9.0m surplus </a:t>
          </a:r>
          <a:r>
            <a:rPr lang="en-GB" sz="1600"/>
            <a:t>- The forecast year end balance on the Capital Reserve.  </a:t>
          </a:r>
        </a:p>
      </dgm:t>
    </dgm:pt>
    <dgm:pt modelId="{4C06366F-EE4F-4331-94B9-3A4F1B2A8A0F}" type="parTrans" cxnId="{06BCED37-430A-4D2F-9EE8-A87199B4E6BC}">
      <dgm:prSet/>
      <dgm:spPr/>
      <dgm:t>
        <a:bodyPr/>
        <a:lstStyle/>
        <a:p>
          <a:endParaRPr lang="en-GB"/>
        </a:p>
      </dgm:t>
    </dgm:pt>
    <dgm:pt modelId="{B0FA2251-5DD0-4306-9859-D36CB3D31E24}" type="sibTrans" cxnId="{06BCED37-430A-4D2F-9EE8-A87199B4E6BC}">
      <dgm:prSet/>
      <dgm:spPr/>
      <dgm:t>
        <a:bodyPr/>
        <a:lstStyle/>
        <a:p>
          <a:endParaRPr lang="en-GB"/>
        </a:p>
      </dgm:t>
    </dgm:pt>
    <dgm:pt modelId="{4C131387-FCC6-4D25-B991-F4DD1ECFEEEF}">
      <dgm:prSet custT="1"/>
      <dgm:spPr>
        <a:solidFill>
          <a:srgbClr val="FFFFCC"/>
        </a:solidFill>
      </dgm:spPr>
      <dgm:t>
        <a:bodyPr/>
        <a:lstStyle/>
        <a:p>
          <a:r>
            <a:rPr lang="en-GB" sz="2400" b="1"/>
            <a:t>£8.2m </a:t>
          </a:r>
          <a:r>
            <a:rPr lang="en-GB" sz="1600"/>
            <a:t>forecast capital expenditure and </a:t>
          </a:r>
          <a:r>
            <a:rPr lang="en-GB" sz="2400" b="1"/>
            <a:t>£16.5m </a:t>
          </a:r>
          <a:r>
            <a:rPr lang="en-GB" sz="1600"/>
            <a:t>forecast capital income </a:t>
          </a:r>
          <a:endParaRPr lang="en-GB" sz="1600" i="1"/>
        </a:p>
      </dgm:t>
    </dgm:pt>
    <dgm:pt modelId="{663F9240-4B26-45D1-998C-CB388C6C0556}" type="sibTrans" cxnId="{31C2E91C-9D65-40DD-B5A7-429B7DEDC781}">
      <dgm:prSet/>
      <dgm:spPr/>
      <dgm:t>
        <a:bodyPr/>
        <a:lstStyle/>
        <a:p>
          <a:endParaRPr lang="en-GB"/>
        </a:p>
      </dgm:t>
    </dgm:pt>
    <dgm:pt modelId="{807CF456-E3BD-4E51-ABEF-9C0E1997FAEA}" type="parTrans" cxnId="{31C2E91C-9D65-40DD-B5A7-429B7DEDC781}">
      <dgm:prSet/>
      <dgm:spPr/>
      <dgm:t>
        <a:bodyPr/>
        <a:lstStyle/>
        <a:p>
          <a:endParaRPr lang="en-GB"/>
        </a:p>
      </dgm:t>
    </dgm:pt>
    <dgm:pt modelId="{18658607-3F44-48D9-B1E0-83C791DBBB8E}" type="pres">
      <dgm:prSet presAssocID="{B528830C-59A0-4B6D-A093-EE2FEB176881}" presName="Name0" presStyleCnt="0">
        <dgm:presLayoutVars>
          <dgm:chMax val="7"/>
          <dgm:chPref val="7"/>
          <dgm:dir/>
        </dgm:presLayoutVars>
      </dgm:prSet>
      <dgm:spPr/>
      <dgm:t>
        <a:bodyPr/>
        <a:lstStyle/>
        <a:p>
          <a:endParaRPr lang="en-GB"/>
        </a:p>
      </dgm:t>
    </dgm:pt>
    <dgm:pt modelId="{710F7C87-7853-4EFA-B7C6-C52C9B63665F}" type="pres">
      <dgm:prSet presAssocID="{B528830C-59A0-4B6D-A093-EE2FEB176881}" presName="Name1" presStyleCnt="0"/>
      <dgm:spPr/>
      <dgm:t>
        <a:bodyPr/>
        <a:lstStyle/>
        <a:p>
          <a:endParaRPr lang="en-GB"/>
        </a:p>
      </dgm:t>
    </dgm:pt>
    <dgm:pt modelId="{98B140B8-848B-46F2-8D88-0F992E751018}" type="pres">
      <dgm:prSet presAssocID="{B528830C-59A0-4B6D-A093-EE2FEB176881}" presName="cycle" presStyleCnt="0"/>
      <dgm:spPr/>
      <dgm:t>
        <a:bodyPr/>
        <a:lstStyle/>
        <a:p>
          <a:endParaRPr lang="en-GB"/>
        </a:p>
      </dgm:t>
    </dgm:pt>
    <dgm:pt modelId="{F778898A-B1FF-414D-AB1D-E56C5033ED58}" type="pres">
      <dgm:prSet presAssocID="{B528830C-59A0-4B6D-A093-EE2FEB176881}" presName="srcNode" presStyleLbl="node1" presStyleIdx="0" presStyleCnt="4"/>
      <dgm:spPr/>
      <dgm:t>
        <a:bodyPr/>
        <a:lstStyle/>
        <a:p>
          <a:endParaRPr lang="en-GB"/>
        </a:p>
      </dgm:t>
    </dgm:pt>
    <dgm:pt modelId="{8C0A873D-862A-4564-A8CA-CAD18D6E5DAD}" type="pres">
      <dgm:prSet presAssocID="{B528830C-59A0-4B6D-A093-EE2FEB176881}" presName="conn" presStyleLbl="parChTrans1D2" presStyleIdx="0" presStyleCnt="1"/>
      <dgm:spPr/>
      <dgm:t>
        <a:bodyPr/>
        <a:lstStyle/>
        <a:p>
          <a:endParaRPr lang="en-GB"/>
        </a:p>
      </dgm:t>
    </dgm:pt>
    <dgm:pt modelId="{4B480FEF-8905-4DC9-B131-7D85CC10A580}" type="pres">
      <dgm:prSet presAssocID="{B528830C-59A0-4B6D-A093-EE2FEB176881}" presName="extraNode" presStyleLbl="node1" presStyleIdx="0" presStyleCnt="4"/>
      <dgm:spPr/>
      <dgm:t>
        <a:bodyPr/>
        <a:lstStyle/>
        <a:p>
          <a:endParaRPr lang="en-GB"/>
        </a:p>
      </dgm:t>
    </dgm:pt>
    <dgm:pt modelId="{B5860DA3-9DEA-46B4-A92F-C8AB17C0F195}" type="pres">
      <dgm:prSet presAssocID="{B528830C-59A0-4B6D-A093-EE2FEB176881}" presName="dstNode" presStyleLbl="node1" presStyleIdx="0" presStyleCnt="4"/>
      <dgm:spPr/>
      <dgm:t>
        <a:bodyPr/>
        <a:lstStyle/>
        <a:p>
          <a:endParaRPr lang="en-GB"/>
        </a:p>
      </dgm:t>
    </dgm:pt>
    <dgm:pt modelId="{D3CB3CC6-2704-49FC-AE21-7C280A0565F3}" type="pres">
      <dgm:prSet presAssocID="{BB8391E2-3206-4B37-9234-A5BFF28AFD63}" presName="text_1" presStyleLbl="node1" presStyleIdx="0" presStyleCnt="4" custScaleY="122065">
        <dgm:presLayoutVars>
          <dgm:bulletEnabled val="1"/>
        </dgm:presLayoutVars>
      </dgm:prSet>
      <dgm:spPr/>
      <dgm:t>
        <a:bodyPr/>
        <a:lstStyle/>
        <a:p>
          <a:endParaRPr lang="en-GB"/>
        </a:p>
      </dgm:t>
    </dgm:pt>
    <dgm:pt modelId="{B5697EC7-98DE-4392-A30F-623C9E8BEB3C}" type="pres">
      <dgm:prSet presAssocID="{BB8391E2-3206-4B37-9234-A5BFF28AFD63}" presName="accent_1" presStyleCnt="0"/>
      <dgm:spPr/>
      <dgm:t>
        <a:bodyPr/>
        <a:lstStyle/>
        <a:p>
          <a:endParaRPr lang="en-GB"/>
        </a:p>
      </dgm:t>
    </dgm:pt>
    <dgm:pt modelId="{6276540F-8CDE-4E64-8805-62F43A068F71}" type="pres">
      <dgm:prSet presAssocID="{BB8391E2-3206-4B37-9234-A5BFF28AFD63}" presName="accentRepeatNode" presStyleLbl="solidFgAcc1" presStyleIdx="0" presStyleCnt="4"/>
      <dgm:spPr/>
      <dgm:t>
        <a:bodyPr/>
        <a:lstStyle/>
        <a:p>
          <a:endParaRPr lang="en-GB"/>
        </a:p>
      </dgm:t>
    </dgm:pt>
    <dgm:pt modelId="{46AC4FF2-D322-42CA-860C-8F182344B2BA}" type="pres">
      <dgm:prSet presAssocID="{10C15333-C7A5-4D66-A716-A7FF2988C534}" presName="text_2" presStyleLbl="node1" presStyleIdx="1" presStyleCnt="4">
        <dgm:presLayoutVars>
          <dgm:bulletEnabled val="1"/>
        </dgm:presLayoutVars>
      </dgm:prSet>
      <dgm:spPr/>
      <dgm:t>
        <a:bodyPr/>
        <a:lstStyle/>
        <a:p>
          <a:endParaRPr lang="en-GB"/>
        </a:p>
      </dgm:t>
    </dgm:pt>
    <dgm:pt modelId="{8F8DB263-204D-4AF9-9C66-CE3F4923CEA9}" type="pres">
      <dgm:prSet presAssocID="{10C15333-C7A5-4D66-A716-A7FF2988C534}" presName="accent_2" presStyleCnt="0"/>
      <dgm:spPr/>
    </dgm:pt>
    <dgm:pt modelId="{89D34A01-EB58-476B-87C3-72436BBA3693}" type="pres">
      <dgm:prSet presAssocID="{10C15333-C7A5-4D66-A716-A7FF2988C534}" presName="accentRepeatNode" presStyleLbl="solidFgAcc1" presStyleIdx="1" presStyleCnt="4"/>
      <dgm:spPr/>
    </dgm:pt>
    <dgm:pt modelId="{3E58681A-550D-40C4-8435-C2C08F45CE5C}" type="pres">
      <dgm:prSet presAssocID="{81F65FEC-8FA0-475F-B5DD-41991DB586D9}" presName="text_3" presStyleLbl="node1" presStyleIdx="2" presStyleCnt="4">
        <dgm:presLayoutVars>
          <dgm:bulletEnabled val="1"/>
        </dgm:presLayoutVars>
      </dgm:prSet>
      <dgm:spPr/>
      <dgm:t>
        <a:bodyPr/>
        <a:lstStyle/>
        <a:p>
          <a:endParaRPr lang="en-US"/>
        </a:p>
      </dgm:t>
    </dgm:pt>
    <dgm:pt modelId="{B203BC55-B8E3-4AE4-8965-F0038E56B3AB}" type="pres">
      <dgm:prSet presAssocID="{81F65FEC-8FA0-475F-B5DD-41991DB586D9}" presName="accent_3" presStyleCnt="0"/>
      <dgm:spPr/>
    </dgm:pt>
    <dgm:pt modelId="{6005493A-EA09-4123-91C4-B934A0329E32}" type="pres">
      <dgm:prSet presAssocID="{81F65FEC-8FA0-475F-B5DD-41991DB586D9}" presName="accentRepeatNode" presStyleLbl="solidFgAcc1" presStyleIdx="2" presStyleCnt="4" custLinFactNeighborX="1583" custLinFactNeighborY="3827"/>
      <dgm:spPr/>
    </dgm:pt>
    <dgm:pt modelId="{FAF46CFB-7B82-485C-9D03-70CBD17488A6}" type="pres">
      <dgm:prSet presAssocID="{4C131387-FCC6-4D25-B991-F4DD1ECFEEEF}" presName="text_4" presStyleLbl="node1" presStyleIdx="3" presStyleCnt="4">
        <dgm:presLayoutVars>
          <dgm:bulletEnabled val="1"/>
        </dgm:presLayoutVars>
      </dgm:prSet>
      <dgm:spPr/>
      <dgm:t>
        <a:bodyPr/>
        <a:lstStyle/>
        <a:p>
          <a:endParaRPr lang="en-US"/>
        </a:p>
      </dgm:t>
    </dgm:pt>
    <dgm:pt modelId="{080BD677-0324-44D3-A02A-6052FC3611D1}" type="pres">
      <dgm:prSet presAssocID="{4C131387-FCC6-4D25-B991-F4DD1ECFEEEF}" presName="accent_4" presStyleCnt="0"/>
      <dgm:spPr/>
    </dgm:pt>
    <dgm:pt modelId="{32914868-00D6-40A3-B9F5-7741745E473F}" type="pres">
      <dgm:prSet presAssocID="{4C131387-FCC6-4D25-B991-F4DD1ECFEEEF}" presName="accentRepeatNode" presStyleLbl="solidFgAcc1" presStyleIdx="3" presStyleCnt="4" custLinFactNeighborX="-10989" custLinFactNeighborY="-5220"/>
      <dgm:spPr/>
    </dgm:pt>
  </dgm:ptLst>
  <dgm:cxnLst>
    <dgm:cxn modelId="{B2111B2C-13F2-4D65-AD2B-3D5AB25A10C4}" type="presOf" srcId="{7A203250-3AAE-4632-BAD8-898CEB49F780}" destId="{8C0A873D-862A-4564-A8CA-CAD18D6E5DAD}" srcOrd="0" destOrd="0" presId="urn:microsoft.com/office/officeart/2008/layout/VerticalCurvedList"/>
    <dgm:cxn modelId="{1E2378B4-A54F-45B3-90BC-5B6E6623A9D5}" type="presOf" srcId="{BB8391E2-3206-4B37-9234-A5BFF28AFD63}" destId="{D3CB3CC6-2704-49FC-AE21-7C280A0565F3}" srcOrd="0" destOrd="0" presId="urn:microsoft.com/office/officeart/2008/layout/VerticalCurvedList"/>
    <dgm:cxn modelId="{80116EF8-FA77-4C63-BB06-35DE71DC8B42}" type="presOf" srcId="{10C15333-C7A5-4D66-A716-A7FF2988C534}" destId="{46AC4FF2-D322-42CA-860C-8F182344B2BA}" srcOrd="0" destOrd="0" presId="urn:microsoft.com/office/officeart/2008/layout/VerticalCurvedList"/>
    <dgm:cxn modelId="{981E7617-4E1B-45CA-8E84-DDBFD764F0C5}" srcId="{B528830C-59A0-4B6D-A093-EE2FEB176881}" destId="{BB8391E2-3206-4B37-9234-A5BFF28AFD63}" srcOrd="0" destOrd="0" parTransId="{E99AD956-8B92-4CAA-B9D6-0E09CC6A4226}" sibTransId="{7A203250-3AAE-4632-BAD8-898CEB49F780}"/>
    <dgm:cxn modelId="{06BCED37-430A-4D2F-9EE8-A87199B4E6BC}" srcId="{B528830C-59A0-4B6D-A093-EE2FEB176881}" destId="{81F65FEC-8FA0-475F-B5DD-41991DB586D9}" srcOrd="2" destOrd="0" parTransId="{4C06366F-EE4F-4331-94B9-3A4F1B2A8A0F}" sibTransId="{B0FA2251-5DD0-4306-9859-D36CB3D31E24}"/>
    <dgm:cxn modelId="{31C2E91C-9D65-40DD-B5A7-429B7DEDC781}" srcId="{B528830C-59A0-4B6D-A093-EE2FEB176881}" destId="{4C131387-FCC6-4D25-B991-F4DD1ECFEEEF}" srcOrd="3" destOrd="0" parTransId="{807CF456-E3BD-4E51-ABEF-9C0E1997FAEA}" sibTransId="{663F9240-4B26-45D1-998C-CB388C6C0556}"/>
    <dgm:cxn modelId="{1C66CB7E-C451-4A68-B441-ADA4C5CF5CAB}" type="presOf" srcId="{81F65FEC-8FA0-475F-B5DD-41991DB586D9}" destId="{3E58681A-550D-40C4-8435-C2C08F45CE5C}" srcOrd="0" destOrd="0" presId="urn:microsoft.com/office/officeart/2008/layout/VerticalCurvedList"/>
    <dgm:cxn modelId="{CEF0B103-F038-40BD-A80A-92D79652871F}" type="presOf" srcId="{B528830C-59A0-4B6D-A093-EE2FEB176881}" destId="{18658607-3F44-48D9-B1E0-83C791DBBB8E}" srcOrd="0" destOrd="0" presId="urn:microsoft.com/office/officeart/2008/layout/VerticalCurvedList"/>
    <dgm:cxn modelId="{94DD898A-88B7-46B9-A24F-BFE54712406D}" srcId="{B528830C-59A0-4B6D-A093-EE2FEB176881}" destId="{10C15333-C7A5-4D66-A716-A7FF2988C534}" srcOrd="1" destOrd="0" parTransId="{D279CD6B-D61A-449C-8A87-0037C2B0281E}" sibTransId="{FFF3EB58-66E6-4609-B500-B54F633D7AD4}"/>
    <dgm:cxn modelId="{E1239A49-A858-4123-9CFF-6E0CC07ED460}" type="presOf" srcId="{4C131387-FCC6-4D25-B991-F4DD1ECFEEEF}" destId="{FAF46CFB-7B82-485C-9D03-70CBD17488A6}" srcOrd="0" destOrd="0" presId="urn:microsoft.com/office/officeart/2008/layout/VerticalCurvedList"/>
    <dgm:cxn modelId="{52A0E0C8-5AD7-49AE-A933-92EC481C257B}" type="presParOf" srcId="{18658607-3F44-48D9-B1E0-83C791DBBB8E}" destId="{710F7C87-7853-4EFA-B7C6-C52C9B63665F}" srcOrd="0" destOrd="0" presId="urn:microsoft.com/office/officeart/2008/layout/VerticalCurvedList"/>
    <dgm:cxn modelId="{D7EFE502-BF87-43C7-9FA9-9731CC04857E}" type="presParOf" srcId="{710F7C87-7853-4EFA-B7C6-C52C9B63665F}" destId="{98B140B8-848B-46F2-8D88-0F992E751018}" srcOrd="0" destOrd="0" presId="urn:microsoft.com/office/officeart/2008/layout/VerticalCurvedList"/>
    <dgm:cxn modelId="{C12B8C8F-C197-4F7F-9D9B-63C8E1DCABFA}" type="presParOf" srcId="{98B140B8-848B-46F2-8D88-0F992E751018}" destId="{F778898A-B1FF-414D-AB1D-E56C5033ED58}" srcOrd="0" destOrd="0" presId="urn:microsoft.com/office/officeart/2008/layout/VerticalCurvedList"/>
    <dgm:cxn modelId="{CC14B5F5-F7CC-42D8-A31D-DAFB7F0E0877}" type="presParOf" srcId="{98B140B8-848B-46F2-8D88-0F992E751018}" destId="{8C0A873D-862A-4564-A8CA-CAD18D6E5DAD}" srcOrd="1" destOrd="0" presId="urn:microsoft.com/office/officeart/2008/layout/VerticalCurvedList"/>
    <dgm:cxn modelId="{CEE781DA-0F85-4574-AFAB-DF8812A7685A}" type="presParOf" srcId="{98B140B8-848B-46F2-8D88-0F992E751018}" destId="{4B480FEF-8905-4DC9-B131-7D85CC10A580}" srcOrd="2" destOrd="0" presId="urn:microsoft.com/office/officeart/2008/layout/VerticalCurvedList"/>
    <dgm:cxn modelId="{D87F25AC-A439-49B3-B990-B3AA9A3EB453}" type="presParOf" srcId="{98B140B8-848B-46F2-8D88-0F992E751018}" destId="{B5860DA3-9DEA-46B4-A92F-C8AB17C0F195}" srcOrd="3" destOrd="0" presId="urn:microsoft.com/office/officeart/2008/layout/VerticalCurvedList"/>
    <dgm:cxn modelId="{037BB5D1-16DB-4454-94F9-39D912C76903}" type="presParOf" srcId="{710F7C87-7853-4EFA-B7C6-C52C9B63665F}" destId="{D3CB3CC6-2704-49FC-AE21-7C280A0565F3}" srcOrd="1" destOrd="0" presId="urn:microsoft.com/office/officeart/2008/layout/VerticalCurvedList"/>
    <dgm:cxn modelId="{F8BE7688-E4C8-48BF-A442-70A102E99A05}" type="presParOf" srcId="{710F7C87-7853-4EFA-B7C6-C52C9B63665F}" destId="{B5697EC7-98DE-4392-A30F-623C9E8BEB3C}" srcOrd="2" destOrd="0" presId="urn:microsoft.com/office/officeart/2008/layout/VerticalCurvedList"/>
    <dgm:cxn modelId="{DCCF3E46-4947-481F-B751-7D1FD8878F1B}" type="presParOf" srcId="{B5697EC7-98DE-4392-A30F-623C9E8BEB3C}" destId="{6276540F-8CDE-4E64-8805-62F43A068F71}" srcOrd="0" destOrd="0" presId="urn:microsoft.com/office/officeart/2008/layout/VerticalCurvedList"/>
    <dgm:cxn modelId="{4A50FECB-CB20-4C48-B226-F914902C9F0A}" type="presParOf" srcId="{710F7C87-7853-4EFA-B7C6-C52C9B63665F}" destId="{46AC4FF2-D322-42CA-860C-8F182344B2BA}" srcOrd="3" destOrd="0" presId="urn:microsoft.com/office/officeart/2008/layout/VerticalCurvedList"/>
    <dgm:cxn modelId="{794B628D-5AF2-4A4D-9792-32BD292926E9}" type="presParOf" srcId="{710F7C87-7853-4EFA-B7C6-C52C9B63665F}" destId="{8F8DB263-204D-4AF9-9C66-CE3F4923CEA9}" srcOrd="4" destOrd="0" presId="urn:microsoft.com/office/officeart/2008/layout/VerticalCurvedList"/>
    <dgm:cxn modelId="{5683589D-B05E-46D3-A18C-02968EEBD67E}" type="presParOf" srcId="{8F8DB263-204D-4AF9-9C66-CE3F4923CEA9}" destId="{89D34A01-EB58-476B-87C3-72436BBA3693}" srcOrd="0" destOrd="0" presId="urn:microsoft.com/office/officeart/2008/layout/VerticalCurvedList"/>
    <dgm:cxn modelId="{365FA59B-52C4-42F7-B1DE-577FF34ADDE8}" type="presParOf" srcId="{710F7C87-7853-4EFA-B7C6-C52C9B63665F}" destId="{3E58681A-550D-40C4-8435-C2C08F45CE5C}" srcOrd="5" destOrd="0" presId="urn:microsoft.com/office/officeart/2008/layout/VerticalCurvedList"/>
    <dgm:cxn modelId="{1450BABB-C7AF-427D-9BA6-13835B058AC8}" type="presParOf" srcId="{710F7C87-7853-4EFA-B7C6-C52C9B63665F}" destId="{B203BC55-B8E3-4AE4-8965-F0038E56B3AB}" srcOrd="6" destOrd="0" presId="urn:microsoft.com/office/officeart/2008/layout/VerticalCurvedList"/>
    <dgm:cxn modelId="{09946408-CEE0-4284-9DDD-EF9CB867850A}" type="presParOf" srcId="{B203BC55-B8E3-4AE4-8965-F0038E56B3AB}" destId="{6005493A-EA09-4123-91C4-B934A0329E32}" srcOrd="0" destOrd="0" presId="urn:microsoft.com/office/officeart/2008/layout/VerticalCurvedList"/>
    <dgm:cxn modelId="{EF36CEE1-FF83-4AC2-85C1-78C5CA3E4494}" type="presParOf" srcId="{710F7C87-7853-4EFA-B7C6-C52C9B63665F}" destId="{FAF46CFB-7B82-485C-9D03-70CBD17488A6}" srcOrd="7" destOrd="0" presId="urn:microsoft.com/office/officeart/2008/layout/VerticalCurvedList"/>
    <dgm:cxn modelId="{591D004B-1FCA-4F5D-B175-11611AB9CF31}" type="presParOf" srcId="{710F7C87-7853-4EFA-B7C6-C52C9B63665F}" destId="{080BD677-0324-44D3-A02A-6052FC3611D1}" srcOrd="8" destOrd="0" presId="urn:microsoft.com/office/officeart/2008/layout/VerticalCurvedList"/>
    <dgm:cxn modelId="{331648B9-0E8B-4F7A-9441-1714F937467C}" type="presParOf" srcId="{080BD677-0324-44D3-A02A-6052FC3611D1}" destId="{32914868-00D6-40A3-B9F5-7741745E473F}" srcOrd="0" destOrd="0" presId="urn:microsoft.com/office/officeart/2008/layout/VerticalCurvedLis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0A873D-862A-4564-A8CA-CAD18D6E5DAD}">
      <dsp:nvSpPr>
        <dsp:cNvPr id="0" name=""/>
        <dsp:cNvSpPr/>
      </dsp:nvSpPr>
      <dsp:spPr>
        <a:xfrm>
          <a:off x="-5901873" y="-903188"/>
          <a:ext cx="7026076" cy="7026076"/>
        </a:xfrm>
        <a:prstGeom prst="blockArc">
          <a:avLst>
            <a:gd name="adj1" fmla="val 18900000"/>
            <a:gd name="adj2" fmla="val 2700000"/>
            <a:gd name="adj3" fmla="val 307"/>
          </a:avLst>
        </a:prstGeom>
        <a:noFill/>
        <a:ln w="25400" cap="flat" cmpd="sng" algn="ctr">
          <a:solidFill>
            <a:schemeClr val="accent4">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CB3CC6-2704-49FC-AE21-7C280A0565F3}">
      <dsp:nvSpPr>
        <dsp:cNvPr id="0" name=""/>
        <dsp:cNvSpPr/>
      </dsp:nvSpPr>
      <dsp:spPr>
        <a:xfrm>
          <a:off x="588418" y="312699"/>
          <a:ext cx="9129842" cy="980180"/>
        </a:xfrm>
        <a:prstGeom prst="rect">
          <a:avLst/>
        </a:prstGeom>
        <a:gradFill rotWithShape="0">
          <a:gsLst>
            <a:gs pos="0">
              <a:schemeClr val="accent4">
                <a:alpha val="90000"/>
                <a:hueOff val="0"/>
                <a:satOff val="0"/>
                <a:lumOff val="0"/>
                <a:alphaOff val="0"/>
                <a:tint val="50000"/>
                <a:satMod val="300000"/>
              </a:schemeClr>
            </a:gs>
            <a:gs pos="35000">
              <a:schemeClr val="accent4">
                <a:alpha val="90000"/>
                <a:hueOff val="0"/>
                <a:satOff val="0"/>
                <a:lumOff val="0"/>
                <a:alphaOff val="0"/>
                <a:tint val="37000"/>
                <a:satMod val="300000"/>
              </a:schemeClr>
            </a:gs>
            <a:gs pos="100000">
              <a:schemeClr val="accent4">
                <a:alpha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7380" tIns="60960" rIns="60960" bIns="60960" numCol="1" spcCol="1270" anchor="ctr" anchorCtr="0">
          <a:noAutofit/>
        </a:bodyPr>
        <a:lstStyle/>
        <a:p>
          <a:pPr lvl="0" algn="l" defTabSz="1066800">
            <a:lnSpc>
              <a:spcPct val="90000"/>
            </a:lnSpc>
            <a:spcBef>
              <a:spcPct val="0"/>
            </a:spcBef>
            <a:spcAft>
              <a:spcPct val="35000"/>
            </a:spcAft>
          </a:pPr>
          <a:r>
            <a:rPr lang="en-GB" sz="2400" b="1" kern="1200"/>
            <a:t>£0.173m </a:t>
          </a:r>
          <a:r>
            <a:rPr lang="en-GB" sz="1800" kern="1200"/>
            <a:t>– Latest forecast revenue overspend, an increase of £0.105m from month 10. </a:t>
          </a:r>
          <a:r>
            <a:rPr lang="en-GB" sz="2400" kern="1200"/>
            <a:t> </a:t>
          </a:r>
          <a:endParaRPr lang="en-GB" sz="1400" b="0" kern="1200"/>
        </a:p>
      </dsp:txBody>
      <dsp:txXfrm>
        <a:off x="588418" y="312699"/>
        <a:ext cx="9129842" cy="980180"/>
      </dsp:txXfrm>
    </dsp:sp>
    <dsp:sp modelId="{6276540F-8CDE-4E64-8805-62F43A068F71}">
      <dsp:nvSpPr>
        <dsp:cNvPr id="0" name=""/>
        <dsp:cNvSpPr/>
      </dsp:nvSpPr>
      <dsp:spPr>
        <a:xfrm>
          <a:off x="86544" y="300915"/>
          <a:ext cx="1003748" cy="1003748"/>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4">
              <a:alpha val="90000"/>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46AC4FF2-D322-42CA-860C-8F182344B2BA}">
      <dsp:nvSpPr>
        <dsp:cNvPr id="0" name=""/>
        <dsp:cNvSpPr/>
      </dsp:nvSpPr>
      <dsp:spPr>
        <a:xfrm>
          <a:off x="1048795" y="1605997"/>
          <a:ext cx="8669464" cy="802998"/>
        </a:xfrm>
        <a:prstGeom prst="rect">
          <a:avLst/>
        </a:prstGeom>
        <a:gradFill rotWithShape="0">
          <a:gsLst>
            <a:gs pos="0">
              <a:schemeClr val="accent4">
                <a:alpha val="90000"/>
                <a:hueOff val="0"/>
                <a:satOff val="0"/>
                <a:lumOff val="0"/>
                <a:alphaOff val="-13333"/>
                <a:tint val="50000"/>
                <a:satMod val="300000"/>
              </a:schemeClr>
            </a:gs>
            <a:gs pos="35000">
              <a:schemeClr val="accent4">
                <a:alpha val="90000"/>
                <a:hueOff val="0"/>
                <a:satOff val="0"/>
                <a:lumOff val="0"/>
                <a:alphaOff val="-13333"/>
                <a:tint val="37000"/>
                <a:satMod val="300000"/>
              </a:schemeClr>
            </a:gs>
            <a:gs pos="100000">
              <a:schemeClr val="accent4">
                <a:alpha val="90000"/>
                <a:hueOff val="0"/>
                <a:satOff val="0"/>
                <a:lumOff val="0"/>
                <a:alphaOff val="-13333"/>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7380" tIns="60960" rIns="60960" bIns="60960" numCol="1" spcCol="1270" anchor="ctr" anchorCtr="0">
          <a:noAutofit/>
        </a:bodyPr>
        <a:lstStyle/>
        <a:p>
          <a:pPr lvl="0" algn="l" defTabSz="1066800">
            <a:lnSpc>
              <a:spcPct val="90000"/>
            </a:lnSpc>
            <a:spcBef>
              <a:spcPct val="0"/>
            </a:spcBef>
            <a:spcAft>
              <a:spcPct val="35000"/>
            </a:spcAft>
          </a:pPr>
          <a:r>
            <a:rPr lang="en-GB" sz="2400" b="1" kern="1200"/>
            <a:t>3,065 FTE </a:t>
          </a:r>
          <a:r>
            <a:rPr lang="en-GB" sz="1800" b="1" kern="1200"/>
            <a:t>– </a:t>
          </a:r>
          <a:r>
            <a:rPr lang="en-GB" sz="1800" kern="1200"/>
            <a:t>Police Officer strength forecast at end of January and </a:t>
          </a:r>
          <a:r>
            <a:rPr lang="en-GB" sz="2400" b="1" kern="1200"/>
            <a:t>3,046 FTE </a:t>
          </a:r>
          <a:r>
            <a:rPr lang="en-GB" sz="1800" b="0" kern="1200"/>
            <a:t>Police Officer strength forecast at year end.</a:t>
          </a:r>
          <a:endParaRPr lang="en-GB" sz="1200" i="1" kern="1200">
            <a:solidFill>
              <a:srgbClr val="FF0000"/>
            </a:solidFill>
          </a:endParaRPr>
        </a:p>
      </dsp:txBody>
      <dsp:txXfrm>
        <a:off x="1048795" y="1605997"/>
        <a:ext cx="8669464" cy="802998"/>
      </dsp:txXfrm>
    </dsp:sp>
    <dsp:sp modelId="{89D34A01-EB58-476B-87C3-72436BBA3693}">
      <dsp:nvSpPr>
        <dsp:cNvPr id="0" name=""/>
        <dsp:cNvSpPr/>
      </dsp:nvSpPr>
      <dsp:spPr>
        <a:xfrm>
          <a:off x="546921" y="1505622"/>
          <a:ext cx="1003748" cy="1003748"/>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4">
              <a:alpha val="90000"/>
              <a:hueOff val="0"/>
              <a:satOff val="0"/>
              <a:lumOff val="0"/>
              <a:alphaOff val="-13333"/>
            </a:schemeClr>
          </a:solidFill>
          <a:prstDash val="solid"/>
        </a:ln>
        <a:effectLst/>
      </dsp:spPr>
      <dsp:style>
        <a:lnRef idx="1">
          <a:scrgbClr r="0" g="0" b="0"/>
        </a:lnRef>
        <a:fillRef idx="2">
          <a:scrgbClr r="0" g="0" b="0"/>
        </a:fillRef>
        <a:effectRef idx="0">
          <a:scrgbClr r="0" g="0" b="0"/>
        </a:effectRef>
        <a:fontRef idx="minor"/>
      </dsp:style>
    </dsp:sp>
    <dsp:sp modelId="{3E58681A-550D-40C4-8435-C2C08F45CE5C}">
      <dsp:nvSpPr>
        <dsp:cNvPr id="0" name=""/>
        <dsp:cNvSpPr/>
      </dsp:nvSpPr>
      <dsp:spPr>
        <a:xfrm>
          <a:off x="1048795" y="2810704"/>
          <a:ext cx="8669464" cy="802998"/>
        </a:xfrm>
        <a:prstGeom prst="rect">
          <a:avLst/>
        </a:prstGeom>
        <a:solidFill>
          <a:srgbClr val="FFFFCC"/>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7380" tIns="60960" rIns="60960" bIns="60960" numCol="1" spcCol="1270" anchor="ctr" anchorCtr="0">
          <a:noAutofit/>
        </a:bodyPr>
        <a:lstStyle/>
        <a:p>
          <a:pPr lvl="0" algn="l" defTabSz="1066800">
            <a:lnSpc>
              <a:spcPct val="90000"/>
            </a:lnSpc>
            <a:spcBef>
              <a:spcPct val="0"/>
            </a:spcBef>
            <a:spcAft>
              <a:spcPct val="35000"/>
            </a:spcAft>
          </a:pPr>
          <a:r>
            <a:rPr lang="en-GB" sz="2400" b="1" kern="1200"/>
            <a:t>£9.0m surplus </a:t>
          </a:r>
          <a:r>
            <a:rPr lang="en-GB" sz="1600" kern="1200"/>
            <a:t>- The forecast year end balance on the Capital Reserve.  </a:t>
          </a:r>
        </a:p>
      </dsp:txBody>
      <dsp:txXfrm>
        <a:off x="1048795" y="2810704"/>
        <a:ext cx="8669464" cy="802998"/>
      </dsp:txXfrm>
    </dsp:sp>
    <dsp:sp modelId="{6005493A-EA09-4123-91C4-B934A0329E32}">
      <dsp:nvSpPr>
        <dsp:cNvPr id="0" name=""/>
        <dsp:cNvSpPr/>
      </dsp:nvSpPr>
      <dsp:spPr>
        <a:xfrm>
          <a:off x="562811" y="2748742"/>
          <a:ext cx="1003748" cy="1003748"/>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4">
              <a:alpha val="90000"/>
              <a:hueOff val="0"/>
              <a:satOff val="0"/>
              <a:lumOff val="0"/>
              <a:alphaOff val="-26667"/>
            </a:schemeClr>
          </a:solidFill>
          <a:prstDash val="solid"/>
        </a:ln>
        <a:effectLst/>
      </dsp:spPr>
      <dsp:style>
        <a:lnRef idx="1">
          <a:scrgbClr r="0" g="0" b="0"/>
        </a:lnRef>
        <a:fillRef idx="2">
          <a:scrgbClr r="0" g="0" b="0"/>
        </a:fillRef>
        <a:effectRef idx="0">
          <a:scrgbClr r="0" g="0" b="0"/>
        </a:effectRef>
        <a:fontRef idx="minor"/>
      </dsp:style>
    </dsp:sp>
    <dsp:sp modelId="{FAF46CFB-7B82-485C-9D03-70CBD17488A6}">
      <dsp:nvSpPr>
        <dsp:cNvPr id="0" name=""/>
        <dsp:cNvSpPr/>
      </dsp:nvSpPr>
      <dsp:spPr>
        <a:xfrm>
          <a:off x="588418" y="4015410"/>
          <a:ext cx="9129842" cy="802998"/>
        </a:xfrm>
        <a:prstGeom prst="rect">
          <a:avLst/>
        </a:prstGeom>
        <a:solidFill>
          <a:srgbClr val="FFFFCC"/>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7380" tIns="60960" rIns="60960" bIns="60960" numCol="1" spcCol="1270" anchor="ctr" anchorCtr="0">
          <a:noAutofit/>
        </a:bodyPr>
        <a:lstStyle/>
        <a:p>
          <a:pPr lvl="0" algn="l" defTabSz="1066800">
            <a:lnSpc>
              <a:spcPct val="90000"/>
            </a:lnSpc>
            <a:spcBef>
              <a:spcPct val="0"/>
            </a:spcBef>
            <a:spcAft>
              <a:spcPct val="35000"/>
            </a:spcAft>
          </a:pPr>
          <a:r>
            <a:rPr lang="en-GB" sz="2400" b="1" kern="1200"/>
            <a:t>£8.2m </a:t>
          </a:r>
          <a:r>
            <a:rPr lang="en-GB" sz="1600" kern="1200"/>
            <a:t>forecast capital expenditure and </a:t>
          </a:r>
          <a:r>
            <a:rPr lang="en-GB" sz="2400" b="1" kern="1200"/>
            <a:t>£16.5m </a:t>
          </a:r>
          <a:r>
            <a:rPr lang="en-GB" sz="1600" kern="1200"/>
            <a:t>forecast capital income </a:t>
          </a:r>
          <a:endParaRPr lang="en-GB" sz="1600" i="1" kern="1200"/>
        </a:p>
      </dsp:txBody>
      <dsp:txXfrm>
        <a:off x="588418" y="4015410"/>
        <a:ext cx="9129842" cy="802998"/>
      </dsp:txXfrm>
    </dsp:sp>
    <dsp:sp modelId="{32914868-00D6-40A3-B9F5-7741745E473F}">
      <dsp:nvSpPr>
        <dsp:cNvPr id="0" name=""/>
        <dsp:cNvSpPr/>
      </dsp:nvSpPr>
      <dsp:spPr>
        <a:xfrm>
          <a:off x="0" y="3862640"/>
          <a:ext cx="1003748" cy="1003748"/>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4">
              <a:alpha val="90000"/>
              <a:hueOff val="0"/>
              <a:satOff val="0"/>
              <a:lumOff val="0"/>
              <a:alphaOff val="-40000"/>
            </a:schemeClr>
          </a:solidFill>
          <a:prstDash val="solid"/>
        </a:ln>
        <a:effectLst/>
      </dsp:spPr>
      <dsp:style>
        <a:lnRef idx="1">
          <a:scrgbClr r="0" g="0" b="0"/>
        </a:lnRef>
        <a:fillRef idx="2">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D3289-A21A-46F8-96B1-DCC813EF0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2522</Words>
  <Characters>14380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James Cook, Management Accounting, ext 150180</dc:creator>
  <cp:lastModifiedBy>Anna Hook 42078328</cp:lastModifiedBy>
  <cp:revision>3</cp:revision>
  <cp:lastPrinted>2018-09-20T15:47:00Z</cp:lastPrinted>
  <dcterms:created xsi:type="dcterms:W3CDTF">2019-03-21T16:17:00Z</dcterms:created>
  <dcterms:modified xsi:type="dcterms:W3CDTF">2019-03-21T16:54:00Z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7161</vt:lpwstr>
  </property>
  <property fmtid="{D5CDD505-2E9C-101B-9397-08002B2CF9AE}" pid="3" name="Protective Marking">
    <vt:lpwstr>NOT PROTECTIVELY MARKED</vt:lpwstr>
  </property>
  <property fmtid="{D5CDD505-2E9C-101B-9397-08002B2CF9AE}" pid="4" name="Descriptor">
    <vt:lpwstr/>
  </property>
</Properties>
</file>