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F916" w14:textId="77777777" w:rsidR="004F62BB" w:rsidRPr="004F62BB" w:rsidRDefault="004F62BB" w:rsidP="00773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62BB">
        <w:rPr>
          <w:rFonts w:ascii="Arial" w:hAnsi="Arial" w:cs="Arial"/>
          <w:b/>
          <w:sz w:val="24"/>
          <w:szCs w:val="24"/>
        </w:rPr>
        <w:t>Performance and Resource</w:t>
      </w:r>
      <w:r w:rsidR="007D3E9B">
        <w:rPr>
          <w:rFonts w:ascii="Arial" w:hAnsi="Arial" w:cs="Arial"/>
          <w:b/>
          <w:sz w:val="24"/>
          <w:szCs w:val="24"/>
        </w:rPr>
        <w:t>s</w:t>
      </w:r>
      <w:r w:rsidRPr="004F62BB">
        <w:rPr>
          <w:rFonts w:ascii="Arial" w:hAnsi="Arial" w:cs="Arial"/>
          <w:b/>
          <w:sz w:val="24"/>
          <w:szCs w:val="24"/>
        </w:rPr>
        <w:t xml:space="preserve"> Scrutiny Programme 201</w:t>
      </w:r>
      <w:r w:rsidR="002E0E52">
        <w:rPr>
          <w:rFonts w:ascii="Arial" w:hAnsi="Arial" w:cs="Arial"/>
          <w:b/>
          <w:sz w:val="24"/>
          <w:szCs w:val="24"/>
        </w:rPr>
        <w:t>8</w:t>
      </w:r>
      <w:r w:rsidRPr="004F62BB">
        <w:rPr>
          <w:rFonts w:ascii="Arial" w:hAnsi="Arial" w:cs="Arial"/>
          <w:b/>
          <w:sz w:val="24"/>
          <w:szCs w:val="24"/>
        </w:rPr>
        <w:t>/1</w:t>
      </w:r>
      <w:r w:rsidR="002E0E52">
        <w:rPr>
          <w:rFonts w:ascii="Arial" w:hAnsi="Arial" w:cs="Arial"/>
          <w:b/>
          <w:sz w:val="24"/>
          <w:szCs w:val="24"/>
        </w:rPr>
        <w:t>9</w:t>
      </w:r>
    </w:p>
    <w:p w14:paraId="20B6A912" w14:textId="77777777" w:rsidR="001D5222" w:rsidRDefault="001D5222" w:rsidP="00773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80D68E" w14:textId="77777777" w:rsidR="004F62BB" w:rsidRPr="004F62BB" w:rsidRDefault="004F62BB" w:rsidP="00773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62BB">
        <w:rPr>
          <w:rFonts w:ascii="Arial" w:hAnsi="Arial" w:cs="Arial"/>
          <w:b/>
          <w:sz w:val="24"/>
          <w:szCs w:val="24"/>
        </w:rPr>
        <w:t>Report to: the Office of the Police</w:t>
      </w:r>
      <w:r w:rsidR="00AC1ABD">
        <w:rPr>
          <w:rFonts w:ascii="Arial" w:hAnsi="Arial" w:cs="Arial"/>
          <w:b/>
          <w:sz w:val="24"/>
          <w:szCs w:val="24"/>
        </w:rPr>
        <w:t>, Fire</w:t>
      </w:r>
      <w:r w:rsidRPr="004F62BB">
        <w:rPr>
          <w:rFonts w:ascii="Arial" w:hAnsi="Arial" w:cs="Arial"/>
          <w:b/>
          <w:sz w:val="24"/>
          <w:szCs w:val="24"/>
        </w:rPr>
        <w:t xml:space="preserve"> and Crime Commissioner for Essex</w:t>
      </w:r>
    </w:p>
    <w:p w14:paraId="5BB3D635" w14:textId="77777777" w:rsidR="001D5222" w:rsidRDefault="001D5222" w:rsidP="00773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2D9A2E" w14:textId="77777777" w:rsidR="004F62BB" w:rsidRDefault="004F62BB" w:rsidP="004F62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5103"/>
      </w:tblGrid>
      <w:tr w:rsidR="00652B9C" w:rsidRPr="00046E42" w14:paraId="09EB1761" w14:textId="77777777" w:rsidTr="00773654">
        <w:tc>
          <w:tcPr>
            <w:tcW w:w="3260" w:type="dxa"/>
          </w:tcPr>
          <w:p w14:paraId="798091E7" w14:textId="77777777" w:rsidR="00773654" w:rsidRPr="00046E42" w:rsidRDefault="00652B9C" w:rsidP="00773654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6E42">
              <w:rPr>
                <w:rFonts w:ascii="Arial" w:hAnsi="Arial" w:cs="Arial"/>
                <w:b/>
                <w:sz w:val="24"/>
                <w:szCs w:val="24"/>
              </w:rPr>
              <w:t>Title of Report:</w:t>
            </w:r>
          </w:p>
        </w:tc>
        <w:tc>
          <w:tcPr>
            <w:tcW w:w="5103" w:type="dxa"/>
          </w:tcPr>
          <w:p w14:paraId="546A37CA" w14:textId="77777777" w:rsidR="00652B9C" w:rsidRPr="00046E42" w:rsidRDefault="007750CD" w:rsidP="00814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50CD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trategic Change </w:t>
            </w:r>
            <w:r w:rsidR="004038F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0C2D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48B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0C2D1D">
              <w:rPr>
                <w:rFonts w:ascii="Arial" w:hAnsi="Arial" w:cs="Arial"/>
                <w:b/>
                <w:sz w:val="24"/>
                <w:szCs w:val="24"/>
              </w:rPr>
              <w:t>fficiency</w:t>
            </w:r>
            <w:r w:rsidR="008148BA">
              <w:rPr>
                <w:rFonts w:ascii="Arial" w:hAnsi="Arial" w:cs="Arial"/>
                <w:b/>
                <w:sz w:val="24"/>
                <w:szCs w:val="24"/>
              </w:rPr>
              <w:t xml:space="preserve">, Savings </w:t>
            </w:r>
            <w:r w:rsidR="000C2D1D"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Investments </w:t>
            </w:r>
            <w:r w:rsidRPr="007750C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0C2D1D">
              <w:rPr>
                <w:rFonts w:ascii="Arial" w:hAnsi="Arial" w:cs="Arial"/>
                <w:b/>
                <w:sz w:val="24"/>
                <w:szCs w:val="24"/>
              </w:rPr>
              <w:t xml:space="preserve">lan </w:t>
            </w:r>
            <w:r w:rsidRPr="007750CD">
              <w:rPr>
                <w:rFonts w:ascii="Arial" w:hAnsi="Arial" w:cs="Arial"/>
                <w:b/>
                <w:sz w:val="24"/>
                <w:szCs w:val="24"/>
              </w:rPr>
              <w:t>Update</w:t>
            </w:r>
          </w:p>
        </w:tc>
      </w:tr>
      <w:tr w:rsidR="00BE3FD1" w:rsidRPr="00046E42" w14:paraId="7FE85F01" w14:textId="77777777" w:rsidTr="00773654">
        <w:tc>
          <w:tcPr>
            <w:tcW w:w="3260" w:type="dxa"/>
          </w:tcPr>
          <w:p w14:paraId="1AEC934C" w14:textId="77777777" w:rsidR="00BE3FD1" w:rsidRPr="00046E42" w:rsidRDefault="00BE3FD1" w:rsidP="00BE3FD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94B">
              <w:rPr>
                <w:rFonts w:ascii="Arial" w:hAnsi="Arial" w:cs="Arial"/>
                <w:b/>
                <w:sz w:val="24"/>
                <w:szCs w:val="24"/>
              </w:rPr>
              <w:t>Agenda Number:</w:t>
            </w:r>
          </w:p>
        </w:tc>
        <w:tc>
          <w:tcPr>
            <w:tcW w:w="5103" w:type="dxa"/>
          </w:tcPr>
          <w:p w14:paraId="00DB80C9" w14:textId="2BE909B8" w:rsidR="00BE3FD1" w:rsidRPr="00046E42" w:rsidRDefault="008F4807" w:rsidP="002E4FD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E4FD5">
              <w:rPr>
                <w:rFonts w:ascii="Arial" w:hAnsi="Arial" w:cs="Arial"/>
                <w:b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.0 i</w:t>
            </w:r>
          </w:p>
        </w:tc>
      </w:tr>
      <w:tr w:rsidR="00BE3FD1" w:rsidRPr="00046E42" w14:paraId="715CEDE5" w14:textId="77777777" w:rsidTr="00773654">
        <w:tc>
          <w:tcPr>
            <w:tcW w:w="3260" w:type="dxa"/>
          </w:tcPr>
          <w:p w14:paraId="1091AE37" w14:textId="77777777" w:rsidR="00BE3FD1" w:rsidRPr="00046E42" w:rsidRDefault="00BE3FD1" w:rsidP="00BE3FD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Chief Officer</w:t>
            </w:r>
          </w:p>
        </w:tc>
        <w:tc>
          <w:tcPr>
            <w:tcW w:w="5103" w:type="dxa"/>
          </w:tcPr>
          <w:p w14:paraId="3FD534F2" w14:textId="77777777" w:rsidR="00BE3FD1" w:rsidRPr="00046E42" w:rsidRDefault="00BE3FD1" w:rsidP="00BE3F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50CD">
              <w:rPr>
                <w:rFonts w:ascii="Arial" w:hAnsi="Arial" w:cs="Arial"/>
                <w:b/>
                <w:sz w:val="24"/>
                <w:szCs w:val="24"/>
              </w:rPr>
              <w:t>Dr Vicki Harrington</w:t>
            </w:r>
          </w:p>
        </w:tc>
      </w:tr>
      <w:tr w:rsidR="00BE3FD1" w:rsidRPr="00046E42" w14:paraId="4A73E682" w14:textId="77777777" w:rsidTr="00773654">
        <w:tc>
          <w:tcPr>
            <w:tcW w:w="3260" w:type="dxa"/>
          </w:tcPr>
          <w:p w14:paraId="151F5D0F" w14:textId="77777777" w:rsidR="00BE3FD1" w:rsidRPr="00046E42" w:rsidRDefault="00BE3FD1" w:rsidP="00BE3FD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Paper was Written</w:t>
            </w:r>
          </w:p>
        </w:tc>
        <w:tc>
          <w:tcPr>
            <w:tcW w:w="5103" w:type="dxa"/>
          </w:tcPr>
          <w:p w14:paraId="6F41CD75" w14:textId="2FC72D2D" w:rsidR="00BE3FD1" w:rsidRPr="00046E42" w:rsidRDefault="003F2A11" w:rsidP="00BE3FD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3F2A1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March</w:t>
            </w:r>
            <w:r w:rsidR="00A84983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BE3FD1" w:rsidRPr="00046E42" w14:paraId="22BFF288" w14:textId="77777777" w:rsidTr="00773654">
        <w:tc>
          <w:tcPr>
            <w:tcW w:w="3260" w:type="dxa"/>
          </w:tcPr>
          <w:p w14:paraId="5B5EDD5F" w14:textId="77777777" w:rsidR="00BE3FD1" w:rsidRPr="00046E42" w:rsidRDefault="00BE3FD1" w:rsidP="00BE3FD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Version Number</w:t>
            </w:r>
          </w:p>
        </w:tc>
        <w:tc>
          <w:tcPr>
            <w:tcW w:w="5103" w:type="dxa"/>
          </w:tcPr>
          <w:p w14:paraId="615F5EAD" w14:textId="1DE0B5FE" w:rsidR="00BE3FD1" w:rsidRPr="00046E42" w:rsidRDefault="00870075" w:rsidP="0087007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63DA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E3FD1" w:rsidRPr="00046E42" w14:paraId="4B26CADA" w14:textId="77777777" w:rsidTr="00773654">
        <w:tc>
          <w:tcPr>
            <w:tcW w:w="3260" w:type="dxa"/>
          </w:tcPr>
          <w:p w14:paraId="38C82386" w14:textId="77777777" w:rsidR="00BE3FD1" w:rsidRPr="00046E42" w:rsidRDefault="00BE3FD1" w:rsidP="00BE3FD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6E42">
              <w:rPr>
                <w:rFonts w:ascii="Arial" w:hAnsi="Arial" w:cs="Arial"/>
                <w:b/>
                <w:sz w:val="24"/>
                <w:szCs w:val="24"/>
              </w:rPr>
              <w:t xml:space="preserve">Report from: </w:t>
            </w:r>
          </w:p>
        </w:tc>
        <w:tc>
          <w:tcPr>
            <w:tcW w:w="5103" w:type="dxa"/>
          </w:tcPr>
          <w:p w14:paraId="71079688" w14:textId="77777777" w:rsidR="00BE3FD1" w:rsidRPr="00046E42" w:rsidRDefault="00BE3FD1" w:rsidP="00BE3FD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6E42">
              <w:rPr>
                <w:rFonts w:ascii="Arial" w:hAnsi="Arial" w:cs="Arial"/>
                <w:b/>
                <w:sz w:val="24"/>
                <w:szCs w:val="24"/>
              </w:rPr>
              <w:t>Essex Police</w:t>
            </w:r>
          </w:p>
        </w:tc>
      </w:tr>
      <w:tr w:rsidR="00BE3FD1" w:rsidRPr="00046E42" w14:paraId="152F8544" w14:textId="77777777" w:rsidTr="00773654">
        <w:tc>
          <w:tcPr>
            <w:tcW w:w="3260" w:type="dxa"/>
          </w:tcPr>
          <w:p w14:paraId="2A40F952" w14:textId="77777777" w:rsidR="00BE3FD1" w:rsidRPr="00046E42" w:rsidRDefault="00BE3FD1" w:rsidP="00BE3FD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6E42">
              <w:rPr>
                <w:rFonts w:ascii="Arial" w:hAnsi="Arial" w:cs="Arial"/>
                <w:b/>
                <w:sz w:val="24"/>
                <w:szCs w:val="24"/>
              </w:rPr>
              <w:t>Date of Meeting:</w:t>
            </w:r>
          </w:p>
        </w:tc>
        <w:tc>
          <w:tcPr>
            <w:tcW w:w="5103" w:type="dxa"/>
          </w:tcPr>
          <w:p w14:paraId="19A97663" w14:textId="0D43D65A" w:rsidR="00BE3FD1" w:rsidRPr="00046E42" w:rsidRDefault="009909B8" w:rsidP="00DC1C8F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9909B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3F2A11">
              <w:rPr>
                <w:rFonts w:ascii="Arial" w:hAnsi="Arial" w:cs="Arial"/>
                <w:b/>
                <w:sz w:val="24"/>
                <w:szCs w:val="24"/>
              </w:rPr>
              <w:t xml:space="preserve"> March</w:t>
            </w:r>
            <w:r w:rsidR="00BE3FD1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BE3FD1" w:rsidRPr="00046E42" w14:paraId="77B23981" w14:textId="77777777" w:rsidTr="00773654">
        <w:tc>
          <w:tcPr>
            <w:tcW w:w="3260" w:type="dxa"/>
          </w:tcPr>
          <w:p w14:paraId="5B183840" w14:textId="77777777" w:rsidR="00BE3FD1" w:rsidRPr="00046E42" w:rsidRDefault="00BE3FD1" w:rsidP="00BE3F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Author on behalf of</w:t>
            </w:r>
            <w:r w:rsidRPr="00046E42">
              <w:rPr>
                <w:rFonts w:ascii="Arial" w:hAnsi="Arial" w:cs="Arial"/>
                <w:b/>
                <w:sz w:val="24"/>
                <w:szCs w:val="24"/>
              </w:rPr>
              <w:t xml:space="preserve"> Chief Officer:</w:t>
            </w:r>
          </w:p>
        </w:tc>
        <w:tc>
          <w:tcPr>
            <w:tcW w:w="5103" w:type="dxa"/>
          </w:tcPr>
          <w:p w14:paraId="4B32D214" w14:textId="77777777" w:rsidR="00BE3FD1" w:rsidRPr="00046E42" w:rsidRDefault="00BE3FD1" w:rsidP="00BE3F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Paul </w:t>
            </w:r>
            <w:r w:rsidRPr="007750CD">
              <w:rPr>
                <w:rFonts w:ascii="Arial" w:hAnsi="Arial" w:cs="Arial"/>
                <w:b/>
                <w:sz w:val="24"/>
                <w:szCs w:val="24"/>
              </w:rPr>
              <w:t>Nagle</w:t>
            </w:r>
          </w:p>
        </w:tc>
      </w:tr>
      <w:tr w:rsidR="00BE3FD1" w:rsidRPr="00046E42" w14:paraId="657A8FA0" w14:textId="77777777" w:rsidTr="00773654">
        <w:tc>
          <w:tcPr>
            <w:tcW w:w="3260" w:type="dxa"/>
          </w:tcPr>
          <w:p w14:paraId="0B550DD1" w14:textId="77777777" w:rsidR="00BE3FD1" w:rsidRPr="00046E42" w:rsidRDefault="00BE3FD1" w:rsidP="00BE3FD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6E42">
              <w:rPr>
                <w:rFonts w:ascii="Arial" w:hAnsi="Arial" w:cs="Arial"/>
                <w:b/>
                <w:sz w:val="24"/>
                <w:szCs w:val="24"/>
              </w:rPr>
              <w:t>Date of Approval:</w:t>
            </w:r>
          </w:p>
        </w:tc>
        <w:tc>
          <w:tcPr>
            <w:tcW w:w="5103" w:type="dxa"/>
          </w:tcPr>
          <w:p w14:paraId="58FFB974" w14:textId="24EE76FB" w:rsidR="00BE3FD1" w:rsidRPr="00046E42" w:rsidRDefault="00F500C7" w:rsidP="00BE3FD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F500C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March 2019</w:t>
            </w:r>
          </w:p>
        </w:tc>
      </w:tr>
    </w:tbl>
    <w:p w14:paraId="29E4C9F6" w14:textId="77777777" w:rsidR="001D5222" w:rsidRPr="004F62BB" w:rsidRDefault="001D5222" w:rsidP="00E92E89">
      <w:pPr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</w:p>
    <w:p w14:paraId="4924BE3B" w14:textId="77777777" w:rsidR="004F62BB" w:rsidRDefault="004F62BB" w:rsidP="00E92E89">
      <w:pPr>
        <w:pStyle w:val="NoSpacing"/>
        <w:ind w:left="709"/>
        <w:rPr>
          <w:rFonts w:ascii="Arial" w:hAnsi="Arial" w:cs="Arial"/>
          <w:sz w:val="24"/>
          <w:szCs w:val="24"/>
        </w:rPr>
      </w:pPr>
    </w:p>
    <w:p w14:paraId="21A2AB70" w14:textId="77777777" w:rsidR="00665862" w:rsidRDefault="00665862" w:rsidP="00652B9C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</w:rPr>
      </w:pPr>
      <w:r w:rsidRPr="00665862">
        <w:rPr>
          <w:rFonts w:ascii="Arial" w:hAnsi="Arial" w:cs="Arial"/>
          <w:b/>
          <w:sz w:val="24"/>
          <w:szCs w:val="24"/>
          <w:u w:val="single"/>
        </w:rPr>
        <w:t>Purpose of Report</w:t>
      </w:r>
    </w:p>
    <w:p w14:paraId="78979E88" w14:textId="77777777" w:rsidR="00652B9C" w:rsidRDefault="00652B9C" w:rsidP="00E92E89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6BA9C61C" w14:textId="77777777" w:rsidR="000A6EF4" w:rsidRPr="00652B9C" w:rsidRDefault="000A6EF4" w:rsidP="000A6EF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report outlines progress </w:t>
      </w:r>
      <w:r w:rsidR="0084761D">
        <w:rPr>
          <w:rFonts w:ascii="Arial" w:hAnsi="Arial" w:cs="Arial"/>
          <w:sz w:val="24"/>
          <w:szCs w:val="24"/>
        </w:rPr>
        <w:t xml:space="preserve">against </w:t>
      </w:r>
      <w:r w:rsidR="00561A5C">
        <w:rPr>
          <w:rFonts w:ascii="Arial" w:hAnsi="Arial" w:cs="Arial"/>
          <w:sz w:val="24"/>
          <w:szCs w:val="24"/>
        </w:rPr>
        <w:t xml:space="preserve">current and future </w:t>
      </w:r>
      <w:r w:rsidR="00F04AA9">
        <w:rPr>
          <w:rFonts w:ascii="Arial" w:hAnsi="Arial" w:cs="Arial"/>
          <w:sz w:val="24"/>
          <w:szCs w:val="24"/>
        </w:rPr>
        <w:t xml:space="preserve">efficiency </w:t>
      </w:r>
      <w:r w:rsidR="0084761D">
        <w:rPr>
          <w:rFonts w:ascii="Arial" w:hAnsi="Arial" w:cs="Arial"/>
          <w:sz w:val="24"/>
          <w:szCs w:val="24"/>
        </w:rPr>
        <w:t xml:space="preserve">and </w:t>
      </w:r>
      <w:r w:rsidR="003A263F">
        <w:rPr>
          <w:rFonts w:ascii="Arial" w:hAnsi="Arial" w:cs="Arial"/>
          <w:sz w:val="24"/>
          <w:szCs w:val="24"/>
        </w:rPr>
        <w:t xml:space="preserve">savings </w:t>
      </w:r>
      <w:r w:rsidR="0084761D">
        <w:rPr>
          <w:rFonts w:ascii="Arial" w:hAnsi="Arial" w:cs="Arial"/>
          <w:sz w:val="24"/>
          <w:szCs w:val="24"/>
        </w:rPr>
        <w:t xml:space="preserve">plans as set out in the budget, and </w:t>
      </w:r>
      <w:r>
        <w:rPr>
          <w:rFonts w:ascii="Arial" w:hAnsi="Arial" w:cs="Arial"/>
          <w:sz w:val="24"/>
          <w:szCs w:val="24"/>
        </w:rPr>
        <w:t xml:space="preserve">the </w:t>
      </w:r>
      <w:r w:rsidR="00C040B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orce Medium Term Financial Strategy</w:t>
      </w:r>
      <w:r w:rsidR="00BA4FE9">
        <w:rPr>
          <w:rFonts w:ascii="Arial" w:hAnsi="Arial" w:cs="Arial"/>
          <w:sz w:val="24"/>
          <w:szCs w:val="24"/>
        </w:rPr>
        <w:t xml:space="preserve"> (MTFS)</w:t>
      </w:r>
      <w:r>
        <w:rPr>
          <w:rFonts w:ascii="Arial" w:hAnsi="Arial" w:cs="Arial"/>
          <w:sz w:val="24"/>
          <w:szCs w:val="24"/>
        </w:rPr>
        <w:t>.</w:t>
      </w:r>
      <w:r w:rsidR="003A263F">
        <w:rPr>
          <w:rFonts w:ascii="Arial" w:hAnsi="Arial" w:cs="Arial"/>
          <w:sz w:val="24"/>
          <w:szCs w:val="24"/>
        </w:rPr>
        <w:t xml:space="preserve"> </w:t>
      </w:r>
    </w:p>
    <w:p w14:paraId="6B220001" w14:textId="77777777" w:rsidR="00665862" w:rsidRPr="00665862" w:rsidRDefault="00665862" w:rsidP="0066586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2670C7E" w14:textId="77777777" w:rsidR="00665862" w:rsidRDefault="00665862" w:rsidP="00652B9C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</w:rPr>
      </w:pPr>
      <w:r w:rsidRPr="00665862">
        <w:rPr>
          <w:rFonts w:ascii="Arial" w:hAnsi="Arial" w:cs="Arial"/>
          <w:b/>
          <w:sz w:val="24"/>
          <w:szCs w:val="24"/>
          <w:u w:val="single"/>
        </w:rPr>
        <w:t>Recommendations</w:t>
      </w:r>
    </w:p>
    <w:p w14:paraId="1657076E" w14:textId="77777777" w:rsidR="00652B9C" w:rsidRDefault="00652B9C" w:rsidP="00E92E89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23C4CFA5" w14:textId="77777777" w:rsidR="00652B9C" w:rsidRPr="00652B9C" w:rsidRDefault="007750CD" w:rsidP="00652B9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92E89">
        <w:rPr>
          <w:rFonts w:ascii="Arial" w:hAnsi="Arial" w:cs="Arial"/>
          <w:sz w:val="24"/>
          <w:szCs w:val="24"/>
        </w:rPr>
        <w:t>eport is for the Board to note.</w:t>
      </w:r>
    </w:p>
    <w:p w14:paraId="505EA7C2" w14:textId="77777777" w:rsidR="00665862" w:rsidRPr="00665862" w:rsidRDefault="00665862" w:rsidP="0066586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A56ADDE" w14:textId="77777777" w:rsidR="00665862" w:rsidRDefault="00665862" w:rsidP="00652B9C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Executive Summary</w:t>
      </w:r>
    </w:p>
    <w:p w14:paraId="4A59092C" w14:textId="77777777" w:rsidR="00652B9C" w:rsidRDefault="00652B9C" w:rsidP="00E92E89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54C1A98F" w14:textId="77777777" w:rsidR="005D0DEE" w:rsidRDefault="005D0DEE" w:rsidP="005D0DE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492C538" w14:textId="52A8D4F2" w:rsidR="00561A5C" w:rsidRDefault="000A6EF4" w:rsidP="00C30181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B1372E">
        <w:rPr>
          <w:rFonts w:ascii="Arial" w:hAnsi="Arial" w:cs="Arial"/>
          <w:sz w:val="24"/>
          <w:szCs w:val="24"/>
        </w:rPr>
        <w:t xml:space="preserve">The </w:t>
      </w:r>
      <w:r w:rsidR="006E07B1">
        <w:rPr>
          <w:rFonts w:ascii="Arial" w:hAnsi="Arial" w:cs="Arial"/>
          <w:sz w:val="24"/>
          <w:szCs w:val="24"/>
        </w:rPr>
        <w:t xml:space="preserve">2018/19 budget </w:t>
      </w:r>
      <w:r w:rsidRPr="00B1372E">
        <w:rPr>
          <w:rFonts w:ascii="Arial" w:hAnsi="Arial" w:cs="Arial"/>
          <w:sz w:val="24"/>
          <w:szCs w:val="24"/>
        </w:rPr>
        <w:t>se</w:t>
      </w:r>
      <w:r w:rsidR="004F3338">
        <w:rPr>
          <w:rFonts w:ascii="Arial" w:hAnsi="Arial" w:cs="Arial"/>
          <w:sz w:val="24"/>
          <w:szCs w:val="24"/>
        </w:rPr>
        <w:t>ts out a</w:t>
      </w:r>
      <w:r w:rsidR="00F04AA9">
        <w:rPr>
          <w:rFonts w:ascii="Arial" w:hAnsi="Arial" w:cs="Arial"/>
          <w:sz w:val="24"/>
          <w:szCs w:val="24"/>
        </w:rPr>
        <w:t xml:space="preserve">n efficiency and </w:t>
      </w:r>
      <w:r w:rsidR="004F3338">
        <w:rPr>
          <w:rFonts w:ascii="Arial" w:hAnsi="Arial" w:cs="Arial"/>
          <w:sz w:val="24"/>
          <w:szCs w:val="24"/>
        </w:rPr>
        <w:t>s</w:t>
      </w:r>
      <w:r w:rsidRPr="00B1372E">
        <w:rPr>
          <w:rFonts w:ascii="Arial" w:hAnsi="Arial" w:cs="Arial"/>
          <w:sz w:val="24"/>
          <w:szCs w:val="24"/>
        </w:rPr>
        <w:t>avings</w:t>
      </w:r>
      <w:r w:rsidR="004F3338">
        <w:rPr>
          <w:rFonts w:ascii="Arial" w:hAnsi="Arial" w:cs="Arial"/>
          <w:sz w:val="24"/>
          <w:szCs w:val="24"/>
        </w:rPr>
        <w:t xml:space="preserve"> requirement</w:t>
      </w:r>
      <w:r w:rsidRPr="00B1372E">
        <w:rPr>
          <w:rFonts w:ascii="Arial" w:hAnsi="Arial" w:cs="Arial"/>
          <w:sz w:val="24"/>
          <w:szCs w:val="24"/>
        </w:rPr>
        <w:t xml:space="preserve"> of </w:t>
      </w:r>
      <w:r w:rsidRPr="00B1372E">
        <w:rPr>
          <w:rFonts w:ascii="Arial" w:hAnsi="Arial" w:cs="Arial"/>
          <w:b/>
          <w:sz w:val="24"/>
          <w:szCs w:val="24"/>
        </w:rPr>
        <w:t>£</w:t>
      </w:r>
      <w:r w:rsidR="00031E89">
        <w:rPr>
          <w:rFonts w:ascii="Arial" w:hAnsi="Arial" w:cs="Arial"/>
          <w:b/>
          <w:sz w:val="24"/>
          <w:szCs w:val="24"/>
        </w:rPr>
        <w:t>3.497</w:t>
      </w:r>
      <w:r w:rsidR="00785D02" w:rsidRPr="00B1372E">
        <w:rPr>
          <w:rFonts w:ascii="Arial" w:hAnsi="Arial" w:cs="Arial"/>
          <w:b/>
          <w:sz w:val="24"/>
          <w:szCs w:val="24"/>
        </w:rPr>
        <w:t>M</w:t>
      </w:r>
      <w:r w:rsidRPr="00B1372E">
        <w:rPr>
          <w:rFonts w:ascii="Arial" w:hAnsi="Arial" w:cs="Arial"/>
          <w:sz w:val="24"/>
          <w:szCs w:val="24"/>
        </w:rPr>
        <w:t xml:space="preserve"> </w:t>
      </w:r>
      <w:r w:rsidR="004F3338">
        <w:rPr>
          <w:rFonts w:ascii="Arial" w:hAnsi="Arial" w:cs="Arial"/>
          <w:sz w:val="24"/>
          <w:szCs w:val="24"/>
        </w:rPr>
        <w:t>for 2018/19.</w:t>
      </w:r>
      <w:r w:rsidR="00BE57BB">
        <w:rPr>
          <w:rFonts w:ascii="Arial" w:hAnsi="Arial" w:cs="Arial"/>
          <w:sz w:val="24"/>
          <w:szCs w:val="24"/>
        </w:rPr>
        <w:t xml:space="preserve"> This </w:t>
      </w:r>
      <w:r w:rsidR="000B368E">
        <w:rPr>
          <w:rFonts w:ascii="Arial" w:hAnsi="Arial" w:cs="Arial"/>
          <w:sz w:val="24"/>
          <w:szCs w:val="24"/>
        </w:rPr>
        <w:t>has now been fully delivered.</w:t>
      </w:r>
      <w:r w:rsidR="00C157CE">
        <w:rPr>
          <w:rFonts w:ascii="Arial" w:hAnsi="Arial" w:cs="Arial"/>
          <w:sz w:val="24"/>
          <w:szCs w:val="24"/>
        </w:rPr>
        <w:t xml:space="preserve"> </w:t>
      </w:r>
    </w:p>
    <w:p w14:paraId="2DA4A8E5" w14:textId="77777777" w:rsidR="00B82AD0" w:rsidRDefault="00B82AD0" w:rsidP="00C040B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47D94E8" w14:textId="77777777" w:rsidR="0027298D" w:rsidRDefault="0027298D" w:rsidP="0027298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0000D6">
        <w:rPr>
          <w:rFonts w:ascii="Arial" w:hAnsi="Arial" w:cs="Arial"/>
          <w:sz w:val="24"/>
          <w:szCs w:val="24"/>
        </w:rPr>
        <w:t xml:space="preserve">Work </w:t>
      </w:r>
      <w:r>
        <w:rPr>
          <w:rFonts w:ascii="Arial" w:hAnsi="Arial" w:cs="Arial"/>
          <w:sz w:val="24"/>
          <w:szCs w:val="24"/>
        </w:rPr>
        <w:t xml:space="preserve">has been completed in developing the </w:t>
      </w:r>
      <w:r w:rsidRPr="000000D6">
        <w:rPr>
          <w:rFonts w:ascii="Arial" w:hAnsi="Arial" w:cs="Arial"/>
          <w:sz w:val="24"/>
          <w:szCs w:val="24"/>
        </w:rPr>
        <w:t>detail for the 2019/20 efficiency and savings plans</w:t>
      </w:r>
      <w:r>
        <w:rPr>
          <w:rFonts w:ascii="Arial" w:hAnsi="Arial" w:cs="Arial"/>
          <w:sz w:val="24"/>
          <w:szCs w:val="24"/>
        </w:rPr>
        <w:t xml:space="preserve"> which was included within the Budget setting papers approved by the Police &amp; Crime Panel on the 24</w:t>
      </w:r>
      <w:r w:rsidRPr="0027298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2019. </w:t>
      </w:r>
    </w:p>
    <w:p w14:paraId="60D955DC" w14:textId="77777777" w:rsidR="0027298D" w:rsidRDefault="0027298D" w:rsidP="0027298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2E7C62C" w14:textId="77777777" w:rsidR="0027298D" w:rsidRDefault="0027298D" w:rsidP="00BE57B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reporting of non-cashable productivity efficiency alongside the existing reporting of cashable savings continues to be developed for 2019/20</w:t>
      </w:r>
      <w:r w:rsidRPr="00BE57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meet the </w:t>
      </w:r>
      <w:r w:rsidRPr="003A4CA3">
        <w:rPr>
          <w:rFonts w:ascii="Arial" w:hAnsi="Arial" w:cs="Arial"/>
          <w:b/>
          <w:sz w:val="24"/>
          <w:szCs w:val="24"/>
        </w:rPr>
        <w:t>£6.413M</w:t>
      </w:r>
      <w:r>
        <w:rPr>
          <w:rFonts w:ascii="Arial" w:hAnsi="Arial" w:cs="Arial"/>
          <w:sz w:val="24"/>
          <w:szCs w:val="24"/>
        </w:rPr>
        <w:t xml:space="preserve"> savings and efficiency target. </w:t>
      </w:r>
    </w:p>
    <w:p w14:paraId="7B050CFA" w14:textId="77777777" w:rsidR="0027298D" w:rsidRDefault="0027298D" w:rsidP="00BE57B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0F031D5" w14:textId="3A786E19" w:rsidR="00C040BE" w:rsidRDefault="00CC7DF0" w:rsidP="00BE57B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work has been undertaken to review non-</w:t>
      </w:r>
      <w:r w:rsidR="00803A6B">
        <w:rPr>
          <w:rFonts w:ascii="Arial" w:hAnsi="Arial" w:cs="Arial"/>
          <w:sz w:val="24"/>
          <w:szCs w:val="24"/>
        </w:rPr>
        <w:t xml:space="preserve">cashable </w:t>
      </w:r>
      <w:r>
        <w:rPr>
          <w:rFonts w:ascii="Arial" w:hAnsi="Arial" w:cs="Arial"/>
          <w:sz w:val="24"/>
          <w:szCs w:val="24"/>
        </w:rPr>
        <w:t xml:space="preserve">efficiencies. The Efficiency and Savings Plan </w:t>
      </w:r>
      <w:r w:rsidR="00950373">
        <w:rPr>
          <w:rFonts w:ascii="Arial" w:hAnsi="Arial" w:cs="Arial"/>
          <w:sz w:val="24"/>
          <w:szCs w:val="24"/>
        </w:rPr>
        <w:t xml:space="preserve">Table </w:t>
      </w:r>
      <w:r w:rsidR="002C1ADA">
        <w:rPr>
          <w:rFonts w:ascii="Arial" w:hAnsi="Arial" w:cs="Arial"/>
          <w:sz w:val="24"/>
          <w:szCs w:val="24"/>
        </w:rPr>
        <w:t xml:space="preserve">1.2 </w:t>
      </w:r>
      <w:r w:rsidR="000B368E">
        <w:rPr>
          <w:rFonts w:ascii="Arial" w:hAnsi="Arial" w:cs="Arial"/>
          <w:sz w:val="24"/>
          <w:szCs w:val="24"/>
        </w:rPr>
        <w:t>has</w:t>
      </w:r>
      <w:r w:rsidR="009E5080">
        <w:rPr>
          <w:rFonts w:ascii="Arial" w:hAnsi="Arial" w:cs="Arial"/>
          <w:sz w:val="24"/>
          <w:szCs w:val="24"/>
        </w:rPr>
        <w:t xml:space="preserve"> been</w:t>
      </w:r>
      <w:r>
        <w:rPr>
          <w:rFonts w:ascii="Arial" w:hAnsi="Arial" w:cs="Arial"/>
          <w:sz w:val="24"/>
          <w:szCs w:val="24"/>
        </w:rPr>
        <w:t xml:space="preserve"> updated for these </w:t>
      </w:r>
      <w:r w:rsidR="000B368E">
        <w:rPr>
          <w:rFonts w:ascii="Arial" w:hAnsi="Arial" w:cs="Arial"/>
          <w:sz w:val="24"/>
          <w:szCs w:val="24"/>
        </w:rPr>
        <w:t xml:space="preserve">changes. The </w:t>
      </w:r>
      <w:r w:rsidR="0027298D">
        <w:rPr>
          <w:rFonts w:ascii="Arial" w:hAnsi="Arial" w:cs="Arial"/>
          <w:sz w:val="24"/>
          <w:szCs w:val="24"/>
        </w:rPr>
        <w:t xml:space="preserve">confirmation of </w:t>
      </w:r>
      <w:r w:rsidR="00CA4C5E">
        <w:rPr>
          <w:rFonts w:ascii="Arial" w:hAnsi="Arial" w:cs="Arial"/>
          <w:sz w:val="24"/>
          <w:szCs w:val="24"/>
        </w:rPr>
        <w:t xml:space="preserve">projected </w:t>
      </w:r>
      <w:r w:rsidR="000B368E">
        <w:rPr>
          <w:rFonts w:ascii="Arial" w:hAnsi="Arial" w:cs="Arial"/>
          <w:sz w:val="24"/>
          <w:szCs w:val="24"/>
        </w:rPr>
        <w:t xml:space="preserve">non-cashable efficiencies </w:t>
      </w:r>
      <w:r w:rsidR="0027298D">
        <w:rPr>
          <w:rFonts w:ascii="Arial" w:hAnsi="Arial" w:cs="Arial"/>
          <w:sz w:val="24"/>
          <w:szCs w:val="24"/>
        </w:rPr>
        <w:t xml:space="preserve">for </w:t>
      </w:r>
      <w:r w:rsidR="000B368E">
        <w:rPr>
          <w:rFonts w:ascii="Arial" w:hAnsi="Arial" w:cs="Arial"/>
          <w:sz w:val="24"/>
          <w:szCs w:val="24"/>
        </w:rPr>
        <w:t>B</w:t>
      </w:r>
      <w:r w:rsidR="00CA4C5E">
        <w:rPr>
          <w:rFonts w:ascii="Arial" w:hAnsi="Arial" w:cs="Arial"/>
          <w:sz w:val="24"/>
          <w:szCs w:val="24"/>
        </w:rPr>
        <w:t xml:space="preserve">ody Worn Video will be updated following the development of a Benefits Framework by March 2019 and a Post Implementation review scheduled for July 2019. </w:t>
      </w:r>
      <w:r w:rsidR="00803A6B">
        <w:rPr>
          <w:rFonts w:ascii="Arial" w:hAnsi="Arial" w:cs="Arial"/>
          <w:sz w:val="24"/>
          <w:szCs w:val="24"/>
        </w:rPr>
        <w:t>Details regarding Telematics should be known by April 2019.</w:t>
      </w:r>
    </w:p>
    <w:p w14:paraId="39B48DA6" w14:textId="77777777" w:rsidR="00FE5D31" w:rsidRDefault="00FE5D31" w:rsidP="00C040B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EAAE7E7" w14:textId="77777777" w:rsidR="00121A7F" w:rsidRPr="007D3E9B" w:rsidRDefault="00665862" w:rsidP="0069091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65862">
        <w:rPr>
          <w:rFonts w:ascii="Arial" w:hAnsi="Arial" w:cs="Arial"/>
          <w:b/>
          <w:sz w:val="24"/>
          <w:szCs w:val="24"/>
        </w:rPr>
        <w:t>4.0</w:t>
      </w:r>
      <w:r w:rsidRPr="00665862">
        <w:rPr>
          <w:rFonts w:ascii="Arial" w:hAnsi="Arial" w:cs="Arial"/>
          <w:b/>
          <w:sz w:val="24"/>
          <w:szCs w:val="24"/>
        </w:rPr>
        <w:tab/>
      </w:r>
      <w:r w:rsidR="004F62BB" w:rsidRPr="007D3E9B">
        <w:rPr>
          <w:rFonts w:ascii="Arial" w:hAnsi="Arial" w:cs="Arial"/>
          <w:b/>
          <w:sz w:val="24"/>
          <w:szCs w:val="24"/>
          <w:u w:val="single"/>
        </w:rPr>
        <w:t>Introduction</w:t>
      </w:r>
      <w:r w:rsidR="00E92E89">
        <w:rPr>
          <w:rFonts w:ascii="Arial" w:hAnsi="Arial" w:cs="Arial"/>
          <w:b/>
          <w:sz w:val="24"/>
          <w:szCs w:val="24"/>
          <w:u w:val="single"/>
        </w:rPr>
        <w:t>/</w:t>
      </w:r>
      <w:r w:rsidR="001D5222">
        <w:rPr>
          <w:rFonts w:ascii="Arial" w:hAnsi="Arial" w:cs="Arial"/>
          <w:b/>
          <w:sz w:val="24"/>
          <w:szCs w:val="24"/>
          <w:u w:val="single"/>
        </w:rPr>
        <w:t xml:space="preserve">Background </w:t>
      </w:r>
    </w:p>
    <w:p w14:paraId="5D8F7783" w14:textId="77777777" w:rsidR="00121A7F" w:rsidRPr="007D3E9B" w:rsidRDefault="00121A7F" w:rsidP="007D3E9B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50D79792" w14:textId="77777777" w:rsidR="009D1977" w:rsidRDefault="00C040BE" w:rsidP="00C14888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73F7B">
        <w:rPr>
          <w:rFonts w:ascii="Arial" w:hAnsi="Arial" w:cs="Arial"/>
          <w:sz w:val="24"/>
          <w:szCs w:val="24"/>
        </w:rPr>
        <w:t>The P</w:t>
      </w:r>
      <w:r w:rsidR="00E55BFD">
        <w:rPr>
          <w:rFonts w:ascii="Arial" w:hAnsi="Arial" w:cs="Arial"/>
          <w:sz w:val="24"/>
          <w:szCs w:val="24"/>
        </w:rPr>
        <w:t>F</w:t>
      </w:r>
      <w:r w:rsidRPr="00373F7B">
        <w:rPr>
          <w:rFonts w:ascii="Arial" w:hAnsi="Arial" w:cs="Arial"/>
          <w:sz w:val="24"/>
          <w:szCs w:val="24"/>
        </w:rPr>
        <w:t>CC agreed savings and investment plans within the</w:t>
      </w:r>
      <w:r w:rsidR="00C14888">
        <w:rPr>
          <w:rFonts w:ascii="Arial" w:hAnsi="Arial" w:cs="Arial"/>
          <w:sz w:val="24"/>
          <w:szCs w:val="24"/>
        </w:rPr>
        <w:t xml:space="preserve"> 2018/19 budget. </w:t>
      </w:r>
      <w:r w:rsidR="00A73F34">
        <w:rPr>
          <w:rFonts w:ascii="Arial" w:hAnsi="Arial" w:cs="Arial"/>
          <w:sz w:val="24"/>
          <w:szCs w:val="24"/>
        </w:rPr>
        <w:t>The Bud</w:t>
      </w:r>
      <w:r w:rsidR="00801ECC">
        <w:rPr>
          <w:rFonts w:ascii="Arial" w:hAnsi="Arial" w:cs="Arial"/>
          <w:sz w:val="24"/>
          <w:szCs w:val="24"/>
        </w:rPr>
        <w:t xml:space="preserve">get for 2018/19 </w:t>
      </w:r>
      <w:r w:rsidR="00FE76FC">
        <w:rPr>
          <w:rFonts w:ascii="Arial" w:hAnsi="Arial" w:cs="Arial"/>
          <w:sz w:val="24"/>
          <w:szCs w:val="24"/>
        </w:rPr>
        <w:t xml:space="preserve">was </w:t>
      </w:r>
      <w:r w:rsidR="00801ECC">
        <w:rPr>
          <w:rFonts w:ascii="Arial" w:hAnsi="Arial" w:cs="Arial"/>
          <w:sz w:val="24"/>
          <w:szCs w:val="24"/>
        </w:rPr>
        <w:t xml:space="preserve">presented </w:t>
      </w:r>
      <w:r w:rsidR="00FE76FC">
        <w:rPr>
          <w:rFonts w:ascii="Arial" w:hAnsi="Arial" w:cs="Arial"/>
          <w:sz w:val="24"/>
          <w:szCs w:val="24"/>
        </w:rPr>
        <w:t xml:space="preserve">and agreed by </w:t>
      </w:r>
      <w:r w:rsidR="00785D1E">
        <w:rPr>
          <w:rFonts w:ascii="Arial" w:hAnsi="Arial" w:cs="Arial"/>
          <w:sz w:val="24"/>
          <w:szCs w:val="24"/>
        </w:rPr>
        <w:t>the</w:t>
      </w:r>
      <w:r w:rsidR="00801ECC" w:rsidRPr="00801ECC">
        <w:rPr>
          <w:rFonts w:ascii="Arial" w:hAnsi="Arial" w:cs="Arial"/>
          <w:sz w:val="24"/>
          <w:szCs w:val="24"/>
        </w:rPr>
        <w:t xml:space="preserve"> </w:t>
      </w:r>
      <w:r w:rsidR="00801ECC">
        <w:rPr>
          <w:rFonts w:ascii="Arial" w:hAnsi="Arial" w:cs="Arial"/>
          <w:sz w:val="24"/>
          <w:szCs w:val="24"/>
        </w:rPr>
        <w:t xml:space="preserve">Police and Crime </w:t>
      </w:r>
      <w:r w:rsidR="00785D1E">
        <w:rPr>
          <w:rFonts w:ascii="Arial" w:hAnsi="Arial" w:cs="Arial"/>
          <w:sz w:val="24"/>
          <w:szCs w:val="24"/>
        </w:rPr>
        <w:t xml:space="preserve">Panel </w:t>
      </w:r>
      <w:r w:rsidR="00785D1E" w:rsidRPr="00373F7B">
        <w:rPr>
          <w:rFonts w:ascii="Arial" w:hAnsi="Arial" w:cs="Arial"/>
          <w:sz w:val="24"/>
          <w:szCs w:val="24"/>
        </w:rPr>
        <w:t>on</w:t>
      </w:r>
      <w:r w:rsidR="00801ECC">
        <w:rPr>
          <w:rFonts w:ascii="Arial" w:hAnsi="Arial" w:cs="Arial"/>
          <w:sz w:val="24"/>
          <w:szCs w:val="24"/>
        </w:rPr>
        <w:t xml:space="preserve"> the 22</w:t>
      </w:r>
      <w:r w:rsidR="00801ECC" w:rsidRPr="00A73F34">
        <w:rPr>
          <w:rFonts w:ascii="Arial" w:hAnsi="Arial" w:cs="Arial"/>
          <w:sz w:val="24"/>
          <w:szCs w:val="24"/>
          <w:vertAlign w:val="superscript"/>
        </w:rPr>
        <w:t>nd</w:t>
      </w:r>
      <w:r w:rsidR="00801ECC">
        <w:rPr>
          <w:rFonts w:ascii="Arial" w:hAnsi="Arial" w:cs="Arial"/>
          <w:sz w:val="24"/>
          <w:szCs w:val="24"/>
        </w:rPr>
        <w:t xml:space="preserve"> </w:t>
      </w:r>
      <w:r w:rsidR="00785D1E">
        <w:rPr>
          <w:rFonts w:ascii="Arial" w:hAnsi="Arial" w:cs="Arial"/>
          <w:sz w:val="24"/>
          <w:szCs w:val="24"/>
        </w:rPr>
        <w:t>January</w:t>
      </w:r>
      <w:r w:rsidR="00FE76FC">
        <w:rPr>
          <w:rFonts w:ascii="Arial" w:hAnsi="Arial" w:cs="Arial"/>
          <w:sz w:val="24"/>
          <w:szCs w:val="24"/>
        </w:rPr>
        <w:t xml:space="preserve"> 2018</w:t>
      </w:r>
      <w:r w:rsidR="009D1977">
        <w:rPr>
          <w:rFonts w:ascii="Arial" w:hAnsi="Arial" w:cs="Arial"/>
          <w:sz w:val="24"/>
          <w:szCs w:val="24"/>
        </w:rPr>
        <w:t xml:space="preserve">. </w:t>
      </w:r>
    </w:p>
    <w:p w14:paraId="150C3C44" w14:textId="77777777" w:rsidR="009D1977" w:rsidRDefault="009D1977" w:rsidP="00C14888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0AD1F43C" w14:textId="77777777" w:rsidR="00803A6B" w:rsidRDefault="00785D1E" w:rsidP="009D197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73F34">
        <w:rPr>
          <w:rFonts w:ascii="Arial" w:hAnsi="Arial" w:cs="Arial"/>
          <w:sz w:val="24"/>
          <w:szCs w:val="24"/>
        </w:rPr>
        <w:t>The Police</w:t>
      </w:r>
      <w:r w:rsidR="006A0919">
        <w:rPr>
          <w:rFonts w:ascii="Arial" w:hAnsi="Arial" w:cs="Arial"/>
          <w:sz w:val="24"/>
          <w:szCs w:val="24"/>
        </w:rPr>
        <w:t>, Fire</w:t>
      </w:r>
      <w:r w:rsidR="00A73F34">
        <w:rPr>
          <w:rFonts w:ascii="Arial" w:hAnsi="Arial" w:cs="Arial"/>
          <w:sz w:val="24"/>
          <w:szCs w:val="24"/>
        </w:rPr>
        <w:t xml:space="preserve"> and Crime </w:t>
      </w:r>
      <w:r w:rsidR="00A73F34" w:rsidRPr="00A73F34">
        <w:rPr>
          <w:rFonts w:ascii="Arial" w:hAnsi="Arial" w:cs="Arial"/>
          <w:sz w:val="24"/>
          <w:szCs w:val="24"/>
        </w:rPr>
        <w:t xml:space="preserve">Commissioner </w:t>
      </w:r>
      <w:proofErr w:type="gramStart"/>
      <w:r w:rsidR="009D1977">
        <w:rPr>
          <w:rFonts w:ascii="Arial" w:hAnsi="Arial" w:cs="Arial"/>
          <w:sz w:val="24"/>
          <w:szCs w:val="24"/>
        </w:rPr>
        <w:t>s</w:t>
      </w:r>
      <w:r w:rsidR="002C1ADA" w:rsidRPr="00A73F34">
        <w:rPr>
          <w:rFonts w:ascii="Arial" w:hAnsi="Arial" w:cs="Arial"/>
          <w:sz w:val="24"/>
          <w:szCs w:val="24"/>
        </w:rPr>
        <w:t>et</w:t>
      </w:r>
      <w:proofErr w:type="gramEnd"/>
      <w:r w:rsidR="00A73F34" w:rsidRPr="00A73F34">
        <w:rPr>
          <w:rFonts w:ascii="Arial" w:hAnsi="Arial" w:cs="Arial"/>
          <w:sz w:val="24"/>
          <w:szCs w:val="24"/>
        </w:rPr>
        <w:t xml:space="preserve"> </w:t>
      </w:r>
      <w:r w:rsidRPr="00A73F34">
        <w:rPr>
          <w:rFonts w:ascii="Arial" w:hAnsi="Arial" w:cs="Arial"/>
          <w:sz w:val="24"/>
          <w:szCs w:val="24"/>
        </w:rPr>
        <w:t>a</w:t>
      </w:r>
      <w:r w:rsidR="00A73F34" w:rsidRPr="00A73F34">
        <w:rPr>
          <w:rFonts w:ascii="Arial" w:hAnsi="Arial" w:cs="Arial"/>
          <w:sz w:val="24"/>
          <w:szCs w:val="24"/>
        </w:rPr>
        <w:t xml:space="preserve"> savings and efficiency target of 2% of Sources of Funding from 2019/20</w:t>
      </w:r>
      <w:r>
        <w:rPr>
          <w:rFonts w:ascii="Arial" w:hAnsi="Arial" w:cs="Arial"/>
          <w:sz w:val="24"/>
          <w:szCs w:val="24"/>
        </w:rPr>
        <w:t>.</w:t>
      </w:r>
      <w:r w:rsidR="00C157CE">
        <w:rPr>
          <w:rFonts w:ascii="Arial" w:hAnsi="Arial" w:cs="Arial"/>
          <w:sz w:val="24"/>
          <w:szCs w:val="24"/>
        </w:rPr>
        <w:t xml:space="preserve"> A higher 2.25% savings and efficiency ambition has been set by the Force Efficiency &amp; Savings Board to provide </w:t>
      </w:r>
      <w:r w:rsidR="008F3195">
        <w:rPr>
          <w:rFonts w:ascii="Arial" w:hAnsi="Arial" w:cs="Arial"/>
          <w:sz w:val="24"/>
          <w:szCs w:val="24"/>
        </w:rPr>
        <w:t xml:space="preserve">additional stretch </w:t>
      </w:r>
      <w:r w:rsidR="008A5ABB">
        <w:rPr>
          <w:rFonts w:ascii="Arial" w:hAnsi="Arial" w:cs="Arial"/>
          <w:sz w:val="24"/>
          <w:szCs w:val="24"/>
        </w:rPr>
        <w:t>and contingency should savings and efficiency plans not achieve the full expected benefits.</w:t>
      </w:r>
      <w:r w:rsidR="009D1977" w:rsidRPr="009D1977">
        <w:rPr>
          <w:rFonts w:ascii="Arial" w:hAnsi="Arial" w:cs="Arial"/>
          <w:sz w:val="24"/>
          <w:szCs w:val="24"/>
        </w:rPr>
        <w:t xml:space="preserve"> </w:t>
      </w:r>
    </w:p>
    <w:p w14:paraId="72B20875" w14:textId="77777777" w:rsidR="00803A6B" w:rsidRDefault="00803A6B" w:rsidP="009D197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748D3180" w14:textId="26F3D152" w:rsidR="009D1977" w:rsidRDefault="009D1977" w:rsidP="009D197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B237A4">
        <w:rPr>
          <w:rFonts w:ascii="Arial" w:hAnsi="Arial" w:cs="Arial"/>
          <w:sz w:val="24"/>
          <w:szCs w:val="24"/>
        </w:rPr>
        <w:t>2019/20 efficiency and savings plan w</w:t>
      </w:r>
      <w:r>
        <w:rPr>
          <w:rFonts w:ascii="Arial" w:hAnsi="Arial" w:cs="Arial"/>
          <w:sz w:val="24"/>
          <w:szCs w:val="24"/>
        </w:rPr>
        <w:t>as</w:t>
      </w:r>
      <w:r w:rsidRPr="00B237A4">
        <w:rPr>
          <w:rFonts w:ascii="Arial" w:hAnsi="Arial" w:cs="Arial"/>
          <w:sz w:val="24"/>
          <w:szCs w:val="24"/>
        </w:rPr>
        <w:t xml:space="preserve"> presented at the Police, Fire and Crime Panel on the 24</w:t>
      </w:r>
      <w:r w:rsidRPr="00B237A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2019, approving cashable savings of £4.752M</w:t>
      </w:r>
      <w:r w:rsidR="00DB4B73">
        <w:rPr>
          <w:rFonts w:ascii="Arial" w:hAnsi="Arial" w:cs="Arial"/>
          <w:sz w:val="24"/>
          <w:szCs w:val="24"/>
        </w:rPr>
        <w:t xml:space="preserve"> with a further £3.609m non-cashable efficiencies identified which </w:t>
      </w:r>
      <w:r w:rsidR="009A7ABD">
        <w:rPr>
          <w:rFonts w:ascii="Arial" w:hAnsi="Arial" w:cs="Arial"/>
          <w:sz w:val="24"/>
          <w:szCs w:val="24"/>
        </w:rPr>
        <w:t xml:space="preserve">in total </w:t>
      </w:r>
      <w:r w:rsidR="00DB4B73">
        <w:rPr>
          <w:rFonts w:ascii="Arial" w:hAnsi="Arial" w:cs="Arial"/>
          <w:sz w:val="24"/>
          <w:szCs w:val="24"/>
        </w:rPr>
        <w:t>exceed</w:t>
      </w:r>
      <w:r w:rsidR="009A7ABD">
        <w:rPr>
          <w:rFonts w:ascii="Arial" w:hAnsi="Arial" w:cs="Arial"/>
          <w:sz w:val="24"/>
          <w:szCs w:val="24"/>
        </w:rPr>
        <w:t>s</w:t>
      </w:r>
      <w:r w:rsidR="00DB4B73">
        <w:rPr>
          <w:rFonts w:ascii="Arial" w:hAnsi="Arial" w:cs="Arial"/>
          <w:sz w:val="24"/>
          <w:szCs w:val="24"/>
        </w:rPr>
        <w:t xml:space="preserve"> the overall Savings and Efficiency target by</w:t>
      </w:r>
      <w:r w:rsidR="009A7ABD">
        <w:rPr>
          <w:rFonts w:ascii="Arial" w:hAnsi="Arial" w:cs="Arial"/>
          <w:sz w:val="24"/>
          <w:szCs w:val="24"/>
        </w:rPr>
        <w:t xml:space="preserve"> £1.948m</w:t>
      </w:r>
      <w:r w:rsidR="00DB4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14:paraId="67B0E453" w14:textId="77777777" w:rsidR="009D1977" w:rsidRDefault="009D1977" w:rsidP="009D19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261F91" w14:textId="77777777" w:rsidR="00A73F34" w:rsidRDefault="00A73F34" w:rsidP="00A73F34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881EA0">
        <w:rPr>
          <w:rFonts w:ascii="Arial" w:hAnsi="Arial" w:cs="Arial"/>
          <w:sz w:val="24"/>
          <w:szCs w:val="24"/>
        </w:rPr>
        <w:t xml:space="preserve">The </w:t>
      </w:r>
      <w:r w:rsidRPr="004E7E29">
        <w:rPr>
          <w:rFonts w:ascii="Arial" w:hAnsi="Arial" w:cs="Arial"/>
          <w:sz w:val="24"/>
          <w:szCs w:val="24"/>
        </w:rPr>
        <w:t>Force estimate</w:t>
      </w:r>
      <w:r w:rsidRPr="00881EA0">
        <w:rPr>
          <w:rFonts w:ascii="Arial" w:hAnsi="Arial" w:cs="Arial"/>
          <w:sz w:val="24"/>
          <w:szCs w:val="24"/>
        </w:rPr>
        <w:t>s the future budget requirement</w:t>
      </w:r>
      <w:r w:rsidR="006A0919">
        <w:rPr>
          <w:rFonts w:ascii="Arial" w:hAnsi="Arial" w:cs="Arial"/>
          <w:sz w:val="24"/>
          <w:szCs w:val="24"/>
        </w:rPr>
        <w:t xml:space="preserve">, </w:t>
      </w:r>
      <w:r w:rsidRPr="00881EA0">
        <w:rPr>
          <w:rFonts w:ascii="Arial" w:hAnsi="Arial" w:cs="Arial"/>
          <w:sz w:val="24"/>
          <w:szCs w:val="24"/>
        </w:rPr>
        <w:t xml:space="preserve">funding position, and any </w:t>
      </w:r>
      <w:r w:rsidRPr="004E7E29">
        <w:rPr>
          <w:rFonts w:ascii="Arial" w:hAnsi="Arial" w:cs="Arial"/>
          <w:sz w:val="24"/>
          <w:szCs w:val="24"/>
        </w:rPr>
        <w:t xml:space="preserve">further savings </w:t>
      </w:r>
      <w:r w:rsidR="006A0919">
        <w:rPr>
          <w:rFonts w:ascii="Arial" w:hAnsi="Arial" w:cs="Arial"/>
          <w:sz w:val="24"/>
          <w:szCs w:val="24"/>
        </w:rPr>
        <w:t xml:space="preserve">and efficiency </w:t>
      </w:r>
      <w:r w:rsidRPr="004E7E29">
        <w:rPr>
          <w:rFonts w:ascii="Arial" w:hAnsi="Arial" w:cs="Arial"/>
          <w:sz w:val="24"/>
          <w:szCs w:val="24"/>
        </w:rPr>
        <w:t>requirement</w:t>
      </w:r>
      <w:r w:rsidRPr="00881EA0">
        <w:rPr>
          <w:rFonts w:ascii="Arial" w:hAnsi="Arial" w:cs="Arial"/>
          <w:sz w:val="24"/>
          <w:szCs w:val="24"/>
        </w:rPr>
        <w:t xml:space="preserve"> within its MTFS.</w:t>
      </w:r>
      <w:r w:rsidR="00785D1E" w:rsidRPr="00785D1E">
        <w:rPr>
          <w:rFonts w:ascii="Arial" w:hAnsi="Arial" w:cs="Arial"/>
          <w:sz w:val="24"/>
          <w:szCs w:val="24"/>
        </w:rPr>
        <w:t xml:space="preserve"> </w:t>
      </w:r>
      <w:r w:rsidR="00785D1E" w:rsidRPr="00373F7B">
        <w:rPr>
          <w:rFonts w:ascii="Arial" w:hAnsi="Arial" w:cs="Arial"/>
          <w:sz w:val="24"/>
          <w:szCs w:val="24"/>
        </w:rPr>
        <w:t xml:space="preserve">The </w:t>
      </w:r>
      <w:r w:rsidR="006A0919">
        <w:rPr>
          <w:rFonts w:ascii="Arial" w:hAnsi="Arial" w:cs="Arial"/>
          <w:sz w:val="24"/>
          <w:szCs w:val="24"/>
        </w:rPr>
        <w:t xml:space="preserve">projected </w:t>
      </w:r>
      <w:r w:rsidR="00785D1E" w:rsidRPr="00373F7B">
        <w:rPr>
          <w:rFonts w:ascii="Arial" w:hAnsi="Arial" w:cs="Arial"/>
          <w:sz w:val="24"/>
          <w:szCs w:val="24"/>
        </w:rPr>
        <w:t>savings</w:t>
      </w:r>
      <w:r w:rsidR="00785D1E">
        <w:rPr>
          <w:rFonts w:ascii="Arial" w:hAnsi="Arial" w:cs="Arial"/>
          <w:sz w:val="24"/>
          <w:szCs w:val="24"/>
        </w:rPr>
        <w:t xml:space="preserve"> and efficiency </w:t>
      </w:r>
      <w:r w:rsidR="00785D1E" w:rsidRPr="00373F7B">
        <w:rPr>
          <w:rFonts w:ascii="Arial" w:hAnsi="Arial" w:cs="Arial"/>
          <w:sz w:val="24"/>
          <w:szCs w:val="24"/>
        </w:rPr>
        <w:t>plan</w:t>
      </w:r>
      <w:r w:rsidR="006A0919">
        <w:rPr>
          <w:rFonts w:ascii="Arial" w:hAnsi="Arial" w:cs="Arial"/>
          <w:sz w:val="24"/>
          <w:szCs w:val="24"/>
        </w:rPr>
        <w:t xml:space="preserve"> target for </w:t>
      </w:r>
      <w:r w:rsidR="00466C37">
        <w:rPr>
          <w:rFonts w:ascii="Arial" w:hAnsi="Arial" w:cs="Arial"/>
          <w:sz w:val="24"/>
          <w:szCs w:val="24"/>
        </w:rPr>
        <w:t>20</w:t>
      </w:r>
      <w:r w:rsidR="00175AA9">
        <w:rPr>
          <w:rFonts w:ascii="Arial" w:hAnsi="Arial" w:cs="Arial"/>
          <w:sz w:val="24"/>
          <w:szCs w:val="24"/>
        </w:rPr>
        <w:t>20</w:t>
      </w:r>
      <w:r w:rsidR="006A0919">
        <w:rPr>
          <w:rFonts w:ascii="Arial" w:hAnsi="Arial" w:cs="Arial"/>
          <w:sz w:val="24"/>
          <w:szCs w:val="24"/>
        </w:rPr>
        <w:t>/2</w:t>
      </w:r>
      <w:r w:rsidR="00175AA9">
        <w:rPr>
          <w:rFonts w:ascii="Arial" w:hAnsi="Arial" w:cs="Arial"/>
          <w:sz w:val="24"/>
          <w:szCs w:val="24"/>
        </w:rPr>
        <w:t>1</w:t>
      </w:r>
      <w:r w:rsidR="006A0919">
        <w:rPr>
          <w:rFonts w:ascii="Arial" w:hAnsi="Arial" w:cs="Arial"/>
          <w:sz w:val="24"/>
          <w:szCs w:val="24"/>
        </w:rPr>
        <w:t xml:space="preserve"> and subsequent years will </w:t>
      </w:r>
      <w:r w:rsidR="00785D1E" w:rsidRPr="00373F7B">
        <w:rPr>
          <w:rFonts w:ascii="Arial" w:hAnsi="Arial" w:cs="Arial"/>
          <w:sz w:val="24"/>
          <w:szCs w:val="24"/>
        </w:rPr>
        <w:t xml:space="preserve">therefore be </w:t>
      </w:r>
      <w:r w:rsidR="00785D1E">
        <w:rPr>
          <w:rFonts w:ascii="Arial" w:hAnsi="Arial" w:cs="Arial"/>
          <w:sz w:val="24"/>
          <w:szCs w:val="24"/>
        </w:rPr>
        <w:t xml:space="preserve">impacted and </w:t>
      </w:r>
      <w:r w:rsidR="00785D1E" w:rsidRPr="00373F7B">
        <w:rPr>
          <w:rFonts w:ascii="Arial" w:hAnsi="Arial" w:cs="Arial"/>
          <w:sz w:val="24"/>
          <w:szCs w:val="24"/>
        </w:rPr>
        <w:t xml:space="preserve">adapted </w:t>
      </w:r>
      <w:r w:rsidR="006A0919">
        <w:rPr>
          <w:rFonts w:ascii="Arial" w:hAnsi="Arial" w:cs="Arial"/>
          <w:sz w:val="24"/>
          <w:szCs w:val="24"/>
        </w:rPr>
        <w:t xml:space="preserve">as </w:t>
      </w:r>
      <w:r w:rsidR="000B59B9">
        <w:rPr>
          <w:rFonts w:ascii="Arial" w:hAnsi="Arial" w:cs="Arial"/>
          <w:sz w:val="24"/>
          <w:szCs w:val="24"/>
        </w:rPr>
        <w:t xml:space="preserve">sources of </w:t>
      </w:r>
      <w:r w:rsidR="006A0919">
        <w:rPr>
          <w:rFonts w:ascii="Arial" w:hAnsi="Arial" w:cs="Arial"/>
          <w:sz w:val="24"/>
          <w:szCs w:val="24"/>
        </w:rPr>
        <w:t>funding projections are updated within the MTFS.</w:t>
      </w:r>
    </w:p>
    <w:p w14:paraId="5195A1DE" w14:textId="77777777" w:rsidR="00373F7B" w:rsidRPr="00373F7B" w:rsidRDefault="00373F7B" w:rsidP="007D3E9B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746F9139" w14:textId="77777777" w:rsidR="00C654B8" w:rsidRPr="007D3E9B" w:rsidRDefault="00E92E89" w:rsidP="0030288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65862">
        <w:rPr>
          <w:rFonts w:ascii="Arial" w:hAnsi="Arial" w:cs="Arial"/>
          <w:b/>
          <w:sz w:val="24"/>
          <w:szCs w:val="24"/>
        </w:rPr>
        <w:t>.0</w:t>
      </w:r>
      <w:r w:rsidR="00665862">
        <w:rPr>
          <w:rFonts w:ascii="Arial" w:hAnsi="Arial" w:cs="Arial"/>
          <w:b/>
          <w:sz w:val="24"/>
          <w:szCs w:val="24"/>
        </w:rPr>
        <w:tab/>
      </w:r>
      <w:r w:rsidR="00A27B30" w:rsidRPr="00A27B30">
        <w:rPr>
          <w:rFonts w:ascii="Arial" w:hAnsi="Arial" w:cs="Arial"/>
          <w:b/>
          <w:sz w:val="24"/>
          <w:szCs w:val="24"/>
          <w:u w:val="single"/>
        </w:rPr>
        <w:t xml:space="preserve">2018/19 Savings and Efficiency Plan </w:t>
      </w:r>
    </w:p>
    <w:p w14:paraId="77231C2F" w14:textId="77777777" w:rsidR="00A85689" w:rsidRPr="007D3E9B" w:rsidRDefault="00A85689" w:rsidP="0030288C">
      <w:pPr>
        <w:pStyle w:val="NoSpacing"/>
        <w:ind w:left="709"/>
        <w:rPr>
          <w:rFonts w:ascii="Arial" w:hAnsi="Arial" w:cs="Arial"/>
          <w:b/>
          <w:sz w:val="24"/>
          <w:szCs w:val="24"/>
          <w:u w:val="single"/>
        </w:rPr>
      </w:pPr>
    </w:p>
    <w:p w14:paraId="18FD273F" w14:textId="77777777" w:rsidR="00A76762" w:rsidRPr="00A76762" w:rsidRDefault="00A76762" w:rsidP="00A76762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76762">
        <w:rPr>
          <w:rFonts w:ascii="Arial" w:hAnsi="Arial" w:cs="Arial"/>
          <w:sz w:val="24"/>
          <w:szCs w:val="24"/>
        </w:rPr>
        <w:t xml:space="preserve">The 2018/19 budget sets out an efficiency and savings requirement of £3.497M for 2018/19, which is summarised in the table below with further detail in Table 1.1. </w:t>
      </w:r>
    </w:p>
    <w:p w14:paraId="42D74C37" w14:textId="77777777" w:rsidR="00A76762" w:rsidRPr="00A76762" w:rsidRDefault="00A76762" w:rsidP="00A76762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76762">
        <w:rPr>
          <w:rFonts w:ascii="Arial" w:hAnsi="Arial" w:cs="Arial"/>
          <w:sz w:val="24"/>
          <w:szCs w:val="24"/>
        </w:rPr>
        <w:t>  </w:t>
      </w:r>
    </w:p>
    <w:tbl>
      <w:tblPr>
        <w:tblW w:w="5883" w:type="dxa"/>
        <w:tblInd w:w="1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1823"/>
      </w:tblGrid>
      <w:tr w:rsidR="00A76762" w:rsidRPr="00A76762" w14:paraId="158447E7" w14:textId="77777777" w:rsidTr="00FF2D70">
        <w:trPr>
          <w:trHeight w:val="496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3B9E3" w14:textId="77777777" w:rsidR="00A76762" w:rsidRPr="00A76762" w:rsidRDefault="00A76762" w:rsidP="00A76762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F267D" w14:textId="77777777" w:rsidR="00A76762" w:rsidRPr="00A76762" w:rsidRDefault="00A76762" w:rsidP="00FF2D70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762">
              <w:rPr>
                <w:rFonts w:ascii="Arial" w:hAnsi="Arial" w:cs="Arial"/>
                <w:sz w:val="24"/>
                <w:szCs w:val="24"/>
              </w:rPr>
              <w:t>2018/19</w:t>
            </w:r>
          </w:p>
        </w:tc>
      </w:tr>
      <w:tr w:rsidR="00A76762" w:rsidRPr="00A76762" w14:paraId="493ED1D7" w14:textId="77777777" w:rsidTr="002B5BA0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72F21" w14:textId="77777777" w:rsidR="00A76762" w:rsidRPr="00A76762" w:rsidRDefault="00A76762" w:rsidP="00A76762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A767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7C009" w14:textId="77777777" w:rsidR="00A76762" w:rsidRPr="00A76762" w:rsidRDefault="00A76762" w:rsidP="00FF2D70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762">
              <w:rPr>
                <w:rFonts w:ascii="Arial" w:hAnsi="Arial" w:cs="Arial"/>
                <w:sz w:val="24"/>
                <w:szCs w:val="24"/>
              </w:rPr>
              <w:t>£m</w:t>
            </w:r>
          </w:p>
        </w:tc>
      </w:tr>
      <w:tr w:rsidR="00856144" w:rsidRPr="00A76762" w14:paraId="6A0EC11E" w14:textId="77777777" w:rsidTr="002B5BA0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50445" w14:textId="77777777" w:rsidR="00856144" w:rsidRPr="00A76762" w:rsidRDefault="00856144" w:rsidP="00A76762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A76762">
              <w:rPr>
                <w:rFonts w:ascii="Arial" w:hAnsi="Arial" w:cs="Arial"/>
                <w:sz w:val="24"/>
                <w:szCs w:val="24"/>
              </w:rPr>
              <w:t>Savings plans - Green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17266" w14:textId="77777777" w:rsidR="00856144" w:rsidRPr="00A76762" w:rsidRDefault="00856144" w:rsidP="00FF2D70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  <w:r w:rsidRPr="00A76762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856144" w:rsidRPr="00A76762" w14:paraId="1E0E4167" w14:textId="77777777" w:rsidTr="002B5BA0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384B9" w14:textId="77777777" w:rsidR="00856144" w:rsidRPr="00A76762" w:rsidRDefault="00856144" w:rsidP="00A76762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A76762">
              <w:rPr>
                <w:rFonts w:ascii="Arial" w:hAnsi="Arial" w:cs="Arial"/>
                <w:sz w:val="24"/>
                <w:szCs w:val="24"/>
              </w:rPr>
              <w:t>Total savings identified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78B78" w14:textId="77777777" w:rsidR="00856144" w:rsidRPr="00A76762" w:rsidRDefault="00856144" w:rsidP="00FF2D70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762">
              <w:rPr>
                <w:rFonts w:ascii="Arial" w:hAnsi="Arial" w:cs="Arial"/>
                <w:sz w:val="24"/>
                <w:szCs w:val="24"/>
              </w:rPr>
              <w:t>3.497</w:t>
            </w:r>
          </w:p>
        </w:tc>
      </w:tr>
      <w:tr w:rsidR="00856144" w:rsidRPr="00A76762" w14:paraId="24310644" w14:textId="77777777" w:rsidTr="002B5BA0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FD8D9" w14:textId="77777777" w:rsidR="00856144" w:rsidRPr="00A76762" w:rsidRDefault="00856144" w:rsidP="00A76762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A76762">
              <w:rPr>
                <w:rFonts w:ascii="Arial" w:hAnsi="Arial" w:cs="Arial"/>
                <w:sz w:val="24"/>
                <w:szCs w:val="24"/>
              </w:rPr>
              <w:t xml:space="preserve">Savings to be identified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EBACC" w14:textId="77777777" w:rsidR="00856144" w:rsidRPr="00A76762" w:rsidRDefault="00856144" w:rsidP="00FF2D70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762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</w:tr>
      <w:tr w:rsidR="00856144" w:rsidRPr="00A76762" w14:paraId="72E7CFDA" w14:textId="77777777" w:rsidTr="002B5BA0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A3699" w14:textId="77777777" w:rsidR="00856144" w:rsidRPr="00A76762" w:rsidRDefault="00856144" w:rsidP="00A76762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A76762">
              <w:rPr>
                <w:rFonts w:ascii="Arial" w:hAnsi="Arial" w:cs="Arial"/>
                <w:sz w:val="24"/>
                <w:szCs w:val="24"/>
              </w:rPr>
              <w:t>Total savings requirement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D4187" w14:textId="77777777" w:rsidR="00856144" w:rsidRPr="00A76762" w:rsidRDefault="00856144" w:rsidP="00FF2D70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762">
              <w:rPr>
                <w:rFonts w:ascii="Arial" w:hAnsi="Arial" w:cs="Arial"/>
                <w:sz w:val="24"/>
                <w:szCs w:val="24"/>
              </w:rPr>
              <w:t>3.497</w:t>
            </w:r>
          </w:p>
        </w:tc>
      </w:tr>
      <w:tr w:rsidR="00F27C1E" w:rsidRPr="00A76762" w14:paraId="6278DFE1" w14:textId="77777777" w:rsidTr="002B5BA0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DC91E" w14:textId="77777777" w:rsidR="00F27C1E" w:rsidRPr="00A76762" w:rsidRDefault="00F27C1E" w:rsidP="00A76762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96589" w14:textId="77777777" w:rsidR="00F27C1E" w:rsidRPr="00A76762" w:rsidRDefault="00F27C1E" w:rsidP="00A76762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1B3E6" w14:textId="77777777" w:rsidR="00A76762" w:rsidRPr="00A76762" w:rsidRDefault="00A76762" w:rsidP="00A76762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57CF4D61" w14:textId="4B69C09F" w:rsidR="00A76762" w:rsidRPr="00BC6249" w:rsidRDefault="00A76762" w:rsidP="0094041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76762">
        <w:rPr>
          <w:rFonts w:ascii="Arial" w:hAnsi="Arial" w:cs="Arial"/>
          <w:sz w:val="24"/>
          <w:szCs w:val="24"/>
        </w:rPr>
        <w:t xml:space="preserve">Of the £3.497M savings identified in 2018/19, </w:t>
      </w:r>
      <w:r w:rsidR="00856144">
        <w:rPr>
          <w:rFonts w:ascii="Arial" w:hAnsi="Arial" w:cs="Arial"/>
          <w:sz w:val="24"/>
          <w:szCs w:val="24"/>
        </w:rPr>
        <w:t>all savings of £3.497M (100</w:t>
      </w:r>
      <w:r w:rsidRPr="00A76762">
        <w:rPr>
          <w:rFonts w:ascii="Arial" w:hAnsi="Arial" w:cs="Arial"/>
          <w:sz w:val="24"/>
          <w:szCs w:val="24"/>
        </w:rPr>
        <w:t xml:space="preserve">%) are </w:t>
      </w:r>
      <w:r w:rsidR="00175AA9">
        <w:rPr>
          <w:rFonts w:ascii="Arial" w:hAnsi="Arial" w:cs="Arial"/>
          <w:sz w:val="24"/>
          <w:szCs w:val="24"/>
        </w:rPr>
        <w:t xml:space="preserve">now </w:t>
      </w:r>
      <w:r w:rsidRPr="00A76762">
        <w:rPr>
          <w:rFonts w:ascii="Arial" w:hAnsi="Arial" w:cs="Arial"/>
          <w:sz w:val="24"/>
          <w:szCs w:val="24"/>
        </w:rPr>
        <w:t xml:space="preserve">green risk. The £0.020m savings for SCD – Major Crime is assessed as </w:t>
      </w:r>
      <w:r w:rsidRPr="00A76762">
        <w:rPr>
          <w:rFonts w:ascii="Arial" w:hAnsi="Arial" w:cs="Arial"/>
          <w:sz w:val="24"/>
          <w:szCs w:val="24"/>
        </w:rPr>
        <w:lastRenderedPageBreak/>
        <w:t>Green/Grey. This specific proposal is not being progressed in 2018/19 following the implementation of the SCD review, as other SCD savings from re-structuring have exceeded the overall SCD savings target.</w:t>
      </w:r>
      <w:r w:rsidR="00940419">
        <w:rPr>
          <w:rFonts w:ascii="Arial" w:hAnsi="Arial" w:cs="Arial"/>
          <w:sz w:val="24"/>
          <w:szCs w:val="24"/>
        </w:rPr>
        <w:t xml:space="preserve"> SCD savings target have</w:t>
      </w:r>
      <w:r w:rsidR="00BC6249" w:rsidRPr="00BC6249">
        <w:rPr>
          <w:rFonts w:ascii="Arial" w:hAnsi="Arial" w:cs="Arial"/>
          <w:sz w:val="24"/>
          <w:szCs w:val="24"/>
        </w:rPr>
        <w:t xml:space="preserve"> been over achieved in year though the early delivery of the 19</w:t>
      </w:r>
      <w:r w:rsidR="00BC6249">
        <w:rPr>
          <w:rFonts w:ascii="Arial" w:hAnsi="Arial" w:cs="Arial"/>
          <w:sz w:val="24"/>
          <w:szCs w:val="24"/>
        </w:rPr>
        <w:t>/</w:t>
      </w:r>
      <w:r w:rsidR="00553E9D">
        <w:rPr>
          <w:rFonts w:ascii="Arial" w:hAnsi="Arial" w:cs="Arial"/>
          <w:sz w:val="24"/>
          <w:szCs w:val="24"/>
        </w:rPr>
        <w:t xml:space="preserve">20 programme, </w:t>
      </w:r>
      <w:r w:rsidR="002364CB">
        <w:rPr>
          <w:rFonts w:ascii="Arial" w:hAnsi="Arial" w:cs="Arial"/>
          <w:sz w:val="24"/>
          <w:szCs w:val="24"/>
        </w:rPr>
        <w:t>total</w:t>
      </w:r>
      <w:r w:rsidR="00BC6249" w:rsidRPr="00BC6249">
        <w:rPr>
          <w:rFonts w:ascii="Arial" w:hAnsi="Arial" w:cs="Arial"/>
          <w:sz w:val="24"/>
          <w:szCs w:val="24"/>
        </w:rPr>
        <w:t xml:space="preserve"> £0.394m.</w:t>
      </w:r>
    </w:p>
    <w:p w14:paraId="11BB431D" w14:textId="2A9C7474" w:rsidR="00BC6249" w:rsidRDefault="00BC6249" w:rsidP="00FF2D7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38CBC3F3" w14:textId="77777777" w:rsidR="00BC6249" w:rsidRDefault="00BC6249" w:rsidP="00FF2D7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D85F60" w14:textId="77777777" w:rsidR="0073463F" w:rsidRDefault="0073463F" w:rsidP="00881EA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CB5CFC4" w14:textId="7C78E2A2" w:rsidR="00A27B30" w:rsidRPr="00A27B30" w:rsidRDefault="00E92E89" w:rsidP="00A27B3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665862">
        <w:rPr>
          <w:rFonts w:ascii="Arial" w:hAnsi="Arial" w:cs="Arial"/>
          <w:b/>
          <w:sz w:val="24"/>
          <w:szCs w:val="24"/>
        </w:rPr>
        <w:t>.0</w:t>
      </w:r>
      <w:r w:rsidR="00665862">
        <w:rPr>
          <w:rFonts w:ascii="Arial" w:hAnsi="Arial" w:cs="Arial"/>
          <w:b/>
          <w:sz w:val="24"/>
          <w:szCs w:val="24"/>
        </w:rPr>
        <w:tab/>
      </w:r>
      <w:r w:rsidR="00A27B30" w:rsidRPr="00A27B30">
        <w:rPr>
          <w:rFonts w:ascii="Arial" w:hAnsi="Arial" w:cs="Arial"/>
          <w:b/>
          <w:sz w:val="24"/>
          <w:szCs w:val="24"/>
          <w:u w:val="single"/>
        </w:rPr>
        <w:t>2019/20 Savings &amp; Efficiency Plan</w:t>
      </w:r>
    </w:p>
    <w:p w14:paraId="25F070FD" w14:textId="77777777" w:rsidR="00A27B30" w:rsidRPr="007D3E9B" w:rsidRDefault="00A27B30" w:rsidP="00A27B30">
      <w:pPr>
        <w:pStyle w:val="NoSpacing"/>
        <w:ind w:left="709"/>
        <w:rPr>
          <w:rFonts w:ascii="Arial" w:hAnsi="Arial" w:cs="Arial"/>
          <w:b/>
          <w:sz w:val="24"/>
          <w:szCs w:val="24"/>
          <w:u w:val="single"/>
        </w:rPr>
      </w:pPr>
    </w:p>
    <w:p w14:paraId="142B6B23" w14:textId="1169C391" w:rsidR="00A27B30" w:rsidRDefault="00856144" w:rsidP="00A27B30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B237A4">
        <w:rPr>
          <w:rFonts w:ascii="Arial" w:hAnsi="Arial" w:cs="Arial"/>
          <w:sz w:val="24"/>
          <w:szCs w:val="24"/>
        </w:rPr>
        <w:t>T</w:t>
      </w:r>
      <w:r w:rsidR="00A27B30" w:rsidRPr="00B237A4">
        <w:rPr>
          <w:rFonts w:ascii="Arial" w:hAnsi="Arial" w:cs="Arial"/>
          <w:sz w:val="24"/>
          <w:szCs w:val="24"/>
        </w:rPr>
        <w:t xml:space="preserve">he 2019/20 efficiency and savings </w:t>
      </w:r>
      <w:r w:rsidRPr="00B237A4">
        <w:rPr>
          <w:rFonts w:ascii="Arial" w:hAnsi="Arial" w:cs="Arial"/>
          <w:sz w:val="24"/>
          <w:szCs w:val="24"/>
        </w:rPr>
        <w:t>plan w</w:t>
      </w:r>
      <w:r w:rsidR="00836CEA">
        <w:rPr>
          <w:rFonts w:ascii="Arial" w:hAnsi="Arial" w:cs="Arial"/>
          <w:sz w:val="24"/>
          <w:szCs w:val="24"/>
        </w:rPr>
        <w:t>as</w:t>
      </w:r>
      <w:r w:rsidR="0006386D" w:rsidRPr="00B237A4">
        <w:rPr>
          <w:rFonts w:ascii="Arial" w:hAnsi="Arial" w:cs="Arial"/>
          <w:sz w:val="24"/>
          <w:szCs w:val="24"/>
        </w:rPr>
        <w:t xml:space="preserve"> </w:t>
      </w:r>
      <w:r w:rsidRPr="00B237A4">
        <w:rPr>
          <w:rFonts w:ascii="Arial" w:hAnsi="Arial" w:cs="Arial"/>
          <w:sz w:val="24"/>
          <w:szCs w:val="24"/>
        </w:rPr>
        <w:t>presented at the Police, Fire and Crime Panel on the 24</w:t>
      </w:r>
      <w:r w:rsidRPr="00B237A4">
        <w:rPr>
          <w:rFonts w:ascii="Arial" w:hAnsi="Arial" w:cs="Arial"/>
          <w:sz w:val="24"/>
          <w:szCs w:val="24"/>
          <w:vertAlign w:val="superscript"/>
        </w:rPr>
        <w:t>th</w:t>
      </w:r>
      <w:r w:rsidR="00D66E28">
        <w:rPr>
          <w:rFonts w:ascii="Arial" w:hAnsi="Arial" w:cs="Arial"/>
          <w:sz w:val="24"/>
          <w:szCs w:val="24"/>
        </w:rPr>
        <w:t xml:space="preserve"> January 2019, approving</w:t>
      </w:r>
      <w:r w:rsidR="00836CEA">
        <w:rPr>
          <w:rFonts w:ascii="Arial" w:hAnsi="Arial" w:cs="Arial"/>
          <w:sz w:val="24"/>
          <w:szCs w:val="24"/>
        </w:rPr>
        <w:t xml:space="preserve"> cashable savings of £4.752M</w:t>
      </w:r>
      <w:r w:rsidRPr="00B237A4">
        <w:rPr>
          <w:rFonts w:ascii="Arial" w:hAnsi="Arial" w:cs="Arial"/>
          <w:sz w:val="24"/>
          <w:szCs w:val="24"/>
        </w:rPr>
        <w:t xml:space="preserve"> </w:t>
      </w:r>
      <w:r w:rsidR="00836CEA">
        <w:rPr>
          <w:rFonts w:ascii="Arial" w:hAnsi="Arial" w:cs="Arial"/>
          <w:sz w:val="24"/>
          <w:szCs w:val="24"/>
        </w:rPr>
        <w:t>.</w:t>
      </w:r>
      <w:r w:rsidR="00A27B30" w:rsidRPr="00B237A4">
        <w:rPr>
          <w:rFonts w:ascii="Arial" w:hAnsi="Arial" w:cs="Arial"/>
          <w:sz w:val="24"/>
          <w:szCs w:val="24"/>
        </w:rPr>
        <w:t>T</w:t>
      </w:r>
      <w:r w:rsidR="00836CEA">
        <w:rPr>
          <w:rFonts w:ascii="Arial" w:hAnsi="Arial" w:cs="Arial"/>
          <w:sz w:val="24"/>
          <w:szCs w:val="24"/>
        </w:rPr>
        <w:t xml:space="preserve">able </w:t>
      </w:r>
      <w:r w:rsidR="00D66E28">
        <w:rPr>
          <w:rFonts w:ascii="Arial" w:hAnsi="Arial" w:cs="Arial"/>
          <w:sz w:val="24"/>
          <w:szCs w:val="24"/>
        </w:rPr>
        <w:t>1.2 provides</w:t>
      </w:r>
      <w:r w:rsidR="00836CEA">
        <w:rPr>
          <w:rFonts w:ascii="Arial" w:hAnsi="Arial" w:cs="Arial"/>
          <w:sz w:val="24"/>
          <w:szCs w:val="24"/>
        </w:rPr>
        <w:t xml:space="preserve"> further details.</w:t>
      </w:r>
    </w:p>
    <w:p w14:paraId="60B9CD4B" w14:textId="77777777" w:rsidR="00C42180" w:rsidRDefault="00C42180" w:rsidP="00A27B3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3059D32" w14:textId="77777777" w:rsidR="00A76762" w:rsidRDefault="00A76762" w:rsidP="00A27B30">
      <w:pPr>
        <w:spacing w:after="0" w:line="240" w:lineRule="auto"/>
        <w:ind w:left="720"/>
        <w:contextualSpacing/>
        <w:rPr>
          <w:rFonts w:ascii="Arial" w:hAnsi="Arial"/>
          <w:sz w:val="24"/>
        </w:rPr>
      </w:pPr>
    </w:p>
    <w:p w14:paraId="196C7709" w14:textId="77777777" w:rsidR="00A27B30" w:rsidRPr="007E7A29" w:rsidRDefault="00A27B30" w:rsidP="00A27B30">
      <w:pPr>
        <w:spacing w:after="0" w:line="240" w:lineRule="auto"/>
        <w:ind w:left="720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T</w:t>
      </w:r>
      <w:r w:rsidRPr="007E7A29">
        <w:rPr>
          <w:rFonts w:ascii="Arial" w:hAnsi="Arial"/>
          <w:sz w:val="24"/>
        </w:rPr>
        <w:t>he 201</w:t>
      </w:r>
      <w:r>
        <w:rPr>
          <w:rFonts w:ascii="Arial" w:hAnsi="Arial"/>
          <w:sz w:val="24"/>
        </w:rPr>
        <w:t>9</w:t>
      </w:r>
      <w:r w:rsidRPr="007E7A29">
        <w:rPr>
          <w:rFonts w:ascii="Arial" w:hAnsi="Arial"/>
          <w:sz w:val="24"/>
        </w:rPr>
        <w:t>/</w:t>
      </w:r>
      <w:r>
        <w:rPr>
          <w:rFonts w:ascii="Arial" w:hAnsi="Arial"/>
          <w:sz w:val="24"/>
        </w:rPr>
        <w:t>20</w:t>
      </w:r>
      <w:r w:rsidRPr="007E7A29">
        <w:rPr>
          <w:rFonts w:ascii="Arial" w:hAnsi="Arial"/>
          <w:sz w:val="24"/>
        </w:rPr>
        <w:t xml:space="preserve"> savings</w:t>
      </w:r>
      <w:r w:rsidR="004038F0">
        <w:rPr>
          <w:rFonts w:ascii="Arial" w:hAnsi="Arial"/>
          <w:sz w:val="24"/>
        </w:rPr>
        <w:t xml:space="preserve"> and efficiency </w:t>
      </w:r>
      <w:r w:rsidRPr="007E7A29">
        <w:rPr>
          <w:rFonts w:ascii="Arial" w:hAnsi="Arial"/>
          <w:sz w:val="24"/>
        </w:rPr>
        <w:t>target</w:t>
      </w:r>
      <w:r>
        <w:rPr>
          <w:rFonts w:ascii="Arial" w:hAnsi="Arial"/>
          <w:sz w:val="24"/>
        </w:rPr>
        <w:t xml:space="preserve"> is </w:t>
      </w:r>
      <w:r w:rsidRPr="007E7A29">
        <w:rPr>
          <w:rFonts w:ascii="Arial" w:hAnsi="Arial"/>
          <w:sz w:val="24"/>
        </w:rPr>
        <w:t xml:space="preserve">summarised in the table below. </w:t>
      </w:r>
    </w:p>
    <w:p w14:paraId="711F4F03" w14:textId="77777777" w:rsidR="00A27B30" w:rsidRDefault="00A27B30" w:rsidP="00A27B30">
      <w:pPr>
        <w:spacing w:after="0" w:line="240" w:lineRule="auto"/>
        <w:ind w:left="720"/>
        <w:contextualSpacing/>
        <w:rPr>
          <w:rFonts w:ascii="Arial" w:hAnsi="Arial"/>
          <w:sz w:val="24"/>
          <w:highlight w:val="yellow"/>
        </w:rPr>
      </w:pPr>
      <w:r>
        <w:rPr>
          <w:rFonts w:ascii="Arial" w:hAnsi="Arial"/>
          <w:sz w:val="24"/>
          <w:highlight w:val="yellow"/>
        </w:rPr>
        <w:t xml:space="preserve">  </w:t>
      </w:r>
    </w:p>
    <w:tbl>
      <w:tblPr>
        <w:tblW w:w="7442" w:type="dxa"/>
        <w:tblInd w:w="1625" w:type="dxa"/>
        <w:tblLook w:val="04A0" w:firstRow="1" w:lastRow="0" w:firstColumn="1" w:lastColumn="0" w:noHBand="0" w:noVBand="1"/>
      </w:tblPr>
      <w:tblGrid>
        <w:gridCol w:w="5741"/>
        <w:gridCol w:w="1701"/>
      </w:tblGrid>
      <w:tr w:rsidR="00A27B30" w:rsidRPr="00FE76FC" w14:paraId="52311DDE" w14:textId="77777777" w:rsidTr="00FF2D70">
        <w:trPr>
          <w:trHeight w:val="5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0F83" w14:textId="77777777" w:rsidR="00A27B30" w:rsidRPr="00FE76FC" w:rsidRDefault="00A27B30" w:rsidP="00A56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044F" w14:textId="77777777" w:rsidR="00A27B30" w:rsidRPr="00FE76FC" w:rsidRDefault="00A27B30" w:rsidP="00A27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  <w:r w:rsidRPr="00FE76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  <w:r w:rsidRPr="00FE76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A27B30" w:rsidRPr="00FE76FC" w14:paraId="45E4E040" w14:textId="77777777" w:rsidTr="00FF2D70">
        <w:trPr>
          <w:trHeight w:val="360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BF51" w14:textId="77777777" w:rsidR="00A27B30" w:rsidRPr="00FE76FC" w:rsidRDefault="00A27B30" w:rsidP="00A56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7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4EF5" w14:textId="77777777" w:rsidR="00A27B30" w:rsidRPr="00FE76FC" w:rsidRDefault="00A27B30" w:rsidP="00FF2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E76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£m</w:t>
            </w:r>
          </w:p>
        </w:tc>
      </w:tr>
      <w:tr w:rsidR="00A27B30" w:rsidRPr="00FE76FC" w14:paraId="3D1F55F3" w14:textId="77777777" w:rsidTr="00FF2D70">
        <w:trPr>
          <w:trHeight w:val="360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CE8472" w14:textId="77777777" w:rsidR="00A27B30" w:rsidRPr="009943EA" w:rsidRDefault="00A27B30" w:rsidP="009A7A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94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Savings </w:t>
            </w:r>
            <w:r w:rsidR="00E23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and Efficiency </w:t>
            </w:r>
            <w:r w:rsidR="009943EA" w:rsidRPr="00994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requirement as per MTFS</w:t>
            </w:r>
            <w:r w:rsidRPr="00994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BBB518" w14:textId="77777777" w:rsidR="00A27B30" w:rsidRPr="009943EA" w:rsidRDefault="00A27B30" w:rsidP="00FF2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94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6.413</w:t>
            </w:r>
          </w:p>
        </w:tc>
      </w:tr>
      <w:tr w:rsidR="00DB4B73" w:rsidRPr="00FE76FC" w14:paraId="6B5C07AC" w14:textId="77777777" w:rsidTr="00FF2D70">
        <w:trPr>
          <w:trHeight w:val="360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014157" w14:textId="77777777" w:rsidR="00DB4B73" w:rsidRPr="00FE76FC" w:rsidRDefault="00DB4B73" w:rsidP="009A7A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Cashable </w:t>
            </w:r>
            <w:r w:rsidRPr="00FE7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Savings plans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346D8F" w14:textId="77777777" w:rsidR="00DB4B73" w:rsidRPr="00FE76FC" w:rsidRDefault="00DB4B73" w:rsidP="00FF2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4.752</w:t>
            </w:r>
          </w:p>
        </w:tc>
      </w:tr>
      <w:tr w:rsidR="009943EA" w:rsidRPr="00FE76FC" w14:paraId="00A7EE54" w14:textId="77777777" w:rsidTr="00FF2D70">
        <w:trPr>
          <w:trHeight w:val="360"/>
        </w:trPr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EC75F6" w14:textId="77777777" w:rsidR="009943EA" w:rsidRPr="009943EA" w:rsidRDefault="009943EA" w:rsidP="009A7A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94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Indicative Efficiency (Non-cashable) plans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62CF7" w14:textId="4ED62E79" w:rsidR="009943EA" w:rsidRPr="009943EA" w:rsidRDefault="00803A6B" w:rsidP="00FF2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4.157</w:t>
            </w:r>
          </w:p>
        </w:tc>
      </w:tr>
      <w:tr w:rsidR="00E901D9" w:rsidRPr="00FE76FC" w14:paraId="1029D48D" w14:textId="77777777" w:rsidTr="00FF2D70">
        <w:trPr>
          <w:trHeight w:val="36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F61DCA" w14:textId="2DC60AAC" w:rsidR="00E901D9" w:rsidRDefault="00E901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Total Savings and Efficiencies (Cashable and non-cashable)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E1C406" w14:textId="376ED899" w:rsidR="00E901D9" w:rsidRDefault="00E901D9" w:rsidP="00803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</w:t>
            </w:r>
            <w:r w:rsidR="00803A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910</w:t>
            </w:r>
          </w:p>
        </w:tc>
      </w:tr>
      <w:tr w:rsidR="00DB4B73" w:rsidRPr="00FE76FC" w14:paraId="5FF2EF75" w14:textId="77777777" w:rsidTr="00FF2D70">
        <w:trPr>
          <w:trHeight w:val="36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EC81FE" w14:textId="39B99C3B" w:rsidR="00DB4B73" w:rsidRPr="009943EA" w:rsidRDefault="00DB4B73" w:rsidP="009A7A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Excess of Cashable </w:t>
            </w:r>
            <w:r w:rsidR="009A7A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 Efficiency (non-cashable) savings vs Target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43B7E7" w14:textId="275AD80F" w:rsidR="00DB4B73" w:rsidRDefault="00803A6B" w:rsidP="00FF2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2.497</w:t>
            </w:r>
          </w:p>
        </w:tc>
      </w:tr>
    </w:tbl>
    <w:p w14:paraId="456EC3E3" w14:textId="77777777" w:rsidR="00A27B30" w:rsidRDefault="00A27B30" w:rsidP="00A27B30">
      <w:pPr>
        <w:spacing w:after="0" w:line="240" w:lineRule="auto"/>
        <w:ind w:left="720"/>
        <w:contextualSpacing/>
        <w:rPr>
          <w:rFonts w:ascii="Arial" w:hAnsi="Arial"/>
          <w:sz w:val="24"/>
          <w:highlight w:val="yellow"/>
        </w:rPr>
      </w:pPr>
    </w:p>
    <w:p w14:paraId="455DBE39" w14:textId="77777777" w:rsidR="008B00B3" w:rsidRDefault="008B00B3" w:rsidP="00A27B30">
      <w:pPr>
        <w:spacing w:after="0" w:line="240" w:lineRule="auto"/>
        <w:ind w:left="720"/>
        <w:contextualSpacing/>
        <w:rPr>
          <w:rFonts w:ascii="Arial" w:hAnsi="Arial"/>
          <w:sz w:val="24"/>
          <w:highlight w:val="yellow"/>
        </w:rPr>
      </w:pPr>
    </w:p>
    <w:p w14:paraId="1AEDA151" w14:textId="2FAA21B7" w:rsidR="007469D3" w:rsidRDefault="00082836" w:rsidP="0008283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Efficiency and Savings Plan will be updated </w:t>
      </w:r>
      <w:r w:rsidR="00D66E28">
        <w:rPr>
          <w:rFonts w:ascii="Arial" w:hAnsi="Arial" w:cs="Arial"/>
          <w:sz w:val="24"/>
          <w:szCs w:val="24"/>
        </w:rPr>
        <w:t xml:space="preserve">as further </w:t>
      </w:r>
      <w:r w:rsidR="00595798">
        <w:rPr>
          <w:rFonts w:ascii="Arial" w:hAnsi="Arial" w:cs="Arial"/>
          <w:sz w:val="24"/>
          <w:szCs w:val="24"/>
        </w:rPr>
        <w:t>non-cashable savings are realised.</w:t>
      </w:r>
      <w:r w:rsidR="007469D3">
        <w:rPr>
          <w:rFonts w:ascii="Arial" w:hAnsi="Arial" w:cs="Arial"/>
          <w:sz w:val="24"/>
          <w:szCs w:val="24"/>
        </w:rPr>
        <w:t xml:space="preserve"> Since the approval of the 2019/20 Budget, the non-cashable savings projected from the Mobile First Programme have been updated per the Mobile First report to the P&amp;R Board in </w:t>
      </w:r>
      <w:r w:rsidR="00870075">
        <w:rPr>
          <w:rFonts w:ascii="Arial" w:hAnsi="Arial" w:cs="Arial"/>
          <w:sz w:val="24"/>
          <w:szCs w:val="24"/>
        </w:rPr>
        <w:t xml:space="preserve">January 2019. The </w:t>
      </w:r>
      <w:r w:rsidR="007469D3">
        <w:rPr>
          <w:rFonts w:ascii="Arial" w:hAnsi="Arial" w:cs="Arial"/>
          <w:sz w:val="24"/>
          <w:szCs w:val="24"/>
        </w:rPr>
        <w:t>Fire Collaboration Savings arising from Collapsed doors has been added at £31k</w:t>
      </w:r>
      <w:r w:rsidR="00AC530F">
        <w:rPr>
          <w:rFonts w:ascii="Arial" w:hAnsi="Arial" w:cs="Arial"/>
          <w:sz w:val="24"/>
          <w:szCs w:val="24"/>
        </w:rPr>
        <w:t>, and further cashable and non-cashable savings</w:t>
      </w:r>
      <w:r w:rsidR="00870075">
        <w:rPr>
          <w:rFonts w:ascii="Arial" w:hAnsi="Arial" w:cs="Arial"/>
          <w:sz w:val="24"/>
          <w:szCs w:val="24"/>
        </w:rPr>
        <w:t xml:space="preserve"> from Fire Collaboration are currently being reviewed prior to inclusion in the Efficiency &amp; Savings Plan. Additional savings from </w:t>
      </w:r>
      <w:r w:rsidR="00803A6B">
        <w:rPr>
          <w:rFonts w:ascii="Arial" w:hAnsi="Arial" w:cs="Arial"/>
          <w:sz w:val="24"/>
          <w:szCs w:val="24"/>
        </w:rPr>
        <w:t>Vital signs/Marginal gains have been added at £122k</w:t>
      </w:r>
      <w:r w:rsidR="007469D3">
        <w:rPr>
          <w:rFonts w:ascii="Arial" w:hAnsi="Arial" w:cs="Arial"/>
          <w:sz w:val="24"/>
          <w:szCs w:val="24"/>
        </w:rPr>
        <w:t>.</w:t>
      </w:r>
    </w:p>
    <w:p w14:paraId="0A00EA0C" w14:textId="77777777" w:rsidR="007469D3" w:rsidRDefault="007469D3" w:rsidP="0008283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984960D" w14:textId="0D8E7D09" w:rsidR="002C4623" w:rsidRDefault="007469D3" w:rsidP="0008283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has increased </w:t>
      </w:r>
      <w:r w:rsidR="00BC6249">
        <w:rPr>
          <w:rFonts w:ascii="Arial" w:hAnsi="Arial" w:cs="Arial"/>
          <w:sz w:val="24"/>
          <w:szCs w:val="24"/>
        </w:rPr>
        <w:t>the 2019/20 non-cashable savings projection from £3.609m indicated in the</w:t>
      </w:r>
      <w:r w:rsidR="00803A6B">
        <w:rPr>
          <w:rFonts w:ascii="Arial" w:hAnsi="Arial" w:cs="Arial"/>
          <w:sz w:val="24"/>
          <w:szCs w:val="24"/>
        </w:rPr>
        <w:t xml:space="preserve"> approval Panel Budget to £4.157</w:t>
      </w:r>
      <w:r w:rsidR="00BC6249">
        <w:rPr>
          <w:rFonts w:ascii="Arial" w:hAnsi="Arial" w:cs="Arial"/>
          <w:sz w:val="24"/>
          <w:szCs w:val="24"/>
        </w:rPr>
        <w:t>m, an increase o</w:t>
      </w:r>
      <w:r w:rsidR="00803A6B">
        <w:rPr>
          <w:rFonts w:ascii="Arial" w:hAnsi="Arial" w:cs="Arial"/>
          <w:sz w:val="24"/>
          <w:szCs w:val="24"/>
        </w:rPr>
        <w:t>f £0.548</w:t>
      </w:r>
      <w:r w:rsidR="00BC6249">
        <w:rPr>
          <w:rFonts w:ascii="Arial" w:hAnsi="Arial" w:cs="Arial"/>
          <w:sz w:val="24"/>
          <w:szCs w:val="24"/>
        </w:rPr>
        <w:t xml:space="preserve">m.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F1B7F2" w14:textId="77777777" w:rsidR="002C4623" w:rsidRDefault="002C4623" w:rsidP="0008283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E7F4786" w14:textId="4F0C8D2C" w:rsidR="00055B70" w:rsidRDefault="004458FB" w:rsidP="00055B7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Force Efficiency &amp; Savings Board </w:t>
      </w:r>
      <w:r w:rsidR="004A2573">
        <w:rPr>
          <w:rFonts w:ascii="Arial" w:hAnsi="Arial" w:cs="Arial"/>
          <w:sz w:val="24"/>
          <w:szCs w:val="24"/>
        </w:rPr>
        <w:t>continue</w:t>
      </w:r>
      <w:r w:rsidR="00D83C9C">
        <w:rPr>
          <w:rFonts w:ascii="Arial" w:hAnsi="Arial" w:cs="Arial"/>
          <w:sz w:val="24"/>
          <w:szCs w:val="24"/>
        </w:rPr>
        <w:t>s</w:t>
      </w:r>
      <w:r w:rsidR="004A2573">
        <w:rPr>
          <w:rFonts w:ascii="Arial" w:hAnsi="Arial" w:cs="Arial"/>
          <w:sz w:val="24"/>
          <w:szCs w:val="24"/>
        </w:rPr>
        <w:t xml:space="preserve"> to meet</w:t>
      </w:r>
      <w:r>
        <w:rPr>
          <w:rFonts w:ascii="Arial" w:hAnsi="Arial" w:cs="Arial"/>
          <w:sz w:val="24"/>
          <w:szCs w:val="24"/>
        </w:rPr>
        <w:t xml:space="preserve"> </w:t>
      </w:r>
      <w:r w:rsidR="00547359">
        <w:rPr>
          <w:rFonts w:ascii="Arial" w:hAnsi="Arial" w:cs="Arial"/>
          <w:sz w:val="24"/>
          <w:szCs w:val="24"/>
        </w:rPr>
        <w:t>regularly</w:t>
      </w:r>
      <w:r w:rsidR="00175AA9">
        <w:rPr>
          <w:rFonts w:ascii="Arial" w:hAnsi="Arial" w:cs="Arial"/>
          <w:sz w:val="24"/>
          <w:szCs w:val="24"/>
        </w:rPr>
        <w:t xml:space="preserve">. It has steered </w:t>
      </w:r>
      <w:r>
        <w:rPr>
          <w:rFonts w:ascii="Arial" w:hAnsi="Arial" w:cs="Arial"/>
          <w:sz w:val="24"/>
          <w:szCs w:val="24"/>
        </w:rPr>
        <w:t>the development of the 2019/20 Efficiency &amp; savings plan to meet the MTFS requirement</w:t>
      </w:r>
      <w:r w:rsidR="00A76762">
        <w:rPr>
          <w:rFonts w:ascii="Arial" w:hAnsi="Arial" w:cs="Arial"/>
          <w:sz w:val="24"/>
          <w:szCs w:val="24"/>
        </w:rPr>
        <w:t xml:space="preserve"> and is now focusing on the development of the 2020/21 Savings and Efficiency Plan. </w:t>
      </w:r>
      <w:r w:rsidR="00603DC2">
        <w:rPr>
          <w:rFonts w:ascii="Arial" w:hAnsi="Arial" w:cs="Arial"/>
          <w:sz w:val="24"/>
          <w:szCs w:val="24"/>
        </w:rPr>
        <w:t xml:space="preserve">The last meeting </w:t>
      </w:r>
      <w:r w:rsidR="00950373">
        <w:rPr>
          <w:rFonts w:ascii="Arial" w:hAnsi="Arial" w:cs="Arial"/>
          <w:sz w:val="24"/>
          <w:szCs w:val="24"/>
        </w:rPr>
        <w:t xml:space="preserve">of the Board </w:t>
      </w:r>
      <w:r w:rsidR="00603DC2">
        <w:rPr>
          <w:rFonts w:ascii="Arial" w:hAnsi="Arial" w:cs="Arial"/>
          <w:sz w:val="24"/>
          <w:szCs w:val="24"/>
        </w:rPr>
        <w:t xml:space="preserve">was </w:t>
      </w:r>
      <w:r w:rsidR="00950373">
        <w:rPr>
          <w:rFonts w:ascii="Arial" w:hAnsi="Arial" w:cs="Arial"/>
          <w:sz w:val="24"/>
          <w:szCs w:val="24"/>
        </w:rPr>
        <w:t>on the 14</w:t>
      </w:r>
      <w:r w:rsidR="00950373" w:rsidRPr="00950373">
        <w:rPr>
          <w:rFonts w:ascii="Arial" w:hAnsi="Arial" w:cs="Arial"/>
          <w:sz w:val="24"/>
          <w:szCs w:val="24"/>
          <w:vertAlign w:val="superscript"/>
        </w:rPr>
        <w:t>th</w:t>
      </w:r>
      <w:r w:rsidR="00950373">
        <w:rPr>
          <w:rFonts w:ascii="Arial" w:hAnsi="Arial" w:cs="Arial"/>
          <w:sz w:val="24"/>
          <w:szCs w:val="24"/>
        </w:rPr>
        <w:t xml:space="preserve"> </w:t>
      </w:r>
      <w:r w:rsidR="00603DC2">
        <w:rPr>
          <w:rFonts w:ascii="Arial" w:hAnsi="Arial" w:cs="Arial"/>
          <w:sz w:val="24"/>
          <w:szCs w:val="24"/>
        </w:rPr>
        <w:t>February 2019.</w:t>
      </w:r>
    </w:p>
    <w:p w14:paraId="23E7C150" w14:textId="77777777" w:rsidR="008148BA" w:rsidRPr="00396C3E" w:rsidRDefault="008148BA" w:rsidP="008148BA">
      <w:pPr>
        <w:pStyle w:val="NoSpacing"/>
        <w:rPr>
          <w:rFonts w:ascii="Arial" w:hAnsi="Arial" w:cs="Arial"/>
          <w:sz w:val="24"/>
          <w:szCs w:val="24"/>
        </w:rPr>
      </w:pPr>
    </w:p>
    <w:p w14:paraId="70AF4D39" w14:textId="77777777" w:rsidR="007929EF" w:rsidRDefault="007929EF" w:rsidP="008148BA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545FE636" w14:textId="77777777" w:rsidR="007929EF" w:rsidRDefault="007929EF" w:rsidP="008148BA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0CEFE79E" w14:textId="0EA112EE" w:rsidR="008148BA" w:rsidRPr="008148BA" w:rsidRDefault="008148BA" w:rsidP="008148BA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8148BA">
        <w:rPr>
          <w:rFonts w:ascii="Arial" w:hAnsi="Arial" w:cs="Arial"/>
          <w:b/>
          <w:sz w:val="24"/>
          <w:szCs w:val="24"/>
          <w:u w:val="single"/>
        </w:rPr>
        <w:lastRenderedPageBreak/>
        <w:t>New Investments</w:t>
      </w:r>
    </w:p>
    <w:p w14:paraId="6A954BCC" w14:textId="77777777" w:rsidR="008148BA" w:rsidRDefault="008148BA" w:rsidP="008148B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2132A4A" w14:textId="1FD3981E" w:rsidR="00950373" w:rsidRDefault="008148BA" w:rsidP="0095037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separate more detailed report on </w:t>
      </w:r>
      <w:r w:rsidR="004F1B0C">
        <w:rPr>
          <w:rFonts w:ascii="Arial" w:hAnsi="Arial" w:cs="Arial"/>
          <w:sz w:val="24"/>
          <w:szCs w:val="24"/>
        </w:rPr>
        <w:t xml:space="preserve">the 2018/19 </w:t>
      </w:r>
      <w:r>
        <w:rPr>
          <w:rFonts w:ascii="Arial" w:hAnsi="Arial" w:cs="Arial"/>
          <w:sz w:val="24"/>
          <w:szCs w:val="24"/>
        </w:rPr>
        <w:t xml:space="preserve">investments to support the Police &amp; Crime Plan and the forecast expenditure from that investment </w:t>
      </w:r>
      <w:r w:rsidR="001600A6">
        <w:rPr>
          <w:rFonts w:ascii="Arial" w:hAnsi="Arial" w:cs="Arial"/>
          <w:sz w:val="24"/>
          <w:szCs w:val="24"/>
        </w:rPr>
        <w:t>is reported quarterly.</w:t>
      </w:r>
      <w:r w:rsidR="00203FFA">
        <w:rPr>
          <w:rFonts w:ascii="Arial" w:hAnsi="Arial" w:cs="Arial"/>
          <w:sz w:val="24"/>
          <w:szCs w:val="24"/>
        </w:rPr>
        <w:t xml:space="preserve"> </w:t>
      </w:r>
      <w:r w:rsidR="00950373">
        <w:rPr>
          <w:rFonts w:ascii="Arial" w:hAnsi="Arial" w:cs="Arial"/>
          <w:sz w:val="24"/>
          <w:szCs w:val="24"/>
        </w:rPr>
        <w:t xml:space="preserve">A final report on the 2018/19 investments will be provided in May 2019. Quarterly monitoring of 2019/20 investments will commence in July 2019. </w:t>
      </w:r>
    </w:p>
    <w:p w14:paraId="144A54AB" w14:textId="77777777" w:rsidR="00950373" w:rsidRDefault="00950373" w:rsidP="0095037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B1D8935" w14:textId="77777777" w:rsidR="009943EA" w:rsidRPr="00A27B30" w:rsidRDefault="009943EA" w:rsidP="008148BA">
      <w:pPr>
        <w:pStyle w:val="NoSpacing"/>
        <w:ind w:firstLine="709"/>
        <w:rPr>
          <w:rFonts w:ascii="Arial" w:hAnsi="Arial" w:cs="Arial"/>
          <w:b/>
          <w:sz w:val="24"/>
          <w:szCs w:val="24"/>
          <w:u w:val="single"/>
        </w:rPr>
      </w:pPr>
      <w:r w:rsidRPr="00D12BD1">
        <w:rPr>
          <w:rFonts w:ascii="Arial" w:hAnsi="Arial" w:cs="Arial"/>
          <w:b/>
          <w:sz w:val="24"/>
          <w:szCs w:val="24"/>
          <w:u w:val="single"/>
        </w:rPr>
        <w:t>Implications/Issues</w:t>
      </w:r>
    </w:p>
    <w:p w14:paraId="57257079" w14:textId="77777777" w:rsidR="00A27B30" w:rsidRDefault="00A27B30" w:rsidP="00A27B30">
      <w:pPr>
        <w:spacing w:after="0" w:line="240" w:lineRule="auto"/>
        <w:contextualSpacing/>
        <w:rPr>
          <w:rFonts w:ascii="Arial" w:hAnsi="Arial"/>
          <w:sz w:val="24"/>
          <w:highlight w:val="yellow"/>
        </w:rPr>
      </w:pPr>
    </w:p>
    <w:p w14:paraId="5258B0F7" w14:textId="77777777" w:rsidR="00121A7F" w:rsidRDefault="0073463F" w:rsidP="00881EA0">
      <w:pPr>
        <w:pStyle w:val="NoSpacing"/>
        <w:ind w:left="709"/>
        <w:rPr>
          <w:rFonts w:ascii="Arial" w:hAnsi="Arial" w:cs="Arial"/>
          <w:sz w:val="24"/>
          <w:szCs w:val="24"/>
        </w:rPr>
      </w:pPr>
      <w:r w:rsidRPr="0073463F">
        <w:rPr>
          <w:rFonts w:ascii="Arial" w:hAnsi="Arial" w:cs="Arial"/>
          <w:sz w:val="24"/>
          <w:szCs w:val="24"/>
        </w:rPr>
        <w:t xml:space="preserve">Failure to identify sufficient </w:t>
      </w:r>
      <w:r>
        <w:rPr>
          <w:rFonts w:ascii="Arial" w:hAnsi="Arial" w:cs="Arial"/>
          <w:sz w:val="24"/>
          <w:szCs w:val="24"/>
        </w:rPr>
        <w:t xml:space="preserve">savings </w:t>
      </w:r>
      <w:r w:rsidRPr="0073463F">
        <w:rPr>
          <w:rFonts w:ascii="Arial" w:hAnsi="Arial" w:cs="Arial"/>
          <w:sz w:val="24"/>
          <w:szCs w:val="24"/>
        </w:rPr>
        <w:t>and efficiency proposal</w:t>
      </w:r>
      <w:r w:rsidR="00881EA0">
        <w:rPr>
          <w:rFonts w:ascii="Arial" w:hAnsi="Arial" w:cs="Arial"/>
          <w:sz w:val="24"/>
          <w:szCs w:val="24"/>
        </w:rPr>
        <w:t xml:space="preserve">s, which are deliverable, </w:t>
      </w:r>
      <w:r w:rsidRPr="0073463F">
        <w:rPr>
          <w:rFonts w:ascii="Arial" w:hAnsi="Arial" w:cs="Arial"/>
          <w:sz w:val="24"/>
          <w:szCs w:val="24"/>
        </w:rPr>
        <w:t>place</w:t>
      </w:r>
      <w:r>
        <w:rPr>
          <w:rFonts w:ascii="Arial" w:hAnsi="Arial" w:cs="Arial"/>
          <w:sz w:val="24"/>
          <w:szCs w:val="24"/>
        </w:rPr>
        <w:t>s</w:t>
      </w:r>
      <w:r w:rsidRPr="0073463F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F</w:t>
      </w:r>
      <w:r w:rsidRPr="0073463F">
        <w:rPr>
          <w:rFonts w:ascii="Arial" w:hAnsi="Arial" w:cs="Arial"/>
          <w:sz w:val="24"/>
          <w:szCs w:val="24"/>
        </w:rPr>
        <w:t>orce at risk of being in an unbalanced budget position.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89D9DC" w14:textId="77777777" w:rsidR="00BA4FE9" w:rsidRPr="00656F5B" w:rsidRDefault="00BA4FE9" w:rsidP="00881EA0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</w:p>
    <w:p w14:paraId="56779680" w14:textId="77777777" w:rsidR="00E836C6" w:rsidRPr="00D12BD1" w:rsidRDefault="009943EA" w:rsidP="00E836C6">
      <w:pPr>
        <w:pStyle w:val="NoSpacing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E92E89" w:rsidRPr="00DE144B">
        <w:rPr>
          <w:rFonts w:ascii="Arial" w:hAnsi="Arial" w:cs="Arial"/>
          <w:b/>
          <w:sz w:val="24"/>
          <w:szCs w:val="24"/>
        </w:rPr>
        <w:t>.1</w:t>
      </w:r>
      <w:r w:rsidR="00652B9C" w:rsidRPr="00DE144B">
        <w:rPr>
          <w:rFonts w:ascii="Arial" w:hAnsi="Arial" w:cs="Arial"/>
          <w:b/>
          <w:sz w:val="24"/>
          <w:szCs w:val="24"/>
        </w:rPr>
        <w:tab/>
      </w:r>
      <w:r w:rsidR="00E836C6" w:rsidRPr="00D12BD1">
        <w:rPr>
          <w:rFonts w:ascii="Arial" w:hAnsi="Arial" w:cs="Arial"/>
          <w:b/>
          <w:sz w:val="24"/>
          <w:szCs w:val="24"/>
        </w:rPr>
        <w:t>Links to Police and Crime Plan Priorities</w:t>
      </w:r>
    </w:p>
    <w:p w14:paraId="44D59493" w14:textId="77777777" w:rsidR="00E836C6" w:rsidRDefault="00E836C6" w:rsidP="00E836C6">
      <w:pPr>
        <w:pStyle w:val="NoSpacing"/>
        <w:ind w:left="1418" w:hanging="709"/>
        <w:rPr>
          <w:rFonts w:ascii="Arial" w:hAnsi="Arial" w:cs="Arial"/>
          <w:b/>
          <w:sz w:val="24"/>
          <w:szCs w:val="24"/>
        </w:rPr>
      </w:pPr>
    </w:p>
    <w:p w14:paraId="50B1B0B4" w14:textId="77777777" w:rsidR="00E836C6" w:rsidRDefault="00E836C6" w:rsidP="00E836C6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efficiency, savings and investment plans are considered in their potential </w:t>
      </w:r>
      <w:r w:rsidR="00F027F3">
        <w:rPr>
          <w:rFonts w:ascii="Arial" w:hAnsi="Arial" w:cs="Arial"/>
          <w:sz w:val="24"/>
          <w:szCs w:val="24"/>
        </w:rPr>
        <w:t>impact to</w:t>
      </w:r>
      <w:r>
        <w:rPr>
          <w:rFonts w:ascii="Arial" w:hAnsi="Arial" w:cs="Arial"/>
          <w:sz w:val="24"/>
          <w:szCs w:val="24"/>
        </w:rPr>
        <w:t xml:space="preserve"> ensure they align and are consistent with </w:t>
      </w:r>
      <w:r w:rsidRPr="00411145">
        <w:rPr>
          <w:rFonts w:ascii="Arial" w:hAnsi="Arial" w:cs="Arial"/>
          <w:sz w:val="24"/>
          <w:szCs w:val="24"/>
        </w:rPr>
        <w:t>the priorities set out in the Police and Crime Plan.</w:t>
      </w:r>
    </w:p>
    <w:p w14:paraId="4BD4D968" w14:textId="77777777" w:rsidR="00E836C6" w:rsidRDefault="00E836C6" w:rsidP="00E836C6">
      <w:pPr>
        <w:pStyle w:val="NoSpacing"/>
        <w:ind w:left="709"/>
        <w:rPr>
          <w:rFonts w:ascii="Arial" w:hAnsi="Arial" w:cs="Arial"/>
          <w:sz w:val="24"/>
          <w:szCs w:val="24"/>
        </w:rPr>
      </w:pPr>
    </w:p>
    <w:p w14:paraId="3FA559D3" w14:textId="77777777" w:rsidR="00E836C6" w:rsidRPr="00D12BD1" w:rsidRDefault="009943EA" w:rsidP="00E836C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E836C6" w:rsidRPr="00411145">
        <w:rPr>
          <w:rFonts w:ascii="Arial" w:hAnsi="Arial" w:cs="Arial"/>
          <w:b/>
          <w:sz w:val="24"/>
          <w:szCs w:val="24"/>
        </w:rPr>
        <w:t>.2</w:t>
      </w:r>
      <w:r w:rsidR="00E836C6" w:rsidRPr="00411145">
        <w:rPr>
          <w:rFonts w:ascii="Arial" w:hAnsi="Arial" w:cs="Arial"/>
          <w:b/>
          <w:sz w:val="24"/>
          <w:szCs w:val="24"/>
        </w:rPr>
        <w:tab/>
      </w:r>
      <w:r w:rsidR="00E836C6" w:rsidRPr="00D12BD1">
        <w:rPr>
          <w:rFonts w:ascii="Arial" w:hAnsi="Arial" w:cs="Arial"/>
          <w:b/>
          <w:sz w:val="24"/>
          <w:szCs w:val="24"/>
        </w:rPr>
        <w:t>Demand</w:t>
      </w:r>
    </w:p>
    <w:p w14:paraId="4573D4D6" w14:textId="77777777" w:rsidR="00E836C6" w:rsidRDefault="00E836C6" w:rsidP="00E836C6">
      <w:pPr>
        <w:pStyle w:val="NoSpacing"/>
        <w:ind w:left="709"/>
        <w:rPr>
          <w:rFonts w:ascii="Arial" w:hAnsi="Arial" w:cs="Arial"/>
          <w:b/>
          <w:sz w:val="24"/>
          <w:szCs w:val="24"/>
          <w:u w:val="single"/>
        </w:rPr>
      </w:pPr>
    </w:p>
    <w:p w14:paraId="07B8DFC6" w14:textId="77777777" w:rsidR="00E836C6" w:rsidRDefault="00E836C6" w:rsidP="00E836C6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Planned investment in Police Officer number</w:t>
      </w:r>
      <w:r w:rsidR="009824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directly start to address the findings of the </w:t>
      </w:r>
      <w:r w:rsidRPr="00411145">
        <w:rPr>
          <w:rFonts w:ascii="Arial" w:hAnsi="Arial" w:cs="Arial"/>
          <w:sz w:val="24"/>
          <w:szCs w:val="24"/>
        </w:rPr>
        <w:t>Demand Analysis Report</w:t>
      </w:r>
      <w:r w:rsidR="00F027F3">
        <w:rPr>
          <w:rFonts w:ascii="Arial" w:hAnsi="Arial" w:cs="Arial"/>
          <w:sz w:val="24"/>
          <w:szCs w:val="24"/>
        </w:rPr>
        <w:t xml:space="preserve"> </w:t>
      </w:r>
      <w:r w:rsidR="00E237B4">
        <w:rPr>
          <w:rFonts w:ascii="Arial" w:hAnsi="Arial" w:cs="Arial"/>
          <w:sz w:val="24"/>
          <w:szCs w:val="24"/>
        </w:rPr>
        <w:t xml:space="preserve">prepared with the support of PA Consulting </w:t>
      </w:r>
      <w:r w:rsidR="00F027F3">
        <w:rPr>
          <w:rFonts w:ascii="Arial" w:hAnsi="Arial" w:cs="Arial"/>
          <w:sz w:val="24"/>
          <w:szCs w:val="24"/>
        </w:rPr>
        <w:t>which concluded that significant additional staffing may be needed in Local Policing Areas to cope with increasing levels of demand and to enable a shift towards preventative policing.</w:t>
      </w:r>
    </w:p>
    <w:p w14:paraId="5A6D7416" w14:textId="77777777" w:rsidR="00E836C6" w:rsidRPr="00411145" w:rsidRDefault="00E836C6" w:rsidP="00E836C6">
      <w:pPr>
        <w:pStyle w:val="NoSpacing"/>
        <w:ind w:left="709"/>
        <w:rPr>
          <w:rFonts w:ascii="Arial" w:hAnsi="Arial" w:cs="Arial"/>
          <w:sz w:val="24"/>
          <w:szCs w:val="24"/>
        </w:rPr>
      </w:pPr>
    </w:p>
    <w:p w14:paraId="340B62EF" w14:textId="77777777" w:rsidR="00121A7F" w:rsidRPr="00D12BD1" w:rsidRDefault="009943EA" w:rsidP="00DE144B">
      <w:pPr>
        <w:pStyle w:val="NoSpacing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E836C6" w:rsidRPr="00E836C6">
        <w:rPr>
          <w:rFonts w:ascii="Arial" w:hAnsi="Arial" w:cs="Arial"/>
          <w:b/>
          <w:sz w:val="24"/>
          <w:szCs w:val="24"/>
        </w:rPr>
        <w:t>.3</w:t>
      </w:r>
      <w:r w:rsidR="00E836C6" w:rsidRPr="00E836C6">
        <w:rPr>
          <w:rFonts w:ascii="Arial" w:hAnsi="Arial" w:cs="Arial"/>
          <w:b/>
          <w:sz w:val="24"/>
          <w:szCs w:val="24"/>
        </w:rPr>
        <w:tab/>
      </w:r>
      <w:r w:rsidR="006279AB" w:rsidRPr="00D12BD1">
        <w:rPr>
          <w:rFonts w:ascii="Arial" w:hAnsi="Arial" w:cs="Arial"/>
          <w:b/>
          <w:sz w:val="24"/>
          <w:szCs w:val="24"/>
        </w:rPr>
        <w:t>Risks</w:t>
      </w:r>
      <w:r w:rsidR="00D8103E" w:rsidRPr="00D12BD1">
        <w:rPr>
          <w:rFonts w:ascii="Arial" w:hAnsi="Arial" w:cs="Arial"/>
          <w:b/>
          <w:sz w:val="24"/>
          <w:szCs w:val="24"/>
        </w:rPr>
        <w:t>/Mitigation</w:t>
      </w:r>
    </w:p>
    <w:p w14:paraId="33DF36BA" w14:textId="77777777" w:rsidR="00121A7F" w:rsidRPr="007D3E9B" w:rsidRDefault="00121A7F" w:rsidP="003028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543577D" w14:textId="77777777" w:rsidR="00121A7F" w:rsidRDefault="0073463F" w:rsidP="00207FCB">
      <w:pPr>
        <w:spacing w:after="0" w:line="240" w:lineRule="auto"/>
        <w:ind w:left="709"/>
        <w:contextualSpacing/>
        <w:rPr>
          <w:rFonts w:ascii="Arial" w:hAnsi="Arial"/>
          <w:sz w:val="24"/>
        </w:rPr>
      </w:pPr>
      <w:r w:rsidRPr="0073463F">
        <w:rPr>
          <w:rFonts w:ascii="Arial" w:hAnsi="Arial"/>
          <w:sz w:val="24"/>
        </w:rPr>
        <w:t>If the Force fails to plan ad</w:t>
      </w:r>
      <w:r w:rsidR="00207FCB">
        <w:rPr>
          <w:rFonts w:ascii="Arial" w:hAnsi="Arial"/>
          <w:sz w:val="24"/>
        </w:rPr>
        <w:t>equately</w:t>
      </w:r>
      <w:r w:rsidRPr="0073463F">
        <w:rPr>
          <w:rFonts w:ascii="Arial" w:hAnsi="Arial"/>
          <w:sz w:val="24"/>
        </w:rPr>
        <w:t>, emergency measure</w:t>
      </w:r>
      <w:r w:rsidR="00BD4A2F">
        <w:rPr>
          <w:rFonts w:ascii="Arial" w:hAnsi="Arial"/>
          <w:sz w:val="24"/>
        </w:rPr>
        <w:t>s</w:t>
      </w:r>
      <w:r w:rsidRPr="0073463F">
        <w:rPr>
          <w:rFonts w:ascii="Arial" w:hAnsi="Arial"/>
          <w:sz w:val="24"/>
        </w:rPr>
        <w:t xml:space="preserve"> may need to be taken which could result in reduction in service and protection for the public. </w:t>
      </w:r>
    </w:p>
    <w:p w14:paraId="538008B0" w14:textId="77777777" w:rsidR="00207FCB" w:rsidRPr="007D3E9B" w:rsidRDefault="00207FCB" w:rsidP="00207FCB">
      <w:pPr>
        <w:spacing w:after="0" w:line="240" w:lineRule="auto"/>
        <w:ind w:left="709"/>
        <w:contextualSpacing/>
        <w:rPr>
          <w:rFonts w:ascii="Arial" w:hAnsi="Arial"/>
          <w:sz w:val="24"/>
        </w:rPr>
      </w:pPr>
    </w:p>
    <w:p w14:paraId="71DA1D34" w14:textId="77777777" w:rsidR="002B56D6" w:rsidRPr="00D12BD1" w:rsidRDefault="009943EA" w:rsidP="002B56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2B56D6" w:rsidRPr="002B56D6">
        <w:rPr>
          <w:rFonts w:ascii="Arial" w:hAnsi="Arial" w:cs="Arial"/>
          <w:b/>
          <w:sz w:val="24"/>
          <w:szCs w:val="24"/>
        </w:rPr>
        <w:t>.4</w:t>
      </w:r>
      <w:r w:rsidR="002B56D6" w:rsidRPr="002B56D6">
        <w:rPr>
          <w:rFonts w:ascii="Arial" w:hAnsi="Arial" w:cs="Arial"/>
          <w:b/>
          <w:sz w:val="24"/>
          <w:szCs w:val="24"/>
        </w:rPr>
        <w:tab/>
      </w:r>
      <w:r w:rsidR="002B56D6" w:rsidRPr="00D12BD1">
        <w:rPr>
          <w:rFonts w:ascii="Arial" w:hAnsi="Arial" w:cs="Arial"/>
          <w:b/>
          <w:sz w:val="24"/>
          <w:szCs w:val="24"/>
        </w:rPr>
        <w:t xml:space="preserve">Equality and/or Human Rights Implications </w:t>
      </w:r>
    </w:p>
    <w:p w14:paraId="579F48DA" w14:textId="77777777" w:rsidR="002B56D6" w:rsidRDefault="002B56D6" w:rsidP="002B56D6">
      <w:pPr>
        <w:pStyle w:val="NoSpacing"/>
        <w:rPr>
          <w:rFonts w:ascii="Arial" w:hAnsi="Arial" w:cs="Arial"/>
          <w:sz w:val="24"/>
          <w:szCs w:val="24"/>
        </w:rPr>
      </w:pPr>
    </w:p>
    <w:p w14:paraId="14BAC1DE" w14:textId="77777777" w:rsidR="001D5222" w:rsidRDefault="002B56D6" w:rsidP="00DE144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</w:t>
      </w:r>
      <w:r w:rsidRPr="007D3E9B">
        <w:rPr>
          <w:rFonts w:ascii="Arial" w:hAnsi="Arial" w:cs="Arial"/>
          <w:sz w:val="24"/>
          <w:szCs w:val="24"/>
        </w:rPr>
        <w:t>impact on equa</w:t>
      </w:r>
      <w:r>
        <w:rPr>
          <w:rFonts w:ascii="Arial" w:hAnsi="Arial" w:cs="Arial"/>
          <w:sz w:val="24"/>
          <w:szCs w:val="24"/>
        </w:rPr>
        <w:t>lity, diversity or human rights are considered within the evaluation of detailed savings</w:t>
      </w:r>
      <w:r w:rsidR="00BD4A2F">
        <w:rPr>
          <w:rFonts w:ascii="Arial" w:hAnsi="Arial" w:cs="Arial"/>
          <w:sz w:val="24"/>
          <w:szCs w:val="24"/>
        </w:rPr>
        <w:t xml:space="preserve">, efficiency </w:t>
      </w:r>
      <w:r>
        <w:rPr>
          <w:rFonts w:ascii="Arial" w:hAnsi="Arial" w:cs="Arial"/>
          <w:sz w:val="24"/>
          <w:szCs w:val="24"/>
        </w:rPr>
        <w:t>and investment proposals individually</w:t>
      </w:r>
    </w:p>
    <w:p w14:paraId="5BAC1FFD" w14:textId="77777777" w:rsidR="002B56D6" w:rsidRPr="00DE144B" w:rsidRDefault="002B56D6" w:rsidP="002B56D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5540B8B" w14:textId="77777777" w:rsidR="001D5222" w:rsidRPr="00D12BD1" w:rsidRDefault="009943EA" w:rsidP="00652B9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2B56D6">
        <w:rPr>
          <w:rFonts w:ascii="Arial" w:hAnsi="Arial" w:cs="Arial"/>
          <w:b/>
          <w:sz w:val="24"/>
          <w:szCs w:val="24"/>
        </w:rPr>
        <w:t>.5</w:t>
      </w:r>
      <w:r w:rsidR="00E92E89" w:rsidRPr="00DE144B">
        <w:rPr>
          <w:rFonts w:ascii="Arial" w:hAnsi="Arial" w:cs="Arial"/>
          <w:b/>
          <w:sz w:val="24"/>
          <w:szCs w:val="24"/>
        </w:rPr>
        <w:tab/>
      </w:r>
      <w:r w:rsidR="00E92E89" w:rsidRPr="00D12BD1">
        <w:rPr>
          <w:rFonts w:ascii="Arial" w:hAnsi="Arial" w:cs="Arial"/>
          <w:b/>
          <w:sz w:val="24"/>
          <w:szCs w:val="24"/>
        </w:rPr>
        <w:t>Health and</w:t>
      </w:r>
      <w:r w:rsidR="00652B9C" w:rsidRPr="00D12BD1">
        <w:rPr>
          <w:rFonts w:ascii="Arial" w:hAnsi="Arial" w:cs="Arial"/>
          <w:b/>
          <w:sz w:val="24"/>
          <w:szCs w:val="24"/>
        </w:rPr>
        <w:t xml:space="preserve"> Safety Implications </w:t>
      </w:r>
    </w:p>
    <w:p w14:paraId="344BBD25" w14:textId="77777777" w:rsidR="00881EA0" w:rsidRDefault="00881EA0" w:rsidP="00881EA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8A412C6" w14:textId="57144844" w:rsidR="00881EA0" w:rsidRDefault="00881EA0" w:rsidP="00881EA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health and safety implications are considered within the evaluation of detailed savings</w:t>
      </w:r>
      <w:r w:rsidR="00BD4A2F">
        <w:rPr>
          <w:rFonts w:ascii="Arial" w:hAnsi="Arial" w:cs="Arial"/>
          <w:sz w:val="24"/>
          <w:szCs w:val="24"/>
        </w:rPr>
        <w:t xml:space="preserve">, efficiency </w:t>
      </w:r>
      <w:r>
        <w:rPr>
          <w:rFonts w:ascii="Arial" w:hAnsi="Arial" w:cs="Arial"/>
          <w:sz w:val="24"/>
          <w:szCs w:val="24"/>
        </w:rPr>
        <w:t>and investment proposals individually</w:t>
      </w:r>
      <w:r w:rsidRPr="007D3E9B">
        <w:rPr>
          <w:rFonts w:ascii="Arial" w:hAnsi="Arial" w:cs="Arial"/>
          <w:sz w:val="24"/>
          <w:szCs w:val="24"/>
        </w:rPr>
        <w:t>.</w:t>
      </w:r>
    </w:p>
    <w:p w14:paraId="40253A2F" w14:textId="77777777" w:rsidR="00FF2D70" w:rsidRDefault="00FF2D70" w:rsidP="00881EA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9712A12" w14:textId="77777777" w:rsidR="003832F7" w:rsidRPr="007D3E9B" w:rsidRDefault="003832F7" w:rsidP="003832F7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</w:p>
    <w:p w14:paraId="7567BCD8" w14:textId="77777777" w:rsidR="003832F7" w:rsidRDefault="009943EA" w:rsidP="00665862">
      <w:pPr>
        <w:pStyle w:val="NoSpacing"/>
        <w:ind w:left="709" w:hanging="709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92E89">
        <w:rPr>
          <w:rFonts w:ascii="Arial" w:hAnsi="Arial" w:cs="Arial"/>
          <w:b/>
          <w:sz w:val="24"/>
          <w:szCs w:val="24"/>
        </w:rPr>
        <w:t>.0</w:t>
      </w:r>
      <w:r w:rsidR="00665862">
        <w:rPr>
          <w:rFonts w:ascii="Arial" w:hAnsi="Arial" w:cs="Arial"/>
          <w:b/>
          <w:sz w:val="24"/>
          <w:szCs w:val="24"/>
        </w:rPr>
        <w:tab/>
      </w:r>
      <w:r w:rsidR="00665862" w:rsidRPr="00665862">
        <w:rPr>
          <w:rFonts w:ascii="Arial" w:hAnsi="Arial" w:cs="Arial"/>
          <w:b/>
          <w:sz w:val="24"/>
          <w:szCs w:val="24"/>
          <w:u w:val="single"/>
        </w:rPr>
        <w:t>Consultation/Engagement</w:t>
      </w:r>
    </w:p>
    <w:p w14:paraId="27C48F2D" w14:textId="77777777" w:rsidR="009F3263" w:rsidRDefault="009F3263" w:rsidP="009F3263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</w:p>
    <w:p w14:paraId="3AB5699F" w14:textId="77777777" w:rsidR="00517DD2" w:rsidRPr="009F3263" w:rsidRDefault="00545BE3" w:rsidP="009F3263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Consultation is undertaken for each savings</w:t>
      </w:r>
      <w:r w:rsidR="003334D3">
        <w:rPr>
          <w:rFonts w:ascii="Arial" w:hAnsi="Arial" w:cs="Arial"/>
          <w:sz w:val="24"/>
          <w:szCs w:val="24"/>
        </w:rPr>
        <w:t xml:space="preserve">, efficiency </w:t>
      </w:r>
      <w:r>
        <w:rPr>
          <w:rFonts w:ascii="Arial" w:hAnsi="Arial" w:cs="Arial"/>
          <w:sz w:val="24"/>
          <w:szCs w:val="24"/>
        </w:rPr>
        <w:t xml:space="preserve">or investment proposal appropriately. Allowance for the potential time and resource </w:t>
      </w:r>
      <w:r w:rsidR="00691459">
        <w:rPr>
          <w:rFonts w:ascii="Arial" w:hAnsi="Arial" w:cs="Arial"/>
          <w:sz w:val="24"/>
          <w:szCs w:val="24"/>
        </w:rPr>
        <w:t>required is</w:t>
      </w:r>
      <w:r>
        <w:rPr>
          <w:rFonts w:ascii="Arial" w:hAnsi="Arial" w:cs="Arial"/>
          <w:sz w:val="24"/>
          <w:szCs w:val="24"/>
        </w:rPr>
        <w:t xml:space="preserve"> taken into consideration within the financial estimates</w:t>
      </w:r>
      <w:r w:rsidR="0060785B">
        <w:rPr>
          <w:rFonts w:ascii="Arial" w:hAnsi="Arial" w:cs="Arial"/>
          <w:sz w:val="24"/>
          <w:szCs w:val="24"/>
        </w:rPr>
        <w:t xml:space="preserve"> i.e. allowing for recruitment time for investment and consultation time for savings</w:t>
      </w:r>
      <w:r w:rsidR="002169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A1BC0C" w14:textId="77777777" w:rsidR="003832F7" w:rsidRPr="007D3E9B" w:rsidRDefault="003832F7" w:rsidP="00665862">
      <w:pPr>
        <w:pStyle w:val="NoSpacing"/>
        <w:ind w:left="709"/>
        <w:rPr>
          <w:rFonts w:ascii="Arial" w:hAnsi="Arial" w:cs="Arial"/>
          <w:sz w:val="24"/>
          <w:szCs w:val="24"/>
        </w:rPr>
      </w:pPr>
    </w:p>
    <w:p w14:paraId="43B7F68B" w14:textId="77777777" w:rsidR="007D3E9B" w:rsidRPr="007D3E9B" w:rsidRDefault="009943EA" w:rsidP="003832F7">
      <w:pPr>
        <w:pStyle w:val="NoSpacing"/>
        <w:ind w:left="720" w:hanging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E92E89">
        <w:rPr>
          <w:rFonts w:ascii="Arial" w:hAnsi="Arial" w:cs="Arial"/>
          <w:b/>
          <w:sz w:val="24"/>
          <w:szCs w:val="24"/>
        </w:rPr>
        <w:t>.0</w:t>
      </w:r>
      <w:r w:rsidR="003832F7" w:rsidRPr="003832F7">
        <w:rPr>
          <w:rFonts w:ascii="Arial" w:hAnsi="Arial" w:cs="Arial"/>
          <w:b/>
          <w:sz w:val="24"/>
          <w:szCs w:val="24"/>
        </w:rPr>
        <w:tab/>
      </w:r>
      <w:r w:rsidR="007D3E9B" w:rsidRPr="007D3E9B">
        <w:rPr>
          <w:rFonts w:ascii="Arial" w:hAnsi="Arial" w:cs="Arial"/>
          <w:b/>
          <w:sz w:val="24"/>
          <w:szCs w:val="24"/>
          <w:u w:val="single"/>
        </w:rPr>
        <w:t>Actions for Improvement</w:t>
      </w:r>
    </w:p>
    <w:p w14:paraId="037A18B4" w14:textId="77777777" w:rsidR="007D3E9B" w:rsidRPr="007D3E9B" w:rsidRDefault="007D3E9B" w:rsidP="007D3E9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E125B92" w14:textId="77777777" w:rsidR="00E50E86" w:rsidRDefault="00881EA0" w:rsidP="007D3E9B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146E8F">
        <w:rPr>
          <w:rFonts w:ascii="Arial" w:hAnsi="Arial" w:cs="Arial"/>
          <w:sz w:val="24"/>
          <w:szCs w:val="24"/>
        </w:rPr>
        <w:t xml:space="preserve">There is ongoing action being taken to refine </w:t>
      </w:r>
      <w:r w:rsidR="00146E8F">
        <w:rPr>
          <w:rFonts w:ascii="Arial" w:hAnsi="Arial" w:cs="Arial"/>
          <w:sz w:val="24"/>
          <w:szCs w:val="24"/>
        </w:rPr>
        <w:t xml:space="preserve">and develop the detail behind the savings </w:t>
      </w:r>
      <w:r w:rsidR="001E1EA2">
        <w:rPr>
          <w:rFonts w:ascii="Arial" w:hAnsi="Arial" w:cs="Arial"/>
          <w:sz w:val="24"/>
          <w:szCs w:val="24"/>
        </w:rPr>
        <w:t xml:space="preserve">and efficiency </w:t>
      </w:r>
      <w:r w:rsidR="00146E8F">
        <w:rPr>
          <w:rFonts w:ascii="Arial" w:hAnsi="Arial" w:cs="Arial"/>
          <w:sz w:val="24"/>
          <w:szCs w:val="24"/>
        </w:rPr>
        <w:t>plans for future y</w:t>
      </w:r>
      <w:r w:rsidRPr="00146E8F">
        <w:rPr>
          <w:rFonts w:ascii="Arial" w:hAnsi="Arial" w:cs="Arial"/>
          <w:sz w:val="24"/>
          <w:szCs w:val="24"/>
        </w:rPr>
        <w:t>ears</w:t>
      </w:r>
      <w:r w:rsidR="002169F9">
        <w:rPr>
          <w:rFonts w:ascii="Arial" w:hAnsi="Arial" w:cs="Arial"/>
          <w:sz w:val="24"/>
          <w:szCs w:val="24"/>
        </w:rPr>
        <w:t xml:space="preserve">, primarily through the </w:t>
      </w:r>
      <w:r w:rsidR="00BD4A2F" w:rsidRPr="00BD4A2F">
        <w:rPr>
          <w:rFonts w:ascii="Arial" w:hAnsi="Arial" w:cs="Arial"/>
          <w:sz w:val="24"/>
          <w:szCs w:val="24"/>
        </w:rPr>
        <w:t xml:space="preserve">Force Efficiency &amp; Savings Board </w:t>
      </w:r>
      <w:r w:rsidR="002169F9">
        <w:rPr>
          <w:rFonts w:ascii="Arial" w:hAnsi="Arial" w:cs="Arial"/>
          <w:sz w:val="24"/>
          <w:szCs w:val="24"/>
        </w:rPr>
        <w:t>chaired by the Deputy Chief Constable</w:t>
      </w:r>
      <w:r w:rsidRPr="00146E8F">
        <w:rPr>
          <w:rFonts w:ascii="Arial" w:hAnsi="Arial" w:cs="Arial"/>
          <w:sz w:val="24"/>
          <w:szCs w:val="24"/>
        </w:rPr>
        <w:t>.</w:t>
      </w:r>
      <w:r w:rsidR="002169F9">
        <w:rPr>
          <w:rFonts w:ascii="Arial" w:hAnsi="Arial" w:cs="Arial"/>
          <w:sz w:val="24"/>
          <w:szCs w:val="24"/>
        </w:rPr>
        <w:t xml:space="preserve"> </w:t>
      </w:r>
    </w:p>
    <w:p w14:paraId="214FFA5C" w14:textId="77777777" w:rsidR="007D3E9B" w:rsidRPr="007D3E9B" w:rsidRDefault="007D3E9B" w:rsidP="00C654B8">
      <w:pPr>
        <w:pStyle w:val="NoSpacing"/>
        <w:ind w:left="709"/>
        <w:rPr>
          <w:rFonts w:ascii="Arial" w:hAnsi="Arial" w:cs="Arial"/>
          <w:sz w:val="24"/>
          <w:szCs w:val="24"/>
        </w:rPr>
      </w:pPr>
    </w:p>
    <w:p w14:paraId="14445AE4" w14:textId="77777777" w:rsidR="00017D7D" w:rsidRPr="007D3E9B" w:rsidRDefault="009943EA" w:rsidP="007D3E9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E92E89">
        <w:rPr>
          <w:rFonts w:ascii="Arial" w:hAnsi="Arial" w:cs="Arial"/>
          <w:b/>
          <w:sz w:val="24"/>
          <w:szCs w:val="24"/>
        </w:rPr>
        <w:t>.0</w:t>
      </w:r>
      <w:r w:rsidR="007D3E9B" w:rsidRPr="007D3E9B">
        <w:rPr>
          <w:rFonts w:ascii="Arial" w:hAnsi="Arial" w:cs="Arial"/>
          <w:b/>
          <w:sz w:val="24"/>
          <w:szCs w:val="24"/>
        </w:rPr>
        <w:tab/>
      </w:r>
      <w:r w:rsidR="007D3E9B" w:rsidRPr="007D3E9B">
        <w:rPr>
          <w:rFonts w:ascii="Arial" w:hAnsi="Arial" w:cs="Arial"/>
          <w:b/>
          <w:sz w:val="24"/>
          <w:szCs w:val="24"/>
          <w:u w:val="single"/>
        </w:rPr>
        <w:t>Future Work/Development</w:t>
      </w:r>
    </w:p>
    <w:p w14:paraId="1D5F8A89" w14:textId="77777777" w:rsidR="007D3E9B" w:rsidRPr="007D3E9B" w:rsidRDefault="007D3E9B" w:rsidP="007D3E9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5527BF7" w14:textId="20634508" w:rsidR="00887246" w:rsidRPr="00146E8F" w:rsidRDefault="00887246" w:rsidP="00887246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</w:t>
      </w:r>
      <w:r w:rsidR="00AC530F">
        <w:rPr>
          <w:rFonts w:ascii="Arial" w:hAnsi="Arial" w:cs="Arial"/>
          <w:sz w:val="24"/>
          <w:szCs w:val="24"/>
        </w:rPr>
        <w:t xml:space="preserve">has commenced in </w:t>
      </w:r>
      <w:r>
        <w:rPr>
          <w:rFonts w:ascii="Arial" w:hAnsi="Arial" w:cs="Arial"/>
          <w:sz w:val="24"/>
          <w:szCs w:val="24"/>
        </w:rPr>
        <w:t>developing the detail of the 2020/21 Efficiency and Savings Plans.</w:t>
      </w:r>
      <w:r w:rsidR="009A7ABD">
        <w:rPr>
          <w:rFonts w:ascii="Arial" w:hAnsi="Arial" w:cs="Arial"/>
          <w:sz w:val="24"/>
          <w:szCs w:val="24"/>
        </w:rPr>
        <w:t xml:space="preserve"> It is anticipated that the breakdown of the 2020/21 plans will be developed by June 2018</w:t>
      </w:r>
      <w:r w:rsidR="00C96675">
        <w:rPr>
          <w:rFonts w:ascii="Arial" w:hAnsi="Arial" w:cs="Arial"/>
          <w:sz w:val="24"/>
          <w:szCs w:val="24"/>
        </w:rPr>
        <w:t>, with reporting to the OPFCC Scrutiny Board commencing from July 2019.</w:t>
      </w:r>
    </w:p>
    <w:p w14:paraId="786A9688" w14:textId="77777777" w:rsidR="00055B70" w:rsidRDefault="00055B70" w:rsidP="007D3E9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C1DDD83" w14:textId="77777777" w:rsidR="00645C65" w:rsidRDefault="00887246" w:rsidP="00645C6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continue to develop </w:t>
      </w:r>
      <w:r w:rsidR="00645C65">
        <w:rPr>
          <w:rFonts w:ascii="Arial" w:hAnsi="Arial" w:cs="Arial"/>
          <w:sz w:val="24"/>
          <w:szCs w:val="24"/>
        </w:rPr>
        <w:t>processes to enable the summary reporting of non-cashable efficiency savings alongside the existing reporting of cashable savings</w:t>
      </w:r>
      <w:r>
        <w:rPr>
          <w:rFonts w:ascii="Arial" w:hAnsi="Arial" w:cs="Arial"/>
          <w:sz w:val="24"/>
          <w:szCs w:val="24"/>
        </w:rPr>
        <w:t xml:space="preserve"> now </w:t>
      </w:r>
      <w:r w:rsidR="00645C65">
        <w:rPr>
          <w:rFonts w:ascii="Arial" w:hAnsi="Arial" w:cs="Arial"/>
          <w:sz w:val="24"/>
          <w:szCs w:val="24"/>
        </w:rPr>
        <w:t>quarter</w:t>
      </w:r>
      <w:r w:rsidR="00E44606">
        <w:rPr>
          <w:rFonts w:ascii="Arial" w:hAnsi="Arial" w:cs="Arial"/>
          <w:sz w:val="24"/>
          <w:szCs w:val="24"/>
        </w:rPr>
        <w:t>ly reporting</w:t>
      </w:r>
      <w:r>
        <w:rPr>
          <w:rFonts w:ascii="Arial" w:hAnsi="Arial" w:cs="Arial"/>
          <w:sz w:val="24"/>
          <w:szCs w:val="24"/>
        </w:rPr>
        <w:t xml:space="preserve"> is in place</w:t>
      </w:r>
      <w:r w:rsidR="00E44606">
        <w:rPr>
          <w:rFonts w:ascii="Arial" w:hAnsi="Arial" w:cs="Arial"/>
          <w:sz w:val="24"/>
          <w:szCs w:val="24"/>
        </w:rPr>
        <w:t xml:space="preserve">. </w:t>
      </w:r>
    </w:p>
    <w:p w14:paraId="10C7B90B" w14:textId="77777777" w:rsidR="00055B70" w:rsidRDefault="00055B70" w:rsidP="007D3E9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912954A" w14:textId="77777777" w:rsidR="00602597" w:rsidRDefault="00602597" w:rsidP="007D3E9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8B40E6A" w14:textId="091918D3" w:rsidR="007750CD" w:rsidRPr="00146E8F" w:rsidRDefault="00146E8F" w:rsidP="00146E8F">
      <w:pPr>
        <w:spacing w:after="0" w:line="240" w:lineRule="auto"/>
        <w:ind w:left="709"/>
        <w:rPr>
          <w:rFonts w:ascii="Arial" w:hAnsi="Arial" w:cs="Arial"/>
          <w:sz w:val="24"/>
          <w:szCs w:val="24"/>
        </w:rPr>
        <w:sectPr w:rsidR="007750CD" w:rsidRPr="00146E8F" w:rsidSect="00773654">
          <w:headerReference w:type="default" r:id="rId8"/>
          <w:footerReference w:type="default" r:id="rId9"/>
          <w:pgSz w:w="11906" w:h="16838"/>
          <w:pgMar w:top="1440" w:right="1080" w:bottom="1440" w:left="1080" w:header="708" w:footer="370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right" w:tblpY="481"/>
        <w:tblW w:w="15725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993"/>
        <w:gridCol w:w="1134"/>
        <w:gridCol w:w="992"/>
        <w:gridCol w:w="992"/>
        <w:gridCol w:w="851"/>
        <w:gridCol w:w="3533"/>
        <w:gridCol w:w="284"/>
        <w:gridCol w:w="1134"/>
        <w:gridCol w:w="1134"/>
      </w:tblGrid>
      <w:tr w:rsidR="00EF7E96" w:rsidRPr="00D26911" w14:paraId="025B4A76" w14:textId="77777777" w:rsidTr="00EF7E96">
        <w:trPr>
          <w:trHeight w:val="40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E1645BD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Table 1.1  2018/19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7E558D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2018/19 PCC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4A4DFAA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2018/19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251D47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2018/19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E10030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2018/19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D111A4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2018/19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9EC97A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Overall Status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hideMark/>
          </w:tcPr>
          <w:p w14:paraId="71A3FB66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06D18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960112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2018/19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B3D0B9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2018/19 </w:t>
            </w:r>
          </w:p>
        </w:tc>
      </w:tr>
      <w:tr w:rsidR="00EF7E96" w:rsidRPr="00D26911" w14:paraId="47F915AF" w14:textId="77777777" w:rsidTr="00EF7E96">
        <w:trPr>
          <w:trHeight w:val="16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445116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Efficiencies and Productivity Plans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EE75FA8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Police, Fire And Crime Panel Agreed Savings</w:t>
            </w: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 xml:space="preserve">(£m)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D4D9661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 Year Effect Savings Actual/ Forecast</w:t>
            </w: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>(£m) CASHABLE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48EDE3A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 Year Effect Savings Actual/ Forecast</w:t>
            </w: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>(£m) NON - CASHABLE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7F052DA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 Year Savings Still to be Achieved</w:t>
            </w: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>(£m)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A751BC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Actioned &amp; Realised Savings Under / (Over Achieved) in year (£m)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2F75949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Status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292401" w14:textId="5D7E0620" w:rsidR="00EF7E96" w:rsidRPr="00D26911" w:rsidRDefault="00EF7E96" w:rsidP="00AC5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COMMENTS </w:t>
            </w: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(Changes since last </w:t>
            </w:r>
            <w:r w:rsidR="00AC53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Feb </w:t>
            </w: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2019 report to OPFCC Highlighted in </w:t>
            </w:r>
            <w:r w:rsidRPr="00D269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Bold italics</w:t>
            </w: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1614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EF6BD55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Full Year Effect Savings Actual/</w:t>
            </w: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>Forecast</w:t>
            </w: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>(£m) CASHABLE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ACA24F8" w14:textId="77777777" w:rsidR="00EF7E96" w:rsidRPr="00D26911" w:rsidRDefault="00EF7E96" w:rsidP="002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Full Year Savings Still to be Achieved</w:t>
            </w: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>(£m)</w:t>
            </w:r>
          </w:p>
        </w:tc>
      </w:tr>
      <w:tr w:rsidR="00EF7E96" w:rsidRPr="00D26911" w14:paraId="0D065890" w14:textId="77777777" w:rsidTr="00EF7E96">
        <w:trPr>
          <w:trHeight w:val="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C160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Estate Disposals revenue (gross)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61CE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(0.252)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9052F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(0.252)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C4C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CA1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09F5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26BA15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188BCC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F61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8AAE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(0.252)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0E6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</w:tr>
      <w:tr w:rsidR="00EF7E96" w:rsidRPr="00D26911" w14:paraId="544F5B3F" w14:textId="77777777" w:rsidTr="00EF7E96">
        <w:trPr>
          <w:trHeight w:val="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3E11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Non-Pay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DD08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(0.362)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140F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15E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4F2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582A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8421F6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BC35BF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AD1E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C0B61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338C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</w:tr>
      <w:tr w:rsidR="00EF7E96" w:rsidRPr="00D26911" w14:paraId="50C73EE0" w14:textId="77777777" w:rsidTr="00EF7E96">
        <w:trPr>
          <w:trHeight w:val="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747B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Police Officer &amp; Staff Overtime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381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(1.200)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CFCE1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24C5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7C06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3BF95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A7982F6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A1C3F2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Taken at budget setting, however we are currently forecast over spent in year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1E0A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3AA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DEE9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</w:tr>
      <w:tr w:rsidR="00EF7E96" w:rsidRPr="00D26911" w14:paraId="5730A63E" w14:textId="77777777" w:rsidTr="00EF7E96">
        <w:trPr>
          <w:trHeight w:val="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F3FD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SSD Staff Reduction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F7DE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(0.139)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8DA03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812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7E4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(0.033)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5475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8850C54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36EE13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£35k will not be achieved of the £139k savings. This is to be mitigated by additional IT savings made in 18/19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169D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31FF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B683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0.033</w:t>
            </w:r>
          </w:p>
        </w:tc>
      </w:tr>
      <w:tr w:rsidR="00EF7E96" w:rsidRPr="00D26911" w14:paraId="60473A89" w14:textId="77777777" w:rsidTr="00EF7E96">
        <w:trPr>
          <w:trHeight w:val="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6C86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SSD Non pay - IT Review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F58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(0.534)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BD6C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(0.534)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CBE0F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3FE1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937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54C6E27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2AC409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361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836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(0.534)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A95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</w:tr>
      <w:tr w:rsidR="00EF7E96" w:rsidRPr="00D26911" w14:paraId="2C0F7F68" w14:textId="77777777" w:rsidTr="00EF7E96">
        <w:trPr>
          <w:trHeight w:val="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8D3C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SSD Non pay - Procurement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0D1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(0.419)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F4F7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(0.542)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82FF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2D4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EE6F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(0.123)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5E6C74E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78D0E7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Additional IT Savings forecast of £123k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1864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927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(0.542)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B1E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(0.123)</w:t>
            </w:r>
          </w:p>
        </w:tc>
      </w:tr>
      <w:tr w:rsidR="00EF7E96" w:rsidRPr="00D26911" w14:paraId="23CD32D7" w14:textId="77777777" w:rsidTr="00EF7E96">
        <w:trPr>
          <w:trHeight w:val="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75FF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SSD Non pay - Procurement - External Audit (PCC)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A0D5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(0.010)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0C7C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A353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7C6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C09D5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DB21F0C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5DF411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E87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471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0F0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</w:tr>
      <w:tr w:rsidR="00EF7E96" w:rsidRPr="00D26911" w14:paraId="3B2975CD" w14:textId="77777777" w:rsidTr="00EF7E96">
        <w:trPr>
          <w:trHeight w:val="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32A8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SCD - TSU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14A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(0.230)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FD7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(0.189)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9E2F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4B8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(0.041)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0C3A5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hideMark/>
          </w:tcPr>
          <w:p w14:paraId="40BE6FE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D6C388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Part savings achieved in 18/19, will be under realised by £41k in year. Mitigated below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2C79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EDF4C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(0.243)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291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(0.013)</w:t>
            </w:r>
          </w:p>
        </w:tc>
      </w:tr>
      <w:tr w:rsidR="00EF7E96" w:rsidRPr="00D26911" w14:paraId="4A9E5F54" w14:textId="77777777" w:rsidTr="00EF7E96">
        <w:trPr>
          <w:trHeight w:val="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0048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SCD - Major Crime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9695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(0.020)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B676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88AA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9348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B33D5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047043D4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6E080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This was not achieved in 18/19. However, savings target over achieved in year (see below)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6916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61FC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D716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0.020</w:t>
            </w:r>
          </w:p>
        </w:tc>
      </w:tr>
      <w:tr w:rsidR="00EF7E96" w:rsidRPr="00D26911" w14:paraId="31EFD8A1" w14:textId="77777777" w:rsidTr="00EF7E96">
        <w:trPr>
          <w:trHeight w:val="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E891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SCD - SOCU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CE5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(0.062)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3E11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(0.060)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F72E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73DA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71B9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282A60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28B3B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298C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CC0F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(0.060)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1A04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0.002</w:t>
            </w:r>
          </w:p>
        </w:tc>
      </w:tr>
      <w:tr w:rsidR="00EF7E96" w:rsidRPr="00D26911" w14:paraId="00CEDBFB" w14:textId="77777777" w:rsidTr="00EF7E96">
        <w:trPr>
          <w:trHeight w:val="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75C6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SCD - Digital Phase 1&amp;2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0C3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(0.121)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5BC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8091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244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8278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586F98E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208CC2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D5F4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C5A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C97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</w:tr>
      <w:tr w:rsidR="00EF7E96" w:rsidRPr="00D26911" w14:paraId="33CD542E" w14:textId="77777777" w:rsidTr="00EF7E96">
        <w:trPr>
          <w:trHeight w:val="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DD30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SCD - IPD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4C56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(0.017)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52A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875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A1C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079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(0.002)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287C2BE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46A90C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09C8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EEA8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79B4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(0.002)</w:t>
            </w:r>
          </w:p>
        </w:tc>
      </w:tr>
      <w:tr w:rsidR="00EF7E96" w:rsidRPr="00D26911" w14:paraId="306F7334" w14:textId="77777777" w:rsidTr="00EF7E96">
        <w:trPr>
          <w:trHeight w:val="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2A92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SCD - Intel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1647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(0.029)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8991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(0.034)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6F78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28BC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7B7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9A7E696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45FE94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57C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F364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(0.034)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E2BB3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(0.005)</w:t>
            </w:r>
          </w:p>
        </w:tc>
      </w:tr>
      <w:tr w:rsidR="00EF7E96" w:rsidRPr="00D26911" w14:paraId="7329BA7D" w14:textId="77777777" w:rsidTr="00EF7E96">
        <w:trPr>
          <w:trHeight w:val="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716D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SCD - TCI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2CC7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(0.002)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9A163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3DAA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6F69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E205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7A0894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BE0EE8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85A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AAB1F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680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(0.001)</w:t>
            </w:r>
          </w:p>
        </w:tc>
      </w:tr>
      <w:tr w:rsidR="00EF7E96" w:rsidRPr="00D26911" w14:paraId="183DF44E" w14:textId="77777777" w:rsidTr="00EF7E96">
        <w:trPr>
          <w:trHeight w:val="6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47C5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OPC (Hexagon)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1BDF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028B" w14:textId="77777777" w:rsidR="00EF7E96" w:rsidRPr="00FB0749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FB0749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en-GB"/>
              </w:rPr>
              <w:t>(0.115)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261BE" w14:textId="77777777" w:rsidR="00EF7E96" w:rsidRPr="00FB0749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884C" w14:textId="77777777" w:rsidR="00EF7E96" w:rsidRPr="00FB0749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FB0749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en-GB"/>
              </w:rPr>
              <w:t>0.015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9004" w14:textId="77777777" w:rsidR="00EF7E96" w:rsidRPr="00FB0749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FB0749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en-GB"/>
              </w:rPr>
              <w:t>(0.015)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9D2E37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6C0E70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OPC Command have confirmed a number of vacant posts from which savings have been met in year</w:t>
            </w:r>
            <w:r w:rsidRPr="00BA2F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. </w:t>
            </w:r>
            <w:r w:rsidRPr="00BA2F3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In-year savings reviewed, increased from £0.1m to £0.115m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B4DA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0B0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D53A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</w:tr>
      <w:tr w:rsidR="00EF7E96" w:rsidRPr="00D26911" w14:paraId="7D53C6F9" w14:textId="77777777" w:rsidTr="00EF7E96">
        <w:trPr>
          <w:trHeight w:val="8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0CD6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SCD brought forward from 19/20 in year Savings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1F91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F5DB" w14:textId="77777777" w:rsidR="00EF7E96" w:rsidRPr="00FB0749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FB0749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en-GB"/>
              </w:rPr>
              <w:t>(0.394)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E040" w14:textId="77777777" w:rsidR="00EF7E96" w:rsidRPr="00FB0749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B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BD4E" w14:textId="77777777" w:rsidR="00EF7E96" w:rsidRPr="00FB0749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FB0749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en-GB"/>
              </w:rPr>
              <w:t>0.394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532B" w14:textId="77777777" w:rsidR="00EF7E96" w:rsidRPr="00FB0749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FB0749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en-GB"/>
              </w:rPr>
              <w:t>(0.394)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D737FF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005356" w14:textId="388CB384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SCD savings target has been over achieved in year though the early delivery of the 19.20 programme. </w:t>
            </w:r>
            <w:r w:rsidRPr="00BA2F32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eastAsia="en-GB"/>
              </w:rPr>
              <w:t>In-year savings reviewed, increased from £0.324m to £0.394m.</w:t>
            </w: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DDC9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562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638C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</w:tr>
      <w:tr w:rsidR="00EF7E96" w:rsidRPr="00D26911" w14:paraId="1E48BD00" w14:textId="77777777" w:rsidTr="00EF7E96">
        <w:trPr>
          <w:trHeight w:val="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054BDA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Savings 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03B9461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(3.497)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8B8313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(3.941)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D440AA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658969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0.444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F94BE26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(0.444)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84F753F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7B51C9A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F3DE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E883F2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(3.586)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BEA804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(0.089)</w:t>
            </w:r>
          </w:p>
        </w:tc>
      </w:tr>
      <w:tr w:rsidR="00EF7E96" w:rsidRPr="00D26911" w14:paraId="52CDD691" w14:textId="77777777" w:rsidTr="00EF7E9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787774C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Savings Requirement as per MTFS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2F897B1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(3.497)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14:paraId="25E04F86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(3.497)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9578293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D391267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183BA75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594E775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5C803BE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38C6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14:paraId="3E3CDE72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(3.497)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02E7F13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EF7E96" w:rsidRPr="00D26911" w14:paraId="18323561" w14:textId="77777777" w:rsidTr="00EF7E96">
        <w:trPr>
          <w:trHeight w:val="4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3DAD4A46" w14:textId="77777777" w:rsidR="00EF7E96" w:rsidRPr="00D26911" w:rsidRDefault="00EF7E96" w:rsidP="002B5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Shortfall / (Surplus)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3C0731DA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7B104A8A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(0.444)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B0881E0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06B3E06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37493E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D0199EE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117B011A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FA6B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2FC4A8A6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(0.089)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686B09D" w14:textId="77777777" w:rsidR="00EF7E96" w:rsidRPr="00D26911" w:rsidRDefault="00EF7E96" w:rsidP="002B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269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0CE66CC2" w14:textId="25B2C4FC" w:rsidR="00774440" w:rsidRDefault="00774440" w:rsidP="0025524B">
      <w:pPr>
        <w:rPr>
          <w:rFonts w:ascii="Arial" w:hAnsi="Arial" w:cs="Arial"/>
          <w:b/>
          <w:sz w:val="24"/>
          <w:szCs w:val="24"/>
        </w:rPr>
      </w:pPr>
    </w:p>
    <w:p w14:paraId="563BC386" w14:textId="77777777" w:rsidR="00774440" w:rsidRDefault="007744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6DA7477" w14:textId="19372055" w:rsidR="00432B8A" w:rsidRPr="00432B8A" w:rsidRDefault="003478EF" w:rsidP="00774440">
      <w:pPr>
        <w:rPr>
          <w:rFonts w:ascii="Arial" w:hAnsi="Arial" w:cs="Arial"/>
          <w:b/>
          <w:sz w:val="24"/>
          <w:szCs w:val="24"/>
        </w:rPr>
      </w:pPr>
      <w:r w:rsidRPr="003478EF">
        <w:rPr>
          <w:noProof/>
          <w:lang w:eastAsia="en-GB"/>
        </w:rPr>
        <w:lastRenderedPageBreak/>
        <w:drawing>
          <wp:inline distT="0" distB="0" distL="0" distR="0" wp14:anchorId="4B02B93B" wp14:editId="62DC44C0">
            <wp:extent cx="9777730" cy="55091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0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B8A" w:rsidRPr="00432B8A" w:rsidSect="00F11D66">
      <w:headerReference w:type="default" r:id="rId11"/>
      <w:footerReference w:type="default" r:id="rId12"/>
      <w:pgSz w:w="16838" w:h="11906" w:orient="landscape"/>
      <w:pgMar w:top="568" w:right="720" w:bottom="426" w:left="72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BE022" w14:textId="77777777" w:rsidR="007F0C04" w:rsidRDefault="007F0C04" w:rsidP="00121A7F">
      <w:pPr>
        <w:spacing w:after="0" w:line="240" w:lineRule="auto"/>
      </w:pPr>
      <w:r>
        <w:separator/>
      </w:r>
    </w:p>
  </w:endnote>
  <w:endnote w:type="continuationSeparator" w:id="0">
    <w:p w14:paraId="10B8DBAE" w14:textId="77777777" w:rsidR="007F0C04" w:rsidRDefault="007F0C04" w:rsidP="0012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418197"/>
      <w:docPartObj>
        <w:docPartGallery w:val="Page Numbers (Bottom of Page)"/>
        <w:docPartUnique/>
      </w:docPartObj>
    </w:sdtPr>
    <w:sdtEndPr/>
    <w:sdtContent>
      <w:sdt>
        <w:sdtPr>
          <w:id w:val="-1136411718"/>
          <w:docPartObj>
            <w:docPartGallery w:val="Page Numbers (Top of Page)"/>
            <w:docPartUnique/>
          </w:docPartObj>
        </w:sdtPr>
        <w:sdtEndPr/>
        <w:sdtContent>
          <w:p w14:paraId="0777F80C" w14:textId="77777777" w:rsidR="00A200A2" w:rsidRDefault="00A200A2" w:rsidP="004F62BB">
            <w:pPr>
              <w:pStyle w:val="Footer"/>
              <w:jc w:val="center"/>
            </w:pPr>
          </w:p>
          <w:p w14:paraId="0729B9D0" w14:textId="1AF854C2" w:rsidR="00A200A2" w:rsidRDefault="00A200A2">
            <w:pPr>
              <w:pStyle w:val="Footer"/>
              <w:jc w:val="center"/>
            </w:pPr>
            <w:r w:rsidRPr="006279A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279A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279AB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279A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E4FD5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6279A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279A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279A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279AB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279A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E4FD5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279A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CA22B9" w14:textId="77777777" w:rsidR="00A200A2" w:rsidRDefault="00A200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813103"/>
      <w:docPartObj>
        <w:docPartGallery w:val="Page Numbers (Bottom of Page)"/>
        <w:docPartUnique/>
      </w:docPartObj>
    </w:sdtPr>
    <w:sdtEndPr/>
    <w:sdtContent>
      <w:sdt>
        <w:sdtPr>
          <w:id w:val="344214935"/>
          <w:docPartObj>
            <w:docPartGallery w:val="Page Numbers (Top of Page)"/>
            <w:docPartUnique/>
          </w:docPartObj>
        </w:sdtPr>
        <w:sdtEndPr/>
        <w:sdtContent>
          <w:p w14:paraId="62C6750E" w14:textId="7C48824F" w:rsidR="00A200A2" w:rsidRDefault="00774440">
            <w:pPr>
              <w:pStyle w:val="Footer"/>
              <w:jc w:val="center"/>
            </w:pPr>
            <w:r>
              <w:t>OFFICIAL</w:t>
            </w:r>
          </w:p>
          <w:p w14:paraId="72857DD0" w14:textId="5D61630A" w:rsidR="00A200A2" w:rsidRPr="005D43EC" w:rsidRDefault="00A200A2">
            <w:pPr>
              <w:pStyle w:val="Footer"/>
              <w:jc w:val="center"/>
            </w:pPr>
            <w:r w:rsidRPr="005D43EC">
              <w:t xml:space="preserve">Page </w:t>
            </w:r>
            <w:r w:rsidRPr="005D43EC">
              <w:rPr>
                <w:bCs/>
                <w:sz w:val="24"/>
                <w:szCs w:val="24"/>
              </w:rPr>
              <w:fldChar w:fldCharType="begin"/>
            </w:r>
            <w:r w:rsidRPr="005D43EC">
              <w:rPr>
                <w:bCs/>
              </w:rPr>
              <w:instrText xml:space="preserve"> PAGE </w:instrText>
            </w:r>
            <w:r w:rsidRPr="005D43EC">
              <w:rPr>
                <w:bCs/>
                <w:sz w:val="24"/>
                <w:szCs w:val="24"/>
              </w:rPr>
              <w:fldChar w:fldCharType="separate"/>
            </w:r>
            <w:r w:rsidR="002E4FD5">
              <w:rPr>
                <w:bCs/>
                <w:noProof/>
              </w:rPr>
              <w:t>7</w:t>
            </w:r>
            <w:r w:rsidRPr="005D43EC">
              <w:rPr>
                <w:bCs/>
                <w:sz w:val="24"/>
                <w:szCs w:val="24"/>
              </w:rPr>
              <w:fldChar w:fldCharType="end"/>
            </w:r>
            <w:r w:rsidRPr="005D43EC">
              <w:t xml:space="preserve"> of </w:t>
            </w:r>
            <w:r w:rsidRPr="005D43EC">
              <w:rPr>
                <w:bCs/>
                <w:sz w:val="24"/>
                <w:szCs w:val="24"/>
              </w:rPr>
              <w:fldChar w:fldCharType="begin"/>
            </w:r>
            <w:r w:rsidRPr="005D43EC">
              <w:rPr>
                <w:bCs/>
              </w:rPr>
              <w:instrText xml:space="preserve"> NUMPAGES  </w:instrText>
            </w:r>
            <w:r w:rsidRPr="005D43EC">
              <w:rPr>
                <w:bCs/>
                <w:sz w:val="24"/>
                <w:szCs w:val="24"/>
              </w:rPr>
              <w:fldChar w:fldCharType="separate"/>
            </w:r>
            <w:r w:rsidR="002E4FD5">
              <w:rPr>
                <w:bCs/>
                <w:noProof/>
              </w:rPr>
              <w:t>7</w:t>
            </w:r>
            <w:r w:rsidRPr="005D43E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D943" w14:textId="77777777" w:rsidR="007F0C04" w:rsidRDefault="007F0C04" w:rsidP="00121A7F">
      <w:pPr>
        <w:spacing w:after="0" w:line="240" w:lineRule="auto"/>
      </w:pPr>
      <w:r>
        <w:separator/>
      </w:r>
    </w:p>
  </w:footnote>
  <w:footnote w:type="continuationSeparator" w:id="0">
    <w:p w14:paraId="2EDF85C4" w14:textId="77777777" w:rsidR="007F0C04" w:rsidRDefault="007F0C04" w:rsidP="0012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C3DE" w14:textId="61B30715" w:rsidR="00A200A2" w:rsidRPr="004F62BB" w:rsidRDefault="00A200A2" w:rsidP="004F62BB">
    <w:pPr>
      <w:tabs>
        <w:tab w:val="center" w:pos="4513"/>
        <w:tab w:val="right" w:pos="9026"/>
      </w:tabs>
      <w:spacing w:after="0" w:line="240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OFFICIAL </w:t>
    </w:r>
  </w:p>
  <w:p w14:paraId="5055EB99" w14:textId="77777777" w:rsidR="00A200A2" w:rsidRDefault="00A200A2" w:rsidP="004F62BB">
    <w:pPr>
      <w:pStyle w:val="Header"/>
      <w:jc w:val="center"/>
      <w:rPr>
        <w:rFonts w:ascii="Arial" w:hAnsi="Arial" w:cs="Arial"/>
        <w:sz w:val="20"/>
      </w:rPr>
    </w:pPr>
  </w:p>
  <w:p w14:paraId="0B3C1F28" w14:textId="77777777" w:rsidR="00A200A2" w:rsidRPr="006279AB" w:rsidRDefault="00A200A2" w:rsidP="004F62BB">
    <w:pPr>
      <w:pStyle w:val="Header"/>
      <w:jc w:val="center"/>
      <w:rPr>
        <w:rFonts w:ascii="Arial" w:hAnsi="Arial" w:cs="Arial"/>
        <w:sz w:val="20"/>
      </w:rPr>
    </w:pPr>
  </w:p>
  <w:p w14:paraId="1C83FB74" w14:textId="77777777" w:rsidR="00A200A2" w:rsidRDefault="00A200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8BD4B" w14:textId="1560024C" w:rsidR="00A200A2" w:rsidRDefault="00774440" w:rsidP="007750CD">
    <w:pPr>
      <w:pStyle w:val="Header"/>
      <w:jc w:val="center"/>
    </w:pPr>
    <w: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32E4"/>
    <w:multiLevelType w:val="multilevel"/>
    <w:tmpl w:val="184431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1CFC1FF5"/>
    <w:multiLevelType w:val="multilevel"/>
    <w:tmpl w:val="3D5AF3C4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21A856A6"/>
    <w:multiLevelType w:val="hybridMultilevel"/>
    <w:tmpl w:val="C5E6C05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C301BA"/>
    <w:multiLevelType w:val="hybridMultilevel"/>
    <w:tmpl w:val="B2C82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2129"/>
    <w:multiLevelType w:val="hybridMultilevel"/>
    <w:tmpl w:val="9B8826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279B3"/>
    <w:multiLevelType w:val="multilevel"/>
    <w:tmpl w:val="316E960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6" w15:restartNumberingAfterBreak="0">
    <w:nsid w:val="498F443F"/>
    <w:multiLevelType w:val="hybridMultilevel"/>
    <w:tmpl w:val="E1087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516"/>
    <w:multiLevelType w:val="hybridMultilevel"/>
    <w:tmpl w:val="986CE6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79708D"/>
    <w:multiLevelType w:val="multilevel"/>
    <w:tmpl w:val="3D5AF3C4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 w15:restartNumberingAfterBreak="0">
    <w:nsid w:val="6CC1031A"/>
    <w:multiLevelType w:val="hybridMultilevel"/>
    <w:tmpl w:val="5E38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13D1C"/>
    <w:multiLevelType w:val="hybridMultilevel"/>
    <w:tmpl w:val="170A52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7F"/>
    <w:rsid w:val="000000D6"/>
    <w:rsid w:val="00001117"/>
    <w:rsid w:val="000079FD"/>
    <w:rsid w:val="00011353"/>
    <w:rsid w:val="00017D7D"/>
    <w:rsid w:val="00027D5B"/>
    <w:rsid w:val="00031E89"/>
    <w:rsid w:val="00041EE4"/>
    <w:rsid w:val="00046E42"/>
    <w:rsid w:val="000530FA"/>
    <w:rsid w:val="00055B70"/>
    <w:rsid w:val="00060F58"/>
    <w:rsid w:val="0006386D"/>
    <w:rsid w:val="0006544B"/>
    <w:rsid w:val="00072162"/>
    <w:rsid w:val="000738E5"/>
    <w:rsid w:val="00082836"/>
    <w:rsid w:val="00084225"/>
    <w:rsid w:val="00086A4F"/>
    <w:rsid w:val="000A34E4"/>
    <w:rsid w:val="000A6EF4"/>
    <w:rsid w:val="000B368E"/>
    <w:rsid w:val="000B59B9"/>
    <w:rsid w:val="000B5BA3"/>
    <w:rsid w:val="000C2D1D"/>
    <w:rsid w:val="000C49B8"/>
    <w:rsid w:val="000D20E3"/>
    <w:rsid w:val="000D6353"/>
    <w:rsid w:val="000E247C"/>
    <w:rsid w:val="000E7282"/>
    <w:rsid w:val="000F02F6"/>
    <w:rsid w:val="001208C7"/>
    <w:rsid w:val="00121849"/>
    <w:rsid w:val="00121A7F"/>
    <w:rsid w:val="001309FA"/>
    <w:rsid w:val="001409E3"/>
    <w:rsid w:val="00143B66"/>
    <w:rsid w:val="001458B4"/>
    <w:rsid w:val="00146E8F"/>
    <w:rsid w:val="0015099C"/>
    <w:rsid w:val="001600A6"/>
    <w:rsid w:val="0016204B"/>
    <w:rsid w:val="00172B39"/>
    <w:rsid w:val="00175AA9"/>
    <w:rsid w:val="00182A62"/>
    <w:rsid w:val="0018363F"/>
    <w:rsid w:val="00194F93"/>
    <w:rsid w:val="001A25EF"/>
    <w:rsid w:val="001D5222"/>
    <w:rsid w:val="001D7396"/>
    <w:rsid w:val="001E1EA2"/>
    <w:rsid w:val="001E2DAF"/>
    <w:rsid w:val="001E3DCF"/>
    <w:rsid w:val="001E43FC"/>
    <w:rsid w:val="001F76DD"/>
    <w:rsid w:val="00203D17"/>
    <w:rsid w:val="00203FFA"/>
    <w:rsid w:val="00207FCB"/>
    <w:rsid w:val="00215C52"/>
    <w:rsid w:val="002169F9"/>
    <w:rsid w:val="00220B41"/>
    <w:rsid w:val="0023169A"/>
    <w:rsid w:val="00233BD6"/>
    <w:rsid w:val="00234BCF"/>
    <w:rsid w:val="00234CBD"/>
    <w:rsid w:val="002364CB"/>
    <w:rsid w:val="0023660D"/>
    <w:rsid w:val="002433D5"/>
    <w:rsid w:val="0025158C"/>
    <w:rsid w:val="002551A3"/>
    <w:rsid w:val="0025524B"/>
    <w:rsid w:val="00256AAC"/>
    <w:rsid w:val="00261C9E"/>
    <w:rsid w:val="0027082F"/>
    <w:rsid w:val="0027298D"/>
    <w:rsid w:val="0027632B"/>
    <w:rsid w:val="00277BEB"/>
    <w:rsid w:val="00282721"/>
    <w:rsid w:val="00293D90"/>
    <w:rsid w:val="002A20A4"/>
    <w:rsid w:val="002B0146"/>
    <w:rsid w:val="002B02A3"/>
    <w:rsid w:val="002B4DD9"/>
    <w:rsid w:val="002B56D6"/>
    <w:rsid w:val="002B5BA0"/>
    <w:rsid w:val="002C1ADA"/>
    <w:rsid w:val="002C373B"/>
    <w:rsid w:val="002C4623"/>
    <w:rsid w:val="002C71F8"/>
    <w:rsid w:val="002D1694"/>
    <w:rsid w:val="002D4EC0"/>
    <w:rsid w:val="002D5F70"/>
    <w:rsid w:val="002E0E52"/>
    <w:rsid w:val="002E46DF"/>
    <w:rsid w:val="002E4FD5"/>
    <w:rsid w:val="002F385B"/>
    <w:rsid w:val="002F4CDE"/>
    <w:rsid w:val="002F5D84"/>
    <w:rsid w:val="0030288C"/>
    <w:rsid w:val="00303CE2"/>
    <w:rsid w:val="00312808"/>
    <w:rsid w:val="003313EE"/>
    <w:rsid w:val="003334D3"/>
    <w:rsid w:val="00336E37"/>
    <w:rsid w:val="003473DC"/>
    <w:rsid w:val="003478EF"/>
    <w:rsid w:val="00373F7B"/>
    <w:rsid w:val="003740E3"/>
    <w:rsid w:val="00376772"/>
    <w:rsid w:val="003832F7"/>
    <w:rsid w:val="00391A28"/>
    <w:rsid w:val="00396C3E"/>
    <w:rsid w:val="003A0F89"/>
    <w:rsid w:val="003A1588"/>
    <w:rsid w:val="003A263F"/>
    <w:rsid w:val="003A4CA3"/>
    <w:rsid w:val="003A4EEE"/>
    <w:rsid w:val="003A5ADC"/>
    <w:rsid w:val="003A6527"/>
    <w:rsid w:val="003B390D"/>
    <w:rsid w:val="003B3AFA"/>
    <w:rsid w:val="003D3276"/>
    <w:rsid w:val="003D7E50"/>
    <w:rsid w:val="003F2A11"/>
    <w:rsid w:val="003F7C58"/>
    <w:rsid w:val="004038F0"/>
    <w:rsid w:val="00420392"/>
    <w:rsid w:val="00420751"/>
    <w:rsid w:val="00421F6F"/>
    <w:rsid w:val="00422532"/>
    <w:rsid w:val="00432B8A"/>
    <w:rsid w:val="00436514"/>
    <w:rsid w:val="004458FB"/>
    <w:rsid w:val="0044665D"/>
    <w:rsid w:val="00447DEA"/>
    <w:rsid w:val="004521B5"/>
    <w:rsid w:val="00454962"/>
    <w:rsid w:val="00454A8B"/>
    <w:rsid w:val="004633EE"/>
    <w:rsid w:val="00464DBE"/>
    <w:rsid w:val="00466C37"/>
    <w:rsid w:val="00475C65"/>
    <w:rsid w:val="00477477"/>
    <w:rsid w:val="00481761"/>
    <w:rsid w:val="00493615"/>
    <w:rsid w:val="004A2573"/>
    <w:rsid w:val="004A44B9"/>
    <w:rsid w:val="004A6179"/>
    <w:rsid w:val="004C1619"/>
    <w:rsid w:val="004D1619"/>
    <w:rsid w:val="004E15DB"/>
    <w:rsid w:val="004E3398"/>
    <w:rsid w:val="004E393C"/>
    <w:rsid w:val="004E47B9"/>
    <w:rsid w:val="004E519D"/>
    <w:rsid w:val="004E7E29"/>
    <w:rsid w:val="004F1B0C"/>
    <w:rsid w:val="004F3338"/>
    <w:rsid w:val="004F62BB"/>
    <w:rsid w:val="005007B8"/>
    <w:rsid w:val="00517DD2"/>
    <w:rsid w:val="00523007"/>
    <w:rsid w:val="005254F4"/>
    <w:rsid w:val="00537502"/>
    <w:rsid w:val="0054050A"/>
    <w:rsid w:val="005453A9"/>
    <w:rsid w:val="00545BE3"/>
    <w:rsid w:val="00547359"/>
    <w:rsid w:val="00553C96"/>
    <w:rsid w:val="00553E9D"/>
    <w:rsid w:val="00555CAA"/>
    <w:rsid w:val="00561A5C"/>
    <w:rsid w:val="00575EEC"/>
    <w:rsid w:val="0058070A"/>
    <w:rsid w:val="00583860"/>
    <w:rsid w:val="00591E2F"/>
    <w:rsid w:val="00595798"/>
    <w:rsid w:val="00596599"/>
    <w:rsid w:val="005A7360"/>
    <w:rsid w:val="005B0777"/>
    <w:rsid w:val="005C0DD5"/>
    <w:rsid w:val="005C2D39"/>
    <w:rsid w:val="005D0DEE"/>
    <w:rsid w:val="005D1C3E"/>
    <w:rsid w:val="005D4366"/>
    <w:rsid w:val="005F5CFC"/>
    <w:rsid w:val="00602597"/>
    <w:rsid w:val="00603DC2"/>
    <w:rsid w:val="00604089"/>
    <w:rsid w:val="00605446"/>
    <w:rsid w:val="0060785B"/>
    <w:rsid w:val="00612F87"/>
    <w:rsid w:val="006170E4"/>
    <w:rsid w:val="006279AB"/>
    <w:rsid w:val="0063208F"/>
    <w:rsid w:val="00640018"/>
    <w:rsid w:val="00645C65"/>
    <w:rsid w:val="00646B03"/>
    <w:rsid w:val="00651C0B"/>
    <w:rsid w:val="00652B9C"/>
    <w:rsid w:val="00656F5B"/>
    <w:rsid w:val="006615E2"/>
    <w:rsid w:val="00665862"/>
    <w:rsid w:val="006719BF"/>
    <w:rsid w:val="0067460B"/>
    <w:rsid w:val="00681F66"/>
    <w:rsid w:val="0068430E"/>
    <w:rsid w:val="00690911"/>
    <w:rsid w:val="00691459"/>
    <w:rsid w:val="006A0919"/>
    <w:rsid w:val="006A4EFB"/>
    <w:rsid w:val="006B0DD2"/>
    <w:rsid w:val="006C15EF"/>
    <w:rsid w:val="006D5CA0"/>
    <w:rsid w:val="006E07B1"/>
    <w:rsid w:val="006E1977"/>
    <w:rsid w:val="006F0768"/>
    <w:rsid w:val="006F271A"/>
    <w:rsid w:val="007068DB"/>
    <w:rsid w:val="00715AEC"/>
    <w:rsid w:val="00716FC2"/>
    <w:rsid w:val="007219A0"/>
    <w:rsid w:val="00721EDD"/>
    <w:rsid w:val="007222D9"/>
    <w:rsid w:val="00732BBA"/>
    <w:rsid w:val="0073463F"/>
    <w:rsid w:val="0073617C"/>
    <w:rsid w:val="007427EA"/>
    <w:rsid w:val="007469D3"/>
    <w:rsid w:val="00755595"/>
    <w:rsid w:val="007571F5"/>
    <w:rsid w:val="007574E7"/>
    <w:rsid w:val="00760312"/>
    <w:rsid w:val="0076050B"/>
    <w:rsid w:val="00773654"/>
    <w:rsid w:val="00774440"/>
    <w:rsid w:val="007750CD"/>
    <w:rsid w:val="00785D02"/>
    <w:rsid w:val="00785D1E"/>
    <w:rsid w:val="007870D2"/>
    <w:rsid w:val="007929EF"/>
    <w:rsid w:val="00794A51"/>
    <w:rsid w:val="00795B11"/>
    <w:rsid w:val="007A4CFA"/>
    <w:rsid w:val="007A7C60"/>
    <w:rsid w:val="007B066F"/>
    <w:rsid w:val="007B097D"/>
    <w:rsid w:val="007B7FD5"/>
    <w:rsid w:val="007C30C4"/>
    <w:rsid w:val="007C34FD"/>
    <w:rsid w:val="007D3E9B"/>
    <w:rsid w:val="007D46DE"/>
    <w:rsid w:val="007E0DFD"/>
    <w:rsid w:val="007E7A29"/>
    <w:rsid w:val="007F0C04"/>
    <w:rsid w:val="007F244C"/>
    <w:rsid w:val="00800EEC"/>
    <w:rsid w:val="00801ECC"/>
    <w:rsid w:val="00802D3B"/>
    <w:rsid w:val="00803A6B"/>
    <w:rsid w:val="008063F5"/>
    <w:rsid w:val="008148BA"/>
    <w:rsid w:val="00817206"/>
    <w:rsid w:val="0081734A"/>
    <w:rsid w:val="0082453B"/>
    <w:rsid w:val="00826A22"/>
    <w:rsid w:val="00833C1A"/>
    <w:rsid w:val="00836CEA"/>
    <w:rsid w:val="00841A12"/>
    <w:rsid w:val="00846579"/>
    <w:rsid w:val="0084761D"/>
    <w:rsid w:val="0085074A"/>
    <w:rsid w:val="00851884"/>
    <w:rsid w:val="00851B2D"/>
    <w:rsid w:val="0085576D"/>
    <w:rsid w:val="00856144"/>
    <w:rsid w:val="0086018B"/>
    <w:rsid w:val="00870075"/>
    <w:rsid w:val="0088090F"/>
    <w:rsid w:val="0088174E"/>
    <w:rsid w:val="00881EA0"/>
    <w:rsid w:val="00885B1C"/>
    <w:rsid w:val="00885D18"/>
    <w:rsid w:val="00887246"/>
    <w:rsid w:val="00896252"/>
    <w:rsid w:val="008A5ABB"/>
    <w:rsid w:val="008A5BC3"/>
    <w:rsid w:val="008A679C"/>
    <w:rsid w:val="008B00B3"/>
    <w:rsid w:val="008B19D3"/>
    <w:rsid w:val="008B5CB3"/>
    <w:rsid w:val="008B5DEE"/>
    <w:rsid w:val="008B7348"/>
    <w:rsid w:val="008C0D7F"/>
    <w:rsid w:val="008C59EB"/>
    <w:rsid w:val="008C6AC1"/>
    <w:rsid w:val="008C78FB"/>
    <w:rsid w:val="008E522B"/>
    <w:rsid w:val="008F18B1"/>
    <w:rsid w:val="008F3195"/>
    <w:rsid w:val="008F4807"/>
    <w:rsid w:val="00906275"/>
    <w:rsid w:val="00912031"/>
    <w:rsid w:val="00913EEA"/>
    <w:rsid w:val="0092106F"/>
    <w:rsid w:val="009250FB"/>
    <w:rsid w:val="00940419"/>
    <w:rsid w:val="00950373"/>
    <w:rsid w:val="009572B1"/>
    <w:rsid w:val="00963376"/>
    <w:rsid w:val="00963401"/>
    <w:rsid w:val="00973601"/>
    <w:rsid w:val="00973AC1"/>
    <w:rsid w:val="00977757"/>
    <w:rsid w:val="0098247E"/>
    <w:rsid w:val="00982775"/>
    <w:rsid w:val="009909B8"/>
    <w:rsid w:val="00993DE1"/>
    <w:rsid w:val="009943EA"/>
    <w:rsid w:val="009A7ABD"/>
    <w:rsid w:val="009B18EC"/>
    <w:rsid w:val="009B6286"/>
    <w:rsid w:val="009D0330"/>
    <w:rsid w:val="009D0CC1"/>
    <w:rsid w:val="009D1977"/>
    <w:rsid w:val="009E1BC0"/>
    <w:rsid w:val="009E5080"/>
    <w:rsid w:val="009F3263"/>
    <w:rsid w:val="00A045F4"/>
    <w:rsid w:val="00A0687C"/>
    <w:rsid w:val="00A07AEA"/>
    <w:rsid w:val="00A11306"/>
    <w:rsid w:val="00A11310"/>
    <w:rsid w:val="00A12B81"/>
    <w:rsid w:val="00A200A2"/>
    <w:rsid w:val="00A20D3C"/>
    <w:rsid w:val="00A2231D"/>
    <w:rsid w:val="00A27B30"/>
    <w:rsid w:val="00A300A3"/>
    <w:rsid w:val="00A30693"/>
    <w:rsid w:val="00A35EDC"/>
    <w:rsid w:val="00A45128"/>
    <w:rsid w:val="00A471C9"/>
    <w:rsid w:val="00A501B9"/>
    <w:rsid w:val="00A56646"/>
    <w:rsid w:val="00A6394B"/>
    <w:rsid w:val="00A6525B"/>
    <w:rsid w:val="00A67619"/>
    <w:rsid w:val="00A73F34"/>
    <w:rsid w:val="00A76762"/>
    <w:rsid w:val="00A84983"/>
    <w:rsid w:val="00A85689"/>
    <w:rsid w:val="00A93A6F"/>
    <w:rsid w:val="00AA1B3B"/>
    <w:rsid w:val="00AA4995"/>
    <w:rsid w:val="00AB1FBF"/>
    <w:rsid w:val="00AB247E"/>
    <w:rsid w:val="00AB3A2E"/>
    <w:rsid w:val="00AC1ABD"/>
    <w:rsid w:val="00AC530F"/>
    <w:rsid w:val="00AD016C"/>
    <w:rsid w:val="00AD1F17"/>
    <w:rsid w:val="00AD3DA7"/>
    <w:rsid w:val="00AE0DD8"/>
    <w:rsid w:val="00AF3B85"/>
    <w:rsid w:val="00AF7F10"/>
    <w:rsid w:val="00B04042"/>
    <w:rsid w:val="00B1372E"/>
    <w:rsid w:val="00B1490E"/>
    <w:rsid w:val="00B173B6"/>
    <w:rsid w:val="00B179F2"/>
    <w:rsid w:val="00B22C94"/>
    <w:rsid w:val="00B237A4"/>
    <w:rsid w:val="00B41678"/>
    <w:rsid w:val="00B420C0"/>
    <w:rsid w:val="00B57C91"/>
    <w:rsid w:val="00B63DA8"/>
    <w:rsid w:val="00B6614B"/>
    <w:rsid w:val="00B72A27"/>
    <w:rsid w:val="00B804D3"/>
    <w:rsid w:val="00B82AD0"/>
    <w:rsid w:val="00B84A21"/>
    <w:rsid w:val="00B86FD0"/>
    <w:rsid w:val="00B93107"/>
    <w:rsid w:val="00B97A39"/>
    <w:rsid w:val="00BA2F32"/>
    <w:rsid w:val="00BA4FE9"/>
    <w:rsid w:val="00BA682F"/>
    <w:rsid w:val="00BB061F"/>
    <w:rsid w:val="00BB1A3D"/>
    <w:rsid w:val="00BC229C"/>
    <w:rsid w:val="00BC5DCA"/>
    <w:rsid w:val="00BC6249"/>
    <w:rsid w:val="00BD2EAA"/>
    <w:rsid w:val="00BD4A2F"/>
    <w:rsid w:val="00BE3FD1"/>
    <w:rsid w:val="00BE57BB"/>
    <w:rsid w:val="00C03CC6"/>
    <w:rsid w:val="00C040BE"/>
    <w:rsid w:val="00C07266"/>
    <w:rsid w:val="00C1201E"/>
    <w:rsid w:val="00C13482"/>
    <w:rsid w:val="00C14888"/>
    <w:rsid w:val="00C157CE"/>
    <w:rsid w:val="00C203C9"/>
    <w:rsid w:val="00C30181"/>
    <w:rsid w:val="00C309B4"/>
    <w:rsid w:val="00C37DBF"/>
    <w:rsid w:val="00C4106D"/>
    <w:rsid w:val="00C42180"/>
    <w:rsid w:val="00C440FF"/>
    <w:rsid w:val="00C44E4F"/>
    <w:rsid w:val="00C55551"/>
    <w:rsid w:val="00C64F88"/>
    <w:rsid w:val="00C654B8"/>
    <w:rsid w:val="00C8083A"/>
    <w:rsid w:val="00C82CAE"/>
    <w:rsid w:val="00C948F9"/>
    <w:rsid w:val="00C96675"/>
    <w:rsid w:val="00C96C3A"/>
    <w:rsid w:val="00CA0527"/>
    <w:rsid w:val="00CA1344"/>
    <w:rsid w:val="00CA4C5E"/>
    <w:rsid w:val="00CB4533"/>
    <w:rsid w:val="00CC117E"/>
    <w:rsid w:val="00CC7DF0"/>
    <w:rsid w:val="00CF246E"/>
    <w:rsid w:val="00D051FC"/>
    <w:rsid w:val="00D0567F"/>
    <w:rsid w:val="00D10FF4"/>
    <w:rsid w:val="00D12BD1"/>
    <w:rsid w:val="00D15AB1"/>
    <w:rsid w:val="00D27368"/>
    <w:rsid w:val="00D40C81"/>
    <w:rsid w:val="00D44BCC"/>
    <w:rsid w:val="00D459B2"/>
    <w:rsid w:val="00D66E28"/>
    <w:rsid w:val="00D76F55"/>
    <w:rsid w:val="00D8103E"/>
    <w:rsid w:val="00D83C9C"/>
    <w:rsid w:val="00DA617B"/>
    <w:rsid w:val="00DB458D"/>
    <w:rsid w:val="00DB4B73"/>
    <w:rsid w:val="00DB6FBE"/>
    <w:rsid w:val="00DC1C8F"/>
    <w:rsid w:val="00DE144B"/>
    <w:rsid w:val="00DF07AE"/>
    <w:rsid w:val="00DF3881"/>
    <w:rsid w:val="00DF6E8D"/>
    <w:rsid w:val="00E165E9"/>
    <w:rsid w:val="00E20E86"/>
    <w:rsid w:val="00E237B4"/>
    <w:rsid w:val="00E26622"/>
    <w:rsid w:val="00E2703B"/>
    <w:rsid w:val="00E31EA3"/>
    <w:rsid w:val="00E40CE3"/>
    <w:rsid w:val="00E42F0F"/>
    <w:rsid w:val="00E44606"/>
    <w:rsid w:val="00E44B1F"/>
    <w:rsid w:val="00E46E83"/>
    <w:rsid w:val="00E50E86"/>
    <w:rsid w:val="00E5308C"/>
    <w:rsid w:val="00E55BFD"/>
    <w:rsid w:val="00E633E1"/>
    <w:rsid w:val="00E705B2"/>
    <w:rsid w:val="00E836C6"/>
    <w:rsid w:val="00E84792"/>
    <w:rsid w:val="00E8665A"/>
    <w:rsid w:val="00E901D9"/>
    <w:rsid w:val="00E92E89"/>
    <w:rsid w:val="00E94ACD"/>
    <w:rsid w:val="00EA4712"/>
    <w:rsid w:val="00EA7F85"/>
    <w:rsid w:val="00EB1329"/>
    <w:rsid w:val="00EB41AC"/>
    <w:rsid w:val="00EB6A5C"/>
    <w:rsid w:val="00EC7E44"/>
    <w:rsid w:val="00EE103F"/>
    <w:rsid w:val="00EF20B1"/>
    <w:rsid w:val="00EF448C"/>
    <w:rsid w:val="00EF49BE"/>
    <w:rsid w:val="00EF7E96"/>
    <w:rsid w:val="00F027F3"/>
    <w:rsid w:val="00F04AA9"/>
    <w:rsid w:val="00F05BA7"/>
    <w:rsid w:val="00F064D8"/>
    <w:rsid w:val="00F11D66"/>
    <w:rsid w:val="00F14A2E"/>
    <w:rsid w:val="00F27C1E"/>
    <w:rsid w:val="00F31E8F"/>
    <w:rsid w:val="00F36501"/>
    <w:rsid w:val="00F44851"/>
    <w:rsid w:val="00F500C7"/>
    <w:rsid w:val="00F513DB"/>
    <w:rsid w:val="00F539B0"/>
    <w:rsid w:val="00F544EC"/>
    <w:rsid w:val="00F54896"/>
    <w:rsid w:val="00F55E6F"/>
    <w:rsid w:val="00F62826"/>
    <w:rsid w:val="00F647BE"/>
    <w:rsid w:val="00F7416C"/>
    <w:rsid w:val="00F8243D"/>
    <w:rsid w:val="00F84CC5"/>
    <w:rsid w:val="00F86457"/>
    <w:rsid w:val="00FA0511"/>
    <w:rsid w:val="00FA7122"/>
    <w:rsid w:val="00FB0749"/>
    <w:rsid w:val="00FB268D"/>
    <w:rsid w:val="00FC17CD"/>
    <w:rsid w:val="00FE5D31"/>
    <w:rsid w:val="00FE76FC"/>
    <w:rsid w:val="00FF2D70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3D30C6C5"/>
  <w15:docId w15:val="{4BF8779E-1164-40D2-93B8-6FEAA9B7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A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A7F"/>
  </w:style>
  <w:style w:type="paragraph" w:styleId="Footer">
    <w:name w:val="footer"/>
    <w:basedOn w:val="Normal"/>
    <w:link w:val="FooterChar"/>
    <w:uiPriority w:val="99"/>
    <w:unhideWhenUsed/>
    <w:rsid w:val="0012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A7F"/>
  </w:style>
  <w:style w:type="paragraph" w:styleId="ListParagraph">
    <w:name w:val="List Paragraph"/>
    <w:basedOn w:val="Normal"/>
    <w:uiPriority w:val="34"/>
    <w:qFormat/>
    <w:rsid w:val="004F62BB"/>
    <w:pPr>
      <w:spacing w:before="100" w:beforeAutospacing="1" w:after="100" w:afterAutospacing="1" w:line="240" w:lineRule="auto"/>
      <w:ind w:left="720"/>
      <w:contextualSpacing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8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52B9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75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7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7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A758-7F52-4184-BDAE-EA1E16D4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Police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Fry</dc:creator>
  <cp:keywords/>
  <dc:description/>
  <cp:lastModifiedBy>Anna Hook 42078328</cp:lastModifiedBy>
  <cp:revision>4</cp:revision>
  <cp:lastPrinted>2017-10-18T10:29:00Z</cp:lastPrinted>
  <dcterms:created xsi:type="dcterms:W3CDTF">2019-03-21T10:21:00Z</dcterms:created>
  <dcterms:modified xsi:type="dcterms:W3CDTF">2019-03-21T16:53:00Z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76064</vt:lpwstr>
  </property>
  <property fmtid="{D5CDD505-2E9C-101B-9397-08002B2CF9AE}" pid="3" name="Protective Marking">
    <vt:lpwstr>NOT PROTECTIVELY MARKED</vt:lpwstr>
  </property>
  <property fmtid="{D5CDD505-2E9C-101B-9397-08002B2CF9AE}" pid="4" name="Descriptor">
    <vt:lpwstr/>
  </property>
</Properties>
</file>