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76" w:rsidRPr="00C91B76" w:rsidRDefault="00C91B76" w:rsidP="00C91B76">
      <w:pPr>
        <w:pStyle w:val="Heading2"/>
        <w:rPr>
          <w:lang w:val="en-GB"/>
        </w:rPr>
      </w:pPr>
      <w:r>
        <w:rPr>
          <w:noProof/>
          <w:lang w:val="en-GB" w:eastAsia="en-GB"/>
        </w:rPr>
        <w:drawing>
          <wp:inline distT="0" distB="0" distL="0" distR="0" wp14:anchorId="4B2C1AC8">
            <wp:extent cx="6429375" cy="1590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1590675"/>
                    </a:xfrm>
                    <a:prstGeom prst="rect">
                      <a:avLst/>
                    </a:prstGeom>
                    <a:noFill/>
                  </pic:spPr>
                </pic:pic>
              </a:graphicData>
            </a:graphic>
          </wp:inline>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C91B76" w:rsidRPr="00C91B76" w:rsidTr="009700E8">
        <w:trPr>
          <w:trHeight w:val="557"/>
        </w:trPr>
        <w:tc>
          <w:tcPr>
            <w:tcW w:w="2518"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Meeting</w:t>
            </w:r>
          </w:p>
        </w:tc>
        <w:tc>
          <w:tcPr>
            <w:tcW w:w="3614" w:type="dxa"/>
          </w:tcPr>
          <w:p w:rsidR="00C91B76" w:rsidRPr="00065DAD" w:rsidRDefault="00065DAD" w:rsidP="00C91B76">
            <w:pPr>
              <w:tabs>
                <w:tab w:val="clear" w:pos="113"/>
              </w:tabs>
              <w:autoSpaceDE/>
              <w:autoSpaceDN/>
              <w:adjustRightInd/>
              <w:spacing w:before="120" w:after="120"/>
              <w:rPr>
                <w:rFonts w:cs="Times New Roman"/>
                <w:b/>
                <w:color w:val="auto"/>
                <w:sz w:val="24"/>
                <w:szCs w:val="20"/>
                <w:lang w:val="en-GB"/>
              </w:rPr>
            </w:pPr>
            <w:r w:rsidRPr="00065DAD">
              <w:rPr>
                <w:rFonts w:cs="Times New Roman"/>
                <w:b/>
                <w:color w:val="auto"/>
                <w:sz w:val="24"/>
                <w:szCs w:val="20"/>
                <w:lang w:val="en-GB"/>
              </w:rPr>
              <w:t>Fire &amp; Rescue – Performance and Resources Board</w:t>
            </w:r>
          </w:p>
        </w:tc>
        <w:tc>
          <w:tcPr>
            <w:tcW w:w="2056"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Agenda Item</w:t>
            </w:r>
          </w:p>
        </w:tc>
        <w:tc>
          <w:tcPr>
            <w:tcW w:w="1559" w:type="dxa"/>
          </w:tcPr>
          <w:p w:rsidR="00C91B76" w:rsidRPr="00C91B76" w:rsidRDefault="00AB1242" w:rsidP="00C91B76">
            <w:pPr>
              <w:tabs>
                <w:tab w:val="clear" w:pos="113"/>
              </w:tabs>
              <w:autoSpaceDE/>
              <w:autoSpaceDN/>
              <w:adjustRightInd/>
              <w:spacing w:before="120" w:after="120"/>
              <w:rPr>
                <w:rFonts w:cs="Times New Roman"/>
                <w:color w:val="auto"/>
                <w:sz w:val="32"/>
                <w:szCs w:val="32"/>
                <w:lang w:val="en-GB"/>
              </w:rPr>
            </w:pPr>
            <w:r>
              <w:rPr>
                <w:rFonts w:cs="Times New Roman"/>
                <w:color w:val="auto"/>
                <w:sz w:val="32"/>
                <w:szCs w:val="32"/>
                <w:lang w:val="en-GB"/>
              </w:rPr>
              <w:t>8.</w:t>
            </w:r>
            <w:bookmarkStart w:id="0" w:name="_GoBack"/>
            <w:bookmarkEnd w:id="0"/>
          </w:p>
        </w:tc>
      </w:tr>
      <w:tr w:rsidR="00C91B76" w:rsidRPr="00C91B76" w:rsidTr="009700E8">
        <w:tc>
          <w:tcPr>
            <w:tcW w:w="2518"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Meeting Date</w:t>
            </w:r>
          </w:p>
        </w:tc>
        <w:tc>
          <w:tcPr>
            <w:tcW w:w="3614" w:type="dxa"/>
          </w:tcPr>
          <w:p w:rsidR="00C91B76" w:rsidRPr="00C91B76" w:rsidRDefault="00065DAD" w:rsidP="00C91B76">
            <w:pPr>
              <w:tabs>
                <w:tab w:val="clear" w:pos="113"/>
              </w:tabs>
              <w:autoSpaceDE/>
              <w:autoSpaceDN/>
              <w:adjustRightInd/>
              <w:spacing w:before="120" w:after="120"/>
              <w:rPr>
                <w:rFonts w:cs="Times New Roman"/>
                <w:color w:val="auto"/>
                <w:sz w:val="24"/>
                <w:szCs w:val="20"/>
                <w:lang w:val="en-GB"/>
              </w:rPr>
            </w:pPr>
            <w:r>
              <w:rPr>
                <w:rFonts w:cs="Times New Roman"/>
                <w:color w:val="auto"/>
                <w:sz w:val="24"/>
                <w:szCs w:val="20"/>
                <w:lang w:val="en-GB"/>
              </w:rPr>
              <w:t>25 March 2019</w:t>
            </w:r>
          </w:p>
        </w:tc>
        <w:tc>
          <w:tcPr>
            <w:tcW w:w="2056"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Report Number</w:t>
            </w:r>
          </w:p>
        </w:tc>
        <w:tc>
          <w:tcPr>
            <w:tcW w:w="1559" w:type="dxa"/>
          </w:tcPr>
          <w:p w:rsidR="00C91B76" w:rsidRPr="00C91B76" w:rsidRDefault="00C91B76" w:rsidP="00C91B76">
            <w:pPr>
              <w:tabs>
                <w:tab w:val="clear" w:pos="113"/>
              </w:tabs>
              <w:autoSpaceDE/>
              <w:autoSpaceDN/>
              <w:adjustRightInd/>
              <w:spacing w:before="120" w:after="120"/>
              <w:rPr>
                <w:rFonts w:cs="Times New Roman"/>
                <w:b/>
                <w:color w:val="auto"/>
                <w:sz w:val="24"/>
                <w:szCs w:val="20"/>
                <w:lang w:val="en-GB"/>
              </w:rPr>
            </w:pPr>
          </w:p>
        </w:tc>
      </w:tr>
      <w:tr w:rsidR="00C91B76" w:rsidRPr="00C91B76" w:rsidTr="009700E8">
        <w:tc>
          <w:tcPr>
            <w:tcW w:w="2518"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Report Author:</w:t>
            </w:r>
          </w:p>
        </w:tc>
        <w:tc>
          <w:tcPr>
            <w:tcW w:w="7229" w:type="dxa"/>
            <w:gridSpan w:val="3"/>
          </w:tcPr>
          <w:p w:rsidR="00C91B76" w:rsidRPr="00C91B76" w:rsidRDefault="00385149" w:rsidP="00C91B76">
            <w:pPr>
              <w:tabs>
                <w:tab w:val="clear" w:pos="113"/>
              </w:tabs>
              <w:autoSpaceDE/>
              <w:autoSpaceDN/>
              <w:adjustRightInd/>
              <w:spacing w:before="120" w:after="120"/>
              <w:rPr>
                <w:rFonts w:cs="Times New Roman"/>
                <w:color w:val="auto"/>
                <w:sz w:val="24"/>
                <w:szCs w:val="20"/>
                <w:lang w:val="en-GB"/>
              </w:rPr>
            </w:pPr>
            <w:r>
              <w:rPr>
                <w:rFonts w:cs="Times New Roman"/>
                <w:color w:val="auto"/>
                <w:sz w:val="24"/>
                <w:szCs w:val="20"/>
                <w:lang w:val="en-GB"/>
              </w:rPr>
              <w:t>Paula Drane, Finance Manager</w:t>
            </w:r>
          </w:p>
        </w:tc>
      </w:tr>
      <w:tr w:rsidR="00C91B76" w:rsidRPr="00C91B76" w:rsidTr="009700E8">
        <w:tc>
          <w:tcPr>
            <w:tcW w:w="2518" w:type="dxa"/>
            <w:tcBorders>
              <w:top w:val="single" w:sz="6" w:space="0" w:color="auto"/>
              <w:left w:val="single" w:sz="6" w:space="0" w:color="auto"/>
              <w:bottom w:val="single" w:sz="6" w:space="0" w:color="auto"/>
              <w:right w:val="single" w:sz="6" w:space="0" w:color="auto"/>
            </w:tcBorders>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065DAD" w:rsidRPr="00C91B76" w:rsidRDefault="00065DAD" w:rsidP="00C91B76">
            <w:pPr>
              <w:tabs>
                <w:tab w:val="clear" w:pos="113"/>
              </w:tabs>
              <w:autoSpaceDE/>
              <w:autoSpaceDN/>
              <w:adjustRightInd/>
              <w:spacing w:before="120" w:after="120"/>
              <w:rPr>
                <w:rFonts w:cs="Times New Roman"/>
                <w:color w:val="auto"/>
                <w:sz w:val="24"/>
                <w:szCs w:val="20"/>
                <w:lang w:val="en-GB"/>
              </w:rPr>
            </w:pPr>
            <w:r>
              <w:rPr>
                <w:rFonts w:cs="Times New Roman"/>
                <w:color w:val="auto"/>
                <w:sz w:val="24"/>
                <w:szCs w:val="20"/>
                <w:lang w:val="en-GB"/>
              </w:rPr>
              <w:t>Glenn McGuinness, Acting Chief Finance Officer</w:t>
            </w:r>
          </w:p>
        </w:tc>
      </w:tr>
      <w:tr w:rsidR="00C91B76" w:rsidRPr="00C91B76" w:rsidTr="009700E8">
        <w:tc>
          <w:tcPr>
            <w:tcW w:w="2518"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Subject</w:t>
            </w:r>
          </w:p>
        </w:tc>
        <w:tc>
          <w:tcPr>
            <w:tcW w:w="7229" w:type="dxa"/>
            <w:gridSpan w:val="3"/>
          </w:tcPr>
          <w:p w:rsidR="00C91B76" w:rsidRPr="00C91B76" w:rsidRDefault="00C91B76" w:rsidP="00EB434A">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Treasury Management Strategy 201</w:t>
            </w:r>
            <w:r w:rsidR="007544CF">
              <w:rPr>
                <w:rFonts w:cs="Times New Roman"/>
                <w:color w:val="auto"/>
                <w:sz w:val="24"/>
                <w:szCs w:val="20"/>
                <w:lang w:val="en-GB"/>
              </w:rPr>
              <w:t>9/20</w:t>
            </w:r>
          </w:p>
        </w:tc>
      </w:tr>
      <w:tr w:rsidR="00C91B76" w:rsidRPr="00C91B76" w:rsidTr="009700E8">
        <w:tc>
          <w:tcPr>
            <w:tcW w:w="2518" w:type="dxa"/>
          </w:tcPr>
          <w:p w:rsidR="00C91B76" w:rsidRPr="00C91B76" w:rsidRDefault="00C91B76" w:rsidP="00C91B76">
            <w:pPr>
              <w:tabs>
                <w:tab w:val="clear" w:pos="113"/>
              </w:tabs>
              <w:autoSpaceDE/>
              <w:autoSpaceDN/>
              <w:adjustRightInd/>
              <w:spacing w:before="120" w:after="120"/>
              <w:rPr>
                <w:rFonts w:cs="Times New Roman"/>
                <w:color w:val="auto"/>
                <w:sz w:val="24"/>
                <w:szCs w:val="20"/>
                <w:lang w:val="en-GB"/>
              </w:rPr>
            </w:pPr>
            <w:r w:rsidRPr="00C91B76">
              <w:rPr>
                <w:rFonts w:cs="Times New Roman"/>
                <w:color w:val="auto"/>
                <w:sz w:val="24"/>
                <w:szCs w:val="20"/>
                <w:lang w:val="en-GB"/>
              </w:rPr>
              <w:t>Type of Report:</w:t>
            </w:r>
          </w:p>
        </w:tc>
        <w:tc>
          <w:tcPr>
            <w:tcW w:w="7229" w:type="dxa"/>
            <w:gridSpan w:val="3"/>
          </w:tcPr>
          <w:p w:rsidR="00C91B76" w:rsidRPr="00C91B76" w:rsidRDefault="00065DAD" w:rsidP="00C91B76">
            <w:pPr>
              <w:tabs>
                <w:tab w:val="clear" w:pos="113"/>
                <w:tab w:val="num" w:pos="567"/>
              </w:tabs>
              <w:autoSpaceDE/>
              <w:autoSpaceDN/>
              <w:adjustRightInd/>
              <w:spacing w:before="120" w:after="120"/>
              <w:rPr>
                <w:rFonts w:cs="Times New Roman"/>
                <w:color w:val="auto"/>
                <w:sz w:val="24"/>
                <w:szCs w:val="20"/>
                <w:lang w:val="en-GB"/>
              </w:rPr>
            </w:pPr>
            <w:r>
              <w:rPr>
                <w:rFonts w:cs="Times New Roman"/>
                <w:color w:val="auto"/>
                <w:sz w:val="24"/>
                <w:szCs w:val="20"/>
                <w:lang w:val="en-GB"/>
              </w:rPr>
              <w:t>Information and Decision</w:t>
            </w:r>
          </w:p>
        </w:tc>
      </w:tr>
    </w:tbl>
    <w:p w:rsidR="00895ADE" w:rsidRDefault="00895ADE" w:rsidP="00B70106">
      <w:pPr>
        <w:pStyle w:val="Heading2"/>
        <w:ind w:left="0" w:firstLine="0"/>
        <w:rPr>
          <w:lang w:val="en-GB"/>
        </w:rPr>
      </w:pPr>
    </w:p>
    <w:p w:rsidR="00B96F0E" w:rsidRPr="006368AE" w:rsidRDefault="00B96F0E" w:rsidP="00B70106">
      <w:pPr>
        <w:pStyle w:val="Heading2"/>
        <w:ind w:left="0" w:firstLine="0"/>
        <w:rPr>
          <w:lang w:val="en-GB"/>
        </w:rPr>
      </w:pPr>
      <w:r w:rsidRPr="006368AE">
        <w:rPr>
          <w:lang w:val="en-GB"/>
        </w:rPr>
        <w:t>Summary</w:t>
      </w:r>
    </w:p>
    <w:p w:rsidR="00B96F0E" w:rsidRPr="006368AE" w:rsidRDefault="00B96F0E" w:rsidP="006777F4">
      <w:pPr>
        <w:pStyle w:val="BodyText2"/>
      </w:pPr>
      <w:r w:rsidRPr="006368AE">
        <w:t xml:space="preserve">This paper provides </w:t>
      </w:r>
      <w:r w:rsidR="00D92005">
        <w:t xml:space="preserve">a </w:t>
      </w:r>
      <w:r w:rsidRPr="006368AE">
        <w:t xml:space="preserve">review </w:t>
      </w:r>
      <w:r w:rsidR="00D92005">
        <w:t xml:space="preserve">of </w:t>
      </w:r>
      <w:r w:rsidRPr="006368AE">
        <w:t xml:space="preserve">the indicators approved by the </w:t>
      </w:r>
      <w:r w:rsidR="007A4817">
        <w:t>Essex Fire Commissioner</w:t>
      </w:r>
      <w:r w:rsidR="00D92005">
        <w:t xml:space="preserve"> for 201</w:t>
      </w:r>
      <w:r w:rsidR="007544CF">
        <w:t>8</w:t>
      </w:r>
      <w:r w:rsidR="00D92005">
        <w:t>/1</w:t>
      </w:r>
      <w:r w:rsidR="007544CF">
        <w:t>9</w:t>
      </w:r>
      <w:r w:rsidRPr="006368AE">
        <w:t>, in the light of latest assessment of capital spending and actual treasury management activity</w:t>
      </w:r>
      <w:r w:rsidR="00EB434A">
        <w:t xml:space="preserve"> during the first </w:t>
      </w:r>
      <w:r w:rsidR="007544CF">
        <w:t>nine</w:t>
      </w:r>
      <w:r w:rsidR="00EB434A">
        <w:t xml:space="preserve"> months</w:t>
      </w:r>
      <w:r w:rsidRPr="006368AE">
        <w:t xml:space="preserve"> of </w:t>
      </w:r>
      <w:r w:rsidR="007C09E5" w:rsidRPr="006368AE">
        <w:t>20</w:t>
      </w:r>
      <w:r w:rsidR="00A86CCB" w:rsidRPr="006368AE">
        <w:t>1</w:t>
      </w:r>
      <w:r w:rsidR="007544CF">
        <w:t>8</w:t>
      </w:r>
      <w:r w:rsidR="007C09E5" w:rsidRPr="006368AE">
        <w:t>/1</w:t>
      </w:r>
      <w:r w:rsidR="007544CF">
        <w:t>9</w:t>
      </w:r>
      <w:r w:rsidRPr="006368AE">
        <w:t>.</w:t>
      </w:r>
    </w:p>
    <w:p w:rsidR="00B96F0E" w:rsidRPr="006368AE" w:rsidRDefault="00D92005" w:rsidP="006777F4">
      <w:pPr>
        <w:pStyle w:val="BodyText2"/>
      </w:pPr>
      <w:r>
        <w:t>Secondly</w:t>
      </w:r>
      <w:r w:rsidR="00D00847" w:rsidRPr="006368AE">
        <w:t xml:space="preserve">, </w:t>
      </w:r>
      <w:r w:rsidR="002342D2" w:rsidRPr="002342D2">
        <w:t>the Commissioner</w:t>
      </w:r>
      <w:r w:rsidR="00B96F0E" w:rsidRPr="006368AE">
        <w:t xml:space="preserve"> </w:t>
      </w:r>
      <w:r w:rsidR="002342D2">
        <w:t>is</w:t>
      </w:r>
      <w:r w:rsidR="00B96F0E" w:rsidRPr="006368AE">
        <w:t xml:space="preserve"> also asked to approve </w:t>
      </w:r>
      <w:r w:rsidR="005D040F" w:rsidRPr="006368AE">
        <w:t xml:space="preserve">capital </w:t>
      </w:r>
      <w:r w:rsidR="006368AE" w:rsidRPr="006368AE">
        <w:t>financing</w:t>
      </w:r>
      <w:r w:rsidR="00B96F0E" w:rsidRPr="006368AE">
        <w:t xml:space="preserve"> indicators</w:t>
      </w:r>
      <w:r w:rsidR="00B93A45" w:rsidRPr="006368AE">
        <w:t xml:space="preserve"> and the </w:t>
      </w:r>
      <w:r w:rsidR="00B96F0E" w:rsidRPr="006368AE">
        <w:t xml:space="preserve">treasury management strategy for </w:t>
      </w:r>
      <w:r w:rsidR="007C09E5" w:rsidRPr="006368AE">
        <w:t>201</w:t>
      </w:r>
      <w:r w:rsidR="007544CF">
        <w:t>9</w:t>
      </w:r>
      <w:r w:rsidR="007C09E5" w:rsidRPr="006368AE">
        <w:t>/</w:t>
      </w:r>
      <w:r w:rsidR="007544CF">
        <w:t>20</w:t>
      </w:r>
      <w:r w:rsidR="006220CC" w:rsidRPr="006368AE">
        <w:t>.</w:t>
      </w:r>
    </w:p>
    <w:p w:rsidR="00B96F0E" w:rsidRPr="006368AE" w:rsidRDefault="00B96F0E" w:rsidP="002B6A1D">
      <w:pPr>
        <w:pStyle w:val="Heading2"/>
        <w:rPr>
          <w:lang w:val="en-GB"/>
        </w:rPr>
      </w:pPr>
      <w:r w:rsidRPr="006368AE">
        <w:rPr>
          <w:lang w:val="en-GB"/>
        </w:rPr>
        <w:t>RECOMMENDATIONS</w:t>
      </w:r>
    </w:p>
    <w:p w:rsidR="00B96F0E" w:rsidRPr="006368AE" w:rsidRDefault="00B96F0E" w:rsidP="00D7648D">
      <w:pPr>
        <w:pStyle w:val="StyleArial"/>
        <w:jc w:val="left"/>
      </w:pPr>
      <w:r w:rsidRPr="007544CF">
        <w:rPr>
          <w:sz w:val="22"/>
          <w:szCs w:val="22"/>
        </w:rPr>
        <w:t>It is recommended that</w:t>
      </w:r>
      <w:r w:rsidRPr="006368AE">
        <w:t>:</w:t>
      </w:r>
    </w:p>
    <w:p w:rsidR="00DF7F02" w:rsidRPr="006368AE" w:rsidRDefault="00DF7F02" w:rsidP="00C74234">
      <w:pPr>
        <w:pStyle w:val="NumberedParagraphs"/>
        <w:rPr>
          <w:lang w:val="en-GB"/>
        </w:rPr>
      </w:pPr>
      <w:r w:rsidRPr="006368AE">
        <w:rPr>
          <w:lang w:val="en-GB"/>
        </w:rPr>
        <w:t xml:space="preserve">the Treasury Management Policy Statement </w:t>
      </w:r>
      <w:r w:rsidR="00065FE7" w:rsidRPr="006368AE">
        <w:rPr>
          <w:lang w:val="en-GB"/>
        </w:rPr>
        <w:t>201</w:t>
      </w:r>
      <w:r w:rsidR="007544CF">
        <w:rPr>
          <w:lang w:val="en-GB"/>
        </w:rPr>
        <w:t>9</w:t>
      </w:r>
      <w:r w:rsidR="00065FE7" w:rsidRPr="006368AE">
        <w:rPr>
          <w:lang w:val="en-GB"/>
        </w:rPr>
        <w:t>/</w:t>
      </w:r>
      <w:r w:rsidR="007544CF">
        <w:rPr>
          <w:lang w:val="en-GB"/>
        </w:rPr>
        <w:t>20</w:t>
      </w:r>
      <w:r w:rsidR="00065FE7" w:rsidRPr="006368AE">
        <w:rPr>
          <w:lang w:val="en-GB"/>
        </w:rPr>
        <w:t xml:space="preserve"> </w:t>
      </w:r>
      <w:r w:rsidRPr="006368AE">
        <w:rPr>
          <w:lang w:val="en-GB"/>
        </w:rPr>
        <w:t xml:space="preserve">at </w:t>
      </w:r>
      <w:r w:rsidR="004A3CA1">
        <w:rPr>
          <w:b/>
          <w:lang w:val="en-GB"/>
        </w:rPr>
        <w:t>Appendix 2</w:t>
      </w:r>
      <w:r w:rsidRPr="006368AE">
        <w:rPr>
          <w:lang w:val="en-GB"/>
        </w:rPr>
        <w:t xml:space="preserve"> be approved;</w:t>
      </w:r>
    </w:p>
    <w:p w:rsidR="00DF7F02" w:rsidRPr="006368AE" w:rsidRDefault="00DF7F02" w:rsidP="00C74234">
      <w:pPr>
        <w:pStyle w:val="NumberedParagraphs"/>
        <w:rPr>
          <w:lang w:val="en-GB"/>
        </w:rPr>
      </w:pPr>
      <w:r w:rsidRPr="006368AE">
        <w:rPr>
          <w:lang w:val="en-GB"/>
        </w:rPr>
        <w:t xml:space="preserve">the Treasury Management Practices </w:t>
      </w:r>
      <w:r w:rsidR="00065FE7" w:rsidRPr="006368AE">
        <w:rPr>
          <w:lang w:val="en-GB"/>
        </w:rPr>
        <w:t>201</w:t>
      </w:r>
      <w:r w:rsidR="007544CF">
        <w:rPr>
          <w:lang w:val="en-GB"/>
        </w:rPr>
        <w:t>9</w:t>
      </w:r>
      <w:r w:rsidR="00065FE7" w:rsidRPr="006368AE">
        <w:rPr>
          <w:lang w:val="en-GB"/>
        </w:rPr>
        <w:t>/</w:t>
      </w:r>
      <w:r w:rsidR="007544CF">
        <w:rPr>
          <w:lang w:val="en-GB"/>
        </w:rPr>
        <w:t>20</w:t>
      </w:r>
      <w:r w:rsidR="00065FE7" w:rsidRPr="006368AE">
        <w:rPr>
          <w:lang w:val="en-GB"/>
        </w:rPr>
        <w:t xml:space="preserve"> </w:t>
      </w:r>
      <w:r w:rsidRPr="006368AE">
        <w:rPr>
          <w:lang w:val="en-GB"/>
        </w:rPr>
        <w:t xml:space="preserve">at </w:t>
      </w:r>
      <w:r w:rsidR="004A3CA1">
        <w:rPr>
          <w:b/>
          <w:lang w:val="en-GB"/>
        </w:rPr>
        <w:t>Appendix 3</w:t>
      </w:r>
      <w:r w:rsidRPr="006368AE">
        <w:rPr>
          <w:lang w:val="en-GB"/>
        </w:rPr>
        <w:t xml:space="preserve"> be approved;</w:t>
      </w:r>
    </w:p>
    <w:p w:rsidR="00E23470" w:rsidRPr="006368AE" w:rsidRDefault="00DF7F02" w:rsidP="00C74234">
      <w:pPr>
        <w:pStyle w:val="NumberedParagraphs"/>
        <w:rPr>
          <w:lang w:val="en-GB"/>
        </w:rPr>
      </w:pPr>
      <w:r w:rsidRPr="006368AE">
        <w:rPr>
          <w:lang w:val="en-GB"/>
        </w:rPr>
        <w:t>the Treasury M</w:t>
      </w:r>
      <w:r w:rsidR="00B96F0E" w:rsidRPr="006368AE">
        <w:rPr>
          <w:lang w:val="en-GB"/>
        </w:rPr>
        <w:t xml:space="preserve">anagement position for </w:t>
      </w:r>
      <w:r w:rsidR="007C09E5" w:rsidRPr="006368AE">
        <w:rPr>
          <w:lang w:val="en-GB"/>
        </w:rPr>
        <w:t>20</w:t>
      </w:r>
      <w:r w:rsidR="00A86CCB" w:rsidRPr="006368AE">
        <w:rPr>
          <w:lang w:val="en-GB"/>
        </w:rPr>
        <w:t>1</w:t>
      </w:r>
      <w:r w:rsidR="007544CF">
        <w:rPr>
          <w:lang w:val="en-GB"/>
        </w:rPr>
        <w:t>8</w:t>
      </w:r>
      <w:r w:rsidR="007C09E5" w:rsidRPr="006368AE">
        <w:rPr>
          <w:lang w:val="en-GB"/>
        </w:rPr>
        <w:t>/1</w:t>
      </w:r>
      <w:r w:rsidR="007544CF">
        <w:rPr>
          <w:lang w:val="en-GB"/>
        </w:rPr>
        <w:t>9</w:t>
      </w:r>
      <w:r w:rsidR="00B96F0E" w:rsidRPr="006368AE">
        <w:rPr>
          <w:lang w:val="en-GB"/>
        </w:rPr>
        <w:t xml:space="preserve"> be noted;</w:t>
      </w:r>
    </w:p>
    <w:p w:rsidR="00B96F0E" w:rsidRPr="006368AE" w:rsidRDefault="00B96F0E" w:rsidP="00C74234">
      <w:pPr>
        <w:pStyle w:val="NumberedParagraphs"/>
        <w:rPr>
          <w:lang w:val="en-GB"/>
        </w:rPr>
      </w:pPr>
      <w:r w:rsidRPr="006368AE">
        <w:rPr>
          <w:lang w:val="en-GB"/>
        </w:rPr>
        <w:t xml:space="preserve">the performance against the </w:t>
      </w:r>
      <w:r w:rsidR="005D040F" w:rsidRPr="006368AE">
        <w:rPr>
          <w:lang w:val="en-GB"/>
        </w:rPr>
        <w:t xml:space="preserve">capital financing </w:t>
      </w:r>
      <w:r w:rsidRPr="006368AE">
        <w:rPr>
          <w:lang w:val="en-GB"/>
        </w:rPr>
        <w:t xml:space="preserve">indicators for </w:t>
      </w:r>
      <w:r w:rsidR="007C09E5" w:rsidRPr="006368AE">
        <w:rPr>
          <w:lang w:val="en-GB"/>
        </w:rPr>
        <w:t>20</w:t>
      </w:r>
      <w:r w:rsidR="00A86CCB" w:rsidRPr="006368AE">
        <w:rPr>
          <w:lang w:val="en-GB"/>
        </w:rPr>
        <w:t>1</w:t>
      </w:r>
      <w:r w:rsidR="007544CF">
        <w:rPr>
          <w:lang w:val="en-GB"/>
        </w:rPr>
        <w:t>8</w:t>
      </w:r>
      <w:r w:rsidR="007C09E5" w:rsidRPr="006368AE">
        <w:rPr>
          <w:lang w:val="en-GB"/>
        </w:rPr>
        <w:t>/1</w:t>
      </w:r>
      <w:r w:rsidR="007544CF">
        <w:rPr>
          <w:lang w:val="en-GB"/>
        </w:rPr>
        <w:t>9</w:t>
      </w:r>
      <w:r w:rsidRPr="006368AE">
        <w:rPr>
          <w:lang w:val="en-GB"/>
        </w:rPr>
        <w:t xml:space="preserve"> be noted;</w:t>
      </w:r>
      <w:r w:rsidR="002C0181" w:rsidRPr="006368AE">
        <w:rPr>
          <w:lang w:val="en-GB"/>
        </w:rPr>
        <w:t xml:space="preserve"> </w:t>
      </w:r>
    </w:p>
    <w:p w:rsidR="00294E18" w:rsidRPr="006368AE" w:rsidRDefault="00B96F0E" w:rsidP="00C74234">
      <w:pPr>
        <w:pStyle w:val="NumberedParagraphs"/>
        <w:rPr>
          <w:lang w:val="en-GB"/>
        </w:rPr>
      </w:pPr>
      <w:r w:rsidRPr="006368AE">
        <w:rPr>
          <w:lang w:val="en-GB"/>
        </w:rPr>
        <w:t xml:space="preserve">the </w:t>
      </w:r>
      <w:r w:rsidR="007C09E5" w:rsidRPr="006368AE">
        <w:rPr>
          <w:lang w:val="en-GB"/>
        </w:rPr>
        <w:t>201</w:t>
      </w:r>
      <w:r w:rsidR="007544CF">
        <w:rPr>
          <w:lang w:val="en-GB"/>
        </w:rPr>
        <w:t>9</w:t>
      </w:r>
      <w:r w:rsidR="007C09E5" w:rsidRPr="006368AE">
        <w:rPr>
          <w:lang w:val="en-GB"/>
        </w:rPr>
        <w:t>/</w:t>
      </w:r>
      <w:r w:rsidR="007544CF">
        <w:rPr>
          <w:lang w:val="en-GB"/>
        </w:rPr>
        <w:t>20</w:t>
      </w:r>
      <w:r w:rsidR="003D6449">
        <w:rPr>
          <w:lang w:val="en-GB"/>
        </w:rPr>
        <w:t xml:space="preserve"> treasury management</w:t>
      </w:r>
      <w:r w:rsidRPr="006368AE">
        <w:rPr>
          <w:lang w:val="en-GB"/>
        </w:rPr>
        <w:t xml:space="preserve"> indicators outlined in </w:t>
      </w:r>
      <w:r w:rsidR="004A3CA1">
        <w:rPr>
          <w:b/>
          <w:bCs/>
          <w:lang w:val="en-GB"/>
        </w:rPr>
        <w:t>Appendix 1</w:t>
      </w:r>
      <w:r w:rsidR="002B6A1D" w:rsidRPr="006368AE">
        <w:rPr>
          <w:lang w:val="en-GB"/>
        </w:rPr>
        <w:t xml:space="preserve"> be approved</w:t>
      </w:r>
      <w:r w:rsidR="002C0181" w:rsidRPr="006368AE">
        <w:rPr>
          <w:lang w:val="en-GB"/>
        </w:rPr>
        <w:t xml:space="preserve">; </w:t>
      </w:r>
      <w:r w:rsidR="005D040F" w:rsidRPr="006368AE">
        <w:rPr>
          <w:lang w:val="en-GB"/>
        </w:rPr>
        <w:t>and</w:t>
      </w:r>
    </w:p>
    <w:p w:rsidR="001B4C0D" w:rsidRPr="006368AE" w:rsidRDefault="002C0181" w:rsidP="005D040F">
      <w:pPr>
        <w:pStyle w:val="NumberedParagraphs"/>
        <w:rPr>
          <w:lang w:val="en-GB"/>
        </w:rPr>
      </w:pPr>
      <w:r w:rsidRPr="006368AE">
        <w:rPr>
          <w:lang w:val="en-GB"/>
        </w:rPr>
        <w:t xml:space="preserve">the </w:t>
      </w:r>
      <w:r w:rsidR="00D92005">
        <w:rPr>
          <w:lang w:val="en-GB"/>
        </w:rPr>
        <w:t xml:space="preserve">continued use of the Depreciation Method for the </w:t>
      </w:r>
      <w:r w:rsidRPr="006368AE">
        <w:rPr>
          <w:lang w:val="en-GB"/>
        </w:rPr>
        <w:t xml:space="preserve">calculation of the minimum revenue provision </w:t>
      </w:r>
      <w:r w:rsidR="00294E18" w:rsidRPr="006368AE">
        <w:rPr>
          <w:lang w:val="en-GB"/>
        </w:rPr>
        <w:t>for c</w:t>
      </w:r>
      <w:r w:rsidRPr="006368AE">
        <w:rPr>
          <w:lang w:val="en-GB"/>
        </w:rPr>
        <w:t xml:space="preserve">apital </w:t>
      </w:r>
      <w:r w:rsidR="00294E18" w:rsidRPr="006368AE">
        <w:rPr>
          <w:lang w:val="en-GB"/>
        </w:rPr>
        <w:t>f</w:t>
      </w:r>
      <w:r w:rsidRPr="006368AE">
        <w:rPr>
          <w:lang w:val="en-GB"/>
        </w:rPr>
        <w:t xml:space="preserve">inancing </w:t>
      </w:r>
      <w:r w:rsidR="00563A21">
        <w:rPr>
          <w:lang w:val="en-GB"/>
        </w:rPr>
        <w:t>be approved.</w:t>
      </w:r>
    </w:p>
    <w:p w:rsidR="00B96F0E" w:rsidRPr="006368AE" w:rsidRDefault="00B96F0E" w:rsidP="002B6A1D">
      <w:pPr>
        <w:pStyle w:val="Heading2"/>
        <w:rPr>
          <w:lang w:val="en-GB"/>
        </w:rPr>
      </w:pPr>
      <w:r w:rsidRPr="006368AE">
        <w:rPr>
          <w:lang w:val="en-GB"/>
        </w:rPr>
        <w:lastRenderedPageBreak/>
        <w:t>Background</w:t>
      </w:r>
    </w:p>
    <w:p w:rsidR="002357EF" w:rsidRPr="006368AE" w:rsidRDefault="002357EF" w:rsidP="006777F4">
      <w:pPr>
        <w:pStyle w:val="BodyText2"/>
      </w:pPr>
      <w:r w:rsidRPr="006368AE">
        <w:t xml:space="preserve">The </w:t>
      </w:r>
      <w:r w:rsidR="007A4817">
        <w:t>Commissioner</w:t>
      </w:r>
      <w:r w:rsidR="007A4817" w:rsidRPr="006368AE">
        <w:t xml:space="preserve"> </w:t>
      </w:r>
      <w:r w:rsidRPr="006368AE">
        <w:t xml:space="preserve">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w:t>
      </w:r>
      <w:r w:rsidR="007A4817">
        <w:t>Commissioner</w:t>
      </w:r>
      <w:r w:rsidRPr="006368AE">
        <w:t>’s low risk appetite, providing adequate liquidity initially before considering investment return.</w:t>
      </w:r>
      <w:r w:rsidR="005D040F" w:rsidRPr="006368AE">
        <w:t xml:space="preserve">  </w:t>
      </w:r>
    </w:p>
    <w:p w:rsidR="00535A93" w:rsidRPr="006368AE" w:rsidRDefault="002357EF" w:rsidP="006777F4">
      <w:pPr>
        <w:pStyle w:val="BodyText2"/>
      </w:pPr>
      <w:r w:rsidRPr="006368AE">
        <w:t xml:space="preserve">The second main function of the </w:t>
      </w:r>
      <w:r w:rsidR="00535A93" w:rsidRPr="006368AE">
        <w:t>treasur</w:t>
      </w:r>
      <w:r w:rsidR="00260011">
        <w:t>y management service is the financ</w:t>
      </w:r>
      <w:r w:rsidR="00535A93" w:rsidRPr="006368AE">
        <w:t xml:space="preserve">ing of the </w:t>
      </w:r>
      <w:r w:rsidR="007A4817">
        <w:t>Commissioner</w:t>
      </w:r>
      <w:r w:rsidR="00535A93" w:rsidRPr="006368AE">
        <w:t xml:space="preserve">’s capital plans. These capital plans provide a guide to the borrowing need of the </w:t>
      </w:r>
      <w:r w:rsidR="007A4817">
        <w:t>Commissioner</w:t>
      </w:r>
      <w:r w:rsidR="00535A93" w:rsidRPr="006368AE">
        <w:t xml:space="preserve">, essentially the longer term cash flow planning to ensure that the </w:t>
      </w:r>
      <w:r w:rsidR="007A4817">
        <w:t>Commissioner</w:t>
      </w:r>
      <w:r w:rsidR="00535A93" w:rsidRPr="006368AE">
        <w:t xml:space="preserve"> can meet its capital spending obligations. This management of longer term cash may involve arranging long or short term loans, or using longer term cash flow surpluses. On occasion any debt previously drawn may be restructured to meet </w:t>
      </w:r>
      <w:r w:rsidR="007A4817">
        <w:t>Commissioner</w:t>
      </w:r>
      <w:r w:rsidR="00535A93" w:rsidRPr="006368AE">
        <w:t xml:space="preserve"> risk or cost objectives.</w:t>
      </w:r>
    </w:p>
    <w:p w:rsidR="00535A93" w:rsidRPr="006368AE" w:rsidRDefault="00535A93" w:rsidP="00C74234">
      <w:pPr>
        <w:pStyle w:val="Heading1"/>
        <w:rPr>
          <w:b w:val="0"/>
          <w:lang w:val="en-GB"/>
        </w:rPr>
      </w:pPr>
      <w:r w:rsidRPr="006368AE">
        <w:rPr>
          <w:b w:val="0"/>
          <w:lang w:val="en-GB"/>
        </w:rPr>
        <w:t>CIPFA defines treasury management as:</w:t>
      </w:r>
    </w:p>
    <w:p w:rsidR="002357EF" w:rsidRPr="006368AE" w:rsidRDefault="00535A93" w:rsidP="00C74234">
      <w:pPr>
        <w:pStyle w:val="Heading1"/>
        <w:rPr>
          <w:b w:val="0"/>
          <w:i/>
          <w:lang w:val="en-GB"/>
        </w:rPr>
      </w:pPr>
      <w:r w:rsidRPr="006368AE">
        <w:rPr>
          <w:b w:val="0"/>
          <w:i/>
          <w:lang w:val="en-GB"/>
        </w:rPr>
        <w:t>“The management of the local authority’s investments and cash flows, its banking, money market and capital market transactions; the effective control of the risks associated with those activities; and the pursuit of optimum performance consistent with those risks”</w:t>
      </w:r>
      <w:r w:rsidR="002357EF" w:rsidRPr="006368AE">
        <w:rPr>
          <w:i/>
          <w:lang w:val="en-GB"/>
        </w:rPr>
        <w:t xml:space="preserve"> </w:t>
      </w:r>
    </w:p>
    <w:p w:rsidR="00582C4E" w:rsidRPr="006368AE" w:rsidRDefault="00582C4E" w:rsidP="002B6A1D">
      <w:pPr>
        <w:pStyle w:val="Heading2"/>
        <w:rPr>
          <w:lang w:val="en-GB"/>
        </w:rPr>
      </w:pPr>
      <w:r w:rsidRPr="006368AE">
        <w:rPr>
          <w:lang w:val="en-GB"/>
        </w:rPr>
        <w:t>Treasury management strategy 201</w:t>
      </w:r>
      <w:r w:rsidR="007544CF">
        <w:rPr>
          <w:lang w:val="en-GB"/>
        </w:rPr>
        <w:t>9</w:t>
      </w:r>
      <w:r w:rsidRPr="006368AE">
        <w:rPr>
          <w:lang w:val="en-GB"/>
        </w:rPr>
        <w:t>/</w:t>
      </w:r>
      <w:r w:rsidR="007544CF">
        <w:rPr>
          <w:lang w:val="en-GB"/>
        </w:rPr>
        <w:t>20</w:t>
      </w:r>
    </w:p>
    <w:p w:rsidR="00582C4E" w:rsidRPr="006368AE" w:rsidRDefault="00582C4E" w:rsidP="006777F4">
      <w:pPr>
        <w:pStyle w:val="BodyText2"/>
      </w:pPr>
      <w:r w:rsidRPr="006368AE">
        <w:t>The strategy for 201</w:t>
      </w:r>
      <w:r w:rsidR="007544CF">
        <w:t>9</w:t>
      </w:r>
      <w:r w:rsidRPr="006368AE">
        <w:t>/</w:t>
      </w:r>
      <w:r w:rsidR="007544CF">
        <w:t>20</w:t>
      </w:r>
      <w:r w:rsidRPr="006368AE">
        <w:t xml:space="preserve"> covers two main areas:</w:t>
      </w:r>
    </w:p>
    <w:p w:rsidR="00582C4E" w:rsidRPr="006368AE" w:rsidRDefault="00582C4E" w:rsidP="00C74234">
      <w:pPr>
        <w:pStyle w:val="Heading1"/>
        <w:rPr>
          <w:lang w:val="en-GB"/>
        </w:rPr>
      </w:pPr>
      <w:r w:rsidRPr="006368AE">
        <w:rPr>
          <w:lang w:val="en-GB"/>
        </w:rPr>
        <w:t>Capital issues</w:t>
      </w:r>
    </w:p>
    <w:p w:rsidR="00582C4E" w:rsidRPr="006368AE" w:rsidRDefault="005D040F" w:rsidP="00C74234">
      <w:pPr>
        <w:pStyle w:val="Bullet"/>
        <w:rPr>
          <w:lang w:val="en-GB"/>
        </w:rPr>
      </w:pPr>
      <w:r w:rsidRPr="006368AE">
        <w:rPr>
          <w:lang w:val="en-GB"/>
        </w:rPr>
        <w:t>the capital plans and the capital financing</w:t>
      </w:r>
      <w:r w:rsidR="00582C4E" w:rsidRPr="006368AE">
        <w:rPr>
          <w:lang w:val="en-GB"/>
        </w:rPr>
        <w:t xml:space="preserve"> indicators;</w:t>
      </w:r>
      <w:r w:rsidR="00406233">
        <w:rPr>
          <w:lang w:val="en-GB"/>
        </w:rPr>
        <w:t xml:space="preserve"> </w:t>
      </w:r>
    </w:p>
    <w:p w:rsidR="00582C4E" w:rsidRPr="006368AE" w:rsidRDefault="00582C4E" w:rsidP="00C74234">
      <w:pPr>
        <w:pStyle w:val="Bullet"/>
        <w:rPr>
          <w:lang w:val="en-GB"/>
        </w:rPr>
      </w:pPr>
      <w:r w:rsidRPr="006368AE">
        <w:rPr>
          <w:lang w:val="en-GB"/>
        </w:rPr>
        <w:t xml:space="preserve">the </w:t>
      </w:r>
      <w:r w:rsidR="00406233">
        <w:rPr>
          <w:lang w:val="en-GB"/>
        </w:rPr>
        <w:t>minimum revenue provision (MRP) policy.</w:t>
      </w:r>
    </w:p>
    <w:p w:rsidR="00582C4E" w:rsidRPr="006368AE" w:rsidRDefault="00582C4E" w:rsidP="00C74234">
      <w:pPr>
        <w:pStyle w:val="Heading1"/>
        <w:rPr>
          <w:lang w:val="en-GB"/>
        </w:rPr>
      </w:pPr>
      <w:r w:rsidRPr="006368AE">
        <w:rPr>
          <w:lang w:val="en-GB"/>
        </w:rPr>
        <w:t>Treasury management issues</w:t>
      </w:r>
    </w:p>
    <w:p w:rsidR="00582C4E" w:rsidRPr="006368AE" w:rsidRDefault="00582C4E" w:rsidP="00C74234">
      <w:pPr>
        <w:pStyle w:val="Bullet"/>
        <w:rPr>
          <w:lang w:val="en-GB"/>
        </w:rPr>
      </w:pPr>
      <w:r w:rsidRPr="006368AE">
        <w:rPr>
          <w:lang w:val="en-GB"/>
        </w:rPr>
        <w:t>the current treasury position;</w:t>
      </w:r>
    </w:p>
    <w:p w:rsidR="00582C4E" w:rsidRPr="006368AE" w:rsidRDefault="00582C4E" w:rsidP="00C74234">
      <w:pPr>
        <w:pStyle w:val="Bullet"/>
        <w:rPr>
          <w:b/>
          <w:lang w:val="en-GB"/>
        </w:rPr>
      </w:pPr>
      <w:r w:rsidRPr="006368AE">
        <w:rPr>
          <w:lang w:val="en-GB"/>
        </w:rPr>
        <w:t xml:space="preserve">treasury indicators which will limit the treasury risk and activities of the </w:t>
      </w:r>
      <w:r w:rsidR="007A4817">
        <w:rPr>
          <w:lang w:val="en-GB"/>
        </w:rPr>
        <w:t>Commissioner</w:t>
      </w:r>
      <w:r w:rsidRPr="006368AE">
        <w:rPr>
          <w:lang w:val="en-GB"/>
        </w:rPr>
        <w:t>;</w:t>
      </w:r>
    </w:p>
    <w:p w:rsidR="00582C4E" w:rsidRPr="006368AE" w:rsidRDefault="00582C4E" w:rsidP="00C74234">
      <w:pPr>
        <w:pStyle w:val="Bullet"/>
        <w:rPr>
          <w:b/>
          <w:lang w:val="en-GB"/>
        </w:rPr>
      </w:pPr>
      <w:r w:rsidRPr="006368AE">
        <w:rPr>
          <w:lang w:val="en-GB"/>
        </w:rPr>
        <w:t>prospects for interest rates;</w:t>
      </w:r>
    </w:p>
    <w:p w:rsidR="00582C4E" w:rsidRPr="006368AE" w:rsidRDefault="00582C4E" w:rsidP="00C74234">
      <w:pPr>
        <w:pStyle w:val="Bullet"/>
        <w:rPr>
          <w:b/>
          <w:lang w:val="en-GB"/>
        </w:rPr>
      </w:pPr>
      <w:r w:rsidRPr="006368AE">
        <w:rPr>
          <w:lang w:val="en-GB"/>
        </w:rPr>
        <w:t>the borrowing strategy;</w:t>
      </w:r>
    </w:p>
    <w:p w:rsidR="00582C4E" w:rsidRPr="006368AE" w:rsidRDefault="00582C4E" w:rsidP="00C74234">
      <w:pPr>
        <w:pStyle w:val="Bullet"/>
        <w:rPr>
          <w:b/>
          <w:lang w:val="en-GB"/>
        </w:rPr>
      </w:pPr>
      <w:r w:rsidRPr="006368AE">
        <w:rPr>
          <w:lang w:val="en-GB"/>
        </w:rPr>
        <w:t>policy on borrowing in advance of need;</w:t>
      </w:r>
    </w:p>
    <w:p w:rsidR="00582C4E" w:rsidRPr="006368AE" w:rsidRDefault="00582C4E" w:rsidP="00C74234">
      <w:pPr>
        <w:pStyle w:val="Bullet"/>
        <w:rPr>
          <w:b/>
          <w:lang w:val="en-GB"/>
        </w:rPr>
      </w:pPr>
      <w:r w:rsidRPr="006368AE">
        <w:rPr>
          <w:lang w:val="en-GB"/>
        </w:rPr>
        <w:t>debt rescheduling;</w:t>
      </w:r>
    </w:p>
    <w:p w:rsidR="00582C4E" w:rsidRPr="006368AE" w:rsidRDefault="00582C4E" w:rsidP="00C74234">
      <w:pPr>
        <w:pStyle w:val="Bullet"/>
        <w:rPr>
          <w:b/>
          <w:lang w:val="en-GB"/>
        </w:rPr>
      </w:pPr>
      <w:r w:rsidRPr="006368AE">
        <w:rPr>
          <w:lang w:val="en-GB"/>
        </w:rPr>
        <w:t>the investment strategy;</w:t>
      </w:r>
      <w:r w:rsidR="00697548" w:rsidRPr="006368AE">
        <w:rPr>
          <w:lang w:val="en-GB"/>
        </w:rPr>
        <w:t xml:space="preserve"> and</w:t>
      </w:r>
    </w:p>
    <w:p w:rsidR="00582C4E" w:rsidRPr="006368AE" w:rsidRDefault="00582C4E" w:rsidP="00C74234">
      <w:pPr>
        <w:pStyle w:val="Bullet"/>
        <w:rPr>
          <w:b/>
          <w:lang w:val="en-GB"/>
        </w:rPr>
      </w:pPr>
      <w:r w:rsidRPr="006368AE">
        <w:rPr>
          <w:lang w:val="en-GB"/>
        </w:rPr>
        <w:t>policy on use of external service providers.</w:t>
      </w:r>
    </w:p>
    <w:p w:rsidR="00582C4E" w:rsidRDefault="00582C4E" w:rsidP="006777F4">
      <w:pPr>
        <w:pStyle w:val="BodyText2"/>
      </w:pPr>
      <w:r w:rsidRPr="006368AE">
        <w:t>These elements cover the requirements of the Local Government Act 2003,</w:t>
      </w:r>
      <w:r w:rsidR="00406233">
        <w:t xml:space="preserve"> the CIPFA Prudential Code, CLG MRP </w:t>
      </w:r>
      <w:r w:rsidR="005D040F" w:rsidRPr="006368AE">
        <w:t>G</w:t>
      </w:r>
      <w:r w:rsidRPr="006368AE">
        <w:t>uidance, the CIPFA T</w:t>
      </w:r>
      <w:r w:rsidR="00406233">
        <w:t xml:space="preserve">reasury Management Code and </w:t>
      </w:r>
      <w:r w:rsidRPr="006368AE">
        <w:t>CLG Investment Guidance.</w:t>
      </w:r>
    </w:p>
    <w:p w:rsidR="00636B78" w:rsidRPr="006368AE" w:rsidRDefault="00636B78" w:rsidP="006777F4">
      <w:pPr>
        <w:pStyle w:val="BodyText2"/>
      </w:pPr>
    </w:p>
    <w:p w:rsidR="00B96F0E" w:rsidRPr="006368AE" w:rsidRDefault="003577F1" w:rsidP="002B6A1D">
      <w:pPr>
        <w:pStyle w:val="Heading2"/>
        <w:rPr>
          <w:lang w:val="en-GB"/>
        </w:rPr>
      </w:pPr>
      <w:r w:rsidRPr="006368AE">
        <w:rPr>
          <w:lang w:val="en-GB"/>
        </w:rPr>
        <w:lastRenderedPageBreak/>
        <w:t xml:space="preserve">the </w:t>
      </w:r>
      <w:r w:rsidR="00B96F0E" w:rsidRPr="006368AE">
        <w:rPr>
          <w:lang w:val="en-GB"/>
        </w:rPr>
        <w:t xml:space="preserve">Capital </w:t>
      </w:r>
      <w:r w:rsidR="00D92005">
        <w:rPr>
          <w:lang w:val="en-GB"/>
        </w:rPr>
        <w:t>Financing</w:t>
      </w:r>
      <w:r w:rsidR="0086488D" w:rsidRPr="006368AE">
        <w:rPr>
          <w:lang w:val="en-GB"/>
        </w:rPr>
        <w:t xml:space="preserve"> Indicators</w:t>
      </w:r>
      <w:r w:rsidRPr="006368AE">
        <w:rPr>
          <w:lang w:val="en-GB"/>
        </w:rPr>
        <w:t xml:space="preserve"> 201</w:t>
      </w:r>
      <w:r w:rsidR="007544CF">
        <w:rPr>
          <w:lang w:val="en-GB"/>
        </w:rPr>
        <w:t>9</w:t>
      </w:r>
      <w:r w:rsidRPr="006368AE">
        <w:rPr>
          <w:lang w:val="en-GB"/>
        </w:rPr>
        <w:t>/</w:t>
      </w:r>
      <w:r w:rsidR="007544CF">
        <w:rPr>
          <w:lang w:val="en-GB"/>
        </w:rPr>
        <w:t>20</w:t>
      </w:r>
      <w:r w:rsidR="0049741B">
        <w:rPr>
          <w:lang w:val="en-GB"/>
        </w:rPr>
        <w:t xml:space="preserve"> -</w:t>
      </w:r>
      <w:r w:rsidRPr="006368AE">
        <w:rPr>
          <w:lang w:val="en-GB"/>
        </w:rPr>
        <w:t xml:space="preserve"> 20</w:t>
      </w:r>
      <w:r w:rsidR="00EB434A">
        <w:rPr>
          <w:lang w:val="en-GB"/>
        </w:rPr>
        <w:t>2</w:t>
      </w:r>
      <w:r w:rsidR="007544CF">
        <w:rPr>
          <w:lang w:val="en-GB"/>
        </w:rPr>
        <w:t>1</w:t>
      </w:r>
      <w:r w:rsidRPr="006368AE">
        <w:rPr>
          <w:lang w:val="en-GB"/>
        </w:rPr>
        <w:t>/</w:t>
      </w:r>
      <w:r w:rsidR="00F366DB">
        <w:rPr>
          <w:lang w:val="en-GB"/>
        </w:rPr>
        <w:t>2</w:t>
      </w:r>
      <w:r w:rsidR="007544CF">
        <w:rPr>
          <w:lang w:val="en-GB"/>
        </w:rPr>
        <w:t>2</w:t>
      </w:r>
      <w:r w:rsidR="0086488D" w:rsidRPr="006368AE">
        <w:rPr>
          <w:lang w:val="en-GB"/>
        </w:rPr>
        <w:t xml:space="preserve"> </w:t>
      </w:r>
    </w:p>
    <w:p w:rsidR="00BC245C" w:rsidRPr="006368AE" w:rsidRDefault="00BC245C" w:rsidP="006777F4">
      <w:pPr>
        <w:pStyle w:val="BodyText2"/>
      </w:pPr>
      <w:r w:rsidRPr="006368AE">
        <w:t xml:space="preserve">The </w:t>
      </w:r>
      <w:r w:rsidR="007A4817">
        <w:t>Commissioner</w:t>
      </w:r>
      <w:r w:rsidRPr="006368AE">
        <w:t xml:space="preserve">’s capital expenditure </w:t>
      </w:r>
      <w:r w:rsidR="00AD44EA" w:rsidRPr="006368AE">
        <w:t>plans are the key driver of treasury management activity. The output of t</w:t>
      </w:r>
      <w:r w:rsidR="00667C6D" w:rsidRPr="006368AE">
        <w:t>he capital expenditure plans is</w:t>
      </w:r>
      <w:r w:rsidR="00AD44EA" w:rsidRPr="006368AE">
        <w:t xml:space="preserve"> reflected in </w:t>
      </w:r>
      <w:r w:rsidR="00605FF6">
        <w:t xml:space="preserve">the </w:t>
      </w:r>
      <w:r w:rsidR="00A97AD3" w:rsidRPr="006368AE">
        <w:t>capital financing</w:t>
      </w:r>
      <w:r w:rsidR="00AD44EA" w:rsidRPr="006368AE">
        <w:t xml:space="preserve"> indicators, which are designed to assist </w:t>
      </w:r>
      <w:r w:rsidR="001E419D">
        <w:t>the Commissioner’s</w:t>
      </w:r>
      <w:r w:rsidR="00AD44EA" w:rsidRPr="006368AE">
        <w:t xml:space="preserve"> overview and confirm capital expenditure plans.</w:t>
      </w:r>
    </w:p>
    <w:p w:rsidR="00B96F0E" w:rsidRPr="006368AE" w:rsidRDefault="00B96F0E" w:rsidP="006777F4">
      <w:pPr>
        <w:pStyle w:val="BodyText2"/>
      </w:pPr>
      <w:r w:rsidRPr="006368AE">
        <w:t xml:space="preserve">The </w:t>
      </w:r>
      <w:r w:rsidR="00FB467B" w:rsidRPr="006368AE">
        <w:t>budgeted, forecast</w:t>
      </w:r>
      <w:r w:rsidRPr="006368AE">
        <w:t xml:space="preserve"> </w:t>
      </w:r>
      <w:r w:rsidR="00FB467B" w:rsidRPr="006368AE">
        <w:t xml:space="preserve">or estimated </w:t>
      </w:r>
      <w:r w:rsidRPr="006368AE">
        <w:t>capital expenditure to be incurred for the current and future years that are recommended for</w:t>
      </w:r>
      <w:r w:rsidR="00D00847" w:rsidRPr="006368AE">
        <w:t xml:space="preserve"> approval, are summarised below:</w:t>
      </w:r>
    </w:p>
    <w:p w:rsidR="0047343F" w:rsidRDefault="00AB1242" w:rsidP="0047343F">
      <w:pPr>
        <w:pStyle w:val="StyleBodyText3Centered"/>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33.5pt">
            <v:imagedata r:id="rId9" o:title=""/>
          </v:shape>
        </w:pict>
      </w:r>
    </w:p>
    <w:p w:rsidR="00AD44EA" w:rsidRPr="006368AE" w:rsidRDefault="00AD44EA" w:rsidP="00AD44EA">
      <w:pPr>
        <w:pStyle w:val="Heading2"/>
        <w:rPr>
          <w:lang w:val="en-GB"/>
        </w:rPr>
      </w:pPr>
      <w:r w:rsidRPr="006368AE">
        <w:rPr>
          <w:lang w:val="en-GB"/>
        </w:rPr>
        <w:t>th</w:t>
      </w:r>
      <w:r w:rsidR="002B258E" w:rsidRPr="006368AE">
        <w:rPr>
          <w:lang w:val="en-GB"/>
        </w:rPr>
        <w:t>e Capital Financing Requirement</w:t>
      </w:r>
    </w:p>
    <w:p w:rsidR="00DC4ED0" w:rsidRPr="006368AE" w:rsidRDefault="00AD44EA" w:rsidP="006777F4">
      <w:pPr>
        <w:pStyle w:val="BodyText2"/>
      </w:pPr>
      <w:r w:rsidRPr="006368AE">
        <w:t xml:space="preserve">The Capital Financing Requirement (CFR) </w:t>
      </w:r>
      <w:r w:rsidR="00CF10E6" w:rsidRPr="006368AE">
        <w:t>is simply the total historic outstanding capital expenditure which has not yet been paid for from either reve</w:t>
      </w:r>
      <w:r w:rsidR="00605FF6">
        <w:t>nue or capital resources. It is essentially</w:t>
      </w:r>
      <w:r w:rsidR="00CF10E6" w:rsidRPr="006368AE">
        <w:t xml:space="preserve"> a measure of the </w:t>
      </w:r>
      <w:r w:rsidR="007A4817">
        <w:t>Commissioner</w:t>
      </w:r>
      <w:r w:rsidR="00CF10E6" w:rsidRPr="006368AE">
        <w:t xml:space="preserve">’s underlying borrowing need. </w:t>
      </w:r>
      <w:r w:rsidR="00FB467B" w:rsidRPr="006368AE">
        <w:t xml:space="preserve"> </w:t>
      </w:r>
      <w:r w:rsidR="00CF10E6" w:rsidRPr="006368AE">
        <w:t>Any capital expenditure</w:t>
      </w:r>
      <w:r w:rsidR="00DC4ED0" w:rsidRPr="006368AE">
        <w:t xml:space="preserve"> above, which </w:t>
      </w:r>
      <w:r w:rsidR="00605FF6">
        <w:t>ha</w:t>
      </w:r>
      <w:r w:rsidR="00FB467B" w:rsidRPr="006368AE">
        <w:t xml:space="preserve">s not </w:t>
      </w:r>
      <w:r w:rsidR="00605FF6">
        <w:t xml:space="preserve">immediately been paid for or </w:t>
      </w:r>
      <w:r w:rsidR="00FB467B" w:rsidRPr="006368AE">
        <w:t xml:space="preserve">funded by government grant or capital </w:t>
      </w:r>
      <w:r w:rsidR="006368AE" w:rsidRPr="006368AE">
        <w:t>receipts,</w:t>
      </w:r>
      <w:r w:rsidR="00DC4ED0" w:rsidRPr="006368AE">
        <w:t xml:space="preserve"> will increase the CF</w:t>
      </w:r>
      <w:r w:rsidR="008C0D29" w:rsidRPr="006368AE">
        <w:t>R</w:t>
      </w:r>
      <w:r w:rsidR="00DC4ED0" w:rsidRPr="006368AE">
        <w:t>.</w:t>
      </w:r>
      <w:r w:rsidR="0097079A">
        <w:t xml:space="preserve"> </w:t>
      </w:r>
      <w:r w:rsidR="00DC4ED0" w:rsidRPr="006368AE">
        <w:t>The CFR does not increase indefinitely, as the minimum revenue provision (MRP)</w:t>
      </w:r>
      <w:r w:rsidR="008C0D29" w:rsidRPr="006368AE">
        <w:t xml:space="preserve"> for capital </w:t>
      </w:r>
      <w:r w:rsidR="006368AE" w:rsidRPr="006368AE">
        <w:t>financing</w:t>
      </w:r>
      <w:r w:rsidR="00DC4ED0" w:rsidRPr="006368AE">
        <w:t xml:space="preserve"> is a statutory annual revenue charge which broadly reduces the borrowing need in line with each assets life.</w:t>
      </w:r>
      <w:r w:rsidR="00E33A8E">
        <w:t xml:space="preserve"> Voluntary contributions (VRP) to capital financing costs can also be made. </w:t>
      </w:r>
    </w:p>
    <w:p w:rsidR="00AD44EA" w:rsidRPr="006368AE" w:rsidRDefault="00AD44EA" w:rsidP="006777F4">
      <w:pPr>
        <w:pStyle w:val="BodyText2"/>
      </w:pPr>
      <w:r w:rsidRPr="006368AE">
        <w:t>The comparison of the CFR to the original indicators for 201</w:t>
      </w:r>
      <w:r w:rsidR="001E7831">
        <w:t>8</w:t>
      </w:r>
      <w:r w:rsidRPr="006368AE">
        <w:t>/1</w:t>
      </w:r>
      <w:r w:rsidR="001E7831">
        <w:t>9</w:t>
      </w:r>
      <w:r w:rsidRPr="006368AE">
        <w:t>, and the new indicators to be agreed for 201</w:t>
      </w:r>
      <w:r w:rsidR="001E7831">
        <w:t>9</w:t>
      </w:r>
      <w:r w:rsidRPr="006368AE">
        <w:t>/</w:t>
      </w:r>
      <w:r w:rsidR="001E7831">
        <w:t>20</w:t>
      </w:r>
      <w:r w:rsidRPr="006368AE">
        <w:t xml:space="preserve"> are shown below:-</w:t>
      </w:r>
    </w:p>
    <w:p w:rsidR="00AD44EA" w:rsidRPr="006368AE" w:rsidRDefault="00AB1242" w:rsidP="00406393">
      <w:pPr>
        <w:pStyle w:val="StyleBodyText3Centered"/>
        <w:rPr>
          <w:szCs w:val="22"/>
          <w:lang w:val="en-GB"/>
        </w:rPr>
      </w:pPr>
      <w:r>
        <w:rPr>
          <w:noProof/>
          <w:lang w:val="en-GB" w:eastAsia="en-GB"/>
        </w:rPr>
        <w:pict>
          <v:shape id="_x0000_i1026" type="#_x0000_t75" style="width:429.75pt;height:109.5pt">
            <v:imagedata r:id="rId10" o:title=""/>
          </v:shape>
        </w:pict>
      </w:r>
    </w:p>
    <w:p w:rsidR="00AD44EA" w:rsidRPr="006368AE" w:rsidRDefault="00AD44EA" w:rsidP="00AD44EA">
      <w:pPr>
        <w:pStyle w:val="Heading2"/>
        <w:rPr>
          <w:lang w:val="en-GB"/>
        </w:rPr>
      </w:pPr>
      <w:r w:rsidRPr="006368AE">
        <w:rPr>
          <w:lang w:val="en-GB"/>
        </w:rPr>
        <w:t xml:space="preserve">Minimum Revenue Provision </w:t>
      </w:r>
      <w:r w:rsidR="008C0D29" w:rsidRPr="006368AE">
        <w:rPr>
          <w:lang w:val="en-GB"/>
        </w:rPr>
        <w:t>for capita</w:t>
      </w:r>
      <w:r w:rsidR="00D5402F">
        <w:rPr>
          <w:lang w:val="en-GB"/>
        </w:rPr>
        <w:t>L</w:t>
      </w:r>
      <w:r w:rsidR="008C0D29" w:rsidRPr="006368AE">
        <w:rPr>
          <w:lang w:val="en-GB"/>
        </w:rPr>
        <w:t xml:space="preserve"> financing </w:t>
      </w:r>
      <w:r w:rsidRPr="006368AE">
        <w:rPr>
          <w:lang w:val="en-GB"/>
        </w:rPr>
        <w:t>policy statement</w:t>
      </w:r>
    </w:p>
    <w:p w:rsidR="00426D1F" w:rsidRDefault="00426D1F" w:rsidP="006777F4">
      <w:pPr>
        <w:pStyle w:val="BodyText2"/>
      </w:pPr>
      <w:r w:rsidRPr="006368AE">
        <w:t xml:space="preserve">The </w:t>
      </w:r>
      <w:r w:rsidR="007A4817">
        <w:t>Commissioner</w:t>
      </w:r>
      <w:r w:rsidRPr="006368AE">
        <w:t xml:space="preserve"> is required to pay off an element of the accumulated General Fund capital spend each year (the C</w:t>
      </w:r>
      <w:r w:rsidR="008C0D29" w:rsidRPr="006368AE">
        <w:t xml:space="preserve">apital </w:t>
      </w:r>
      <w:r w:rsidRPr="006368AE">
        <w:t>F</w:t>
      </w:r>
      <w:r w:rsidR="008C0D29" w:rsidRPr="006368AE">
        <w:t xml:space="preserve">inancing </w:t>
      </w:r>
      <w:r w:rsidRPr="006368AE">
        <w:t>R</w:t>
      </w:r>
      <w:r w:rsidR="008C0D29" w:rsidRPr="006368AE">
        <w:t>equirement</w:t>
      </w:r>
      <w:r w:rsidRPr="006368AE">
        <w:t>) through a revenue charge (the minimum revenue provision</w:t>
      </w:r>
      <w:r w:rsidR="003312D8">
        <w:t xml:space="preserve"> for capital financing - </w:t>
      </w:r>
      <w:r w:rsidRPr="006368AE">
        <w:t xml:space="preserve">MRP), although it is also allowed to undertake additional voluntary payments if required (voluntary revenue provision </w:t>
      </w:r>
      <w:r w:rsidR="008C0D29" w:rsidRPr="006368AE">
        <w:t>for capital financing</w:t>
      </w:r>
      <w:r w:rsidRPr="006368AE">
        <w:t>– VRP).</w:t>
      </w:r>
    </w:p>
    <w:p w:rsidR="00636B78" w:rsidRDefault="00636B78" w:rsidP="006777F4">
      <w:pPr>
        <w:pStyle w:val="BodyText2"/>
      </w:pPr>
    </w:p>
    <w:p w:rsidR="00C753EA" w:rsidRPr="006368AE" w:rsidRDefault="00C753EA" w:rsidP="006777F4">
      <w:pPr>
        <w:pStyle w:val="BodyText2"/>
      </w:pPr>
    </w:p>
    <w:p w:rsidR="00AD44EA" w:rsidRPr="006368AE" w:rsidRDefault="0037643D" w:rsidP="006777F4">
      <w:pPr>
        <w:pStyle w:val="BodyText2"/>
      </w:pPr>
      <w:r w:rsidRPr="006368AE">
        <w:lastRenderedPageBreak/>
        <w:t>For 201</w:t>
      </w:r>
      <w:r w:rsidR="001E7831">
        <w:t>9/20</w:t>
      </w:r>
      <w:r w:rsidRPr="006368AE">
        <w:t xml:space="preserve"> t</w:t>
      </w:r>
      <w:r w:rsidR="00AD44EA" w:rsidRPr="006368AE">
        <w:t>he following arrangements are proposed:</w:t>
      </w:r>
    </w:p>
    <w:p w:rsidR="00AD44EA" w:rsidRPr="006777F4" w:rsidRDefault="00AD44EA" w:rsidP="002B258E">
      <w:pPr>
        <w:pStyle w:val="Bullet"/>
        <w:rPr>
          <w:lang w:val="en-GB"/>
        </w:rPr>
      </w:pPr>
      <w:r w:rsidRPr="006777F4">
        <w:rPr>
          <w:lang w:val="en-GB"/>
        </w:rPr>
        <w:t xml:space="preserve">Depreciation Method for </w:t>
      </w:r>
      <w:r w:rsidR="0037643D" w:rsidRPr="006777F4">
        <w:rPr>
          <w:lang w:val="en-GB"/>
        </w:rPr>
        <w:t xml:space="preserve">any increase in the capital financing requirement </w:t>
      </w:r>
      <w:r w:rsidRPr="006777F4">
        <w:rPr>
          <w:lang w:val="en-GB"/>
        </w:rPr>
        <w:t xml:space="preserve">based on the average annual depreciation charge for the assets purchased </w:t>
      </w:r>
      <w:r w:rsidR="00FE3B6A" w:rsidRPr="006777F4">
        <w:rPr>
          <w:lang w:val="en-GB"/>
        </w:rPr>
        <w:t>subject to the maximum lives set out below:</w:t>
      </w:r>
    </w:p>
    <w:p w:rsidR="00FE3B6A" w:rsidRDefault="00FE3B6A" w:rsidP="00FE3B6A">
      <w:pPr>
        <w:pStyle w:val="Bullet"/>
        <w:numPr>
          <w:ilvl w:val="1"/>
          <w:numId w:val="4"/>
        </w:numPr>
        <w:spacing w:after="0"/>
      </w:pPr>
      <w:r>
        <w:t>ICT - 5 years</w:t>
      </w:r>
    </w:p>
    <w:p w:rsidR="00FE3B6A" w:rsidRDefault="00FE3B6A" w:rsidP="00FE3B6A">
      <w:pPr>
        <w:pStyle w:val="Bullet"/>
        <w:numPr>
          <w:ilvl w:val="1"/>
          <w:numId w:val="4"/>
        </w:numPr>
        <w:spacing w:after="0"/>
      </w:pPr>
      <w:r>
        <w:t>Property -  20 years</w:t>
      </w:r>
    </w:p>
    <w:p w:rsidR="00FE3B6A" w:rsidRDefault="00FE3B6A" w:rsidP="00FE3B6A">
      <w:pPr>
        <w:pStyle w:val="Bullet"/>
        <w:numPr>
          <w:ilvl w:val="1"/>
          <w:numId w:val="4"/>
        </w:numPr>
        <w:spacing w:after="0"/>
      </w:pPr>
      <w:r>
        <w:t>Plant &amp; Equipment – 8 years</w:t>
      </w:r>
    </w:p>
    <w:p w:rsidR="00FE3B6A" w:rsidRDefault="00FE3B6A" w:rsidP="00FE3B6A">
      <w:pPr>
        <w:pStyle w:val="Bullet"/>
        <w:numPr>
          <w:ilvl w:val="1"/>
          <w:numId w:val="4"/>
        </w:numPr>
        <w:spacing w:after="0"/>
      </w:pPr>
      <w:r>
        <w:t>Appliances – 12 years</w:t>
      </w:r>
    </w:p>
    <w:p w:rsidR="00FE3B6A" w:rsidRDefault="00FE3B6A" w:rsidP="00FE3B6A">
      <w:pPr>
        <w:pStyle w:val="Bullet"/>
        <w:numPr>
          <w:ilvl w:val="1"/>
          <w:numId w:val="4"/>
        </w:numPr>
        <w:spacing w:after="0"/>
      </w:pPr>
      <w:r>
        <w:t>Other Vehicles – 6 years</w:t>
      </w:r>
    </w:p>
    <w:p w:rsidR="00FE3B6A" w:rsidRDefault="00FE3B6A" w:rsidP="00FE3B6A">
      <w:pPr>
        <w:pStyle w:val="Bullet"/>
        <w:numPr>
          <w:ilvl w:val="1"/>
          <w:numId w:val="4"/>
        </w:numPr>
      </w:pPr>
      <w:r>
        <w:t>Cycle Scheme – 1 year</w:t>
      </w:r>
    </w:p>
    <w:p w:rsidR="00383C68" w:rsidRDefault="00383C68" w:rsidP="00383C68">
      <w:pPr>
        <w:pStyle w:val="Bullet"/>
        <w:numPr>
          <w:ilvl w:val="0"/>
          <w:numId w:val="0"/>
        </w:numPr>
        <w:ind w:left="1610"/>
      </w:pPr>
    </w:p>
    <w:p w:rsidR="00AD44EA" w:rsidRPr="006368AE" w:rsidRDefault="00AD44EA" w:rsidP="0017164C">
      <w:pPr>
        <w:pStyle w:val="Heading2"/>
        <w:rPr>
          <w:lang w:val="en-GB"/>
        </w:rPr>
      </w:pPr>
      <w:r w:rsidRPr="006368AE">
        <w:rPr>
          <w:lang w:val="en-GB"/>
        </w:rPr>
        <w:t>Affordability Prudential Indicators</w:t>
      </w:r>
    </w:p>
    <w:p w:rsidR="00B96F0E" w:rsidRPr="006368AE" w:rsidRDefault="00A65280" w:rsidP="006777F4">
      <w:pPr>
        <w:pStyle w:val="BodyText2"/>
        <w:keepNext/>
      </w:pPr>
      <w:r w:rsidRPr="006368AE">
        <w:t>The incremental effects of these plans on our revenue expenditure are shown below:</w:t>
      </w:r>
    </w:p>
    <w:p w:rsidR="00A65280" w:rsidRPr="006368AE" w:rsidRDefault="00AB1242" w:rsidP="00406393">
      <w:pPr>
        <w:pStyle w:val="StyleBodyText3Centered"/>
        <w:rPr>
          <w:lang w:val="en-GB"/>
        </w:rPr>
      </w:pPr>
      <w:r>
        <w:rPr>
          <w:noProof/>
          <w:lang w:val="en-GB" w:eastAsia="en-GB"/>
        </w:rPr>
        <w:pict>
          <v:shape id="_x0000_i1027" type="#_x0000_t75" style="width:377.25pt;height:102.75pt">
            <v:imagedata r:id="rId11" o:title=""/>
          </v:shape>
        </w:pict>
      </w:r>
    </w:p>
    <w:p w:rsidR="00B96F0E" w:rsidRPr="006368AE" w:rsidRDefault="00B96F0E" w:rsidP="002B6A1D">
      <w:pPr>
        <w:pStyle w:val="Heading2"/>
        <w:rPr>
          <w:lang w:val="en-GB"/>
        </w:rPr>
      </w:pPr>
      <w:r w:rsidRPr="006368AE">
        <w:rPr>
          <w:lang w:val="en-GB"/>
        </w:rPr>
        <w:t>Incremental impact of new capital investment on Council tax</w:t>
      </w:r>
    </w:p>
    <w:p w:rsidR="00B96F0E" w:rsidRPr="006368AE" w:rsidRDefault="008926FB" w:rsidP="006777F4">
      <w:pPr>
        <w:pStyle w:val="BodyText2"/>
      </w:pPr>
      <w:r w:rsidRPr="006368AE">
        <w:t>The impact of capital investment on the council tax is used for budgeting. T</w:t>
      </w:r>
      <w:r w:rsidR="00B96F0E" w:rsidRPr="006368AE">
        <w:t>he incremental impact</w:t>
      </w:r>
      <w:r w:rsidR="0017164C" w:rsidRPr="006368AE">
        <w:t>s</w:t>
      </w:r>
      <w:r w:rsidR="00B96F0E" w:rsidRPr="006368AE">
        <w:t xml:space="preserve"> on the </w:t>
      </w:r>
      <w:r w:rsidR="007C09E5" w:rsidRPr="006368AE">
        <w:t>20</w:t>
      </w:r>
      <w:r w:rsidR="00EB752E" w:rsidRPr="006368AE">
        <w:t>1</w:t>
      </w:r>
      <w:r w:rsidR="001E7831">
        <w:t>8</w:t>
      </w:r>
      <w:r w:rsidR="007C09E5" w:rsidRPr="006368AE">
        <w:t>/1</w:t>
      </w:r>
      <w:r w:rsidR="001E7831">
        <w:t>9</w:t>
      </w:r>
      <w:r w:rsidRPr="006368AE">
        <w:t xml:space="preserve"> and </w:t>
      </w:r>
      <w:r w:rsidR="007C09E5" w:rsidRPr="006368AE">
        <w:t>201</w:t>
      </w:r>
      <w:r w:rsidR="001E7831">
        <w:t>9</w:t>
      </w:r>
      <w:r w:rsidR="007C09E5" w:rsidRPr="006368AE">
        <w:t>/</w:t>
      </w:r>
      <w:r w:rsidR="001E7831">
        <w:t>20</w:t>
      </w:r>
      <w:r w:rsidRPr="006368AE">
        <w:t xml:space="preserve"> c</w:t>
      </w:r>
      <w:r w:rsidR="00B96F0E" w:rsidRPr="006368AE">
        <w:t>ouncil tax</w:t>
      </w:r>
      <w:r w:rsidRPr="006368AE">
        <w:t xml:space="preserve"> on the capital programmes </w:t>
      </w:r>
      <w:r w:rsidR="0017164C" w:rsidRPr="006368AE">
        <w:t>are</w:t>
      </w:r>
      <w:r w:rsidRPr="006368AE">
        <w:t xml:space="preserve"> shown below;</w:t>
      </w:r>
    </w:p>
    <w:p w:rsidR="00B96F0E" w:rsidRPr="006368AE" w:rsidRDefault="00AB1242" w:rsidP="00406393">
      <w:pPr>
        <w:pStyle w:val="StyleBodyText3Centered"/>
        <w:rPr>
          <w:lang w:val="en-GB"/>
        </w:rPr>
      </w:pPr>
      <w:r>
        <w:rPr>
          <w:noProof/>
          <w:lang w:val="en-GB" w:eastAsia="en-GB"/>
        </w:rPr>
        <w:pict>
          <v:shape id="_x0000_i1028" type="#_x0000_t75" style="width:325.5pt;height:75pt">
            <v:imagedata r:id="rId12" o:title=""/>
          </v:shape>
        </w:pict>
      </w:r>
    </w:p>
    <w:p w:rsidR="00B96F0E" w:rsidRPr="006368AE" w:rsidRDefault="00B96F0E" w:rsidP="006777F4">
      <w:pPr>
        <w:pStyle w:val="BodyText2"/>
      </w:pPr>
      <w:r w:rsidRPr="006368AE">
        <w:t>These figures represent the maximum potential impact, given the assumptions made.</w:t>
      </w:r>
    </w:p>
    <w:p w:rsidR="00B96F0E" w:rsidRPr="006368AE" w:rsidRDefault="00B96F0E" w:rsidP="006777F4">
      <w:pPr>
        <w:pStyle w:val="BodyText2"/>
      </w:pPr>
      <w:r w:rsidRPr="006368AE">
        <w:t>The incremental impact of the proposed capital programme has been determined assuming that the revenue costs of borrowing would be fully met from Council tax.  In reality, these costs would be financed from a combination of R</w:t>
      </w:r>
      <w:r w:rsidR="008D5AED" w:rsidRPr="006368AE">
        <w:t xml:space="preserve">evenue </w:t>
      </w:r>
      <w:r w:rsidRPr="006368AE">
        <w:t>S</w:t>
      </w:r>
      <w:r w:rsidR="008D5AED" w:rsidRPr="006368AE">
        <w:t xml:space="preserve">upport </w:t>
      </w:r>
      <w:r w:rsidRPr="006368AE">
        <w:t>G</w:t>
      </w:r>
      <w:r w:rsidR="008D5AED" w:rsidRPr="006368AE">
        <w:t>rant</w:t>
      </w:r>
      <w:r w:rsidRPr="006368AE">
        <w:t>, non-domestic rates</w:t>
      </w:r>
      <w:r w:rsidR="00944B74" w:rsidRPr="006368AE">
        <w:t>, revenue account savings from earlier investment</w:t>
      </w:r>
      <w:r w:rsidRPr="006368AE">
        <w:t xml:space="preserve"> and Council tax income, though it is not possible to identify t</w:t>
      </w:r>
      <w:r w:rsidR="00476035" w:rsidRPr="006368AE">
        <w:t>he different components.</w:t>
      </w:r>
    </w:p>
    <w:p w:rsidR="00B96F0E" w:rsidRPr="006368AE" w:rsidRDefault="00B96F0E" w:rsidP="006777F4">
      <w:pPr>
        <w:pStyle w:val="BodyText2"/>
      </w:pPr>
      <w:r w:rsidRPr="006368AE">
        <w:t xml:space="preserve">It should be noted that the incremental impact of capital investment decisions for </w:t>
      </w:r>
      <w:r w:rsidR="007C09E5" w:rsidRPr="006368AE">
        <w:t>201</w:t>
      </w:r>
      <w:r w:rsidR="001E7831">
        <w:t>9</w:t>
      </w:r>
      <w:r w:rsidR="007C09E5" w:rsidRPr="006368AE">
        <w:t>/</w:t>
      </w:r>
      <w:r w:rsidR="001E7831">
        <w:t>20</w:t>
      </w:r>
      <w:r w:rsidRPr="006368AE">
        <w:t xml:space="preserve"> has been included within the proposed Council tax level, as set out elsewhere on this agenda.</w:t>
      </w:r>
    </w:p>
    <w:p w:rsidR="00B96F0E" w:rsidRPr="006368AE" w:rsidRDefault="00B96F0E" w:rsidP="006777F4">
      <w:pPr>
        <w:pStyle w:val="BodyText2"/>
      </w:pPr>
      <w:r w:rsidRPr="006368AE">
        <w:t xml:space="preserve">The estimate of the incremental impact of capital investment decisions proposed in the capital programme report for the three year period beginning </w:t>
      </w:r>
      <w:r w:rsidR="007C09E5" w:rsidRPr="006368AE">
        <w:t>201</w:t>
      </w:r>
      <w:r w:rsidR="001E7831">
        <w:t>9</w:t>
      </w:r>
      <w:r w:rsidR="007C09E5" w:rsidRPr="006368AE">
        <w:t>/</w:t>
      </w:r>
      <w:r w:rsidR="001E7831">
        <w:t>20</w:t>
      </w:r>
      <w:r w:rsidRPr="006368AE">
        <w:t xml:space="preserve">, over and above capital investment decisions that have previously been taken by the </w:t>
      </w:r>
      <w:r w:rsidR="007A4817">
        <w:t>Commissioner</w:t>
      </w:r>
      <w:r w:rsidRPr="006368AE">
        <w:t>, are:-</w:t>
      </w:r>
    </w:p>
    <w:p w:rsidR="00B96F0E" w:rsidRPr="006368AE" w:rsidRDefault="00AB1242" w:rsidP="00406393">
      <w:pPr>
        <w:pStyle w:val="StyleBodyText3Centered"/>
        <w:rPr>
          <w:lang w:val="en-GB"/>
        </w:rPr>
      </w:pPr>
      <w:r>
        <w:rPr>
          <w:noProof/>
          <w:lang w:val="en-GB" w:eastAsia="en-GB"/>
        </w:rPr>
        <w:lastRenderedPageBreak/>
        <w:pict>
          <v:shape id="_x0000_i1029" type="#_x0000_t75" style="width:377.25pt;height:113.25pt">
            <v:imagedata r:id="rId13" o:title=""/>
          </v:shape>
        </w:pict>
      </w:r>
    </w:p>
    <w:p w:rsidR="00B96F0E" w:rsidRPr="006368AE" w:rsidRDefault="00B96F0E" w:rsidP="006777F4">
      <w:pPr>
        <w:pStyle w:val="BodyText2"/>
      </w:pPr>
      <w:r w:rsidRPr="006368AE">
        <w:t>The full year effect of these programmes in 20</w:t>
      </w:r>
      <w:r w:rsidR="002B4DE4" w:rsidRPr="006368AE">
        <w:t>1</w:t>
      </w:r>
      <w:r w:rsidR="00B46305">
        <w:t>9</w:t>
      </w:r>
      <w:r w:rsidR="00E9652C" w:rsidRPr="006368AE">
        <w:t>/</w:t>
      </w:r>
      <w:r w:rsidR="00B46305">
        <w:t>20</w:t>
      </w:r>
      <w:r w:rsidR="00E9652C" w:rsidRPr="006368AE">
        <w:t xml:space="preserve"> and future years is £</w:t>
      </w:r>
      <w:r w:rsidR="009920DE">
        <w:t>1,535</w:t>
      </w:r>
      <w:r w:rsidRPr="006368AE">
        <w:t>k additional revenue payments per ye</w:t>
      </w:r>
      <w:r w:rsidR="00E9652C" w:rsidRPr="006368AE">
        <w:t>ar, with a £</w:t>
      </w:r>
      <w:r w:rsidR="009920DE">
        <w:t>2</w:t>
      </w:r>
      <w:r w:rsidR="00E9652C" w:rsidRPr="006368AE">
        <w:t>.</w:t>
      </w:r>
      <w:r w:rsidR="009920DE">
        <w:t>38</w:t>
      </w:r>
      <w:r w:rsidRPr="006368AE">
        <w:t xml:space="preserve"> impact on the Council tax.  This does not include the effect of any new capital projects started in 20</w:t>
      </w:r>
      <w:r w:rsidR="002B4DE4" w:rsidRPr="006368AE">
        <w:t>1</w:t>
      </w:r>
      <w:r w:rsidR="00B46305">
        <w:t>9</w:t>
      </w:r>
      <w:r w:rsidRPr="006368AE">
        <w:t>/</w:t>
      </w:r>
      <w:r w:rsidR="00B46305">
        <w:t>20</w:t>
      </w:r>
      <w:r w:rsidRPr="006368AE">
        <w:t xml:space="preserve"> or later.</w:t>
      </w:r>
    </w:p>
    <w:p w:rsidR="00B96F0E" w:rsidRPr="006368AE" w:rsidRDefault="00B96F0E" w:rsidP="002B6A1D">
      <w:pPr>
        <w:pStyle w:val="Heading2"/>
        <w:rPr>
          <w:lang w:val="en-GB"/>
        </w:rPr>
      </w:pPr>
      <w:r w:rsidRPr="006368AE">
        <w:rPr>
          <w:lang w:val="en-GB"/>
        </w:rPr>
        <w:t>Ratio of financing costs to net revenue stream</w:t>
      </w:r>
    </w:p>
    <w:p w:rsidR="00B96F0E" w:rsidRPr="006368AE" w:rsidRDefault="00B96F0E" w:rsidP="006777F4">
      <w:pPr>
        <w:pStyle w:val="BodyText2"/>
      </w:pPr>
      <w:r w:rsidRPr="006368AE">
        <w:t>Estimates of the ratio of financing costs to budget requirement for the current and future years and the actual figures for 20</w:t>
      </w:r>
      <w:r w:rsidR="00044F76" w:rsidRPr="006368AE">
        <w:t>1</w:t>
      </w:r>
      <w:r w:rsidR="00B46305">
        <w:t>8</w:t>
      </w:r>
      <w:r w:rsidRPr="006368AE">
        <w:t>/</w:t>
      </w:r>
      <w:r w:rsidR="00EB752E" w:rsidRPr="006368AE">
        <w:t>1</w:t>
      </w:r>
      <w:r w:rsidR="00B46305">
        <w:t>9</w:t>
      </w:r>
      <w:r w:rsidRPr="006368AE">
        <w:t xml:space="preserve"> are:-</w:t>
      </w:r>
    </w:p>
    <w:p w:rsidR="00B96F0E" w:rsidRPr="006368AE" w:rsidRDefault="00AB1242" w:rsidP="00406393">
      <w:pPr>
        <w:pStyle w:val="StyleBodyText3Centered"/>
        <w:rPr>
          <w:lang w:val="en-GB"/>
        </w:rPr>
      </w:pPr>
      <w:r>
        <w:rPr>
          <w:lang w:val="en-GB"/>
        </w:rPr>
        <w:pict>
          <v:shape id="_x0000_i1030" type="#_x0000_t75" style="width:429.75pt;height:75pt">
            <v:imagedata r:id="rId14" o:title=""/>
          </v:shape>
        </w:pict>
      </w:r>
    </w:p>
    <w:p w:rsidR="00B96F0E" w:rsidRPr="006368AE" w:rsidRDefault="00B96F0E" w:rsidP="006777F4">
      <w:pPr>
        <w:pStyle w:val="BodyText2"/>
      </w:pPr>
      <w:r w:rsidRPr="006368AE">
        <w:t xml:space="preserve">The estimates include interest payable and receivable, and the amounts required for the repayment of external loans.  Net revenue streams represent the amounts to be met from government grants and local taxpayers.  </w:t>
      </w:r>
    </w:p>
    <w:p w:rsidR="00B96F0E" w:rsidRPr="006368AE" w:rsidRDefault="00213F32" w:rsidP="002B6A1D">
      <w:pPr>
        <w:pStyle w:val="Heading2"/>
        <w:rPr>
          <w:lang w:val="en-GB"/>
        </w:rPr>
      </w:pPr>
      <w:r w:rsidRPr="006368AE">
        <w:rPr>
          <w:lang w:val="en-GB"/>
        </w:rPr>
        <w:t>borrowing</w:t>
      </w:r>
    </w:p>
    <w:p w:rsidR="00B96F0E" w:rsidRPr="006368AE" w:rsidRDefault="00B96F0E" w:rsidP="006777F4">
      <w:pPr>
        <w:pStyle w:val="BodyText2"/>
        <w:rPr>
          <w:snapToGrid w:val="0"/>
        </w:rPr>
      </w:pPr>
      <w:r w:rsidRPr="006368AE">
        <w:rPr>
          <w:rStyle w:val="StyleArialChar"/>
        </w:rPr>
        <w:t xml:space="preserve">The </w:t>
      </w:r>
      <w:r w:rsidR="00213F32" w:rsidRPr="006368AE">
        <w:rPr>
          <w:rStyle w:val="StyleArialChar"/>
        </w:rPr>
        <w:t xml:space="preserve">capital expenditure plans set out earlier provide details of the service activity of the </w:t>
      </w:r>
      <w:r w:rsidR="007A4817">
        <w:rPr>
          <w:rStyle w:val="StyleArialChar"/>
        </w:rPr>
        <w:t>Commissioner</w:t>
      </w:r>
      <w:r w:rsidR="00213F32" w:rsidRPr="006368AE">
        <w:rPr>
          <w:rStyle w:val="StyleArialChar"/>
        </w:rPr>
        <w:t xml:space="preserve">. The treasury management function ensures that the </w:t>
      </w:r>
      <w:r w:rsidR="007A4817">
        <w:rPr>
          <w:rStyle w:val="StyleArialChar"/>
        </w:rPr>
        <w:t>Commissioner</w:t>
      </w:r>
      <w:r w:rsidR="00213F32" w:rsidRPr="006368AE">
        <w:rPr>
          <w:rStyle w:val="StyleArialChar"/>
        </w:rPr>
        <w:t>’s cash is organised in accordance with the relevant professional codes, so that sufficient cash is available to meet this service activity. This will involve both the organisation of the cash flow and, where capital plans require, the organisation of appropriate borrowing facilities. The strategy covers the relevant treasury</w:t>
      </w:r>
      <w:r w:rsidR="00E66DB0" w:rsidRPr="006368AE">
        <w:rPr>
          <w:rStyle w:val="StyleArialChar"/>
        </w:rPr>
        <w:t xml:space="preserve"> or capital financing</w:t>
      </w:r>
      <w:r w:rsidR="00213F32" w:rsidRPr="006368AE">
        <w:rPr>
          <w:rStyle w:val="StyleArialChar"/>
        </w:rPr>
        <w:t xml:space="preserve"> indicators, the current and projected debt positions and the annual investment strategy.</w:t>
      </w:r>
    </w:p>
    <w:p w:rsidR="00B96F0E" w:rsidRPr="006368AE" w:rsidRDefault="00213F32" w:rsidP="002B6A1D">
      <w:pPr>
        <w:pStyle w:val="Heading2"/>
        <w:rPr>
          <w:lang w:val="en-GB"/>
        </w:rPr>
      </w:pPr>
      <w:r w:rsidRPr="006368AE">
        <w:rPr>
          <w:lang w:val="en-GB"/>
        </w:rPr>
        <w:t>Current portfolio position</w:t>
      </w:r>
    </w:p>
    <w:p w:rsidR="00213F32" w:rsidRPr="006368AE" w:rsidRDefault="00213F32" w:rsidP="006777F4">
      <w:pPr>
        <w:pStyle w:val="BodyText2"/>
      </w:pPr>
      <w:r w:rsidRPr="006368AE">
        <w:t xml:space="preserve">The </w:t>
      </w:r>
      <w:r w:rsidR="007A4817">
        <w:t>Commissioner</w:t>
      </w:r>
      <w:r w:rsidRPr="006368AE">
        <w:t>’s tre</w:t>
      </w:r>
      <w:r w:rsidR="00B7042E" w:rsidRPr="006368AE">
        <w:t>asury portfolio position at 31 M</w:t>
      </w:r>
      <w:r w:rsidRPr="006368AE">
        <w:t>arch 201</w:t>
      </w:r>
      <w:r w:rsidR="00B46305">
        <w:t>9</w:t>
      </w:r>
      <w:r w:rsidRPr="006368AE">
        <w:t xml:space="preserve">, with forward projections are summarised below. The table shows the actual external debt (the treasury management operations), </w:t>
      </w:r>
      <w:r w:rsidR="00147AF8" w:rsidRPr="006368AE">
        <w:t>against the underlying capital borrowing need (the Capital Financing Requirement – CFR), highlighting any over or under borrowing.</w:t>
      </w:r>
    </w:p>
    <w:p w:rsidR="00191A33" w:rsidRPr="006368AE" w:rsidRDefault="00AB1242" w:rsidP="00C57A70">
      <w:pPr>
        <w:pStyle w:val="StyleBodyText3Centered"/>
      </w:pPr>
      <w:r>
        <w:rPr>
          <w:noProof/>
          <w:lang w:val="en-GB" w:eastAsia="en-GB"/>
        </w:rPr>
        <w:pict>
          <v:shape id="_x0000_i1031" type="#_x0000_t75" style="width:429.75pt;height:102.75pt">
            <v:imagedata r:id="rId15" o:title=""/>
          </v:shape>
        </w:pict>
      </w:r>
    </w:p>
    <w:p w:rsidR="009A1A83" w:rsidRPr="006368AE" w:rsidRDefault="004C00F3" w:rsidP="006777F4">
      <w:pPr>
        <w:pStyle w:val="BodyText2"/>
      </w:pPr>
      <w:r w:rsidRPr="006368AE">
        <w:lastRenderedPageBreak/>
        <w:t xml:space="preserve">Within the </w:t>
      </w:r>
      <w:r w:rsidR="00E66DB0" w:rsidRPr="006368AE">
        <w:t xml:space="preserve">capital financing </w:t>
      </w:r>
      <w:r w:rsidRPr="006368AE">
        <w:t xml:space="preserve">indicators there are a number of key indicators to ensure that the </w:t>
      </w:r>
      <w:r w:rsidR="007A4817">
        <w:t>Commissioner</w:t>
      </w:r>
      <w:r w:rsidRPr="006368AE">
        <w:t xml:space="preserve"> operates its activities within </w:t>
      </w:r>
      <w:r w:rsidR="0011304F" w:rsidRPr="006368AE">
        <w:t>well-defined</w:t>
      </w:r>
      <w:r w:rsidRPr="006368AE">
        <w:t xml:space="preserve"> limits. One of these is that the </w:t>
      </w:r>
      <w:r w:rsidR="007A4817">
        <w:t>Commissioner</w:t>
      </w:r>
      <w:r w:rsidRPr="006368AE">
        <w:t xml:space="preserve"> needs to ensure that its gross debt does not, except in the short term, exceed the total of the CFR in the preceding year plus the estimates of any additional CFR for 201</w:t>
      </w:r>
      <w:r w:rsidR="00B46305">
        <w:t>9</w:t>
      </w:r>
      <w:r w:rsidRPr="006368AE">
        <w:t>/</w:t>
      </w:r>
      <w:r w:rsidR="00B46305">
        <w:t>20</w:t>
      </w:r>
      <w:r w:rsidRPr="006368AE">
        <w:t xml:space="preserve"> and the following two financial years.</w:t>
      </w:r>
      <w:r w:rsidR="00191A33" w:rsidRPr="006368AE">
        <w:t xml:space="preserve"> This allows some flexibility for limited early borrowing for future years, but ensures that borrowing is not undertaken for revenue purposes.</w:t>
      </w:r>
    </w:p>
    <w:p w:rsidR="00191A33" w:rsidRPr="006368AE" w:rsidRDefault="00191A33" w:rsidP="006777F4">
      <w:pPr>
        <w:pStyle w:val="BodyText2"/>
      </w:pPr>
      <w:r w:rsidRPr="00C22262">
        <w:t xml:space="preserve">The </w:t>
      </w:r>
      <w:r w:rsidR="007A4817" w:rsidRPr="00C22262">
        <w:t>Commissioner</w:t>
      </w:r>
      <w:r w:rsidRPr="00C22262">
        <w:t xml:space="preserve"> </w:t>
      </w:r>
      <w:r w:rsidR="00E66DB0" w:rsidRPr="00C22262">
        <w:t>met</w:t>
      </w:r>
      <w:r w:rsidRPr="00C22262">
        <w:t xml:space="preserve"> this </w:t>
      </w:r>
      <w:r w:rsidR="00E66DB0" w:rsidRPr="00C22262">
        <w:t>capital financing</w:t>
      </w:r>
      <w:r w:rsidRPr="00C22262">
        <w:t xml:space="preserve"> indicator </w:t>
      </w:r>
      <w:r w:rsidR="00E66DB0" w:rsidRPr="00C22262">
        <w:t>at 31 March 201</w:t>
      </w:r>
      <w:r w:rsidR="00B46305" w:rsidRPr="00C22262">
        <w:t>8</w:t>
      </w:r>
      <w:r w:rsidR="00E66DB0" w:rsidRPr="00C22262">
        <w:t xml:space="preserve"> and expects to meet it at 31 March 201</w:t>
      </w:r>
      <w:r w:rsidR="00B46305" w:rsidRPr="00C22262">
        <w:t>9</w:t>
      </w:r>
      <w:r w:rsidR="00E66DB0" w:rsidRPr="00C22262">
        <w:t xml:space="preserve">.  Present PWLB rules mean that there is no advantage to the </w:t>
      </w:r>
      <w:r w:rsidR="007A4817" w:rsidRPr="00C22262">
        <w:t>Commissioner</w:t>
      </w:r>
      <w:r w:rsidR="00E66DB0" w:rsidRPr="00C22262">
        <w:t xml:space="preserve"> in repaying debt early and so the present cash surplus is expected to remain for </w:t>
      </w:r>
      <w:r w:rsidR="007A4817" w:rsidRPr="00C22262">
        <w:t>201</w:t>
      </w:r>
      <w:r w:rsidR="00B46305" w:rsidRPr="00C22262">
        <w:t>9</w:t>
      </w:r>
      <w:r w:rsidR="007A4817" w:rsidRPr="00C22262">
        <w:t>/</w:t>
      </w:r>
      <w:r w:rsidR="00B46305" w:rsidRPr="00C22262">
        <w:t>20</w:t>
      </w:r>
      <w:r w:rsidR="00E66DB0" w:rsidRPr="00C22262">
        <w:t>.</w:t>
      </w:r>
    </w:p>
    <w:p w:rsidR="00B73E61" w:rsidRPr="006368AE" w:rsidRDefault="00BB5CAB" w:rsidP="00B73E61">
      <w:pPr>
        <w:pStyle w:val="Heading2"/>
        <w:rPr>
          <w:lang w:val="en-GB"/>
        </w:rPr>
      </w:pPr>
      <w:r w:rsidRPr="006368AE">
        <w:rPr>
          <w:lang w:val="en-GB"/>
        </w:rPr>
        <w:t>t</w:t>
      </w:r>
      <w:r w:rsidR="00147AF8" w:rsidRPr="006368AE">
        <w:rPr>
          <w:lang w:val="en-GB"/>
        </w:rPr>
        <w:t xml:space="preserve">reasury indicators: </w:t>
      </w:r>
      <w:r w:rsidR="005742FA" w:rsidRPr="006368AE">
        <w:rPr>
          <w:lang w:val="en-GB"/>
        </w:rPr>
        <w:t>limits to borrowing activity</w:t>
      </w:r>
    </w:p>
    <w:p w:rsidR="00B73E61" w:rsidRPr="006368AE" w:rsidRDefault="00B73E61" w:rsidP="006777F4">
      <w:pPr>
        <w:pStyle w:val="BodyText2"/>
      </w:pPr>
      <w:r w:rsidRPr="006368AE">
        <w:t xml:space="preserve">In respect of its external debt, it is recommended that the </w:t>
      </w:r>
      <w:r w:rsidR="007A4817">
        <w:t>Commissioner</w:t>
      </w:r>
      <w:r w:rsidRPr="006368AE">
        <w:t xml:space="preserve"> approves the following authorised limits for its total external debt gross of investments for the next three financial years, and agrees the continuation of the current year’s limit as no amendment is necessary.  These limits separately identify borrowing from other long-term liabilities, such as finance leases.  The </w:t>
      </w:r>
      <w:r w:rsidR="007A4817">
        <w:t>Commissioner</w:t>
      </w:r>
      <w:r w:rsidRPr="006368AE">
        <w:t xml:space="preserve"> is asked to approve these limits.  </w:t>
      </w:r>
    </w:p>
    <w:p w:rsidR="00B73E61" w:rsidRPr="006368AE" w:rsidRDefault="00AB1242" w:rsidP="00406393">
      <w:pPr>
        <w:pStyle w:val="StyleBodyText3Centered"/>
        <w:rPr>
          <w:lang w:val="en-GB"/>
        </w:rPr>
      </w:pPr>
      <w:r>
        <w:rPr>
          <w:noProof/>
          <w:lang w:val="en-GB" w:eastAsia="en-GB"/>
        </w:rPr>
        <w:pict>
          <v:shape id="_x0000_i1032" type="#_x0000_t75" style="width:274.5pt;height:63pt">
            <v:imagedata r:id="rId16" o:title=""/>
          </v:shape>
        </w:pict>
      </w:r>
    </w:p>
    <w:p w:rsidR="00B73E61" w:rsidRPr="006368AE" w:rsidRDefault="00B73E61" w:rsidP="006777F4">
      <w:pPr>
        <w:pStyle w:val="BodyText2"/>
      </w:pPr>
      <w:r w:rsidRPr="006368AE">
        <w:t>The recommended limits are based upon the estimate of most likely, prudent, but not worst-case scenario, with sufficient headroom for fluctuations in cash balances.  Risk analysis and risk management strategies have been taken into account, as have plans for capital expenditure, estimates of the CFR and estimates of cash flow requirements for all purposes.</w:t>
      </w:r>
    </w:p>
    <w:p w:rsidR="00B73E61" w:rsidRPr="006368AE" w:rsidRDefault="00FB531A" w:rsidP="006777F4">
      <w:pPr>
        <w:pStyle w:val="BodyText2"/>
      </w:pPr>
      <w:r w:rsidRPr="006368AE">
        <w:t xml:space="preserve">The </w:t>
      </w:r>
      <w:r w:rsidR="007A4817">
        <w:t>Commissioner</w:t>
      </w:r>
      <w:r w:rsidR="00B73E61" w:rsidRPr="006368AE">
        <w:t xml:space="preserve"> is also asked to approve the following operational boundary for external debt for the same time period.  The proposed operational boundary is based on the same estimates as the authorised limit, but reflects directly </w:t>
      </w:r>
      <w:r w:rsidR="00B73E61" w:rsidRPr="001E419D">
        <w:t xml:space="preserve">the </w:t>
      </w:r>
      <w:r w:rsidR="001E419D">
        <w:t>Chief Finance Officer’s</w:t>
      </w:r>
      <w:r w:rsidR="00B73E61" w:rsidRPr="006368AE">
        <w:t xml:space="preserve"> estimate of the most likely, prudent, but not worst case scenario, without the additional headroom included within the authorised limit to allow for unusual cash flow movements, and equates to the maximum external debt projected by this estimate.  The operational boundary represents a key management tool fo</w:t>
      </w:r>
      <w:r w:rsidR="0082769E" w:rsidRPr="006368AE">
        <w:t xml:space="preserve">r monitoring by </w:t>
      </w:r>
      <w:r w:rsidR="001E419D">
        <w:t>the Chief Finance Officer</w:t>
      </w:r>
      <w:r w:rsidR="0082769E" w:rsidRPr="006368AE">
        <w:t>.</w:t>
      </w:r>
    </w:p>
    <w:p w:rsidR="00B73E61" w:rsidRPr="006368AE" w:rsidRDefault="00AB1242" w:rsidP="00406393">
      <w:pPr>
        <w:pStyle w:val="StyleBodyText3Centered"/>
        <w:rPr>
          <w:lang w:val="en-GB"/>
        </w:rPr>
      </w:pPr>
      <w:r>
        <w:rPr>
          <w:noProof/>
          <w:lang w:val="en-GB" w:eastAsia="en-GB"/>
        </w:rPr>
        <w:pict>
          <v:shape id="_x0000_i1033" type="#_x0000_t75" style="width:274.5pt;height:63pt">
            <v:imagedata r:id="rId17" o:title=""/>
          </v:shape>
        </w:pict>
      </w:r>
    </w:p>
    <w:p w:rsidR="00636B78" w:rsidRDefault="00636B78" w:rsidP="006777F4">
      <w:pPr>
        <w:pStyle w:val="BodyText2"/>
      </w:pPr>
    </w:p>
    <w:p w:rsidR="00636B78" w:rsidRDefault="00636B78" w:rsidP="006777F4">
      <w:pPr>
        <w:pStyle w:val="BodyText2"/>
      </w:pPr>
    </w:p>
    <w:p w:rsidR="00636B78" w:rsidRDefault="00636B78" w:rsidP="006777F4">
      <w:pPr>
        <w:pStyle w:val="BodyText2"/>
      </w:pPr>
    </w:p>
    <w:p w:rsidR="00636B78" w:rsidRDefault="00636B78" w:rsidP="006777F4">
      <w:pPr>
        <w:pStyle w:val="BodyText2"/>
      </w:pPr>
    </w:p>
    <w:p w:rsidR="00636B78" w:rsidRDefault="00636B78" w:rsidP="006777F4">
      <w:pPr>
        <w:pStyle w:val="BodyText2"/>
      </w:pPr>
    </w:p>
    <w:p w:rsidR="00B73E61" w:rsidRDefault="00FB531A" w:rsidP="006777F4">
      <w:pPr>
        <w:pStyle w:val="BodyText2"/>
      </w:pPr>
      <w:r w:rsidRPr="006368AE">
        <w:t xml:space="preserve">The </w:t>
      </w:r>
      <w:r w:rsidR="007A4817">
        <w:t>Commissioner</w:t>
      </w:r>
      <w:r w:rsidR="00B8770C">
        <w:t xml:space="preserve"> has remained </w:t>
      </w:r>
      <w:r w:rsidR="00B73E61" w:rsidRPr="006368AE">
        <w:t>within the operational limit during 201</w:t>
      </w:r>
      <w:r w:rsidR="00AE7576">
        <w:t>8</w:t>
      </w:r>
      <w:r w:rsidR="00B73E61" w:rsidRPr="006368AE">
        <w:t>/1</w:t>
      </w:r>
      <w:r w:rsidR="00AE7576">
        <w:t>9</w:t>
      </w:r>
      <w:r w:rsidR="00B73E61" w:rsidRPr="006368AE">
        <w:t xml:space="preserve"> as shown in the graph below which outlines the </w:t>
      </w:r>
      <w:r w:rsidR="007A4817">
        <w:t>Commissioner</w:t>
      </w:r>
      <w:r w:rsidR="00B73E61" w:rsidRPr="006368AE">
        <w:t>’s total external debt compared to the operational and authorised limits. The act</w:t>
      </w:r>
      <w:r w:rsidR="00F97F91">
        <w:t>u</w:t>
      </w:r>
      <w:r w:rsidR="00AE7576">
        <w:t>al level of borrowing at 31 Decem</w:t>
      </w:r>
      <w:r w:rsidR="00B73E61" w:rsidRPr="006368AE">
        <w:t>ber 201</w:t>
      </w:r>
      <w:r w:rsidR="00AE7576">
        <w:t>8</w:t>
      </w:r>
      <w:r w:rsidR="00B73E61" w:rsidRPr="006368AE">
        <w:t xml:space="preserve"> was </w:t>
      </w:r>
      <w:r w:rsidR="00B73E61" w:rsidRPr="006368AE">
        <w:rPr>
          <w:b/>
        </w:rPr>
        <w:t>£</w:t>
      </w:r>
      <w:r w:rsidR="001719CF">
        <w:rPr>
          <w:b/>
        </w:rPr>
        <w:t>28</w:t>
      </w:r>
      <w:r w:rsidR="00B73E61" w:rsidRPr="006368AE">
        <w:rPr>
          <w:b/>
        </w:rPr>
        <w:t>.</w:t>
      </w:r>
      <w:r w:rsidR="001719CF">
        <w:rPr>
          <w:b/>
        </w:rPr>
        <w:t>0</w:t>
      </w:r>
      <w:r w:rsidR="00B73E61" w:rsidRPr="006368AE">
        <w:rPr>
          <w:b/>
        </w:rPr>
        <w:t>m</w:t>
      </w:r>
      <w:r w:rsidR="00B73E61" w:rsidRPr="006368AE">
        <w:t>.</w:t>
      </w:r>
    </w:p>
    <w:p w:rsidR="00636B78" w:rsidRPr="006368AE" w:rsidRDefault="00AB1242" w:rsidP="006777F4">
      <w:pPr>
        <w:pStyle w:val="BodyText2"/>
      </w:pPr>
      <w:r>
        <w:pict>
          <v:shape id="_x0000_i1034" type="#_x0000_t75" style="width:455.25pt;height:282.75pt">
            <v:imagedata r:id="rId18" o:title=""/>
          </v:shape>
        </w:pict>
      </w:r>
    </w:p>
    <w:p w:rsidR="00B96F0E" w:rsidRPr="006368AE" w:rsidRDefault="009D7DC6" w:rsidP="003F6B9E">
      <w:pPr>
        <w:pStyle w:val="Heading2"/>
        <w:rPr>
          <w:lang w:val="en-GB"/>
        </w:rPr>
      </w:pPr>
      <w:r w:rsidRPr="006368AE">
        <w:rPr>
          <w:lang w:val="en-GB"/>
        </w:rPr>
        <w:t>Borrowing Strategy</w:t>
      </w:r>
    </w:p>
    <w:p w:rsidR="009D7DC6" w:rsidRPr="006368AE" w:rsidRDefault="009D7DC6" w:rsidP="006777F4">
      <w:pPr>
        <w:pStyle w:val="BodyText2"/>
      </w:pPr>
      <w:r w:rsidRPr="006368AE">
        <w:t xml:space="preserve">The </w:t>
      </w:r>
      <w:r w:rsidR="007A4817">
        <w:t>Commissioner</w:t>
      </w:r>
      <w:r w:rsidRPr="006368AE">
        <w:t xml:space="preserve"> is currently maintaining an </w:t>
      </w:r>
      <w:r w:rsidR="00BA47C6">
        <w:t>und</w:t>
      </w:r>
      <w:r w:rsidR="00754B50">
        <w:t>er-</w:t>
      </w:r>
      <w:r w:rsidRPr="006368AE">
        <w:t>borrowed position.  This means that the capital borrowing need (the Capital Financing Requirement), has</w:t>
      </w:r>
      <w:r w:rsidR="00BA47C6">
        <w:t xml:space="preserve"> not</w:t>
      </w:r>
      <w:r w:rsidRPr="006368AE">
        <w:t xml:space="preserve"> been fully funded with loan debt </w:t>
      </w:r>
      <w:r w:rsidR="00BA47C6">
        <w:t xml:space="preserve">as </w:t>
      </w:r>
      <w:r w:rsidRPr="006368AE">
        <w:t xml:space="preserve">cash </w:t>
      </w:r>
      <w:r w:rsidR="00BA47C6">
        <w:t>supporting</w:t>
      </w:r>
      <w:r w:rsidRPr="006368AE">
        <w:t xml:space="preserve"> the </w:t>
      </w:r>
      <w:r w:rsidR="007A4817">
        <w:t>Commissioner</w:t>
      </w:r>
      <w:r w:rsidRPr="006368AE">
        <w:t>’s reserves</w:t>
      </w:r>
      <w:r w:rsidR="00BA47C6">
        <w:t>, balances and cash flow has been used as a temporary measure</w:t>
      </w:r>
      <w:r w:rsidR="00754B50">
        <w:t xml:space="preserve">. </w:t>
      </w:r>
      <w:r w:rsidR="00BA47C6">
        <w:t xml:space="preserve">This strategy is prudent as investment returns are low and counterparty risk is </w:t>
      </w:r>
      <w:r w:rsidR="005C54E9">
        <w:t xml:space="preserve">relatively </w:t>
      </w:r>
      <w:r w:rsidR="00BA47C6">
        <w:t>high.</w:t>
      </w:r>
      <w:r w:rsidR="00754B50">
        <w:t xml:space="preserve"> </w:t>
      </w:r>
    </w:p>
    <w:p w:rsidR="009D7DC6" w:rsidRPr="006368AE" w:rsidRDefault="009D7DC6" w:rsidP="006777F4">
      <w:pPr>
        <w:pStyle w:val="BodyText2"/>
      </w:pPr>
      <w:r w:rsidRPr="006368AE">
        <w:t>Against this background and the risks within the economic forecast, caution will be adopted with the 201</w:t>
      </w:r>
      <w:r w:rsidR="00432F8D">
        <w:t>9</w:t>
      </w:r>
      <w:r w:rsidRPr="006368AE">
        <w:t>/</w:t>
      </w:r>
      <w:r w:rsidR="00432F8D">
        <w:t>20</w:t>
      </w:r>
      <w:r w:rsidRPr="006368AE">
        <w:t xml:space="preserve"> treasury operations.  </w:t>
      </w:r>
      <w:r w:rsidR="001E419D">
        <w:t xml:space="preserve">The Chief </w:t>
      </w:r>
      <w:r w:rsidR="0032649D" w:rsidRPr="001E419D">
        <w:t>Finance</w:t>
      </w:r>
      <w:r w:rsidR="0032649D" w:rsidRPr="006368AE">
        <w:t xml:space="preserve"> </w:t>
      </w:r>
      <w:r w:rsidR="001E419D">
        <w:t xml:space="preserve">Officer </w:t>
      </w:r>
      <w:r w:rsidR="0032649D" w:rsidRPr="006368AE">
        <w:t xml:space="preserve">will monitor </w:t>
      </w:r>
      <w:r w:rsidRPr="006368AE">
        <w:t>interest rates in financial markets and adopt a pragmatic app</w:t>
      </w:r>
      <w:r w:rsidR="00754B50">
        <w:t>roach to changing circumstances.</w:t>
      </w:r>
    </w:p>
    <w:p w:rsidR="00B96F0E" w:rsidRPr="006368AE" w:rsidRDefault="00687F1B" w:rsidP="002B6A1D">
      <w:pPr>
        <w:pStyle w:val="Heading2"/>
        <w:rPr>
          <w:lang w:val="en-GB"/>
        </w:rPr>
      </w:pPr>
      <w:r w:rsidRPr="006368AE">
        <w:rPr>
          <w:lang w:val="en-GB"/>
        </w:rPr>
        <w:t>Treasury Management Limits on A</w:t>
      </w:r>
      <w:r w:rsidR="00B73E61" w:rsidRPr="006368AE">
        <w:rPr>
          <w:lang w:val="en-GB"/>
        </w:rPr>
        <w:t>ctivity</w:t>
      </w:r>
    </w:p>
    <w:p w:rsidR="00B96F0E" w:rsidRPr="006368AE" w:rsidRDefault="00B96F0E" w:rsidP="006777F4">
      <w:pPr>
        <w:pStyle w:val="BodyText2"/>
      </w:pPr>
      <w:r w:rsidRPr="006368AE">
        <w:t>It is furt</w:t>
      </w:r>
      <w:r w:rsidR="007D4E13" w:rsidRPr="006368AE">
        <w:t xml:space="preserve">her recommended that the </w:t>
      </w:r>
      <w:r w:rsidR="007A4817">
        <w:t>Commissioner</w:t>
      </w:r>
      <w:r w:rsidRPr="006368AE">
        <w:t xml:space="preserve"> set upper and lower limits for the maturity structure of its borrowings.  The proposed limits are calculated as the projected amount of fixed borrowing that is maturing in each period, as a percentage of the total projected borrowing that is fixed rate.  The </w:t>
      </w:r>
      <w:r w:rsidR="007A4817">
        <w:t>Commissioner</w:t>
      </w:r>
      <w:r w:rsidRPr="006368AE">
        <w:t xml:space="preserve"> is recommended to set a lower limit of 0% for all years.</w:t>
      </w:r>
    </w:p>
    <w:p w:rsidR="00B96F0E" w:rsidRPr="006368AE" w:rsidRDefault="00AB1242" w:rsidP="00406393">
      <w:pPr>
        <w:pStyle w:val="StyleBodyText3Centered"/>
        <w:rPr>
          <w:lang w:val="en-GB"/>
        </w:rPr>
      </w:pPr>
      <w:r>
        <w:rPr>
          <w:noProof/>
          <w:lang w:val="en-GB" w:eastAsia="en-GB"/>
        </w:rPr>
        <w:pict>
          <v:shape id="_x0000_i1035" type="#_x0000_t75" style="width:386.25pt;height:138.75pt">
            <v:imagedata r:id="rId19" o:title=""/>
          </v:shape>
        </w:pict>
      </w:r>
    </w:p>
    <w:p w:rsidR="00B96F0E" w:rsidRPr="006368AE" w:rsidRDefault="00B96F0E" w:rsidP="006777F4">
      <w:pPr>
        <w:pStyle w:val="BodyText2"/>
      </w:pPr>
      <w:r w:rsidRPr="006368AE">
        <w:t xml:space="preserve">The </w:t>
      </w:r>
      <w:r w:rsidR="007A4817">
        <w:t>Commissioner</w:t>
      </w:r>
      <w:r w:rsidRPr="006368AE">
        <w:t xml:space="preserve"> is in no danger of exceeding the maturity profile upper limit in </w:t>
      </w:r>
      <w:r w:rsidR="007C09E5" w:rsidRPr="006368AE">
        <w:t>20</w:t>
      </w:r>
      <w:r w:rsidR="00163C69" w:rsidRPr="006368AE">
        <w:t>1</w:t>
      </w:r>
      <w:r w:rsidR="00432F8D">
        <w:t>8</w:t>
      </w:r>
      <w:r w:rsidR="007C09E5" w:rsidRPr="006368AE">
        <w:t>/1</w:t>
      </w:r>
      <w:r w:rsidR="00432F8D">
        <w:t>9</w:t>
      </w:r>
      <w:r w:rsidRPr="006368AE">
        <w:t>.</w:t>
      </w:r>
    </w:p>
    <w:p w:rsidR="00B05C73" w:rsidRPr="006368AE" w:rsidRDefault="00B05C73" w:rsidP="002B6A1D">
      <w:pPr>
        <w:pStyle w:val="Heading2"/>
        <w:rPr>
          <w:lang w:val="en-GB"/>
        </w:rPr>
      </w:pPr>
      <w:r w:rsidRPr="006368AE">
        <w:rPr>
          <w:lang w:val="en-GB"/>
        </w:rPr>
        <w:t>Policy on Borrowing in Advance of Need</w:t>
      </w:r>
    </w:p>
    <w:p w:rsidR="00A63515" w:rsidRPr="006368AE" w:rsidRDefault="00413FC5" w:rsidP="006777F4">
      <w:pPr>
        <w:pStyle w:val="BodyText2"/>
      </w:pPr>
      <w:r w:rsidRPr="006368AE">
        <w:t xml:space="preserve">The </w:t>
      </w:r>
      <w:r w:rsidR="007A4817">
        <w:t>Commissioner</w:t>
      </w:r>
      <w:r w:rsidRPr="006368AE">
        <w:t xml:space="preserve">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w:t>
      </w:r>
      <w:r w:rsidR="007A4817">
        <w:t>Commissioner</w:t>
      </w:r>
      <w:r w:rsidRPr="006368AE">
        <w:t xml:space="preserve"> can ensure the security of such funds.</w:t>
      </w:r>
    </w:p>
    <w:p w:rsidR="00B05C73" w:rsidRPr="006368AE" w:rsidRDefault="005742FA" w:rsidP="00B05C73">
      <w:pPr>
        <w:pStyle w:val="Heading2"/>
        <w:rPr>
          <w:lang w:val="en-GB"/>
        </w:rPr>
      </w:pPr>
      <w:r w:rsidRPr="006368AE">
        <w:rPr>
          <w:lang w:val="en-GB"/>
        </w:rPr>
        <w:t>annual Investment strategy</w:t>
      </w:r>
    </w:p>
    <w:p w:rsidR="00735319" w:rsidRPr="006368AE" w:rsidRDefault="00735319" w:rsidP="006777F4">
      <w:pPr>
        <w:pStyle w:val="BodyText2"/>
      </w:pPr>
      <w:r w:rsidRPr="006368AE">
        <w:t xml:space="preserve">The </w:t>
      </w:r>
      <w:r w:rsidR="007A4817">
        <w:t>Commissioner</w:t>
      </w:r>
      <w:r w:rsidRPr="006368AE">
        <w:t xml:space="preserve">’s investment policy has regard to the </w:t>
      </w:r>
      <w:r w:rsidR="00313CDD">
        <w:t>CLG’s Guidance on Local Government Investments (“the Guidance”) and the revised CIPFA Treasury Management in Public Services Code of Practice and Cross Sectoral Guidance Notes (“the CIPFA TM Code”).</w:t>
      </w:r>
      <w:r w:rsidRPr="006368AE">
        <w:t xml:space="preserve"> The </w:t>
      </w:r>
      <w:r w:rsidR="007A4817">
        <w:t>Commissioner</w:t>
      </w:r>
      <w:r w:rsidRPr="006368AE">
        <w:t xml:space="preserve">’s investment priorities will be security first, liquidity second, </w:t>
      </w:r>
      <w:r w:rsidR="006368AE" w:rsidRPr="006368AE">
        <w:t>and then</w:t>
      </w:r>
      <w:r w:rsidRPr="006368AE">
        <w:t xml:space="preserve"> return.</w:t>
      </w:r>
    </w:p>
    <w:p w:rsidR="00A824EA" w:rsidRDefault="00735319" w:rsidP="00C500CC">
      <w:pPr>
        <w:pStyle w:val="BodyText2"/>
      </w:pPr>
      <w:r w:rsidRPr="006368AE">
        <w:t>Counterparty limits</w:t>
      </w:r>
      <w:r w:rsidR="0005508C" w:rsidRPr="006368AE">
        <w:t xml:space="preserve"> will be set through the </w:t>
      </w:r>
      <w:r w:rsidR="007A4817">
        <w:t>Commissioner</w:t>
      </w:r>
      <w:r w:rsidRPr="006368AE">
        <w:t>’s Treasury Management Practices (</w:t>
      </w:r>
      <w:r w:rsidR="004A3CA1">
        <w:t>Appendix 3</w:t>
      </w:r>
      <w:r w:rsidRPr="006368AE">
        <w:t>).</w:t>
      </w:r>
    </w:p>
    <w:p w:rsidR="003A73DB" w:rsidRPr="006368AE" w:rsidRDefault="007E2ED2" w:rsidP="00C74234">
      <w:pPr>
        <w:pStyle w:val="Heading2"/>
        <w:rPr>
          <w:lang w:val="en-GB"/>
        </w:rPr>
      </w:pPr>
      <w:r w:rsidRPr="006368AE">
        <w:rPr>
          <w:lang w:val="en-GB"/>
        </w:rPr>
        <w:t>Investment Counterparty Selection Criteria</w:t>
      </w:r>
    </w:p>
    <w:p w:rsidR="007E2ED2" w:rsidRDefault="007E2ED2" w:rsidP="006777F4">
      <w:pPr>
        <w:pStyle w:val="BodyText2"/>
      </w:pPr>
      <w:r w:rsidRPr="006368AE">
        <w:t xml:space="preserve">The primary principle governing the </w:t>
      </w:r>
      <w:r w:rsidR="007A4817">
        <w:t>Commissioner</w:t>
      </w:r>
      <w:r w:rsidRPr="006368AE">
        <w:t xml:space="preserve">’s investment criteria is the security of its investments, although the yield or return on the investment is also a key consideration. The </w:t>
      </w:r>
      <w:r w:rsidR="007A4817">
        <w:t>Commissioner</w:t>
      </w:r>
      <w:r w:rsidRPr="006368AE">
        <w:t xml:space="preserve"> will ensure that it maintains a policy covering both the categories of investment types it will invest in, criteria for choosing investment counterparties with adequate security and monitoring their security. It will also ensure that it has sufficient </w:t>
      </w:r>
      <w:r w:rsidR="00E56A4B" w:rsidRPr="006368AE">
        <w:t>liquidity in its investments.</w:t>
      </w:r>
    </w:p>
    <w:p w:rsidR="00636B78" w:rsidRDefault="00636B78" w:rsidP="006777F4">
      <w:pPr>
        <w:pStyle w:val="BodyText2"/>
      </w:pPr>
    </w:p>
    <w:p w:rsidR="00636B78" w:rsidRDefault="00636B78" w:rsidP="006777F4">
      <w:pPr>
        <w:pStyle w:val="BodyText2"/>
      </w:pPr>
    </w:p>
    <w:p w:rsidR="00636B78" w:rsidRDefault="00636B78" w:rsidP="006777F4">
      <w:pPr>
        <w:pStyle w:val="BodyText2"/>
      </w:pPr>
    </w:p>
    <w:p w:rsidR="00636B78" w:rsidRDefault="00636B78" w:rsidP="006777F4">
      <w:pPr>
        <w:pStyle w:val="BodyText2"/>
      </w:pPr>
    </w:p>
    <w:p w:rsidR="00636B78" w:rsidRDefault="00636B78" w:rsidP="006777F4">
      <w:pPr>
        <w:pStyle w:val="BodyText2"/>
      </w:pPr>
    </w:p>
    <w:p w:rsidR="00636B78" w:rsidRPr="006368AE" w:rsidRDefault="00636B78" w:rsidP="006777F4">
      <w:pPr>
        <w:pStyle w:val="BodyText2"/>
      </w:pPr>
    </w:p>
    <w:p w:rsidR="005D5EA0" w:rsidRPr="006368AE" w:rsidRDefault="00754B50" w:rsidP="005D5EA0">
      <w:pPr>
        <w:pStyle w:val="Heading2"/>
        <w:rPr>
          <w:lang w:val="en-GB"/>
        </w:rPr>
      </w:pPr>
      <w:r>
        <w:rPr>
          <w:lang w:val="en-GB"/>
        </w:rPr>
        <w:t>BORROWING</w:t>
      </w:r>
      <w:r w:rsidR="005D5EA0" w:rsidRPr="006368AE">
        <w:rPr>
          <w:lang w:val="en-GB"/>
        </w:rPr>
        <w:t xml:space="preserve"> Strategy</w:t>
      </w:r>
    </w:p>
    <w:p w:rsidR="008357A4" w:rsidRPr="006368AE" w:rsidRDefault="005D5EA0" w:rsidP="006777F4">
      <w:pPr>
        <w:pStyle w:val="BodyText2"/>
      </w:pPr>
      <w:r w:rsidRPr="006368AE">
        <w:rPr>
          <w:rStyle w:val="StyleArialChar"/>
        </w:rPr>
        <w:t>The level of long term debt at 3</w:t>
      </w:r>
      <w:r w:rsidR="00432F8D">
        <w:rPr>
          <w:rStyle w:val="StyleArialChar"/>
        </w:rPr>
        <w:t>1</w:t>
      </w:r>
      <w:r w:rsidRPr="006368AE">
        <w:rPr>
          <w:rStyle w:val="StyleArialChar"/>
        </w:rPr>
        <w:t xml:space="preserve"> </w:t>
      </w:r>
      <w:r w:rsidR="00422F28">
        <w:rPr>
          <w:rStyle w:val="StyleArialChar"/>
        </w:rPr>
        <w:t>March</w:t>
      </w:r>
      <w:r w:rsidRPr="006368AE">
        <w:rPr>
          <w:rStyle w:val="StyleArialChar"/>
        </w:rPr>
        <w:t xml:space="preserve"> 201</w:t>
      </w:r>
      <w:r w:rsidR="00422F28">
        <w:rPr>
          <w:rStyle w:val="StyleArialChar"/>
        </w:rPr>
        <w:t>9</w:t>
      </w:r>
      <w:r w:rsidRPr="006368AE">
        <w:rPr>
          <w:rStyle w:val="StyleArialChar"/>
        </w:rPr>
        <w:t xml:space="preserve"> w</w:t>
      </w:r>
      <w:r w:rsidR="00422F28">
        <w:rPr>
          <w:rStyle w:val="StyleArialChar"/>
        </w:rPr>
        <w:t>ill be</w:t>
      </w:r>
      <w:r w:rsidRPr="006368AE">
        <w:rPr>
          <w:rStyle w:val="StyleArialChar"/>
        </w:rPr>
        <w:t xml:space="preserve"> </w:t>
      </w:r>
      <w:r w:rsidRPr="006368AE">
        <w:rPr>
          <w:b/>
        </w:rPr>
        <w:t>£</w:t>
      </w:r>
      <w:r w:rsidR="005C7683">
        <w:rPr>
          <w:b/>
        </w:rPr>
        <w:t>2</w:t>
      </w:r>
      <w:r w:rsidR="00422F28">
        <w:rPr>
          <w:b/>
        </w:rPr>
        <w:t>7</w:t>
      </w:r>
      <w:r w:rsidR="009702B9" w:rsidRPr="006368AE">
        <w:rPr>
          <w:b/>
        </w:rPr>
        <w:t>.</w:t>
      </w:r>
      <w:r w:rsidR="005C7683">
        <w:rPr>
          <w:b/>
        </w:rPr>
        <w:t>0</w:t>
      </w:r>
      <w:r w:rsidRPr="006368AE">
        <w:rPr>
          <w:b/>
        </w:rPr>
        <w:t>m</w:t>
      </w:r>
      <w:r w:rsidR="005C7683">
        <w:rPr>
          <w:b/>
        </w:rPr>
        <w:t xml:space="preserve">. </w:t>
      </w:r>
      <w:r w:rsidRPr="006368AE">
        <w:t>The first graph below shows the maturity profile of all outstanding PWLB loans, and the second the cumulative profile.</w:t>
      </w:r>
    </w:p>
    <w:p w:rsidR="005D5EA0" w:rsidRPr="006368AE" w:rsidRDefault="00AB1242" w:rsidP="00406393">
      <w:pPr>
        <w:pStyle w:val="StyleBodyText3Centered"/>
        <w:rPr>
          <w:lang w:val="en-GB"/>
        </w:rPr>
      </w:pPr>
      <w:r>
        <w:rPr>
          <w:noProof/>
          <w:lang w:val="en-GB" w:eastAsia="en-GB"/>
        </w:rPr>
        <w:pict>
          <v:shape id="_x0000_i1036" type="#_x0000_t75" style="width:465pt;height:293.25pt">
            <v:imagedata r:id="rId20" o:title=""/>
          </v:shape>
        </w:pict>
      </w:r>
    </w:p>
    <w:p w:rsidR="00A01750" w:rsidRDefault="005D5EA0" w:rsidP="006777F4">
      <w:pPr>
        <w:pStyle w:val="BodyText2"/>
      </w:pPr>
      <w:r w:rsidRPr="006368AE">
        <w:t>The longest dated loan is one of £4.5m that runs until December 2034</w:t>
      </w:r>
      <w:r w:rsidR="00422F28">
        <w:t>.</w:t>
      </w:r>
    </w:p>
    <w:p w:rsidR="00AB06E5" w:rsidRPr="006368AE" w:rsidRDefault="00AB1242" w:rsidP="006777F4">
      <w:pPr>
        <w:pStyle w:val="BodyText2"/>
      </w:pPr>
      <w:r>
        <w:pict>
          <v:shape id="_x0000_i1037" type="#_x0000_t75" style="width:462pt;height:282pt">
            <v:imagedata r:id="rId21" o:title=""/>
          </v:shape>
        </w:pict>
      </w:r>
    </w:p>
    <w:p w:rsidR="005D5EA0" w:rsidRPr="006368AE" w:rsidRDefault="005D5EA0" w:rsidP="005D5EA0">
      <w:pPr>
        <w:pStyle w:val="Heading2"/>
        <w:rPr>
          <w:lang w:val="en-GB"/>
        </w:rPr>
      </w:pPr>
      <w:r w:rsidRPr="006368AE">
        <w:rPr>
          <w:lang w:val="en-GB"/>
        </w:rPr>
        <w:t>Looking forward - remainder of 201</w:t>
      </w:r>
      <w:r w:rsidR="00432F8D">
        <w:rPr>
          <w:lang w:val="en-GB"/>
        </w:rPr>
        <w:t>8</w:t>
      </w:r>
      <w:r w:rsidRPr="006368AE">
        <w:rPr>
          <w:lang w:val="en-GB"/>
        </w:rPr>
        <w:t>/1</w:t>
      </w:r>
      <w:r w:rsidR="00432F8D">
        <w:rPr>
          <w:lang w:val="en-GB"/>
        </w:rPr>
        <w:t>9</w:t>
      </w:r>
    </w:p>
    <w:p w:rsidR="005D5EA0" w:rsidRPr="006368AE" w:rsidRDefault="005D5EA0" w:rsidP="006777F4">
      <w:pPr>
        <w:pStyle w:val="BodyText2"/>
        <w:rPr>
          <w:rStyle w:val="StyleArialChar"/>
        </w:rPr>
      </w:pPr>
      <w:r w:rsidRPr="006368AE">
        <w:rPr>
          <w:rStyle w:val="StyleArialChar"/>
        </w:rPr>
        <w:t xml:space="preserve">Currently, indications are that as resources are deployed for capital expenditure there will be a reduction in cash balances during the remainder of the financial year.  </w:t>
      </w:r>
      <w:r w:rsidR="0004132F" w:rsidRPr="006368AE">
        <w:rPr>
          <w:rStyle w:val="StyleArialChar"/>
        </w:rPr>
        <w:t>Existing cash balances will be used to fund this expenditure</w:t>
      </w:r>
      <w:r w:rsidRPr="006368AE">
        <w:rPr>
          <w:rStyle w:val="StyleArialChar"/>
        </w:rPr>
        <w:t>.  Capital expenditure at 3</w:t>
      </w:r>
      <w:r w:rsidR="00432F8D">
        <w:rPr>
          <w:rStyle w:val="StyleArialChar"/>
        </w:rPr>
        <w:t>1</w:t>
      </w:r>
      <w:r w:rsidRPr="006368AE">
        <w:rPr>
          <w:rStyle w:val="StyleArialChar"/>
        </w:rPr>
        <w:t xml:space="preserve"> </w:t>
      </w:r>
      <w:r w:rsidR="00432F8D">
        <w:rPr>
          <w:rStyle w:val="StyleArialChar"/>
        </w:rPr>
        <w:t>Dec</w:t>
      </w:r>
      <w:r w:rsidR="00F97F91">
        <w:rPr>
          <w:rStyle w:val="StyleArialChar"/>
        </w:rPr>
        <w:t>e</w:t>
      </w:r>
      <w:r w:rsidRPr="006368AE">
        <w:rPr>
          <w:rStyle w:val="StyleArialChar"/>
        </w:rPr>
        <w:t xml:space="preserve">mber was </w:t>
      </w:r>
      <w:r w:rsidRPr="006368AE">
        <w:rPr>
          <w:b/>
        </w:rPr>
        <w:t>£</w:t>
      </w:r>
      <w:r w:rsidR="00B523DD">
        <w:rPr>
          <w:b/>
        </w:rPr>
        <w:t>2</w:t>
      </w:r>
      <w:r w:rsidRPr="006368AE">
        <w:rPr>
          <w:b/>
        </w:rPr>
        <w:t>.</w:t>
      </w:r>
      <w:r w:rsidR="00B523DD">
        <w:rPr>
          <w:b/>
        </w:rPr>
        <w:t>1</w:t>
      </w:r>
      <w:r w:rsidRPr="006368AE">
        <w:rPr>
          <w:b/>
        </w:rPr>
        <w:t>m</w:t>
      </w:r>
      <w:r w:rsidRPr="006368AE">
        <w:rPr>
          <w:rStyle w:val="StyleArialChar"/>
        </w:rPr>
        <w:t xml:space="preserve"> with a further </w:t>
      </w:r>
      <w:r w:rsidRPr="006368AE">
        <w:rPr>
          <w:b/>
        </w:rPr>
        <w:t>£</w:t>
      </w:r>
      <w:r w:rsidR="00B523DD">
        <w:rPr>
          <w:b/>
        </w:rPr>
        <w:t>3</w:t>
      </w:r>
      <w:r w:rsidRPr="006368AE">
        <w:rPr>
          <w:b/>
        </w:rPr>
        <w:t>.</w:t>
      </w:r>
      <w:r w:rsidR="00B523DD">
        <w:rPr>
          <w:b/>
        </w:rPr>
        <w:t>1</w:t>
      </w:r>
      <w:r w:rsidRPr="006368AE">
        <w:rPr>
          <w:b/>
        </w:rPr>
        <w:t>m</w:t>
      </w:r>
      <w:r w:rsidRPr="006368AE">
        <w:rPr>
          <w:rStyle w:val="StyleArialChar"/>
        </w:rPr>
        <w:t xml:space="preserve"> projected by year end.</w:t>
      </w:r>
    </w:p>
    <w:p w:rsidR="004A3CA1" w:rsidRDefault="004A3CA1" w:rsidP="004A3CA1">
      <w:pPr>
        <w:pStyle w:val="Heading2"/>
        <w:rPr>
          <w:lang w:val="en-GB"/>
        </w:rPr>
      </w:pPr>
      <w:r>
        <w:rPr>
          <w:lang w:val="en-GB"/>
        </w:rPr>
        <w:t>Cash FLOWS</w:t>
      </w:r>
    </w:p>
    <w:p w:rsidR="004A3CA1" w:rsidRDefault="004A3CA1" w:rsidP="004A3CA1">
      <w:pPr>
        <w:rPr>
          <w:lang w:val="en-GB"/>
        </w:rPr>
      </w:pPr>
      <w:r>
        <w:rPr>
          <w:lang w:val="en-GB"/>
        </w:rPr>
        <w:t xml:space="preserve">The table below shows the estimated future cash balances for the </w:t>
      </w:r>
      <w:r w:rsidR="007A4817">
        <w:rPr>
          <w:lang w:val="en-GB"/>
        </w:rPr>
        <w:t>Commissioner</w:t>
      </w:r>
      <w:r>
        <w:rPr>
          <w:lang w:val="en-GB"/>
        </w:rPr>
        <w:t>:</w:t>
      </w:r>
    </w:p>
    <w:p w:rsidR="004A3CA1" w:rsidRDefault="004A3CA1" w:rsidP="004A3CA1">
      <w:pPr>
        <w:rPr>
          <w:lang w:val="en-GB"/>
        </w:rPr>
      </w:pPr>
    </w:p>
    <w:p w:rsidR="004A3CA1" w:rsidRPr="00935A6B" w:rsidRDefault="00AB1242" w:rsidP="004A3CA1">
      <w:pPr>
        <w:pStyle w:val="StyleBodyText3Centered"/>
        <w:rPr>
          <w:lang w:val="en-GB"/>
        </w:rPr>
      </w:pPr>
      <w:r>
        <w:rPr>
          <w:noProof/>
          <w:lang w:val="en-GB" w:eastAsia="en-GB"/>
        </w:rPr>
        <w:pict>
          <v:shape id="_x0000_i1038" type="#_x0000_t75" style="width:383.25pt;height:106.5pt">
            <v:imagedata r:id="rId22" o:title=""/>
          </v:shape>
        </w:pict>
      </w:r>
    </w:p>
    <w:p w:rsidR="00B05C73" w:rsidRPr="006368AE" w:rsidRDefault="00B05C73" w:rsidP="00B05C73">
      <w:pPr>
        <w:pStyle w:val="Heading2"/>
        <w:rPr>
          <w:lang w:val="en-GB"/>
        </w:rPr>
      </w:pPr>
      <w:r w:rsidRPr="006368AE">
        <w:rPr>
          <w:lang w:val="en-GB"/>
        </w:rPr>
        <w:t>End of year investment report</w:t>
      </w:r>
    </w:p>
    <w:p w:rsidR="00735319" w:rsidRPr="006368AE" w:rsidRDefault="00735319" w:rsidP="006777F4">
      <w:pPr>
        <w:pStyle w:val="BodyText2"/>
      </w:pPr>
      <w:r w:rsidRPr="006368AE">
        <w:t xml:space="preserve">At the end of the financial year, the </w:t>
      </w:r>
      <w:r w:rsidR="007A4817">
        <w:t>Commissioner</w:t>
      </w:r>
      <w:r w:rsidRPr="006368AE">
        <w:t xml:space="preserve"> will report on its investment activity as part of its Annual Treasury Report.</w:t>
      </w:r>
    </w:p>
    <w:p w:rsidR="00B96F0E" w:rsidRPr="006368AE" w:rsidRDefault="00B96F0E" w:rsidP="00C65D20">
      <w:pPr>
        <w:pStyle w:val="Heading2"/>
        <w:ind w:left="0" w:firstLine="0"/>
        <w:rPr>
          <w:lang w:val="en-GB"/>
        </w:rPr>
      </w:pPr>
      <w:r w:rsidRPr="006368AE">
        <w:rPr>
          <w:lang w:val="en-GB"/>
        </w:rPr>
        <w:t>Use of Resources</w:t>
      </w:r>
    </w:p>
    <w:p w:rsidR="00B96F0E" w:rsidRPr="006368AE" w:rsidRDefault="00B96F0E" w:rsidP="006777F4">
      <w:pPr>
        <w:pStyle w:val="BodyText2"/>
      </w:pPr>
      <w:r w:rsidRPr="006368AE">
        <w:t xml:space="preserve">There are two implications for the </w:t>
      </w:r>
      <w:r w:rsidR="007A4817">
        <w:t>Commissioner</w:t>
      </w:r>
      <w:r w:rsidRPr="006368AE">
        <w:t xml:space="preserve"> regarding the use of resources and value for money implications of the approach to funding capital expenditure.  Firstly, there is the balance between utilising cash surplus generated by the </w:t>
      </w:r>
      <w:r w:rsidR="007A4817">
        <w:t>Commissioner</w:t>
      </w:r>
      <w:r w:rsidRPr="006368AE">
        <w:t xml:space="preserve"> and held as Reserves, and external borrowing.  The </w:t>
      </w:r>
      <w:r w:rsidR="007A4817">
        <w:t>Commissioner</w:t>
      </w:r>
      <w:r w:rsidRPr="006368AE">
        <w:t>’s approach to the retention of reserves is considered as part of the budget setting process.  The intention is to provide funds to enable significant fluctuations in expenditure within a budget year to be absorbed, whilst maintaining on-going expenditure funded by government grants and council tax.</w:t>
      </w:r>
    </w:p>
    <w:p w:rsidR="00B96F0E" w:rsidRPr="006368AE" w:rsidRDefault="00B96F0E" w:rsidP="006777F4">
      <w:pPr>
        <w:pStyle w:val="BodyText2"/>
      </w:pPr>
      <w:r w:rsidRPr="006368AE">
        <w:t xml:space="preserve">The cash generated as </w:t>
      </w:r>
      <w:r w:rsidR="006368AE" w:rsidRPr="006368AE">
        <w:t>reserves are</w:t>
      </w:r>
      <w:r w:rsidRPr="006368AE">
        <w:t xml:space="preserve"> used to reduce borrowings, should the reserves be need</w:t>
      </w:r>
      <w:r w:rsidR="003704E1" w:rsidRPr="006368AE">
        <w:t xml:space="preserve">ed to fund expenditure, the </w:t>
      </w:r>
      <w:r w:rsidRPr="006368AE">
        <w:t xml:space="preserve">borrowings of the </w:t>
      </w:r>
      <w:r w:rsidR="007A4817">
        <w:t>Commissioner</w:t>
      </w:r>
      <w:r w:rsidRPr="006368AE">
        <w:t xml:space="preserve"> will increase.  </w:t>
      </w:r>
    </w:p>
    <w:p w:rsidR="00B96F0E" w:rsidRPr="006368AE" w:rsidRDefault="00B96F0E" w:rsidP="006777F4">
      <w:pPr>
        <w:pStyle w:val="BodyText2"/>
      </w:pPr>
      <w:r w:rsidRPr="006368AE">
        <w:t xml:space="preserve">The second implication is in the choice of lender.  The lender of choice for the </w:t>
      </w:r>
      <w:r w:rsidR="007A4817">
        <w:t>Commissioner</w:t>
      </w:r>
      <w:r w:rsidRPr="006368AE">
        <w:t xml:space="preserve"> is the Public Works Loan Board.</w:t>
      </w:r>
      <w:r w:rsidR="003A136A" w:rsidRPr="006368AE">
        <w:t xml:space="preserve"> </w:t>
      </w:r>
      <w:r w:rsidRPr="006368AE">
        <w:t xml:space="preserve"> </w:t>
      </w:r>
    </w:p>
    <w:p w:rsidR="00C74234" w:rsidRPr="006368AE" w:rsidRDefault="00FA7919" w:rsidP="00FA0DEF">
      <w:pPr>
        <w:pStyle w:val="Heading2"/>
      </w:pPr>
      <w:r>
        <w:t>EQUALITY</w:t>
      </w:r>
      <w:r w:rsidR="005474B5">
        <w:t xml:space="preserve"> AND DIVERSITY</w:t>
      </w:r>
      <w:r>
        <w:t xml:space="preserve"> IMPLICATIONS</w:t>
      </w:r>
    </w:p>
    <w:p w:rsidR="004A3CA1" w:rsidRDefault="00B24009" w:rsidP="006777F4">
      <w:pPr>
        <w:pStyle w:val="BodyText2"/>
      </w:pPr>
      <w:r w:rsidRPr="006368AE">
        <w:t>There are no Equality Implications arising from this report.</w:t>
      </w:r>
    </w:p>
    <w:p w:rsidR="005474B5" w:rsidRPr="006368AE" w:rsidRDefault="005474B5" w:rsidP="005474B5">
      <w:pPr>
        <w:pStyle w:val="Heading2"/>
        <w:rPr>
          <w:lang w:val="en-GB"/>
        </w:rPr>
      </w:pPr>
      <w:r>
        <w:rPr>
          <w:lang w:val="en-GB"/>
        </w:rPr>
        <w:t xml:space="preserve">BENEFITS AND </w:t>
      </w:r>
      <w:r w:rsidRPr="006368AE">
        <w:rPr>
          <w:lang w:val="en-GB"/>
        </w:rPr>
        <w:t>Risk Implications</w:t>
      </w:r>
    </w:p>
    <w:p w:rsidR="005474B5" w:rsidRPr="006368AE" w:rsidRDefault="005474B5" w:rsidP="005474B5">
      <w:pPr>
        <w:pStyle w:val="BodyText2"/>
      </w:pPr>
      <w:r w:rsidRPr="006368AE">
        <w:t>The purpose of this report is to set out the risks and the approach to risk in the financing of capital expenditure.</w:t>
      </w:r>
    </w:p>
    <w:p w:rsidR="005474B5" w:rsidRPr="006368AE" w:rsidRDefault="005474B5" w:rsidP="005474B5">
      <w:pPr>
        <w:pStyle w:val="Heading2"/>
        <w:rPr>
          <w:lang w:val="en-GB"/>
        </w:rPr>
      </w:pPr>
      <w:r w:rsidRPr="006368AE">
        <w:rPr>
          <w:lang w:val="en-GB"/>
        </w:rPr>
        <w:t>Legal Implications</w:t>
      </w:r>
    </w:p>
    <w:p w:rsidR="005474B5" w:rsidRPr="006368AE" w:rsidRDefault="005474B5" w:rsidP="005474B5">
      <w:pPr>
        <w:pStyle w:val="BodyText2"/>
      </w:pPr>
      <w:r w:rsidRPr="001E419D">
        <w:t xml:space="preserve">The </w:t>
      </w:r>
      <w:r w:rsidR="001E419D">
        <w:t>Chief Finance Officer</w:t>
      </w:r>
      <w:r w:rsidRPr="006368AE">
        <w:t xml:space="preserve"> must ensure that all relevant matters with regard to setting or revising these indicators are reported to </w:t>
      </w:r>
      <w:r w:rsidR="001E419D">
        <w:t>the Commissioner</w:t>
      </w:r>
      <w:r w:rsidRPr="006368AE">
        <w:t xml:space="preserve">.  </w:t>
      </w:r>
      <w:r w:rsidR="001E419D">
        <w:t>The Chief Finance Officer</w:t>
      </w:r>
      <w:r w:rsidRPr="006368AE">
        <w:t xml:space="preserve"> is also responsible for establishing procedures for monitoring pe</w:t>
      </w:r>
      <w:r>
        <w:t>rformance against the treasury management</w:t>
      </w:r>
      <w:r w:rsidRPr="006368AE">
        <w:t xml:space="preserve"> indicators.</w:t>
      </w:r>
    </w:p>
    <w:p w:rsidR="005474B5" w:rsidRPr="006368AE" w:rsidRDefault="005474B5" w:rsidP="005474B5">
      <w:pPr>
        <w:pStyle w:val="BodyText2"/>
      </w:pPr>
      <w:r w:rsidRPr="006368AE">
        <w:t xml:space="preserve">It is for the </w:t>
      </w:r>
      <w:r w:rsidR="007A4817">
        <w:t>Commissioner</w:t>
      </w:r>
      <w:r w:rsidRPr="006368AE">
        <w:t xml:space="preserve">, to make the judgement between the constraints of affordability and the demands of services for capital investment.  The advice of </w:t>
      </w:r>
      <w:r w:rsidRPr="001E419D">
        <w:t xml:space="preserve">the </w:t>
      </w:r>
      <w:r w:rsidR="001E419D">
        <w:t>Chief Finance Officer</w:t>
      </w:r>
      <w:r w:rsidRPr="006368AE">
        <w:t xml:space="preserve"> is, however, important as the</w:t>
      </w:r>
      <w:r>
        <w:t xml:space="preserve">re are specific duties placed </w:t>
      </w:r>
      <w:r w:rsidRPr="006368AE">
        <w:t xml:space="preserve">upon </w:t>
      </w:r>
      <w:r w:rsidR="001E419D">
        <w:t>the Chief Finance Officer</w:t>
      </w:r>
      <w:r w:rsidRPr="006368AE">
        <w:t>, by section 114 of the 1988 Act, for proper financial administration.</w:t>
      </w:r>
    </w:p>
    <w:p w:rsidR="005474B5" w:rsidRPr="006368AE" w:rsidRDefault="005474B5" w:rsidP="005474B5">
      <w:pPr>
        <w:pStyle w:val="Heading2"/>
        <w:rPr>
          <w:lang w:val="en-GB"/>
        </w:rPr>
      </w:pPr>
      <w:r w:rsidRPr="006368AE">
        <w:rPr>
          <w:lang w:val="en-GB"/>
        </w:rPr>
        <w:t>Financial Implications</w:t>
      </w:r>
    </w:p>
    <w:p w:rsidR="005474B5" w:rsidRPr="006368AE" w:rsidRDefault="005474B5" w:rsidP="005474B5">
      <w:pPr>
        <w:pStyle w:val="BodyText2"/>
      </w:pPr>
      <w:r w:rsidRPr="006368AE">
        <w:t>The financial implications are set out in the report.</w:t>
      </w:r>
    </w:p>
    <w:p w:rsidR="005474B5" w:rsidRPr="006368AE" w:rsidRDefault="005474B5" w:rsidP="006777F4">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7033"/>
      </w:tblGrid>
      <w:tr w:rsidR="00B96F0E" w:rsidRPr="006368AE">
        <w:tc>
          <w:tcPr>
            <w:tcW w:w="9108" w:type="dxa"/>
            <w:gridSpan w:val="2"/>
          </w:tcPr>
          <w:p w:rsidR="00B96F0E" w:rsidRPr="006368AE" w:rsidRDefault="00B96F0E" w:rsidP="00B24009">
            <w:pPr>
              <w:pStyle w:val="Heading5"/>
            </w:pPr>
            <w:r w:rsidRPr="006368AE">
              <w:t>LOCAL GOVERNMENT (ACCESS TO INFORMATION) ACT 1985</w:t>
            </w:r>
          </w:p>
        </w:tc>
      </w:tr>
      <w:tr w:rsidR="00993348" w:rsidRPr="006368AE">
        <w:tc>
          <w:tcPr>
            <w:tcW w:w="9108" w:type="dxa"/>
            <w:gridSpan w:val="2"/>
          </w:tcPr>
          <w:p w:rsidR="00993348" w:rsidRDefault="00993348">
            <w:pPr>
              <w:rPr>
                <w:b/>
                <w:bCs/>
                <w:sz w:val="20"/>
                <w:szCs w:val="20"/>
                <w:lang w:val="en-GB"/>
              </w:rPr>
            </w:pPr>
            <w:r>
              <w:rPr>
                <w:b/>
                <w:bCs/>
                <w:sz w:val="20"/>
                <w:szCs w:val="20"/>
                <w:lang w:val="en-GB"/>
              </w:rPr>
              <w:t>Appendices</w:t>
            </w:r>
          </w:p>
          <w:p w:rsidR="00993348" w:rsidRDefault="00993348">
            <w:pPr>
              <w:rPr>
                <w:bCs/>
                <w:sz w:val="20"/>
                <w:szCs w:val="20"/>
                <w:lang w:val="en-GB"/>
              </w:rPr>
            </w:pPr>
            <w:r>
              <w:rPr>
                <w:bCs/>
                <w:sz w:val="20"/>
                <w:szCs w:val="20"/>
                <w:lang w:val="en-GB"/>
              </w:rPr>
              <w:t xml:space="preserve">Appendix 1 </w:t>
            </w:r>
            <w:r w:rsidR="003D6449">
              <w:rPr>
                <w:bCs/>
                <w:sz w:val="20"/>
                <w:szCs w:val="20"/>
                <w:lang w:val="en-GB"/>
              </w:rPr>
              <w:t>- Treasury Management Indicators</w:t>
            </w:r>
          </w:p>
          <w:p w:rsidR="00993348" w:rsidRDefault="00993348">
            <w:pPr>
              <w:rPr>
                <w:bCs/>
                <w:sz w:val="20"/>
                <w:szCs w:val="20"/>
                <w:lang w:val="en-GB"/>
              </w:rPr>
            </w:pPr>
            <w:r>
              <w:rPr>
                <w:bCs/>
                <w:sz w:val="20"/>
                <w:szCs w:val="20"/>
                <w:lang w:val="en-GB"/>
              </w:rPr>
              <w:t xml:space="preserve">Appendix 2 </w:t>
            </w:r>
            <w:r w:rsidR="003D6449">
              <w:rPr>
                <w:bCs/>
                <w:sz w:val="20"/>
                <w:szCs w:val="20"/>
                <w:lang w:val="en-GB"/>
              </w:rPr>
              <w:t xml:space="preserve">- Treasury Management Policy Statement </w:t>
            </w:r>
          </w:p>
          <w:p w:rsidR="00993348" w:rsidRPr="00993348" w:rsidRDefault="00993348">
            <w:pPr>
              <w:rPr>
                <w:bCs/>
                <w:sz w:val="20"/>
                <w:szCs w:val="20"/>
                <w:lang w:val="en-GB"/>
              </w:rPr>
            </w:pPr>
            <w:r>
              <w:rPr>
                <w:bCs/>
                <w:sz w:val="20"/>
                <w:szCs w:val="20"/>
                <w:lang w:val="en-GB"/>
              </w:rPr>
              <w:t xml:space="preserve">Appendix 3 </w:t>
            </w:r>
            <w:r w:rsidR="003D6449">
              <w:rPr>
                <w:bCs/>
                <w:sz w:val="20"/>
                <w:szCs w:val="20"/>
                <w:lang w:val="en-GB"/>
              </w:rPr>
              <w:t>– Treasury Management Practices</w:t>
            </w:r>
          </w:p>
        </w:tc>
      </w:tr>
      <w:tr w:rsidR="00B96F0E" w:rsidRPr="006368AE">
        <w:tc>
          <w:tcPr>
            <w:tcW w:w="9108" w:type="dxa"/>
            <w:gridSpan w:val="2"/>
          </w:tcPr>
          <w:p w:rsidR="00B96F0E" w:rsidRPr="006368AE" w:rsidRDefault="00B96F0E">
            <w:pPr>
              <w:rPr>
                <w:b/>
                <w:bCs/>
                <w:sz w:val="20"/>
                <w:szCs w:val="20"/>
                <w:lang w:val="en-GB"/>
              </w:rPr>
            </w:pPr>
            <w:r w:rsidRPr="006368AE">
              <w:rPr>
                <w:b/>
                <w:bCs/>
                <w:sz w:val="20"/>
                <w:szCs w:val="20"/>
                <w:lang w:val="en-GB"/>
              </w:rPr>
              <w:t>List of background documents</w:t>
            </w:r>
            <w:r w:rsidR="0004132F" w:rsidRPr="006368AE">
              <w:rPr>
                <w:b/>
                <w:bCs/>
                <w:sz w:val="20"/>
                <w:szCs w:val="20"/>
                <w:lang w:val="en-GB"/>
              </w:rPr>
              <w:t xml:space="preserve"> </w:t>
            </w:r>
            <w:r w:rsidR="0004132F" w:rsidRPr="006368AE">
              <w:rPr>
                <w:bCs/>
                <w:sz w:val="20"/>
                <w:szCs w:val="20"/>
                <w:lang w:val="en-GB"/>
              </w:rPr>
              <w:t>- None</w:t>
            </w:r>
          </w:p>
        </w:tc>
      </w:tr>
      <w:tr w:rsidR="00B96F0E" w:rsidRPr="006368AE">
        <w:trPr>
          <w:trHeight w:val="218"/>
        </w:trPr>
        <w:tc>
          <w:tcPr>
            <w:tcW w:w="1998" w:type="dxa"/>
          </w:tcPr>
          <w:p w:rsidR="00B96F0E" w:rsidRPr="006368AE" w:rsidRDefault="00B96F0E">
            <w:pPr>
              <w:rPr>
                <w:sz w:val="18"/>
                <w:lang w:val="en-GB"/>
              </w:rPr>
            </w:pPr>
            <w:r w:rsidRPr="006368AE">
              <w:rPr>
                <w:sz w:val="18"/>
                <w:lang w:val="en-GB"/>
              </w:rPr>
              <w:t>Proper Officer:</w:t>
            </w:r>
          </w:p>
        </w:tc>
        <w:tc>
          <w:tcPr>
            <w:tcW w:w="7110" w:type="dxa"/>
          </w:tcPr>
          <w:p w:rsidR="00B96F0E" w:rsidRPr="00F005D5" w:rsidRDefault="001E419D" w:rsidP="001E419D">
            <w:pPr>
              <w:rPr>
                <w:sz w:val="20"/>
                <w:szCs w:val="20"/>
                <w:highlight w:val="yellow"/>
                <w:lang w:val="en-GB"/>
              </w:rPr>
            </w:pPr>
            <w:r>
              <w:rPr>
                <w:sz w:val="20"/>
                <w:szCs w:val="20"/>
                <w:lang w:val="en-GB"/>
              </w:rPr>
              <w:t>Chief</w:t>
            </w:r>
            <w:r w:rsidR="00993348" w:rsidRPr="001E419D">
              <w:rPr>
                <w:sz w:val="20"/>
                <w:szCs w:val="20"/>
                <w:lang w:val="en-GB"/>
              </w:rPr>
              <w:t xml:space="preserve"> Finance </w:t>
            </w:r>
            <w:r>
              <w:rPr>
                <w:sz w:val="20"/>
                <w:szCs w:val="20"/>
                <w:lang w:val="en-GB"/>
              </w:rPr>
              <w:t>Officer</w:t>
            </w:r>
          </w:p>
        </w:tc>
      </w:tr>
      <w:tr w:rsidR="00B96F0E" w:rsidRPr="006368AE">
        <w:trPr>
          <w:trHeight w:val="217"/>
        </w:trPr>
        <w:tc>
          <w:tcPr>
            <w:tcW w:w="1998" w:type="dxa"/>
            <w:tcBorders>
              <w:bottom w:val="single" w:sz="4" w:space="0" w:color="auto"/>
            </w:tcBorders>
          </w:tcPr>
          <w:p w:rsidR="00B96F0E" w:rsidRPr="006368AE" w:rsidRDefault="00B96F0E">
            <w:pPr>
              <w:rPr>
                <w:sz w:val="18"/>
                <w:lang w:val="en-GB"/>
              </w:rPr>
            </w:pPr>
            <w:r w:rsidRPr="006368AE">
              <w:rPr>
                <w:sz w:val="18"/>
                <w:lang w:val="en-GB"/>
              </w:rPr>
              <w:t>Contact Officer:</w:t>
            </w:r>
          </w:p>
        </w:tc>
        <w:tc>
          <w:tcPr>
            <w:tcW w:w="7110" w:type="dxa"/>
            <w:tcBorders>
              <w:bottom w:val="single" w:sz="4" w:space="0" w:color="auto"/>
            </w:tcBorders>
          </w:tcPr>
          <w:p w:rsidR="00B96F0E" w:rsidRPr="00F005D5" w:rsidRDefault="00B96F0E">
            <w:pPr>
              <w:rPr>
                <w:sz w:val="20"/>
                <w:szCs w:val="20"/>
                <w:highlight w:val="yellow"/>
                <w:lang w:val="en-GB"/>
              </w:rPr>
            </w:pPr>
          </w:p>
        </w:tc>
      </w:tr>
    </w:tbl>
    <w:p w:rsidR="00B96F0E" w:rsidRPr="006368AE" w:rsidRDefault="00B96F0E" w:rsidP="008532C2">
      <w:pPr>
        <w:pStyle w:val="StyleArial"/>
        <w:sectPr w:rsidR="00B96F0E" w:rsidRPr="006368AE">
          <w:headerReference w:type="default" r:id="rId23"/>
          <w:footerReference w:type="even" r:id="rId24"/>
          <w:footerReference w:type="default" r:id="rId25"/>
          <w:headerReference w:type="first" r:id="rId26"/>
          <w:pgSz w:w="11906" w:h="16838" w:code="9"/>
          <w:pgMar w:top="1440" w:right="1440" w:bottom="1440" w:left="1440" w:header="357" w:footer="357" w:gutter="0"/>
          <w:cols w:space="720"/>
          <w:titlePg/>
        </w:sectPr>
      </w:pPr>
    </w:p>
    <w:p w:rsidR="00B96F0E" w:rsidRPr="006368AE" w:rsidRDefault="00AB1242" w:rsidP="00406393">
      <w:pPr>
        <w:pStyle w:val="StyleBodyText3Centered"/>
        <w:rPr>
          <w:lang w:val="en-GB"/>
        </w:rPr>
      </w:pPr>
      <w:r>
        <w:rPr>
          <w:noProof/>
          <w:lang w:val="en-GB" w:eastAsia="en-GB"/>
        </w:rPr>
        <w:pict>
          <v:shape id="_x0000_i1039" type="#_x0000_t75" style="width:479.25pt;height:603pt">
            <v:imagedata r:id="rId27" o:title=""/>
          </v:shape>
        </w:pict>
      </w:r>
    </w:p>
    <w:p w:rsidR="00B96F0E" w:rsidRPr="006368AE" w:rsidRDefault="00B96F0E" w:rsidP="008532C2">
      <w:pPr>
        <w:pStyle w:val="StyleArial"/>
      </w:pPr>
    </w:p>
    <w:p w:rsidR="00B96F0E" w:rsidRPr="006368AE" w:rsidRDefault="00B96F0E" w:rsidP="008532C2">
      <w:pPr>
        <w:pStyle w:val="StyleArial"/>
      </w:pPr>
    </w:p>
    <w:p w:rsidR="00B96F0E" w:rsidRPr="006368AE" w:rsidRDefault="00B96F0E" w:rsidP="008532C2">
      <w:pPr>
        <w:pStyle w:val="StyleArial"/>
        <w:sectPr w:rsidR="00B96F0E" w:rsidRPr="006368AE">
          <w:headerReference w:type="even" r:id="rId28"/>
          <w:headerReference w:type="default" r:id="rId29"/>
          <w:headerReference w:type="first" r:id="rId30"/>
          <w:footerReference w:type="first" r:id="rId31"/>
          <w:pgSz w:w="11906" w:h="16838" w:code="9"/>
          <w:pgMar w:top="360" w:right="1440" w:bottom="360" w:left="1440" w:header="360" w:footer="360" w:gutter="0"/>
          <w:cols w:space="720"/>
          <w:titlePg/>
        </w:sectPr>
      </w:pPr>
    </w:p>
    <w:p w:rsidR="00B96F0E" w:rsidRPr="006368AE" w:rsidRDefault="00EE4DD6" w:rsidP="004424BD">
      <w:pPr>
        <w:pStyle w:val="Heading2"/>
        <w:rPr>
          <w:lang w:val="en-GB"/>
        </w:rPr>
      </w:pPr>
      <w:r w:rsidRPr="006368AE">
        <w:rPr>
          <w:lang w:val="en-GB"/>
        </w:rPr>
        <w:t>Treasury Management Policy Statement</w:t>
      </w:r>
      <w:r w:rsidR="001C3038" w:rsidRPr="006368AE">
        <w:rPr>
          <w:lang w:val="en-GB"/>
        </w:rPr>
        <w:t xml:space="preserve"> 201</w:t>
      </w:r>
      <w:r w:rsidR="00582DAE">
        <w:rPr>
          <w:lang w:val="en-GB"/>
        </w:rPr>
        <w:t>9/20</w:t>
      </w:r>
    </w:p>
    <w:p w:rsidR="00EE4DD6" w:rsidRPr="006368AE" w:rsidRDefault="00EE4DD6" w:rsidP="006165A4">
      <w:pPr>
        <w:pStyle w:val="Heading1"/>
        <w:rPr>
          <w:lang w:val="en-GB"/>
        </w:rPr>
      </w:pPr>
      <w:r w:rsidRPr="006368AE">
        <w:rPr>
          <w:lang w:val="en-GB"/>
        </w:rPr>
        <w:t>Definition</w:t>
      </w:r>
    </w:p>
    <w:p w:rsidR="00B96F0E" w:rsidRPr="006368AE" w:rsidRDefault="007A4817" w:rsidP="006777F4">
      <w:pPr>
        <w:pStyle w:val="BodyText2"/>
        <w:rPr>
          <w:snapToGrid w:val="0"/>
        </w:rPr>
      </w:pPr>
      <w:r>
        <w:rPr>
          <w:snapToGrid w:val="0"/>
        </w:rPr>
        <w:t xml:space="preserve">The Essex Police, Fire and Crime Commissioner Fire and Rescue Authority (the Commissioner) </w:t>
      </w:r>
      <w:r w:rsidR="00EE4DD6" w:rsidRPr="006368AE">
        <w:rPr>
          <w:snapToGrid w:val="0"/>
        </w:rPr>
        <w:t>defines its treasury management activities as:</w:t>
      </w:r>
    </w:p>
    <w:p w:rsidR="00EE4DD6" w:rsidRPr="006368AE" w:rsidRDefault="00EE4DD6" w:rsidP="006777F4">
      <w:pPr>
        <w:pStyle w:val="BodyText2"/>
        <w:rPr>
          <w:snapToGrid w:val="0"/>
        </w:rPr>
      </w:pPr>
      <w:r w:rsidRPr="006368AE">
        <w:rPr>
          <w:snapToGrid w:val="0"/>
        </w:rPr>
        <w:t xml:space="preserve">The management of the </w:t>
      </w:r>
      <w:r w:rsidR="007A4817">
        <w:rPr>
          <w:snapToGrid w:val="0"/>
        </w:rPr>
        <w:t>Commissioner</w:t>
      </w:r>
      <w:r w:rsidRPr="006368AE">
        <w:rPr>
          <w:snapToGrid w:val="0"/>
        </w:rPr>
        <w:t>’s investments and cash flows, its banking, money market and capital market transactions; the effective control of the risks associated with those activities; and the pursuit of optimum performance consistent with those risks.</w:t>
      </w:r>
    </w:p>
    <w:p w:rsidR="00EE4DD6" w:rsidRPr="006368AE" w:rsidRDefault="00EE4DD6" w:rsidP="006777F4">
      <w:pPr>
        <w:pStyle w:val="BodyText2"/>
        <w:rPr>
          <w:snapToGrid w:val="0"/>
        </w:rPr>
      </w:pPr>
      <w:r w:rsidRPr="006368AE">
        <w:rPr>
          <w:snapToGrid w:val="0"/>
        </w:rPr>
        <w:t xml:space="preserve">The </w:t>
      </w:r>
      <w:r w:rsidR="007A4817">
        <w:rPr>
          <w:snapToGrid w:val="0"/>
        </w:rPr>
        <w:t>Commissioner</w:t>
      </w:r>
      <w:r w:rsidRPr="006368AE">
        <w:rPr>
          <w:snapToGrid w:val="0"/>
        </w:rPr>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w:t>
      </w:r>
      <w:r w:rsidR="007A4817">
        <w:rPr>
          <w:snapToGrid w:val="0"/>
        </w:rPr>
        <w:t>Commissioner</w:t>
      </w:r>
      <w:r w:rsidRPr="006368AE">
        <w:rPr>
          <w:snapToGrid w:val="0"/>
        </w:rPr>
        <w:t>.</w:t>
      </w:r>
    </w:p>
    <w:p w:rsidR="007C6664" w:rsidRPr="006368AE" w:rsidRDefault="007C6664" w:rsidP="006777F4">
      <w:pPr>
        <w:pStyle w:val="BodyText2"/>
        <w:rPr>
          <w:snapToGrid w:val="0"/>
        </w:rPr>
      </w:pPr>
      <w:r w:rsidRPr="006368AE">
        <w:rPr>
          <w:snapToGrid w:val="0"/>
        </w:rPr>
        <w:t xml:space="preserve">The </w:t>
      </w:r>
      <w:r w:rsidR="007A4817">
        <w:rPr>
          <w:snapToGrid w:val="0"/>
        </w:rPr>
        <w:t>Commissioner</w:t>
      </w:r>
      <w:r w:rsidRPr="006368AE">
        <w:rPr>
          <w:snapToGrid w:val="0"/>
        </w:rPr>
        <w:t xml:space="preserve"> acknowledges that effective treasury management will provide support towards the achievement of its business and service objectives. It is therefore committed to the principles of achieving value for money on treasury management, and to employing suitable comprehensive performance measurement techniques, within the context of effective risk management. </w:t>
      </w:r>
    </w:p>
    <w:p w:rsidR="00F93CCE" w:rsidRPr="006368AE" w:rsidRDefault="00F93CCE" w:rsidP="002B6A1D">
      <w:pPr>
        <w:pStyle w:val="Heading2"/>
        <w:rPr>
          <w:lang w:val="en-GB"/>
        </w:rPr>
      </w:pPr>
      <w:r w:rsidRPr="006368AE">
        <w:rPr>
          <w:lang w:val="en-GB"/>
        </w:rPr>
        <w:t>Principles</w:t>
      </w:r>
    </w:p>
    <w:p w:rsidR="00F93CCE" w:rsidRPr="006368AE" w:rsidRDefault="00F93CCE" w:rsidP="006777F4">
      <w:pPr>
        <w:pStyle w:val="BodyText2"/>
      </w:pPr>
      <w:r w:rsidRPr="006368AE">
        <w:t xml:space="preserve">The </w:t>
      </w:r>
      <w:r w:rsidR="007A4817">
        <w:t>Commissioner</w:t>
      </w:r>
      <w:r w:rsidRPr="006368AE">
        <w:t xml:space="preserve"> will create and maintain, as the cornerstones for effective treasury management:</w:t>
      </w:r>
    </w:p>
    <w:p w:rsidR="00F93CCE" w:rsidRPr="006368AE" w:rsidRDefault="00F93CCE" w:rsidP="006165A4">
      <w:pPr>
        <w:pStyle w:val="Bullet"/>
        <w:rPr>
          <w:lang w:val="en-GB"/>
        </w:rPr>
      </w:pPr>
      <w:r w:rsidRPr="006368AE">
        <w:rPr>
          <w:lang w:val="en-GB"/>
        </w:rPr>
        <w:t>a treasury management policy statement, stating the policies, objectives and approach to risk management of its treasury management activities</w:t>
      </w:r>
      <w:r w:rsidR="006165A4" w:rsidRPr="006368AE">
        <w:rPr>
          <w:lang w:val="en-GB"/>
        </w:rPr>
        <w:t>; and</w:t>
      </w:r>
    </w:p>
    <w:p w:rsidR="00F93CCE" w:rsidRPr="006368AE" w:rsidRDefault="00F93CCE" w:rsidP="006165A4">
      <w:pPr>
        <w:pStyle w:val="Bullet"/>
        <w:rPr>
          <w:lang w:val="en-GB"/>
        </w:rPr>
      </w:pPr>
      <w:r w:rsidRPr="006368AE">
        <w:rPr>
          <w:lang w:val="en-GB"/>
        </w:rPr>
        <w:t xml:space="preserve">suitable treasury management practices, setting out the manner in which the </w:t>
      </w:r>
      <w:r w:rsidR="007A4817">
        <w:rPr>
          <w:lang w:val="en-GB"/>
        </w:rPr>
        <w:t>Commissioner</w:t>
      </w:r>
      <w:r w:rsidRPr="006368AE">
        <w:rPr>
          <w:lang w:val="en-GB"/>
        </w:rPr>
        <w:t xml:space="preserve"> will seek to achieve those policies and objectives, and prescribing how it will </w:t>
      </w:r>
      <w:r w:rsidR="006368AE" w:rsidRPr="006368AE">
        <w:rPr>
          <w:lang w:val="en-GB"/>
        </w:rPr>
        <w:t>manage</w:t>
      </w:r>
      <w:r w:rsidRPr="006368AE">
        <w:rPr>
          <w:lang w:val="en-GB"/>
        </w:rPr>
        <w:t xml:space="preserve"> and control those activities.</w:t>
      </w:r>
    </w:p>
    <w:p w:rsidR="00F93CCE" w:rsidRPr="006368AE" w:rsidRDefault="00AE5878" w:rsidP="006777F4">
      <w:pPr>
        <w:pStyle w:val="BodyText2"/>
      </w:pPr>
      <w:r w:rsidRPr="006368AE">
        <w:t xml:space="preserve">The </w:t>
      </w:r>
      <w:r w:rsidR="007A4817">
        <w:t>Commissioner</w:t>
      </w:r>
      <w:r w:rsidRPr="006368AE">
        <w:t xml:space="preserve"> will receive reports on its treasury management policies, practices and activities, including, as a minimum, an annual strategy and plan in advance of the year, a</w:t>
      </w:r>
      <w:r w:rsidR="00B94AE0">
        <w:t xml:space="preserve"> mid-</w:t>
      </w:r>
      <w:r w:rsidRPr="006368AE">
        <w:t>year review and an an</w:t>
      </w:r>
      <w:r w:rsidR="005201D7" w:rsidRPr="006368AE">
        <w:t>nual report after its close.</w:t>
      </w:r>
    </w:p>
    <w:p w:rsidR="00AE5878" w:rsidRPr="006368AE" w:rsidRDefault="00AE5878" w:rsidP="006777F4">
      <w:pPr>
        <w:pStyle w:val="BodyText2"/>
      </w:pPr>
      <w:r w:rsidRPr="006368AE">
        <w:t xml:space="preserve">The </w:t>
      </w:r>
      <w:r w:rsidR="007A4817">
        <w:t>Commissioner</w:t>
      </w:r>
      <w:r w:rsidRPr="006368AE">
        <w:t xml:space="preserve"> delegates responsibility for the implementation and regular monitoring of its treasury management policies and practices to </w:t>
      </w:r>
      <w:r w:rsidR="009267FF">
        <w:t xml:space="preserve">the </w:t>
      </w:r>
      <w:r w:rsidR="00F41A5F">
        <w:t>Perf</w:t>
      </w:r>
      <w:r w:rsidR="009267FF">
        <w:t>o</w:t>
      </w:r>
      <w:r w:rsidR="00F41A5F">
        <w:t>rmance and Resources Board</w:t>
      </w:r>
      <w:r w:rsidR="002B0BF1" w:rsidRPr="006368AE">
        <w:t xml:space="preserve"> and for the execution and administration of treasury management decisions to the </w:t>
      </w:r>
      <w:r w:rsidR="001E419D">
        <w:t xml:space="preserve">Chief </w:t>
      </w:r>
      <w:r w:rsidR="002B0BF1" w:rsidRPr="001E419D">
        <w:t>Finance</w:t>
      </w:r>
      <w:r w:rsidR="002B0BF1" w:rsidRPr="005A3147">
        <w:rPr>
          <w:highlight w:val="yellow"/>
        </w:rPr>
        <w:t xml:space="preserve"> </w:t>
      </w:r>
      <w:r w:rsidR="001E419D">
        <w:t>Officer</w:t>
      </w:r>
      <w:r w:rsidR="002B0BF1" w:rsidRPr="006368AE">
        <w:t xml:space="preserve">, who will act in accordance with the </w:t>
      </w:r>
      <w:r w:rsidR="007A4817">
        <w:t>Commissioner</w:t>
      </w:r>
      <w:r w:rsidR="002B0BF1" w:rsidRPr="006368AE">
        <w:t xml:space="preserve">’s policy statement and </w:t>
      </w:r>
      <w:r w:rsidR="005201D7" w:rsidRPr="006368AE">
        <w:t>Treasury Management Practices</w:t>
      </w:r>
      <w:r w:rsidR="002B0BF1" w:rsidRPr="006368AE">
        <w:t xml:space="preserve"> and CIPFA’s Standard of Professional Practice on Treasury Management.</w:t>
      </w:r>
    </w:p>
    <w:p w:rsidR="002B0BF1" w:rsidRPr="006368AE" w:rsidRDefault="002B0BF1" w:rsidP="006777F4">
      <w:pPr>
        <w:pStyle w:val="BodyText2"/>
      </w:pPr>
      <w:r w:rsidRPr="006368AE">
        <w:t xml:space="preserve">The </w:t>
      </w:r>
      <w:r w:rsidR="007A4817">
        <w:t>Commissioner</w:t>
      </w:r>
      <w:r w:rsidRPr="006368AE">
        <w:t xml:space="preserve"> nominates </w:t>
      </w:r>
      <w:r w:rsidRPr="00C27B2B">
        <w:t xml:space="preserve">the </w:t>
      </w:r>
      <w:r w:rsidR="00F41A5F">
        <w:t>Perf</w:t>
      </w:r>
      <w:r w:rsidR="009267FF">
        <w:t>o</w:t>
      </w:r>
      <w:r w:rsidR="00F41A5F">
        <w:t>rmance and Resources Board</w:t>
      </w:r>
      <w:r w:rsidRPr="006368AE">
        <w:t xml:space="preserve"> to be responsible for ensuring effective scrutiny of the treasury management strategy and policies.</w:t>
      </w:r>
    </w:p>
    <w:p w:rsidR="002B258E" w:rsidRPr="006368AE" w:rsidRDefault="002B258E" w:rsidP="002B6A1D">
      <w:pPr>
        <w:pStyle w:val="Heading2"/>
        <w:rPr>
          <w:lang w:val="en-GB"/>
        </w:rPr>
        <w:sectPr w:rsidR="002B258E" w:rsidRPr="006368AE">
          <w:headerReference w:type="even" r:id="rId32"/>
          <w:headerReference w:type="default" r:id="rId33"/>
          <w:headerReference w:type="first" r:id="rId34"/>
          <w:pgSz w:w="11906" w:h="16838" w:code="9"/>
          <w:pgMar w:top="360" w:right="1440" w:bottom="360" w:left="1440" w:header="360" w:footer="360" w:gutter="0"/>
          <w:cols w:space="720"/>
          <w:titlePg/>
        </w:sectPr>
      </w:pPr>
    </w:p>
    <w:p w:rsidR="002B0BF1" w:rsidRPr="006368AE" w:rsidRDefault="002B0BF1" w:rsidP="002B6A1D">
      <w:pPr>
        <w:pStyle w:val="Heading2"/>
        <w:rPr>
          <w:lang w:val="en-GB"/>
        </w:rPr>
      </w:pPr>
      <w:r w:rsidRPr="006368AE">
        <w:rPr>
          <w:lang w:val="en-GB"/>
        </w:rPr>
        <w:t>Treasury Management Practices</w:t>
      </w:r>
    </w:p>
    <w:p w:rsidR="005F3D66" w:rsidRPr="006368AE" w:rsidRDefault="00105273" w:rsidP="006165A4">
      <w:pPr>
        <w:pStyle w:val="Heading1"/>
        <w:rPr>
          <w:lang w:val="en-GB"/>
        </w:rPr>
      </w:pPr>
      <w:r w:rsidRPr="006368AE">
        <w:rPr>
          <w:lang w:val="en-GB"/>
        </w:rPr>
        <w:t xml:space="preserve">1 </w:t>
      </w:r>
      <w:r w:rsidR="00586190" w:rsidRPr="006368AE">
        <w:rPr>
          <w:lang w:val="en-GB"/>
        </w:rPr>
        <w:t>Risk m</w:t>
      </w:r>
      <w:r w:rsidR="005F3D66" w:rsidRPr="006368AE">
        <w:rPr>
          <w:lang w:val="en-GB"/>
        </w:rPr>
        <w:t>anagement</w:t>
      </w:r>
    </w:p>
    <w:p w:rsidR="00B5526A" w:rsidRPr="006368AE" w:rsidRDefault="005201D7" w:rsidP="006777F4">
      <w:pPr>
        <w:pStyle w:val="BodyText2"/>
      </w:pPr>
      <w:r w:rsidRPr="001E419D">
        <w:t xml:space="preserve">The </w:t>
      </w:r>
      <w:r w:rsidR="001E419D" w:rsidRPr="001E419D">
        <w:t xml:space="preserve">Chief </w:t>
      </w:r>
      <w:r w:rsidRPr="001E419D">
        <w:t xml:space="preserve">Finance </w:t>
      </w:r>
      <w:r w:rsidR="001E419D" w:rsidRPr="001E419D">
        <w:t xml:space="preserve">Officer </w:t>
      </w:r>
      <w:r w:rsidR="00F90C7C" w:rsidRPr="006368AE">
        <w:t>will design, implement and monitor all arrangements for the identification, management and control of treasury management risk.</w:t>
      </w:r>
    </w:p>
    <w:p w:rsidR="006165A4" w:rsidRPr="006368AE" w:rsidRDefault="006165A4" w:rsidP="006165A4">
      <w:pPr>
        <w:pStyle w:val="Heading1"/>
        <w:rPr>
          <w:lang w:val="en-GB"/>
        </w:rPr>
      </w:pPr>
      <w:r w:rsidRPr="006368AE">
        <w:rPr>
          <w:lang w:val="en-GB"/>
        </w:rPr>
        <w:t>C</w:t>
      </w:r>
      <w:r w:rsidR="00F90C7C" w:rsidRPr="006368AE">
        <w:rPr>
          <w:lang w:val="en-GB"/>
        </w:rPr>
        <w:t>redit a</w:t>
      </w:r>
      <w:r w:rsidRPr="006368AE">
        <w:rPr>
          <w:lang w:val="en-GB"/>
        </w:rPr>
        <w:t>nd counterparty risk management</w:t>
      </w:r>
    </w:p>
    <w:p w:rsidR="00F90C7C" w:rsidRPr="006368AE" w:rsidRDefault="006165A4" w:rsidP="006777F4">
      <w:pPr>
        <w:pStyle w:val="BodyText2"/>
      </w:pPr>
      <w:r w:rsidRPr="006368AE">
        <w:t>T</w:t>
      </w:r>
      <w:r w:rsidR="003363B3" w:rsidRPr="006368AE">
        <w:t xml:space="preserve">he </w:t>
      </w:r>
      <w:r w:rsidR="007A4817">
        <w:t>Commissioner</w:t>
      </w:r>
      <w:r w:rsidR="003363B3" w:rsidRPr="006368AE">
        <w:t xml:space="preserve"> will ensure that its counterparty lists and limits reflect a prudent attitude towards organisations with </w:t>
      </w:r>
      <w:r w:rsidR="006368AE" w:rsidRPr="006368AE">
        <w:t>which</w:t>
      </w:r>
      <w:r w:rsidR="003363B3" w:rsidRPr="006368AE">
        <w:t xml:space="preserve"> funds may be deposited. It will have a formal counterparty policy in respect of those organisations.</w:t>
      </w:r>
      <w:r w:rsidR="007470A1" w:rsidRPr="006368AE">
        <w:t xml:space="preserve"> </w:t>
      </w:r>
    </w:p>
    <w:p w:rsidR="007470A1" w:rsidRPr="006368AE" w:rsidRDefault="00AC7EFB" w:rsidP="006777F4">
      <w:pPr>
        <w:pStyle w:val="BodyText2"/>
      </w:pPr>
      <w:r w:rsidRPr="006368AE">
        <w:t>T</w:t>
      </w:r>
      <w:r w:rsidR="007470A1" w:rsidRPr="006368AE">
        <w:t xml:space="preserve">he following counter parties </w:t>
      </w:r>
      <w:r w:rsidR="0032649D" w:rsidRPr="006368AE">
        <w:t>are</w:t>
      </w:r>
      <w:r w:rsidRPr="006368AE">
        <w:t xml:space="preserve"> </w:t>
      </w:r>
      <w:r w:rsidR="007470A1" w:rsidRPr="006368AE">
        <w:t>included on the lending list</w:t>
      </w:r>
      <w:r w:rsidRPr="006368AE">
        <w:t xml:space="preserve"> as it acts as the main banker to the </w:t>
      </w:r>
      <w:r w:rsidR="007A4817">
        <w:t>Commissioner</w:t>
      </w:r>
      <w:r w:rsidRPr="006368AE">
        <w:t xml:space="preserve"> - </w:t>
      </w:r>
      <w:r w:rsidR="00980044" w:rsidRPr="006368AE">
        <w:t>Lloy</w:t>
      </w:r>
      <w:r w:rsidR="0083577C">
        <w:t>ds plc</w:t>
      </w:r>
      <w:r w:rsidRPr="006368AE">
        <w:t>.</w:t>
      </w:r>
    </w:p>
    <w:p w:rsidR="006165A4" w:rsidRPr="006368AE" w:rsidRDefault="006165A4" w:rsidP="006777F4">
      <w:pPr>
        <w:pStyle w:val="BodyText2"/>
      </w:pPr>
      <w:r w:rsidRPr="006368AE">
        <w:t xml:space="preserve">Other money market funds, banks and similar institutions with </w:t>
      </w:r>
      <w:r w:rsidR="00AC7EFB" w:rsidRPr="006368AE">
        <w:t xml:space="preserve">“high Grade” credit ratings as defined in the table below may be used, subject to the agreement of </w:t>
      </w:r>
      <w:r w:rsidR="00AC7EFB" w:rsidRPr="001E419D">
        <w:t xml:space="preserve">the </w:t>
      </w:r>
      <w:r w:rsidR="001E419D" w:rsidRPr="001E419D">
        <w:t>Chief Finance Officer</w:t>
      </w:r>
      <w:r w:rsidR="00AC7EFB" w:rsidRPr="006368AE">
        <w:t>.  Should the rating for an institution vary across ratings agencies the Fitch rating will be used.  Both the short and long term rating criteria must be met.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55"/>
        <w:gridCol w:w="1180"/>
        <w:gridCol w:w="1140"/>
        <w:gridCol w:w="1181"/>
        <w:gridCol w:w="1141"/>
        <w:gridCol w:w="1181"/>
        <w:gridCol w:w="2048"/>
      </w:tblGrid>
      <w:tr w:rsidR="00AC7EFB" w:rsidRPr="006368AE" w:rsidTr="00AC7EFB">
        <w:trPr>
          <w:tblCellSpacing w:w="15" w:type="dxa"/>
        </w:trPr>
        <w:tc>
          <w:tcPr>
            <w:tcW w:w="0" w:type="auto"/>
            <w:gridSpan w:val="2"/>
            <w:shd w:val="clear" w:color="auto" w:fill="FF0000"/>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Moody's</w:t>
            </w:r>
          </w:p>
        </w:tc>
        <w:tc>
          <w:tcPr>
            <w:tcW w:w="0" w:type="auto"/>
            <w:gridSpan w:val="2"/>
            <w:shd w:val="clear" w:color="auto" w:fill="FFD700"/>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S&amp;P</w:t>
            </w:r>
          </w:p>
        </w:tc>
        <w:tc>
          <w:tcPr>
            <w:tcW w:w="0" w:type="auto"/>
            <w:gridSpan w:val="2"/>
            <w:shd w:val="clear" w:color="auto" w:fill="4169E1"/>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Fitch</w:t>
            </w:r>
          </w:p>
        </w:tc>
        <w:tc>
          <w:tcPr>
            <w:tcW w:w="0" w:type="auto"/>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 </w:t>
            </w: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Long-term</w:t>
            </w:r>
          </w:p>
        </w:tc>
        <w:tc>
          <w:tcPr>
            <w:tcW w:w="0" w:type="auto"/>
            <w:shd w:val="clear" w:color="auto" w:fill="FFC0CB"/>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Short-term</w:t>
            </w: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Long-term</w:t>
            </w:r>
          </w:p>
        </w:tc>
        <w:tc>
          <w:tcPr>
            <w:tcW w:w="0" w:type="auto"/>
            <w:shd w:val="clear" w:color="auto" w:fill="F0E68C"/>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Short-term</w:t>
            </w: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Long-term</w:t>
            </w:r>
          </w:p>
        </w:tc>
        <w:tc>
          <w:tcPr>
            <w:tcW w:w="0" w:type="auto"/>
            <w:shd w:val="clear" w:color="auto" w:fill="AFEEEE"/>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Short-term</w:t>
            </w:r>
          </w:p>
        </w:tc>
        <w:tc>
          <w:tcPr>
            <w:tcW w:w="0" w:type="auto"/>
            <w:vAlign w:val="center"/>
          </w:tcPr>
          <w:p w:rsidR="00AC7EFB" w:rsidRPr="006368AE" w:rsidRDefault="00AC7EFB" w:rsidP="00AC7EFB">
            <w:pPr>
              <w:tabs>
                <w:tab w:val="clear" w:pos="113"/>
              </w:tabs>
              <w:autoSpaceDE/>
              <w:autoSpaceDN/>
              <w:adjustRightInd/>
              <w:jc w:val="center"/>
              <w:rPr>
                <w:rFonts w:ascii="Times New Roman" w:hAnsi="Times New Roman" w:cs="Times New Roman"/>
                <w:b/>
                <w:bCs/>
                <w:color w:val="auto"/>
                <w:sz w:val="24"/>
                <w:lang w:val="en-GB" w:eastAsia="en-GB"/>
              </w:rPr>
            </w:pPr>
            <w:r w:rsidRPr="006368AE">
              <w:rPr>
                <w:rFonts w:ascii="Times New Roman" w:hAnsi="Times New Roman" w:cs="Times New Roman"/>
                <w:b/>
                <w:bCs/>
                <w:color w:val="auto"/>
                <w:sz w:val="24"/>
                <w:lang w:val="en-GB" w:eastAsia="en-GB"/>
              </w:rPr>
              <w:t> </w:t>
            </w: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Aaa</w:t>
            </w:r>
          </w:p>
        </w:tc>
        <w:tc>
          <w:tcPr>
            <w:tcW w:w="0" w:type="auto"/>
            <w:vMerge w:val="restart"/>
            <w:shd w:val="clear" w:color="auto" w:fill="FFC0CB"/>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P-1</w:t>
            </w: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AAA</w:t>
            </w:r>
          </w:p>
        </w:tc>
        <w:tc>
          <w:tcPr>
            <w:tcW w:w="0" w:type="auto"/>
            <w:vMerge w:val="restart"/>
            <w:shd w:val="clear" w:color="auto" w:fill="F0E68C"/>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A-1+</w:t>
            </w: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AAA</w:t>
            </w:r>
          </w:p>
        </w:tc>
        <w:tc>
          <w:tcPr>
            <w:tcW w:w="0" w:type="auto"/>
            <w:vMerge w:val="restart"/>
            <w:shd w:val="clear" w:color="auto" w:fill="AFEEEE"/>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F1+</w:t>
            </w:r>
          </w:p>
        </w:tc>
        <w:tc>
          <w:tcPr>
            <w:tcW w:w="0" w:type="auto"/>
            <w:shd w:val="clear" w:color="auto" w:fill="D2B48C"/>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Prime</w:t>
            </w: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Aa1</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vMerge w:val="restart"/>
            <w:shd w:val="clear" w:color="auto" w:fill="D2B48C"/>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High grade</w:t>
            </w: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Aa2</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Aa3</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A1</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w:t>
            </w:r>
          </w:p>
        </w:tc>
        <w:tc>
          <w:tcPr>
            <w:tcW w:w="0" w:type="auto"/>
            <w:vMerge w:val="restart"/>
            <w:shd w:val="clear" w:color="auto" w:fill="F0E68C"/>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A-1</w:t>
            </w: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w:t>
            </w:r>
          </w:p>
        </w:tc>
        <w:tc>
          <w:tcPr>
            <w:tcW w:w="0" w:type="auto"/>
            <w:vMerge w:val="restart"/>
            <w:shd w:val="clear" w:color="auto" w:fill="AFEEEE"/>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F1</w:t>
            </w:r>
          </w:p>
        </w:tc>
        <w:tc>
          <w:tcPr>
            <w:tcW w:w="0" w:type="auto"/>
            <w:vMerge w:val="restart"/>
            <w:shd w:val="clear" w:color="auto" w:fill="D2B48C"/>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Upper medium grade</w:t>
            </w:r>
          </w:p>
        </w:tc>
      </w:tr>
      <w:tr w:rsidR="00AC7EFB" w:rsidRPr="006368AE" w:rsidTr="00AC7EFB">
        <w:trPr>
          <w:tblCellSpacing w:w="15" w:type="dxa"/>
        </w:trPr>
        <w:tc>
          <w:tcPr>
            <w:tcW w:w="0" w:type="auto"/>
            <w:shd w:val="clear" w:color="auto" w:fill="F0808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A2</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FFFF00"/>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shd w:val="clear" w:color="auto" w:fill="1E90FF"/>
            <w:vAlign w:val="center"/>
          </w:tcPr>
          <w:p w:rsidR="00AC7EFB" w:rsidRPr="006368AE" w:rsidRDefault="00AC7EFB" w:rsidP="00AC7EFB">
            <w:pPr>
              <w:tabs>
                <w:tab w:val="clear" w:pos="113"/>
              </w:tabs>
              <w:autoSpaceDE/>
              <w:autoSpaceDN/>
              <w:adjustRightInd/>
              <w:jc w:val="center"/>
              <w:rPr>
                <w:rFonts w:ascii="Times New Roman" w:hAnsi="Times New Roman" w:cs="Times New Roman"/>
                <w:color w:val="auto"/>
                <w:sz w:val="24"/>
                <w:lang w:val="en-GB" w:eastAsia="en-GB"/>
              </w:rPr>
            </w:pPr>
            <w:r w:rsidRPr="006368AE">
              <w:rPr>
                <w:rFonts w:ascii="Times New Roman" w:hAnsi="Times New Roman" w:cs="Times New Roman"/>
                <w:color w:val="auto"/>
                <w:sz w:val="24"/>
                <w:lang w:val="en-GB" w:eastAsia="en-GB"/>
              </w:rPr>
              <w:t>A</w:t>
            </w: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c>
          <w:tcPr>
            <w:tcW w:w="0" w:type="auto"/>
            <w:vMerge/>
            <w:vAlign w:val="center"/>
          </w:tcPr>
          <w:p w:rsidR="00AC7EFB" w:rsidRPr="006368AE" w:rsidRDefault="00AC7EFB" w:rsidP="00AC7EFB">
            <w:pPr>
              <w:tabs>
                <w:tab w:val="clear" w:pos="113"/>
              </w:tabs>
              <w:autoSpaceDE/>
              <w:autoSpaceDN/>
              <w:adjustRightInd/>
              <w:rPr>
                <w:rFonts w:ascii="Times New Roman" w:hAnsi="Times New Roman" w:cs="Times New Roman"/>
                <w:color w:val="auto"/>
                <w:sz w:val="24"/>
                <w:lang w:val="en-GB" w:eastAsia="en-GB"/>
              </w:rPr>
            </w:pPr>
          </w:p>
        </w:tc>
      </w:tr>
    </w:tbl>
    <w:p w:rsidR="009E1245" w:rsidRPr="006368AE" w:rsidRDefault="009E1245" w:rsidP="006777F4">
      <w:pPr>
        <w:pStyle w:val="BodyText2"/>
      </w:pPr>
    </w:p>
    <w:p w:rsidR="00FF79D8" w:rsidRDefault="00FF79D8" w:rsidP="006165A4">
      <w:pPr>
        <w:pStyle w:val="Heading1"/>
        <w:rPr>
          <w:lang w:val="en-GB"/>
        </w:rPr>
      </w:pPr>
      <w:r>
        <w:rPr>
          <w:lang w:val="en-GB"/>
        </w:rPr>
        <w:t xml:space="preserve">Alternative Investment </w:t>
      </w:r>
      <w:r w:rsidR="00BE3F5D">
        <w:rPr>
          <w:lang w:val="en-GB"/>
        </w:rPr>
        <w:t xml:space="preserve">Funds </w:t>
      </w:r>
    </w:p>
    <w:p w:rsidR="00FF79D8" w:rsidRPr="00FF79D8" w:rsidRDefault="00FF79D8" w:rsidP="00FF79D8">
      <w:pPr>
        <w:pStyle w:val="BodyText2"/>
      </w:pPr>
      <w:r>
        <w:t xml:space="preserve">The </w:t>
      </w:r>
      <w:r w:rsidR="007A4817">
        <w:t>Commissioner</w:t>
      </w:r>
      <w:r>
        <w:t xml:space="preserve"> may invest funds in the CCLA managed Local Authorities Property Fund.  The amounts invested will be determined by </w:t>
      </w:r>
      <w:r w:rsidRPr="001E419D">
        <w:t xml:space="preserve">the </w:t>
      </w:r>
      <w:r w:rsidR="001E419D" w:rsidRPr="001E419D">
        <w:t>Chief Finance Officer</w:t>
      </w:r>
      <w:r>
        <w:t xml:space="preserve"> and must comprise cash balances not expected to be required within the next two years.  The value of funds invested shall be limited to the higher of £2m or 30% of the </w:t>
      </w:r>
      <w:r w:rsidR="007A4817">
        <w:t>Commissioner</w:t>
      </w:r>
      <w:r>
        <w:t>’s net cash funds.</w:t>
      </w:r>
    </w:p>
    <w:p w:rsidR="006165A4" w:rsidRPr="006368AE" w:rsidRDefault="006165A4" w:rsidP="006165A4">
      <w:pPr>
        <w:pStyle w:val="Heading1"/>
        <w:rPr>
          <w:lang w:val="en-GB"/>
        </w:rPr>
      </w:pPr>
      <w:r w:rsidRPr="006368AE">
        <w:rPr>
          <w:lang w:val="en-GB"/>
        </w:rPr>
        <w:t>Liquidity risk management</w:t>
      </w:r>
    </w:p>
    <w:p w:rsidR="009E1245" w:rsidRPr="006368AE" w:rsidRDefault="00AC7EFB" w:rsidP="006777F4">
      <w:pPr>
        <w:pStyle w:val="BodyText2"/>
      </w:pPr>
      <w:r w:rsidRPr="006368AE">
        <w:t>T</w:t>
      </w:r>
      <w:r w:rsidR="003363B3" w:rsidRPr="006368AE">
        <w:t xml:space="preserve">he </w:t>
      </w:r>
      <w:r w:rsidR="007A4817">
        <w:t>Commissioner</w:t>
      </w:r>
      <w:r w:rsidR="003363B3" w:rsidRPr="006368AE">
        <w:t xml:space="preserve"> will ensure it has adequate though not excessive cash resources, borrowing arrangements, </w:t>
      </w:r>
      <w:r w:rsidR="00D07F6D" w:rsidRPr="006368AE">
        <w:t>and overdraft</w:t>
      </w:r>
      <w:r w:rsidR="003363B3" w:rsidRPr="006368AE">
        <w:t xml:space="preserve"> facilities to enable it to have the level of funds available to it which are necessary for the achievement of its service objectives. The </w:t>
      </w:r>
      <w:r w:rsidR="007A4817">
        <w:t>Commissioner</w:t>
      </w:r>
      <w:r w:rsidR="003363B3" w:rsidRPr="006368AE">
        <w:t xml:space="preserve"> will only borrow in advance of need where there is a clear case for doing so and will only do so for the current </w:t>
      </w:r>
      <w:r w:rsidRPr="006368AE">
        <w:t xml:space="preserve">years </w:t>
      </w:r>
      <w:r w:rsidR="003363B3" w:rsidRPr="006368AE">
        <w:t>capital programme or to finance future debt maturities.</w:t>
      </w:r>
      <w:r w:rsidR="009E1245" w:rsidRPr="006368AE">
        <w:t xml:space="preserve"> </w:t>
      </w:r>
    </w:p>
    <w:p w:rsidR="00AC7EFB" w:rsidRPr="006368AE" w:rsidRDefault="009E1245" w:rsidP="006777F4">
      <w:pPr>
        <w:pStyle w:val="BodyText2"/>
        <w:rPr>
          <w:snapToGrid w:val="0"/>
        </w:rPr>
      </w:pPr>
      <w:r w:rsidRPr="006368AE">
        <w:t>Long-term borrowing, undertaken for periods in excess of 364 days, will only be undertaken for the purpose of financing capital spending.  Short-term borrowing will be undertaken to cover temporary shortfalls of cash arising from timing differences between income and expenditure.  It may also be used to temporarily finance capital spending, if the long-term borrowing rates are not favourable, in order to defer longer-term borrowing until interest rates are more advantageous.  C</w:t>
      </w:r>
      <w:r w:rsidRPr="006368AE">
        <w:rPr>
          <w:snapToGrid w:val="0"/>
        </w:rPr>
        <w:t xml:space="preserve">onsideration will therefore be given to a mix of short and long-term borrowing, having regard to the cash flow position and prevailing interest rates.  </w:t>
      </w:r>
    </w:p>
    <w:p w:rsidR="009E1245" w:rsidRPr="006368AE" w:rsidRDefault="009E1245" w:rsidP="006777F4">
      <w:pPr>
        <w:pStyle w:val="BodyText2"/>
        <w:rPr>
          <w:snapToGrid w:val="0"/>
        </w:rPr>
      </w:pPr>
      <w:r w:rsidRPr="006368AE">
        <w:rPr>
          <w:snapToGrid w:val="0"/>
        </w:rPr>
        <w:t xml:space="preserve">Borrowing will not be undertaken </w:t>
      </w:r>
      <w:r w:rsidR="00AC7EFB" w:rsidRPr="006368AE">
        <w:rPr>
          <w:snapToGrid w:val="0"/>
        </w:rPr>
        <w:t xml:space="preserve">solely </w:t>
      </w:r>
      <w:r w:rsidRPr="006368AE">
        <w:rPr>
          <w:snapToGrid w:val="0"/>
        </w:rPr>
        <w:t>for the purposes of profiting from onward investment.</w:t>
      </w:r>
    </w:p>
    <w:p w:rsidR="009E1245" w:rsidRPr="006368AE" w:rsidRDefault="009E1245" w:rsidP="006777F4">
      <w:pPr>
        <w:pStyle w:val="BodyText2"/>
        <w:rPr>
          <w:snapToGrid w:val="0"/>
        </w:rPr>
      </w:pPr>
      <w:r w:rsidRPr="006368AE">
        <w:rPr>
          <w:snapToGrid w:val="0"/>
        </w:rPr>
        <w:t xml:space="preserve">Short term borrowing will only be undertaken in accordance with the arrangements in place with the </w:t>
      </w:r>
      <w:r w:rsidR="007A4817">
        <w:rPr>
          <w:snapToGrid w:val="0"/>
        </w:rPr>
        <w:t>Commissioner</w:t>
      </w:r>
      <w:r w:rsidR="0083577C">
        <w:rPr>
          <w:snapToGrid w:val="0"/>
        </w:rPr>
        <w:t xml:space="preserve">’s bankers (Lloyds </w:t>
      </w:r>
      <w:r w:rsidRPr="006368AE">
        <w:rPr>
          <w:snapToGrid w:val="0"/>
        </w:rPr>
        <w:t>plc).  In February 201</w:t>
      </w:r>
      <w:r w:rsidR="00582DAE">
        <w:rPr>
          <w:snapToGrid w:val="0"/>
        </w:rPr>
        <w:t>9</w:t>
      </w:r>
      <w:r w:rsidRPr="006368AE">
        <w:rPr>
          <w:snapToGrid w:val="0"/>
        </w:rPr>
        <w:t>, these arrangements provide for a short term overdraft facility of £0.5m.</w:t>
      </w:r>
    </w:p>
    <w:p w:rsidR="009E1245" w:rsidRPr="006368AE" w:rsidRDefault="009E1245" w:rsidP="006777F4">
      <w:pPr>
        <w:pStyle w:val="BodyText2"/>
        <w:rPr>
          <w:snapToGrid w:val="0"/>
        </w:rPr>
      </w:pPr>
      <w:r w:rsidRPr="006368AE">
        <w:rPr>
          <w:snapToGrid w:val="0"/>
        </w:rPr>
        <w:t xml:space="preserve">It is the government’s aim that the Public Works Loan Board (PWLB) should be able to meet all of </w:t>
      </w:r>
      <w:r w:rsidR="009267FF">
        <w:rPr>
          <w:snapToGrid w:val="0"/>
        </w:rPr>
        <w:t>the</w:t>
      </w:r>
      <w:r w:rsidRPr="006368AE">
        <w:rPr>
          <w:snapToGrid w:val="0"/>
        </w:rPr>
        <w:t xml:space="preserve"> </w:t>
      </w:r>
      <w:r w:rsidR="007A4817">
        <w:rPr>
          <w:snapToGrid w:val="0"/>
        </w:rPr>
        <w:t>Commissioner</w:t>
      </w:r>
      <w:r w:rsidRPr="006368AE">
        <w:rPr>
          <w:snapToGrid w:val="0"/>
        </w:rPr>
        <w:t>’s legitimate need for long-term loans.  It is therefore anticipated that if it is necessary to undertake long-term borrowing within the forthcoming year this will be secured from the PWLB.  Alternative borrowing arrangements from the money market or other financing options will continue to be considered as well.</w:t>
      </w:r>
    </w:p>
    <w:p w:rsidR="00AC7EFB" w:rsidRPr="006368AE" w:rsidRDefault="00AC7EFB" w:rsidP="00AC7EFB">
      <w:pPr>
        <w:pStyle w:val="Heading1"/>
        <w:rPr>
          <w:lang w:val="en-GB"/>
        </w:rPr>
      </w:pPr>
      <w:r w:rsidRPr="006368AE">
        <w:rPr>
          <w:lang w:val="en-GB"/>
        </w:rPr>
        <w:t>Interest rate risk management</w:t>
      </w:r>
    </w:p>
    <w:p w:rsidR="003363B3" w:rsidRPr="006368AE" w:rsidRDefault="00AC7EFB" w:rsidP="006777F4">
      <w:pPr>
        <w:pStyle w:val="BodyText2"/>
      </w:pPr>
      <w:r w:rsidRPr="006368AE">
        <w:t>T</w:t>
      </w:r>
      <w:r w:rsidR="003363B3" w:rsidRPr="006368AE">
        <w:t xml:space="preserve">he </w:t>
      </w:r>
      <w:r w:rsidR="007A4817">
        <w:t>Commissioner</w:t>
      </w:r>
      <w:r w:rsidR="003363B3" w:rsidRPr="006368AE">
        <w:t xml:space="preserve"> will manage its exposure to fluctuations in interest rates with a view to containing its interest costs, or securing its interest revenues</w:t>
      </w:r>
      <w:r w:rsidR="0020615C" w:rsidRPr="006368AE">
        <w:t>. It will achieve this by the prudent use of its approved financing and investment instruments, methods and techniques to create stability and certainty of costs and revenues, at the same time retaining a sufficient degree of flexibility to take advantage of unexpected, potentially advantageous changes in the level or structure of interest rates.</w:t>
      </w:r>
    </w:p>
    <w:p w:rsidR="00C1501E" w:rsidRPr="006368AE" w:rsidRDefault="00C1501E" w:rsidP="006777F4">
      <w:pPr>
        <w:pStyle w:val="BodyText2"/>
      </w:pPr>
      <w:r w:rsidRPr="006368AE">
        <w:t xml:space="preserve">The </w:t>
      </w:r>
      <w:r w:rsidR="007A4817">
        <w:t>Commissioner</w:t>
      </w:r>
      <w:r w:rsidRPr="006368AE">
        <w:t xml:space="preserve"> set the following upper limits on net exposure to variable and fixed interest rates:</w:t>
      </w:r>
    </w:p>
    <w:p w:rsidR="00C1501E" w:rsidRPr="006368AE" w:rsidRDefault="00AB1242" w:rsidP="00406393">
      <w:pPr>
        <w:pStyle w:val="StyleBodyText3Centered"/>
        <w:rPr>
          <w:rStyle w:val="StyleArialChar"/>
          <w:lang w:val="en-GB"/>
        </w:rPr>
      </w:pPr>
      <w:r>
        <w:rPr>
          <w:noProof/>
          <w:lang w:val="en-GB" w:eastAsia="en-GB"/>
        </w:rPr>
        <w:pict>
          <v:shape id="_x0000_i1040" type="#_x0000_t75" style="width:386.25pt;height:75.75pt">
            <v:imagedata r:id="rId35" o:title=""/>
          </v:shape>
        </w:pict>
      </w:r>
    </w:p>
    <w:p w:rsidR="00C1501E" w:rsidRPr="006368AE" w:rsidRDefault="00C1501E" w:rsidP="006777F4">
      <w:pPr>
        <w:pStyle w:val="BodyText2"/>
        <w:rPr>
          <w:rStyle w:val="StyleArialChar"/>
        </w:rPr>
      </w:pPr>
      <w:r w:rsidRPr="006368AE">
        <w:rPr>
          <w:rStyle w:val="StyleArialChar"/>
        </w:rPr>
        <w:t xml:space="preserve">These limits were set based on </w:t>
      </w:r>
      <w:r w:rsidR="00AC7EFB" w:rsidRPr="006368AE">
        <w:rPr>
          <w:rStyle w:val="StyleArialChar"/>
        </w:rPr>
        <w:t xml:space="preserve">limiting </w:t>
      </w:r>
      <w:r w:rsidRPr="006368AE">
        <w:rPr>
          <w:rStyle w:val="StyleArialChar"/>
        </w:rPr>
        <w:t xml:space="preserve">surplus </w:t>
      </w:r>
      <w:r w:rsidR="00AC7EFB" w:rsidRPr="006368AE">
        <w:rPr>
          <w:rStyle w:val="StyleArialChar"/>
        </w:rPr>
        <w:t xml:space="preserve">cash </w:t>
      </w:r>
      <w:r w:rsidRPr="006368AE">
        <w:rPr>
          <w:rStyle w:val="StyleArialChar"/>
        </w:rPr>
        <w:t>balances which are inves</w:t>
      </w:r>
      <w:r w:rsidR="00676603" w:rsidRPr="006368AE">
        <w:rPr>
          <w:rStyle w:val="StyleArialChar"/>
        </w:rPr>
        <w:t xml:space="preserve">ted </w:t>
      </w:r>
      <w:r w:rsidR="00AC7EFB" w:rsidRPr="006368AE">
        <w:rPr>
          <w:rStyle w:val="StyleArialChar"/>
        </w:rPr>
        <w:t>at</w:t>
      </w:r>
      <w:r w:rsidRPr="006368AE">
        <w:rPr>
          <w:rStyle w:val="StyleArialChar"/>
        </w:rPr>
        <w:t xml:space="preserve"> variable rates of interest and to reflect the current practice of securing all long-term loans at fixed rates. </w:t>
      </w:r>
      <w:r w:rsidR="0004132F" w:rsidRPr="006368AE">
        <w:rPr>
          <w:rStyle w:val="StyleArialChar"/>
        </w:rPr>
        <w:t>The position for 201</w:t>
      </w:r>
      <w:r w:rsidR="00582DAE">
        <w:rPr>
          <w:rStyle w:val="StyleArialChar"/>
        </w:rPr>
        <w:t>8</w:t>
      </w:r>
      <w:r w:rsidR="0004132F" w:rsidRPr="006368AE">
        <w:rPr>
          <w:rStyle w:val="StyleArialChar"/>
        </w:rPr>
        <w:t>/1</w:t>
      </w:r>
      <w:r w:rsidR="00582DAE">
        <w:rPr>
          <w:rStyle w:val="StyleArialChar"/>
        </w:rPr>
        <w:t>9</w:t>
      </w:r>
      <w:r w:rsidR="0004132F" w:rsidRPr="006368AE">
        <w:rPr>
          <w:rStyle w:val="StyleArialChar"/>
        </w:rPr>
        <w:t xml:space="preserve"> is set out in the chart below:</w:t>
      </w:r>
    </w:p>
    <w:p w:rsidR="0004132F" w:rsidRPr="006368AE" w:rsidRDefault="00AB1242" w:rsidP="00C57A70">
      <w:pPr>
        <w:pStyle w:val="StyleBodyText3Centered"/>
        <w:rPr>
          <w:rStyle w:val="StyleArialChar"/>
        </w:rPr>
      </w:pPr>
      <w:r>
        <w:rPr>
          <w:rStyle w:val="StyleArialChar"/>
        </w:rPr>
        <w:pict>
          <v:shape id="_x0000_i1041" type="#_x0000_t75" style="width:474.75pt;height:267.75pt">
            <v:imagedata r:id="rId36" o:title=""/>
          </v:shape>
        </w:pict>
      </w:r>
    </w:p>
    <w:p w:rsidR="00AC7EFB" w:rsidRPr="006368AE" w:rsidRDefault="00AC7EFB" w:rsidP="00AC7EFB">
      <w:pPr>
        <w:pStyle w:val="Heading1"/>
        <w:rPr>
          <w:lang w:val="en-GB"/>
        </w:rPr>
      </w:pPr>
      <w:r w:rsidRPr="006368AE">
        <w:rPr>
          <w:lang w:val="en-GB"/>
        </w:rPr>
        <w:t>E</w:t>
      </w:r>
      <w:r w:rsidR="00412278">
        <w:rPr>
          <w:lang w:val="en-GB"/>
        </w:rPr>
        <w:t>xchange rate risk management</w:t>
      </w:r>
    </w:p>
    <w:p w:rsidR="0020615C" w:rsidRPr="006368AE" w:rsidRDefault="00AC7EFB" w:rsidP="006777F4">
      <w:pPr>
        <w:pStyle w:val="BodyText2"/>
      </w:pPr>
      <w:r w:rsidRPr="006368AE">
        <w:t>T</w:t>
      </w:r>
      <w:r w:rsidR="0020615C" w:rsidRPr="006368AE">
        <w:t xml:space="preserve">he </w:t>
      </w:r>
      <w:r w:rsidR="007A4817">
        <w:t>Commissioner</w:t>
      </w:r>
      <w:r w:rsidR="0020615C" w:rsidRPr="006368AE">
        <w:t xml:space="preserve"> will manage its exposure to fluctuations in exchange rates so as to minimise any detrimental impact on its bud</w:t>
      </w:r>
      <w:r w:rsidR="009E1245" w:rsidRPr="006368AE">
        <w:t>geted income/expenditure levels.</w:t>
      </w:r>
    </w:p>
    <w:p w:rsidR="00AC7EFB" w:rsidRPr="006368AE" w:rsidRDefault="00AC7EFB" w:rsidP="00AC7EFB">
      <w:pPr>
        <w:pStyle w:val="Heading1"/>
        <w:rPr>
          <w:lang w:val="en-GB"/>
        </w:rPr>
      </w:pPr>
      <w:r w:rsidRPr="006368AE">
        <w:rPr>
          <w:lang w:val="en-GB"/>
        </w:rPr>
        <w:t>R</w:t>
      </w:r>
      <w:r w:rsidR="00BD7AF7" w:rsidRPr="006368AE">
        <w:rPr>
          <w:lang w:val="en-GB"/>
        </w:rPr>
        <w:t>efinancing risk management</w:t>
      </w:r>
    </w:p>
    <w:p w:rsidR="0089660D" w:rsidRPr="006368AE" w:rsidRDefault="00AC7EFB" w:rsidP="006777F4">
      <w:pPr>
        <w:pStyle w:val="BodyText2"/>
      </w:pPr>
      <w:r w:rsidRPr="006368AE">
        <w:t>T</w:t>
      </w:r>
      <w:r w:rsidR="00BD7AF7" w:rsidRPr="006368AE">
        <w:t xml:space="preserve">he </w:t>
      </w:r>
      <w:r w:rsidR="007A4817">
        <w:t>Commissioner</w:t>
      </w:r>
      <w:r w:rsidR="00BD7AF7" w:rsidRPr="006368AE">
        <w:t xml:space="preserve"> will ensure that its borrowing, private financing and partnership arrangements are negotiated, structured and documented, and the maturity profile of the monies so raised </w:t>
      </w:r>
      <w:r w:rsidR="0089660D" w:rsidRPr="006368AE">
        <w:t>are managed, with a view to obtaining offer terms for renewal or refinancing, if required, which are competitive and as favourable to the organisation as can reasonably be achieved in the light of market conditions prevailing at the time.</w:t>
      </w:r>
    </w:p>
    <w:p w:rsidR="00AC7EFB" w:rsidRPr="006368AE" w:rsidRDefault="00AC7EFB" w:rsidP="00AC7EFB">
      <w:pPr>
        <w:pStyle w:val="Heading1"/>
        <w:rPr>
          <w:lang w:val="en-GB"/>
        </w:rPr>
      </w:pPr>
      <w:r w:rsidRPr="006368AE">
        <w:rPr>
          <w:lang w:val="en-GB"/>
        </w:rPr>
        <w:t>L</w:t>
      </w:r>
      <w:r w:rsidR="0089660D" w:rsidRPr="006368AE">
        <w:rPr>
          <w:lang w:val="en-GB"/>
        </w:rPr>
        <w:t>egal and regulatory risk management</w:t>
      </w:r>
    </w:p>
    <w:p w:rsidR="005C013A" w:rsidRPr="006368AE" w:rsidRDefault="00AC7EFB" w:rsidP="006777F4">
      <w:pPr>
        <w:pStyle w:val="BodyText2"/>
      </w:pPr>
      <w:r w:rsidRPr="006368AE">
        <w:t>T</w:t>
      </w:r>
      <w:r w:rsidR="0089660D" w:rsidRPr="006368AE">
        <w:t xml:space="preserve">he </w:t>
      </w:r>
      <w:r w:rsidR="007A4817">
        <w:t>Commissioner</w:t>
      </w:r>
      <w:r w:rsidR="0089660D" w:rsidRPr="006368AE">
        <w:t xml:space="preserve"> will ensure that all of its treasury management activities comply with its statutory powers and regulatory requirements.</w:t>
      </w:r>
    </w:p>
    <w:p w:rsidR="00AC7EFB" w:rsidRPr="006368AE" w:rsidRDefault="00AC7EFB" w:rsidP="00AC7EFB">
      <w:pPr>
        <w:pStyle w:val="Heading1"/>
        <w:rPr>
          <w:lang w:val="en-GB"/>
        </w:rPr>
      </w:pPr>
      <w:r w:rsidRPr="006368AE">
        <w:rPr>
          <w:lang w:val="en-GB"/>
        </w:rPr>
        <w:t>F</w:t>
      </w:r>
      <w:r w:rsidR="005C013A" w:rsidRPr="006368AE">
        <w:rPr>
          <w:lang w:val="en-GB"/>
        </w:rPr>
        <w:t>raud, error and corruption, and contingency management</w:t>
      </w:r>
    </w:p>
    <w:p w:rsidR="00657054" w:rsidRPr="006368AE" w:rsidRDefault="00AC7EFB" w:rsidP="006777F4">
      <w:pPr>
        <w:pStyle w:val="BodyText2"/>
      </w:pPr>
      <w:r w:rsidRPr="006368AE">
        <w:t>T</w:t>
      </w:r>
      <w:r w:rsidR="005C013A" w:rsidRPr="006368AE">
        <w:t xml:space="preserve">he </w:t>
      </w:r>
      <w:r w:rsidR="007A4817">
        <w:t>Commissioner</w:t>
      </w:r>
      <w:r w:rsidR="005C013A" w:rsidRPr="006368AE">
        <w:t xml:space="preserve"> will ensure that it has identified the circumstances which may expose it to the risk of loss through fraud, error, corruption or other eventualities in its treasury management dealings. Accordingly, it will employ suitable </w:t>
      </w:r>
      <w:r w:rsidR="00657054" w:rsidRPr="006368AE">
        <w:t>systems and procedures, and will maintain effective contingency management arrangements.</w:t>
      </w:r>
    </w:p>
    <w:p w:rsidR="00AC7EFB" w:rsidRPr="006368AE" w:rsidRDefault="00AC7EFB" w:rsidP="00AC7EFB">
      <w:pPr>
        <w:pStyle w:val="Heading1"/>
        <w:rPr>
          <w:lang w:val="en-GB"/>
        </w:rPr>
      </w:pPr>
      <w:r w:rsidRPr="006368AE">
        <w:rPr>
          <w:lang w:val="en-GB"/>
        </w:rPr>
        <w:t>M</w:t>
      </w:r>
      <w:r w:rsidR="00657054" w:rsidRPr="006368AE">
        <w:rPr>
          <w:lang w:val="en-GB"/>
        </w:rPr>
        <w:t>arket risk management</w:t>
      </w:r>
    </w:p>
    <w:p w:rsidR="00BD7AF7" w:rsidRPr="006368AE" w:rsidRDefault="00AC7EFB" w:rsidP="006777F4">
      <w:pPr>
        <w:pStyle w:val="BodyText2"/>
      </w:pPr>
      <w:r w:rsidRPr="006368AE">
        <w:t>T</w:t>
      </w:r>
      <w:r w:rsidR="00657054" w:rsidRPr="006368AE">
        <w:t xml:space="preserve">he </w:t>
      </w:r>
      <w:r w:rsidR="007A4817">
        <w:t>Commissioner</w:t>
      </w:r>
      <w:r w:rsidR="00657054" w:rsidRPr="006368AE">
        <w:t xml:space="preserve"> will</w:t>
      </w:r>
      <w:r w:rsidR="001346EB" w:rsidRPr="006368AE">
        <w:t xml:space="preserve"> seek to ensure that its stated treasury management policies and objectives will not be compromised by adverse market fluctuations in the value of the principal sums it invests, and will accordingly seek to protect </w:t>
      </w:r>
      <w:r w:rsidR="006368AE" w:rsidRPr="006368AE">
        <w:t>it</w:t>
      </w:r>
      <w:r w:rsidR="001346EB" w:rsidRPr="006368AE">
        <w:t xml:space="preserve"> from the effects of such fluctuations. </w:t>
      </w:r>
      <w:r w:rsidR="00657054" w:rsidRPr="006368AE">
        <w:t xml:space="preserve"> </w:t>
      </w:r>
      <w:r w:rsidR="005C013A" w:rsidRPr="006368AE">
        <w:t xml:space="preserve"> </w:t>
      </w:r>
      <w:r w:rsidR="00BD7AF7" w:rsidRPr="006368AE">
        <w:t xml:space="preserve"> </w:t>
      </w:r>
    </w:p>
    <w:p w:rsidR="005F3D66" w:rsidRPr="006368AE" w:rsidRDefault="00105273" w:rsidP="00AC7EFB">
      <w:pPr>
        <w:pStyle w:val="Heading1"/>
        <w:rPr>
          <w:lang w:val="en-GB"/>
        </w:rPr>
      </w:pPr>
      <w:r w:rsidRPr="006368AE">
        <w:rPr>
          <w:lang w:val="en-GB"/>
        </w:rPr>
        <w:t xml:space="preserve">2 </w:t>
      </w:r>
      <w:r w:rsidR="00586190" w:rsidRPr="006368AE">
        <w:rPr>
          <w:lang w:val="en-GB"/>
        </w:rPr>
        <w:t>Performance measurement</w:t>
      </w:r>
    </w:p>
    <w:p w:rsidR="00B5526A" w:rsidRPr="006368AE" w:rsidRDefault="00B5526A" w:rsidP="006777F4">
      <w:pPr>
        <w:pStyle w:val="BodyText2"/>
      </w:pPr>
      <w:r w:rsidRPr="006368AE">
        <w:t xml:space="preserve">The </w:t>
      </w:r>
      <w:r w:rsidR="007A4817">
        <w:t>Commissioner</w:t>
      </w:r>
      <w:r w:rsidRPr="006368AE">
        <w:t xml:space="preserve"> is committed to the pursuit of value for money in its treasury management activities, and to the use of performance methodology in support of that aim, within the framework set out in its treasury management policy statement.</w:t>
      </w:r>
      <w:r w:rsidR="0017411D" w:rsidRPr="006368AE">
        <w:t xml:space="preserve"> Accordingly the treasury management function will be the subject of </w:t>
      </w:r>
      <w:r w:rsidR="006368AE" w:rsidRPr="006368AE">
        <w:t>on-going</w:t>
      </w:r>
      <w:r w:rsidR="0017411D" w:rsidRPr="006368AE">
        <w:t xml:space="preserve"> analysis of the value it adds in support of the </w:t>
      </w:r>
      <w:r w:rsidR="007A4817">
        <w:t>Commissioner</w:t>
      </w:r>
      <w:r w:rsidR="0017411D" w:rsidRPr="006368AE">
        <w:t xml:space="preserve">’s service objectives. It will be the subject of regular examination of alternative methods of service delivery, of the availability of fiscal or other grant or subsidy incentives, and of the scope for other potential improvements.  </w:t>
      </w:r>
    </w:p>
    <w:p w:rsidR="00586190" w:rsidRPr="006368AE" w:rsidRDefault="00105273" w:rsidP="00AC7EFB">
      <w:pPr>
        <w:pStyle w:val="Heading1"/>
        <w:rPr>
          <w:lang w:val="en-GB"/>
        </w:rPr>
      </w:pPr>
      <w:r w:rsidRPr="006368AE">
        <w:rPr>
          <w:lang w:val="en-GB"/>
        </w:rPr>
        <w:t xml:space="preserve">3 </w:t>
      </w:r>
      <w:r w:rsidR="00586190" w:rsidRPr="006368AE">
        <w:rPr>
          <w:lang w:val="en-GB"/>
        </w:rPr>
        <w:t>Decision-making and analysis</w:t>
      </w:r>
    </w:p>
    <w:p w:rsidR="0017411D" w:rsidRPr="006368AE" w:rsidRDefault="0017411D" w:rsidP="006777F4">
      <w:pPr>
        <w:pStyle w:val="BodyText2"/>
      </w:pPr>
      <w:r w:rsidRPr="006368AE">
        <w:t xml:space="preserve">The </w:t>
      </w:r>
      <w:r w:rsidR="007A4817">
        <w:t>Commissioner</w:t>
      </w:r>
      <w:r w:rsidRPr="006368AE">
        <w:t xml:space="preserve"> will mainta</w:t>
      </w:r>
      <w:r w:rsidR="00670086" w:rsidRPr="006368AE">
        <w:t xml:space="preserve">in full records of its treasury </w:t>
      </w:r>
      <w:r w:rsidR="00136D19" w:rsidRPr="006368AE">
        <w:t xml:space="preserve">management decisions, and of the processes and practices applied in reaching those decisions, both for the purposes of learning from the past, and for demonstrating that reasonable steps were taken to ensure that all issues relevant to those decisions were taken into account at the time. </w:t>
      </w:r>
    </w:p>
    <w:p w:rsidR="00586190" w:rsidRPr="006368AE" w:rsidRDefault="00105273" w:rsidP="00AC7EFB">
      <w:pPr>
        <w:pStyle w:val="Heading1"/>
        <w:rPr>
          <w:lang w:val="en-GB"/>
        </w:rPr>
      </w:pPr>
      <w:r w:rsidRPr="006368AE">
        <w:rPr>
          <w:lang w:val="en-GB"/>
        </w:rPr>
        <w:t xml:space="preserve">4 </w:t>
      </w:r>
      <w:r w:rsidR="00586190" w:rsidRPr="006368AE">
        <w:rPr>
          <w:lang w:val="en-GB"/>
        </w:rPr>
        <w:t>Approved instruments, methods and techniques</w:t>
      </w:r>
    </w:p>
    <w:p w:rsidR="00F90C7C" w:rsidRPr="006368AE" w:rsidRDefault="001346EB" w:rsidP="006777F4">
      <w:pPr>
        <w:pStyle w:val="BodyText2"/>
        <w:rPr>
          <w:i/>
        </w:rPr>
      </w:pPr>
      <w:r w:rsidRPr="006368AE">
        <w:rPr>
          <w:rStyle w:val="StyleArialChar"/>
        </w:rPr>
        <w:t xml:space="preserve">The </w:t>
      </w:r>
      <w:r w:rsidR="007A4817">
        <w:rPr>
          <w:rStyle w:val="StyleArialChar"/>
        </w:rPr>
        <w:t>Commissioner</w:t>
      </w:r>
      <w:r w:rsidRPr="006368AE">
        <w:rPr>
          <w:rStyle w:val="StyleArialChar"/>
        </w:rPr>
        <w:t xml:space="preserve"> will undertake its treasury management activities by employing appropriate instruments, methods and techniques, and within the limits and parameters defined in </w:t>
      </w:r>
      <w:r w:rsidRPr="006368AE">
        <w:rPr>
          <w:i/>
        </w:rPr>
        <w:t>TMP1 Risk management.</w:t>
      </w:r>
    </w:p>
    <w:p w:rsidR="00586190" w:rsidRPr="006368AE" w:rsidRDefault="00105273" w:rsidP="00AC7EFB">
      <w:pPr>
        <w:pStyle w:val="Heading1"/>
        <w:rPr>
          <w:lang w:val="en-GB"/>
        </w:rPr>
      </w:pPr>
      <w:r w:rsidRPr="006368AE">
        <w:rPr>
          <w:lang w:val="en-GB"/>
        </w:rPr>
        <w:t xml:space="preserve">5 </w:t>
      </w:r>
      <w:r w:rsidR="00586190" w:rsidRPr="006368AE">
        <w:rPr>
          <w:lang w:val="en-GB"/>
        </w:rPr>
        <w:t>Organisation, clarity and segregation of responsibilities, and dealing arrangements</w:t>
      </w:r>
    </w:p>
    <w:p w:rsidR="004355EC" w:rsidRPr="006368AE" w:rsidRDefault="00426404" w:rsidP="006777F4">
      <w:pPr>
        <w:pStyle w:val="BodyText2"/>
      </w:pPr>
      <w:r w:rsidRPr="006368AE">
        <w:t xml:space="preserve">The </w:t>
      </w:r>
      <w:r w:rsidR="007A4817">
        <w:t>Commissioner</w:t>
      </w:r>
      <w:r w:rsidRPr="006368AE">
        <w:t xml:space="preserve"> </w:t>
      </w:r>
      <w:r w:rsidR="00A65478" w:rsidRPr="006368AE">
        <w:t>considers it essential that all treasury management activities are structured and managed in a fully integrated manner and that there is at all</w:t>
      </w:r>
      <w:r w:rsidR="00EA7AE8" w:rsidRPr="006368AE">
        <w:t xml:space="preserve"> </w:t>
      </w:r>
      <w:r w:rsidR="00A65478" w:rsidRPr="006368AE">
        <w:t>times</w:t>
      </w:r>
      <w:r w:rsidR="006C3952" w:rsidRPr="006368AE">
        <w:t xml:space="preserve"> </w:t>
      </w:r>
      <w:r w:rsidR="00A65478" w:rsidRPr="006368AE">
        <w:t xml:space="preserve">clarity of treasury management </w:t>
      </w:r>
      <w:r w:rsidR="00176F8E" w:rsidRPr="006368AE">
        <w:t>responsibilities. The principles on which this will be based is a clear distinction between those charged with setting treasury management policies and those charged with implementing and controlling these policies.</w:t>
      </w:r>
    </w:p>
    <w:p w:rsidR="00973ECD" w:rsidRDefault="00176F8E" w:rsidP="00BE3F5D">
      <w:pPr>
        <w:pStyle w:val="BodyText2"/>
      </w:pPr>
      <w:r w:rsidRPr="006368AE">
        <w:t>The responsible officer will ensure that there are clear written statements of the responsibil</w:t>
      </w:r>
      <w:r w:rsidR="002B356D" w:rsidRPr="006368AE">
        <w:t>ities for those engaged in treasury management, ensure that policies and procedures are followed at all times and ensure that t</w:t>
      </w:r>
      <w:r w:rsidR="00DD30B9" w:rsidRPr="006368AE">
        <w:t>here is proper documentation for all deals and transactions.</w:t>
      </w:r>
    </w:p>
    <w:p w:rsidR="00586190" w:rsidRPr="006368AE" w:rsidRDefault="00105273" w:rsidP="00AC7EFB">
      <w:pPr>
        <w:pStyle w:val="Heading1"/>
        <w:rPr>
          <w:lang w:val="en-GB"/>
        </w:rPr>
      </w:pPr>
      <w:r w:rsidRPr="006368AE">
        <w:rPr>
          <w:lang w:val="en-GB"/>
        </w:rPr>
        <w:t xml:space="preserve">6 </w:t>
      </w:r>
      <w:r w:rsidR="00586190" w:rsidRPr="006368AE">
        <w:rPr>
          <w:lang w:val="en-GB"/>
        </w:rPr>
        <w:t>Reporting requirements and management information arrangements</w:t>
      </w:r>
    </w:p>
    <w:p w:rsidR="00AC2D03" w:rsidRPr="006368AE" w:rsidRDefault="00426404" w:rsidP="006777F4">
      <w:pPr>
        <w:pStyle w:val="BodyText2"/>
      </w:pPr>
      <w:r w:rsidRPr="001E419D">
        <w:t xml:space="preserve">The </w:t>
      </w:r>
      <w:r w:rsidR="001E419D">
        <w:t>Chief Finance Officer</w:t>
      </w:r>
      <w:r w:rsidRPr="006368AE">
        <w:t xml:space="preserve"> will ensure that regular reports are prepared and considered on the implementation of its treasury management policies.</w:t>
      </w:r>
    </w:p>
    <w:p w:rsidR="00426404" w:rsidRPr="006368AE" w:rsidRDefault="00426404" w:rsidP="006777F4">
      <w:pPr>
        <w:pStyle w:val="BodyText2"/>
      </w:pPr>
      <w:r w:rsidRPr="006368AE">
        <w:t xml:space="preserve">The </w:t>
      </w:r>
      <w:r w:rsidR="007A4817">
        <w:t>Commissioner</w:t>
      </w:r>
      <w:r w:rsidRPr="006368AE">
        <w:t xml:space="preserve"> will receive</w:t>
      </w:r>
      <w:r w:rsidR="00AC7EFB" w:rsidRPr="006368AE">
        <w:t xml:space="preserve"> </w:t>
      </w:r>
      <w:r w:rsidRPr="006368AE">
        <w:t>an annual report on the strategy and plan for the coming year</w:t>
      </w:r>
      <w:r w:rsidR="00AC7EFB" w:rsidRPr="006368AE">
        <w:t xml:space="preserve">.  </w:t>
      </w:r>
      <w:r w:rsidR="00AC7EFB" w:rsidRPr="00C27B2B">
        <w:t xml:space="preserve">The </w:t>
      </w:r>
      <w:r w:rsidR="009267FF" w:rsidRPr="00C27B2B">
        <w:t>Performance and Resources Board</w:t>
      </w:r>
      <w:r w:rsidR="00D55635" w:rsidRPr="00C27B2B">
        <w:t xml:space="preserve"> will receive a</w:t>
      </w:r>
      <w:r w:rsidRPr="00C27B2B">
        <w:t xml:space="preserve"> mid-year review</w:t>
      </w:r>
      <w:r w:rsidR="00AC7EFB" w:rsidRPr="00C27B2B">
        <w:t xml:space="preserve"> and </w:t>
      </w:r>
      <w:r w:rsidR="00D55635" w:rsidRPr="00C27B2B">
        <w:t>an</w:t>
      </w:r>
      <w:r w:rsidRPr="00C27B2B">
        <w:t xml:space="preserve"> annual report on the performance of th</w:t>
      </w:r>
      <w:r w:rsidR="00AC7EFB" w:rsidRPr="00C27B2B">
        <w:t>e treasury management function.</w:t>
      </w:r>
    </w:p>
    <w:p w:rsidR="00586190" w:rsidRPr="006368AE" w:rsidRDefault="00105273" w:rsidP="00AC7EFB">
      <w:pPr>
        <w:pStyle w:val="Heading1"/>
        <w:rPr>
          <w:lang w:val="en-GB"/>
        </w:rPr>
      </w:pPr>
      <w:r w:rsidRPr="006368AE">
        <w:rPr>
          <w:lang w:val="en-GB"/>
        </w:rPr>
        <w:t xml:space="preserve">7 </w:t>
      </w:r>
      <w:r w:rsidR="00586190" w:rsidRPr="006368AE">
        <w:rPr>
          <w:lang w:val="en-GB"/>
        </w:rPr>
        <w:t>Budgeting, accounting and audit arrangements</w:t>
      </w:r>
    </w:p>
    <w:p w:rsidR="0054124D" w:rsidRPr="006368AE" w:rsidRDefault="005201D7" w:rsidP="006777F4">
      <w:pPr>
        <w:pStyle w:val="BodyText2"/>
      </w:pPr>
      <w:r w:rsidRPr="001E419D">
        <w:t xml:space="preserve">The </w:t>
      </w:r>
      <w:r w:rsidR="001E419D" w:rsidRPr="001E419D">
        <w:t xml:space="preserve">Chief </w:t>
      </w:r>
      <w:r w:rsidRPr="001E419D">
        <w:t xml:space="preserve">Finance </w:t>
      </w:r>
      <w:r w:rsidR="001E419D" w:rsidRPr="001E419D">
        <w:t>Officer</w:t>
      </w:r>
      <w:r w:rsidR="0054124D" w:rsidRPr="006368AE">
        <w:t xml:space="preserve"> will prepare an annual budget for treasury management, which will bring together all of the costs involved in running the treasury management f</w:t>
      </w:r>
      <w:r w:rsidRPr="006368AE">
        <w:t xml:space="preserve">unction. </w:t>
      </w:r>
      <w:r w:rsidRPr="001E419D">
        <w:t xml:space="preserve">The </w:t>
      </w:r>
      <w:r w:rsidR="001E419D" w:rsidRPr="001E419D">
        <w:t>Chief F</w:t>
      </w:r>
      <w:r w:rsidRPr="001E419D">
        <w:t xml:space="preserve">inance </w:t>
      </w:r>
      <w:r w:rsidR="001E419D" w:rsidRPr="001E419D">
        <w:t>Officer</w:t>
      </w:r>
      <w:r w:rsidR="0054124D" w:rsidRPr="001E419D">
        <w:t xml:space="preserve"> will </w:t>
      </w:r>
      <w:r w:rsidR="00AC2D03" w:rsidRPr="001E419D">
        <w:t>exercise effective controls over this budget and will report upon and</w:t>
      </w:r>
      <w:r w:rsidR="00AC2D03" w:rsidRPr="006368AE">
        <w:t xml:space="preserve"> recommend any changes required accordingly.</w:t>
      </w:r>
    </w:p>
    <w:p w:rsidR="00586190" w:rsidRPr="006368AE" w:rsidRDefault="00105273" w:rsidP="00AC7EFB">
      <w:pPr>
        <w:pStyle w:val="Heading1"/>
        <w:rPr>
          <w:lang w:val="en-GB"/>
        </w:rPr>
      </w:pPr>
      <w:r w:rsidRPr="006368AE">
        <w:rPr>
          <w:lang w:val="en-GB"/>
        </w:rPr>
        <w:t xml:space="preserve">8 </w:t>
      </w:r>
      <w:r w:rsidR="00586190" w:rsidRPr="006368AE">
        <w:rPr>
          <w:lang w:val="en-GB"/>
        </w:rPr>
        <w:t>Cash and cash flow management</w:t>
      </w:r>
    </w:p>
    <w:p w:rsidR="0054124D" w:rsidRPr="006368AE" w:rsidRDefault="0054124D" w:rsidP="006777F4">
      <w:pPr>
        <w:pStyle w:val="BodyText2"/>
      </w:pPr>
      <w:r w:rsidRPr="006368AE">
        <w:t xml:space="preserve">Unless statutory or regulatory requirements demand otherwise, all monies in the hands of the </w:t>
      </w:r>
      <w:r w:rsidR="007A4817">
        <w:t>Commissioner</w:t>
      </w:r>
      <w:r w:rsidRPr="006368AE">
        <w:t xml:space="preserve"> will be under the co</w:t>
      </w:r>
      <w:r w:rsidR="005201D7" w:rsidRPr="006368AE">
        <w:t xml:space="preserve">ntrol of </w:t>
      </w:r>
      <w:r w:rsidR="005201D7" w:rsidRPr="001E419D">
        <w:t xml:space="preserve">the </w:t>
      </w:r>
      <w:r w:rsidR="001E419D" w:rsidRPr="001E419D">
        <w:t xml:space="preserve">Chief </w:t>
      </w:r>
      <w:r w:rsidR="005201D7" w:rsidRPr="001E419D">
        <w:t xml:space="preserve">Finance </w:t>
      </w:r>
      <w:r w:rsidR="001E419D" w:rsidRPr="001E419D">
        <w:t>Officer</w:t>
      </w:r>
      <w:r w:rsidRPr="006368AE">
        <w:t>. Cash flow projections will be prepared on a regular and timely basis.</w:t>
      </w:r>
    </w:p>
    <w:p w:rsidR="00586190" w:rsidRPr="006368AE" w:rsidRDefault="00105273" w:rsidP="00AC7EFB">
      <w:pPr>
        <w:pStyle w:val="Heading1"/>
        <w:rPr>
          <w:lang w:val="en-GB"/>
        </w:rPr>
      </w:pPr>
      <w:r w:rsidRPr="006368AE">
        <w:rPr>
          <w:lang w:val="en-GB"/>
        </w:rPr>
        <w:t xml:space="preserve">9 </w:t>
      </w:r>
      <w:r w:rsidR="00586190" w:rsidRPr="006368AE">
        <w:rPr>
          <w:lang w:val="en-GB"/>
        </w:rPr>
        <w:t>Money laundering</w:t>
      </w:r>
    </w:p>
    <w:p w:rsidR="0054124D" w:rsidRPr="006368AE" w:rsidRDefault="0054124D" w:rsidP="006777F4">
      <w:pPr>
        <w:pStyle w:val="BodyText2"/>
      </w:pPr>
      <w:r w:rsidRPr="006368AE">
        <w:t xml:space="preserve">The </w:t>
      </w:r>
      <w:r w:rsidR="007A4817">
        <w:t>Commissioner</w:t>
      </w:r>
      <w:r w:rsidRPr="006368AE">
        <w:t xml:space="preserve"> is alert to the possibility that it may become the subject of an attempt to involve it in a transaction involving the laundering of money. Accordingly, it will maintain procedures for verifying and recording the identity of counterp</w:t>
      </w:r>
      <w:r w:rsidR="00CC7D38" w:rsidRPr="006368AE">
        <w:t xml:space="preserve">arties and reporting suspicions to an appropriate </w:t>
      </w:r>
      <w:r w:rsidR="007A4817">
        <w:t>Commissioner</w:t>
      </w:r>
      <w:r w:rsidR="00CC7D38" w:rsidRPr="006368AE">
        <w:t>.</w:t>
      </w:r>
    </w:p>
    <w:p w:rsidR="00586190" w:rsidRPr="006368AE" w:rsidRDefault="00105273" w:rsidP="00AC7EFB">
      <w:pPr>
        <w:pStyle w:val="Heading1"/>
        <w:rPr>
          <w:lang w:val="en-GB"/>
        </w:rPr>
      </w:pPr>
      <w:r w:rsidRPr="006368AE">
        <w:rPr>
          <w:lang w:val="en-GB"/>
        </w:rPr>
        <w:t xml:space="preserve">10 </w:t>
      </w:r>
      <w:r w:rsidR="00586190" w:rsidRPr="006368AE">
        <w:rPr>
          <w:lang w:val="en-GB"/>
        </w:rPr>
        <w:t>Training and qualifications</w:t>
      </w:r>
    </w:p>
    <w:p w:rsidR="0054124D" w:rsidRPr="006368AE" w:rsidRDefault="0054124D" w:rsidP="006777F4">
      <w:pPr>
        <w:pStyle w:val="BodyText2"/>
      </w:pPr>
      <w:r w:rsidRPr="006368AE">
        <w:t xml:space="preserve">The </w:t>
      </w:r>
      <w:r w:rsidR="007A4817">
        <w:t>Commissioner</w:t>
      </w:r>
      <w:r w:rsidRPr="006368AE">
        <w:t xml:space="preserve"> recognises the importance of ensuring that all staff involved in the treasury management function </w:t>
      </w:r>
      <w:r w:rsidR="006368AE" w:rsidRPr="006368AE">
        <w:t>is</w:t>
      </w:r>
      <w:r w:rsidRPr="006368AE">
        <w:t xml:space="preserve"> fully equipped to undertake the duties and responsibilities allocated to them. </w:t>
      </w:r>
    </w:p>
    <w:p w:rsidR="00586190" w:rsidRPr="006368AE" w:rsidRDefault="00105273" w:rsidP="00AC7EFB">
      <w:pPr>
        <w:pStyle w:val="Heading1"/>
        <w:rPr>
          <w:lang w:val="en-GB"/>
        </w:rPr>
      </w:pPr>
      <w:r w:rsidRPr="006368AE">
        <w:rPr>
          <w:lang w:val="en-GB"/>
        </w:rPr>
        <w:t xml:space="preserve">11 </w:t>
      </w:r>
      <w:r w:rsidR="00586190" w:rsidRPr="006368AE">
        <w:rPr>
          <w:lang w:val="en-GB"/>
        </w:rPr>
        <w:t>Use of external service providers</w:t>
      </w:r>
    </w:p>
    <w:p w:rsidR="00EF5873" w:rsidRPr="006368AE" w:rsidRDefault="00FC3A32" w:rsidP="006777F4">
      <w:pPr>
        <w:pStyle w:val="BodyText2"/>
      </w:pPr>
      <w:r w:rsidRPr="006368AE">
        <w:t xml:space="preserve">The </w:t>
      </w:r>
      <w:r w:rsidR="007A4817">
        <w:t>Commissioner</w:t>
      </w:r>
      <w:r w:rsidRPr="006368AE">
        <w:t xml:space="preserve"> recognises that responsibility for treasury management decisions remains with the organisation at all times. It recognises that there may be potential value in employing external providers of treasury management services, in order to acquire access to specialist skills and resources. When it employs such service providers, it will ensure it does so for reasons which have been submitted to a full evaluation of the costs and benefits. It will also ensure that the terms of their appointment and the methods by which their value will be assessed are properly greed and documented, and subject to regular review. Where services are subject to formal tender, legislative requirements will always be observed.</w:t>
      </w:r>
    </w:p>
    <w:p w:rsidR="00586190" w:rsidRPr="006368AE" w:rsidRDefault="00105273" w:rsidP="00AC7EFB">
      <w:pPr>
        <w:pStyle w:val="Heading1"/>
        <w:rPr>
          <w:lang w:val="en-GB"/>
        </w:rPr>
      </w:pPr>
      <w:r w:rsidRPr="006368AE">
        <w:rPr>
          <w:lang w:val="en-GB"/>
        </w:rPr>
        <w:t xml:space="preserve">12 </w:t>
      </w:r>
      <w:r w:rsidR="00586190" w:rsidRPr="006368AE">
        <w:rPr>
          <w:lang w:val="en-GB"/>
        </w:rPr>
        <w:t>Corporate governance</w:t>
      </w:r>
    </w:p>
    <w:p w:rsidR="00B96F0E" w:rsidRPr="00973ECD" w:rsidRDefault="004355EC" w:rsidP="00973ECD">
      <w:pPr>
        <w:pStyle w:val="BodyText2"/>
      </w:pPr>
      <w:r w:rsidRPr="006368AE">
        <w:t xml:space="preserve">The </w:t>
      </w:r>
      <w:r w:rsidR="007A4817">
        <w:t>Commissioner</w:t>
      </w:r>
      <w:r w:rsidRPr="006368AE">
        <w:t xml:space="preserve"> is committed to the pursuit of proper corporate governance throughout its businesses and services, and to establishing the principles and practices by which </w:t>
      </w:r>
      <w:r w:rsidR="00FC3A32" w:rsidRPr="006368AE">
        <w:t>this can be achieved. Accordingly, the treasury management function and its activities will be undertaken with openness and transparency, honesty integrity and accountability.</w:t>
      </w:r>
    </w:p>
    <w:sectPr w:rsidR="00B96F0E" w:rsidRPr="00973ECD" w:rsidSect="0004132F">
      <w:headerReference w:type="even" r:id="rId37"/>
      <w:headerReference w:type="default" r:id="rId38"/>
      <w:headerReference w:type="first" r:id="rId39"/>
      <w:pgSz w:w="11906" w:h="16838" w:code="9"/>
      <w:pgMar w:top="357" w:right="1440" w:bottom="357" w:left="1440" w:header="357" w:footer="3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9E" w:rsidRDefault="00297F9E">
      <w:r>
        <w:separator/>
      </w:r>
    </w:p>
    <w:p w:rsidR="00297F9E" w:rsidRDefault="00297F9E"/>
    <w:p w:rsidR="00297F9E" w:rsidRDefault="00297F9E" w:rsidP="00EC135F"/>
    <w:p w:rsidR="00297F9E" w:rsidRDefault="00297F9E" w:rsidP="00EC135F"/>
    <w:p w:rsidR="00297F9E" w:rsidRDefault="00297F9E" w:rsidP="00EC135F"/>
    <w:p w:rsidR="00297F9E" w:rsidRDefault="00297F9E" w:rsidP="00EC135F"/>
    <w:p w:rsidR="00297F9E" w:rsidRDefault="00297F9E"/>
    <w:p w:rsidR="00297F9E" w:rsidRDefault="00297F9E"/>
    <w:p w:rsidR="00297F9E" w:rsidRDefault="00297F9E"/>
    <w:p w:rsidR="00297F9E" w:rsidRDefault="00297F9E"/>
    <w:p w:rsidR="00297F9E" w:rsidRDefault="00297F9E" w:rsidP="00065DAD"/>
  </w:endnote>
  <w:endnote w:type="continuationSeparator" w:id="0">
    <w:p w:rsidR="00297F9E" w:rsidRDefault="00297F9E">
      <w:r>
        <w:continuationSeparator/>
      </w:r>
    </w:p>
    <w:p w:rsidR="00297F9E" w:rsidRDefault="00297F9E"/>
    <w:p w:rsidR="00297F9E" w:rsidRDefault="00297F9E" w:rsidP="00EC135F"/>
    <w:p w:rsidR="00297F9E" w:rsidRDefault="00297F9E" w:rsidP="00EC135F"/>
    <w:p w:rsidR="00297F9E" w:rsidRDefault="00297F9E" w:rsidP="00EC135F"/>
    <w:p w:rsidR="00297F9E" w:rsidRDefault="00297F9E" w:rsidP="00EC135F"/>
    <w:p w:rsidR="00297F9E" w:rsidRDefault="00297F9E"/>
    <w:p w:rsidR="00297F9E" w:rsidRDefault="00297F9E"/>
    <w:p w:rsidR="00297F9E" w:rsidRDefault="00297F9E"/>
    <w:p w:rsidR="00297F9E" w:rsidRDefault="00297F9E"/>
    <w:p w:rsidR="00297F9E" w:rsidRDefault="00297F9E" w:rsidP="00065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0E8" w:rsidRDefault="009700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9E" w:rsidRDefault="00297F9E">
      <w:r>
        <w:separator/>
      </w:r>
    </w:p>
    <w:p w:rsidR="00297F9E" w:rsidRDefault="00297F9E"/>
    <w:p w:rsidR="00297F9E" w:rsidRDefault="00297F9E" w:rsidP="00EC135F"/>
    <w:p w:rsidR="00297F9E" w:rsidRDefault="00297F9E" w:rsidP="00EC135F"/>
    <w:p w:rsidR="00297F9E" w:rsidRDefault="00297F9E" w:rsidP="00EC135F"/>
    <w:p w:rsidR="00297F9E" w:rsidRDefault="00297F9E" w:rsidP="00EC135F"/>
    <w:p w:rsidR="00297F9E" w:rsidRDefault="00297F9E"/>
    <w:p w:rsidR="00297F9E" w:rsidRDefault="00297F9E"/>
    <w:p w:rsidR="00297F9E" w:rsidRDefault="00297F9E"/>
    <w:p w:rsidR="00297F9E" w:rsidRDefault="00297F9E"/>
    <w:p w:rsidR="00297F9E" w:rsidRDefault="00297F9E" w:rsidP="00065DAD"/>
  </w:footnote>
  <w:footnote w:type="continuationSeparator" w:id="0">
    <w:p w:rsidR="00297F9E" w:rsidRDefault="00297F9E">
      <w:r>
        <w:continuationSeparator/>
      </w:r>
    </w:p>
    <w:p w:rsidR="00297F9E" w:rsidRDefault="00297F9E"/>
    <w:p w:rsidR="00297F9E" w:rsidRDefault="00297F9E" w:rsidP="00EC135F"/>
    <w:p w:rsidR="00297F9E" w:rsidRDefault="00297F9E" w:rsidP="00EC135F"/>
    <w:p w:rsidR="00297F9E" w:rsidRDefault="00297F9E" w:rsidP="00EC135F"/>
    <w:p w:rsidR="00297F9E" w:rsidRDefault="00297F9E" w:rsidP="00EC135F"/>
    <w:p w:rsidR="00297F9E" w:rsidRDefault="00297F9E"/>
    <w:p w:rsidR="00297F9E" w:rsidRDefault="00297F9E"/>
    <w:p w:rsidR="00297F9E" w:rsidRDefault="00297F9E"/>
    <w:p w:rsidR="00297F9E" w:rsidRDefault="00297F9E"/>
    <w:p w:rsidR="00297F9E" w:rsidRDefault="00297F9E" w:rsidP="00065D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Pr="006368AE" w:rsidRDefault="009700E8">
    <w:pPr>
      <w:pStyle w:val="Header"/>
      <w:rPr>
        <w:rStyle w:val="PageNumber"/>
        <w:rFonts w:ascii="Arial" w:hAnsi="Arial"/>
        <w:b w:val="0"/>
        <w:lang w:val="en-GB"/>
      </w:rPr>
    </w:pPr>
    <w:r w:rsidRPr="006368AE">
      <w:rPr>
        <w:rStyle w:val="PageNumber"/>
        <w:rFonts w:ascii="Arial" w:hAnsi="Arial"/>
        <w:b w:val="0"/>
        <w:lang w:val="en-GB"/>
      </w:rPr>
      <w:t xml:space="preserve">Page </w:t>
    </w:r>
    <w:r w:rsidRPr="006368AE">
      <w:rPr>
        <w:rStyle w:val="PageNumber"/>
        <w:rFonts w:ascii="Arial" w:hAnsi="Arial"/>
        <w:b w:val="0"/>
        <w:lang w:val="en-GB"/>
      </w:rPr>
      <w:fldChar w:fldCharType="begin"/>
    </w:r>
    <w:r w:rsidRPr="006368AE">
      <w:rPr>
        <w:rStyle w:val="PageNumber"/>
        <w:rFonts w:ascii="Arial" w:hAnsi="Arial"/>
        <w:b w:val="0"/>
        <w:lang w:val="en-GB"/>
      </w:rPr>
      <w:instrText xml:space="preserve"> PAGE </w:instrText>
    </w:r>
    <w:r w:rsidRPr="006368AE">
      <w:rPr>
        <w:rStyle w:val="PageNumber"/>
        <w:rFonts w:ascii="Arial" w:hAnsi="Arial"/>
        <w:b w:val="0"/>
        <w:lang w:val="en-GB"/>
      </w:rPr>
      <w:fldChar w:fldCharType="separate"/>
    </w:r>
    <w:r w:rsidR="00AB1242">
      <w:rPr>
        <w:rStyle w:val="PageNumber"/>
        <w:rFonts w:ascii="Arial" w:hAnsi="Arial"/>
        <w:b w:val="0"/>
        <w:noProof/>
        <w:lang w:val="en-GB"/>
      </w:rPr>
      <w:t>2</w:t>
    </w:r>
    <w:r w:rsidRPr="006368AE">
      <w:rPr>
        <w:rStyle w:val="PageNumber"/>
        <w:rFonts w:ascii="Arial" w:hAnsi="Arial"/>
        <w:b w:val="0"/>
        <w:lang w:val="en-GB"/>
      </w:rPr>
      <w:fldChar w:fldCharType="end"/>
    </w:r>
  </w:p>
  <w:p w:rsidR="009700E8" w:rsidRPr="006368AE" w:rsidRDefault="009700E8">
    <w:pPr>
      <w:pStyle w:val="Header"/>
      <w:rPr>
        <w:rStyle w:val="PageNumber"/>
        <w:rFonts w:ascii="Arial" w:hAnsi="Arial"/>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Pr="00D07D7D" w:rsidRDefault="009700E8" w:rsidP="0004132F">
    <w:pPr>
      <w:pStyle w:val="Header"/>
      <w:rPr>
        <w:rStyle w:val="PageNumber"/>
        <w:rFonts w:ascii="Arial" w:hAnsi="Arial"/>
        <w:b w:val="0"/>
        <w:szCs w:val="22"/>
      </w:rPr>
    </w:pPr>
    <w:r>
      <w:rPr>
        <w:rFonts w:ascii="Arial" w:hAnsi="Arial"/>
        <w:b w:val="0"/>
        <w:szCs w:val="22"/>
      </w:rPr>
      <w:t>Appendix 3</w:t>
    </w:r>
  </w:p>
  <w:p w:rsidR="009700E8" w:rsidRPr="00D07D7D" w:rsidRDefault="009700E8" w:rsidP="0004132F">
    <w:pPr>
      <w:pStyle w:val="Header"/>
      <w:rPr>
        <w:rFonts w:ascii="Arial" w:hAnsi="Arial"/>
        <w:b w:val="0"/>
        <w:bCs/>
        <w:szCs w:val="22"/>
      </w:rPr>
    </w:pPr>
    <w:r w:rsidRPr="00D07D7D">
      <w:rPr>
        <w:rStyle w:val="PageNumber"/>
        <w:rFonts w:ascii="Arial" w:hAnsi="Arial"/>
        <w:b w:val="0"/>
        <w:szCs w:val="22"/>
      </w:rPr>
      <w:t xml:space="preserve">Page </w:t>
    </w:r>
    <w:r w:rsidRPr="00D07D7D">
      <w:rPr>
        <w:rStyle w:val="PageNumber"/>
        <w:rFonts w:ascii="Arial" w:hAnsi="Arial"/>
        <w:b w:val="0"/>
        <w:szCs w:val="22"/>
      </w:rPr>
      <w:fldChar w:fldCharType="begin"/>
    </w:r>
    <w:r w:rsidRPr="00D07D7D">
      <w:rPr>
        <w:rStyle w:val="PageNumber"/>
        <w:rFonts w:ascii="Arial" w:hAnsi="Arial"/>
        <w:b w:val="0"/>
        <w:szCs w:val="22"/>
      </w:rPr>
      <w:instrText xml:space="preserve"> PAGE </w:instrText>
    </w:r>
    <w:r w:rsidRPr="00D07D7D">
      <w:rPr>
        <w:rStyle w:val="PageNumber"/>
        <w:rFonts w:ascii="Arial" w:hAnsi="Arial"/>
        <w:b w:val="0"/>
        <w:szCs w:val="22"/>
      </w:rPr>
      <w:fldChar w:fldCharType="separate"/>
    </w:r>
    <w:r w:rsidR="00AB1242">
      <w:rPr>
        <w:rStyle w:val="PageNumber"/>
        <w:rFonts w:ascii="Arial" w:hAnsi="Arial"/>
        <w:b w:val="0"/>
        <w:noProof/>
        <w:szCs w:val="22"/>
      </w:rPr>
      <w:t>18</w:t>
    </w:r>
    <w:r w:rsidRPr="00D07D7D">
      <w:rPr>
        <w:rStyle w:val="PageNumber"/>
        <w:rFonts w:ascii="Arial" w:hAnsi="Arial"/>
        <w:b w:val="0"/>
        <w:szCs w:val="22"/>
      </w:rPr>
      <w:fldChar w:fldCharType="end"/>
    </w:r>
  </w:p>
  <w:p w:rsidR="009700E8" w:rsidRDefault="009700E8">
    <w:pPr>
      <w:pStyle w:val="Header"/>
    </w:pPr>
  </w:p>
  <w:p w:rsidR="009700E8" w:rsidRDefault="009700E8"/>
  <w:p w:rsidR="00DD7D7D" w:rsidRDefault="00DD7D7D"/>
  <w:p w:rsidR="00DD7D7D" w:rsidRDefault="00DD7D7D" w:rsidP="00065DA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Pr="00D07D7D" w:rsidRDefault="009700E8">
    <w:pPr>
      <w:pStyle w:val="Header"/>
      <w:rPr>
        <w:rStyle w:val="PageNumber"/>
        <w:rFonts w:ascii="Arial" w:hAnsi="Arial"/>
        <w:b w:val="0"/>
        <w:szCs w:val="22"/>
      </w:rPr>
    </w:pPr>
    <w:r>
      <w:rPr>
        <w:rFonts w:ascii="Arial" w:hAnsi="Arial"/>
        <w:b w:val="0"/>
        <w:szCs w:val="22"/>
      </w:rPr>
      <w:t>Appendix 3</w:t>
    </w:r>
  </w:p>
  <w:p w:rsidR="009700E8" w:rsidRPr="00D07D7D" w:rsidRDefault="009700E8">
    <w:pPr>
      <w:pStyle w:val="Header"/>
      <w:rPr>
        <w:rFonts w:ascii="Arial" w:hAnsi="Arial"/>
        <w:b w:val="0"/>
        <w:bCs/>
        <w:szCs w:val="22"/>
      </w:rPr>
    </w:pPr>
    <w:r w:rsidRPr="00D07D7D">
      <w:rPr>
        <w:rStyle w:val="PageNumber"/>
        <w:rFonts w:ascii="Arial" w:hAnsi="Arial"/>
        <w:b w:val="0"/>
        <w:szCs w:val="22"/>
      </w:rPr>
      <w:t xml:space="preserve">Page </w:t>
    </w:r>
    <w:r w:rsidRPr="00D07D7D">
      <w:rPr>
        <w:rStyle w:val="PageNumber"/>
        <w:rFonts w:ascii="Arial" w:hAnsi="Arial"/>
        <w:b w:val="0"/>
        <w:szCs w:val="22"/>
      </w:rPr>
      <w:fldChar w:fldCharType="begin"/>
    </w:r>
    <w:r w:rsidRPr="00D07D7D">
      <w:rPr>
        <w:rStyle w:val="PageNumber"/>
        <w:rFonts w:ascii="Arial" w:hAnsi="Arial"/>
        <w:b w:val="0"/>
        <w:szCs w:val="22"/>
      </w:rPr>
      <w:instrText xml:space="preserve"> PAGE </w:instrText>
    </w:r>
    <w:r w:rsidRPr="00D07D7D">
      <w:rPr>
        <w:rStyle w:val="PageNumber"/>
        <w:rFonts w:ascii="Arial" w:hAnsi="Arial"/>
        <w:b w:val="0"/>
        <w:szCs w:val="22"/>
      </w:rPr>
      <w:fldChar w:fldCharType="separate"/>
    </w:r>
    <w:r w:rsidR="00AB1242">
      <w:rPr>
        <w:rStyle w:val="PageNumber"/>
        <w:rFonts w:ascii="Arial" w:hAnsi="Arial"/>
        <w:b w:val="0"/>
        <w:noProof/>
        <w:szCs w:val="22"/>
      </w:rPr>
      <w:t>14</w:t>
    </w:r>
    <w:r w:rsidRPr="00D07D7D">
      <w:rPr>
        <w:rStyle w:val="PageNumber"/>
        <w:rFonts w:ascii="Arial" w:hAnsi="Arial"/>
        <w:b w:val="0"/>
        <w:szCs w:val="22"/>
      </w:rPr>
      <w:fldChar w:fldCharType="end"/>
    </w:r>
  </w:p>
  <w:p w:rsidR="009700E8" w:rsidRDefault="009700E8"/>
  <w:p w:rsidR="009700E8" w:rsidRDefault="009700E8"/>
  <w:p w:rsidR="00DD7D7D" w:rsidRDefault="00DD7D7D"/>
  <w:p w:rsidR="00DD7D7D" w:rsidRDefault="00DD7D7D" w:rsidP="00065D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Pr="00D07D7D" w:rsidRDefault="009700E8">
    <w:pPr>
      <w:pStyle w:val="Header"/>
      <w:rPr>
        <w:rStyle w:val="PageNumber"/>
        <w:rFonts w:ascii="Arial" w:hAnsi="Arial"/>
        <w:b w:val="0"/>
        <w:szCs w:val="22"/>
      </w:rPr>
    </w:pPr>
    <w:r>
      <w:rPr>
        <w:rFonts w:ascii="Arial" w:hAnsi="Arial"/>
        <w:b w:val="0"/>
        <w:szCs w:val="22"/>
      </w:rPr>
      <w:t>Appendix 1</w:t>
    </w:r>
  </w:p>
  <w:p w:rsidR="009700E8" w:rsidRPr="00D07D7D" w:rsidRDefault="009700E8">
    <w:pPr>
      <w:pStyle w:val="Header"/>
      <w:rPr>
        <w:rFonts w:ascii="Arial" w:hAnsi="Arial"/>
        <w:b w:val="0"/>
        <w:bCs/>
        <w:szCs w:val="22"/>
      </w:rPr>
    </w:pPr>
    <w:r w:rsidRPr="00D07D7D">
      <w:rPr>
        <w:rStyle w:val="PageNumber"/>
        <w:rFonts w:ascii="Arial" w:hAnsi="Arial"/>
        <w:b w:val="0"/>
        <w:szCs w:val="22"/>
      </w:rPr>
      <w:t xml:space="preserve">Page </w:t>
    </w:r>
    <w:r w:rsidRPr="00D07D7D">
      <w:rPr>
        <w:rStyle w:val="PageNumber"/>
        <w:rFonts w:ascii="Arial" w:hAnsi="Arial"/>
        <w:b w:val="0"/>
        <w:szCs w:val="22"/>
      </w:rPr>
      <w:fldChar w:fldCharType="begin"/>
    </w:r>
    <w:r w:rsidRPr="00D07D7D">
      <w:rPr>
        <w:rStyle w:val="PageNumber"/>
        <w:rFonts w:ascii="Arial" w:hAnsi="Arial"/>
        <w:b w:val="0"/>
        <w:szCs w:val="22"/>
      </w:rPr>
      <w:instrText xml:space="preserve"> PAGE </w:instrText>
    </w:r>
    <w:r w:rsidRPr="00D07D7D">
      <w:rPr>
        <w:rStyle w:val="PageNumber"/>
        <w:rFonts w:ascii="Arial" w:hAnsi="Arial"/>
        <w:b w:val="0"/>
        <w:szCs w:val="22"/>
      </w:rPr>
      <w:fldChar w:fldCharType="separate"/>
    </w:r>
    <w:r w:rsidR="00AB1242">
      <w:rPr>
        <w:rStyle w:val="PageNumber"/>
        <w:rFonts w:ascii="Arial" w:hAnsi="Arial"/>
        <w:b w:val="0"/>
        <w:noProof/>
        <w:szCs w:val="22"/>
      </w:rPr>
      <w:t>12</w:t>
    </w:r>
    <w:r w:rsidRPr="00D07D7D">
      <w:rPr>
        <w:rStyle w:val="PageNumber"/>
        <w:rFonts w:ascii="Arial" w:hAnsi="Arial"/>
        <w:b w:val="0"/>
        <w:szCs w:val="22"/>
      </w:rPr>
      <w:fldChar w:fldCharType="end"/>
    </w:r>
  </w:p>
  <w:p w:rsidR="009700E8" w:rsidRDefault="009700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Pr>
      <w:pStyle w:val="Header"/>
      <w:rPr>
        <w:rStyle w:val="PageNumber"/>
        <w:rFonts w:ascii="Arial" w:hAnsi="Arial"/>
      </w:rPr>
    </w:pPr>
    <w:r>
      <w:rPr>
        <w:rStyle w:val="PageNumber"/>
        <w:rFonts w:ascii="Arial" w:hAnsi="Arial"/>
      </w:rPr>
      <w:t xml:space="preserve">Appendix 3 to Agenda Item </w:t>
    </w:r>
  </w:p>
  <w:p w:rsidR="009700E8" w:rsidRDefault="009700E8">
    <w:pPr>
      <w:pStyle w:val="Header"/>
      <w:rPr>
        <w:rStyle w:val="PageNumber"/>
        <w:rFonts w:ascii="Arial" w:hAnsi="Arial"/>
      </w:rPr>
    </w:pPr>
    <w:r>
      <w:rPr>
        <w:rStyle w:val="PageNumber"/>
        <w:rFonts w:ascii="Arial" w:hAnsi="Arial"/>
      </w:rPr>
      <w:t>Report EFA/xx/xx</w:t>
    </w:r>
  </w:p>
  <w:p w:rsidR="009700E8" w:rsidRDefault="009700E8">
    <w:pPr>
      <w:pStyle w:val="Header"/>
      <w:rPr>
        <w:rStyle w:val="PageNumber"/>
        <w:rFonts w:ascii="Arial" w:hAnsi="Arial"/>
      </w:rPr>
    </w:pPr>
    <w:r>
      <w:rPr>
        <w:rStyle w:val="PageNumbe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18</w:t>
    </w:r>
    <w:r>
      <w:rPr>
        <w:rStyle w:val="PageNumber"/>
        <w:rFonts w:ascii="Arial" w:hAnsi="Arial"/>
      </w:rPr>
      <w:fldChar w:fldCharType="end"/>
    </w:r>
  </w:p>
  <w:p w:rsidR="009700E8" w:rsidRDefault="009700E8">
    <w:pPr>
      <w:pStyle w:val="Header"/>
      <w:rPr>
        <w:rStyle w:val="PageNumber"/>
        <w:rFonts w:ascii="Arial" w:hAnsi="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Pr="00D07D7D" w:rsidRDefault="009700E8">
    <w:pPr>
      <w:pStyle w:val="Header"/>
      <w:rPr>
        <w:rStyle w:val="PageNumber"/>
        <w:rFonts w:ascii="Arial" w:hAnsi="Arial"/>
        <w:b w:val="0"/>
        <w:szCs w:val="22"/>
      </w:rPr>
    </w:pPr>
    <w:r>
      <w:rPr>
        <w:rFonts w:ascii="Arial" w:hAnsi="Arial"/>
        <w:b w:val="0"/>
        <w:szCs w:val="22"/>
      </w:rPr>
      <w:t>Appendix 2</w:t>
    </w:r>
  </w:p>
  <w:p w:rsidR="009700E8" w:rsidRPr="00D07D7D" w:rsidRDefault="009700E8">
    <w:pPr>
      <w:pStyle w:val="Header"/>
      <w:rPr>
        <w:rFonts w:ascii="Arial" w:hAnsi="Arial"/>
        <w:b w:val="0"/>
        <w:bCs/>
        <w:szCs w:val="22"/>
      </w:rPr>
    </w:pPr>
    <w:r w:rsidRPr="00D07D7D">
      <w:rPr>
        <w:rStyle w:val="PageNumber"/>
        <w:rFonts w:ascii="Arial" w:hAnsi="Arial"/>
        <w:b w:val="0"/>
        <w:szCs w:val="22"/>
      </w:rPr>
      <w:t xml:space="preserve">Page </w:t>
    </w:r>
    <w:r w:rsidRPr="00D07D7D">
      <w:rPr>
        <w:rStyle w:val="PageNumber"/>
        <w:rFonts w:ascii="Arial" w:hAnsi="Arial"/>
        <w:b w:val="0"/>
        <w:szCs w:val="22"/>
      </w:rPr>
      <w:fldChar w:fldCharType="begin"/>
    </w:r>
    <w:r w:rsidRPr="00D07D7D">
      <w:rPr>
        <w:rStyle w:val="PageNumber"/>
        <w:rFonts w:ascii="Arial" w:hAnsi="Arial"/>
        <w:b w:val="0"/>
        <w:szCs w:val="22"/>
      </w:rPr>
      <w:instrText xml:space="preserve"> PAGE </w:instrText>
    </w:r>
    <w:r w:rsidRPr="00D07D7D">
      <w:rPr>
        <w:rStyle w:val="PageNumber"/>
        <w:rFonts w:ascii="Arial" w:hAnsi="Arial"/>
        <w:b w:val="0"/>
        <w:szCs w:val="22"/>
      </w:rPr>
      <w:fldChar w:fldCharType="separate"/>
    </w:r>
    <w:r w:rsidR="00AB1242">
      <w:rPr>
        <w:rStyle w:val="PageNumber"/>
        <w:rFonts w:ascii="Arial" w:hAnsi="Arial"/>
        <w:b w:val="0"/>
        <w:noProof/>
        <w:szCs w:val="22"/>
      </w:rPr>
      <w:t>13</w:t>
    </w:r>
    <w:r w:rsidRPr="00D07D7D">
      <w:rPr>
        <w:rStyle w:val="PageNumber"/>
        <w:rFonts w:ascii="Arial" w:hAnsi="Arial"/>
        <w:b w:val="0"/>
        <w:szCs w:val="22"/>
      </w:rPr>
      <w:fldChar w:fldCharType="end"/>
    </w:r>
  </w:p>
  <w:p w:rsidR="009700E8" w:rsidRDefault="009700E8">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E8" w:rsidRDefault="009700E8"/>
  <w:p w:rsidR="009700E8" w:rsidRDefault="009700E8"/>
  <w:p w:rsidR="009700E8" w:rsidRDefault="009700E8" w:rsidP="00EC135F"/>
  <w:p w:rsidR="009700E8" w:rsidRDefault="009700E8" w:rsidP="00EC135F"/>
  <w:p w:rsidR="009700E8" w:rsidRDefault="009700E8" w:rsidP="00EC135F"/>
  <w:p w:rsidR="009700E8" w:rsidRDefault="009700E8" w:rsidP="00EC135F"/>
  <w:p w:rsidR="009700E8" w:rsidRDefault="009700E8"/>
  <w:p w:rsidR="009700E8" w:rsidRDefault="009700E8"/>
  <w:p w:rsidR="00DD7D7D" w:rsidRDefault="00DD7D7D"/>
  <w:p w:rsidR="00DD7D7D" w:rsidRDefault="00DD7D7D" w:rsidP="00065D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F0EB2"/>
    <w:multiLevelType w:val="multilevel"/>
    <w:tmpl w:val="477A9EB4"/>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927"/>
        </w:tabs>
        <w:ind w:left="567" w:firstLine="0"/>
      </w:pPr>
      <w:rPr>
        <w:rFonts w:hint="default"/>
        <w:b/>
        <w:i w:val="0"/>
      </w:rPr>
    </w:lvl>
    <w:lvl w:ilvl="2">
      <w:start w:val="1"/>
      <w:numFmt w:val="decimal"/>
      <w:lvlText w:val="%1.%2.%3"/>
      <w:lvlJc w:val="left"/>
      <w:pPr>
        <w:tabs>
          <w:tab w:val="num" w:pos="567"/>
        </w:tabs>
        <w:ind w:left="567"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504479"/>
    <w:multiLevelType w:val="hybridMultilevel"/>
    <w:tmpl w:val="DE921C76"/>
    <w:lvl w:ilvl="0" w:tplc="D236E984">
      <w:start w:val="1"/>
      <w:numFmt w:val="decimal"/>
      <w:pStyle w:val="NumberedParagraph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BE6975"/>
    <w:multiLevelType w:val="hybridMultilevel"/>
    <w:tmpl w:val="41F25E38"/>
    <w:lvl w:ilvl="0" w:tplc="F42E1368">
      <w:start w:val="1"/>
      <w:numFmt w:val="bullet"/>
      <w:pStyle w:val="Bullet"/>
      <w:lvlText w:val=""/>
      <w:lvlJc w:val="left"/>
      <w:pPr>
        <w:tabs>
          <w:tab w:val="num" w:pos="1021"/>
        </w:tabs>
        <w:ind w:left="1021" w:hanging="624"/>
      </w:pPr>
      <w:rPr>
        <w:rFonts w:ascii="Symbol" w:hAnsi="Symbol" w:hint="default"/>
      </w:rPr>
    </w:lvl>
    <w:lvl w:ilvl="1" w:tplc="04090003">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45F217F1"/>
    <w:multiLevelType w:val="multilevel"/>
    <w:tmpl w:val="03B69BF4"/>
    <w:lvl w:ilvl="0">
      <w:start w:val="1"/>
      <w:numFmt w:val="decimal"/>
      <w:pStyle w:val="StyleHeading5"/>
      <w:lvlText w:val="%1"/>
      <w:lvlJc w:val="left"/>
      <w:pPr>
        <w:tabs>
          <w:tab w:val="num" w:pos="1134"/>
        </w:tabs>
        <w:ind w:left="1134" w:hanging="1134"/>
      </w:pPr>
      <w:rPr>
        <w:rFonts w:hint="default"/>
      </w:rPr>
    </w:lvl>
    <w:lvl w:ilvl="1">
      <w:start w:val="1"/>
      <w:numFmt w:val="decimal"/>
      <w:lvlText w:val="%2%1.1"/>
      <w:lvlJc w:val="left"/>
      <w:pPr>
        <w:tabs>
          <w:tab w:val="num" w:pos="1134"/>
        </w:tabs>
        <w:ind w:left="1134" w:hanging="1134"/>
      </w:pPr>
      <w:rPr>
        <w:rFonts w:hint="default"/>
      </w:rPr>
    </w:lvl>
    <w:lvl w:ilvl="2">
      <w:start w:val="1"/>
      <w:numFmt w:val="none"/>
      <w:lvlText w:val="1.1.1"/>
      <w:lvlJc w:val="left"/>
      <w:pPr>
        <w:tabs>
          <w:tab w:val="num" w:pos="1134"/>
        </w:tabs>
        <w:ind w:left="1134" w:hanging="1134"/>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abstractNum w:abstractNumId="4" w15:restartNumberingAfterBreak="0">
    <w:nsid w:val="6DC16509"/>
    <w:multiLevelType w:val="hybridMultilevel"/>
    <w:tmpl w:val="15EC844E"/>
    <w:lvl w:ilvl="0" w:tplc="04090001">
      <w:start w:val="1"/>
      <w:numFmt w:val="bullet"/>
      <w:pStyle w:val="Bulleted"/>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4B"/>
    <w:rsid w:val="0000002F"/>
    <w:rsid w:val="0000281E"/>
    <w:rsid w:val="00003424"/>
    <w:rsid w:val="00006A4E"/>
    <w:rsid w:val="00007B2C"/>
    <w:rsid w:val="00010EF4"/>
    <w:rsid w:val="0001267A"/>
    <w:rsid w:val="0002113D"/>
    <w:rsid w:val="00025562"/>
    <w:rsid w:val="000257BA"/>
    <w:rsid w:val="000264EB"/>
    <w:rsid w:val="000269E7"/>
    <w:rsid w:val="00027719"/>
    <w:rsid w:val="000350F7"/>
    <w:rsid w:val="00035A3D"/>
    <w:rsid w:val="00036299"/>
    <w:rsid w:val="00037CBC"/>
    <w:rsid w:val="0004129E"/>
    <w:rsid w:val="0004132F"/>
    <w:rsid w:val="000428CC"/>
    <w:rsid w:val="00044F76"/>
    <w:rsid w:val="00047D7D"/>
    <w:rsid w:val="00051FAC"/>
    <w:rsid w:val="00054846"/>
    <w:rsid w:val="0005508C"/>
    <w:rsid w:val="00057173"/>
    <w:rsid w:val="00061327"/>
    <w:rsid w:val="00062A36"/>
    <w:rsid w:val="0006314C"/>
    <w:rsid w:val="000635F7"/>
    <w:rsid w:val="000645A3"/>
    <w:rsid w:val="00064B1E"/>
    <w:rsid w:val="00065DAD"/>
    <w:rsid w:val="00065FE7"/>
    <w:rsid w:val="00067208"/>
    <w:rsid w:val="000720AA"/>
    <w:rsid w:val="00076F96"/>
    <w:rsid w:val="0007789F"/>
    <w:rsid w:val="00077F41"/>
    <w:rsid w:val="0008009B"/>
    <w:rsid w:val="00082918"/>
    <w:rsid w:val="00086151"/>
    <w:rsid w:val="00087941"/>
    <w:rsid w:val="0009266D"/>
    <w:rsid w:val="00094403"/>
    <w:rsid w:val="000954B5"/>
    <w:rsid w:val="000A0244"/>
    <w:rsid w:val="000A0723"/>
    <w:rsid w:val="000A5E35"/>
    <w:rsid w:val="000A6171"/>
    <w:rsid w:val="000B05F7"/>
    <w:rsid w:val="000B29C9"/>
    <w:rsid w:val="000B2BB7"/>
    <w:rsid w:val="000B33F2"/>
    <w:rsid w:val="000B3B54"/>
    <w:rsid w:val="000B68B0"/>
    <w:rsid w:val="000B7A57"/>
    <w:rsid w:val="000B7BB1"/>
    <w:rsid w:val="000C0A49"/>
    <w:rsid w:val="000C23F6"/>
    <w:rsid w:val="000C4F45"/>
    <w:rsid w:val="000C5FC9"/>
    <w:rsid w:val="000D2966"/>
    <w:rsid w:val="000D59B3"/>
    <w:rsid w:val="000D6CFB"/>
    <w:rsid w:val="000D772F"/>
    <w:rsid w:val="000E18BD"/>
    <w:rsid w:val="000E2C07"/>
    <w:rsid w:val="000E4636"/>
    <w:rsid w:val="000E7F82"/>
    <w:rsid w:val="000F0E8C"/>
    <w:rsid w:val="000F467C"/>
    <w:rsid w:val="000F5836"/>
    <w:rsid w:val="00105273"/>
    <w:rsid w:val="001067E6"/>
    <w:rsid w:val="00111514"/>
    <w:rsid w:val="0011304F"/>
    <w:rsid w:val="001137AC"/>
    <w:rsid w:val="001212C8"/>
    <w:rsid w:val="00121F43"/>
    <w:rsid w:val="0012280F"/>
    <w:rsid w:val="001228E6"/>
    <w:rsid w:val="00123BEA"/>
    <w:rsid w:val="00125CD4"/>
    <w:rsid w:val="00127AE6"/>
    <w:rsid w:val="0013270C"/>
    <w:rsid w:val="00132FB1"/>
    <w:rsid w:val="00133793"/>
    <w:rsid w:val="00134238"/>
    <w:rsid w:val="001346EB"/>
    <w:rsid w:val="00136D19"/>
    <w:rsid w:val="00140054"/>
    <w:rsid w:val="00142A36"/>
    <w:rsid w:val="001439DB"/>
    <w:rsid w:val="00147AF8"/>
    <w:rsid w:val="001554C0"/>
    <w:rsid w:val="0015573E"/>
    <w:rsid w:val="001567EE"/>
    <w:rsid w:val="00161C63"/>
    <w:rsid w:val="00163460"/>
    <w:rsid w:val="00163C69"/>
    <w:rsid w:val="00167AB3"/>
    <w:rsid w:val="0017164C"/>
    <w:rsid w:val="001719CF"/>
    <w:rsid w:val="0017411D"/>
    <w:rsid w:val="0017463B"/>
    <w:rsid w:val="00176F8E"/>
    <w:rsid w:val="00180CCB"/>
    <w:rsid w:val="00183BAD"/>
    <w:rsid w:val="00191A33"/>
    <w:rsid w:val="00192FAE"/>
    <w:rsid w:val="00196614"/>
    <w:rsid w:val="001A052B"/>
    <w:rsid w:val="001A0C93"/>
    <w:rsid w:val="001A17CB"/>
    <w:rsid w:val="001A579C"/>
    <w:rsid w:val="001B30C6"/>
    <w:rsid w:val="001B439E"/>
    <w:rsid w:val="001B4C0D"/>
    <w:rsid w:val="001B5895"/>
    <w:rsid w:val="001B66F7"/>
    <w:rsid w:val="001B7E94"/>
    <w:rsid w:val="001C13B3"/>
    <w:rsid w:val="001C3038"/>
    <w:rsid w:val="001C3B9F"/>
    <w:rsid w:val="001C3EB6"/>
    <w:rsid w:val="001C6608"/>
    <w:rsid w:val="001C67E5"/>
    <w:rsid w:val="001D2512"/>
    <w:rsid w:val="001D3014"/>
    <w:rsid w:val="001D5190"/>
    <w:rsid w:val="001D6DE0"/>
    <w:rsid w:val="001D6E86"/>
    <w:rsid w:val="001E004D"/>
    <w:rsid w:val="001E1FE8"/>
    <w:rsid w:val="001E419D"/>
    <w:rsid w:val="001E573A"/>
    <w:rsid w:val="001E7831"/>
    <w:rsid w:val="001E7F41"/>
    <w:rsid w:val="001F30FF"/>
    <w:rsid w:val="001F68EE"/>
    <w:rsid w:val="001F6946"/>
    <w:rsid w:val="0020615C"/>
    <w:rsid w:val="00206D38"/>
    <w:rsid w:val="00206F1F"/>
    <w:rsid w:val="00207A6A"/>
    <w:rsid w:val="002111CD"/>
    <w:rsid w:val="00211826"/>
    <w:rsid w:val="00213F32"/>
    <w:rsid w:val="00215E2D"/>
    <w:rsid w:val="0021727C"/>
    <w:rsid w:val="00220E5D"/>
    <w:rsid w:val="002214D2"/>
    <w:rsid w:val="00222A72"/>
    <w:rsid w:val="00225711"/>
    <w:rsid w:val="00227B3C"/>
    <w:rsid w:val="00227C39"/>
    <w:rsid w:val="00232512"/>
    <w:rsid w:val="00232BAD"/>
    <w:rsid w:val="00233D00"/>
    <w:rsid w:val="002342D2"/>
    <w:rsid w:val="0023491A"/>
    <w:rsid w:val="002357EF"/>
    <w:rsid w:val="002374E4"/>
    <w:rsid w:val="00240729"/>
    <w:rsid w:val="00240ADF"/>
    <w:rsid w:val="0024100F"/>
    <w:rsid w:val="002423EA"/>
    <w:rsid w:val="00244845"/>
    <w:rsid w:val="00246444"/>
    <w:rsid w:val="00247289"/>
    <w:rsid w:val="0024764B"/>
    <w:rsid w:val="0025002B"/>
    <w:rsid w:val="00251D4A"/>
    <w:rsid w:val="002534F3"/>
    <w:rsid w:val="00260011"/>
    <w:rsid w:val="002608F0"/>
    <w:rsid w:val="00260B76"/>
    <w:rsid w:val="0026179C"/>
    <w:rsid w:val="00261818"/>
    <w:rsid w:val="0026330F"/>
    <w:rsid w:val="00270308"/>
    <w:rsid w:val="00270C1D"/>
    <w:rsid w:val="00274C44"/>
    <w:rsid w:val="00281FB3"/>
    <w:rsid w:val="00285691"/>
    <w:rsid w:val="00286B3D"/>
    <w:rsid w:val="00294E18"/>
    <w:rsid w:val="0029691F"/>
    <w:rsid w:val="00297F9E"/>
    <w:rsid w:val="002A10CE"/>
    <w:rsid w:val="002A2F01"/>
    <w:rsid w:val="002A3356"/>
    <w:rsid w:val="002A33BE"/>
    <w:rsid w:val="002A5B1B"/>
    <w:rsid w:val="002A60E5"/>
    <w:rsid w:val="002A6DD1"/>
    <w:rsid w:val="002B0BF1"/>
    <w:rsid w:val="002B1282"/>
    <w:rsid w:val="002B258E"/>
    <w:rsid w:val="002B3226"/>
    <w:rsid w:val="002B356D"/>
    <w:rsid w:val="002B45EF"/>
    <w:rsid w:val="002B4DE4"/>
    <w:rsid w:val="002B4F7B"/>
    <w:rsid w:val="002B6A1D"/>
    <w:rsid w:val="002C0181"/>
    <w:rsid w:val="002C0F8F"/>
    <w:rsid w:val="002C17A5"/>
    <w:rsid w:val="002D571F"/>
    <w:rsid w:val="002E08A4"/>
    <w:rsid w:val="002E4761"/>
    <w:rsid w:val="002E6CE3"/>
    <w:rsid w:val="002E764E"/>
    <w:rsid w:val="002E793D"/>
    <w:rsid w:val="002F0E59"/>
    <w:rsid w:val="002F0F93"/>
    <w:rsid w:val="002F23B2"/>
    <w:rsid w:val="002F6AB4"/>
    <w:rsid w:val="0030168C"/>
    <w:rsid w:val="0030282E"/>
    <w:rsid w:val="00303D46"/>
    <w:rsid w:val="00307FC2"/>
    <w:rsid w:val="003132DB"/>
    <w:rsid w:val="00313CDD"/>
    <w:rsid w:val="00315670"/>
    <w:rsid w:val="0032183E"/>
    <w:rsid w:val="00322173"/>
    <w:rsid w:val="0032241E"/>
    <w:rsid w:val="003235EC"/>
    <w:rsid w:val="00326039"/>
    <w:rsid w:val="0032649D"/>
    <w:rsid w:val="00330E75"/>
    <w:rsid w:val="003312D8"/>
    <w:rsid w:val="00333732"/>
    <w:rsid w:val="003363B3"/>
    <w:rsid w:val="003368BF"/>
    <w:rsid w:val="00343AFA"/>
    <w:rsid w:val="00346AD6"/>
    <w:rsid w:val="00351832"/>
    <w:rsid w:val="00352BFD"/>
    <w:rsid w:val="00356321"/>
    <w:rsid w:val="003577F1"/>
    <w:rsid w:val="00360321"/>
    <w:rsid w:val="003603E8"/>
    <w:rsid w:val="00360B5A"/>
    <w:rsid w:val="003657F1"/>
    <w:rsid w:val="00366BA2"/>
    <w:rsid w:val="003701D7"/>
    <w:rsid w:val="003704E1"/>
    <w:rsid w:val="00373220"/>
    <w:rsid w:val="00373903"/>
    <w:rsid w:val="003739CD"/>
    <w:rsid w:val="0037643D"/>
    <w:rsid w:val="00382190"/>
    <w:rsid w:val="00383C68"/>
    <w:rsid w:val="00385149"/>
    <w:rsid w:val="0038548F"/>
    <w:rsid w:val="00387AEB"/>
    <w:rsid w:val="00391C42"/>
    <w:rsid w:val="0039494B"/>
    <w:rsid w:val="00396B2D"/>
    <w:rsid w:val="00397590"/>
    <w:rsid w:val="003A06A3"/>
    <w:rsid w:val="003A136A"/>
    <w:rsid w:val="003A3B12"/>
    <w:rsid w:val="003A4BE1"/>
    <w:rsid w:val="003A73DB"/>
    <w:rsid w:val="003C0CAC"/>
    <w:rsid w:val="003C1AB1"/>
    <w:rsid w:val="003C5528"/>
    <w:rsid w:val="003C671D"/>
    <w:rsid w:val="003D3AF5"/>
    <w:rsid w:val="003D3D26"/>
    <w:rsid w:val="003D4940"/>
    <w:rsid w:val="003D49FD"/>
    <w:rsid w:val="003D6321"/>
    <w:rsid w:val="003D6449"/>
    <w:rsid w:val="003D6B8F"/>
    <w:rsid w:val="003D7436"/>
    <w:rsid w:val="003D7A61"/>
    <w:rsid w:val="003E1537"/>
    <w:rsid w:val="003E2810"/>
    <w:rsid w:val="003E6909"/>
    <w:rsid w:val="003F07CE"/>
    <w:rsid w:val="003F1484"/>
    <w:rsid w:val="003F14B5"/>
    <w:rsid w:val="003F3B02"/>
    <w:rsid w:val="003F4B48"/>
    <w:rsid w:val="003F5B4E"/>
    <w:rsid w:val="003F678A"/>
    <w:rsid w:val="003F6B9E"/>
    <w:rsid w:val="00401C9F"/>
    <w:rsid w:val="00406233"/>
    <w:rsid w:val="00406393"/>
    <w:rsid w:val="004072BC"/>
    <w:rsid w:val="004100F6"/>
    <w:rsid w:val="00412278"/>
    <w:rsid w:val="00413270"/>
    <w:rsid w:val="00413FC5"/>
    <w:rsid w:val="00414827"/>
    <w:rsid w:val="0042257B"/>
    <w:rsid w:val="0042290D"/>
    <w:rsid w:val="00422F28"/>
    <w:rsid w:val="00423708"/>
    <w:rsid w:val="00424B47"/>
    <w:rsid w:val="00424B55"/>
    <w:rsid w:val="0042562C"/>
    <w:rsid w:val="00425E0E"/>
    <w:rsid w:val="00426404"/>
    <w:rsid w:val="00426D1F"/>
    <w:rsid w:val="0042718C"/>
    <w:rsid w:val="004273D0"/>
    <w:rsid w:val="00432F8D"/>
    <w:rsid w:val="004355EC"/>
    <w:rsid w:val="00435845"/>
    <w:rsid w:val="0043591D"/>
    <w:rsid w:val="00435C9D"/>
    <w:rsid w:val="00437A92"/>
    <w:rsid w:val="0044017A"/>
    <w:rsid w:val="004404E6"/>
    <w:rsid w:val="004424BD"/>
    <w:rsid w:val="00442B90"/>
    <w:rsid w:val="00444ADC"/>
    <w:rsid w:val="004525D3"/>
    <w:rsid w:val="0045513A"/>
    <w:rsid w:val="00455BF2"/>
    <w:rsid w:val="00460D81"/>
    <w:rsid w:val="00463277"/>
    <w:rsid w:val="00471439"/>
    <w:rsid w:val="00473019"/>
    <w:rsid w:val="0047343F"/>
    <w:rsid w:val="00473AC6"/>
    <w:rsid w:val="00473D02"/>
    <w:rsid w:val="004740CE"/>
    <w:rsid w:val="00476035"/>
    <w:rsid w:val="00490055"/>
    <w:rsid w:val="00495419"/>
    <w:rsid w:val="00495632"/>
    <w:rsid w:val="0049741B"/>
    <w:rsid w:val="004A3CA1"/>
    <w:rsid w:val="004A580C"/>
    <w:rsid w:val="004A6AA2"/>
    <w:rsid w:val="004A6FD5"/>
    <w:rsid w:val="004B0981"/>
    <w:rsid w:val="004B2C1B"/>
    <w:rsid w:val="004B5C9D"/>
    <w:rsid w:val="004B7027"/>
    <w:rsid w:val="004B7188"/>
    <w:rsid w:val="004C00F3"/>
    <w:rsid w:val="004C0E8C"/>
    <w:rsid w:val="004C157A"/>
    <w:rsid w:val="004D19B8"/>
    <w:rsid w:val="004E20F1"/>
    <w:rsid w:val="004E2B50"/>
    <w:rsid w:val="004E316A"/>
    <w:rsid w:val="004E3CFB"/>
    <w:rsid w:val="004E7E7D"/>
    <w:rsid w:val="004F373B"/>
    <w:rsid w:val="004F423E"/>
    <w:rsid w:val="004F46D9"/>
    <w:rsid w:val="004F48A1"/>
    <w:rsid w:val="004F516B"/>
    <w:rsid w:val="004F678B"/>
    <w:rsid w:val="0050102E"/>
    <w:rsid w:val="005044C2"/>
    <w:rsid w:val="0050531D"/>
    <w:rsid w:val="00505775"/>
    <w:rsid w:val="00507C97"/>
    <w:rsid w:val="005201D7"/>
    <w:rsid w:val="00520A0F"/>
    <w:rsid w:val="00520D43"/>
    <w:rsid w:val="0052337E"/>
    <w:rsid w:val="00524A22"/>
    <w:rsid w:val="005251F7"/>
    <w:rsid w:val="005276BB"/>
    <w:rsid w:val="00532578"/>
    <w:rsid w:val="00535A93"/>
    <w:rsid w:val="0053613C"/>
    <w:rsid w:val="0054124D"/>
    <w:rsid w:val="00541331"/>
    <w:rsid w:val="00541720"/>
    <w:rsid w:val="00541E8E"/>
    <w:rsid w:val="005421B7"/>
    <w:rsid w:val="005474B5"/>
    <w:rsid w:val="00555129"/>
    <w:rsid w:val="00563007"/>
    <w:rsid w:val="00563A21"/>
    <w:rsid w:val="00564A53"/>
    <w:rsid w:val="00565810"/>
    <w:rsid w:val="00571500"/>
    <w:rsid w:val="00573197"/>
    <w:rsid w:val="00573517"/>
    <w:rsid w:val="005742FA"/>
    <w:rsid w:val="00576B67"/>
    <w:rsid w:val="00576E5A"/>
    <w:rsid w:val="00577586"/>
    <w:rsid w:val="0057763D"/>
    <w:rsid w:val="00582C4E"/>
    <w:rsid w:val="00582DAE"/>
    <w:rsid w:val="005854E0"/>
    <w:rsid w:val="00585582"/>
    <w:rsid w:val="00586190"/>
    <w:rsid w:val="00586E20"/>
    <w:rsid w:val="005906C1"/>
    <w:rsid w:val="00593E84"/>
    <w:rsid w:val="00594AD4"/>
    <w:rsid w:val="00595DC2"/>
    <w:rsid w:val="005A3147"/>
    <w:rsid w:val="005A314E"/>
    <w:rsid w:val="005A33DD"/>
    <w:rsid w:val="005A5537"/>
    <w:rsid w:val="005A5A2C"/>
    <w:rsid w:val="005A6BD6"/>
    <w:rsid w:val="005B17A7"/>
    <w:rsid w:val="005B3CCD"/>
    <w:rsid w:val="005B5B66"/>
    <w:rsid w:val="005C013A"/>
    <w:rsid w:val="005C02A7"/>
    <w:rsid w:val="005C329F"/>
    <w:rsid w:val="005C54E9"/>
    <w:rsid w:val="005C604E"/>
    <w:rsid w:val="005C7683"/>
    <w:rsid w:val="005D040F"/>
    <w:rsid w:val="005D46FD"/>
    <w:rsid w:val="005D4C2C"/>
    <w:rsid w:val="005D4CE3"/>
    <w:rsid w:val="005D50ED"/>
    <w:rsid w:val="005D5DE3"/>
    <w:rsid w:val="005D5EA0"/>
    <w:rsid w:val="005E21D4"/>
    <w:rsid w:val="005E2751"/>
    <w:rsid w:val="005E2EDB"/>
    <w:rsid w:val="005E73FB"/>
    <w:rsid w:val="005E7D3F"/>
    <w:rsid w:val="005F065A"/>
    <w:rsid w:val="005F07E3"/>
    <w:rsid w:val="005F1C41"/>
    <w:rsid w:val="005F1DBD"/>
    <w:rsid w:val="005F3D66"/>
    <w:rsid w:val="005F62CD"/>
    <w:rsid w:val="005F67D2"/>
    <w:rsid w:val="006000AD"/>
    <w:rsid w:val="0060118F"/>
    <w:rsid w:val="00601BAE"/>
    <w:rsid w:val="00605FF6"/>
    <w:rsid w:val="006068EE"/>
    <w:rsid w:val="00611785"/>
    <w:rsid w:val="006165A4"/>
    <w:rsid w:val="00620894"/>
    <w:rsid w:val="006220CC"/>
    <w:rsid w:val="006260C9"/>
    <w:rsid w:val="00627655"/>
    <w:rsid w:val="006307FC"/>
    <w:rsid w:val="00634EC2"/>
    <w:rsid w:val="00634FA2"/>
    <w:rsid w:val="0063586C"/>
    <w:rsid w:val="006363C5"/>
    <w:rsid w:val="006368AE"/>
    <w:rsid w:val="00636B78"/>
    <w:rsid w:val="00642382"/>
    <w:rsid w:val="00642455"/>
    <w:rsid w:val="006437BB"/>
    <w:rsid w:val="00643D47"/>
    <w:rsid w:val="00656F06"/>
    <w:rsid w:val="00657054"/>
    <w:rsid w:val="00660405"/>
    <w:rsid w:val="006618B5"/>
    <w:rsid w:val="00663908"/>
    <w:rsid w:val="00666E77"/>
    <w:rsid w:val="00667C6D"/>
    <w:rsid w:val="00667FF4"/>
    <w:rsid w:val="00670019"/>
    <w:rsid w:val="00670086"/>
    <w:rsid w:val="00671665"/>
    <w:rsid w:val="00671D17"/>
    <w:rsid w:val="00672375"/>
    <w:rsid w:val="006724D9"/>
    <w:rsid w:val="00676603"/>
    <w:rsid w:val="006777F4"/>
    <w:rsid w:val="00677CBA"/>
    <w:rsid w:val="00681093"/>
    <w:rsid w:val="006818D2"/>
    <w:rsid w:val="00681982"/>
    <w:rsid w:val="00683736"/>
    <w:rsid w:val="0068415D"/>
    <w:rsid w:val="00687922"/>
    <w:rsid w:val="00687D32"/>
    <w:rsid w:val="00687E56"/>
    <w:rsid w:val="00687F1B"/>
    <w:rsid w:val="00692CD7"/>
    <w:rsid w:val="00693350"/>
    <w:rsid w:val="0069363B"/>
    <w:rsid w:val="0069497D"/>
    <w:rsid w:val="00696339"/>
    <w:rsid w:val="00697548"/>
    <w:rsid w:val="006A164B"/>
    <w:rsid w:val="006A22DB"/>
    <w:rsid w:val="006A39B1"/>
    <w:rsid w:val="006A453F"/>
    <w:rsid w:val="006A5087"/>
    <w:rsid w:val="006B05A4"/>
    <w:rsid w:val="006B145B"/>
    <w:rsid w:val="006B3F93"/>
    <w:rsid w:val="006B5A7C"/>
    <w:rsid w:val="006C0FD9"/>
    <w:rsid w:val="006C3952"/>
    <w:rsid w:val="006D1CE9"/>
    <w:rsid w:val="006D2EE7"/>
    <w:rsid w:val="006D4C87"/>
    <w:rsid w:val="006D65F3"/>
    <w:rsid w:val="006E42E7"/>
    <w:rsid w:val="006E49A0"/>
    <w:rsid w:val="006E533C"/>
    <w:rsid w:val="006F1CD7"/>
    <w:rsid w:val="006F221C"/>
    <w:rsid w:val="006F32D5"/>
    <w:rsid w:val="006F3797"/>
    <w:rsid w:val="006F3C19"/>
    <w:rsid w:val="006F4BEC"/>
    <w:rsid w:val="006F6441"/>
    <w:rsid w:val="006F6BE7"/>
    <w:rsid w:val="006F7978"/>
    <w:rsid w:val="00703414"/>
    <w:rsid w:val="00711133"/>
    <w:rsid w:val="007115EB"/>
    <w:rsid w:val="0071434C"/>
    <w:rsid w:val="00720EB7"/>
    <w:rsid w:val="007216E0"/>
    <w:rsid w:val="007220A6"/>
    <w:rsid w:val="00724F7E"/>
    <w:rsid w:val="00725105"/>
    <w:rsid w:val="007256CB"/>
    <w:rsid w:val="007258BA"/>
    <w:rsid w:val="00725AE1"/>
    <w:rsid w:val="00732D87"/>
    <w:rsid w:val="0073302E"/>
    <w:rsid w:val="00735319"/>
    <w:rsid w:val="0073766D"/>
    <w:rsid w:val="007458FC"/>
    <w:rsid w:val="0074680B"/>
    <w:rsid w:val="007470A1"/>
    <w:rsid w:val="007470D6"/>
    <w:rsid w:val="0075062B"/>
    <w:rsid w:val="00753ED3"/>
    <w:rsid w:val="007544CF"/>
    <w:rsid w:val="00754B50"/>
    <w:rsid w:val="00755202"/>
    <w:rsid w:val="00756C20"/>
    <w:rsid w:val="00757926"/>
    <w:rsid w:val="0076217B"/>
    <w:rsid w:val="007634DD"/>
    <w:rsid w:val="00765B2B"/>
    <w:rsid w:val="00766736"/>
    <w:rsid w:val="00773234"/>
    <w:rsid w:val="007732F8"/>
    <w:rsid w:val="007847FF"/>
    <w:rsid w:val="0078590E"/>
    <w:rsid w:val="00785C11"/>
    <w:rsid w:val="007879AE"/>
    <w:rsid w:val="00787D9E"/>
    <w:rsid w:val="00791759"/>
    <w:rsid w:val="0079387C"/>
    <w:rsid w:val="00795707"/>
    <w:rsid w:val="007A0603"/>
    <w:rsid w:val="007A3B51"/>
    <w:rsid w:val="007A4817"/>
    <w:rsid w:val="007A683B"/>
    <w:rsid w:val="007B09AD"/>
    <w:rsid w:val="007B19F7"/>
    <w:rsid w:val="007B2E04"/>
    <w:rsid w:val="007C04B4"/>
    <w:rsid w:val="007C09E5"/>
    <w:rsid w:val="007C1463"/>
    <w:rsid w:val="007C2086"/>
    <w:rsid w:val="007C3546"/>
    <w:rsid w:val="007C4106"/>
    <w:rsid w:val="007C5727"/>
    <w:rsid w:val="007C6664"/>
    <w:rsid w:val="007D3821"/>
    <w:rsid w:val="007D4E13"/>
    <w:rsid w:val="007D5059"/>
    <w:rsid w:val="007D6449"/>
    <w:rsid w:val="007D66DB"/>
    <w:rsid w:val="007E0405"/>
    <w:rsid w:val="007E2ED2"/>
    <w:rsid w:val="007E366E"/>
    <w:rsid w:val="007E5541"/>
    <w:rsid w:val="007E7FEA"/>
    <w:rsid w:val="007F1B5E"/>
    <w:rsid w:val="007F3680"/>
    <w:rsid w:val="008067DD"/>
    <w:rsid w:val="00810A7E"/>
    <w:rsid w:val="00813282"/>
    <w:rsid w:val="0081331B"/>
    <w:rsid w:val="0081481F"/>
    <w:rsid w:val="00815C24"/>
    <w:rsid w:val="0082769E"/>
    <w:rsid w:val="00830963"/>
    <w:rsid w:val="00830F3E"/>
    <w:rsid w:val="008335A8"/>
    <w:rsid w:val="0083577C"/>
    <w:rsid w:val="008357A4"/>
    <w:rsid w:val="00837E20"/>
    <w:rsid w:val="008445BB"/>
    <w:rsid w:val="00853195"/>
    <w:rsid w:val="008532C2"/>
    <w:rsid w:val="00853C11"/>
    <w:rsid w:val="008568D7"/>
    <w:rsid w:val="00856E50"/>
    <w:rsid w:val="00857D7C"/>
    <w:rsid w:val="008627A7"/>
    <w:rsid w:val="008631EF"/>
    <w:rsid w:val="0086488D"/>
    <w:rsid w:val="00870430"/>
    <w:rsid w:val="008708D4"/>
    <w:rsid w:val="00871814"/>
    <w:rsid w:val="00871B05"/>
    <w:rsid w:val="00872DAA"/>
    <w:rsid w:val="00873475"/>
    <w:rsid w:val="00873A96"/>
    <w:rsid w:val="00874D43"/>
    <w:rsid w:val="0087608C"/>
    <w:rsid w:val="008826A7"/>
    <w:rsid w:val="0088270C"/>
    <w:rsid w:val="008860CE"/>
    <w:rsid w:val="00887BA0"/>
    <w:rsid w:val="008922EC"/>
    <w:rsid w:val="008926FB"/>
    <w:rsid w:val="00892982"/>
    <w:rsid w:val="00892A74"/>
    <w:rsid w:val="00895ADE"/>
    <w:rsid w:val="0089660D"/>
    <w:rsid w:val="00897A17"/>
    <w:rsid w:val="00897C3C"/>
    <w:rsid w:val="008A0E0B"/>
    <w:rsid w:val="008A4B93"/>
    <w:rsid w:val="008B2220"/>
    <w:rsid w:val="008C0D29"/>
    <w:rsid w:val="008C1BD8"/>
    <w:rsid w:val="008C259A"/>
    <w:rsid w:val="008C28B7"/>
    <w:rsid w:val="008C5A11"/>
    <w:rsid w:val="008C6169"/>
    <w:rsid w:val="008C68EB"/>
    <w:rsid w:val="008C701F"/>
    <w:rsid w:val="008C7CCC"/>
    <w:rsid w:val="008D09C1"/>
    <w:rsid w:val="008D3220"/>
    <w:rsid w:val="008D4A15"/>
    <w:rsid w:val="008D4E4B"/>
    <w:rsid w:val="008D5AED"/>
    <w:rsid w:val="008D76FD"/>
    <w:rsid w:val="008D7C5E"/>
    <w:rsid w:val="008E5914"/>
    <w:rsid w:val="008E5AB6"/>
    <w:rsid w:val="008E623B"/>
    <w:rsid w:val="008E6854"/>
    <w:rsid w:val="008F285E"/>
    <w:rsid w:val="008F5033"/>
    <w:rsid w:val="008F5508"/>
    <w:rsid w:val="00901682"/>
    <w:rsid w:val="00910A4B"/>
    <w:rsid w:val="00910CDE"/>
    <w:rsid w:val="009117CA"/>
    <w:rsid w:val="00914849"/>
    <w:rsid w:val="00920283"/>
    <w:rsid w:val="00923D82"/>
    <w:rsid w:val="009267FF"/>
    <w:rsid w:val="009321F8"/>
    <w:rsid w:val="00933E27"/>
    <w:rsid w:val="00936B7A"/>
    <w:rsid w:val="00937B15"/>
    <w:rsid w:val="0094169F"/>
    <w:rsid w:val="00942943"/>
    <w:rsid w:val="00943288"/>
    <w:rsid w:val="00943F6E"/>
    <w:rsid w:val="00944B74"/>
    <w:rsid w:val="009509EF"/>
    <w:rsid w:val="00951655"/>
    <w:rsid w:val="009646EE"/>
    <w:rsid w:val="00964D85"/>
    <w:rsid w:val="009700E8"/>
    <w:rsid w:val="009702B9"/>
    <w:rsid w:val="009705C4"/>
    <w:rsid w:val="0097079A"/>
    <w:rsid w:val="00971C34"/>
    <w:rsid w:val="00973ECD"/>
    <w:rsid w:val="00976DBB"/>
    <w:rsid w:val="00977FE1"/>
    <w:rsid w:val="00980044"/>
    <w:rsid w:val="00981D99"/>
    <w:rsid w:val="00983939"/>
    <w:rsid w:val="00983CFC"/>
    <w:rsid w:val="00984144"/>
    <w:rsid w:val="00985C28"/>
    <w:rsid w:val="009867E0"/>
    <w:rsid w:val="00986930"/>
    <w:rsid w:val="00987F4A"/>
    <w:rsid w:val="00990772"/>
    <w:rsid w:val="009920DE"/>
    <w:rsid w:val="00992A15"/>
    <w:rsid w:val="00993348"/>
    <w:rsid w:val="00995787"/>
    <w:rsid w:val="009969B5"/>
    <w:rsid w:val="00997A08"/>
    <w:rsid w:val="00997B35"/>
    <w:rsid w:val="009A1A83"/>
    <w:rsid w:val="009A4E71"/>
    <w:rsid w:val="009A5B6C"/>
    <w:rsid w:val="009B06A8"/>
    <w:rsid w:val="009B5EBC"/>
    <w:rsid w:val="009B6D51"/>
    <w:rsid w:val="009C4F60"/>
    <w:rsid w:val="009D195D"/>
    <w:rsid w:val="009D7DC6"/>
    <w:rsid w:val="009E06BE"/>
    <w:rsid w:val="009E1245"/>
    <w:rsid w:val="009E2545"/>
    <w:rsid w:val="009E581A"/>
    <w:rsid w:val="009E6EB1"/>
    <w:rsid w:val="009F2A4E"/>
    <w:rsid w:val="009F2DB1"/>
    <w:rsid w:val="009F4531"/>
    <w:rsid w:val="009F48BD"/>
    <w:rsid w:val="00A0004D"/>
    <w:rsid w:val="00A01750"/>
    <w:rsid w:val="00A01CE8"/>
    <w:rsid w:val="00A03BC6"/>
    <w:rsid w:val="00A04CBE"/>
    <w:rsid w:val="00A176C5"/>
    <w:rsid w:val="00A21C08"/>
    <w:rsid w:val="00A25C1E"/>
    <w:rsid w:val="00A309A5"/>
    <w:rsid w:val="00A30BB9"/>
    <w:rsid w:val="00A40D16"/>
    <w:rsid w:val="00A41920"/>
    <w:rsid w:val="00A43C8A"/>
    <w:rsid w:val="00A452A8"/>
    <w:rsid w:val="00A45519"/>
    <w:rsid w:val="00A5011B"/>
    <w:rsid w:val="00A5632E"/>
    <w:rsid w:val="00A6300C"/>
    <w:rsid w:val="00A63515"/>
    <w:rsid w:val="00A63C3E"/>
    <w:rsid w:val="00A63D0A"/>
    <w:rsid w:val="00A6519F"/>
    <w:rsid w:val="00A65280"/>
    <w:rsid w:val="00A65478"/>
    <w:rsid w:val="00A66CF0"/>
    <w:rsid w:val="00A71413"/>
    <w:rsid w:val="00A71DDC"/>
    <w:rsid w:val="00A824EA"/>
    <w:rsid w:val="00A83274"/>
    <w:rsid w:val="00A86CCB"/>
    <w:rsid w:val="00A875C9"/>
    <w:rsid w:val="00A8773C"/>
    <w:rsid w:val="00A90D64"/>
    <w:rsid w:val="00A95724"/>
    <w:rsid w:val="00A97AD3"/>
    <w:rsid w:val="00AA05C4"/>
    <w:rsid w:val="00AA0ECF"/>
    <w:rsid w:val="00AA1CB9"/>
    <w:rsid w:val="00AA2675"/>
    <w:rsid w:val="00AA32D6"/>
    <w:rsid w:val="00AA4DBA"/>
    <w:rsid w:val="00AA5668"/>
    <w:rsid w:val="00AB06E5"/>
    <w:rsid w:val="00AB1242"/>
    <w:rsid w:val="00AB15B1"/>
    <w:rsid w:val="00AB2225"/>
    <w:rsid w:val="00AB27CE"/>
    <w:rsid w:val="00AB30E5"/>
    <w:rsid w:val="00AB5331"/>
    <w:rsid w:val="00AB6E0C"/>
    <w:rsid w:val="00AC29BE"/>
    <w:rsid w:val="00AC2D03"/>
    <w:rsid w:val="00AC5F2D"/>
    <w:rsid w:val="00AC7EFB"/>
    <w:rsid w:val="00AD2E24"/>
    <w:rsid w:val="00AD320C"/>
    <w:rsid w:val="00AD44EA"/>
    <w:rsid w:val="00AE30E7"/>
    <w:rsid w:val="00AE334E"/>
    <w:rsid w:val="00AE387C"/>
    <w:rsid w:val="00AE4071"/>
    <w:rsid w:val="00AE4A74"/>
    <w:rsid w:val="00AE5878"/>
    <w:rsid w:val="00AE7576"/>
    <w:rsid w:val="00AF0251"/>
    <w:rsid w:val="00AF1801"/>
    <w:rsid w:val="00AF18F1"/>
    <w:rsid w:val="00AF1FBA"/>
    <w:rsid w:val="00AF2683"/>
    <w:rsid w:val="00AF392E"/>
    <w:rsid w:val="00AF3FEC"/>
    <w:rsid w:val="00B01B9A"/>
    <w:rsid w:val="00B02E19"/>
    <w:rsid w:val="00B05C73"/>
    <w:rsid w:val="00B10332"/>
    <w:rsid w:val="00B11669"/>
    <w:rsid w:val="00B14A88"/>
    <w:rsid w:val="00B1508C"/>
    <w:rsid w:val="00B16249"/>
    <w:rsid w:val="00B1776F"/>
    <w:rsid w:val="00B2052F"/>
    <w:rsid w:val="00B214BA"/>
    <w:rsid w:val="00B21F59"/>
    <w:rsid w:val="00B2284F"/>
    <w:rsid w:val="00B24009"/>
    <w:rsid w:val="00B25CE5"/>
    <w:rsid w:val="00B2648C"/>
    <w:rsid w:val="00B27CD0"/>
    <w:rsid w:val="00B36C14"/>
    <w:rsid w:val="00B41C77"/>
    <w:rsid w:val="00B45921"/>
    <w:rsid w:val="00B46305"/>
    <w:rsid w:val="00B5239D"/>
    <w:rsid w:val="00B523DD"/>
    <w:rsid w:val="00B52D42"/>
    <w:rsid w:val="00B5526A"/>
    <w:rsid w:val="00B62B3B"/>
    <w:rsid w:val="00B70106"/>
    <w:rsid w:val="00B7042E"/>
    <w:rsid w:val="00B72BD1"/>
    <w:rsid w:val="00B7392E"/>
    <w:rsid w:val="00B73E61"/>
    <w:rsid w:val="00B73ED2"/>
    <w:rsid w:val="00B750AF"/>
    <w:rsid w:val="00B76CFF"/>
    <w:rsid w:val="00B829BF"/>
    <w:rsid w:val="00B84669"/>
    <w:rsid w:val="00B8770C"/>
    <w:rsid w:val="00B87F07"/>
    <w:rsid w:val="00B90DD8"/>
    <w:rsid w:val="00B91568"/>
    <w:rsid w:val="00B93038"/>
    <w:rsid w:val="00B93A45"/>
    <w:rsid w:val="00B94821"/>
    <w:rsid w:val="00B94AE0"/>
    <w:rsid w:val="00B96F0E"/>
    <w:rsid w:val="00BA47C6"/>
    <w:rsid w:val="00BB12B5"/>
    <w:rsid w:val="00BB390F"/>
    <w:rsid w:val="00BB5CAB"/>
    <w:rsid w:val="00BB5F8D"/>
    <w:rsid w:val="00BC05A9"/>
    <w:rsid w:val="00BC1804"/>
    <w:rsid w:val="00BC245C"/>
    <w:rsid w:val="00BC3536"/>
    <w:rsid w:val="00BC68F5"/>
    <w:rsid w:val="00BD0198"/>
    <w:rsid w:val="00BD054F"/>
    <w:rsid w:val="00BD7AF7"/>
    <w:rsid w:val="00BE1593"/>
    <w:rsid w:val="00BE1FF5"/>
    <w:rsid w:val="00BE3F5D"/>
    <w:rsid w:val="00BE79BB"/>
    <w:rsid w:val="00BF009C"/>
    <w:rsid w:val="00BF126A"/>
    <w:rsid w:val="00BF28F5"/>
    <w:rsid w:val="00BF39E5"/>
    <w:rsid w:val="00C006AE"/>
    <w:rsid w:val="00C016C8"/>
    <w:rsid w:val="00C03313"/>
    <w:rsid w:val="00C03D5C"/>
    <w:rsid w:val="00C05E63"/>
    <w:rsid w:val="00C10779"/>
    <w:rsid w:val="00C125C6"/>
    <w:rsid w:val="00C1501E"/>
    <w:rsid w:val="00C21F91"/>
    <w:rsid w:val="00C22262"/>
    <w:rsid w:val="00C27B2B"/>
    <w:rsid w:val="00C30134"/>
    <w:rsid w:val="00C314BF"/>
    <w:rsid w:val="00C359F7"/>
    <w:rsid w:val="00C363A9"/>
    <w:rsid w:val="00C36FE7"/>
    <w:rsid w:val="00C4401D"/>
    <w:rsid w:val="00C44326"/>
    <w:rsid w:val="00C4439A"/>
    <w:rsid w:val="00C500CC"/>
    <w:rsid w:val="00C50879"/>
    <w:rsid w:val="00C50A98"/>
    <w:rsid w:val="00C53B6B"/>
    <w:rsid w:val="00C57A70"/>
    <w:rsid w:val="00C57D04"/>
    <w:rsid w:val="00C6021A"/>
    <w:rsid w:val="00C65731"/>
    <w:rsid w:val="00C65D20"/>
    <w:rsid w:val="00C70CE9"/>
    <w:rsid w:val="00C73416"/>
    <w:rsid w:val="00C7375E"/>
    <w:rsid w:val="00C74234"/>
    <w:rsid w:val="00C7428E"/>
    <w:rsid w:val="00C75225"/>
    <w:rsid w:val="00C753EA"/>
    <w:rsid w:val="00C803DC"/>
    <w:rsid w:val="00C8068D"/>
    <w:rsid w:val="00C91B76"/>
    <w:rsid w:val="00C96E7F"/>
    <w:rsid w:val="00C97B99"/>
    <w:rsid w:val="00CA05D4"/>
    <w:rsid w:val="00CA1216"/>
    <w:rsid w:val="00CA2AAD"/>
    <w:rsid w:val="00CA49DB"/>
    <w:rsid w:val="00CA6ED9"/>
    <w:rsid w:val="00CB0191"/>
    <w:rsid w:val="00CB2812"/>
    <w:rsid w:val="00CB298D"/>
    <w:rsid w:val="00CB6112"/>
    <w:rsid w:val="00CB7B94"/>
    <w:rsid w:val="00CC22CA"/>
    <w:rsid w:val="00CC5432"/>
    <w:rsid w:val="00CC69AA"/>
    <w:rsid w:val="00CC7D38"/>
    <w:rsid w:val="00CD4C58"/>
    <w:rsid w:val="00CD6F61"/>
    <w:rsid w:val="00CD7075"/>
    <w:rsid w:val="00CE0C89"/>
    <w:rsid w:val="00CE40B9"/>
    <w:rsid w:val="00CF10E6"/>
    <w:rsid w:val="00CF25B5"/>
    <w:rsid w:val="00CF4AC2"/>
    <w:rsid w:val="00CF6E7D"/>
    <w:rsid w:val="00CF7459"/>
    <w:rsid w:val="00D00847"/>
    <w:rsid w:val="00D054CD"/>
    <w:rsid w:val="00D0587D"/>
    <w:rsid w:val="00D05B53"/>
    <w:rsid w:val="00D07D7D"/>
    <w:rsid w:val="00D07F6D"/>
    <w:rsid w:val="00D14182"/>
    <w:rsid w:val="00D251D9"/>
    <w:rsid w:val="00D25E33"/>
    <w:rsid w:val="00D32C12"/>
    <w:rsid w:val="00D36AFD"/>
    <w:rsid w:val="00D374E5"/>
    <w:rsid w:val="00D43FBA"/>
    <w:rsid w:val="00D45AC8"/>
    <w:rsid w:val="00D46880"/>
    <w:rsid w:val="00D5297A"/>
    <w:rsid w:val="00D5402F"/>
    <w:rsid w:val="00D5521B"/>
    <w:rsid w:val="00D55635"/>
    <w:rsid w:val="00D56A64"/>
    <w:rsid w:val="00D72726"/>
    <w:rsid w:val="00D733A6"/>
    <w:rsid w:val="00D7648D"/>
    <w:rsid w:val="00D81F89"/>
    <w:rsid w:val="00D827B6"/>
    <w:rsid w:val="00D92005"/>
    <w:rsid w:val="00D9477B"/>
    <w:rsid w:val="00D97747"/>
    <w:rsid w:val="00DA1845"/>
    <w:rsid w:val="00DA2A4E"/>
    <w:rsid w:val="00DA2E49"/>
    <w:rsid w:val="00DA48EB"/>
    <w:rsid w:val="00DB09E0"/>
    <w:rsid w:val="00DB1060"/>
    <w:rsid w:val="00DB108A"/>
    <w:rsid w:val="00DB4281"/>
    <w:rsid w:val="00DC2196"/>
    <w:rsid w:val="00DC4575"/>
    <w:rsid w:val="00DC4ED0"/>
    <w:rsid w:val="00DD30B9"/>
    <w:rsid w:val="00DD4334"/>
    <w:rsid w:val="00DD7972"/>
    <w:rsid w:val="00DD7D7D"/>
    <w:rsid w:val="00DE69EE"/>
    <w:rsid w:val="00DE74A7"/>
    <w:rsid w:val="00DE7C36"/>
    <w:rsid w:val="00DF6BC1"/>
    <w:rsid w:val="00DF7F02"/>
    <w:rsid w:val="00E0160D"/>
    <w:rsid w:val="00E031E9"/>
    <w:rsid w:val="00E07699"/>
    <w:rsid w:val="00E077F5"/>
    <w:rsid w:val="00E11CC9"/>
    <w:rsid w:val="00E13FFE"/>
    <w:rsid w:val="00E15236"/>
    <w:rsid w:val="00E1524E"/>
    <w:rsid w:val="00E1699C"/>
    <w:rsid w:val="00E22481"/>
    <w:rsid w:val="00E23470"/>
    <w:rsid w:val="00E30FED"/>
    <w:rsid w:val="00E31080"/>
    <w:rsid w:val="00E333A0"/>
    <w:rsid w:val="00E33A49"/>
    <w:rsid w:val="00E33A8E"/>
    <w:rsid w:val="00E43810"/>
    <w:rsid w:val="00E522CB"/>
    <w:rsid w:val="00E5371E"/>
    <w:rsid w:val="00E540CF"/>
    <w:rsid w:val="00E56A4B"/>
    <w:rsid w:val="00E5793B"/>
    <w:rsid w:val="00E60A7D"/>
    <w:rsid w:val="00E61D89"/>
    <w:rsid w:val="00E6516B"/>
    <w:rsid w:val="00E65F40"/>
    <w:rsid w:val="00E66DB0"/>
    <w:rsid w:val="00E67D58"/>
    <w:rsid w:val="00E72B9A"/>
    <w:rsid w:val="00E73D64"/>
    <w:rsid w:val="00E77197"/>
    <w:rsid w:val="00E77B60"/>
    <w:rsid w:val="00E81D6F"/>
    <w:rsid w:val="00E8308D"/>
    <w:rsid w:val="00E83AE3"/>
    <w:rsid w:val="00E86875"/>
    <w:rsid w:val="00E910A5"/>
    <w:rsid w:val="00E95566"/>
    <w:rsid w:val="00E9652C"/>
    <w:rsid w:val="00E96888"/>
    <w:rsid w:val="00E97D7D"/>
    <w:rsid w:val="00EA125F"/>
    <w:rsid w:val="00EA3FF7"/>
    <w:rsid w:val="00EA7AE8"/>
    <w:rsid w:val="00EB434A"/>
    <w:rsid w:val="00EB49CA"/>
    <w:rsid w:val="00EB5218"/>
    <w:rsid w:val="00EB752E"/>
    <w:rsid w:val="00EC135F"/>
    <w:rsid w:val="00EC2120"/>
    <w:rsid w:val="00EC27AB"/>
    <w:rsid w:val="00EC45A3"/>
    <w:rsid w:val="00EC6132"/>
    <w:rsid w:val="00EC7938"/>
    <w:rsid w:val="00EC7CF3"/>
    <w:rsid w:val="00ED07C9"/>
    <w:rsid w:val="00ED2B73"/>
    <w:rsid w:val="00ED5D53"/>
    <w:rsid w:val="00ED73F1"/>
    <w:rsid w:val="00ED7803"/>
    <w:rsid w:val="00EE07F5"/>
    <w:rsid w:val="00EE4DD6"/>
    <w:rsid w:val="00EF322E"/>
    <w:rsid w:val="00EF53C5"/>
    <w:rsid w:val="00EF5873"/>
    <w:rsid w:val="00F005D5"/>
    <w:rsid w:val="00F024DA"/>
    <w:rsid w:val="00F05475"/>
    <w:rsid w:val="00F0554D"/>
    <w:rsid w:val="00F0602F"/>
    <w:rsid w:val="00F06580"/>
    <w:rsid w:val="00F069EF"/>
    <w:rsid w:val="00F0731F"/>
    <w:rsid w:val="00F117AE"/>
    <w:rsid w:val="00F11AB4"/>
    <w:rsid w:val="00F12427"/>
    <w:rsid w:val="00F12B0E"/>
    <w:rsid w:val="00F15C8C"/>
    <w:rsid w:val="00F207DF"/>
    <w:rsid w:val="00F24E2E"/>
    <w:rsid w:val="00F27781"/>
    <w:rsid w:val="00F30F8C"/>
    <w:rsid w:val="00F32B03"/>
    <w:rsid w:val="00F366DB"/>
    <w:rsid w:val="00F41A5F"/>
    <w:rsid w:val="00F4249E"/>
    <w:rsid w:val="00F42621"/>
    <w:rsid w:val="00F46D53"/>
    <w:rsid w:val="00F54864"/>
    <w:rsid w:val="00F5502A"/>
    <w:rsid w:val="00F57383"/>
    <w:rsid w:val="00F61825"/>
    <w:rsid w:val="00F634EB"/>
    <w:rsid w:val="00F63F03"/>
    <w:rsid w:val="00F64D1D"/>
    <w:rsid w:val="00F64DD6"/>
    <w:rsid w:val="00F6691F"/>
    <w:rsid w:val="00F705B3"/>
    <w:rsid w:val="00F70EB3"/>
    <w:rsid w:val="00F714B5"/>
    <w:rsid w:val="00F7373F"/>
    <w:rsid w:val="00F74DB6"/>
    <w:rsid w:val="00F778AA"/>
    <w:rsid w:val="00F81789"/>
    <w:rsid w:val="00F85330"/>
    <w:rsid w:val="00F90C7C"/>
    <w:rsid w:val="00F92332"/>
    <w:rsid w:val="00F92683"/>
    <w:rsid w:val="00F93CCE"/>
    <w:rsid w:val="00F976AC"/>
    <w:rsid w:val="00F97F91"/>
    <w:rsid w:val="00FA0DEF"/>
    <w:rsid w:val="00FA25B6"/>
    <w:rsid w:val="00FA3DBD"/>
    <w:rsid w:val="00FA71AD"/>
    <w:rsid w:val="00FA7919"/>
    <w:rsid w:val="00FB04C8"/>
    <w:rsid w:val="00FB2311"/>
    <w:rsid w:val="00FB467B"/>
    <w:rsid w:val="00FB531A"/>
    <w:rsid w:val="00FC01A4"/>
    <w:rsid w:val="00FC0C21"/>
    <w:rsid w:val="00FC1467"/>
    <w:rsid w:val="00FC2AD2"/>
    <w:rsid w:val="00FC3A32"/>
    <w:rsid w:val="00FC6A72"/>
    <w:rsid w:val="00FC6BD5"/>
    <w:rsid w:val="00FC73B7"/>
    <w:rsid w:val="00FC7EB8"/>
    <w:rsid w:val="00FD0792"/>
    <w:rsid w:val="00FD0E17"/>
    <w:rsid w:val="00FD34EB"/>
    <w:rsid w:val="00FD3BC2"/>
    <w:rsid w:val="00FD5498"/>
    <w:rsid w:val="00FE19A2"/>
    <w:rsid w:val="00FE3B6A"/>
    <w:rsid w:val="00FE3EBC"/>
    <w:rsid w:val="00FE555D"/>
    <w:rsid w:val="00FF02F1"/>
    <w:rsid w:val="00FF0EED"/>
    <w:rsid w:val="00FF1171"/>
    <w:rsid w:val="00FF189A"/>
    <w:rsid w:val="00FF6C56"/>
    <w:rsid w:val="00FF748A"/>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92CEB"/>
  <w15:docId w15:val="{1689C68F-3446-406F-BA80-74E6F491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74234"/>
    <w:pPr>
      <w:tabs>
        <w:tab w:val="left" w:pos="113"/>
      </w:tabs>
      <w:autoSpaceDE w:val="0"/>
      <w:autoSpaceDN w:val="0"/>
      <w:adjustRightInd w:val="0"/>
    </w:pPr>
    <w:rPr>
      <w:rFonts w:ascii="Arial" w:hAnsi="Arial" w:cs="Arial"/>
      <w:color w:val="000000"/>
      <w:sz w:val="22"/>
      <w:szCs w:val="24"/>
      <w:lang w:val="en-US" w:eastAsia="en-US"/>
    </w:rPr>
  </w:style>
  <w:style w:type="paragraph" w:styleId="Heading1">
    <w:name w:val="heading 1"/>
    <w:basedOn w:val="Normal"/>
    <w:next w:val="BodyText2"/>
    <w:autoRedefine/>
    <w:qFormat/>
    <w:rsid w:val="00C74234"/>
    <w:pPr>
      <w:keepNext/>
      <w:spacing w:after="240"/>
      <w:outlineLvl w:val="0"/>
    </w:pPr>
    <w:rPr>
      <w:b/>
    </w:rPr>
  </w:style>
  <w:style w:type="paragraph" w:styleId="Heading2">
    <w:name w:val="heading 2"/>
    <w:basedOn w:val="Normal"/>
    <w:next w:val="Normal"/>
    <w:autoRedefine/>
    <w:qFormat/>
    <w:rsid w:val="00C74234"/>
    <w:pPr>
      <w:keepNext/>
      <w:spacing w:after="240"/>
      <w:ind w:left="272" w:hanging="272"/>
      <w:outlineLvl w:val="1"/>
    </w:pPr>
    <w:rPr>
      <w:b/>
      <w:caps/>
      <w:szCs w:val="32"/>
    </w:rPr>
  </w:style>
  <w:style w:type="paragraph" w:styleId="Heading3">
    <w:name w:val="heading 3"/>
    <w:basedOn w:val="Normal"/>
    <w:next w:val="Normal"/>
    <w:autoRedefine/>
    <w:qFormat/>
    <w:rsid w:val="003F6B9E"/>
    <w:pPr>
      <w:keepNext/>
      <w:framePr w:wrap="notBeside" w:vAnchor="text" w:hAnchor="text" w:y="1"/>
      <w:spacing w:after="240"/>
      <w:outlineLvl w:val="2"/>
    </w:pPr>
    <w:rPr>
      <w:bCs/>
      <w:szCs w:val="26"/>
      <w:u w:val="single"/>
    </w:rPr>
  </w:style>
  <w:style w:type="paragraph" w:styleId="Heading4">
    <w:name w:val="heading 4"/>
    <w:basedOn w:val="Normal"/>
    <w:next w:val="Normal"/>
    <w:qFormat/>
    <w:rsid w:val="003F6B9E"/>
    <w:pPr>
      <w:keepNext/>
      <w:numPr>
        <w:ilvl w:val="3"/>
        <w:numId w:val="3"/>
      </w:numPr>
      <w:spacing w:before="240" w:after="60"/>
      <w:outlineLvl w:val="3"/>
    </w:pPr>
  </w:style>
  <w:style w:type="paragraph" w:styleId="Heading5">
    <w:name w:val="heading 5"/>
    <w:basedOn w:val="Normal"/>
    <w:next w:val="Normal"/>
    <w:autoRedefine/>
    <w:qFormat/>
    <w:rsid w:val="00B24009"/>
    <w:pPr>
      <w:spacing w:before="240" w:after="60"/>
      <w:outlineLvl w:val="4"/>
    </w:pPr>
    <w:rPr>
      <w:b/>
      <w:sz w:val="20"/>
      <w:szCs w:val="20"/>
      <w:lang w:val="en-GB"/>
    </w:rPr>
  </w:style>
  <w:style w:type="paragraph" w:styleId="Heading6">
    <w:name w:val="heading 6"/>
    <w:basedOn w:val="Normal"/>
    <w:next w:val="Normal"/>
    <w:qFormat/>
    <w:rsid w:val="003F6B9E"/>
    <w:pPr>
      <w:numPr>
        <w:ilvl w:val="5"/>
        <w:numId w:val="3"/>
      </w:numPr>
      <w:spacing w:before="240" w:after="60"/>
      <w:outlineLvl w:val="5"/>
    </w:pPr>
    <w:rPr>
      <w:i/>
    </w:rPr>
  </w:style>
  <w:style w:type="paragraph" w:styleId="Heading7">
    <w:name w:val="heading 7"/>
    <w:basedOn w:val="Normal"/>
    <w:next w:val="Normal"/>
    <w:qFormat/>
    <w:rsid w:val="003F6B9E"/>
    <w:pPr>
      <w:numPr>
        <w:ilvl w:val="6"/>
        <w:numId w:val="3"/>
      </w:numPr>
      <w:spacing w:before="240" w:after="60"/>
      <w:outlineLvl w:val="6"/>
    </w:pPr>
    <w:rPr>
      <w:sz w:val="20"/>
    </w:rPr>
  </w:style>
  <w:style w:type="paragraph" w:styleId="Heading8">
    <w:name w:val="heading 8"/>
    <w:basedOn w:val="Normal"/>
    <w:next w:val="Normal"/>
    <w:qFormat/>
    <w:rsid w:val="003F6B9E"/>
    <w:pPr>
      <w:numPr>
        <w:ilvl w:val="7"/>
        <w:numId w:val="3"/>
      </w:numPr>
      <w:spacing w:before="240" w:after="60"/>
      <w:outlineLvl w:val="7"/>
    </w:pPr>
    <w:rPr>
      <w:i/>
      <w:sz w:val="20"/>
    </w:rPr>
  </w:style>
  <w:style w:type="paragraph" w:styleId="Heading9">
    <w:name w:val="heading 9"/>
    <w:basedOn w:val="Normal"/>
    <w:next w:val="Normal"/>
    <w:qFormat/>
    <w:rsid w:val="003F6B9E"/>
    <w:pPr>
      <w:numPr>
        <w:ilvl w:val="8"/>
        <w:numId w:val="3"/>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F6B9E"/>
    <w:pPr>
      <w:jc w:val="right"/>
    </w:pPr>
    <w:rPr>
      <w:rFonts w:ascii="Verdana" w:hAnsi="Verdana"/>
      <w:b/>
    </w:rPr>
  </w:style>
  <w:style w:type="paragraph" w:styleId="Footer">
    <w:name w:val="footer"/>
    <w:basedOn w:val="Normal"/>
    <w:autoRedefine/>
    <w:rsid w:val="003F6B9E"/>
    <w:pPr>
      <w:tabs>
        <w:tab w:val="center" w:pos="4153"/>
        <w:tab w:val="right" w:pos="8306"/>
      </w:tabs>
      <w:overflowPunct w:val="0"/>
      <w:jc w:val="center"/>
      <w:textAlignment w:val="baseline"/>
    </w:pPr>
    <w:rPr>
      <w:noProof/>
      <w:szCs w:val="20"/>
    </w:rPr>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basedOn w:val="DefaultParagraphFont"/>
    <w:rsid w:val="003F6B9E"/>
  </w:style>
  <w:style w:type="paragraph" w:styleId="BodyTextIndent">
    <w:name w:val="Body Text Indent"/>
    <w:aliases w:val="Body Text Centre"/>
    <w:basedOn w:val="Normal"/>
    <w:autoRedefine/>
    <w:rsid w:val="003F6B9E"/>
    <w:pPr>
      <w:ind w:left="993"/>
    </w:pPr>
    <w:rPr>
      <w:b/>
    </w:rPr>
  </w:style>
  <w:style w:type="paragraph" w:styleId="BodyTextIndent2">
    <w:name w:val="Body Text Indent 2"/>
    <w:basedOn w:val="Normal"/>
    <w:rsid w:val="003F6B9E"/>
    <w:pPr>
      <w:ind w:left="567"/>
    </w:pPr>
    <w:rPr>
      <w:color w:val="FF6600"/>
    </w:rPr>
  </w:style>
  <w:style w:type="paragraph" w:styleId="BodyTextIndent3">
    <w:name w:val="Body Text Indent 3"/>
    <w:basedOn w:val="Normal"/>
    <w:rsid w:val="003F6B9E"/>
    <w:pPr>
      <w:ind w:left="720"/>
    </w:pPr>
    <w:rPr>
      <w:u w:val="single"/>
    </w:rPr>
  </w:style>
  <w:style w:type="paragraph" w:styleId="BodyText2">
    <w:name w:val="Body Text 2"/>
    <w:basedOn w:val="Normal"/>
    <w:link w:val="BodyText2Char"/>
    <w:autoRedefine/>
    <w:rsid w:val="006777F4"/>
    <w:pPr>
      <w:tabs>
        <w:tab w:val="clear" w:pos="113"/>
        <w:tab w:val="left" w:pos="851"/>
      </w:tabs>
      <w:spacing w:after="220"/>
      <w:jc w:val="both"/>
    </w:pPr>
    <w:rPr>
      <w:lang w:val="en-GB"/>
    </w:rPr>
  </w:style>
  <w:style w:type="paragraph" w:styleId="BodyText">
    <w:name w:val="Body Text"/>
    <w:basedOn w:val="Normal"/>
    <w:rsid w:val="003F6B9E"/>
    <w:rPr>
      <w:sz w:val="20"/>
    </w:rPr>
  </w:style>
  <w:style w:type="paragraph" w:styleId="BodyText3">
    <w:name w:val="Body Text 3"/>
    <w:basedOn w:val="Normal"/>
    <w:rsid w:val="003F6B9E"/>
  </w:style>
  <w:style w:type="paragraph" w:styleId="BalloonText">
    <w:name w:val="Balloon Text"/>
    <w:basedOn w:val="Normal"/>
    <w:semiHidden/>
    <w:rsid w:val="00FB2311"/>
    <w:rPr>
      <w:rFonts w:ascii="Tahoma" w:hAnsi="Tahoma" w:cs="Tahoma"/>
      <w:sz w:val="16"/>
      <w:szCs w:val="16"/>
    </w:rPr>
  </w:style>
  <w:style w:type="paragraph" w:customStyle="1" w:styleId="PaperInfo1">
    <w:name w:val="Paper Info 1"/>
    <w:basedOn w:val="FootnoteText"/>
    <w:autoRedefine/>
    <w:rsid w:val="00B70106"/>
    <w:pPr>
      <w:framePr w:hSpace="180" w:wrap="around" w:vAnchor="page" w:hAnchor="margin" w:y="2945"/>
      <w:tabs>
        <w:tab w:val="left" w:pos="1440"/>
      </w:tabs>
      <w:spacing w:before="120"/>
    </w:pPr>
    <w:rPr>
      <w:b w:val="0"/>
      <w:bCs/>
      <w:szCs w:val="24"/>
      <w:lang w:val="en-GB"/>
    </w:rPr>
  </w:style>
  <w:style w:type="paragraph" w:customStyle="1" w:styleId="PaperInfo2">
    <w:name w:val="Paper Info 2"/>
    <w:basedOn w:val="Normal"/>
    <w:autoRedefine/>
    <w:rsid w:val="00EC135F"/>
    <w:pPr>
      <w:ind w:left="1418"/>
    </w:pPr>
    <w:rPr>
      <w:bCs/>
      <w:lang w:val="en-GB"/>
    </w:rPr>
  </w:style>
  <w:style w:type="paragraph" w:styleId="FootnoteText">
    <w:name w:val="footnote text"/>
    <w:basedOn w:val="Normal"/>
    <w:autoRedefine/>
    <w:semiHidden/>
    <w:rsid w:val="003F6B9E"/>
    <w:rPr>
      <w:b/>
      <w:sz w:val="16"/>
      <w:szCs w:val="20"/>
    </w:rPr>
  </w:style>
  <w:style w:type="paragraph" w:customStyle="1" w:styleId="StyleArial">
    <w:name w:val="Style Arial"/>
    <w:basedOn w:val="Normal"/>
    <w:link w:val="StyleArialChar"/>
    <w:autoRedefine/>
    <w:rsid w:val="008532C2"/>
    <w:pPr>
      <w:spacing w:after="240"/>
      <w:jc w:val="center"/>
    </w:pPr>
    <w:rPr>
      <w:sz w:val="20"/>
      <w:szCs w:val="20"/>
      <w:lang w:val="en-GB"/>
    </w:rPr>
  </w:style>
  <w:style w:type="character" w:customStyle="1" w:styleId="StyleArialChar">
    <w:name w:val="Style Arial Char"/>
    <w:link w:val="StyleArial"/>
    <w:rsid w:val="008532C2"/>
    <w:rPr>
      <w:rFonts w:ascii="Arial" w:hAnsi="Arial" w:cs="Arial"/>
      <w:color w:val="000000"/>
      <w:lang w:eastAsia="en-US"/>
    </w:rPr>
  </w:style>
  <w:style w:type="paragraph" w:customStyle="1" w:styleId="StyleHeading5">
    <w:name w:val="Style Heading 5"/>
    <w:autoRedefine/>
    <w:rsid w:val="003F6B9E"/>
    <w:pPr>
      <w:keepNext/>
      <w:numPr>
        <w:numId w:val="2"/>
      </w:numPr>
      <w:outlineLvl w:val="0"/>
    </w:pPr>
    <w:rPr>
      <w:rFonts w:ascii="Arial" w:hAnsi="Arial"/>
      <w:b/>
      <w:bCs/>
      <w:snapToGrid w:val="0"/>
      <w:color w:val="800000"/>
      <w:sz w:val="28"/>
      <w:lang w:eastAsia="en-US"/>
    </w:rPr>
  </w:style>
  <w:style w:type="paragraph" w:styleId="TOC1">
    <w:name w:val="toc 1"/>
    <w:basedOn w:val="Normal"/>
    <w:next w:val="Normal"/>
    <w:semiHidden/>
    <w:rsid w:val="003F6B9E"/>
    <w:pPr>
      <w:spacing w:before="360" w:after="360"/>
    </w:pPr>
    <w:rPr>
      <w:b/>
      <w:caps/>
      <w:u w:val="single"/>
    </w:rPr>
  </w:style>
  <w:style w:type="paragraph" w:customStyle="1" w:styleId="AgendaItem">
    <w:name w:val="Agenda Item"/>
    <w:basedOn w:val="Normal"/>
    <w:autoRedefine/>
    <w:rsid w:val="003F6B9E"/>
    <w:rPr>
      <w:b/>
      <w:bCs/>
      <w:sz w:val="52"/>
    </w:rPr>
  </w:style>
  <w:style w:type="paragraph" w:customStyle="1" w:styleId="Bullet">
    <w:name w:val="Bullet"/>
    <w:basedOn w:val="Normal"/>
    <w:autoRedefine/>
    <w:rsid w:val="00C74234"/>
    <w:pPr>
      <w:numPr>
        <w:numId w:val="4"/>
      </w:numPr>
      <w:overflowPunct w:val="0"/>
      <w:spacing w:after="120"/>
      <w:textAlignment w:val="baseline"/>
    </w:pPr>
    <w:rPr>
      <w:szCs w:val="20"/>
    </w:rPr>
  </w:style>
  <w:style w:type="paragraph" w:customStyle="1" w:styleId="Bulleted">
    <w:name w:val="Bulleted"/>
    <w:basedOn w:val="Normal"/>
    <w:autoRedefine/>
    <w:rsid w:val="003F6B9E"/>
    <w:pPr>
      <w:numPr>
        <w:numId w:val="1"/>
      </w:numPr>
      <w:tabs>
        <w:tab w:val="clear" w:pos="1440"/>
        <w:tab w:val="num" w:pos="1080"/>
      </w:tabs>
      <w:overflowPunct w:val="0"/>
      <w:ind w:left="1080"/>
      <w:textAlignment w:val="baseline"/>
    </w:pPr>
    <w:rPr>
      <w:szCs w:val="20"/>
    </w:rPr>
  </w:style>
  <w:style w:type="character" w:styleId="FootnoteReference">
    <w:name w:val="footnote reference"/>
    <w:semiHidden/>
    <w:rsid w:val="003F6B9E"/>
    <w:rPr>
      <w:vertAlign w:val="superscript"/>
    </w:rPr>
  </w:style>
  <w:style w:type="paragraph" w:customStyle="1" w:styleId="NumberedParagraphs">
    <w:name w:val="Numbered Paragraphs"/>
    <w:basedOn w:val="Normal"/>
    <w:autoRedefine/>
    <w:rsid w:val="00C74234"/>
    <w:pPr>
      <w:numPr>
        <w:numId w:val="5"/>
      </w:numPr>
      <w:overflowPunct w:val="0"/>
      <w:spacing w:after="240"/>
      <w:textAlignment w:val="baseline"/>
    </w:pPr>
    <w:rPr>
      <w:szCs w:val="20"/>
    </w:rPr>
  </w:style>
  <w:style w:type="paragraph" w:customStyle="1" w:styleId="PaperHeader">
    <w:name w:val="Paper Header"/>
    <w:basedOn w:val="Header"/>
    <w:autoRedefine/>
    <w:rsid w:val="003F6B9E"/>
    <w:rPr>
      <w:b w:val="0"/>
      <w:bCs/>
    </w:rPr>
  </w:style>
  <w:style w:type="paragraph" w:customStyle="1" w:styleId="ReportNo">
    <w:name w:val="Report No"/>
    <w:basedOn w:val="Normal"/>
    <w:autoRedefine/>
    <w:rsid w:val="003F6B9E"/>
    <w:pPr>
      <w:ind w:left="720"/>
    </w:pPr>
    <w:rPr>
      <w:sz w:val="28"/>
    </w:rPr>
  </w:style>
  <w:style w:type="paragraph" w:customStyle="1" w:styleId="SubParagraph">
    <w:name w:val="Sub Paragraph"/>
    <w:basedOn w:val="Normal"/>
    <w:autoRedefine/>
    <w:rsid w:val="003F6B9E"/>
    <w:pPr>
      <w:overflowPunct w:val="0"/>
      <w:ind w:left="851"/>
      <w:textAlignment w:val="baseline"/>
    </w:pPr>
    <w:rPr>
      <w:szCs w:val="20"/>
    </w:rPr>
  </w:style>
  <w:style w:type="paragraph" w:styleId="Subtitle">
    <w:name w:val="Subtitle"/>
    <w:basedOn w:val="Normal"/>
    <w:qFormat/>
    <w:rsid w:val="003F6B9E"/>
    <w:pPr>
      <w:jc w:val="center"/>
    </w:pPr>
    <w:rPr>
      <w:rFonts w:ascii="Times New Roman" w:hAnsi="Times New Roman"/>
      <w:b/>
      <w:bCs/>
      <w:sz w:val="24"/>
    </w:rPr>
  </w:style>
  <w:style w:type="paragraph" w:customStyle="1" w:styleId="PaperNo">
    <w:name w:val="Paper No"/>
    <w:basedOn w:val="Normal"/>
    <w:autoRedefine/>
    <w:rsid w:val="003F6B9E"/>
    <w:pPr>
      <w:ind w:left="1418"/>
    </w:pPr>
    <w:rPr>
      <w:b/>
      <w:sz w:val="28"/>
    </w:rPr>
  </w:style>
  <w:style w:type="paragraph" w:customStyle="1" w:styleId="paperInfoBold">
    <w:name w:val="paper Info Bold"/>
    <w:basedOn w:val="PaperInfo2"/>
    <w:autoRedefine/>
    <w:rsid w:val="003F6B9E"/>
    <w:rPr>
      <w:bCs w:val="0"/>
    </w:rPr>
  </w:style>
  <w:style w:type="paragraph" w:customStyle="1" w:styleId="AgendaNo">
    <w:name w:val="Agenda No"/>
    <w:basedOn w:val="PaperInfo2"/>
    <w:autoRedefine/>
    <w:rsid w:val="003F6B9E"/>
    <w:rPr>
      <w:b/>
      <w:sz w:val="52"/>
    </w:rPr>
  </w:style>
  <w:style w:type="paragraph" w:customStyle="1" w:styleId="PageHeader">
    <w:name w:val="Page Header"/>
    <w:basedOn w:val="Header"/>
    <w:autoRedefine/>
    <w:rsid w:val="003F6B9E"/>
  </w:style>
  <w:style w:type="paragraph" w:customStyle="1" w:styleId="YellowBold">
    <w:name w:val="Yellow/Bold"/>
    <w:rsid w:val="003F6B9E"/>
    <w:rPr>
      <w:rFonts w:ascii="Arial" w:hAnsi="Arial"/>
      <w:b/>
      <w:snapToGrid w:val="0"/>
      <w:lang w:eastAsia="en-US"/>
    </w:rPr>
  </w:style>
  <w:style w:type="character" w:styleId="Hyperlink">
    <w:name w:val="Hyperlink"/>
    <w:rsid w:val="003F6B9E"/>
    <w:rPr>
      <w:color w:val="0000FF"/>
      <w:u w:val="single"/>
    </w:rPr>
  </w:style>
  <w:style w:type="paragraph" w:customStyle="1" w:styleId="xl24">
    <w:name w:val="xl24"/>
    <w:basedOn w:val="Normal"/>
    <w:rsid w:val="003F6B9E"/>
    <w:pPr>
      <w:tabs>
        <w:tab w:val="clear" w:pos="113"/>
      </w:tabs>
      <w:autoSpaceDE/>
      <w:autoSpaceDN/>
      <w:adjustRightInd/>
      <w:spacing w:before="100" w:beforeAutospacing="1" w:after="100" w:afterAutospacing="1"/>
      <w:jc w:val="center"/>
    </w:pPr>
    <w:rPr>
      <w:rFonts w:eastAsia="Arial Unicode MS"/>
      <w:b/>
      <w:color w:val="auto"/>
      <w:sz w:val="24"/>
    </w:rPr>
  </w:style>
  <w:style w:type="paragraph" w:customStyle="1" w:styleId="xl25">
    <w:name w:val="xl25"/>
    <w:basedOn w:val="Normal"/>
    <w:rsid w:val="003F6B9E"/>
    <w:pP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xl26">
    <w:name w:val="xl26"/>
    <w:basedOn w:val="Normal"/>
    <w:rsid w:val="003F6B9E"/>
    <w:pP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xl27">
    <w:name w:val="xl27"/>
    <w:basedOn w:val="Normal"/>
    <w:rsid w:val="003F6B9E"/>
    <w:pPr>
      <w:tabs>
        <w:tab w:val="clear" w:pos="113"/>
      </w:tabs>
      <w:autoSpaceDE/>
      <w:autoSpaceDN/>
      <w:adjustRightInd/>
      <w:spacing w:before="100" w:beforeAutospacing="1" w:after="100" w:afterAutospacing="1"/>
      <w:ind w:firstLineChars="100" w:firstLine="100"/>
    </w:pPr>
    <w:rPr>
      <w:rFonts w:eastAsia="Arial Unicode MS"/>
      <w:bCs/>
      <w:color w:val="auto"/>
      <w:sz w:val="24"/>
    </w:rPr>
  </w:style>
  <w:style w:type="paragraph" w:customStyle="1" w:styleId="xl28">
    <w:name w:val="xl28"/>
    <w:basedOn w:val="Normal"/>
    <w:rsid w:val="003F6B9E"/>
    <w:pPr>
      <w:tabs>
        <w:tab w:val="clear" w:pos="113"/>
      </w:tabs>
      <w:autoSpaceDE/>
      <w:autoSpaceDN/>
      <w:adjustRightInd/>
      <w:spacing w:before="100" w:beforeAutospacing="1" w:after="100" w:afterAutospacing="1"/>
      <w:jc w:val="center"/>
    </w:pPr>
    <w:rPr>
      <w:rFonts w:eastAsia="Arial Unicode MS"/>
      <w:bCs/>
      <w:color w:val="auto"/>
      <w:sz w:val="24"/>
    </w:rPr>
  </w:style>
  <w:style w:type="paragraph" w:customStyle="1" w:styleId="xl29">
    <w:name w:val="xl29"/>
    <w:basedOn w:val="Normal"/>
    <w:rsid w:val="003F6B9E"/>
    <w:pPr>
      <w:tabs>
        <w:tab w:val="clear" w:pos="113"/>
      </w:tabs>
      <w:autoSpaceDE/>
      <w:autoSpaceDN/>
      <w:adjustRightInd/>
      <w:spacing w:before="100" w:beforeAutospacing="1" w:after="100" w:afterAutospacing="1"/>
      <w:jc w:val="right"/>
    </w:pPr>
    <w:rPr>
      <w:rFonts w:eastAsia="Arial Unicode MS"/>
      <w:bCs/>
      <w:color w:val="auto"/>
      <w:sz w:val="24"/>
    </w:rPr>
  </w:style>
  <w:style w:type="paragraph" w:customStyle="1" w:styleId="xl30">
    <w:name w:val="xl30"/>
    <w:basedOn w:val="Normal"/>
    <w:rsid w:val="003F6B9E"/>
    <w:pPr>
      <w:tabs>
        <w:tab w:val="clear" w:pos="113"/>
      </w:tabs>
      <w:autoSpaceDE/>
      <w:autoSpaceDN/>
      <w:adjustRightInd/>
      <w:spacing w:before="100" w:beforeAutospacing="1" w:after="100" w:afterAutospacing="1"/>
    </w:pPr>
    <w:rPr>
      <w:rFonts w:eastAsia="Arial Unicode MS"/>
      <w:bCs/>
      <w:color w:val="auto"/>
      <w:sz w:val="24"/>
    </w:rPr>
  </w:style>
  <w:style w:type="paragraph" w:customStyle="1" w:styleId="xl31">
    <w:name w:val="xl31"/>
    <w:basedOn w:val="Normal"/>
    <w:rsid w:val="003F6B9E"/>
    <w:pPr>
      <w:tabs>
        <w:tab w:val="clear" w:pos="113"/>
      </w:tabs>
      <w:autoSpaceDE/>
      <w:autoSpaceDN/>
      <w:adjustRightInd/>
      <w:spacing w:before="100" w:beforeAutospacing="1" w:after="100" w:afterAutospacing="1"/>
      <w:jc w:val="right"/>
    </w:pPr>
    <w:rPr>
      <w:rFonts w:eastAsia="Arial Unicode MS"/>
      <w:bCs/>
      <w:color w:val="auto"/>
      <w:sz w:val="24"/>
    </w:rPr>
  </w:style>
  <w:style w:type="paragraph" w:customStyle="1" w:styleId="xl32">
    <w:name w:val="xl32"/>
    <w:basedOn w:val="Normal"/>
    <w:rsid w:val="003F6B9E"/>
    <w:pPr>
      <w:tabs>
        <w:tab w:val="clear" w:pos="113"/>
      </w:tabs>
      <w:autoSpaceDE/>
      <w:autoSpaceDN/>
      <w:adjustRightInd/>
      <w:spacing w:before="100" w:beforeAutospacing="1" w:after="100" w:afterAutospacing="1"/>
    </w:pPr>
    <w:rPr>
      <w:rFonts w:eastAsia="Arial Unicode MS"/>
      <w:bCs/>
      <w:color w:val="auto"/>
      <w:sz w:val="24"/>
    </w:rPr>
  </w:style>
  <w:style w:type="paragraph" w:customStyle="1" w:styleId="xl33">
    <w:name w:val="xl33"/>
    <w:basedOn w:val="Normal"/>
    <w:rsid w:val="003F6B9E"/>
    <w:pPr>
      <w:tabs>
        <w:tab w:val="clear" w:pos="113"/>
      </w:tabs>
      <w:autoSpaceDE/>
      <w:autoSpaceDN/>
      <w:adjustRightInd/>
      <w:spacing w:before="100" w:beforeAutospacing="1" w:after="100" w:afterAutospacing="1"/>
    </w:pPr>
    <w:rPr>
      <w:rFonts w:eastAsia="Arial Unicode MS"/>
      <w:b/>
      <w:color w:val="auto"/>
      <w:sz w:val="24"/>
    </w:rPr>
  </w:style>
  <w:style w:type="paragraph" w:customStyle="1" w:styleId="xl34">
    <w:name w:val="xl34"/>
    <w:basedOn w:val="Normal"/>
    <w:rsid w:val="003F6B9E"/>
    <w:pPr>
      <w:pBdr>
        <w:top w:val="single" w:sz="4" w:space="0" w:color="auto"/>
      </w:pBd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xl35">
    <w:name w:val="xl35"/>
    <w:basedOn w:val="Normal"/>
    <w:rsid w:val="003F6B9E"/>
    <w:pP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xl36">
    <w:name w:val="xl36"/>
    <w:basedOn w:val="Normal"/>
    <w:rsid w:val="003F6B9E"/>
    <w:pPr>
      <w:pBdr>
        <w:top w:val="single" w:sz="4" w:space="0" w:color="auto"/>
      </w:pBd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xl37">
    <w:name w:val="xl37"/>
    <w:basedOn w:val="Normal"/>
    <w:rsid w:val="003F6B9E"/>
    <w:pPr>
      <w:tabs>
        <w:tab w:val="clear" w:pos="113"/>
      </w:tabs>
      <w:autoSpaceDE/>
      <w:autoSpaceDN/>
      <w:adjustRightInd/>
      <w:spacing w:before="100" w:beforeAutospacing="1" w:after="100" w:afterAutospacing="1"/>
    </w:pPr>
    <w:rPr>
      <w:rFonts w:eastAsia="Arial Unicode MS"/>
      <w:bCs/>
      <w:color w:val="auto"/>
      <w:sz w:val="24"/>
    </w:rPr>
  </w:style>
  <w:style w:type="paragraph" w:customStyle="1" w:styleId="xl38">
    <w:name w:val="xl38"/>
    <w:basedOn w:val="Normal"/>
    <w:rsid w:val="003F6B9E"/>
    <w:pPr>
      <w:tabs>
        <w:tab w:val="clear" w:pos="113"/>
      </w:tabs>
      <w:autoSpaceDE/>
      <w:autoSpaceDN/>
      <w:adjustRightInd/>
      <w:spacing w:before="100" w:beforeAutospacing="1" w:after="100" w:afterAutospacing="1"/>
      <w:ind w:firstLineChars="100" w:firstLine="100"/>
    </w:pPr>
    <w:rPr>
      <w:rFonts w:eastAsia="Arial Unicode MS"/>
      <w:bCs/>
      <w:color w:val="auto"/>
      <w:sz w:val="24"/>
    </w:rPr>
  </w:style>
  <w:style w:type="paragraph" w:customStyle="1" w:styleId="xl39">
    <w:name w:val="xl39"/>
    <w:basedOn w:val="Normal"/>
    <w:rsid w:val="003F6B9E"/>
    <w:pPr>
      <w:tabs>
        <w:tab w:val="clear" w:pos="113"/>
      </w:tabs>
      <w:autoSpaceDE/>
      <w:autoSpaceDN/>
      <w:adjustRightInd/>
      <w:spacing w:before="100" w:beforeAutospacing="1" w:after="100" w:afterAutospacing="1"/>
    </w:pPr>
    <w:rPr>
      <w:rFonts w:eastAsia="Arial Unicode MS"/>
      <w:b/>
      <w:color w:val="auto"/>
      <w:sz w:val="24"/>
    </w:rPr>
  </w:style>
  <w:style w:type="paragraph" w:customStyle="1" w:styleId="xl40">
    <w:name w:val="xl40"/>
    <w:basedOn w:val="Normal"/>
    <w:rsid w:val="003F6B9E"/>
    <w:pPr>
      <w:pBdr>
        <w:top w:val="single" w:sz="4" w:space="0" w:color="auto"/>
        <w:bottom w:val="single" w:sz="4" w:space="0" w:color="auto"/>
      </w:pBd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xl41">
    <w:name w:val="xl41"/>
    <w:basedOn w:val="Normal"/>
    <w:rsid w:val="003F6B9E"/>
    <w:pPr>
      <w:pBdr>
        <w:top w:val="single" w:sz="4" w:space="0" w:color="auto"/>
        <w:bottom w:val="single" w:sz="4" w:space="0" w:color="auto"/>
      </w:pBdr>
      <w:tabs>
        <w:tab w:val="clear" w:pos="113"/>
      </w:tabs>
      <w:autoSpaceDE/>
      <w:autoSpaceDN/>
      <w:adjustRightInd/>
      <w:spacing w:before="100" w:beforeAutospacing="1" w:after="100" w:afterAutospacing="1"/>
      <w:jc w:val="right"/>
    </w:pPr>
    <w:rPr>
      <w:rFonts w:eastAsia="Arial Unicode MS"/>
      <w:b/>
      <w:color w:val="auto"/>
      <w:sz w:val="24"/>
    </w:rPr>
  </w:style>
  <w:style w:type="paragraph" w:customStyle="1" w:styleId="StyleBulletLeft175cmFirstline0cm">
    <w:name w:val="Style Bullet + Left:  1.75 cm First line:  0 cm"/>
    <w:basedOn w:val="Bullet"/>
    <w:autoRedefine/>
    <w:rsid w:val="003F6B9E"/>
    <w:pPr>
      <w:ind w:left="992" w:firstLine="0"/>
    </w:pPr>
    <w:rPr>
      <w:rFonts w:cs="Times New Roman"/>
    </w:rPr>
  </w:style>
  <w:style w:type="paragraph" w:customStyle="1" w:styleId="Table">
    <w:name w:val="Table"/>
    <w:basedOn w:val="Normal"/>
    <w:autoRedefine/>
    <w:rsid w:val="003F6B9E"/>
    <w:pPr>
      <w:jc w:val="right"/>
    </w:pPr>
    <w:rPr>
      <w:bCs/>
    </w:rPr>
  </w:style>
  <w:style w:type="paragraph" w:customStyle="1" w:styleId="StyleBodyText3Centered">
    <w:name w:val="Style Body Text 3 + Centered"/>
    <w:basedOn w:val="BodyText3"/>
    <w:autoRedefine/>
    <w:rsid w:val="00406393"/>
    <w:pPr>
      <w:tabs>
        <w:tab w:val="clear" w:pos="113"/>
        <w:tab w:val="left" w:pos="0"/>
      </w:tabs>
      <w:spacing w:after="240"/>
      <w:ind w:right="237"/>
      <w:jc w:val="center"/>
    </w:pPr>
    <w:rPr>
      <w:rFonts w:cs="Times New Roman"/>
      <w:bCs/>
      <w:szCs w:val="20"/>
    </w:rPr>
  </w:style>
  <w:style w:type="character" w:customStyle="1" w:styleId="BodyText2Char">
    <w:name w:val="Body Text 2 Char"/>
    <w:link w:val="BodyText2"/>
    <w:rsid w:val="006777F4"/>
    <w:rPr>
      <w:rFonts w:ascii="Arial" w:hAnsi="Arial" w:cs="Arial"/>
      <w:color w:val="000000"/>
      <w:sz w:val="22"/>
      <w:szCs w:val="24"/>
      <w:lang w:eastAsia="en-US"/>
    </w:rPr>
  </w:style>
  <w:style w:type="paragraph" w:styleId="NormalWeb">
    <w:name w:val="Normal (Web)"/>
    <w:basedOn w:val="Normal"/>
    <w:rsid w:val="00AC7EFB"/>
    <w:pPr>
      <w:tabs>
        <w:tab w:val="clear" w:pos="113"/>
      </w:tabs>
      <w:autoSpaceDE/>
      <w:autoSpaceDN/>
      <w:adjustRightInd/>
      <w:spacing w:before="100" w:beforeAutospacing="1" w:after="100" w:afterAutospacing="1"/>
    </w:pPr>
    <w:rPr>
      <w:rFonts w:ascii="Times New Roman" w:hAnsi="Times New Roman" w:cs="Times New Roman"/>
      <w:color w:val="auto"/>
      <w:sz w:val="24"/>
      <w:lang w:val="en-GB" w:eastAsia="en-GB"/>
    </w:rPr>
  </w:style>
  <w:style w:type="paragraph" w:customStyle="1" w:styleId="StyleBulletAfter0pt">
    <w:name w:val="Style Bullet + After:  0 pt"/>
    <w:basedOn w:val="Normal"/>
    <w:rsid w:val="009117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7144">
      <w:bodyDiv w:val="1"/>
      <w:marLeft w:val="0"/>
      <w:marRight w:val="0"/>
      <w:marTop w:val="0"/>
      <w:marBottom w:val="0"/>
      <w:divBdr>
        <w:top w:val="none" w:sz="0" w:space="0" w:color="auto"/>
        <w:left w:val="none" w:sz="0" w:space="0" w:color="auto"/>
        <w:bottom w:val="none" w:sz="0" w:space="0" w:color="auto"/>
        <w:right w:val="none" w:sz="0" w:space="0" w:color="auto"/>
      </w:divBdr>
    </w:div>
    <w:div w:id="682391306">
      <w:bodyDiv w:val="1"/>
      <w:marLeft w:val="0"/>
      <w:marRight w:val="0"/>
      <w:marTop w:val="0"/>
      <w:marBottom w:val="0"/>
      <w:divBdr>
        <w:top w:val="none" w:sz="0" w:space="0" w:color="auto"/>
        <w:left w:val="none" w:sz="0" w:space="0" w:color="auto"/>
        <w:bottom w:val="none" w:sz="0" w:space="0" w:color="auto"/>
        <w:right w:val="none" w:sz="0" w:space="0" w:color="auto"/>
      </w:divBdr>
    </w:div>
    <w:div w:id="857156564">
      <w:bodyDiv w:val="1"/>
      <w:marLeft w:val="0"/>
      <w:marRight w:val="0"/>
      <w:marTop w:val="0"/>
      <w:marBottom w:val="0"/>
      <w:divBdr>
        <w:top w:val="none" w:sz="0" w:space="0" w:color="auto"/>
        <w:left w:val="none" w:sz="0" w:space="0" w:color="auto"/>
        <w:bottom w:val="none" w:sz="0" w:space="0" w:color="auto"/>
        <w:right w:val="none" w:sz="0" w:space="0" w:color="auto"/>
      </w:divBdr>
      <w:divsChild>
        <w:div w:id="840779866">
          <w:marLeft w:val="0"/>
          <w:marRight w:val="0"/>
          <w:marTop w:val="0"/>
          <w:marBottom w:val="0"/>
          <w:divBdr>
            <w:top w:val="none" w:sz="0" w:space="0" w:color="auto"/>
            <w:left w:val="none" w:sz="0" w:space="0" w:color="auto"/>
            <w:bottom w:val="none" w:sz="0" w:space="0" w:color="auto"/>
            <w:right w:val="none" w:sz="0" w:space="0" w:color="auto"/>
          </w:divBdr>
          <w:divsChild>
            <w:div w:id="562645482">
              <w:marLeft w:val="0"/>
              <w:marRight w:val="0"/>
              <w:marTop w:val="0"/>
              <w:marBottom w:val="0"/>
              <w:divBdr>
                <w:top w:val="none" w:sz="0" w:space="0" w:color="auto"/>
                <w:left w:val="none" w:sz="0" w:space="0" w:color="auto"/>
                <w:bottom w:val="none" w:sz="0" w:space="0" w:color="auto"/>
                <w:right w:val="none" w:sz="0" w:space="0" w:color="auto"/>
              </w:divBdr>
              <w:divsChild>
                <w:div w:id="14884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4130">
      <w:bodyDiv w:val="1"/>
      <w:marLeft w:val="0"/>
      <w:marRight w:val="0"/>
      <w:marTop w:val="0"/>
      <w:marBottom w:val="0"/>
      <w:divBdr>
        <w:top w:val="none" w:sz="0" w:space="0" w:color="auto"/>
        <w:left w:val="none" w:sz="0" w:space="0" w:color="auto"/>
        <w:bottom w:val="none" w:sz="0" w:space="0" w:color="auto"/>
        <w:right w:val="none" w:sz="0" w:space="0" w:color="auto"/>
      </w:divBdr>
    </w:div>
    <w:div w:id="1454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1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6.emf"/><Relationship Id="rId30" Type="http://schemas.openxmlformats.org/officeDocument/2006/relationships/header" Target="header5.xml"/><Relationship Id="rId35" Type="http://schemas.openxmlformats.org/officeDocument/2006/relationships/image" Target="media/image1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DraneP\Local%20Settings\Temporary%20Internet%20Files\OLK9\EFA%20Paper%20Format%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E948-3EE1-4E30-851D-CA86F3D0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 Paper Format 2004</Template>
  <TotalTime>1</TotalTime>
  <Pages>18</Pages>
  <Words>4466</Words>
  <Characters>25337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MEETING</vt:lpstr>
    </vt:vector>
  </TitlesOfParts>
  <Company>Essex Fire Authority</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Corporate Services</dc:creator>
  <cp:lastModifiedBy>Anthony Maude 42078422</cp:lastModifiedBy>
  <cp:revision>2</cp:revision>
  <cp:lastPrinted>2017-01-26T11:59:00Z</cp:lastPrinted>
  <dcterms:created xsi:type="dcterms:W3CDTF">2019-03-22T15:41:00Z</dcterms:created>
  <dcterms:modified xsi:type="dcterms:W3CDTF">2019-03-22T15:41:00Z</dcterms:modified>
</cp:coreProperties>
</file>