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0A" w:rsidRPr="002F45F7" w:rsidRDefault="003B260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3B260A" w:rsidRPr="002F45F7" w:rsidRDefault="003B260A"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3B260A" w:rsidRPr="002F45F7" w:rsidRDefault="003B260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3B260A" w:rsidRPr="002F45F7" w:rsidRDefault="003B260A"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F43F27" w:rsidP="009E572F">
            <w:pPr>
              <w:spacing w:before="120" w:after="120"/>
              <w:rPr>
                <w:rFonts w:cs="Times New Roman"/>
                <w:b/>
                <w:szCs w:val="20"/>
              </w:rPr>
            </w:pPr>
            <w:r>
              <w:rPr>
                <w:rFonts w:cs="Times New Roman"/>
                <w:b/>
                <w:szCs w:val="20"/>
              </w:rPr>
              <w:t>Strategic Board (Fire and Rescue)</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6904F6" w:rsidP="006904F6">
            <w:pPr>
              <w:spacing w:before="120" w:after="120"/>
              <w:jc w:val="center"/>
              <w:rPr>
                <w:rFonts w:cs="Times New Roman"/>
                <w:sz w:val="32"/>
                <w:szCs w:val="32"/>
              </w:rPr>
            </w:pPr>
            <w:r>
              <w:rPr>
                <w:rFonts w:cs="Times New Roman"/>
                <w:sz w:val="32"/>
                <w:szCs w:val="32"/>
              </w:rPr>
              <w:t>6</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F43F27" w:rsidP="00EC7871">
            <w:pPr>
              <w:spacing w:before="120" w:after="120"/>
              <w:rPr>
                <w:rFonts w:cs="Times New Roman"/>
                <w:szCs w:val="20"/>
              </w:rPr>
            </w:pPr>
            <w:r>
              <w:rPr>
                <w:rFonts w:cs="Times New Roman"/>
                <w:szCs w:val="20"/>
              </w:rPr>
              <w:t>07.03.2019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F14F1B" w:rsidP="009E572F">
            <w:pPr>
              <w:spacing w:before="120" w:after="120"/>
              <w:rPr>
                <w:rFonts w:cs="Times New Roman"/>
                <w:szCs w:val="20"/>
              </w:rPr>
            </w:pPr>
            <w:r>
              <w:rPr>
                <w:rFonts w:cs="Times New Roman"/>
                <w:szCs w:val="20"/>
              </w:rPr>
              <w:t xml:space="preserve">Area Manager </w:t>
            </w:r>
            <w:r w:rsidR="005D5D3B">
              <w:rPr>
                <w:rFonts w:cs="Times New Roman"/>
                <w:szCs w:val="20"/>
              </w:rPr>
              <w:t>Moira Bruin</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F14F1B" w:rsidP="009E572F">
            <w:pPr>
              <w:spacing w:before="120" w:after="120"/>
              <w:rPr>
                <w:rFonts w:cs="Times New Roman"/>
                <w:szCs w:val="20"/>
              </w:rPr>
            </w:pPr>
            <w:r>
              <w:rPr>
                <w:rFonts w:cs="Times New Roman"/>
                <w:szCs w:val="20"/>
              </w:rPr>
              <w:t>Assistant Chief Fire Officer Dave Bill</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20693E" w:rsidP="009E572F">
            <w:pPr>
              <w:spacing w:before="120" w:after="120"/>
              <w:rPr>
                <w:rFonts w:cs="Times New Roman"/>
                <w:b/>
                <w:szCs w:val="20"/>
              </w:rPr>
            </w:pPr>
            <w:r>
              <w:rPr>
                <w:rFonts w:cs="Times New Roman"/>
                <w:b/>
                <w:szCs w:val="20"/>
              </w:rPr>
              <w:t xml:space="preserve">Overview of Changes to ECFRS Prevention Delivery </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140960" w:rsidP="00A20145">
            <w:pPr>
              <w:tabs>
                <w:tab w:val="num" w:pos="567"/>
              </w:tabs>
              <w:spacing w:before="120" w:after="120"/>
              <w:rPr>
                <w:rFonts w:cs="Times New Roman"/>
                <w:szCs w:val="20"/>
              </w:rPr>
            </w:pPr>
            <w:r>
              <w:rPr>
                <w:rFonts w:cs="Times New Roman"/>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A20145" w:rsidRPr="00166D8C" w:rsidRDefault="00166D8C" w:rsidP="00F64805">
      <w:pPr>
        <w:pStyle w:val="Heading1"/>
        <w:spacing w:after="0" w:line="600" w:lineRule="auto"/>
      </w:pPr>
      <w:r>
        <w:rPr>
          <w:rFonts w:eastAsia="Times New Roman" w:cs="Times New Roman"/>
          <w:caps w:val="0"/>
          <w:color w:val="auto"/>
          <w:szCs w:val="20"/>
        </w:rPr>
        <w:t>1. REPORT PURPOSE</w:t>
      </w:r>
    </w:p>
    <w:p w:rsidR="00C00FD0" w:rsidRDefault="00166D8C" w:rsidP="00166D8C">
      <w:r>
        <w:rPr>
          <w:rFonts w:cs="Times New Roman"/>
        </w:rPr>
        <w:t xml:space="preserve">This report is </w:t>
      </w:r>
      <w:r w:rsidR="003B260A" w:rsidRPr="00166D8C">
        <w:rPr>
          <w:rFonts w:cs="Times New Roman"/>
        </w:rPr>
        <w:t xml:space="preserve">provided as an information item to update the </w:t>
      </w:r>
      <w:r>
        <w:rPr>
          <w:rFonts w:cs="Times New Roman"/>
        </w:rPr>
        <w:t xml:space="preserve">Office of the </w:t>
      </w:r>
      <w:r w:rsidR="003B260A" w:rsidRPr="00166D8C">
        <w:rPr>
          <w:rFonts w:cs="Times New Roman"/>
        </w:rPr>
        <w:t>Police and Fire Crime Commissioner (</w:t>
      </w:r>
      <w:r>
        <w:rPr>
          <w:rFonts w:cs="Times New Roman"/>
        </w:rPr>
        <w:t xml:space="preserve">OPFCC) </w:t>
      </w:r>
      <w:r w:rsidR="0095736A" w:rsidRPr="00166D8C">
        <w:rPr>
          <w:rFonts w:cs="Times New Roman"/>
        </w:rPr>
        <w:t xml:space="preserve">of changes to the prevention </w:t>
      </w:r>
      <w:r w:rsidR="003B260A" w:rsidRPr="00166D8C">
        <w:rPr>
          <w:rFonts w:cs="Times New Roman"/>
        </w:rPr>
        <w:t xml:space="preserve">structure </w:t>
      </w:r>
      <w:r w:rsidR="0095736A" w:rsidRPr="00166D8C">
        <w:rPr>
          <w:rFonts w:cs="Times New Roman"/>
        </w:rPr>
        <w:t xml:space="preserve">of </w:t>
      </w:r>
      <w:r>
        <w:rPr>
          <w:rFonts w:cs="Times New Roman"/>
        </w:rPr>
        <w:t>Essex County Fire and Rescue Service (</w:t>
      </w:r>
      <w:r w:rsidR="0095736A" w:rsidRPr="00166D8C">
        <w:rPr>
          <w:rFonts w:cs="Times New Roman"/>
        </w:rPr>
        <w:t>ECFRS</w:t>
      </w:r>
      <w:r>
        <w:rPr>
          <w:rFonts w:cs="Times New Roman"/>
        </w:rPr>
        <w:t>)</w:t>
      </w:r>
      <w:r w:rsidR="00697746">
        <w:rPr>
          <w:rFonts w:cs="Times New Roman"/>
        </w:rPr>
        <w:t>. This paper also provides information on progress to key milestones to achieving the stated strategic intention of a move to a shared community safety function.</w:t>
      </w:r>
    </w:p>
    <w:p w:rsidR="003B260A" w:rsidRPr="003B260A" w:rsidRDefault="003B260A" w:rsidP="003B260A">
      <w:pPr>
        <w:spacing w:after="120"/>
        <w:rPr>
          <w:rFonts w:cs="Times New Roman"/>
        </w:rPr>
      </w:pPr>
    </w:p>
    <w:p w:rsidR="00FE16C7" w:rsidRDefault="003B260A" w:rsidP="00FE16C7">
      <w:r>
        <w:t>The changes are that:</w:t>
      </w:r>
    </w:p>
    <w:p w:rsidR="00FE16C7" w:rsidRPr="00106606" w:rsidRDefault="00FE16C7" w:rsidP="00FE16C7"/>
    <w:p w:rsidR="00FE16C7" w:rsidRDefault="00FE16C7" w:rsidP="00FE16C7">
      <w:pPr>
        <w:pStyle w:val="ListParagraph"/>
        <w:numPr>
          <w:ilvl w:val="0"/>
          <w:numId w:val="24"/>
        </w:numPr>
      </w:pPr>
      <w:r>
        <w:t xml:space="preserve">Combined groups </w:t>
      </w:r>
      <w:r w:rsidR="00C00FD0">
        <w:t>managers (</w:t>
      </w:r>
      <w:r>
        <w:t>local delivery managers) and station-based personnel will take on the day-to-</w:t>
      </w:r>
      <w:r w:rsidRPr="00106606">
        <w:t xml:space="preserve">day </w:t>
      </w:r>
      <w:r>
        <w:t xml:space="preserve">responsibility for the planning, </w:t>
      </w:r>
      <w:r w:rsidRPr="00106606">
        <w:t xml:space="preserve">delivery, resourcing and management </w:t>
      </w:r>
      <w:r>
        <w:t>of ECFRS community safety activity (with additional resources).</w:t>
      </w:r>
    </w:p>
    <w:p w:rsidR="00FE16C7" w:rsidRDefault="00FE16C7" w:rsidP="00FE16C7"/>
    <w:p w:rsidR="00FE16C7" w:rsidRDefault="00FE16C7" w:rsidP="00FE16C7">
      <w:pPr>
        <w:pStyle w:val="ListParagraph"/>
        <w:numPr>
          <w:ilvl w:val="0"/>
          <w:numId w:val="24"/>
        </w:numPr>
      </w:pPr>
      <w:r>
        <w:t xml:space="preserve">Local delivery managers will attend Community Safety Partnership meetings to </w:t>
      </w:r>
      <w:proofErr w:type="gramStart"/>
      <w:r>
        <w:t>represent</w:t>
      </w:r>
      <w:proofErr w:type="gramEnd"/>
      <w:r>
        <w:t xml:space="preserve"> their areas.</w:t>
      </w:r>
    </w:p>
    <w:p w:rsidR="00FE16C7" w:rsidRPr="00106606" w:rsidRDefault="00FE16C7" w:rsidP="00FE16C7">
      <w:pPr>
        <w:pStyle w:val="ListParagraph"/>
      </w:pPr>
    </w:p>
    <w:p w:rsidR="00FE16C7" w:rsidRDefault="00FE16C7" w:rsidP="00FE16C7">
      <w:pPr>
        <w:pStyle w:val="ListParagraph"/>
        <w:numPr>
          <w:ilvl w:val="0"/>
          <w:numId w:val="24"/>
        </w:numPr>
      </w:pPr>
      <w:r w:rsidRPr="00106606">
        <w:t>Localised community engagement, tasking and prioritisation of community safety activity via Essex Co</w:t>
      </w:r>
      <w:r>
        <w:t>mmunity Safety H</w:t>
      </w:r>
      <w:r w:rsidRPr="00106606">
        <w:t>ubs</w:t>
      </w:r>
      <w:r>
        <w:t>. This will be achieved by the co-location of ECFRS personnel at the hubs with other partners.</w:t>
      </w:r>
    </w:p>
    <w:p w:rsidR="003B260A" w:rsidRDefault="003B260A" w:rsidP="003B260A">
      <w:pPr>
        <w:pStyle w:val="ListParagraph"/>
      </w:pPr>
    </w:p>
    <w:p w:rsidR="00FE16C7" w:rsidRDefault="00FE16C7" w:rsidP="00FE16C7">
      <w:pPr>
        <w:pStyle w:val="ListParagraph"/>
        <w:numPr>
          <w:ilvl w:val="0"/>
          <w:numId w:val="24"/>
        </w:numPr>
      </w:pPr>
      <w:r w:rsidRPr="00D0332E">
        <w:t>Home safety and Road safety steering groups will be established to provide expertise, guidance and respond to data, trends and evaluations to ensure our Prevention offering follows best practice.</w:t>
      </w:r>
    </w:p>
    <w:p w:rsidR="00FE16C7" w:rsidRPr="00106606" w:rsidRDefault="00FE16C7" w:rsidP="00FE16C7">
      <w:pPr>
        <w:pStyle w:val="ListParagraph"/>
      </w:pPr>
    </w:p>
    <w:p w:rsidR="00FE16C7" w:rsidRPr="00106606" w:rsidRDefault="00FE16C7" w:rsidP="00FE16C7">
      <w:pPr>
        <w:pStyle w:val="ListParagraph"/>
        <w:numPr>
          <w:ilvl w:val="0"/>
          <w:numId w:val="24"/>
        </w:numPr>
      </w:pPr>
      <w:r>
        <w:t xml:space="preserve">A review of the </w:t>
      </w:r>
      <w:r w:rsidR="004B31A4">
        <w:t>centralised teams within</w:t>
      </w:r>
      <w:r>
        <w:t xml:space="preserve"> ECFRS community safety </w:t>
      </w:r>
      <w:r w:rsidR="004B31A4">
        <w:t>department to</w:t>
      </w:r>
      <w:r>
        <w:t xml:space="preserve"> support the </w:t>
      </w:r>
      <w:r w:rsidR="004B31A4">
        <w:t>move to</w:t>
      </w:r>
      <w:r>
        <w:t xml:space="preserve"> a </w:t>
      </w:r>
      <w:r w:rsidR="004B31A4" w:rsidRPr="00106606">
        <w:t>jointly</w:t>
      </w:r>
      <w:r>
        <w:t xml:space="preserve"> managed community s</w:t>
      </w:r>
      <w:r w:rsidRPr="00106606">
        <w:t xml:space="preserve">afety </w:t>
      </w:r>
      <w:r w:rsidR="004B31A4" w:rsidRPr="00106606">
        <w:t xml:space="preserve">function </w:t>
      </w:r>
      <w:r w:rsidR="004B31A4">
        <w:t>-</w:t>
      </w:r>
      <w:r>
        <w:t xml:space="preserve"> </w:t>
      </w:r>
      <w:r w:rsidRPr="00106606">
        <w:t>ECFRS and Essex Police</w:t>
      </w:r>
      <w:r>
        <w:t xml:space="preserve"> (EP).</w:t>
      </w:r>
    </w:p>
    <w:p w:rsidR="00FE16C7" w:rsidRDefault="00FE16C7" w:rsidP="00FE16C7"/>
    <w:p w:rsidR="00FE16C7" w:rsidRDefault="00C00FD0" w:rsidP="00FE16C7">
      <w:pPr>
        <w:ind w:left="360"/>
      </w:pPr>
      <w:r>
        <w:t>T</w:t>
      </w:r>
      <w:r w:rsidR="00FE16C7">
        <w:t>he</w:t>
      </w:r>
      <w:r w:rsidR="004E3E59">
        <w:t xml:space="preserve"> </w:t>
      </w:r>
      <w:r>
        <w:t xml:space="preserve">changes to </w:t>
      </w:r>
      <w:r w:rsidR="004E3E59">
        <w:t>Prevention</w:t>
      </w:r>
      <w:r>
        <w:t xml:space="preserve"> delivery were endorsed by</w:t>
      </w:r>
      <w:r w:rsidR="00FE16C7">
        <w:t xml:space="preserve"> SLT</w:t>
      </w:r>
      <w:r>
        <w:t>.</w:t>
      </w:r>
      <w:r w:rsidR="00FE16C7">
        <w:t xml:space="preserve"> </w:t>
      </w:r>
      <w:r>
        <w:t xml:space="preserve">These changes will </w:t>
      </w:r>
      <w:r w:rsidR="001F33B0">
        <w:t xml:space="preserve">now </w:t>
      </w:r>
      <w:r>
        <w:t xml:space="preserve">be delivered with </w:t>
      </w:r>
      <w:r w:rsidR="00FE16C7">
        <w:t>the support and governance of the ECFRS change team and support from the collaboration team, ECFRS Corporate Communications team, and other stakeholders throughout the organisation.  The work will be aligned wi</w:t>
      </w:r>
      <w:r w:rsidR="001F33B0">
        <w:t>th ECFRS and EP planning cycle</w:t>
      </w:r>
      <w:r w:rsidR="005D5D3B">
        <w:t xml:space="preserve">s. It </w:t>
      </w:r>
      <w:r w:rsidR="00FE16C7">
        <w:t>will be linked to the Strategic Assessment of Risk (SAOR) and ongoing work being carried out by the AC</w:t>
      </w:r>
      <w:r w:rsidR="005D5D3B">
        <w:t>F</w:t>
      </w:r>
      <w:r w:rsidR="00FE16C7">
        <w:t>O for IRMP and Service Improvement.</w:t>
      </w:r>
    </w:p>
    <w:p w:rsidR="00FE16C7" w:rsidRDefault="00FE16C7" w:rsidP="00FE16C7">
      <w:pPr>
        <w:ind w:left="360"/>
      </w:pPr>
    </w:p>
    <w:p w:rsidR="008B7569" w:rsidRDefault="008B7569" w:rsidP="00FE16C7"/>
    <w:p w:rsidR="008B7569" w:rsidRDefault="008B7569" w:rsidP="008B7569">
      <w:pPr>
        <w:pStyle w:val="Heading1"/>
        <w:rPr>
          <w:rFonts w:cs="Arial"/>
          <w:szCs w:val="24"/>
        </w:rPr>
      </w:pPr>
      <w:r>
        <w:rPr>
          <w:rFonts w:cs="Arial"/>
          <w:szCs w:val="24"/>
        </w:rPr>
        <w:t xml:space="preserve">2. </w:t>
      </w:r>
      <w:r w:rsidRPr="00106606">
        <w:rPr>
          <w:rFonts w:cs="Arial"/>
          <w:szCs w:val="24"/>
        </w:rPr>
        <w:t>BACKGROUND</w:t>
      </w:r>
      <w:r>
        <w:rPr>
          <w:rFonts w:cs="Arial"/>
          <w:szCs w:val="24"/>
        </w:rPr>
        <w:t xml:space="preserve">: </w:t>
      </w:r>
    </w:p>
    <w:p w:rsidR="00FE16C7" w:rsidRPr="00106606" w:rsidRDefault="00FE16C7" w:rsidP="00FE16C7">
      <w:pPr>
        <w:pStyle w:val="Heading1"/>
        <w:rPr>
          <w:rFonts w:cs="Arial"/>
          <w:szCs w:val="24"/>
        </w:rPr>
      </w:pPr>
      <w:r>
        <w:rPr>
          <w:rFonts w:cs="Arial"/>
          <w:szCs w:val="24"/>
        </w:rPr>
        <w:t>current structure</w:t>
      </w:r>
    </w:p>
    <w:p w:rsidR="00FE16C7" w:rsidRDefault="00FE16C7" w:rsidP="00FE16C7">
      <w:pPr>
        <w:pStyle w:val="NoSpacing"/>
        <w:rPr>
          <w:sz w:val="24"/>
          <w:szCs w:val="24"/>
          <w:lang w:eastAsia="en-GB"/>
        </w:rPr>
      </w:pPr>
      <w:r w:rsidRPr="00106606">
        <w:rPr>
          <w:sz w:val="24"/>
          <w:szCs w:val="24"/>
          <w:lang w:eastAsia="en-GB"/>
        </w:rPr>
        <w:t>ECFRS Community Safety d</w:t>
      </w:r>
      <w:r>
        <w:rPr>
          <w:sz w:val="24"/>
          <w:szCs w:val="24"/>
          <w:lang w:eastAsia="en-GB"/>
        </w:rPr>
        <w:t xml:space="preserve">epartment is a largely centralised function and is currently </w:t>
      </w:r>
      <w:r w:rsidRPr="00106606">
        <w:rPr>
          <w:sz w:val="24"/>
          <w:szCs w:val="24"/>
          <w:lang w:eastAsia="en-GB"/>
        </w:rPr>
        <w:t xml:space="preserve">structured </w:t>
      </w:r>
      <w:r>
        <w:rPr>
          <w:sz w:val="24"/>
          <w:szCs w:val="24"/>
          <w:lang w:eastAsia="en-GB"/>
        </w:rPr>
        <w:t xml:space="preserve">into five teams </w:t>
      </w:r>
      <w:r w:rsidRPr="00106606">
        <w:rPr>
          <w:sz w:val="24"/>
          <w:szCs w:val="24"/>
          <w:lang w:eastAsia="en-GB"/>
        </w:rPr>
        <w:t>to deliver the objectives set in the</w:t>
      </w:r>
      <w:r>
        <w:rPr>
          <w:sz w:val="24"/>
          <w:szCs w:val="24"/>
          <w:lang w:eastAsia="en-GB"/>
        </w:rPr>
        <w:t xml:space="preserve"> ECFRS Integrated Risk Management Plan </w:t>
      </w:r>
      <w:r w:rsidR="004B31A4">
        <w:rPr>
          <w:sz w:val="24"/>
          <w:szCs w:val="24"/>
          <w:lang w:eastAsia="en-GB"/>
        </w:rPr>
        <w:t>(</w:t>
      </w:r>
      <w:r w:rsidR="004B31A4" w:rsidRPr="00106606">
        <w:rPr>
          <w:sz w:val="24"/>
          <w:szCs w:val="24"/>
          <w:lang w:eastAsia="en-GB"/>
        </w:rPr>
        <w:t>IRMP</w:t>
      </w:r>
      <w:r>
        <w:rPr>
          <w:sz w:val="24"/>
          <w:szCs w:val="24"/>
          <w:lang w:eastAsia="en-GB"/>
        </w:rPr>
        <w:t>) 2016-20:</w:t>
      </w:r>
    </w:p>
    <w:p w:rsidR="00FE16C7" w:rsidRDefault="00FE16C7" w:rsidP="00FE16C7">
      <w:pPr>
        <w:pStyle w:val="NoSpacing"/>
        <w:rPr>
          <w:sz w:val="24"/>
          <w:szCs w:val="24"/>
          <w:lang w:eastAsia="en-GB"/>
        </w:rPr>
      </w:pPr>
    </w:p>
    <w:p w:rsidR="00FE16C7" w:rsidRDefault="00FE16C7" w:rsidP="00FE16C7">
      <w:pPr>
        <w:pStyle w:val="NoSpacing"/>
        <w:numPr>
          <w:ilvl w:val="0"/>
          <w:numId w:val="26"/>
        </w:numPr>
        <w:rPr>
          <w:sz w:val="24"/>
          <w:szCs w:val="24"/>
          <w:lang w:eastAsia="en-GB"/>
        </w:rPr>
      </w:pPr>
      <w:r>
        <w:rPr>
          <w:sz w:val="24"/>
          <w:szCs w:val="24"/>
          <w:lang w:eastAsia="en-GB"/>
        </w:rPr>
        <w:t>Projects and development team</w:t>
      </w:r>
    </w:p>
    <w:p w:rsidR="00FE16C7" w:rsidRDefault="00FE16C7" w:rsidP="00FE16C7">
      <w:pPr>
        <w:pStyle w:val="NoSpacing"/>
        <w:numPr>
          <w:ilvl w:val="0"/>
          <w:numId w:val="26"/>
        </w:numPr>
        <w:rPr>
          <w:sz w:val="24"/>
          <w:szCs w:val="24"/>
          <w:lang w:eastAsia="en-GB"/>
        </w:rPr>
      </w:pPr>
      <w:r>
        <w:rPr>
          <w:sz w:val="24"/>
          <w:szCs w:val="24"/>
          <w:lang w:eastAsia="en-GB"/>
        </w:rPr>
        <w:t>RTC reduction team</w:t>
      </w:r>
    </w:p>
    <w:p w:rsidR="00FE16C7" w:rsidRDefault="00FE16C7" w:rsidP="00FE16C7">
      <w:pPr>
        <w:pStyle w:val="NoSpacing"/>
        <w:numPr>
          <w:ilvl w:val="0"/>
          <w:numId w:val="26"/>
        </w:numPr>
        <w:rPr>
          <w:sz w:val="24"/>
          <w:szCs w:val="24"/>
          <w:lang w:eastAsia="en-GB"/>
        </w:rPr>
      </w:pPr>
      <w:r>
        <w:rPr>
          <w:sz w:val="24"/>
          <w:szCs w:val="24"/>
          <w:lang w:eastAsia="en-GB"/>
        </w:rPr>
        <w:t>Community Safety engagement team</w:t>
      </w:r>
    </w:p>
    <w:p w:rsidR="00FE16C7" w:rsidRDefault="00FE16C7" w:rsidP="00FE16C7">
      <w:pPr>
        <w:pStyle w:val="NoSpacing"/>
        <w:numPr>
          <w:ilvl w:val="0"/>
          <w:numId w:val="26"/>
        </w:numPr>
        <w:rPr>
          <w:sz w:val="24"/>
          <w:szCs w:val="24"/>
          <w:lang w:eastAsia="en-GB"/>
        </w:rPr>
      </w:pPr>
      <w:r>
        <w:rPr>
          <w:sz w:val="24"/>
          <w:szCs w:val="24"/>
          <w:lang w:eastAsia="en-GB"/>
        </w:rPr>
        <w:t>Community Development and Safeguarding team</w:t>
      </w:r>
    </w:p>
    <w:p w:rsidR="00FE16C7" w:rsidRPr="00F120FA" w:rsidRDefault="00FE16C7" w:rsidP="00FE16C7">
      <w:pPr>
        <w:pStyle w:val="NoSpacing"/>
        <w:numPr>
          <w:ilvl w:val="0"/>
          <w:numId w:val="26"/>
        </w:numPr>
        <w:rPr>
          <w:rFonts w:eastAsia="Times New Roman"/>
          <w:sz w:val="24"/>
          <w:szCs w:val="24"/>
          <w:lang w:eastAsia="en-GB"/>
        </w:rPr>
      </w:pPr>
      <w:r>
        <w:rPr>
          <w:sz w:val="24"/>
          <w:szCs w:val="24"/>
          <w:lang w:eastAsia="en-GB"/>
        </w:rPr>
        <w:t>Home Safety and volunteers team</w:t>
      </w:r>
    </w:p>
    <w:p w:rsidR="00FE16C7" w:rsidRDefault="00FE16C7" w:rsidP="00FE16C7">
      <w:pPr>
        <w:pStyle w:val="NoSpacing"/>
        <w:ind w:left="720"/>
        <w:rPr>
          <w:rFonts w:eastAsia="Times New Roman"/>
          <w:sz w:val="24"/>
          <w:szCs w:val="24"/>
          <w:lang w:eastAsia="en-GB"/>
        </w:rPr>
      </w:pPr>
    </w:p>
    <w:p w:rsidR="00FE16C7" w:rsidRDefault="00FE16C7" w:rsidP="00FE16C7">
      <w:pPr>
        <w:pStyle w:val="NoSpacing"/>
        <w:rPr>
          <w:rFonts w:eastAsia="Times New Roman"/>
          <w:sz w:val="24"/>
          <w:szCs w:val="24"/>
          <w:lang w:eastAsia="en-GB"/>
        </w:rPr>
      </w:pPr>
      <w:r>
        <w:rPr>
          <w:rFonts w:eastAsia="Times New Roman"/>
          <w:sz w:val="24"/>
          <w:szCs w:val="24"/>
          <w:lang w:eastAsia="en-GB"/>
        </w:rPr>
        <w:t>In addition, station-</w:t>
      </w:r>
      <w:r w:rsidRPr="00106606">
        <w:rPr>
          <w:rFonts w:eastAsia="Times New Roman"/>
          <w:sz w:val="24"/>
          <w:szCs w:val="24"/>
          <w:lang w:eastAsia="en-GB"/>
        </w:rPr>
        <w:t>based personnel</w:t>
      </w:r>
      <w:r w:rsidR="001F33B0">
        <w:rPr>
          <w:rFonts w:eastAsia="Times New Roman"/>
          <w:sz w:val="24"/>
          <w:szCs w:val="24"/>
          <w:lang w:eastAsia="en-GB"/>
        </w:rPr>
        <w:t xml:space="preserve"> are </w:t>
      </w:r>
      <w:r>
        <w:rPr>
          <w:rFonts w:eastAsia="Times New Roman"/>
          <w:sz w:val="24"/>
          <w:szCs w:val="24"/>
          <w:lang w:eastAsia="en-GB"/>
        </w:rPr>
        <w:t>responsible for delivering some community safety</w:t>
      </w:r>
      <w:r w:rsidRPr="00106606">
        <w:rPr>
          <w:rFonts w:eastAsia="Times New Roman"/>
          <w:sz w:val="24"/>
          <w:szCs w:val="24"/>
          <w:lang w:eastAsia="en-GB"/>
        </w:rPr>
        <w:t xml:space="preserve"> </w:t>
      </w:r>
      <w:r w:rsidR="004B31A4" w:rsidRPr="00106606">
        <w:rPr>
          <w:rFonts w:eastAsia="Times New Roman"/>
          <w:sz w:val="24"/>
          <w:szCs w:val="24"/>
          <w:lang w:eastAsia="en-GB"/>
        </w:rPr>
        <w:t>activities, which</w:t>
      </w:r>
      <w:r w:rsidR="004B31A4">
        <w:rPr>
          <w:rFonts w:eastAsia="Times New Roman"/>
          <w:sz w:val="24"/>
          <w:szCs w:val="24"/>
          <w:lang w:eastAsia="en-GB"/>
        </w:rPr>
        <w:t xml:space="preserve"> are captured</w:t>
      </w:r>
      <w:r w:rsidRPr="00106606">
        <w:rPr>
          <w:rFonts w:eastAsia="Times New Roman"/>
          <w:sz w:val="24"/>
          <w:szCs w:val="24"/>
          <w:lang w:eastAsia="en-GB"/>
        </w:rPr>
        <w:t xml:space="preserve"> i</w:t>
      </w:r>
      <w:r>
        <w:rPr>
          <w:rFonts w:eastAsia="Times New Roman"/>
          <w:sz w:val="24"/>
          <w:szCs w:val="24"/>
          <w:lang w:eastAsia="en-GB"/>
        </w:rPr>
        <w:t>n the Station Plans for 2018-19:</w:t>
      </w:r>
    </w:p>
    <w:p w:rsidR="00FE16C7" w:rsidRDefault="00FE16C7" w:rsidP="00FE16C7">
      <w:pPr>
        <w:pStyle w:val="NoSpacing"/>
        <w:rPr>
          <w:rFonts w:eastAsia="Times New Roman"/>
          <w:sz w:val="24"/>
          <w:szCs w:val="24"/>
          <w:lang w:eastAsia="en-GB"/>
        </w:rPr>
      </w:pPr>
    </w:p>
    <w:p w:rsidR="00FE16C7" w:rsidRDefault="00FE16C7" w:rsidP="00FE16C7">
      <w:pPr>
        <w:pStyle w:val="NoSpacing"/>
        <w:numPr>
          <w:ilvl w:val="0"/>
          <w:numId w:val="25"/>
        </w:numPr>
        <w:rPr>
          <w:rFonts w:eastAsia="Times New Roman"/>
          <w:sz w:val="24"/>
          <w:szCs w:val="24"/>
          <w:lang w:eastAsia="en-GB"/>
        </w:rPr>
      </w:pPr>
      <w:r>
        <w:rPr>
          <w:rFonts w:eastAsia="Times New Roman"/>
          <w:sz w:val="24"/>
          <w:szCs w:val="24"/>
          <w:lang w:eastAsia="en-GB"/>
        </w:rPr>
        <w:t>Arrange and deliver Community Engagement events: school visits and station open days</w:t>
      </w:r>
    </w:p>
    <w:p w:rsidR="00FE16C7" w:rsidRDefault="00FE16C7" w:rsidP="00FE16C7">
      <w:pPr>
        <w:pStyle w:val="NoSpacing"/>
        <w:numPr>
          <w:ilvl w:val="0"/>
          <w:numId w:val="25"/>
        </w:numPr>
        <w:rPr>
          <w:rFonts w:eastAsia="Times New Roman"/>
          <w:sz w:val="24"/>
          <w:szCs w:val="24"/>
          <w:lang w:eastAsia="en-GB"/>
        </w:rPr>
      </w:pPr>
      <w:r>
        <w:rPr>
          <w:rFonts w:eastAsia="Times New Roman"/>
          <w:sz w:val="24"/>
          <w:szCs w:val="24"/>
          <w:lang w:eastAsia="en-GB"/>
        </w:rPr>
        <w:t>Arrange and deliver targeted interventions and Tactical After-Incident responses</w:t>
      </w:r>
    </w:p>
    <w:p w:rsidR="00FE16C7" w:rsidRDefault="00FE16C7" w:rsidP="00FE16C7">
      <w:pPr>
        <w:pStyle w:val="NoSpacing"/>
        <w:numPr>
          <w:ilvl w:val="0"/>
          <w:numId w:val="25"/>
        </w:numPr>
        <w:rPr>
          <w:rFonts w:eastAsia="Times New Roman"/>
          <w:sz w:val="24"/>
          <w:szCs w:val="24"/>
          <w:lang w:eastAsia="en-GB"/>
        </w:rPr>
      </w:pPr>
      <w:r>
        <w:rPr>
          <w:rFonts w:eastAsia="Times New Roman"/>
          <w:sz w:val="24"/>
          <w:szCs w:val="24"/>
          <w:lang w:eastAsia="en-GB"/>
        </w:rPr>
        <w:t>Deliver Fire safety messages to the most at vulnerable groups</w:t>
      </w:r>
    </w:p>
    <w:p w:rsidR="00FE16C7" w:rsidRDefault="00FE16C7" w:rsidP="00FE16C7">
      <w:pPr>
        <w:pStyle w:val="NoSpacing"/>
        <w:numPr>
          <w:ilvl w:val="0"/>
          <w:numId w:val="25"/>
        </w:numPr>
        <w:rPr>
          <w:rFonts w:eastAsia="Times New Roman"/>
          <w:sz w:val="24"/>
          <w:szCs w:val="24"/>
          <w:lang w:eastAsia="en-GB"/>
        </w:rPr>
      </w:pPr>
      <w:r>
        <w:rPr>
          <w:rFonts w:eastAsia="Times New Roman"/>
          <w:sz w:val="24"/>
          <w:szCs w:val="24"/>
          <w:lang w:eastAsia="en-GB"/>
        </w:rPr>
        <w:t>Deliver FSO 30’s and 40’s to help keep the community safe and promote sprinklers</w:t>
      </w:r>
    </w:p>
    <w:p w:rsidR="00FE16C7" w:rsidRDefault="00FE16C7" w:rsidP="00FE16C7">
      <w:pPr>
        <w:pStyle w:val="NoSpacing"/>
        <w:numPr>
          <w:ilvl w:val="0"/>
          <w:numId w:val="25"/>
        </w:numPr>
        <w:rPr>
          <w:rFonts w:eastAsia="Times New Roman"/>
          <w:sz w:val="24"/>
          <w:szCs w:val="24"/>
          <w:lang w:eastAsia="en-GB"/>
        </w:rPr>
      </w:pPr>
      <w:r>
        <w:rPr>
          <w:rFonts w:eastAsia="Times New Roman"/>
          <w:sz w:val="24"/>
          <w:szCs w:val="24"/>
          <w:lang w:eastAsia="en-GB"/>
        </w:rPr>
        <w:t xml:space="preserve">Engage with the RTC reduction team and partner agencies to promote a safer </w:t>
      </w:r>
      <w:r w:rsidRPr="00AE37E8">
        <w:rPr>
          <w:rFonts w:eastAsia="Times New Roman"/>
          <w:sz w:val="24"/>
          <w:szCs w:val="24"/>
          <w:lang w:eastAsia="en-GB"/>
        </w:rPr>
        <w:t>Esse</w:t>
      </w:r>
      <w:r>
        <w:rPr>
          <w:rFonts w:eastAsia="Times New Roman"/>
          <w:sz w:val="24"/>
          <w:szCs w:val="24"/>
          <w:lang w:eastAsia="en-GB"/>
        </w:rPr>
        <w:t>x</w:t>
      </w:r>
    </w:p>
    <w:p w:rsidR="00FE16C7" w:rsidRDefault="00FE16C7" w:rsidP="00FE16C7">
      <w:pPr>
        <w:pStyle w:val="NoSpacing"/>
        <w:rPr>
          <w:rFonts w:eastAsia="Times New Roman"/>
          <w:sz w:val="24"/>
          <w:szCs w:val="24"/>
          <w:lang w:eastAsia="en-GB"/>
        </w:rPr>
      </w:pPr>
    </w:p>
    <w:p w:rsidR="00FE16C7" w:rsidRDefault="00697746" w:rsidP="00FE16C7">
      <w:r>
        <w:t>The p</w:t>
      </w:r>
      <w:r w:rsidR="005D5D3B">
        <w:t xml:space="preserve">roposals </w:t>
      </w:r>
      <w:r w:rsidR="00C00FD0">
        <w:t xml:space="preserve">have been </w:t>
      </w:r>
      <w:r w:rsidR="00FE16C7">
        <w:t>endorsed</w:t>
      </w:r>
      <w:r>
        <w:t xml:space="preserve"> by ECFRS Service Leadership team (SLT). A programme of engagement will take place to review the</w:t>
      </w:r>
      <w:r w:rsidR="001F33B0">
        <w:t xml:space="preserve"> current structure and activities</w:t>
      </w:r>
      <w:r w:rsidR="004B31A4">
        <w:t xml:space="preserve"> </w:t>
      </w:r>
      <w:r w:rsidR="005D5D3B">
        <w:t xml:space="preserve">and develop detailed proposals </w:t>
      </w:r>
      <w:r w:rsidR="004B31A4">
        <w:t>in</w:t>
      </w:r>
      <w:r w:rsidR="00FE16C7">
        <w:t xml:space="preserve"> conjunction with key stakeholde</w:t>
      </w:r>
      <w:r w:rsidR="005D5D3B">
        <w:t>rs.</w:t>
      </w:r>
    </w:p>
    <w:p w:rsidR="00FE16C7" w:rsidRDefault="00FE16C7" w:rsidP="00FE16C7"/>
    <w:p w:rsidR="00FE16C7" w:rsidRPr="00FE16C7" w:rsidRDefault="00FE16C7" w:rsidP="00FE16C7"/>
    <w:p w:rsidR="00A20145" w:rsidRDefault="00697746" w:rsidP="00F64805">
      <w:pPr>
        <w:pStyle w:val="Heading1"/>
        <w:spacing w:after="0" w:line="600" w:lineRule="auto"/>
      </w:pPr>
      <w:r>
        <w:t xml:space="preserve">3. </w:t>
      </w:r>
      <w:r w:rsidR="00C0492F">
        <w:t>Options and Analysis</w:t>
      </w:r>
    </w:p>
    <w:p w:rsidR="00FE16C7" w:rsidRDefault="008B7569" w:rsidP="00FE16C7">
      <w:r>
        <w:t>The SLT were</w:t>
      </w:r>
      <w:r w:rsidR="00FE16C7">
        <w:t xml:space="preserve"> ask</w:t>
      </w:r>
      <w:r w:rsidR="005D5D3B">
        <w:t xml:space="preserve">ed to consider the proposals </w:t>
      </w:r>
      <w:r w:rsidR="00FE16C7">
        <w:t>in light of the following key drivers:</w:t>
      </w:r>
    </w:p>
    <w:p w:rsidR="00FE16C7" w:rsidRDefault="00FE16C7" w:rsidP="00FE16C7"/>
    <w:p w:rsidR="00FE16C7" w:rsidRDefault="00FE16C7" w:rsidP="00FE16C7">
      <w:pPr>
        <w:pStyle w:val="ListParagraph"/>
        <w:numPr>
          <w:ilvl w:val="0"/>
          <w:numId w:val="27"/>
        </w:numPr>
      </w:pPr>
      <w:r>
        <w:t>The PFCCs stated strategic priority to move to a joint ECFRS and EP community safety function</w:t>
      </w:r>
    </w:p>
    <w:p w:rsidR="00FE16C7" w:rsidRDefault="00FE16C7" w:rsidP="00FE16C7">
      <w:pPr>
        <w:pStyle w:val="ListParagraph"/>
      </w:pPr>
    </w:p>
    <w:p w:rsidR="00FE16C7" w:rsidRDefault="00FE16C7" w:rsidP="00FE16C7">
      <w:pPr>
        <w:pStyle w:val="ListParagraph"/>
        <w:numPr>
          <w:ilvl w:val="0"/>
          <w:numId w:val="27"/>
        </w:numPr>
      </w:pPr>
      <w:r>
        <w:t>The Fire National Framework</w:t>
      </w:r>
    </w:p>
    <w:p w:rsidR="00FE16C7" w:rsidRDefault="00FE16C7" w:rsidP="00FE16C7">
      <w:pPr>
        <w:pStyle w:val="ListParagraph"/>
      </w:pPr>
    </w:p>
    <w:p w:rsidR="00FE16C7" w:rsidRDefault="00FE16C7" w:rsidP="00FE16C7">
      <w:pPr>
        <w:pStyle w:val="ListParagraph"/>
        <w:numPr>
          <w:ilvl w:val="0"/>
          <w:numId w:val="27"/>
        </w:numPr>
      </w:pPr>
      <w:r>
        <w:t>The emerging Fire and Rescue Plan</w:t>
      </w:r>
    </w:p>
    <w:p w:rsidR="00FE16C7" w:rsidRDefault="00FE16C7" w:rsidP="00FE16C7">
      <w:pPr>
        <w:pStyle w:val="ListParagraph"/>
      </w:pPr>
    </w:p>
    <w:p w:rsidR="00FE16C7" w:rsidRDefault="00FE16C7" w:rsidP="00FE16C7">
      <w:pPr>
        <w:pStyle w:val="ListParagraph"/>
        <w:numPr>
          <w:ilvl w:val="0"/>
          <w:numId w:val="27"/>
        </w:numPr>
      </w:pPr>
      <w:r>
        <w:t>Ongoing work towards the next ECFRS IRMP</w:t>
      </w:r>
    </w:p>
    <w:p w:rsidR="00FE16C7" w:rsidRDefault="00FE16C7" w:rsidP="00FE16C7">
      <w:pPr>
        <w:ind w:left="360"/>
      </w:pPr>
    </w:p>
    <w:p w:rsidR="00FE16C7" w:rsidRDefault="00FE16C7" w:rsidP="00FE16C7">
      <w:pPr>
        <w:pStyle w:val="ListParagraph"/>
        <w:numPr>
          <w:ilvl w:val="0"/>
          <w:numId w:val="27"/>
        </w:numPr>
      </w:pPr>
      <w:r>
        <w:t>The existing Dispute Resolution Document with the Fire Brigades Union (FBU)</w:t>
      </w:r>
    </w:p>
    <w:p w:rsidR="00FE16C7" w:rsidRDefault="00FE16C7" w:rsidP="00FE16C7">
      <w:pPr>
        <w:pStyle w:val="ListParagraph"/>
      </w:pPr>
    </w:p>
    <w:p w:rsidR="00FE16C7" w:rsidRDefault="00FE16C7" w:rsidP="00FE16C7">
      <w:pPr>
        <w:pStyle w:val="ListParagraph"/>
        <w:numPr>
          <w:ilvl w:val="0"/>
          <w:numId w:val="27"/>
        </w:numPr>
      </w:pPr>
      <w:r>
        <w:t>Expected new  burdens  on FRSs as a result to changes to the residential buildings regulatory landscape</w:t>
      </w:r>
    </w:p>
    <w:p w:rsidR="00FE16C7" w:rsidRDefault="00FE16C7" w:rsidP="00FE16C7">
      <w:pPr>
        <w:pStyle w:val="ListParagraph"/>
      </w:pPr>
    </w:p>
    <w:p w:rsidR="00FE16C7" w:rsidRDefault="00FE16C7" w:rsidP="00FE16C7">
      <w:pPr>
        <w:pStyle w:val="ListParagraph"/>
        <w:numPr>
          <w:ilvl w:val="0"/>
          <w:numId w:val="27"/>
        </w:numPr>
      </w:pPr>
      <w:r>
        <w:t>The need to demonstrate effectiveness and efficiency and a drive towards collaboration</w:t>
      </w:r>
    </w:p>
    <w:p w:rsidR="00FE16C7" w:rsidRDefault="00FE16C7" w:rsidP="00FE16C7">
      <w:pPr>
        <w:pStyle w:val="ListParagraph"/>
      </w:pPr>
    </w:p>
    <w:p w:rsidR="00FE16C7" w:rsidRDefault="00FE16C7" w:rsidP="00FE16C7">
      <w:pPr>
        <w:pStyle w:val="ListParagraph"/>
        <w:numPr>
          <w:ilvl w:val="0"/>
          <w:numId w:val="27"/>
        </w:numPr>
      </w:pPr>
      <w:r>
        <w:t>The desire within Essex to work together and more strategically as a public sector (Leading Greater Essex, Essex Vision)</w:t>
      </w:r>
    </w:p>
    <w:p w:rsidR="00FE16C7" w:rsidRDefault="00FE16C7" w:rsidP="00FE16C7">
      <w:pPr>
        <w:pStyle w:val="ListParagraph"/>
      </w:pPr>
    </w:p>
    <w:p w:rsidR="00FE16C7" w:rsidRDefault="00FE16C7" w:rsidP="00FE16C7">
      <w:pPr>
        <w:pStyle w:val="ListParagraph"/>
        <w:numPr>
          <w:ilvl w:val="0"/>
          <w:numId w:val="27"/>
        </w:numPr>
      </w:pPr>
      <w:r>
        <w:t xml:space="preserve">Recommendations made in the Peer Review Report 2018 </w:t>
      </w:r>
    </w:p>
    <w:p w:rsidR="00FE16C7" w:rsidRDefault="00FE16C7" w:rsidP="00FE16C7">
      <w:pPr>
        <w:pStyle w:val="ListParagraph"/>
      </w:pPr>
    </w:p>
    <w:p w:rsidR="00FE16C7" w:rsidRPr="00FE16C7" w:rsidRDefault="00FE16C7" w:rsidP="00FE16C7"/>
    <w:p w:rsidR="00C0492F" w:rsidRDefault="00697746" w:rsidP="00F64805">
      <w:pPr>
        <w:pStyle w:val="Heading1"/>
        <w:spacing w:after="0" w:line="600" w:lineRule="auto"/>
      </w:pPr>
      <w:r>
        <w:t xml:space="preserve">4. </w:t>
      </w:r>
      <w:r w:rsidR="00C0492F" w:rsidRPr="002E1E94">
        <w:t>Benefits and Risk Implications</w:t>
      </w:r>
    </w:p>
    <w:p w:rsidR="00FE16C7" w:rsidRPr="009A6250" w:rsidRDefault="00FE16C7" w:rsidP="00FE16C7">
      <w:pPr>
        <w:rPr>
          <w:b/>
        </w:rPr>
      </w:pPr>
      <w:r>
        <w:rPr>
          <w:b/>
        </w:rPr>
        <w:t>4.1 Benefits</w:t>
      </w:r>
    </w:p>
    <w:p w:rsidR="00FE16C7" w:rsidRDefault="00FE16C7" w:rsidP="00FE16C7"/>
    <w:p w:rsidR="00FE16C7" w:rsidRDefault="00FE16C7" w:rsidP="00FE16C7">
      <w:r>
        <w:t xml:space="preserve">The direction of </w:t>
      </w:r>
      <w:r w:rsidR="001F33B0">
        <w:t>travel and changes to ECFRS Prevention delivery</w:t>
      </w:r>
      <w:r>
        <w:t xml:space="preserve"> will help realise the following benefits:</w:t>
      </w:r>
    </w:p>
    <w:p w:rsidR="00FE16C7" w:rsidRDefault="00FE16C7" w:rsidP="00FE16C7"/>
    <w:p w:rsidR="00FE16C7" w:rsidRDefault="00FE16C7" w:rsidP="00FE16C7">
      <w:pPr>
        <w:pStyle w:val="ListParagraph"/>
      </w:pPr>
    </w:p>
    <w:p w:rsidR="00FE16C7" w:rsidRDefault="00FE16C7" w:rsidP="00FE16C7">
      <w:pPr>
        <w:pStyle w:val="ListParagraph"/>
        <w:numPr>
          <w:ilvl w:val="0"/>
          <w:numId w:val="28"/>
        </w:numPr>
      </w:pPr>
      <w:r>
        <w:t>Local managers and station based personnel will take ownership of community safety work undertaken in their areas, to better engage with and  jointly support local needs with our partners as part of the wider public sector landscape in Greater Essex</w:t>
      </w:r>
    </w:p>
    <w:p w:rsidR="00FE16C7" w:rsidRDefault="00FE16C7" w:rsidP="00FE16C7">
      <w:pPr>
        <w:pStyle w:val="ListParagraph"/>
      </w:pPr>
    </w:p>
    <w:p w:rsidR="00FE16C7" w:rsidRDefault="00FE16C7" w:rsidP="00FE16C7">
      <w:pPr>
        <w:pStyle w:val="ListParagraph"/>
        <w:numPr>
          <w:ilvl w:val="0"/>
          <w:numId w:val="28"/>
        </w:numPr>
      </w:pPr>
      <w:r>
        <w:t>Change any perception that community safety is a department led, separate function and embed the ownership of safer communities throughout our organisation</w:t>
      </w:r>
    </w:p>
    <w:p w:rsidR="00FE16C7" w:rsidRDefault="00FE16C7" w:rsidP="00FE16C7"/>
    <w:p w:rsidR="00FE16C7" w:rsidRDefault="00FE16C7" w:rsidP="00FE16C7">
      <w:pPr>
        <w:pStyle w:val="ListParagraph"/>
        <w:numPr>
          <w:ilvl w:val="0"/>
          <w:numId w:val="28"/>
        </w:numPr>
      </w:pPr>
      <w:r>
        <w:t>Reinforce that keeping our communities safer through community safety work is a 24/7 activity not an 8/5 activity that happens within office hours</w:t>
      </w:r>
    </w:p>
    <w:p w:rsidR="00FE16C7" w:rsidRDefault="00FE16C7" w:rsidP="00FE16C7">
      <w:pPr>
        <w:pStyle w:val="ListParagraph"/>
      </w:pPr>
    </w:p>
    <w:p w:rsidR="00FE16C7" w:rsidRDefault="00FE16C7" w:rsidP="00FE16C7">
      <w:pPr>
        <w:pStyle w:val="ListParagraph"/>
        <w:numPr>
          <w:ilvl w:val="0"/>
          <w:numId w:val="28"/>
        </w:numPr>
      </w:pPr>
      <w:r>
        <w:t>Raise the profile, engagement and impact of ECFRS Prevent and Protect work within the communities of Essex</w:t>
      </w:r>
    </w:p>
    <w:p w:rsidR="00FE16C7" w:rsidRDefault="00FE16C7" w:rsidP="00FE16C7">
      <w:pPr>
        <w:pStyle w:val="ListParagraph"/>
      </w:pPr>
    </w:p>
    <w:p w:rsidR="00FE16C7" w:rsidRDefault="00FE16C7" w:rsidP="00FE16C7">
      <w:pPr>
        <w:pStyle w:val="ListParagraph"/>
        <w:numPr>
          <w:ilvl w:val="0"/>
          <w:numId w:val="28"/>
        </w:numPr>
      </w:pPr>
      <w:r>
        <w:t>Result in an increase in targeted Prevent and Protect activity across all duty systems within ECFRS bringing an increase in effectiveness and efficiency</w:t>
      </w:r>
    </w:p>
    <w:p w:rsidR="00FE16C7" w:rsidRDefault="00FE16C7" w:rsidP="00FE16C7"/>
    <w:p w:rsidR="00FE16C7" w:rsidRDefault="00FE16C7" w:rsidP="00FE16C7">
      <w:pPr>
        <w:pStyle w:val="ListParagraph"/>
        <w:numPr>
          <w:ilvl w:val="0"/>
          <w:numId w:val="28"/>
        </w:numPr>
      </w:pPr>
      <w:r>
        <w:t>Enable on-call staff who would like to increase earnings an opportunity to do so</w:t>
      </w:r>
    </w:p>
    <w:p w:rsidR="00FE16C7" w:rsidRDefault="00FE16C7" w:rsidP="00FE16C7"/>
    <w:p w:rsidR="00FE16C7" w:rsidRDefault="00FE16C7" w:rsidP="00FE16C7">
      <w:pPr>
        <w:pStyle w:val="ListParagraph"/>
        <w:numPr>
          <w:ilvl w:val="0"/>
          <w:numId w:val="28"/>
        </w:numPr>
      </w:pPr>
      <w:r>
        <w:t>Increase the flexibility and agility of ECFRS in terms of delivering commu</w:t>
      </w:r>
      <w:r w:rsidR="00B23633">
        <w:t xml:space="preserve">nity safety activity and enable </w:t>
      </w:r>
      <w:r>
        <w:t>more innovative, community led initiatives</w:t>
      </w:r>
    </w:p>
    <w:p w:rsidR="00FE16C7" w:rsidRDefault="00FE16C7" w:rsidP="00FE16C7">
      <w:pPr>
        <w:pStyle w:val="ListParagraph"/>
      </w:pPr>
    </w:p>
    <w:p w:rsidR="00FE16C7" w:rsidRDefault="00FE16C7" w:rsidP="00FE16C7">
      <w:pPr>
        <w:pStyle w:val="ListParagraph"/>
        <w:numPr>
          <w:ilvl w:val="0"/>
          <w:numId w:val="28"/>
        </w:numPr>
      </w:pPr>
      <w:r>
        <w:t>Enable grey book personnel to fulfil all aspects of their role-maps</w:t>
      </w:r>
    </w:p>
    <w:p w:rsidR="00FE16C7" w:rsidRDefault="00FE16C7" w:rsidP="00FE16C7">
      <w:pPr>
        <w:pStyle w:val="ListParagraph"/>
      </w:pPr>
    </w:p>
    <w:p w:rsidR="00FE16C7" w:rsidRDefault="00FE16C7" w:rsidP="00FE16C7">
      <w:pPr>
        <w:pStyle w:val="ListParagraph"/>
        <w:numPr>
          <w:ilvl w:val="0"/>
          <w:numId w:val="28"/>
        </w:numPr>
      </w:pPr>
      <w:r>
        <w:lastRenderedPageBreak/>
        <w:t>Enable our dedicated Community safety staff and volunteers to work more closely and innovatively with local stations</w:t>
      </w:r>
    </w:p>
    <w:p w:rsidR="00FE16C7" w:rsidRDefault="00FE16C7" w:rsidP="00FE16C7">
      <w:pPr>
        <w:pStyle w:val="ListParagraph"/>
      </w:pPr>
    </w:p>
    <w:p w:rsidR="00FE16C7" w:rsidRDefault="00FE16C7" w:rsidP="00FE16C7">
      <w:pPr>
        <w:pStyle w:val="ListParagraph"/>
        <w:numPr>
          <w:ilvl w:val="0"/>
          <w:numId w:val="28"/>
        </w:numPr>
      </w:pPr>
      <w:r>
        <w:t>Support collaboration and joined up working with Essex Police and other agencies so that vulnerable people need only make one contact with one agency for the most appropriate referral to happen</w:t>
      </w:r>
    </w:p>
    <w:p w:rsidR="00FE16C7" w:rsidRDefault="00FE16C7" w:rsidP="00FE16C7"/>
    <w:p w:rsidR="00FE16C7" w:rsidRDefault="00FE16C7" w:rsidP="00FE16C7">
      <w:pPr>
        <w:pStyle w:val="ListParagraph"/>
        <w:numPr>
          <w:ilvl w:val="0"/>
          <w:numId w:val="28"/>
        </w:numPr>
      </w:pPr>
      <w:r>
        <w:t>Enable joint evaluation and reporting (for example on the number of referrals between agencies) to demonstrate ‘making a difference together’</w:t>
      </w:r>
    </w:p>
    <w:p w:rsidR="00FE16C7" w:rsidRDefault="00FE16C7" w:rsidP="00FE16C7"/>
    <w:p w:rsidR="00FE16C7" w:rsidRDefault="00FE16C7" w:rsidP="00FE16C7">
      <w:pPr>
        <w:pStyle w:val="ListParagraph"/>
        <w:numPr>
          <w:ilvl w:val="0"/>
          <w:numId w:val="28"/>
        </w:numPr>
      </w:pPr>
      <w:r>
        <w:t>Allow for greater flexibility for ECFRS to utilise staff to shift focus between Prevention work, Protection work and Response work to better link to the Strategic Assessment of Risk and IRMP planning processes (for example, to carry out high-rise reassurance visits  and visits to check fire safety measures are being maintained)</w:t>
      </w:r>
    </w:p>
    <w:p w:rsidR="00FE16C7" w:rsidRDefault="00FE16C7" w:rsidP="00FE16C7">
      <w:pPr>
        <w:ind w:left="360"/>
      </w:pPr>
    </w:p>
    <w:p w:rsidR="00FE16C7" w:rsidRDefault="00FE16C7" w:rsidP="00FE16C7">
      <w:pPr>
        <w:pStyle w:val="ListParagraph"/>
        <w:numPr>
          <w:ilvl w:val="0"/>
          <w:numId w:val="28"/>
        </w:numPr>
      </w:pPr>
      <w:r>
        <w:t>By moving community safety staff into hubs and station-based locations, enable more flexible use of space at Kelvedon Park</w:t>
      </w:r>
    </w:p>
    <w:p w:rsidR="00FE16C7" w:rsidRDefault="00FE16C7" w:rsidP="00FE16C7"/>
    <w:p w:rsidR="00FE16C7" w:rsidRDefault="00FE16C7" w:rsidP="00FE16C7"/>
    <w:p w:rsidR="00FE16C7" w:rsidRPr="009A6250" w:rsidRDefault="004B31A4" w:rsidP="00FE16C7">
      <w:pPr>
        <w:rPr>
          <w:b/>
        </w:rPr>
      </w:pPr>
      <w:r>
        <w:rPr>
          <w:b/>
        </w:rPr>
        <w:t>4.2 Risks</w:t>
      </w:r>
      <w:r w:rsidR="00FE16C7">
        <w:rPr>
          <w:b/>
        </w:rPr>
        <w:t xml:space="preserve"> and mitigation</w:t>
      </w:r>
    </w:p>
    <w:p w:rsidR="00FE16C7" w:rsidRDefault="00FE16C7" w:rsidP="00FE16C7"/>
    <w:p w:rsidR="00FE16C7" w:rsidRDefault="00FE16C7" w:rsidP="00FE16C7">
      <w:pPr>
        <w:pStyle w:val="ListParagraph"/>
        <w:numPr>
          <w:ilvl w:val="0"/>
          <w:numId w:val="29"/>
        </w:numPr>
      </w:pPr>
      <w:r>
        <w:t>The move towards a joint community safety function between ECFRS and EP will present  joint risks and some specific risks to each respective service</w:t>
      </w:r>
    </w:p>
    <w:p w:rsidR="00FE16C7" w:rsidRDefault="00FE16C7" w:rsidP="00FE16C7">
      <w:pPr>
        <w:pStyle w:val="ListParagraph"/>
      </w:pPr>
    </w:p>
    <w:p w:rsidR="00FE16C7" w:rsidRDefault="00FE16C7" w:rsidP="00FE16C7">
      <w:pPr>
        <w:pStyle w:val="ListParagraph"/>
      </w:pPr>
      <w:r>
        <w:t xml:space="preserve">A joint work-stream </w:t>
      </w:r>
      <w:r w:rsidR="004B31A4">
        <w:t xml:space="preserve">is </w:t>
      </w:r>
      <w:r>
        <w:t>established with a senior lead from both ECFRS and EP. Strong sponsors</w:t>
      </w:r>
      <w:r w:rsidR="004B31A4">
        <w:t xml:space="preserve">hip of the work-stream is </w:t>
      </w:r>
      <w:r>
        <w:t>established from both organisations and the OFPCC. Joint risks will be managed through the collaboration work-stream. Risks arising from this work specifically to ECFRS will be managed through the Service’s own risk management processes, recorded on JCAD and reported via the change board</w:t>
      </w:r>
    </w:p>
    <w:p w:rsidR="00FE16C7" w:rsidRDefault="00FE16C7" w:rsidP="00FE16C7"/>
    <w:p w:rsidR="00FE16C7" w:rsidRDefault="00FE16C7" w:rsidP="00FE16C7">
      <w:pPr>
        <w:pStyle w:val="ListParagraph"/>
        <w:numPr>
          <w:ilvl w:val="0"/>
          <w:numId w:val="29"/>
        </w:numPr>
      </w:pPr>
      <w:r>
        <w:t>There is a risk that our planning cycles are not agile enough to allow key departments to factor in the flexibility required  to support what may be iterative change. As a result, key departments and managers may not be able to support this work in a timely fashion, in the appropriate manner</w:t>
      </w:r>
    </w:p>
    <w:p w:rsidR="00FE16C7" w:rsidRDefault="00FE16C7" w:rsidP="00FE16C7"/>
    <w:p w:rsidR="00FE16C7" w:rsidRDefault="00FE16C7" w:rsidP="00FE16C7">
      <w:pPr>
        <w:pStyle w:val="ListParagraph"/>
      </w:pPr>
      <w:r>
        <w:t xml:space="preserve">Early </w:t>
      </w:r>
      <w:r w:rsidR="004B31A4">
        <w:t>engagement with</w:t>
      </w:r>
      <w:r>
        <w:t xml:space="preserve"> department heads as well </w:t>
      </w:r>
      <w:r w:rsidR="004B31A4">
        <w:t>as programme</w:t>
      </w:r>
      <w:r>
        <w:t xml:space="preserve"> management expertise to sequence </w:t>
      </w:r>
      <w:r w:rsidR="004B31A4">
        <w:t>and report</w:t>
      </w:r>
      <w:r>
        <w:t xml:space="preserve"> on progress and issues should be secured to mitigate against this risk</w:t>
      </w:r>
    </w:p>
    <w:p w:rsidR="00FE16C7" w:rsidRDefault="00FE16C7" w:rsidP="00FE16C7">
      <w:pPr>
        <w:pStyle w:val="ListParagraph"/>
      </w:pPr>
    </w:p>
    <w:p w:rsidR="00FE16C7" w:rsidRDefault="00FE16C7" w:rsidP="00FE16C7">
      <w:pPr>
        <w:pStyle w:val="ListParagraph"/>
      </w:pPr>
      <w:r>
        <w:t>Work is ongoing within the Service to better align and phase planning/budgetary cycles and processes</w:t>
      </w:r>
    </w:p>
    <w:p w:rsidR="00FE16C7" w:rsidRDefault="00FE16C7" w:rsidP="00FE16C7">
      <w:pPr>
        <w:pStyle w:val="ListParagraph"/>
      </w:pPr>
    </w:p>
    <w:p w:rsidR="00FE16C7" w:rsidRDefault="00FE16C7" w:rsidP="00FE16C7"/>
    <w:p w:rsidR="00FE16C7" w:rsidRDefault="00FE16C7" w:rsidP="00FE16C7">
      <w:pPr>
        <w:pStyle w:val="ListParagraph"/>
        <w:numPr>
          <w:ilvl w:val="0"/>
          <w:numId w:val="29"/>
        </w:numPr>
      </w:pPr>
      <w:r>
        <w:t>As with any organisational change, here is a risk that some colleagues may anticipate being adversely affected. A review of role maps will be required.</w:t>
      </w:r>
    </w:p>
    <w:p w:rsidR="00FE16C7" w:rsidRDefault="00FE16C7" w:rsidP="00FE16C7">
      <w:pPr>
        <w:pStyle w:val="ListParagraph"/>
      </w:pPr>
    </w:p>
    <w:p w:rsidR="00FE16C7" w:rsidRDefault="00FE16C7" w:rsidP="00FE16C7">
      <w:pPr>
        <w:pStyle w:val="ListParagraph"/>
      </w:pPr>
      <w:r>
        <w:t>Engagement must take place with colleagues and the HR team at the earliest opportunity to anticipate and manage this</w:t>
      </w:r>
    </w:p>
    <w:p w:rsidR="00FE16C7" w:rsidRDefault="00FE16C7" w:rsidP="00FE16C7"/>
    <w:p w:rsidR="00FE16C7" w:rsidRDefault="00FE16C7" w:rsidP="00FE16C7">
      <w:pPr>
        <w:pStyle w:val="ListParagraph"/>
        <w:numPr>
          <w:ilvl w:val="0"/>
          <w:numId w:val="29"/>
        </w:numPr>
      </w:pPr>
      <w:r>
        <w:lastRenderedPageBreak/>
        <w:t>There is a risk in that how we intend to deliver and prioritise activity and interventions in the future may generate negative publicity for the ECFRS, EP or the PFCC, careful engagement with stakeholders around the reasons for any changes to our services needs to be planned and executed</w:t>
      </w:r>
    </w:p>
    <w:p w:rsidR="00FE16C7" w:rsidRDefault="00FE16C7" w:rsidP="00FE16C7">
      <w:pPr>
        <w:pStyle w:val="ListParagraph"/>
      </w:pPr>
    </w:p>
    <w:p w:rsidR="00FE16C7" w:rsidRDefault="00194C51" w:rsidP="00FE16C7">
      <w:pPr>
        <w:rPr>
          <w:b/>
        </w:rPr>
      </w:pPr>
      <w:r w:rsidRPr="00194C51">
        <w:rPr>
          <w:b/>
        </w:rPr>
        <w:t>5. IMPLICATIONS</w:t>
      </w:r>
    </w:p>
    <w:p w:rsidR="00194C51" w:rsidRDefault="00194C51" w:rsidP="00FE16C7">
      <w:pPr>
        <w:rPr>
          <w:b/>
        </w:rPr>
      </w:pPr>
    </w:p>
    <w:p w:rsidR="00194C51" w:rsidRPr="00194C51" w:rsidRDefault="00194C51" w:rsidP="00FE16C7">
      <w:pPr>
        <w:rPr>
          <w:b/>
        </w:rPr>
      </w:pPr>
    </w:p>
    <w:p w:rsidR="00C0492F" w:rsidRDefault="00C0492F" w:rsidP="00F64805">
      <w:pPr>
        <w:pStyle w:val="Heading1"/>
        <w:spacing w:after="0" w:line="600" w:lineRule="auto"/>
      </w:pPr>
      <w:r w:rsidRPr="002E1E94">
        <w:t>Financial Implications</w:t>
      </w:r>
    </w:p>
    <w:p w:rsidR="00FE16C7" w:rsidRDefault="00FE16C7" w:rsidP="00FE16C7">
      <w:r>
        <w:t xml:space="preserve">Financial implications will be explored fully when more detailed options and proposals are developed.  Whilst savings may be delivered, it </w:t>
      </w:r>
      <w:r w:rsidR="004B31A4">
        <w:t>is also</w:t>
      </w:r>
      <w:r>
        <w:t xml:space="preserve"> likely that an increase in levels of community safety related activity across all duty systems and contracts </w:t>
      </w:r>
      <w:r w:rsidR="004B31A4">
        <w:t>will impact</w:t>
      </w:r>
      <w:r>
        <w:t xml:space="preserve"> on delivery budgets.</w:t>
      </w:r>
    </w:p>
    <w:p w:rsidR="00FE16C7" w:rsidRDefault="00FE16C7" w:rsidP="00FE16C7"/>
    <w:p w:rsidR="00FE16C7" w:rsidRPr="00EB150C" w:rsidRDefault="00FE16C7" w:rsidP="00FE16C7">
      <w:r>
        <w:t>It is envisaged that there will need to be adjustments to departmental budgets to support the proposed changes.</w:t>
      </w:r>
    </w:p>
    <w:p w:rsidR="00FE16C7" w:rsidRPr="00FE16C7" w:rsidRDefault="00FE16C7" w:rsidP="00FE16C7"/>
    <w:p w:rsidR="00C0492F" w:rsidRDefault="00C0492F" w:rsidP="00F64805">
      <w:pPr>
        <w:pStyle w:val="Heading1"/>
        <w:spacing w:after="0" w:line="600" w:lineRule="auto"/>
      </w:pPr>
      <w:r w:rsidRPr="002E1E94">
        <w:t>Equality and Diversity Implications</w:t>
      </w:r>
    </w:p>
    <w:p w:rsidR="00FE16C7" w:rsidRDefault="00FE16C7" w:rsidP="00FE16C7">
      <w:r>
        <w:t>All activity will be undertaken in accordance with ECFRS processes and procedures and with the full engagement and advice of HR</w:t>
      </w:r>
    </w:p>
    <w:p w:rsidR="00FE16C7" w:rsidRDefault="00FE16C7" w:rsidP="00FE16C7"/>
    <w:p w:rsidR="00FE16C7" w:rsidRDefault="00FE16C7" w:rsidP="00FE16C7">
      <w:r>
        <w:t xml:space="preserve">It is envisaged that increased joint working with other agencies and increased engagement with the community we serve </w:t>
      </w:r>
      <w:proofErr w:type="gramStart"/>
      <w:r>
        <w:t>will  build</w:t>
      </w:r>
      <w:proofErr w:type="gramEnd"/>
      <w:r>
        <w:t xml:space="preserve">  further benefits in this arena.</w:t>
      </w:r>
    </w:p>
    <w:p w:rsidR="00FE16C7" w:rsidRPr="00FE16C7" w:rsidRDefault="00FE16C7" w:rsidP="00FE16C7"/>
    <w:p w:rsidR="00C0492F" w:rsidRDefault="00C0492F" w:rsidP="00F64805">
      <w:pPr>
        <w:pStyle w:val="Heading1"/>
        <w:spacing w:after="0" w:line="600" w:lineRule="auto"/>
      </w:pPr>
      <w:r w:rsidRPr="002E1E94">
        <w:t>Workforce Engagement</w:t>
      </w:r>
    </w:p>
    <w:p w:rsidR="00FE16C7" w:rsidRPr="000C653B" w:rsidRDefault="00FE16C7" w:rsidP="00FE16C7">
      <w:pPr>
        <w:pStyle w:val="NumbList3"/>
        <w:numPr>
          <w:ilvl w:val="0"/>
          <w:numId w:val="0"/>
        </w:numPr>
        <w:spacing w:after="240"/>
        <w:rPr>
          <w:noProof/>
        </w:rPr>
      </w:pPr>
      <w:r>
        <w:rPr>
          <w:noProof/>
        </w:rPr>
        <w:t>Enga</w:t>
      </w:r>
      <w:r w:rsidR="00D001DF">
        <w:rPr>
          <w:noProof/>
        </w:rPr>
        <w:t>gement with colleagues has begu</w:t>
      </w:r>
      <w:r>
        <w:rPr>
          <w:noProof/>
        </w:rPr>
        <w:t xml:space="preserve">n </w:t>
      </w:r>
      <w:r w:rsidR="00D001DF">
        <w:rPr>
          <w:noProof/>
        </w:rPr>
        <w:t>based upon the advice of our Corporate Communication</w:t>
      </w:r>
      <w:r>
        <w:rPr>
          <w:noProof/>
        </w:rPr>
        <w:t xml:space="preserve"> professionals</w:t>
      </w:r>
    </w:p>
    <w:p w:rsidR="00FE16C7" w:rsidRPr="00FE16C7" w:rsidRDefault="00FE16C7" w:rsidP="00FE16C7"/>
    <w:p w:rsidR="00C0492F" w:rsidRDefault="00A20145" w:rsidP="00F64805">
      <w:pPr>
        <w:pStyle w:val="Heading1"/>
        <w:spacing w:after="0" w:line="600" w:lineRule="auto"/>
      </w:pPr>
      <w:r>
        <w:t>Legal ImplicationS</w:t>
      </w:r>
    </w:p>
    <w:p w:rsidR="00FE16C7" w:rsidRDefault="00FE16C7" w:rsidP="00FE16C7">
      <w:r>
        <w:t xml:space="preserve">Data sharing </w:t>
      </w:r>
      <w:r w:rsidR="00D001DF">
        <w:t>agreements and protocols are to be</w:t>
      </w:r>
      <w:r>
        <w:t xml:space="preserve"> developed and monitored in line with all relevant legislation.</w:t>
      </w:r>
    </w:p>
    <w:p w:rsidR="00FE16C7" w:rsidRDefault="00FE16C7" w:rsidP="00FE16C7">
      <w:r>
        <w:t>Safeguarding procedures and requirements will continue to be adhered to</w:t>
      </w:r>
    </w:p>
    <w:p w:rsidR="00FE16C7" w:rsidRPr="0093294E" w:rsidRDefault="00FE16C7" w:rsidP="00FE16C7"/>
    <w:p w:rsidR="00FE16C7" w:rsidRPr="00FE16C7" w:rsidRDefault="00FE16C7" w:rsidP="00FE16C7"/>
    <w:p w:rsidR="00F64805" w:rsidRDefault="00F64805" w:rsidP="00F64805">
      <w:pPr>
        <w:rPr>
          <w:b/>
        </w:rPr>
      </w:pPr>
      <w:r>
        <w:rPr>
          <w:b/>
        </w:rPr>
        <w:t>HEALTH AND SAFETY IMPLICATIONS</w:t>
      </w:r>
    </w:p>
    <w:p w:rsidR="00FE16C7" w:rsidRDefault="00FE16C7" w:rsidP="00F64805">
      <w:pPr>
        <w:rPr>
          <w:b/>
        </w:rPr>
      </w:pPr>
    </w:p>
    <w:p w:rsidR="00FE16C7" w:rsidRDefault="00FE16C7" w:rsidP="00FE16C7">
      <w:r>
        <w:t>Any new activities or equipment introduced (stand-alone or joint) will be fully risk assessed from an ECFRS perspective and with the engagement of Safety Representatives.</w:t>
      </w:r>
    </w:p>
    <w:p w:rsidR="00FE16C7" w:rsidRDefault="00FE16C7" w:rsidP="00FE16C7">
      <w:pPr>
        <w:tabs>
          <w:tab w:val="num" w:pos="567"/>
        </w:tabs>
        <w:spacing w:after="120"/>
        <w:rPr>
          <w:rFonts w:cs="Times New Roman"/>
          <w:szCs w:val="20"/>
        </w:rPr>
      </w:pPr>
    </w:p>
    <w:p w:rsidR="00697746" w:rsidRDefault="00697746" w:rsidP="00FE16C7">
      <w:pPr>
        <w:tabs>
          <w:tab w:val="num" w:pos="567"/>
        </w:tabs>
        <w:spacing w:after="120"/>
        <w:rPr>
          <w:rFonts w:cs="Times New Roman"/>
          <w:szCs w:val="20"/>
        </w:rPr>
      </w:pPr>
    </w:p>
    <w:p w:rsidR="00697746" w:rsidRDefault="00697746" w:rsidP="00FE16C7">
      <w:pPr>
        <w:tabs>
          <w:tab w:val="num" w:pos="567"/>
        </w:tabs>
        <w:spacing w:after="120"/>
        <w:rPr>
          <w:rFonts w:cs="Times New Roman"/>
          <w:szCs w:val="20"/>
        </w:rPr>
      </w:pPr>
    </w:p>
    <w:p w:rsidR="00194C51" w:rsidRDefault="00194C51" w:rsidP="00B40C12">
      <w:pPr>
        <w:rPr>
          <w:rFonts w:cs="Times New Roman"/>
          <w:szCs w:val="20"/>
        </w:rPr>
      </w:pPr>
    </w:p>
    <w:p w:rsidR="00194C51" w:rsidRDefault="00194C51" w:rsidP="00B40C12">
      <w:pPr>
        <w:rPr>
          <w:rFonts w:cs="Times New Roman"/>
          <w:szCs w:val="20"/>
        </w:rPr>
      </w:pPr>
    </w:p>
    <w:p w:rsidR="00697746" w:rsidRDefault="00697746" w:rsidP="00B40C12">
      <w:pPr>
        <w:rPr>
          <w:rFonts w:eastAsiaTheme="minorHAnsi"/>
          <w:b/>
          <w:sz w:val="22"/>
          <w:szCs w:val="22"/>
        </w:rPr>
      </w:pPr>
      <w:r>
        <w:rPr>
          <w:rFonts w:eastAsiaTheme="minorHAnsi"/>
          <w:b/>
          <w:sz w:val="22"/>
          <w:szCs w:val="22"/>
        </w:rPr>
        <w:lastRenderedPageBreak/>
        <w:t>Appendix 1: Summary of activity – key milestones towards shared CFS function</w:t>
      </w:r>
    </w:p>
    <w:p w:rsidR="00B40C12" w:rsidRPr="00B40C12" w:rsidRDefault="00B40C12" w:rsidP="00B40C12">
      <w:pPr>
        <w:rPr>
          <w:rFonts w:eastAsiaTheme="minorHAnsi"/>
          <w:b/>
          <w:sz w:val="22"/>
          <w:szCs w:val="22"/>
        </w:rPr>
      </w:pPr>
    </w:p>
    <w:p w:rsidR="00B40C12" w:rsidRPr="001F33B0" w:rsidRDefault="00687996" w:rsidP="00B40C12">
      <w:r>
        <w:t xml:space="preserve">As stated in the introduction of this paper (page 1) ECFRS and EP </w:t>
      </w:r>
      <w:r w:rsidR="00B40C12" w:rsidRPr="001F33B0">
        <w:t>are working together to explore the alignment of joint community safety activity. There are key milestones associated with this ambition from a fire perspective including local, senior fire officers engaged with Community Safety partnerships and ECFRS being engaged with, represented within and active within community safety hubs. Work activities towards achieving these key mileston</w:t>
      </w:r>
      <w:r>
        <w:t xml:space="preserve">es are summarised </w:t>
      </w:r>
      <w:r w:rsidR="00B40C12" w:rsidRPr="001F33B0">
        <w:t xml:space="preserve">below. The work coincides with </w:t>
      </w:r>
      <w:r>
        <w:t xml:space="preserve">and complements </w:t>
      </w:r>
      <w:r w:rsidR="00B40C12" w:rsidRPr="001F33B0">
        <w:t>ongoing ECFRS work towards decentralising the existing community safety function and increasing the levels of locally driven community safety activities undertaken by station based personnel and local managers. This is the subject of ongoing internal change management activity to oversee the necessary internal structural and resourcing changes.</w:t>
      </w:r>
    </w:p>
    <w:p w:rsidR="00B40C12" w:rsidRPr="00B40C12" w:rsidRDefault="00B40C12" w:rsidP="00B40C12">
      <w:pPr>
        <w:rPr>
          <w:rFonts w:eastAsiaTheme="minorHAnsi"/>
          <w:sz w:val="22"/>
          <w:szCs w:val="22"/>
        </w:rPr>
      </w:pPr>
    </w:p>
    <w:p w:rsidR="00B40C12" w:rsidRPr="00B40C12" w:rsidRDefault="00B40C12" w:rsidP="00B40C12">
      <w:pPr>
        <w:rPr>
          <w:rFonts w:eastAsiaTheme="minorHAnsi"/>
          <w:b/>
          <w:sz w:val="22"/>
          <w:szCs w:val="22"/>
        </w:rPr>
      </w:pPr>
      <w:r>
        <w:rPr>
          <w:rFonts w:eastAsiaTheme="minorHAnsi"/>
          <w:b/>
          <w:sz w:val="22"/>
          <w:szCs w:val="22"/>
        </w:rPr>
        <w:t>1</w:t>
      </w:r>
      <w:r w:rsidRPr="00B40C12">
        <w:rPr>
          <w:rFonts w:eastAsiaTheme="minorHAnsi"/>
          <w:b/>
          <w:sz w:val="22"/>
          <w:szCs w:val="22"/>
        </w:rPr>
        <w:t>.1:  Key milestone 1:</w:t>
      </w:r>
    </w:p>
    <w:p w:rsidR="00B40C12" w:rsidRPr="00B40C12" w:rsidRDefault="00B40C12" w:rsidP="00B40C12">
      <w:pPr>
        <w:rPr>
          <w:rFonts w:eastAsiaTheme="minorHAnsi"/>
          <w:b/>
          <w:sz w:val="22"/>
          <w:szCs w:val="22"/>
        </w:rPr>
      </w:pPr>
    </w:p>
    <w:tbl>
      <w:tblPr>
        <w:tblStyle w:val="TableGrid11"/>
        <w:tblW w:w="0" w:type="auto"/>
        <w:tblLook w:val="04A0" w:firstRow="1" w:lastRow="0" w:firstColumn="1" w:lastColumn="0" w:noHBand="0" w:noVBand="1"/>
      </w:tblPr>
      <w:tblGrid>
        <w:gridCol w:w="1413"/>
        <w:gridCol w:w="7603"/>
      </w:tblGrid>
      <w:tr w:rsidR="00B40C12" w:rsidRPr="00B40C12" w:rsidTr="003B260A">
        <w:tc>
          <w:tcPr>
            <w:tcW w:w="9016" w:type="dxa"/>
            <w:gridSpan w:val="2"/>
          </w:tcPr>
          <w:p w:rsidR="00B40C12" w:rsidRPr="00B40C12" w:rsidRDefault="00B40C12" w:rsidP="00B40C12">
            <w:pPr>
              <w:rPr>
                <w:b/>
                <w:sz w:val="22"/>
                <w:szCs w:val="22"/>
              </w:rPr>
            </w:pPr>
          </w:p>
          <w:p w:rsidR="00B40C12" w:rsidRPr="00B40C12" w:rsidRDefault="00B40C12" w:rsidP="00B40C12">
            <w:pPr>
              <w:rPr>
                <w:b/>
                <w:sz w:val="22"/>
                <w:szCs w:val="22"/>
              </w:rPr>
            </w:pPr>
            <w:r w:rsidRPr="00B40C12">
              <w:rPr>
                <w:b/>
                <w:sz w:val="22"/>
                <w:szCs w:val="22"/>
              </w:rPr>
              <w:t>Key milestone 1: Produce a detailed business case setting out the mechanics, process, finance and communications for the hub and management transition</w:t>
            </w:r>
          </w:p>
          <w:p w:rsidR="00B40C12" w:rsidRPr="00B40C12" w:rsidRDefault="00B40C12" w:rsidP="00B40C12">
            <w:pPr>
              <w:rPr>
                <w:b/>
                <w:sz w:val="22"/>
                <w:szCs w:val="22"/>
              </w:rPr>
            </w:pPr>
          </w:p>
        </w:tc>
      </w:tr>
      <w:tr w:rsidR="00B40C12" w:rsidRPr="00B40C12" w:rsidTr="003B260A">
        <w:tc>
          <w:tcPr>
            <w:tcW w:w="1413" w:type="dxa"/>
          </w:tcPr>
          <w:p w:rsidR="00B40C12" w:rsidRPr="00B40C12" w:rsidRDefault="00B40C12" w:rsidP="00B40C12">
            <w:pPr>
              <w:rPr>
                <w:sz w:val="22"/>
                <w:szCs w:val="22"/>
              </w:rPr>
            </w:pPr>
          </w:p>
          <w:p w:rsidR="00B40C12" w:rsidRPr="00B40C12" w:rsidRDefault="00B40C12" w:rsidP="00B40C12">
            <w:pPr>
              <w:rPr>
                <w:sz w:val="22"/>
                <w:szCs w:val="22"/>
              </w:rPr>
            </w:pPr>
            <w:r>
              <w:rPr>
                <w:sz w:val="22"/>
                <w:szCs w:val="22"/>
              </w:rPr>
              <w:t xml:space="preserve">Activity </w:t>
            </w:r>
            <w:r w:rsidR="001F33B0">
              <w:rPr>
                <w:sz w:val="22"/>
                <w:szCs w:val="22"/>
              </w:rPr>
              <w:t>to date</w:t>
            </w:r>
          </w:p>
          <w:p w:rsidR="00B40C12" w:rsidRPr="00B40C12" w:rsidRDefault="00B40C12" w:rsidP="00B40C12">
            <w:pPr>
              <w:rPr>
                <w:sz w:val="22"/>
                <w:szCs w:val="22"/>
              </w:rPr>
            </w:pPr>
          </w:p>
        </w:tc>
        <w:tc>
          <w:tcPr>
            <w:tcW w:w="7603" w:type="dxa"/>
          </w:tcPr>
          <w:p w:rsidR="00B40C12" w:rsidRPr="00B40C12" w:rsidRDefault="00B40C12" w:rsidP="00B40C12">
            <w:pPr>
              <w:rPr>
                <w:sz w:val="22"/>
                <w:szCs w:val="22"/>
              </w:rPr>
            </w:pPr>
          </w:p>
          <w:p w:rsidR="00B40C12" w:rsidRPr="00B40C12" w:rsidRDefault="00B40C12" w:rsidP="00B40C12">
            <w:pPr>
              <w:numPr>
                <w:ilvl w:val="0"/>
                <w:numId w:val="30"/>
              </w:numPr>
              <w:contextualSpacing/>
              <w:rPr>
                <w:sz w:val="22"/>
                <w:szCs w:val="22"/>
              </w:rPr>
            </w:pPr>
            <w:r w:rsidRPr="00B40C12">
              <w:rPr>
                <w:sz w:val="22"/>
                <w:szCs w:val="22"/>
              </w:rPr>
              <w:t>Strategic decision paper, time-line and internal communications and engagement plan endorsed by ECFRS Service Leadership Team</w:t>
            </w:r>
          </w:p>
          <w:p w:rsidR="00B40C12" w:rsidRPr="00B40C12" w:rsidRDefault="00B40C12" w:rsidP="00B40C12">
            <w:pPr>
              <w:rPr>
                <w:sz w:val="22"/>
                <w:szCs w:val="22"/>
              </w:rPr>
            </w:pPr>
          </w:p>
          <w:p w:rsidR="00B40C12" w:rsidRPr="00B40C12" w:rsidRDefault="00B40C12" w:rsidP="00B40C12">
            <w:pPr>
              <w:numPr>
                <w:ilvl w:val="0"/>
                <w:numId w:val="30"/>
              </w:numPr>
              <w:contextualSpacing/>
              <w:rPr>
                <w:color w:val="000000" w:themeColor="text1"/>
                <w:sz w:val="22"/>
                <w:szCs w:val="22"/>
              </w:rPr>
            </w:pPr>
            <w:r w:rsidRPr="00B40C12">
              <w:rPr>
                <w:color w:val="000000" w:themeColor="text1"/>
                <w:sz w:val="22"/>
                <w:szCs w:val="22"/>
              </w:rPr>
              <w:t>Project support secured from ECFRS Change team to support development and progression of full business case. Internal project management and governance proposed to be part of ECFRS existing change management processes</w:t>
            </w:r>
          </w:p>
          <w:p w:rsidR="00B40C12" w:rsidRPr="00B40C12" w:rsidRDefault="00B40C12" w:rsidP="00B40C12">
            <w:pPr>
              <w:rPr>
                <w:sz w:val="22"/>
                <w:szCs w:val="22"/>
              </w:rPr>
            </w:pPr>
          </w:p>
          <w:p w:rsidR="00B40C12" w:rsidRPr="00B40C12" w:rsidRDefault="00B40C12" w:rsidP="00B40C12">
            <w:pPr>
              <w:numPr>
                <w:ilvl w:val="0"/>
                <w:numId w:val="30"/>
              </w:numPr>
              <w:contextualSpacing/>
              <w:rPr>
                <w:sz w:val="22"/>
                <w:szCs w:val="22"/>
              </w:rPr>
            </w:pPr>
            <w:r w:rsidRPr="00B40C12">
              <w:rPr>
                <w:sz w:val="22"/>
                <w:szCs w:val="22"/>
              </w:rPr>
              <w:t>Communications with key internal stakeholders and wider organisation regarding proposed changes in accordance with communications and engagement plan as follows:</w:t>
            </w:r>
          </w:p>
          <w:p w:rsidR="00B40C12" w:rsidRPr="00B40C12" w:rsidRDefault="00B40C12" w:rsidP="00B40C12">
            <w:pPr>
              <w:rPr>
                <w:sz w:val="22"/>
                <w:szCs w:val="22"/>
              </w:rPr>
            </w:pPr>
          </w:p>
          <w:p w:rsidR="00B40C12" w:rsidRPr="00B40C12" w:rsidRDefault="00B40C12" w:rsidP="00B40C12">
            <w:pPr>
              <w:numPr>
                <w:ilvl w:val="0"/>
                <w:numId w:val="34"/>
              </w:numPr>
              <w:contextualSpacing/>
              <w:rPr>
                <w:sz w:val="22"/>
                <w:szCs w:val="22"/>
              </w:rPr>
            </w:pPr>
            <w:r w:rsidRPr="00B40C12">
              <w:rPr>
                <w:sz w:val="22"/>
                <w:szCs w:val="22"/>
              </w:rPr>
              <w:t xml:space="preserve">Strategic decision paper shared with affected internal staff </w:t>
            </w:r>
          </w:p>
          <w:p w:rsidR="00B40C12" w:rsidRPr="00B40C12" w:rsidRDefault="00B40C12" w:rsidP="00B40C12">
            <w:pPr>
              <w:numPr>
                <w:ilvl w:val="0"/>
                <w:numId w:val="34"/>
              </w:numPr>
              <w:contextualSpacing/>
              <w:rPr>
                <w:sz w:val="22"/>
                <w:szCs w:val="22"/>
              </w:rPr>
            </w:pPr>
            <w:r w:rsidRPr="00B40C12">
              <w:rPr>
                <w:sz w:val="22"/>
                <w:szCs w:val="22"/>
              </w:rPr>
              <w:t>Ongoing 6-weekly team meetings with CFS staff (Head of CFS)</w:t>
            </w:r>
          </w:p>
          <w:p w:rsidR="00B40C12" w:rsidRPr="00B40C12" w:rsidRDefault="00B40C12" w:rsidP="00B40C12">
            <w:pPr>
              <w:numPr>
                <w:ilvl w:val="0"/>
                <w:numId w:val="34"/>
              </w:numPr>
              <w:contextualSpacing/>
              <w:rPr>
                <w:sz w:val="22"/>
                <w:szCs w:val="22"/>
              </w:rPr>
            </w:pPr>
            <w:r w:rsidRPr="00B40C12">
              <w:rPr>
                <w:sz w:val="22"/>
                <w:szCs w:val="22"/>
              </w:rPr>
              <w:t>Ongoing team meetings with local senior officers (Head of Delivery)</w:t>
            </w:r>
          </w:p>
          <w:p w:rsidR="00B40C12" w:rsidRPr="00B40C12" w:rsidRDefault="00B40C12" w:rsidP="00B40C12">
            <w:pPr>
              <w:numPr>
                <w:ilvl w:val="0"/>
                <w:numId w:val="34"/>
              </w:numPr>
              <w:contextualSpacing/>
              <w:rPr>
                <w:sz w:val="22"/>
                <w:szCs w:val="22"/>
              </w:rPr>
            </w:pPr>
            <w:r w:rsidRPr="00B40C12">
              <w:rPr>
                <w:sz w:val="22"/>
                <w:szCs w:val="22"/>
              </w:rPr>
              <w:t>Change workshop: review of Prevention Function/Home Safety (05.02.19)</w:t>
            </w:r>
          </w:p>
          <w:p w:rsidR="00B40C12" w:rsidRPr="00B40C12" w:rsidRDefault="00B40C12" w:rsidP="00B40C12">
            <w:pPr>
              <w:numPr>
                <w:ilvl w:val="0"/>
                <w:numId w:val="34"/>
              </w:numPr>
              <w:contextualSpacing/>
              <w:rPr>
                <w:sz w:val="22"/>
                <w:szCs w:val="22"/>
              </w:rPr>
            </w:pPr>
            <w:r w:rsidRPr="00B40C12">
              <w:rPr>
                <w:sz w:val="22"/>
                <w:szCs w:val="22"/>
              </w:rPr>
              <w:t xml:space="preserve">Formalised </w:t>
            </w:r>
            <w:proofErr w:type="spellStart"/>
            <w:r w:rsidRPr="00B40C12">
              <w:rPr>
                <w:sz w:val="22"/>
                <w:szCs w:val="22"/>
              </w:rPr>
              <w:t>comms</w:t>
            </w:r>
            <w:proofErr w:type="spellEnd"/>
            <w:r w:rsidRPr="00B40C12">
              <w:rPr>
                <w:sz w:val="22"/>
                <w:szCs w:val="22"/>
              </w:rPr>
              <w:t xml:space="preserve"> – weekly e-brief and on-call brief on changes </w:t>
            </w:r>
          </w:p>
          <w:p w:rsidR="00B40C12" w:rsidRPr="00B40C12" w:rsidRDefault="00B40C12" w:rsidP="00B40C12">
            <w:pPr>
              <w:numPr>
                <w:ilvl w:val="0"/>
                <w:numId w:val="34"/>
              </w:numPr>
              <w:contextualSpacing/>
              <w:rPr>
                <w:sz w:val="22"/>
                <w:szCs w:val="22"/>
              </w:rPr>
            </w:pPr>
            <w:r w:rsidRPr="00B40C12">
              <w:rPr>
                <w:sz w:val="22"/>
                <w:szCs w:val="22"/>
              </w:rPr>
              <w:t>(11.02.19)</w:t>
            </w:r>
          </w:p>
          <w:p w:rsidR="00B40C12" w:rsidRPr="00B40C12" w:rsidRDefault="00B40C12" w:rsidP="00B40C12">
            <w:pPr>
              <w:numPr>
                <w:ilvl w:val="0"/>
                <w:numId w:val="34"/>
              </w:numPr>
              <w:contextualSpacing/>
              <w:rPr>
                <w:sz w:val="22"/>
                <w:szCs w:val="22"/>
              </w:rPr>
            </w:pPr>
            <w:r w:rsidRPr="00B40C12">
              <w:rPr>
                <w:sz w:val="22"/>
                <w:szCs w:val="22"/>
              </w:rPr>
              <w:t>Engagement with representative bodies is on-going (ECFRS Head of CFS)</w:t>
            </w:r>
          </w:p>
          <w:p w:rsidR="00B40C12" w:rsidRPr="00B40C12" w:rsidRDefault="00B40C12" w:rsidP="00B40C12">
            <w:pPr>
              <w:rPr>
                <w:sz w:val="22"/>
                <w:szCs w:val="22"/>
              </w:rPr>
            </w:pPr>
          </w:p>
        </w:tc>
      </w:tr>
      <w:tr w:rsidR="00B40C12" w:rsidRPr="00B40C12" w:rsidTr="003B260A">
        <w:tc>
          <w:tcPr>
            <w:tcW w:w="1413" w:type="dxa"/>
          </w:tcPr>
          <w:p w:rsidR="00B40C12" w:rsidRPr="00B40C12" w:rsidRDefault="00B40C12" w:rsidP="00B40C12">
            <w:pPr>
              <w:rPr>
                <w:sz w:val="22"/>
                <w:szCs w:val="22"/>
              </w:rPr>
            </w:pPr>
          </w:p>
          <w:p w:rsidR="00B40C12" w:rsidRPr="00B40C12" w:rsidRDefault="001F33B0" w:rsidP="00B40C12">
            <w:pPr>
              <w:rPr>
                <w:sz w:val="22"/>
                <w:szCs w:val="22"/>
              </w:rPr>
            </w:pPr>
            <w:r>
              <w:rPr>
                <w:sz w:val="22"/>
                <w:szCs w:val="22"/>
              </w:rPr>
              <w:t>Next steps</w:t>
            </w:r>
          </w:p>
          <w:p w:rsidR="00B40C12" w:rsidRPr="00B40C12" w:rsidRDefault="00B40C12" w:rsidP="00B40C12">
            <w:pPr>
              <w:rPr>
                <w:sz w:val="22"/>
                <w:szCs w:val="22"/>
              </w:rPr>
            </w:pPr>
          </w:p>
        </w:tc>
        <w:tc>
          <w:tcPr>
            <w:tcW w:w="7603" w:type="dxa"/>
          </w:tcPr>
          <w:p w:rsidR="00B40C12" w:rsidRPr="00B40C12" w:rsidRDefault="00B40C12" w:rsidP="00B40C12">
            <w:pPr>
              <w:ind w:left="720"/>
              <w:contextualSpacing/>
              <w:rPr>
                <w:b/>
                <w:sz w:val="22"/>
                <w:szCs w:val="22"/>
              </w:rPr>
            </w:pPr>
          </w:p>
          <w:p w:rsidR="00B40C12" w:rsidRPr="00B40C12" w:rsidRDefault="00B40C12" w:rsidP="00B40C12">
            <w:pPr>
              <w:numPr>
                <w:ilvl w:val="0"/>
                <w:numId w:val="31"/>
              </w:numPr>
              <w:contextualSpacing/>
              <w:rPr>
                <w:sz w:val="22"/>
                <w:szCs w:val="22"/>
              </w:rPr>
            </w:pPr>
            <w:r w:rsidRPr="00B40C12">
              <w:rPr>
                <w:sz w:val="22"/>
                <w:szCs w:val="22"/>
              </w:rPr>
              <w:t>Project formalised and embedded within ECFRS BAU change governance and reporting</w:t>
            </w:r>
          </w:p>
        </w:tc>
      </w:tr>
      <w:tr w:rsidR="00B40C12" w:rsidRPr="00B40C12" w:rsidTr="003B260A">
        <w:tc>
          <w:tcPr>
            <w:tcW w:w="1413" w:type="dxa"/>
          </w:tcPr>
          <w:p w:rsidR="00B40C12" w:rsidRPr="00B40C12" w:rsidRDefault="00B40C12" w:rsidP="00B40C12">
            <w:pPr>
              <w:rPr>
                <w:sz w:val="22"/>
                <w:szCs w:val="22"/>
              </w:rPr>
            </w:pPr>
          </w:p>
          <w:p w:rsidR="00B40C12" w:rsidRPr="00B40C12" w:rsidRDefault="00B40C12" w:rsidP="00B40C12">
            <w:pPr>
              <w:rPr>
                <w:sz w:val="22"/>
                <w:szCs w:val="22"/>
              </w:rPr>
            </w:pPr>
            <w:r w:rsidRPr="00B40C12">
              <w:rPr>
                <w:sz w:val="22"/>
                <w:szCs w:val="22"/>
              </w:rPr>
              <w:t>Additional Information</w:t>
            </w:r>
          </w:p>
          <w:p w:rsidR="00B40C12" w:rsidRPr="00B40C12" w:rsidRDefault="00B40C12" w:rsidP="00B40C12">
            <w:pPr>
              <w:rPr>
                <w:sz w:val="22"/>
                <w:szCs w:val="22"/>
              </w:rPr>
            </w:pPr>
          </w:p>
        </w:tc>
        <w:tc>
          <w:tcPr>
            <w:tcW w:w="7603" w:type="dxa"/>
          </w:tcPr>
          <w:p w:rsidR="00B40C12" w:rsidRPr="00697746" w:rsidRDefault="00B40C12" w:rsidP="00697746">
            <w:pPr>
              <w:pStyle w:val="ListParagraph"/>
              <w:numPr>
                <w:ilvl w:val="0"/>
                <w:numId w:val="31"/>
              </w:numPr>
              <w:contextualSpacing/>
              <w:rPr>
                <w:sz w:val="22"/>
                <w:szCs w:val="22"/>
              </w:rPr>
            </w:pPr>
            <w:r w:rsidRPr="00697746">
              <w:rPr>
                <w:sz w:val="22"/>
                <w:szCs w:val="22"/>
              </w:rPr>
              <w:t xml:space="preserve">GM Lee Lucas (ECFRS) and </w:t>
            </w:r>
            <w:proofErr w:type="spellStart"/>
            <w:r w:rsidRPr="00697746">
              <w:rPr>
                <w:sz w:val="22"/>
                <w:szCs w:val="22"/>
              </w:rPr>
              <w:t>Ch/Insp</w:t>
            </w:r>
            <w:proofErr w:type="spellEnd"/>
            <w:r w:rsidRPr="00697746">
              <w:rPr>
                <w:sz w:val="22"/>
                <w:szCs w:val="22"/>
              </w:rPr>
              <w:t xml:space="preserve"> Ian </w:t>
            </w:r>
            <w:proofErr w:type="spellStart"/>
            <w:r w:rsidRPr="00697746">
              <w:rPr>
                <w:sz w:val="22"/>
                <w:szCs w:val="22"/>
              </w:rPr>
              <w:t>Gennery</w:t>
            </w:r>
            <w:proofErr w:type="spellEnd"/>
            <w:r w:rsidRPr="00697746">
              <w:rPr>
                <w:sz w:val="22"/>
                <w:szCs w:val="22"/>
              </w:rPr>
              <w:t xml:space="preserve"> (EP) have carried out scoping work to identify areas of existing alignment and areas of potential alignment to move towards the joint delivery of community safety activity</w:t>
            </w:r>
          </w:p>
          <w:p w:rsidR="00B40C12" w:rsidRPr="00B40C12" w:rsidRDefault="00B40C12" w:rsidP="00B40C12">
            <w:pPr>
              <w:ind w:left="720"/>
              <w:contextualSpacing/>
              <w:rPr>
                <w:sz w:val="22"/>
                <w:szCs w:val="22"/>
              </w:rPr>
            </w:pPr>
          </w:p>
          <w:p w:rsidR="00B40C12" w:rsidRPr="00B40C12" w:rsidRDefault="00B40C12" w:rsidP="00B40C12">
            <w:pPr>
              <w:numPr>
                <w:ilvl w:val="0"/>
                <w:numId w:val="31"/>
              </w:numPr>
              <w:contextualSpacing/>
              <w:rPr>
                <w:sz w:val="22"/>
                <w:szCs w:val="22"/>
              </w:rPr>
            </w:pPr>
            <w:r w:rsidRPr="00B40C12">
              <w:rPr>
                <w:sz w:val="22"/>
                <w:szCs w:val="22"/>
              </w:rPr>
              <w:t xml:space="preserve">A next meeting will focus on plans for alignment of youth engagement </w:t>
            </w:r>
          </w:p>
          <w:p w:rsidR="00B40C12" w:rsidRPr="00B40C12" w:rsidRDefault="00B40C12" w:rsidP="00B40C12">
            <w:pPr>
              <w:rPr>
                <w:b/>
                <w:sz w:val="22"/>
                <w:szCs w:val="22"/>
              </w:rPr>
            </w:pPr>
          </w:p>
        </w:tc>
      </w:tr>
    </w:tbl>
    <w:p w:rsidR="00697746" w:rsidRDefault="00697746" w:rsidP="00B40C12">
      <w:pPr>
        <w:rPr>
          <w:rFonts w:eastAsiaTheme="minorHAnsi"/>
          <w:b/>
          <w:sz w:val="22"/>
          <w:szCs w:val="22"/>
        </w:rPr>
      </w:pPr>
    </w:p>
    <w:p w:rsidR="005D5D3B" w:rsidRDefault="005D5D3B" w:rsidP="00B40C12">
      <w:pPr>
        <w:rPr>
          <w:rFonts w:eastAsiaTheme="minorHAnsi"/>
          <w:b/>
          <w:sz w:val="22"/>
          <w:szCs w:val="22"/>
        </w:rPr>
      </w:pPr>
    </w:p>
    <w:p w:rsidR="005D5D3B" w:rsidRDefault="005D5D3B" w:rsidP="00B40C12">
      <w:pPr>
        <w:rPr>
          <w:rFonts w:eastAsiaTheme="minorHAnsi"/>
          <w:b/>
          <w:sz w:val="22"/>
          <w:szCs w:val="22"/>
        </w:rPr>
      </w:pPr>
    </w:p>
    <w:p w:rsidR="00B40C12" w:rsidRPr="00B40C12" w:rsidRDefault="00B40C12" w:rsidP="00B40C12">
      <w:pPr>
        <w:rPr>
          <w:rFonts w:eastAsiaTheme="minorHAnsi"/>
          <w:b/>
          <w:sz w:val="22"/>
          <w:szCs w:val="22"/>
        </w:rPr>
      </w:pPr>
      <w:r>
        <w:rPr>
          <w:rFonts w:eastAsiaTheme="minorHAnsi"/>
          <w:b/>
          <w:sz w:val="22"/>
          <w:szCs w:val="22"/>
        </w:rPr>
        <w:t>1</w:t>
      </w:r>
      <w:r w:rsidRPr="00B40C12">
        <w:rPr>
          <w:rFonts w:eastAsiaTheme="minorHAnsi"/>
          <w:b/>
          <w:sz w:val="22"/>
          <w:szCs w:val="22"/>
        </w:rPr>
        <w:t>.2: Key milestone 2</w:t>
      </w:r>
    </w:p>
    <w:p w:rsidR="00B40C12" w:rsidRPr="00B40C12" w:rsidRDefault="00B40C12" w:rsidP="00B40C12">
      <w:pPr>
        <w:rPr>
          <w:rFonts w:eastAsiaTheme="minorHAnsi"/>
          <w:b/>
          <w:sz w:val="22"/>
          <w:szCs w:val="22"/>
        </w:rPr>
      </w:pPr>
    </w:p>
    <w:tbl>
      <w:tblPr>
        <w:tblStyle w:val="TableGrid11"/>
        <w:tblW w:w="0" w:type="auto"/>
        <w:tblLook w:val="04A0" w:firstRow="1" w:lastRow="0" w:firstColumn="1" w:lastColumn="0" w:noHBand="0" w:noVBand="1"/>
      </w:tblPr>
      <w:tblGrid>
        <w:gridCol w:w="1413"/>
        <w:gridCol w:w="7603"/>
      </w:tblGrid>
      <w:tr w:rsidR="00B40C12" w:rsidRPr="00B40C12" w:rsidTr="003B260A">
        <w:tc>
          <w:tcPr>
            <w:tcW w:w="9016" w:type="dxa"/>
            <w:gridSpan w:val="2"/>
          </w:tcPr>
          <w:p w:rsidR="00B40C12" w:rsidRPr="00B40C12" w:rsidRDefault="00B40C12" w:rsidP="00B40C12">
            <w:pPr>
              <w:rPr>
                <w:b/>
                <w:color w:val="000000"/>
                <w:sz w:val="22"/>
                <w:szCs w:val="22"/>
                <w:lang w:eastAsia="en-GB"/>
              </w:rPr>
            </w:pPr>
            <w:r w:rsidRPr="00B40C12">
              <w:rPr>
                <w:b/>
                <w:color w:val="000000"/>
                <w:sz w:val="22"/>
                <w:szCs w:val="22"/>
                <w:lang w:eastAsia="en-GB"/>
              </w:rPr>
              <w:t>Key Milestone 2: Designated (local) senior fire officer engaged in Community Safety Partnership meetings.</w:t>
            </w:r>
          </w:p>
          <w:p w:rsidR="00B40C12" w:rsidRPr="00B40C12" w:rsidRDefault="00B40C12" w:rsidP="00B40C12">
            <w:pPr>
              <w:rPr>
                <w:b/>
                <w:sz w:val="22"/>
                <w:szCs w:val="22"/>
              </w:rPr>
            </w:pPr>
          </w:p>
        </w:tc>
      </w:tr>
      <w:tr w:rsidR="00B40C12" w:rsidRPr="00B40C12" w:rsidTr="003B260A">
        <w:tc>
          <w:tcPr>
            <w:tcW w:w="1413" w:type="dxa"/>
          </w:tcPr>
          <w:p w:rsidR="00B40C12" w:rsidRPr="00B40C12" w:rsidRDefault="00B40C12" w:rsidP="00B40C12">
            <w:pPr>
              <w:rPr>
                <w:sz w:val="22"/>
                <w:szCs w:val="22"/>
              </w:rPr>
            </w:pPr>
          </w:p>
          <w:p w:rsidR="00B40C12" w:rsidRPr="00B40C12" w:rsidRDefault="00D001DF" w:rsidP="00B40C12">
            <w:pPr>
              <w:rPr>
                <w:sz w:val="22"/>
                <w:szCs w:val="22"/>
              </w:rPr>
            </w:pPr>
            <w:r>
              <w:rPr>
                <w:sz w:val="22"/>
                <w:szCs w:val="22"/>
              </w:rPr>
              <w:t>Activity to date</w:t>
            </w:r>
          </w:p>
          <w:p w:rsidR="00B40C12" w:rsidRPr="00B40C12" w:rsidRDefault="00B40C12" w:rsidP="00B40C12">
            <w:pPr>
              <w:rPr>
                <w:sz w:val="22"/>
                <w:szCs w:val="22"/>
              </w:rPr>
            </w:pPr>
          </w:p>
        </w:tc>
        <w:tc>
          <w:tcPr>
            <w:tcW w:w="7603" w:type="dxa"/>
          </w:tcPr>
          <w:p w:rsidR="00B40C12" w:rsidRPr="00B40C12" w:rsidRDefault="00B40C12" w:rsidP="00B40C12">
            <w:pPr>
              <w:rPr>
                <w:sz w:val="22"/>
                <w:szCs w:val="22"/>
              </w:rPr>
            </w:pPr>
          </w:p>
          <w:p w:rsidR="00B40C12" w:rsidRDefault="00B40C12" w:rsidP="00A84DFE">
            <w:pPr>
              <w:numPr>
                <w:ilvl w:val="0"/>
                <w:numId w:val="32"/>
              </w:numPr>
              <w:contextualSpacing/>
              <w:rPr>
                <w:sz w:val="22"/>
                <w:szCs w:val="22"/>
              </w:rPr>
            </w:pPr>
            <w:r w:rsidRPr="00D001DF">
              <w:rPr>
                <w:sz w:val="22"/>
                <w:szCs w:val="22"/>
              </w:rPr>
              <w:t xml:space="preserve">A communication has been sent to each CSP confirming the name, role and contact details of the local senior officer who will attend </w:t>
            </w:r>
          </w:p>
          <w:p w:rsidR="001F33B0" w:rsidRPr="00D001DF" w:rsidRDefault="001F33B0" w:rsidP="00D001DF">
            <w:pPr>
              <w:ind w:left="720"/>
              <w:contextualSpacing/>
              <w:rPr>
                <w:sz w:val="22"/>
                <w:szCs w:val="22"/>
              </w:rPr>
            </w:pPr>
          </w:p>
          <w:p w:rsidR="00B40C12" w:rsidRPr="00B40C12" w:rsidRDefault="00B40C12" w:rsidP="00B40C12">
            <w:pPr>
              <w:numPr>
                <w:ilvl w:val="0"/>
                <w:numId w:val="32"/>
              </w:numPr>
              <w:contextualSpacing/>
              <w:rPr>
                <w:color w:val="000000" w:themeColor="text1"/>
                <w:sz w:val="22"/>
                <w:szCs w:val="22"/>
              </w:rPr>
            </w:pPr>
            <w:r w:rsidRPr="00B40C12">
              <w:rPr>
                <w:sz w:val="22"/>
                <w:szCs w:val="22"/>
              </w:rPr>
              <w:t xml:space="preserve">The majority of officers </w:t>
            </w:r>
            <w:r w:rsidRPr="00B40C12">
              <w:rPr>
                <w:color w:val="000000" w:themeColor="text1"/>
                <w:sz w:val="22"/>
                <w:szCs w:val="22"/>
              </w:rPr>
              <w:t>have already engaged with t</w:t>
            </w:r>
            <w:r w:rsidR="00B04138">
              <w:rPr>
                <w:color w:val="000000" w:themeColor="text1"/>
                <w:sz w:val="22"/>
                <w:szCs w:val="22"/>
              </w:rPr>
              <w:t>heir designated CSPs (Appendix 2</w:t>
            </w:r>
            <w:r w:rsidRPr="00B40C12">
              <w:rPr>
                <w:color w:val="000000" w:themeColor="text1"/>
                <w:sz w:val="22"/>
                <w:szCs w:val="22"/>
              </w:rPr>
              <w:t>: Community Safety Partnership contact and engagement)</w:t>
            </w:r>
          </w:p>
          <w:p w:rsidR="00B40C12" w:rsidRPr="00B40C12" w:rsidRDefault="00B40C12" w:rsidP="00B40C12">
            <w:pPr>
              <w:rPr>
                <w:color w:val="000000" w:themeColor="text1"/>
                <w:sz w:val="22"/>
                <w:szCs w:val="22"/>
              </w:rPr>
            </w:pPr>
          </w:p>
        </w:tc>
      </w:tr>
      <w:tr w:rsidR="00B40C12" w:rsidRPr="00B40C12" w:rsidTr="003B260A">
        <w:tc>
          <w:tcPr>
            <w:tcW w:w="1413" w:type="dxa"/>
          </w:tcPr>
          <w:p w:rsidR="00B40C12" w:rsidRPr="00B40C12" w:rsidRDefault="00B40C12" w:rsidP="00B40C12">
            <w:pPr>
              <w:rPr>
                <w:sz w:val="22"/>
                <w:szCs w:val="22"/>
              </w:rPr>
            </w:pPr>
          </w:p>
          <w:p w:rsidR="00B40C12" w:rsidRPr="00B40C12" w:rsidRDefault="001F33B0" w:rsidP="00B40C12">
            <w:pPr>
              <w:rPr>
                <w:sz w:val="22"/>
                <w:szCs w:val="22"/>
              </w:rPr>
            </w:pPr>
            <w:r>
              <w:rPr>
                <w:sz w:val="22"/>
                <w:szCs w:val="22"/>
              </w:rPr>
              <w:t>Next steps</w:t>
            </w:r>
          </w:p>
          <w:p w:rsidR="00B40C12" w:rsidRPr="00B40C12" w:rsidRDefault="00B40C12" w:rsidP="00B40C12">
            <w:pPr>
              <w:rPr>
                <w:sz w:val="22"/>
                <w:szCs w:val="22"/>
              </w:rPr>
            </w:pPr>
          </w:p>
        </w:tc>
        <w:tc>
          <w:tcPr>
            <w:tcW w:w="7603" w:type="dxa"/>
          </w:tcPr>
          <w:p w:rsidR="00B40C12" w:rsidRPr="00B40C12" w:rsidRDefault="00B40C12" w:rsidP="00B40C12">
            <w:pPr>
              <w:rPr>
                <w:sz w:val="22"/>
                <w:szCs w:val="22"/>
              </w:rPr>
            </w:pPr>
          </w:p>
          <w:p w:rsidR="00B40C12" w:rsidRPr="00B40C12" w:rsidRDefault="00B40C12" w:rsidP="00B40C12">
            <w:pPr>
              <w:numPr>
                <w:ilvl w:val="0"/>
                <w:numId w:val="33"/>
              </w:numPr>
              <w:contextualSpacing/>
              <w:rPr>
                <w:sz w:val="22"/>
                <w:szCs w:val="22"/>
              </w:rPr>
            </w:pPr>
            <w:r w:rsidRPr="00B40C12">
              <w:rPr>
                <w:sz w:val="22"/>
                <w:szCs w:val="22"/>
              </w:rPr>
              <w:t>Local, senior ECFRS officers or their deputies will be attending the 14 Community Safety Partnerships From April 2019</w:t>
            </w:r>
          </w:p>
        </w:tc>
      </w:tr>
      <w:tr w:rsidR="00B40C12" w:rsidRPr="00B40C12" w:rsidTr="003B260A">
        <w:tc>
          <w:tcPr>
            <w:tcW w:w="1413" w:type="dxa"/>
          </w:tcPr>
          <w:p w:rsidR="00B40C12" w:rsidRPr="00B40C12" w:rsidRDefault="00B40C12" w:rsidP="00B40C12">
            <w:pPr>
              <w:rPr>
                <w:sz w:val="22"/>
                <w:szCs w:val="22"/>
              </w:rPr>
            </w:pPr>
          </w:p>
          <w:p w:rsidR="00B40C12" w:rsidRPr="00B40C12" w:rsidRDefault="00B40C12" w:rsidP="00B40C12">
            <w:pPr>
              <w:rPr>
                <w:sz w:val="22"/>
                <w:szCs w:val="22"/>
              </w:rPr>
            </w:pPr>
            <w:r w:rsidRPr="00B40C12">
              <w:rPr>
                <w:sz w:val="22"/>
                <w:szCs w:val="22"/>
              </w:rPr>
              <w:t>Additional Information</w:t>
            </w:r>
          </w:p>
          <w:p w:rsidR="00B40C12" w:rsidRPr="00B40C12" w:rsidRDefault="00B40C12" w:rsidP="00B40C12">
            <w:pPr>
              <w:rPr>
                <w:sz w:val="22"/>
                <w:szCs w:val="22"/>
              </w:rPr>
            </w:pPr>
          </w:p>
        </w:tc>
        <w:tc>
          <w:tcPr>
            <w:tcW w:w="7603" w:type="dxa"/>
          </w:tcPr>
          <w:p w:rsidR="00B40C12" w:rsidRPr="00B40C12" w:rsidRDefault="00B40C12" w:rsidP="00B40C12">
            <w:pPr>
              <w:rPr>
                <w:b/>
                <w:sz w:val="22"/>
                <w:szCs w:val="22"/>
              </w:rPr>
            </w:pPr>
          </w:p>
          <w:p w:rsidR="00B40C12" w:rsidRPr="00B40C12" w:rsidRDefault="00B40C12" w:rsidP="00B40C12">
            <w:pPr>
              <w:numPr>
                <w:ilvl w:val="0"/>
                <w:numId w:val="33"/>
              </w:numPr>
              <w:contextualSpacing/>
              <w:rPr>
                <w:sz w:val="22"/>
                <w:szCs w:val="22"/>
              </w:rPr>
            </w:pPr>
            <w:r w:rsidRPr="00B40C12">
              <w:rPr>
                <w:sz w:val="22"/>
                <w:szCs w:val="22"/>
              </w:rPr>
              <w:t>Local discussions have taken place to ensure role maps are aligned to tasking in this area and to monitor continued attendance at meetings by Head of Delivery</w:t>
            </w:r>
          </w:p>
          <w:p w:rsidR="00B40C12" w:rsidRPr="00B40C12" w:rsidRDefault="00B40C12" w:rsidP="00B40C12">
            <w:pPr>
              <w:rPr>
                <w:b/>
                <w:sz w:val="22"/>
                <w:szCs w:val="22"/>
              </w:rPr>
            </w:pPr>
          </w:p>
          <w:p w:rsidR="00B40C12" w:rsidRPr="00B40C12" w:rsidRDefault="00B40C12" w:rsidP="00B40C12">
            <w:pPr>
              <w:rPr>
                <w:b/>
                <w:sz w:val="22"/>
                <w:szCs w:val="22"/>
              </w:rPr>
            </w:pPr>
          </w:p>
        </w:tc>
      </w:tr>
    </w:tbl>
    <w:p w:rsidR="00B40C12" w:rsidRPr="00B40C12" w:rsidRDefault="00B40C12" w:rsidP="00B40C12">
      <w:pPr>
        <w:rPr>
          <w:rFonts w:eastAsiaTheme="minorHAnsi"/>
          <w:b/>
          <w:sz w:val="22"/>
          <w:szCs w:val="22"/>
        </w:rPr>
      </w:pPr>
    </w:p>
    <w:p w:rsidR="00697746" w:rsidRDefault="00697746" w:rsidP="00B40C12">
      <w:pPr>
        <w:rPr>
          <w:rFonts w:eastAsiaTheme="minorHAnsi"/>
          <w:b/>
          <w:sz w:val="22"/>
          <w:szCs w:val="22"/>
        </w:rPr>
      </w:pPr>
    </w:p>
    <w:p w:rsidR="00697746" w:rsidRDefault="00697746" w:rsidP="00B40C12">
      <w:pPr>
        <w:rPr>
          <w:rFonts w:eastAsiaTheme="minorHAnsi"/>
          <w:b/>
          <w:sz w:val="22"/>
          <w:szCs w:val="22"/>
        </w:rPr>
      </w:pPr>
    </w:p>
    <w:p w:rsidR="00B40C12" w:rsidRPr="00B40C12" w:rsidRDefault="00B40C12" w:rsidP="00B40C12">
      <w:pPr>
        <w:rPr>
          <w:rFonts w:eastAsiaTheme="minorHAnsi"/>
          <w:b/>
          <w:sz w:val="22"/>
          <w:szCs w:val="22"/>
        </w:rPr>
      </w:pPr>
      <w:r>
        <w:rPr>
          <w:rFonts w:eastAsiaTheme="minorHAnsi"/>
          <w:b/>
          <w:sz w:val="22"/>
          <w:szCs w:val="22"/>
        </w:rPr>
        <w:t>1.3</w:t>
      </w:r>
      <w:r w:rsidRPr="00B40C12">
        <w:rPr>
          <w:rFonts w:eastAsiaTheme="minorHAnsi"/>
          <w:b/>
          <w:sz w:val="22"/>
          <w:szCs w:val="22"/>
        </w:rPr>
        <w:t>: Key milestone 3</w:t>
      </w:r>
    </w:p>
    <w:p w:rsidR="00B40C12" w:rsidRPr="00B40C12" w:rsidRDefault="00B40C12" w:rsidP="00B40C12">
      <w:pPr>
        <w:rPr>
          <w:rFonts w:eastAsiaTheme="minorHAnsi"/>
          <w:b/>
          <w:sz w:val="22"/>
          <w:szCs w:val="22"/>
        </w:rPr>
      </w:pPr>
    </w:p>
    <w:tbl>
      <w:tblPr>
        <w:tblStyle w:val="TableGrid11"/>
        <w:tblW w:w="0" w:type="auto"/>
        <w:tblLook w:val="04A0" w:firstRow="1" w:lastRow="0" w:firstColumn="1" w:lastColumn="0" w:noHBand="0" w:noVBand="1"/>
      </w:tblPr>
      <w:tblGrid>
        <w:gridCol w:w="1413"/>
        <w:gridCol w:w="7603"/>
      </w:tblGrid>
      <w:tr w:rsidR="00B40C12" w:rsidRPr="00B40C12" w:rsidTr="00697746">
        <w:trPr>
          <w:tblHeader/>
        </w:trPr>
        <w:tc>
          <w:tcPr>
            <w:tcW w:w="9016" w:type="dxa"/>
            <w:gridSpan w:val="2"/>
          </w:tcPr>
          <w:p w:rsidR="00B40C12" w:rsidRPr="00B40C12" w:rsidRDefault="00B40C12" w:rsidP="00B40C12">
            <w:pPr>
              <w:rPr>
                <w:b/>
                <w:color w:val="000000"/>
                <w:sz w:val="22"/>
                <w:szCs w:val="22"/>
                <w:lang w:eastAsia="en-GB"/>
              </w:rPr>
            </w:pPr>
          </w:p>
          <w:p w:rsidR="00B40C12" w:rsidRPr="00B40C12" w:rsidRDefault="00B40C12" w:rsidP="00B40C12">
            <w:pPr>
              <w:rPr>
                <w:b/>
                <w:color w:val="000000"/>
                <w:sz w:val="22"/>
                <w:szCs w:val="22"/>
                <w:lang w:eastAsia="en-GB"/>
              </w:rPr>
            </w:pPr>
            <w:r w:rsidRPr="00B40C12">
              <w:rPr>
                <w:b/>
                <w:color w:val="000000"/>
                <w:sz w:val="22"/>
                <w:szCs w:val="22"/>
                <w:lang w:eastAsia="en-GB"/>
              </w:rPr>
              <w:t>Key milestone 3: Physical co-location of teams (EP, ECFRS and partner resources at local Hubs)</w:t>
            </w:r>
          </w:p>
          <w:p w:rsidR="00B40C12" w:rsidRPr="00B40C12" w:rsidRDefault="00B40C12" w:rsidP="00B40C12">
            <w:pPr>
              <w:rPr>
                <w:b/>
                <w:sz w:val="22"/>
                <w:szCs w:val="22"/>
              </w:rPr>
            </w:pPr>
          </w:p>
        </w:tc>
      </w:tr>
      <w:tr w:rsidR="00B40C12" w:rsidRPr="00B40C12" w:rsidTr="003B260A">
        <w:tc>
          <w:tcPr>
            <w:tcW w:w="1413" w:type="dxa"/>
          </w:tcPr>
          <w:p w:rsidR="00B40C12" w:rsidRPr="00B40C12" w:rsidRDefault="00B40C12" w:rsidP="00B40C12">
            <w:pPr>
              <w:rPr>
                <w:sz w:val="22"/>
                <w:szCs w:val="22"/>
              </w:rPr>
            </w:pPr>
          </w:p>
          <w:p w:rsidR="00B40C12" w:rsidRPr="00B40C12" w:rsidRDefault="001F33B0" w:rsidP="00B40C12">
            <w:pPr>
              <w:rPr>
                <w:sz w:val="22"/>
                <w:szCs w:val="22"/>
              </w:rPr>
            </w:pPr>
            <w:r>
              <w:rPr>
                <w:sz w:val="22"/>
                <w:szCs w:val="22"/>
              </w:rPr>
              <w:t>Activity to date</w:t>
            </w:r>
          </w:p>
          <w:p w:rsidR="00B40C12" w:rsidRPr="00B40C12" w:rsidRDefault="00B40C12" w:rsidP="00B40C12">
            <w:pPr>
              <w:rPr>
                <w:sz w:val="22"/>
                <w:szCs w:val="22"/>
              </w:rPr>
            </w:pPr>
          </w:p>
        </w:tc>
        <w:tc>
          <w:tcPr>
            <w:tcW w:w="7603" w:type="dxa"/>
          </w:tcPr>
          <w:p w:rsidR="00B40C12" w:rsidRPr="00B40C12" w:rsidRDefault="00B40C12" w:rsidP="00B40C12">
            <w:pPr>
              <w:rPr>
                <w:sz w:val="22"/>
                <w:szCs w:val="22"/>
              </w:rPr>
            </w:pPr>
          </w:p>
          <w:p w:rsidR="00B40C12" w:rsidRPr="00B40C12" w:rsidRDefault="00B40C12" w:rsidP="00B40C12">
            <w:pPr>
              <w:numPr>
                <w:ilvl w:val="0"/>
                <w:numId w:val="35"/>
              </w:numPr>
              <w:contextualSpacing/>
              <w:rPr>
                <w:sz w:val="22"/>
                <w:szCs w:val="22"/>
              </w:rPr>
            </w:pPr>
            <w:r w:rsidRPr="00B40C12">
              <w:rPr>
                <w:sz w:val="22"/>
                <w:szCs w:val="22"/>
              </w:rPr>
              <w:t>2 x Community Risk Manager officers (CRM) at Station Manager level appointed for North and South Essex</w:t>
            </w:r>
          </w:p>
          <w:p w:rsidR="00B40C12" w:rsidRPr="00B40C12" w:rsidRDefault="00B40C12" w:rsidP="00B40C12">
            <w:pPr>
              <w:rPr>
                <w:sz w:val="22"/>
                <w:szCs w:val="22"/>
              </w:rPr>
            </w:pPr>
            <w:r w:rsidRPr="00B40C12">
              <w:rPr>
                <w:sz w:val="22"/>
                <w:szCs w:val="22"/>
              </w:rPr>
              <w:t xml:space="preserve">               -1 post has been filled</w:t>
            </w:r>
          </w:p>
          <w:p w:rsidR="00B40C12" w:rsidRPr="00B40C12" w:rsidRDefault="00B40C12" w:rsidP="00B40C12">
            <w:pPr>
              <w:rPr>
                <w:sz w:val="22"/>
                <w:szCs w:val="22"/>
              </w:rPr>
            </w:pPr>
            <w:r w:rsidRPr="00B40C12">
              <w:rPr>
                <w:sz w:val="22"/>
                <w:szCs w:val="22"/>
              </w:rPr>
              <w:t xml:space="preserve">               -1 post currently advertised but will be filled by 01.03.19 </w:t>
            </w:r>
          </w:p>
          <w:p w:rsidR="00B40C12" w:rsidRPr="00B40C12" w:rsidRDefault="00B40C12" w:rsidP="00B40C12">
            <w:pPr>
              <w:rPr>
                <w:sz w:val="22"/>
                <w:szCs w:val="22"/>
              </w:rPr>
            </w:pPr>
            <w:r w:rsidRPr="00B40C12">
              <w:rPr>
                <w:sz w:val="22"/>
                <w:szCs w:val="22"/>
              </w:rPr>
              <w:t xml:space="preserve">                 CRMs will oversee engagement and attendance at hubs.</w:t>
            </w:r>
          </w:p>
          <w:p w:rsidR="00B40C12" w:rsidRPr="00B40C12" w:rsidRDefault="00B40C12" w:rsidP="00B40C12">
            <w:pPr>
              <w:rPr>
                <w:sz w:val="22"/>
                <w:szCs w:val="22"/>
              </w:rPr>
            </w:pPr>
          </w:p>
          <w:p w:rsidR="00B40C12" w:rsidRPr="00B40C12" w:rsidRDefault="00B40C12" w:rsidP="00B40C12">
            <w:pPr>
              <w:numPr>
                <w:ilvl w:val="0"/>
                <w:numId w:val="36"/>
              </w:numPr>
              <w:contextualSpacing/>
              <w:rPr>
                <w:sz w:val="22"/>
                <w:szCs w:val="22"/>
              </w:rPr>
            </w:pPr>
            <w:r w:rsidRPr="00B40C12">
              <w:rPr>
                <w:sz w:val="22"/>
                <w:szCs w:val="22"/>
              </w:rPr>
              <w:t>8 x existing Community Support Officer roles to transfer from CFS department to Delivery function under management of the Community Risk Managers before 01.04.19</w:t>
            </w:r>
          </w:p>
          <w:p w:rsidR="00B40C12" w:rsidRPr="00B40C12" w:rsidRDefault="00B40C12" w:rsidP="00B40C12">
            <w:pPr>
              <w:rPr>
                <w:color w:val="FF0000"/>
                <w:sz w:val="22"/>
                <w:szCs w:val="22"/>
              </w:rPr>
            </w:pPr>
          </w:p>
          <w:p w:rsidR="00B40C12" w:rsidRPr="00B40C12" w:rsidRDefault="00B40C12" w:rsidP="00B40C12">
            <w:pPr>
              <w:numPr>
                <w:ilvl w:val="0"/>
                <w:numId w:val="37"/>
              </w:numPr>
              <w:contextualSpacing/>
              <w:rPr>
                <w:sz w:val="22"/>
                <w:szCs w:val="22"/>
              </w:rPr>
            </w:pPr>
            <w:r w:rsidRPr="00B40C12">
              <w:rPr>
                <w:sz w:val="22"/>
                <w:szCs w:val="22"/>
              </w:rPr>
              <w:t>4 x existing Community Builder roles will transfer to Delivery function under management of the Community Risk managers – however will be engaging with hubs from 01.03.19</w:t>
            </w:r>
          </w:p>
          <w:p w:rsidR="00B40C12" w:rsidRPr="00B40C12" w:rsidRDefault="00B40C12" w:rsidP="00B40C12">
            <w:pPr>
              <w:rPr>
                <w:sz w:val="22"/>
                <w:szCs w:val="22"/>
              </w:rPr>
            </w:pPr>
          </w:p>
          <w:p w:rsidR="00B40C12" w:rsidRPr="00B40C12" w:rsidRDefault="00B40C12" w:rsidP="00B40C12">
            <w:pPr>
              <w:ind w:left="720"/>
              <w:rPr>
                <w:sz w:val="22"/>
                <w:szCs w:val="22"/>
              </w:rPr>
            </w:pPr>
          </w:p>
          <w:p w:rsidR="00B40C12" w:rsidRPr="00B40C12" w:rsidRDefault="00B40C12" w:rsidP="00B40C12">
            <w:pPr>
              <w:rPr>
                <w:sz w:val="22"/>
                <w:szCs w:val="22"/>
              </w:rPr>
            </w:pPr>
          </w:p>
          <w:p w:rsidR="00B40C12" w:rsidRPr="00B40C12" w:rsidRDefault="00B40C12" w:rsidP="00B40C12">
            <w:pPr>
              <w:rPr>
                <w:sz w:val="22"/>
                <w:szCs w:val="22"/>
              </w:rPr>
            </w:pPr>
            <w:r w:rsidRPr="00B40C12">
              <w:rPr>
                <w:sz w:val="22"/>
                <w:szCs w:val="22"/>
              </w:rPr>
              <w:t xml:space="preserve">(Appendix C: </w:t>
            </w:r>
            <w:r w:rsidRPr="00B40C12">
              <w:rPr>
                <w:b/>
                <w:sz w:val="22"/>
                <w:szCs w:val="22"/>
              </w:rPr>
              <w:t xml:space="preserve">: </w:t>
            </w:r>
            <w:r w:rsidRPr="00B40C12">
              <w:rPr>
                <w:sz w:val="22"/>
                <w:szCs w:val="22"/>
              </w:rPr>
              <w:t>Resourcing – Hubs and CFS activity)</w:t>
            </w:r>
          </w:p>
          <w:p w:rsidR="00B40C12" w:rsidRPr="00B40C12" w:rsidRDefault="00B40C12" w:rsidP="00B40C12">
            <w:pPr>
              <w:rPr>
                <w:sz w:val="22"/>
                <w:szCs w:val="22"/>
              </w:rPr>
            </w:pPr>
          </w:p>
          <w:p w:rsidR="00B40C12" w:rsidRDefault="00B40C12" w:rsidP="00B40C12">
            <w:pPr>
              <w:rPr>
                <w:color w:val="FF0000"/>
                <w:sz w:val="22"/>
                <w:szCs w:val="22"/>
              </w:rPr>
            </w:pPr>
            <w:r w:rsidRPr="00B40C12">
              <w:rPr>
                <w:color w:val="FF0000"/>
                <w:sz w:val="22"/>
                <w:szCs w:val="22"/>
              </w:rPr>
              <w:t>-</w:t>
            </w:r>
          </w:p>
          <w:p w:rsidR="00697746" w:rsidRDefault="00697746" w:rsidP="00B40C12">
            <w:pPr>
              <w:rPr>
                <w:color w:val="FF0000"/>
                <w:sz w:val="22"/>
                <w:szCs w:val="22"/>
              </w:rPr>
            </w:pPr>
          </w:p>
          <w:p w:rsidR="00697746" w:rsidRDefault="00697746" w:rsidP="00B40C12">
            <w:pPr>
              <w:rPr>
                <w:color w:val="FF0000"/>
                <w:sz w:val="22"/>
                <w:szCs w:val="22"/>
              </w:rPr>
            </w:pPr>
          </w:p>
          <w:p w:rsidR="00697746" w:rsidRDefault="00697746" w:rsidP="00B40C12">
            <w:pPr>
              <w:rPr>
                <w:color w:val="FF0000"/>
                <w:sz w:val="22"/>
                <w:szCs w:val="22"/>
              </w:rPr>
            </w:pPr>
          </w:p>
          <w:p w:rsidR="00697746" w:rsidRPr="00B40C12" w:rsidRDefault="00697746" w:rsidP="00B40C12">
            <w:pPr>
              <w:rPr>
                <w:color w:val="FF0000"/>
                <w:sz w:val="22"/>
                <w:szCs w:val="22"/>
              </w:rPr>
            </w:pPr>
          </w:p>
          <w:p w:rsidR="00B40C12" w:rsidRPr="00B40C12" w:rsidRDefault="00B40C12" w:rsidP="00B40C12">
            <w:pPr>
              <w:rPr>
                <w:b/>
                <w:sz w:val="22"/>
                <w:szCs w:val="22"/>
              </w:rPr>
            </w:pPr>
          </w:p>
        </w:tc>
      </w:tr>
      <w:tr w:rsidR="00B40C12" w:rsidRPr="00B40C12" w:rsidTr="003B260A">
        <w:tc>
          <w:tcPr>
            <w:tcW w:w="1413" w:type="dxa"/>
          </w:tcPr>
          <w:p w:rsidR="00B40C12" w:rsidRPr="00B40C12" w:rsidRDefault="00B40C12" w:rsidP="00B40C12">
            <w:pPr>
              <w:rPr>
                <w:sz w:val="22"/>
                <w:szCs w:val="22"/>
              </w:rPr>
            </w:pPr>
          </w:p>
          <w:p w:rsidR="00697746" w:rsidRDefault="00697746" w:rsidP="00B40C12">
            <w:pPr>
              <w:rPr>
                <w:sz w:val="22"/>
                <w:szCs w:val="22"/>
              </w:rPr>
            </w:pPr>
            <w:r>
              <w:rPr>
                <w:sz w:val="22"/>
                <w:szCs w:val="22"/>
              </w:rPr>
              <w:t>(continued)</w:t>
            </w:r>
          </w:p>
          <w:p w:rsidR="00697746" w:rsidRDefault="00697746" w:rsidP="00B40C12">
            <w:pPr>
              <w:rPr>
                <w:sz w:val="22"/>
                <w:szCs w:val="22"/>
              </w:rPr>
            </w:pPr>
          </w:p>
          <w:p w:rsidR="00B40C12" w:rsidRPr="00B40C12" w:rsidRDefault="001F33B0" w:rsidP="00B40C12">
            <w:pPr>
              <w:rPr>
                <w:sz w:val="22"/>
                <w:szCs w:val="22"/>
              </w:rPr>
            </w:pPr>
            <w:r>
              <w:rPr>
                <w:sz w:val="22"/>
                <w:szCs w:val="22"/>
              </w:rPr>
              <w:t xml:space="preserve">Next steps </w:t>
            </w:r>
          </w:p>
          <w:p w:rsidR="00B40C12" w:rsidRPr="00B40C12" w:rsidRDefault="00B40C12" w:rsidP="00B40C12">
            <w:pPr>
              <w:rPr>
                <w:sz w:val="22"/>
                <w:szCs w:val="22"/>
              </w:rPr>
            </w:pPr>
          </w:p>
        </w:tc>
        <w:tc>
          <w:tcPr>
            <w:tcW w:w="7603" w:type="dxa"/>
          </w:tcPr>
          <w:p w:rsidR="00B40C12" w:rsidRPr="00B40C12" w:rsidRDefault="00B40C12" w:rsidP="00B40C12">
            <w:pPr>
              <w:rPr>
                <w:sz w:val="22"/>
                <w:szCs w:val="22"/>
              </w:rPr>
            </w:pPr>
          </w:p>
          <w:p w:rsidR="00B40C12" w:rsidRPr="00B40C12" w:rsidRDefault="00B40C12" w:rsidP="00B40C12">
            <w:pPr>
              <w:numPr>
                <w:ilvl w:val="0"/>
                <w:numId w:val="37"/>
              </w:numPr>
              <w:contextualSpacing/>
              <w:rPr>
                <w:sz w:val="22"/>
                <w:szCs w:val="22"/>
              </w:rPr>
            </w:pPr>
            <w:r w:rsidRPr="00B40C12">
              <w:rPr>
                <w:sz w:val="22"/>
                <w:szCs w:val="22"/>
              </w:rPr>
              <w:t>Appointment to CRM (post 2) by 01.03.19</w:t>
            </w:r>
          </w:p>
          <w:p w:rsidR="00B40C12" w:rsidRPr="00B40C12" w:rsidRDefault="00B40C12" w:rsidP="00B40C12">
            <w:pPr>
              <w:rPr>
                <w:sz w:val="22"/>
                <w:szCs w:val="22"/>
              </w:rPr>
            </w:pPr>
          </w:p>
          <w:p w:rsidR="00B40C12" w:rsidRPr="00B40C12" w:rsidRDefault="00B40C12" w:rsidP="00B40C12">
            <w:pPr>
              <w:numPr>
                <w:ilvl w:val="0"/>
                <w:numId w:val="37"/>
              </w:numPr>
              <w:contextualSpacing/>
              <w:rPr>
                <w:sz w:val="22"/>
                <w:szCs w:val="22"/>
              </w:rPr>
            </w:pPr>
            <w:r w:rsidRPr="00B40C12">
              <w:rPr>
                <w:sz w:val="22"/>
                <w:szCs w:val="22"/>
              </w:rPr>
              <w:t>4 x Community Engagement roles at Watch Manager level - currently vacant - have transferred to Delivery function. Target recruitment date 01.04.19</w:t>
            </w:r>
          </w:p>
          <w:p w:rsidR="00B40C12" w:rsidRPr="00B40C12" w:rsidRDefault="00B40C12" w:rsidP="00B40C12">
            <w:pPr>
              <w:rPr>
                <w:sz w:val="22"/>
                <w:szCs w:val="22"/>
              </w:rPr>
            </w:pPr>
          </w:p>
          <w:p w:rsidR="00B40C12" w:rsidRPr="00B40C12" w:rsidRDefault="00B40C12" w:rsidP="00B40C12">
            <w:pPr>
              <w:numPr>
                <w:ilvl w:val="0"/>
                <w:numId w:val="37"/>
              </w:numPr>
              <w:contextualSpacing/>
              <w:rPr>
                <w:color w:val="000000" w:themeColor="text1"/>
                <w:sz w:val="22"/>
                <w:szCs w:val="22"/>
              </w:rPr>
            </w:pPr>
            <w:r w:rsidRPr="00B40C12">
              <w:rPr>
                <w:color w:val="000000" w:themeColor="text1"/>
                <w:sz w:val="22"/>
                <w:szCs w:val="22"/>
              </w:rPr>
              <w:t>4 Community Support officers (CSOs) transferred to delivery function to work as dedicated links with hubs before 01.04.19</w:t>
            </w:r>
          </w:p>
          <w:p w:rsidR="00B40C12" w:rsidRPr="00B40C12" w:rsidRDefault="00B40C12" w:rsidP="00B40C12">
            <w:pPr>
              <w:rPr>
                <w:sz w:val="22"/>
                <w:szCs w:val="22"/>
              </w:rPr>
            </w:pPr>
          </w:p>
          <w:p w:rsidR="00B40C12" w:rsidRPr="00B40C12" w:rsidRDefault="00B40C12" w:rsidP="00B40C12">
            <w:pPr>
              <w:rPr>
                <w:color w:val="FF0000"/>
                <w:sz w:val="22"/>
                <w:szCs w:val="22"/>
              </w:rPr>
            </w:pPr>
          </w:p>
        </w:tc>
      </w:tr>
      <w:tr w:rsidR="00B40C12" w:rsidRPr="00B40C12" w:rsidTr="003B260A">
        <w:tc>
          <w:tcPr>
            <w:tcW w:w="1413" w:type="dxa"/>
          </w:tcPr>
          <w:p w:rsidR="00B40C12" w:rsidRPr="00B40C12" w:rsidRDefault="00B40C12" w:rsidP="00B40C12">
            <w:pPr>
              <w:rPr>
                <w:b/>
                <w:sz w:val="22"/>
                <w:szCs w:val="22"/>
              </w:rPr>
            </w:pPr>
          </w:p>
          <w:p w:rsidR="00B40C12" w:rsidRPr="00B40C12" w:rsidRDefault="00B40C12" w:rsidP="00B40C12">
            <w:pPr>
              <w:rPr>
                <w:sz w:val="22"/>
                <w:szCs w:val="22"/>
              </w:rPr>
            </w:pPr>
            <w:r w:rsidRPr="00B40C12">
              <w:rPr>
                <w:sz w:val="22"/>
                <w:szCs w:val="22"/>
              </w:rPr>
              <w:t>Additional Information</w:t>
            </w:r>
          </w:p>
          <w:p w:rsidR="00B40C12" w:rsidRPr="00B40C12" w:rsidRDefault="00B40C12" w:rsidP="00B40C12">
            <w:pPr>
              <w:rPr>
                <w:b/>
                <w:sz w:val="22"/>
                <w:szCs w:val="22"/>
              </w:rPr>
            </w:pPr>
          </w:p>
        </w:tc>
        <w:tc>
          <w:tcPr>
            <w:tcW w:w="7603" w:type="dxa"/>
          </w:tcPr>
          <w:p w:rsidR="00B40C12" w:rsidRPr="00B40C12" w:rsidRDefault="00B40C12" w:rsidP="00B40C12">
            <w:pPr>
              <w:numPr>
                <w:ilvl w:val="0"/>
                <w:numId w:val="39"/>
              </w:numPr>
              <w:contextualSpacing/>
              <w:rPr>
                <w:color w:val="000000" w:themeColor="text1"/>
                <w:sz w:val="22"/>
                <w:szCs w:val="22"/>
              </w:rPr>
            </w:pPr>
            <w:r w:rsidRPr="00B40C12">
              <w:rPr>
                <w:color w:val="000000" w:themeColor="text1"/>
                <w:sz w:val="22"/>
                <w:szCs w:val="22"/>
              </w:rPr>
              <w:t>ECFRS are undergoing planned structural and resourcing changes to support ECFRS into CFS hubs.</w:t>
            </w:r>
          </w:p>
          <w:p w:rsidR="00B40C12" w:rsidRPr="00B40C12" w:rsidRDefault="00B40C12" w:rsidP="00B40C12">
            <w:pPr>
              <w:rPr>
                <w:b/>
                <w:color w:val="000000" w:themeColor="text1"/>
                <w:sz w:val="22"/>
                <w:szCs w:val="22"/>
              </w:rPr>
            </w:pPr>
          </w:p>
          <w:p w:rsidR="00B40C12" w:rsidRPr="00B40C12" w:rsidRDefault="00B40C12" w:rsidP="00B40C12">
            <w:pPr>
              <w:numPr>
                <w:ilvl w:val="0"/>
                <w:numId w:val="39"/>
              </w:numPr>
              <w:contextualSpacing/>
              <w:rPr>
                <w:sz w:val="22"/>
                <w:szCs w:val="22"/>
              </w:rPr>
            </w:pPr>
            <w:r w:rsidRPr="00B40C12">
              <w:rPr>
                <w:color w:val="000000" w:themeColor="text1"/>
                <w:sz w:val="22"/>
                <w:szCs w:val="22"/>
              </w:rPr>
              <w:t xml:space="preserve">Appendix C shows proposed resourcing. Work </w:t>
            </w:r>
            <w:r w:rsidRPr="00B40C12">
              <w:rPr>
                <w:sz w:val="22"/>
                <w:szCs w:val="22"/>
              </w:rPr>
              <w:t xml:space="preserve">is ongoing to plan engagement days. This work will be carried out by local officers in accordance with locally driven needs </w:t>
            </w:r>
          </w:p>
          <w:p w:rsidR="00B40C12" w:rsidRPr="00B40C12" w:rsidRDefault="00B40C12" w:rsidP="00B40C12">
            <w:pPr>
              <w:rPr>
                <w:b/>
                <w:sz w:val="22"/>
                <w:szCs w:val="22"/>
              </w:rPr>
            </w:pPr>
          </w:p>
          <w:p w:rsidR="00B40C12" w:rsidRPr="00B40C12" w:rsidRDefault="00B40C12" w:rsidP="00B40C12">
            <w:pPr>
              <w:numPr>
                <w:ilvl w:val="0"/>
                <w:numId w:val="38"/>
              </w:numPr>
              <w:contextualSpacing/>
              <w:rPr>
                <w:sz w:val="22"/>
                <w:szCs w:val="22"/>
              </w:rPr>
            </w:pPr>
            <w:r w:rsidRPr="00B40C12">
              <w:rPr>
                <w:sz w:val="22"/>
                <w:szCs w:val="22"/>
              </w:rPr>
              <w:t>Proposed 8 dedicated ECFRS staff to link into CFS hubs distributed across 4 ECFRS Groups (Appendix C).  Both Community Engagement Officers and Community Builder roles (as is) will engage with/attend hubs</w:t>
            </w:r>
          </w:p>
          <w:p w:rsidR="00B40C12" w:rsidRPr="00B40C12" w:rsidRDefault="00B40C12" w:rsidP="00B40C12">
            <w:pPr>
              <w:rPr>
                <w:sz w:val="22"/>
                <w:szCs w:val="22"/>
              </w:rPr>
            </w:pPr>
          </w:p>
          <w:p w:rsidR="00B40C12" w:rsidRPr="00B40C12" w:rsidRDefault="00B40C12" w:rsidP="00B40C12">
            <w:pPr>
              <w:numPr>
                <w:ilvl w:val="0"/>
                <w:numId w:val="38"/>
              </w:numPr>
              <w:contextualSpacing/>
              <w:rPr>
                <w:sz w:val="22"/>
                <w:szCs w:val="22"/>
              </w:rPr>
            </w:pPr>
            <w:r w:rsidRPr="00B40C12">
              <w:rPr>
                <w:sz w:val="22"/>
                <w:szCs w:val="22"/>
              </w:rPr>
              <w:t>Hubs attendance and engagement overseen by the Community Risk Manager roles (CRM) X2.</w:t>
            </w:r>
          </w:p>
          <w:p w:rsidR="00B40C12" w:rsidRPr="00B40C12" w:rsidRDefault="00B40C12" w:rsidP="00B40C12">
            <w:pPr>
              <w:rPr>
                <w:color w:val="FF0000"/>
                <w:sz w:val="22"/>
                <w:szCs w:val="22"/>
              </w:rPr>
            </w:pPr>
          </w:p>
        </w:tc>
      </w:tr>
    </w:tbl>
    <w:p w:rsidR="00B40C12" w:rsidRDefault="00B40C12"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1F33B0" w:rsidRDefault="001F33B0" w:rsidP="00B40C12">
      <w:pPr>
        <w:rPr>
          <w:rFonts w:eastAsiaTheme="minorHAnsi"/>
          <w:sz w:val="22"/>
          <w:szCs w:val="22"/>
        </w:rPr>
      </w:pPr>
    </w:p>
    <w:p w:rsidR="004B31A4" w:rsidRPr="004B31A4" w:rsidRDefault="004B31A4" w:rsidP="004B31A4">
      <w:pPr>
        <w:rPr>
          <w:rFonts w:eastAsiaTheme="minorHAnsi"/>
          <w:b/>
          <w:color w:val="000000" w:themeColor="text1"/>
          <w:sz w:val="22"/>
          <w:szCs w:val="22"/>
        </w:rPr>
      </w:pPr>
      <w:r>
        <w:rPr>
          <w:rFonts w:eastAsiaTheme="minorHAnsi"/>
          <w:b/>
          <w:sz w:val="22"/>
          <w:szCs w:val="22"/>
        </w:rPr>
        <w:t>Appendix 2</w:t>
      </w:r>
      <w:r w:rsidRPr="004B31A4">
        <w:rPr>
          <w:rFonts w:eastAsiaTheme="minorHAnsi"/>
          <w:b/>
          <w:sz w:val="22"/>
          <w:szCs w:val="22"/>
        </w:rPr>
        <w:t xml:space="preserve">: </w:t>
      </w:r>
      <w:r w:rsidRPr="004B31A4">
        <w:rPr>
          <w:rFonts w:eastAsiaTheme="minorHAnsi"/>
          <w:b/>
          <w:color w:val="000000" w:themeColor="text1"/>
          <w:sz w:val="22"/>
          <w:szCs w:val="22"/>
        </w:rPr>
        <w:t xml:space="preserve"> Community safety Partnership contact and engagement.</w:t>
      </w:r>
    </w:p>
    <w:p w:rsidR="00B40C12" w:rsidRDefault="00B40C12" w:rsidP="00FE16C7">
      <w:pPr>
        <w:rPr>
          <w:rFonts w:asciiTheme="majorHAnsi" w:hAnsiTheme="majorHAnsi"/>
          <w:b/>
        </w:rPr>
      </w:pPr>
    </w:p>
    <w:tbl>
      <w:tblPr>
        <w:tblW w:w="0" w:type="auto"/>
        <w:tblCellMar>
          <w:left w:w="0" w:type="dxa"/>
          <w:right w:w="0" w:type="dxa"/>
        </w:tblCellMar>
        <w:tblLook w:val="04A0" w:firstRow="1" w:lastRow="0" w:firstColumn="1" w:lastColumn="0" w:noHBand="0" w:noVBand="1"/>
      </w:tblPr>
      <w:tblGrid>
        <w:gridCol w:w="1975"/>
        <w:gridCol w:w="2121"/>
        <w:gridCol w:w="1848"/>
        <w:gridCol w:w="3062"/>
      </w:tblGrid>
      <w:tr w:rsidR="0095736A" w:rsidRPr="0095736A" w:rsidTr="003326EC">
        <w:trPr>
          <w:trHeight w:val="274"/>
        </w:trPr>
        <w:tc>
          <w:tcPr>
            <w:tcW w:w="1975"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95736A" w:rsidRPr="0095736A" w:rsidRDefault="0095736A" w:rsidP="0095736A">
            <w:pPr>
              <w:rPr>
                <w:rFonts w:eastAsiaTheme="minorHAnsi"/>
                <w:b/>
                <w:bCs/>
                <w:sz w:val="22"/>
                <w:szCs w:val="22"/>
              </w:rPr>
            </w:pPr>
          </w:p>
          <w:p w:rsidR="0095736A" w:rsidRPr="0095736A" w:rsidRDefault="0095736A" w:rsidP="0095736A">
            <w:pPr>
              <w:rPr>
                <w:rFonts w:ascii="Calibri" w:eastAsiaTheme="minorHAnsi" w:hAnsi="Calibri" w:cs="Times New Roman"/>
                <w:b/>
                <w:bCs/>
                <w:sz w:val="22"/>
                <w:szCs w:val="22"/>
              </w:rPr>
            </w:pPr>
            <w:r w:rsidRPr="0095736A">
              <w:rPr>
                <w:rFonts w:eastAsiaTheme="minorHAnsi"/>
                <w:b/>
                <w:bCs/>
                <w:sz w:val="22"/>
                <w:szCs w:val="22"/>
              </w:rPr>
              <w:t xml:space="preserve">Community Safety Partnership </w:t>
            </w:r>
          </w:p>
        </w:tc>
        <w:tc>
          <w:tcPr>
            <w:tcW w:w="2121" w:type="dxa"/>
            <w:tcBorders>
              <w:top w:val="single" w:sz="8" w:space="0" w:color="auto"/>
              <w:left w:val="nil"/>
              <w:bottom w:val="single" w:sz="8" w:space="0" w:color="auto"/>
              <w:right w:val="single" w:sz="8" w:space="0" w:color="auto"/>
            </w:tcBorders>
            <w:shd w:val="clear" w:color="auto" w:fill="D5DCE4" w:themeFill="text2" w:themeFillTint="33"/>
            <w:hideMark/>
          </w:tcPr>
          <w:p w:rsidR="0095736A" w:rsidRPr="0095736A" w:rsidRDefault="0095736A" w:rsidP="0095736A">
            <w:pPr>
              <w:rPr>
                <w:rFonts w:eastAsiaTheme="minorHAnsi"/>
                <w:b/>
                <w:bCs/>
                <w:sz w:val="22"/>
                <w:szCs w:val="22"/>
              </w:rPr>
            </w:pPr>
          </w:p>
          <w:p w:rsidR="00F71586" w:rsidRDefault="00F71586" w:rsidP="0095736A">
            <w:pPr>
              <w:rPr>
                <w:rFonts w:eastAsiaTheme="minorHAnsi"/>
                <w:b/>
                <w:bCs/>
                <w:sz w:val="22"/>
                <w:szCs w:val="22"/>
              </w:rPr>
            </w:pPr>
            <w:r>
              <w:rPr>
                <w:rFonts w:eastAsiaTheme="minorHAnsi"/>
                <w:b/>
                <w:bCs/>
                <w:sz w:val="22"/>
                <w:szCs w:val="22"/>
              </w:rPr>
              <w:t>Officer</w:t>
            </w:r>
          </w:p>
          <w:p w:rsidR="0095736A" w:rsidRPr="0095736A" w:rsidRDefault="0095736A" w:rsidP="0095736A">
            <w:pPr>
              <w:rPr>
                <w:rFonts w:ascii="Calibri" w:eastAsiaTheme="minorHAnsi" w:hAnsi="Calibri" w:cs="Times New Roman"/>
                <w:b/>
                <w:bCs/>
                <w:sz w:val="22"/>
                <w:szCs w:val="22"/>
              </w:rPr>
            </w:pPr>
            <w:r w:rsidRPr="0095736A">
              <w:rPr>
                <w:rFonts w:eastAsiaTheme="minorHAnsi"/>
                <w:b/>
                <w:bCs/>
                <w:sz w:val="22"/>
                <w:szCs w:val="22"/>
              </w:rPr>
              <w:t>responsible</w:t>
            </w:r>
          </w:p>
        </w:tc>
        <w:tc>
          <w:tcPr>
            <w:tcW w:w="1848"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95736A" w:rsidRPr="0095736A" w:rsidRDefault="0095736A" w:rsidP="0095736A">
            <w:pPr>
              <w:rPr>
                <w:rFonts w:eastAsiaTheme="minorHAnsi"/>
                <w:b/>
                <w:bCs/>
                <w:sz w:val="22"/>
                <w:szCs w:val="22"/>
              </w:rPr>
            </w:pPr>
          </w:p>
          <w:p w:rsidR="0095736A" w:rsidRPr="0095736A" w:rsidRDefault="0095736A" w:rsidP="0095736A">
            <w:pPr>
              <w:rPr>
                <w:rFonts w:eastAsiaTheme="minorHAnsi"/>
                <w:b/>
                <w:bCs/>
                <w:sz w:val="22"/>
                <w:szCs w:val="22"/>
              </w:rPr>
            </w:pPr>
            <w:r w:rsidRPr="0095736A">
              <w:rPr>
                <w:rFonts w:eastAsiaTheme="minorHAnsi"/>
                <w:b/>
                <w:bCs/>
                <w:sz w:val="22"/>
                <w:szCs w:val="22"/>
              </w:rPr>
              <w:t xml:space="preserve">Date formal communication sent to Chair </w:t>
            </w:r>
          </w:p>
          <w:p w:rsidR="0095736A" w:rsidRPr="0095736A" w:rsidRDefault="0095736A" w:rsidP="0095736A">
            <w:pPr>
              <w:rPr>
                <w:rFonts w:ascii="Calibri" w:eastAsiaTheme="minorHAnsi" w:hAnsi="Calibri" w:cs="Times New Roman"/>
                <w:b/>
                <w:bCs/>
                <w:sz w:val="22"/>
                <w:szCs w:val="22"/>
              </w:rPr>
            </w:pPr>
          </w:p>
        </w:tc>
        <w:tc>
          <w:tcPr>
            <w:tcW w:w="3062"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95736A" w:rsidRPr="0095736A" w:rsidRDefault="0095736A" w:rsidP="0095736A">
            <w:pPr>
              <w:rPr>
                <w:rFonts w:eastAsiaTheme="minorHAnsi"/>
                <w:b/>
                <w:bCs/>
                <w:sz w:val="22"/>
                <w:szCs w:val="22"/>
              </w:rPr>
            </w:pPr>
          </w:p>
          <w:p w:rsidR="0095736A" w:rsidRPr="0095736A" w:rsidRDefault="0095736A" w:rsidP="0095736A">
            <w:pPr>
              <w:rPr>
                <w:rFonts w:ascii="Calibri" w:eastAsiaTheme="minorHAnsi" w:hAnsi="Calibri" w:cs="Times New Roman"/>
                <w:b/>
                <w:bCs/>
                <w:sz w:val="22"/>
                <w:szCs w:val="22"/>
              </w:rPr>
            </w:pPr>
            <w:r w:rsidRPr="0095736A">
              <w:rPr>
                <w:rFonts w:eastAsiaTheme="minorHAnsi"/>
                <w:b/>
                <w:bCs/>
                <w:sz w:val="22"/>
                <w:szCs w:val="22"/>
              </w:rPr>
              <w:t>Officer engaged with CSP to date (yes/no?)</w:t>
            </w:r>
          </w:p>
        </w:tc>
      </w:tr>
      <w:tr w:rsidR="0095736A" w:rsidRPr="0095736A" w:rsidTr="003326EC">
        <w:trPr>
          <w:trHeight w:val="28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 xml:space="preserve">Basildon </w:t>
            </w:r>
          </w:p>
        </w:tc>
        <w:tc>
          <w:tcPr>
            <w:tcW w:w="2121" w:type="dxa"/>
            <w:tcBorders>
              <w:top w:val="nil"/>
              <w:left w:val="nil"/>
              <w:bottom w:val="single" w:sz="8" w:space="0" w:color="auto"/>
              <w:right w:val="single" w:sz="8" w:space="0" w:color="auto"/>
            </w:tcBorders>
            <w:hideMark/>
          </w:tcPr>
          <w:p w:rsidR="0095736A" w:rsidRPr="0095736A" w:rsidRDefault="0095736A" w:rsidP="00F71586">
            <w:pPr>
              <w:rPr>
                <w:rFonts w:ascii="Calibri" w:eastAsiaTheme="minorHAnsi" w:hAnsi="Calibri" w:cs="Times New Roman"/>
                <w:sz w:val="22"/>
                <w:szCs w:val="22"/>
              </w:rPr>
            </w:pPr>
            <w:r w:rsidRPr="0095736A">
              <w:rPr>
                <w:rFonts w:ascii="Calibri" w:eastAsiaTheme="minorHAnsi" w:hAnsi="Calibri" w:cs="Times New Roman"/>
                <w:sz w:val="22"/>
                <w:szCs w:val="22"/>
              </w:rPr>
              <w:t xml:space="preserve">SM </w:t>
            </w:r>
            <w:r w:rsidR="00F71586">
              <w:rPr>
                <w:rFonts w:ascii="Calibri" w:eastAsiaTheme="minorHAnsi" w:hAnsi="Calibri" w:cs="Times New Roman"/>
                <w:sz w:val="22"/>
                <w:szCs w:val="22"/>
              </w:rPr>
              <w:t>Basildon</w:t>
            </w:r>
            <w:r w:rsidR="00AB74EC">
              <w:rPr>
                <w:rFonts w:ascii="Calibri" w:eastAsiaTheme="minorHAnsi" w:hAnsi="Calibri" w:cs="Times New Roman"/>
                <w:sz w:val="22"/>
                <w:szCs w:val="22"/>
              </w:rPr>
              <w:t xml:space="preserve">, Billericay, </w:t>
            </w:r>
            <w:r w:rsidR="00F71586">
              <w:rPr>
                <w:rFonts w:ascii="Calibri" w:eastAsiaTheme="minorHAnsi" w:hAnsi="Calibri" w:cs="Times New Roman"/>
                <w:sz w:val="22"/>
                <w:szCs w:val="22"/>
              </w:rPr>
              <w:t>Wickford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 xml:space="preserve">Yes </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Castlepoint</w:t>
            </w:r>
          </w:p>
        </w:tc>
        <w:tc>
          <w:tcPr>
            <w:tcW w:w="2121" w:type="dxa"/>
            <w:tcBorders>
              <w:top w:val="nil"/>
              <w:left w:val="nil"/>
              <w:bottom w:val="single" w:sz="8" w:space="0" w:color="auto"/>
              <w:right w:val="single" w:sz="8" w:space="0" w:color="auto"/>
            </w:tcBorders>
            <w:hideMark/>
          </w:tcPr>
          <w:p w:rsidR="0095736A" w:rsidRPr="0095736A" w:rsidRDefault="00F71586" w:rsidP="0095736A">
            <w:pPr>
              <w:rPr>
                <w:rFonts w:ascii="Calibri" w:eastAsiaTheme="minorHAnsi" w:hAnsi="Calibri" w:cs="Times New Roman"/>
                <w:sz w:val="22"/>
                <w:szCs w:val="22"/>
              </w:rPr>
            </w:pPr>
            <w:r>
              <w:rPr>
                <w:rFonts w:ascii="Calibri" w:eastAsiaTheme="minorHAnsi" w:hAnsi="Calibri" w:cs="Times New Roman"/>
                <w:sz w:val="22"/>
                <w:szCs w:val="22"/>
              </w:rPr>
              <w:t xml:space="preserve">SM </w:t>
            </w:r>
            <w:r w:rsidR="00AB74EC">
              <w:rPr>
                <w:rFonts w:ascii="Calibri" w:eastAsiaTheme="minorHAnsi" w:hAnsi="Calibri" w:cs="Times New Roman"/>
                <w:sz w:val="22"/>
                <w:szCs w:val="22"/>
              </w:rPr>
              <w:t>Canvey, Rayleigh Weir, South Woodham Ferrers</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No – To be progressed ASAP</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Braintree</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 xml:space="preserve">SM Braintree, </w:t>
            </w:r>
            <w:proofErr w:type="spellStart"/>
            <w:r>
              <w:rPr>
                <w:rFonts w:ascii="Calibri" w:eastAsiaTheme="minorHAnsi" w:hAnsi="Calibri" w:cs="Times New Roman"/>
                <w:sz w:val="22"/>
                <w:szCs w:val="22"/>
              </w:rPr>
              <w:t>Coggeshall</w:t>
            </w:r>
            <w:proofErr w:type="spellEnd"/>
            <w:r>
              <w:rPr>
                <w:rFonts w:ascii="Calibri" w:eastAsiaTheme="minorHAnsi" w:hAnsi="Calibri" w:cs="Times New Roman"/>
                <w:sz w:val="22"/>
                <w:szCs w:val="22"/>
              </w:rPr>
              <w:t>, Halstead, Witham</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 xml:space="preserve">Yes </w:t>
            </w:r>
          </w:p>
        </w:tc>
      </w:tr>
      <w:tr w:rsidR="0095736A" w:rsidRPr="0095736A" w:rsidTr="003326EC">
        <w:trPr>
          <w:trHeight w:val="28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Harlow</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Harlow, Old Harlow</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Yes</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Uttlesford</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 xml:space="preserve">SM Saffron </w:t>
            </w:r>
            <w:proofErr w:type="spellStart"/>
            <w:r>
              <w:rPr>
                <w:rFonts w:ascii="Calibri" w:eastAsiaTheme="minorHAnsi" w:hAnsi="Calibri" w:cs="Times New Roman"/>
                <w:sz w:val="22"/>
                <w:szCs w:val="22"/>
              </w:rPr>
              <w:t>Waldon</w:t>
            </w:r>
            <w:proofErr w:type="spellEnd"/>
            <w:r>
              <w:rPr>
                <w:rFonts w:ascii="Calibri" w:eastAsiaTheme="minorHAnsi" w:hAnsi="Calibri" w:cs="Times New Roman"/>
                <w:sz w:val="22"/>
                <w:szCs w:val="22"/>
              </w:rPr>
              <w:t xml:space="preserve">, </w:t>
            </w:r>
            <w:proofErr w:type="spellStart"/>
            <w:r>
              <w:rPr>
                <w:rFonts w:ascii="Calibri" w:eastAsiaTheme="minorHAnsi" w:hAnsi="Calibri" w:cs="Times New Roman"/>
                <w:sz w:val="22"/>
                <w:szCs w:val="22"/>
              </w:rPr>
              <w:t>Sible</w:t>
            </w:r>
            <w:proofErr w:type="spellEnd"/>
            <w:r>
              <w:rPr>
                <w:rFonts w:ascii="Calibri" w:eastAsiaTheme="minorHAnsi" w:hAnsi="Calibri" w:cs="Times New Roman"/>
                <w:sz w:val="22"/>
                <w:szCs w:val="22"/>
              </w:rPr>
              <w:t xml:space="preserve"> </w:t>
            </w:r>
            <w:proofErr w:type="spellStart"/>
            <w:r>
              <w:rPr>
                <w:rFonts w:ascii="Calibri" w:eastAsiaTheme="minorHAnsi" w:hAnsi="Calibri" w:cs="Times New Roman"/>
                <w:sz w:val="22"/>
                <w:szCs w:val="22"/>
              </w:rPr>
              <w:t>Hedingham</w:t>
            </w:r>
            <w:proofErr w:type="spellEnd"/>
            <w:r>
              <w:rPr>
                <w:rFonts w:ascii="Calibri" w:eastAsiaTheme="minorHAnsi" w:hAnsi="Calibri" w:cs="Times New Roman"/>
                <w:sz w:val="22"/>
                <w:szCs w:val="22"/>
              </w:rPr>
              <w:t xml:space="preserve">, </w:t>
            </w:r>
            <w:proofErr w:type="spellStart"/>
            <w:r>
              <w:rPr>
                <w:rFonts w:ascii="Calibri" w:eastAsiaTheme="minorHAnsi" w:hAnsi="Calibri" w:cs="Times New Roman"/>
                <w:sz w:val="22"/>
                <w:szCs w:val="22"/>
              </w:rPr>
              <w:t>Thaxted,Wethersfield</w:t>
            </w:r>
            <w:proofErr w:type="spellEnd"/>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Yes</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Colchester</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Colchester, Tiptree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Yes</w:t>
            </w:r>
          </w:p>
        </w:tc>
      </w:tr>
      <w:tr w:rsidR="0095736A" w:rsidRPr="0095736A" w:rsidTr="003326EC">
        <w:trPr>
          <w:trHeight w:val="28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Tendring</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 xml:space="preserve">SM Clacton, </w:t>
            </w:r>
            <w:proofErr w:type="spellStart"/>
            <w:r>
              <w:rPr>
                <w:rFonts w:ascii="Calibri" w:eastAsiaTheme="minorHAnsi" w:hAnsi="Calibri" w:cs="Times New Roman"/>
                <w:sz w:val="22"/>
                <w:szCs w:val="22"/>
              </w:rPr>
              <w:t>Frinton</w:t>
            </w:r>
            <w:proofErr w:type="spellEnd"/>
            <w:r>
              <w:rPr>
                <w:rFonts w:ascii="Calibri" w:eastAsiaTheme="minorHAnsi" w:hAnsi="Calibri" w:cs="Times New Roman"/>
                <w:sz w:val="22"/>
                <w:szCs w:val="22"/>
              </w:rPr>
              <w:t xml:space="preserve">, </w:t>
            </w:r>
            <w:proofErr w:type="spellStart"/>
            <w:r>
              <w:rPr>
                <w:rFonts w:ascii="Calibri" w:eastAsiaTheme="minorHAnsi" w:hAnsi="Calibri" w:cs="Times New Roman"/>
                <w:sz w:val="22"/>
                <w:szCs w:val="22"/>
              </w:rPr>
              <w:t>Weeley</w:t>
            </w:r>
            <w:proofErr w:type="spellEnd"/>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Yes  1</w:t>
            </w:r>
            <w:r w:rsidRPr="0095736A">
              <w:rPr>
                <w:rFonts w:ascii="Calibri" w:eastAsiaTheme="minorHAnsi" w:hAnsi="Calibri" w:cs="Times New Roman"/>
                <w:sz w:val="22"/>
                <w:szCs w:val="22"/>
                <w:vertAlign w:val="superscript"/>
              </w:rPr>
              <w:t>st</w:t>
            </w:r>
            <w:r w:rsidRPr="0095736A">
              <w:rPr>
                <w:rFonts w:ascii="Calibri" w:eastAsiaTheme="minorHAnsi" w:hAnsi="Calibri" w:cs="Times New Roman"/>
                <w:sz w:val="22"/>
                <w:szCs w:val="22"/>
              </w:rPr>
              <w:t xml:space="preserve"> attendance 1</w:t>
            </w:r>
            <w:r w:rsidRPr="0095736A">
              <w:rPr>
                <w:rFonts w:ascii="Calibri" w:eastAsiaTheme="minorHAnsi" w:hAnsi="Calibri" w:cs="Times New Roman"/>
                <w:sz w:val="22"/>
                <w:szCs w:val="22"/>
                <w:vertAlign w:val="superscript"/>
              </w:rPr>
              <w:t>st</w:t>
            </w:r>
            <w:r w:rsidRPr="0095736A">
              <w:rPr>
                <w:rFonts w:ascii="Calibri" w:eastAsiaTheme="minorHAnsi" w:hAnsi="Calibri" w:cs="Times New Roman"/>
                <w:sz w:val="22"/>
                <w:szCs w:val="22"/>
              </w:rPr>
              <w:t xml:space="preserve"> meeting of 2019 in March </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Maldon</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 xml:space="preserve">SM Burnham-on-Crouch, Maldon, </w:t>
            </w:r>
            <w:proofErr w:type="spellStart"/>
            <w:r>
              <w:rPr>
                <w:rFonts w:ascii="Calibri" w:eastAsiaTheme="minorHAnsi" w:hAnsi="Calibri" w:cs="Times New Roman"/>
                <w:sz w:val="22"/>
                <w:szCs w:val="22"/>
              </w:rPr>
              <w:t>Tillingham</w:t>
            </w:r>
            <w:proofErr w:type="spellEnd"/>
            <w:r>
              <w:rPr>
                <w:rFonts w:ascii="Calibri" w:eastAsiaTheme="minorHAnsi" w:hAnsi="Calibri" w:cs="Times New Roman"/>
                <w:sz w:val="22"/>
                <w:szCs w:val="22"/>
              </w:rPr>
              <w:t xml:space="preserve">, </w:t>
            </w:r>
            <w:proofErr w:type="spellStart"/>
            <w:r>
              <w:rPr>
                <w:rFonts w:ascii="Calibri" w:eastAsiaTheme="minorHAnsi" w:hAnsi="Calibri" w:cs="Times New Roman"/>
                <w:sz w:val="22"/>
                <w:szCs w:val="22"/>
              </w:rPr>
              <w:t>Tollesbury</w:t>
            </w:r>
            <w:proofErr w:type="spellEnd"/>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F71586" w:rsidP="0095736A">
            <w:pPr>
              <w:rPr>
                <w:rFonts w:ascii="Calibri" w:eastAsiaTheme="minorHAnsi" w:hAnsi="Calibri" w:cs="Times New Roman"/>
                <w:sz w:val="22"/>
                <w:szCs w:val="22"/>
              </w:rPr>
            </w:pPr>
            <w:r>
              <w:rPr>
                <w:rFonts w:ascii="Calibri" w:eastAsiaTheme="minorHAnsi" w:hAnsi="Calibri" w:cs="Times New Roman"/>
                <w:sz w:val="22"/>
                <w:szCs w:val="22"/>
              </w:rPr>
              <w:t>Yes (GM, Prevention</w:t>
            </w:r>
            <w:r w:rsidR="0095736A" w:rsidRPr="0095736A">
              <w:rPr>
                <w:rFonts w:ascii="Calibri" w:eastAsiaTheme="minorHAnsi" w:hAnsi="Calibri" w:cs="Times New Roman"/>
                <w:sz w:val="22"/>
                <w:szCs w:val="22"/>
              </w:rPr>
              <w:t xml:space="preserve"> attended last meeting)</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Chelmsford</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Chelmsford, Great Baddow</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F71586" w:rsidP="0095736A">
            <w:pPr>
              <w:rPr>
                <w:rFonts w:ascii="Calibri" w:eastAsiaTheme="minorHAnsi" w:hAnsi="Calibri" w:cs="Times New Roman"/>
                <w:sz w:val="22"/>
                <w:szCs w:val="22"/>
              </w:rPr>
            </w:pPr>
            <w:r>
              <w:rPr>
                <w:rFonts w:ascii="Calibri" w:eastAsiaTheme="minorHAnsi" w:hAnsi="Calibri" w:cs="Times New Roman"/>
                <w:sz w:val="22"/>
                <w:szCs w:val="22"/>
              </w:rPr>
              <w:t>Yes (GM, Prevention</w:t>
            </w:r>
            <w:r w:rsidR="0095736A" w:rsidRPr="0095736A">
              <w:rPr>
                <w:rFonts w:ascii="Calibri" w:eastAsiaTheme="minorHAnsi" w:hAnsi="Calibri" w:cs="Times New Roman"/>
                <w:sz w:val="22"/>
                <w:szCs w:val="22"/>
              </w:rPr>
              <w:t xml:space="preserve"> attended last meeting)</w:t>
            </w:r>
          </w:p>
        </w:tc>
      </w:tr>
      <w:tr w:rsidR="0095736A" w:rsidRPr="0095736A" w:rsidTr="003326EC">
        <w:trPr>
          <w:trHeight w:val="28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Epping Forest</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Epping, Loughton, Waltham Abbey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F71586" w:rsidP="0095736A">
            <w:pPr>
              <w:rPr>
                <w:rFonts w:ascii="Calibri" w:eastAsiaTheme="minorHAnsi" w:hAnsi="Calibri" w:cs="Times New Roman"/>
                <w:sz w:val="22"/>
                <w:szCs w:val="22"/>
              </w:rPr>
            </w:pPr>
            <w:r>
              <w:rPr>
                <w:rFonts w:ascii="Calibri" w:eastAsiaTheme="minorHAnsi" w:hAnsi="Calibri" w:cs="Times New Roman"/>
                <w:sz w:val="22"/>
                <w:szCs w:val="22"/>
              </w:rPr>
              <w:t xml:space="preserve">Yes - </w:t>
            </w:r>
            <w:r w:rsidR="0095736A" w:rsidRPr="0095736A">
              <w:rPr>
                <w:rFonts w:ascii="Calibri" w:eastAsiaTheme="minorHAnsi" w:hAnsi="Calibri" w:cs="Times New Roman"/>
                <w:sz w:val="22"/>
                <w:szCs w:val="22"/>
              </w:rPr>
              <w:t>(</w:t>
            </w:r>
            <w:r>
              <w:rPr>
                <w:rFonts w:ascii="Calibri" w:eastAsiaTheme="minorHAnsi" w:hAnsi="Calibri" w:cs="Times New Roman"/>
                <w:sz w:val="22"/>
                <w:szCs w:val="22"/>
              </w:rPr>
              <w:t xml:space="preserve">Temp/SM attended last meeting and incoming substantive </w:t>
            </w:r>
            <w:r w:rsidR="0095736A" w:rsidRPr="0095736A">
              <w:rPr>
                <w:rFonts w:ascii="Calibri" w:eastAsiaTheme="minorHAnsi" w:hAnsi="Calibri" w:cs="Times New Roman"/>
                <w:sz w:val="22"/>
                <w:szCs w:val="22"/>
              </w:rPr>
              <w:t xml:space="preserve"> Station Manager</w:t>
            </w:r>
            <w:r>
              <w:rPr>
                <w:rFonts w:ascii="Calibri" w:eastAsiaTheme="minorHAnsi" w:hAnsi="Calibri" w:cs="Times New Roman"/>
                <w:sz w:val="22"/>
                <w:szCs w:val="22"/>
              </w:rPr>
              <w:t xml:space="preserve"> will attend next meeting</w:t>
            </w:r>
            <w:r w:rsidR="0095736A" w:rsidRPr="0095736A">
              <w:rPr>
                <w:rFonts w:ascii="Calibri" w:eastAsiaTheme="minorHAnsi" w:hAnsi="Calibri" w:cs="Times New Roman"/>
                <w:sz w:val="22"/>
                <w:szCs w:val="22"/>
              </w:rPr>
              <w:t xml:space="preserve"> </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Brentwood</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Brentwood, Ingatestone, Ongar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No – TBP ASAP</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Thurrock</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Grays</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Yes</w:t>
            </w:r>
          </w:p>
        </w:tc>
      </w:tr>
      <w:tr w:rsidR="0095736A" w:rsidRPr="0095736A" w:rsidTr="003326EC">
        <w:trPr>
          <w:trHeight w:val="286"/>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 xml:space="preserve">Rochford </w:t>
            </w:r>
          </w:p>
        </w:tc>
        <w:tc>
          <w:tcPr>
            <w:tcW w:w="2121" w:type="dxa"/>
            <w:tcBorders>
              <w:top w:val="nil"/>
              <w:left w:val="nil"/>
              <w:bottom w:val="single" w:sz="8" w:space="0" w:color="auto"/>
              <w:right w:val="single" w:sz="8" w:space="0" w:color="auto"/>
            </w:tcBorders>
            <w:hideMark/>
          </w:tcPr>
          <w:p w:rsidR="0095736A"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 xml:space="preserve">SM </w:t>
            </w:r>
            <w:proofErr w:type="spellStart"/>
            <w:r>
              <w:rPr>
                <w:rFonts w:ascii="Calibri" w:eastAsiaTheme="minorHAnsi" w:hAnsi="Calibri" w:cs="Times New Roman"/>
                <w:sz w:val="22"/>
                <w:szCs w:val="22"/>
              </w:rPr>
              <w:t>Hawkwell</w:t>
            </w:r>
            <w:proofErr w:type="spellEnd"/>
            <w:r>
              <w:rPr>
                <w:rFonts w:ascii="Calibri" w:eastAsiaTheme="minorHAnsi" w:hAnsi="Calibri" w:cs="Times New Roman"/>
                <w:sz w:val="22"/>
                <w:szCs w:val="22"/>
              </w:rPr>
              <w:t>, Leigh and Rochford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No- TBP ASASP</w:t>
            </w:r>
          </w:p>
        </w:tc>
      </w:tr>
      <w:tr w:rsidR="0095736A" w:rsidRPr="0095736A" w:rsidTr="003326EC">
        <w:trPr>
          <w:trHeight w:val="274"/>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Southend</w:t>
            </w:r>
          </w:p>
        </w:tc>
        <w:tc>
          <w:tcPr>
            <w:tcW w:w="2121" w:type="dxa"/>
            <w:tcBorders>
              <w:top w:val="nil"/>
              <w:left w:val="nil"/>
              <w:bottom w:val="single" w:sz="8" w:space="0" w:color="auto"/>
              <w:right w:val="single" w:sz="8" w:space="0" w:color="auto"/>
            </w:tcBorders>
            <w:hideMark/>
          </w:tcPr>
          <w:p w:rsidR="00AB74EC" w:rsidRPr="0095736A" w:rsidRDefault="00AB74EC" w:rsidP="0095736A">
            <w:pPr>
              <w:rPr>
                <w:rFonts w:ascii="Calibri" w:eastAsiaTheme="minorHAnsi" w:hAnsi="Calibri" w:cs="Times New Roman"/>
                <w:sz w:val="22"/>
                <w:szCs w:val="22"/>
              </w:rPr>
            </w:pPr>
            <w:r>
              <w:rPr>
                <w:rFonts w:ascii="Calibri" w:eastAsiaTheme="minorHAnsi" w:hAnsi="Calibri" w:cs="Times New Roman"/>
                <w:sz w:val="22"/>
                <w:szCs w:val="22"/>
              </w:rPr>
              <w:t>SM Southend, Shoeburyness</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color w:val="000000" w:themeColor="text1"/>
                <w:sz w:val="22"/>
                <w:szCs w:val="22"/>
              </w:rPr>
            </w:pPr>
            <w:r w:rsidRPr="0095736A">
              <w:rPr>
                <w:rFonts w:ascii="Calibri" w:eastAsiaTheme="minorHAnsi" w:hAnsi="Calibri" w:cs="Times New Roman"/>
                <w:color w:val="000000" w:themeColor="text1"/>
                <w:sz w:val="22"/>
                <w:szCs w:val="22"/>
              </w:rPr>
              <w:t>11/02/2019</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95736A" w:rsidRPr="0095736A" w:rsidRDefault="0095736A" w:rsidP="0095736A">
            <w:pPr>
              <w:rPr>
                <w:rFonts w:ascii="Calibri" w:eastAsiaTheme="minorHAnsi" w:hAnsi="Calibri" w:cs="Times New Roman"/>
                <w:sz w:val="22"/>
                <w:szCs w:val="22"/>
              </w:rPr>
            </w:pPr>
            <w:r w:rsidRPr="0095736A">
              <w:rPr>
                <w:rFonts w:ascii="Calibri" w:eastAsiaTheme="minorHAnsi" w:hAnsi="Calibri" w:cs="Times New Roman"/>
                <w:sz w:val="22"/>
                <w:szCs w:val="22"/>
              </w:rPr>
              <w:t xml:space="preserve">Yes </w:t>
            </w:r>
          </w:p>
        </w:tc>
      </w:tr>
    </w:tbl>
    <w:p w:rsidR="0095736A" w:rsidRPr="0095736A" w:rsidRDefault="0095736A" w:rsidP="0095736A">
      <w:pPr>
        <w:rPr>
          <w:rFonts w:ascii="Calibri" w:eastAsiaTheme="minorHAnsi" w:hAnsi="Calibri" w:cs="Times New Roman"/>
          <w:sz w:val="22"/>
          <w:szCs w:val="22"/>
        </w:rPr>
      </w:pPr>
    </w:p>
    <w:p w:rsidR="00B40C12" w:rsidRDefault="00B40C12" w:rsidP="00FE16C7">
      <w:pPr>
        <w:rPr>
          <w:rFonts w:asciiTheme="majorHAnsi" w:hAnsiTheme="majorHAnsi"/>
          <w:b/>
        </w:rPr>
      </w:pPr>
    </w:p>
    <w:p w:rsidR="00B40C12" w:rsidRDefault="00B40C12" w:rsidP="00FE16C7">
      <w:pPr>
        <w:rPr>
          <w:rFonts w:asciiTheme="majorHAnsi" w:hAnsiTheme="majorHAnsi"/>
          <w:b/>
        </w:rPr>
      </w:pPr>
    </w:p>
    <w:p w:rsidR="00B40C12" w:rsidRDefault="00B40C12" w:rsidP="00FE16C7">
      <w:pPr>
        <w:rPr>
          <w:rFonts w:asciiTheme="majorHAnsi" w:hAnsiTheme="majorHAnsi"/>
          <w:b/>
        </w:rPr>
      </w:pPr>
    </w:p>
    <w:p w:rsidR="00B40C12" w:rsidRDefault="00B40C12" w:rsidP="00FE16C7">
      <w:pPr>
        <w:rPr>
          <w:rFonts w:asciiTheme="majorHAnsi" w:hAnsiTheme="majorHAnsi"/>
          <w:b/>
        </w:rPr>
      </w:pPr>
    </w:p>
    <w:p w:rsidR="001F33B0" w:rsidRDefault="001F33B0"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04138" w:rsidRDefault="00B04138" w:rsidP="00B40C12">
      <w:pPr>
        <w:rPr>
          <w:rFonts w:eastAsiaTheme="minorHAnsi"/>
          <w:b/>
          <w:sz w:val="22"/>
          <w:szCs w:val="22"/>
        </w:rPr>
      </w:pPr>
    </w:p>
    <w:p w:rsidR="00B40C12" w:rsidRDefault="004B31A4" w:rsidP="00B40C12">
      <w:pPr>
        <w:rPr>
          <w:rFonts w:eastAsiaTheme="minorHAnsi"/>
          <w:b/>
          <w:sz w:val="22"/>
          <w:szCs w:val="22"/>
        </w:rPr>
      </w:pPr>
      <w:r>
        <w:rPr>
          <w:rFonts w:eastAsiaTheme="minorHAnsi"/>
          <w:b/>
          <w:sz w:val="22"/>
          <w:szCs w:val="22"/>
        </w:rPr>
        <w:t>Appendix 3</w:t>
      </w:r>
      <w:r w:rsidR="00B40C12" w:rsidRPr="00B40C12">
        <w:rPr>
          <w:rFonts w:eastAsiaTheme="minorHAnsi"/>
          <w:b/>
          <w:sz w:val="22"/>
          <w:szCs w:val="22"/>
        </w:rPr>
        <w:t>: Resourcing – Hubs and CFS activity</w:t>
      </w:r>
    </w:p>
    <w:p w:rsidR="004B31A4" w:rsidRPr="00B40C12" w:rsidRDefault="004B31A4" w:rsidP="00B40C12">
      <w:pPr>
        <w:rPr>
          <w:rFonts w:eastAsiaTheme="minorHAnsi"/>
          <w:b/>
          <w:sz w:val="22"/>
          <w:szCs w:val="22"/>
        </w:rPr>
      </w:pPr>
    </w:p>
    <w:tbl>
      <w:tblPr>
        <w:tblW w:w="8647" w:type="dxa"/>
        <w:tblInd w:w="-152" w:type="dxa"/>
        <w:tblCellMar>
          <w:left w:w="0" w:type="dxa"/>
          <w:right w:w="0" w:type="dxa"/>
        </w:tblCellMar>
        <w:tblLook w:val="04A0" w:firstRow="1" w:lastRow="0" w:firstColumn="1" w:lastColumn="0" w:noHBand="0" w:noVBand="1"/>
      </w:tblPr>
      <w:tblGrid>
        <w:gridCol w:w="983"/>
        <w:gridCol w:w="6158"/>
        <w:gridCol w:w="1506"/>
      </w:tblGrid>
      <w:tr w:rsidR="00B40C12" w:rsidRPr="00B40C12" w:rsidTr="003B260A">
        <w:tc>
          <w:tcPr>
            <w:tcW w:w="983"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ECFRS</w:t>
            </w:r>
          </w:p>
          <w:p w:rsidR="00B40C12" w:rsidRPr="00B40C12" w:rsidRDefault="00B40C12" w:rsidP="00B40C12">
            <w:pPr>
              <w:rPr>
                <w:rFonts w:eastAsiaTheme="minorHAnsi"/>
                <w:b/>
                <w:sz w:val="22"/>
                <w:szCs w:val="22"/>
              </w:rPr>
            </w:pPr>
            <w:r w:rsidRPr="00B40C12">
              <w:rPr>
                <w:rFonts w:eastAsiaTheme="minorHAnsi"/>
                <w:b/>
                <w:sz w:val="22"/>
                <w:szCs w:val="22"/>
              </w:rPr>
              <w:t xml:space="preserve">Group </w:t>
            </w:r>
          </w:p>
        </w:tc>
        <w:tc>
          <w:tcPr>
            <w:tcW w:w="6158"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B40C12" w:rsidRPr="00B40C12" w:rsidRDefault="00B40C12" w:rsidP="00B40C12">
            <w:pPr>
              <w:rPr>
                <w:rFonts w:eastAsiaTheme="minorHAnsi"/>
                <w:b/>
                <w:sz w:val="22"/>
                <w:szCs w:val="22"/>
              </w:rPr>
            </w:pPr>
          </w:p>
          <w:p w:rsidR="00B40C12" w:rsidRPr="00B40C12" w:rsidRDefault="00B40C12" w:rsidP="00B40C12">
            <w:pPr>
              <w:tabs>
                <w:tab w:val="left" w:pos="3285"/>
              </w:tabs>
              <w:rPr>
                <w:rFonts w:eastAsiaTheme="minorHAnsi"/>
                <w:b/>
                <w:sz w:val="22"/>
                <w:szCs w:val="22"/>
              </w:rPr>
            </w:pPr>
            <w:r w:rsidRPr="00B40C12">
              <w:rPr>
                <w:rFonts w:eastAsiaTheme="minorHAnsi"/>
                <w:b/>
                <w:sz w:val="22"/>
                <w:szCs w:val="22"/>
              </w:rPr>
              <w:t>Transferred posts/personnel and role</w:t>
            </w:r>
          </w:p>
          <w:p w:rsidR="00B40C12" w:rsidRPr="00B40C12" w:rsidRDefault="00B40C12" w:rsidP="00B40C12">
            <w:pPr>
              <w:tabs>
                <w:tab w:val="left" w:pos="3285"/>
              </w:tabs>
              <w:rPr>
                <w:rFonts w:eastAsiaTheme="minorHAnsi"/>
                <w:b/>
                <w:sz w:val="22"/>
                <w:szCs w:val="22"/>
              </w:rPr>
            </w:pPr>
          </w:p>
        </w:tc>
        <w:tc>
          <w:tcPr>
            <w:tcW w:w="1506" w:type="dxa"/>
            <w:tcBorders>
              <w:top w:val="single" w:sz="8" w:space="0" w:color="auto"/>
              <w:left w:val="nil"/>
              <w:bottom w:val="single" w:sz="8" w:space="0" w:color="auto"/>
              <w:right w:val="single" w:sz="8" w:space="0" w:color="auto"/>
            </w:tcBorders>
            <w:shd w:val="clear" w:color="auto" w:fill="D5DCE4" w:themeFill="text2" w:themeFillTint="33"/>
          </w:tcPr>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Management</w:t>
            </w:r>
          </w:p>
        </w:tc>
      </w:tr>
      <w:tr w:rsidR="00B40C12" w:rsidRPr="00B40C12" w:rsidTr="003B260A">
        <w:trPr>
          <w:trHeight w:val="503"/>
        </w:trPr>
        <w:tc>
          <w:tcPr>
            <w:tcW w:w="983" w:type="dxa"/>
            <w:vMerge w:val="restart"/>
            <w:tcBorders>
              <w:top w:val="nil"/>
              <w:left w:val="single" w:sz="8" w:space="0" w:color="auto"/>
              <w:right w:val="single" w:sz="8" w:space="0" w:color="auto"/>
            </w:tcBorders>
            <w:shd w:val="clear" w:color="auto" w:fill="FFE599" w:themeFill="accent4" w:themeFillTint="66"/>
            <w:tcMar>
              <w:top w:w="0" w:type="dxa"/>
              <w:left w:w="108" w:type="dxa"/>
              <w:bottom w:w="0" w:type="dxa"/>
              <w:right w:w="108" w:type="dxa"/>
            </w:tcMar>
            <w:hideMark/>
          </w:tcPr>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r w:rsidRPr="00B40C12">
              <w:rPr>
                <w:rFonts w:eastAsiaTheme="minorHAnsi"/>
                <w:sz w:val="22"/>
                <w:szCs w:val="22"/>
              </w:rPr>
              <w:t> </w:t>
            </w: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North East Group</w:t>
            </w:r>
          </w:p>
        </w:tc>
        <w:tc>
          <w:tcPr>
            <w:tcW w:w="6158"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rsidR="00B40C12" w:rsidRPr="00B40C12" w:rsidRDefault="00B40C12" w:rsidP="00B40C12">
            <w:pPr>
              <w:ind w:left="720"/>
              <w:contextualSpacing/>
              <w:rPr>
                <w:rFonts w:eastAsiaTheme="minorHAnsi"/>
                <w:sz w:val="20"/>
                <w:szCs w:val="22"/>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Hub engagement</w:t>
            </w:r>
          </w:p>
          <w:p w:rsidR="00B40C12" w:rsidRPr="00B40C12" w:rsidRDefault="00B40C12" w:rsidP="00B40C12">
            <w:pPr>
              <w:ind w:left="720"/>
              <w:contextualSpacing/>
              <w:rPr>
                <w:rFonts w:eastAsiaTheme="minorHAnsi"/>
                <w:sz w:val="20"/>
                <w:szCs w:val="22"/>
              </w:rPr>
            </w:pP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Community Builder</w:t>
            </w: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 xml:space="preserve">CEO Post Vacant  </w:t>
            </w:r>
          </w:p>
          <w:p w:rsidR="00B40C12" w:rsidRPr="00B40C12" w:rsidRDefault="00B40C12" w:rsidP="00B40C12">
            <w:pPr>
              <w:rPr>
                <w:rFonts w:eastAsiaTheme="minorHAnsi"/>
                <w:sz w:val="20"/>
                <w:szCs w:val="22"/>
              </w:rPr>
            </w:pPr>
          </w:p>
        </w:tc>
        <w:tc>
          <w:tcPr>
            <w:tcW w:w="1506" w:type="dxa"/>
            <w:vMerge w:val="restart"/>
            <w:tcBorders>
              <w:top w:val="nil"/>
              <w:left w:val="nil"/>
              <w:right w:val="single" w:sz="8" w:space="0" w:color="auto"/>
            </w:tcBorders>
          </w:tcPr>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 xml:space="preserve">Community </w:t>
            </w:r>
          </w:p>
          <w:p w:rsidR="00B40C12" w:rsidRPr="00B40C12" w:rsidRDefault="00B40C12" w:rsidP="00B40C12">
            <w:pPr>
              <w:rPr>
                <w:rFonts w:eastAsiaTheme="minorHAnsi"/>
                <w:sz w:val="22"/>
                <w:szCs w:val="22"/>
              </w:rPr>
            </w:pPr>
            <w:r w:rsidRPr="00B40C12">
              <w:rPr>
                <w:rFonts w:eastAsiaTheme="minorHAnsi"/>
                <w:b/>
                <w:sz w:val="22"/>
                <w:szCs w:val="22"/>
              </w:rPr>
              <w:t>Risk Manager (North)</w:t>
            </w:r>
          </w:p>
        </w:tc>
      </w:tr>
      <w:tr w:rsidR="00B40C12" w:rsidRPr="00B40C12" w:rsidTr="003B260A">
        <w:trPr>
          <w:trHeight w:val="502"/>
        </w:trPr>
        <w:tc>
          <w:tcPr>
            <w:tcW w:w="983" w:type="dxa"/>
            <w:vMerge/>
            <w:tcBorders>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tcPr>
          <w:p w:rsidR="00B40C12" w:rsidRPr="00B40C12" w:rsidRDefault="00B40C12" w:rsidP="00B40C12">
            <w:pPr>
              <w:rPr>
                <w:rFonts w:eastAsiaTheme="minorHAnsi"/>
                <w:sz w:val="22"/>
                <w:szCs w:val="22"/>
              </w:rPr>
            </w:pPr>
          </w:p>
        </w:tc>
        <w:tc>
          <w:tcPr>
            <w:tcW w:w="6158"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rsidR="00B40C12" w:rsidRPr="00B40C12" w:rsidRDefault="00B40C12" w:rsidP="00B40C12">
            <w:pPr>
              <w:rPr>
                <w:rFonts w:eastAsiaTheme="minorHAnsi"/>
                <w:sz w:val="20"/>
                <w:szCs w:val="22"/>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CFS activity within group</w:t>
            </w:r>
          </w:p>
          <w:p w:rsidR="00B40C12" w:rsidRPr="00B40C12" w:rsidRDefault="00B40C12" w:rsidP="00B40C12">
            <w:pPr>
              <w:rPr>
                <w:rFonts w:eastAsiaTheme="minorHAnsi"/>
                <w:sz w:val="20"/>
                <w:szCs w:val="22"/>
              </w:rPr>
            </w:pP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 xml:space="preserve">CSO </w:t>
            </w: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 xml:space="preserve">CSO </w:t>
            </w: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 xml:space="preserve">CSO </w:t>
            </w:r>
          </w:p>
          <w:p w:rsidR="00B40C12" w:rsidRPr="00B40C12" w:rsidRDefault="00B40C12" w:rsidP="00B40C12">
            <w:pPr>
              <w:ind w:left="720"/>
              <w:contextualSpacing/>
              <w:rPr>
                <w:rFonts w:eastAsiaTheme="minorHAnsi"/>
                <w:sz w:val="20"/>
                <w:szCs w:val="22"/>
              </w:rPr>
            </w:pP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503"/>
        </w:trPr>
        <w:tc>
          <w:tcPr>
            <w:tcW w:w="983" w:type="dxa"/>
            <w:vMerge w:val="restart"/>
            <w:tcBorders>
              <w:top w:val="nil"/>
              <w:left w:val="single" w:sz="8" w:space="0" w:color="auto"/>
              <w:right w:val="single" w:sz="8" w:space="0" w:color="auto"/>
            </w:tcBorders>
            <w:shd w:val="clear" w:color="auto" w:fill="FFE599" w:themeFill="accent4" w:themeFillTint="66"/>
            <w:tcMar>
              <w:top w:w="0" w:type="dxa"/>
              <w:left w:w="108" w:type="dxa"/>
              <w:bottom w:w="0" w:type="dxa"/>
              <w:right w:w="108" w:type="dxa"/>
            </w:tcMar>
            <w:hideMark/>
          </w:tcPr>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 xml:space="preserve">North West Group </w:t>
            </w:r>
          </w:p>
        </w:tc>
        <w:tc>
          <w:tcPr>
            <w:tcW w:w="6158"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rsidR="00B40C12" w:rsidRPr="00B40C12" w:rsidRDefault="00B40C12" w:rsidP="00B40C12">
            <w:pPr>
              <w:rPr>
                <w:rFonts w:eastAsiaTheme="minorHAnsi"/>
                <w:sz w:val="20"/>
                <w:szCs w:val="22"/>
                <w:u w:val="single"/>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Hub engagement</w:t>
            </w:r>
          </w:p>
          <w:p w:rsidR="00B40C12" w:rsidRPr="00B40C12" w:rsidRDefault="00B40C12" w:rsidP="00B40C12">
            <w:pPr>
              <w:rPr>
                <w:rFonts w:eastAsiaTheme="minorHAnsi"/>
                <w:sz w:val="20"/>
                <w:szCs w:val="22"/>
                <w:u w:val="single"/>
              </w:rPr>
            </w:pP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Community Builder  </w:t>
            </w: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CEO Post Vacant</w:t>
            </w:r>
          </w:p>
          <w:p w:rsidR="00B40C12" w:rsidRPr="00B40C12" w:rsidRDefault="00B40C12" w:rsidP="00B40C12">
            <w:pPr>
              <w:rPr>
                <w:rFonts w:eastAsiaTheme="minorHAnsi"/>
                <w:sz w:val="20"/>
                <w:szCs w:val="22"/>
              </w:rPr>
            </w:pP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502"/>
        </w:trPr>
        <w:tc>
          <w:tcPr>
            <w:tcW w:w="983" w:type="dxa"/>
            <w:vMerge/>
            <w:tcBorders>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tcPr>
          <w:p w:rsidR="00B40C12" w:rsidRPr="00B40C12" w:rsidRDefault="00B40C12" w:rsidP="00B40C12">
            <w:pPr>
              <w:rPr>
                <w:rFonts w:eastAsiaTheme="minorHAnsi"/>
                <w:b/>
                <w:sz w:val="22"/>
                <w:szCs w:val="22"/>
              </w:rPr>
            </w:pPr>
          </w:p>
        </w:tc>
        <w:tc>
          <w:tcPr>
            <w:tcW w:w="6158"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rsidR="00B40C12" w:rsidRPr="00B40C12" w:rsidRDefault="00B40C12" w:rsidP="00B40C12">
            <w:pPr>
              <w:rPr>
                <w:rFonts w:eastAsiaTheme="minorHAnsi"/>
                <w:sz w:val="20"/>
                <w:szCs w:val="22"/>
                <w:u w:val="single"/>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CFS activity within group</w:t>
            </w:r>
          </w:p>
          <w:p w:rsidR="00B40C12" w:rsidRPr="00B40C12" w:rsidRDefault="00B40C12" w:rsidP="00B40C12">
            <w:pPr>
              <w:contextualSpacing/>
              <w:rPr>
                <w:rFonts w:eastAsiaTheme="minorHAnsi"/>
                <w:sz w:val="20"/>
                <w:szCs w:val="22"/>
              </w:rPr>
            </w:pPr>
          </w:p>
          <w:p w:rsidR="00F71586" w:rsidRDefault="00B40C12" w:rsidP="00344169">
            <w:pPr>
              <w:numPr>
                <w:ilvl w:val="0"/>
                <w:numId w:val="40"/>
              </w:numPr>
              <w:contextualSpacing/>
              <w:rPr>
                <w:rFonts w:eastAsiaTheme="minorHAnsi"/>
                <w:sz w:val="20"/>
                <w:szCs w:val="22"/>
              </w:rPr>
            </w:pPr>
            <w:r w:rsidRPr="00F71586">
              <w:rPr>
                <w:rFonts w:eastAsiaTheme="minorHAnsi"/>
                <w:sz w:val="20"/>
                <w:szCs w:val="22"/>
              </w:rPr>
              <w:t xml:space="preserve">CSO </w:t>
            </w:r>
          </w:p>
          <w:p w:rsidR="00B40C12" w:rsidRDefault="00B40C12" w:rsidP="00F71586">
            <w:pPr>
              <w:numPr>
                <w:ilvl w:val="0"/>
                <w:numId w:val="40"/>
              </w:numPr>
              <w:contextualSpacing/>
              <w:rPr>
                <w:rFonts w:eastAsiaTheme="minorHAnsi"/>
                <w:sz w:val="20"/>
                <w:szCs w:val="22"/>
              </w:rPr>
            </w:pPr>
            <w:r w:rsidRPr="00F71586">
              <w:rPr>
                <w:rFonts w:eastAsiaTheme="minorHAnsi"/>
                <w:sz w:val="20"/>
                <w:szCs w:val="22"/>
              </w:rPr>
              <w:t xml:space="preserve">CSO </w:t>
            </w:r>
          </w:p>
          <w:p w:rsidR="00F71586" w:rsidRPr="00B40C12" w:rsidRDefault="00F71586" w:rsidP="00F71586">
            <w:pPr>
              <w:ind w:left="720"/>
              <w:contextualSpacing/>
              <w:rPr>
                <w:rFonts w:eastAsiaTheme="minorHAnsi"/>
                <w:sz w:val="20"/>
                <w:szCs w:val="22"/>
              </w:rPr>
            </w:pPr>
          </w:p>
        </w:tc>
        <w:tc>
          <w:tcPr>
            <w:tcW w:w="1506" w:type="dxa"/>
            <w:vMerge/>
            <w:tcBorders>
              <w:left w:val="nil"/>
              <w:bottom w:val="single" w:sz="8" w:space="0" w:color="auto"/>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503"/>
        </w:trPr>
        <w:tc>
          <w:tcPr>
            <w:tcW w:w="983" w:type="dxa"/>
            <w:vMerge w:val="restart"/>
            <w:tcBorders>
              <w:top w:val="nil"/>
              <w:left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B40C12" w:rsidRPr="00B40C12" w:rsidRDefault="00B40C12" w:rsidP="00B40C12">
            <w:pPr>
              <w:rPr>
                <w:rFonts w:eastAsiaTheme="minorHAnsi"/>
                <w:b/>
                <w:sz w:val="22"/>
                <w:szCs w:val="22"/>
              </w:rPr>
            </w:pPr>
          </w:p>
          <w:p w:rsidR="00B40C12" w:rsidRDefault="00B40C12" w:rsidP="00B40C12">
            <w:pPr>
              <w:rPr>
                <w:rFonts w:eastAsiaTheme="minorHAnsi"/>
                <w:b/>
                <w:sz w:val="22"/>
                <w:szCs w:val="22"/>
              </w:rPr>
            </w:pPr>
          </w:p>
          <w:p w:rsidR="005D5D3B" w:rsidRPr="00B40C12" w:rsidRDefault="005D5D3B"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 xml:space="preserve">South East Group </w:t>
            </w:r>
          </w:p>
        </w:tc>
        <w:tc>
          <w:tcPr>
            <w:tcW w:w="615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B40C12" w:rsidRPr="00B40C12" w:rsidRDefault="00B40C12" w:rsidP="00B40C12">
            <w:pPr>
              <w:rPr>
                <w:rFonts w:eastAsiaTheme="minorHAnsi"/>
                <w:sz w:val="20"/>
                <w:szCs w:val="22"/>
                <w:u w:val="single"/>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Hub engagement</w:t>
            </w:r>
          </w:p>
          <w:p w:rsidR="00B40C12" w:rsidRPr="00B40C12" w:rsidRDefault="00B40C12" w:rsidP="00B40C12">
            <w:pPr>
              <w:ind w:left="720"/>
              <w:contextualSpacing/>
              <w:rPr>
                <w:rFonts w:eastAsiaTheme="minorHAnsi"/>
                <w:sz w:val="20"/>
                <w:szCs w:val="22"/>
              </w:rPr>
            </w:pP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Commun</w:t>
            </w:r>
            <w:r w:rsidR="00F71586">
              <w:rPr>
                <w:rFonts w:eastAsiaTheme="minorHAnsi"/>
                <w:sz w:val="20"/>
                <w:szCs w:val="22"/>
              </w:rPr>
              <w:t xml:space="preserve">ity Builder </w:t>
            </w: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 xml:space="preserve">CEO Post Vacant </w:t>
            </w:r>
          </w:p>
          <w:p w:rsidR="00B40C12" w:rsidRPr="00B40C12" w:rsidRDefault="00B40C12" w:rsidP="00B40C12">
            <w:pPr>
              <w:rPr>
                <w:rFonts w:eastAsiaTheme="minorHAnsi"/>
                <w:sz w:val="20"/>
                <w:szCs w:val="22"/>
              </w:rPr>
            </w:pPr>
          </w:p>
        </w:tc>
        <w:tc>
          <w:tcPr>
            <w:tcW w:w="1506" w:type="dxa"/>
            <w:vMerge w:val="restart"/>
            <w:tcBorders>
              <w:top w:val="nil"/>
              <w:left w:val="nil"/>
              <w:right w:val="single" w:sz="8" w:space="0" w:color="auto"/>
            </w:tcBorders>
          </w:tcPr>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 xml:space="preserve">Community </w:t>
            </w:r>
          </w:p>
          <w:p w:rsidR="00B40C12" w:rsidRPr="00B40C12" w:rsidRDefault="00B40C12" w:rsidP="00B40C12">
            <w:pPr>
              <w:rPr>
                <w:rFonts w:eastAsiaTheme="minorHAnsi"/>
                <w:b/>
                <w:sz w:val="22"/>
                <w:szCs w:val="22"/>
              </w:rPr>
            </w:pPr>
            <w:r w:rsidRPr="00B40C12">
              <w:rPr>
                <w:rFonts w:eastAsiaTheme="minorHAnsi"/>
                <w:b/>
                <w:sz w:val="22"/>
                <w:szCs w:val="22"/>
              </w:rPr>
              <w:t>Risk Manager (South)</w:t>
            </w:r>
          </w:p>
          <w:p w:rsidR="00B40C12" w:rsidRPr="00B40C12" w:rsidRDefault="00B40C12" w:rsidP="00B40C12">
            <w:pPr>
              <w:rPr>
                <w:rFonts w:eastAsiaTheme="minorHAnsi"/>
                <w:sz w:val="22"/>
                <w:szCs w:val="22"/>
              </w:rPr>
            </w:pPr>
          </w:p>
        </w:tc>
      </w:tr>
      <w:tr w:rsidR="00B40C12" w:rsidRPr="00B40C12" w:rsidTr="003B260A">
        <w:trPr>
          <w:trHeight w:val="502"/>
        </w:trPr>
        <w:tc>
          <w:tcPr>
            <w:tcW w:w="983" w:type="dxa"/>
            <w:vMerge/>
            <w:tcBorders>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rsidR="00B40C12" w:rsidRPr="00B40C12" w:rsidRDefault="00B40C12" w:rsidP="00B40C12">
            <w:pPr>
              <w:rPr>
                <w:rFonts w:eastAsiaTheme="minorHAnsi"/>
                <w:b/>
                <w:sz w:val="22"/>
                <w:szCs w:val="22"/>
              </w:rPr>
            </w:pPr>
          </w:p>
        </w:tc>
        <w:tc>
          <w:tcPr>
            <w:tcW w:w="615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B40C12" w:rsidRPr="00B40C12" w:rsidRDefault="00B40C12" w:rsidP="00B40C12">
            <w:pPr>
              <w:rPr>
                <w:rFonts w:eastAsiaTheme="minorHAnsi"/>
                <w:sz w:val="20"/>
                <w:szCs w:val="22"/>
                <w:u w:val="single"/>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CFS activity within group</w:t>
            </w:r>
          </w:p>
          <w:p w:rsidR="00B40C12" w:rsidRPr="00B40C12" w:rsidRDefault="00B40C12" w:rsidP="00B40C12">
            <w:pPr>
              <w:ind w:left="720"/>
              <w:contextualSpacing/>
              <w:rPr>
                <w:rFonts w:eastAsiaTheme="minorHAnsi"/>
                <w:sz w:val="20"/>
                <w:szCs w:val="22"/>
              </w:rPr>
            </w:pP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CSO</w:t>
            </w:r>
            <w:r w:rsidR="00F71586">
              <w:rPr>
                <w:rFonts w:eastAsiaTheme="minorHAnsi"/>
                <w:sz w:val="20"/>
                <w:szCs w:val="22"/>
              </w:rPr>
              <w:t xml:space="preserve"> </w:t>
            </w:r>
          </w:p>
          <w:p w:rsidR="00B40C12" w:rsidRPr="00F71586" w:rsidRDefault="00F71586" w:rsidP="004B70E4">
            <w:pPr>
              <w:numPr>
                <w:ilvl w:val="0"/>
                <w:numId w:val="40"/>
              </w:numPr>
              <w:contextualSpacing/>
              <w:rPr>
                <w:rFonts w:eastAsiaTheme="minorHAnsi"/>
                <w:sz w:val="20"/>
                <w:szCs w:val="22"/>
              </w:rPr>
            </w:pPr>
            <w:r w:rsidRPr="00F71586">
              <w:rPr>
                <w:rFonts w:eastAsiaTheme="minorHAnsi"/>
                <w:sz w:val="20"/>
                <w:szCs w:val="22"/>
              </w:rPr>
              <w:t xml:space="preserve">CSO </w:t>
            </w:r>
          </w:p>
          <w:p w:rsidR="00B40C12" w:rsidRPr="00B40C12" w:rsidRDefault="00B40C12" w:rsidP="00B40C12">
            <w:pPr>
              <w:ind w:left="720"/>
              <w:contextualSpacing/>
              <w:rPr>
                <w:rFonts w:eastAsiaTheme="minorHAnsi"/>
                <w:sz w:val="20"/>
                <w:szCs w:val="22"/>
              </w:rPr>
            </w:pP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578"/>
        </w:trPr>
        <w:tc>
          <w:tcPr>
            <w:tcW w:w="983" w:type="dxa"/>
            <w:vMerge w:val="restart"/>
            <w:tcBorders>
              <w:top w:val="nil"/>
              <w:left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p>
          <w:p w:rsidR="00B40C12" w:rsidRPr="00B40C12" w:rsidRDefault="00B40C12" w:rsidP="00B40C12">
            <w:pPr>
              <w:rPr>
                <w:rFonts w:eastAsiaTheme="minorHAnsi"/>
                <w:b/>
                <w:sz w:val="22"/>
                <w:szCs w:val="22"/>
              </w:rPr>
            </w:pPr>
            <w:r w:rsidRPr="00B40C12">
              <w:rPr>
                <w:rFonts w:eastAsiaTheme="minorHAnsi"/>
                <w:b/>
                <w:sz w:val="22"/>
                <w:szCs w:val="22"/>
              </w:rPr>
              <w:t xml:space="preserve">South West Group </w:t>
            </w:r>
          </w:p>
        </w:tc>
        <w:tc>
          <w:tcPr>
            <w:tcW w:w="6158" w:type="dxa"/>
            <w:tcBorders>
              <w:top w:val="nil"/>
              <w:left w:val="nil"/>
              <w:bottom w:val="nil"/>
              <w:right w:val="single" w:sz="8" w:space="0" w:color="auto"/>
            </w:tcBorders>
            <w:shd w:val="clear" w:color="auto" w:fill="E2EFD9" w:themeFill="accent6" w:themeFillTint="33"/>
            <w:tcMar>
              <w:top w:w="0" w:type="dxa"/>
              <w:left w:w="108" w:type="dxa"/>
              <w:bottom w:w="0" w:type="dxa"/>
              <w:right w:w="108" w:type="dxa"/>
            </w:tcMar>
          </w:tcPr>
          <w:p w:rsidR="005D5D3B" w:rsidRDefault="005D5D3B" w:rsidP="00B40C12">
            <w:pPr>
              <w:rPr>
                <w:rFonts w:eastAsiaTheme="minorHAnsi"/>
                <w:sz w:val="20"/>
                <w:szCs w:val="22"/>
                <w:u w:val="single"/>
              </w:rPr>
            </w:pPr>
          </w:p>
          <w:p w:rsidR="00B40C12" w:rsidRPr="00B40C12" w:rsidRDefault="00B40C12" w:rsidP="00B40C12">
            <w:pPr>
              <w:rPr>
                <w:rFonts w:eastAsiaTheme="minorHAnsi"/>
                <w:sz w:val="20"/>
                <w:szCs w:val="22"/>
                <w:u w:val="single"/>
              </w:rPr>
            </w:pPr>
            <w:r w:rsidRPr="00B40C12">
              <w:rPr>
                <w:rFonts w:eastAsiaTheme="minorHAnsi"/>
                <w:sz w:val="20"/>
                <w:szCs w:val="22"/>
                <w:u w:val="single"/>
              </w:rPr>
              <w:t>Hub engagement</w:t>
            </w:r>
          </w:p>
          <w:p w:rsidR="00B40C12" w:rsidRPr="00B40C12" w:rsidRDefault="00B40C12" w:rsidP="00B40C12">
            <w:pPr>
              <w:rPr>
                <w:rFonts w:eastAsiaTheme="minorHAnsi"/>
                <w:sz w:val="20"/>
                <w:szCs w:val="22"/>
              </w:rPr>
            </w:pPr>
          </w:p>
          <w:p w:rsidR="00B40C12" w:rsidRPr="00B40C12" w:rsidRDefault="00F71586" w:rsidP="00B40C12">
            <w:pPr>
              <w:numPr>
                <w:ilvl w:val="0"/>
                <w:numId w:val="40"/>
              </w:numPr>
              <w:contextualSpacing/>
              <w:rPr>
                <w:rFonts w:eastAsiaTheme="minorHAnsi"/>
                <w:sz w:val="20"/>
                <w:szCs w:val="22"/>
              </w:rPr>
            </w:pPr>
            <w:r>
              <w:rPr>
                <w:rFonts w:eastAsiaTheme="minorHAnsi"/>
                <w:sz w:val="20"/>
                <w:szCs w:val="22"/>
              </w:rPr>
              <w:t>Community Builder  </w:t>
            </w: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 xml:space="preserve">CEO Post Vacant </w:t>
            </w:r>
          </w:p>
          <w:p w:rsidR="00B40C12" w:rsidRPr="00B40C12" w:rsidRDefault="00B40C12" w:rsidP="00B40C12">
            <w:pPr>
              <w:ind w:left="720"/>
              <w:contextualSpacing/>
              <w:rPr>
                <w:rFonts w:eastAsiaTheme="minorHAnsi"/>
                <w:sz w:val="20"/>
                <w:szCs w:val="22"/>
              </w:rPr>
            </w:pP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285"/>
        </w:trPr>
        <w:tc>
          <w:tcPr>
            <w:tcW w:w="983" w:type="dxa"/>
            <w:vMerge/>
            <w:tcBorders>
              <w:left w:val="single" w:sz="8" w:space="0" w:color="auto"/>
              <w:right w:val="single" w:sz="8" w:space="0" w:color="auto"/>
            </w:tcBorders>
            <w:shd w:val="clear" w:color="auto" w:fill="C5E0B3" w:themeFill="accent6" w:themeFillTint="66"/>
            <w:tcMar>
              <w:top w:w="0" w:type="dxa"/>
              <w:left w:w="108" w:type="dxa"/>
              <w:bottom w:w="0" w:type="dxa"/>
              <w:right w:w="108" w:type="dxa"/>
            </w:tcMar>
          </w:tcPr>
          <w:p w:rsidR="00B40C12" w:rsidRPr="00B40C12" w:rsidRDefault="00B40C12" w:rsidP="00B40C12">
            <w:pPr>
              <w:rPr>
                <w:rFonts w:eastAsiaTheme="minorHAnsi"/>
                <w:b/>
                <w:sz w:val="22"/>
                <w:szCs w:val="22"/>
              </w:rPr>
            </w:pPr>
          </w:p>
        </w:tc>
        <w:tc>
          <w:tcPr>
            <w:tcW w:w="6158" w:type="dxa"/>
            <w:tcBorders>
              <w:top w:val="nil"/>
              <w:left w:val="nil"/>
              <w:bottom w:val="nil"/>
              <w:right w:val="single" w:sz="8" w:space="0" w:color="auto"/>
            </w:tcBorders>
            <w:shd w:val="clear" w:color="auto" w:fill="E2EFD9" w:themeFill="accent6" w:themeFillTint="33"/>
            <w:tcMar>
              <w:top w:w="0" w:type="dxa"/>
              <w:left w:w="108" w:type="dxa"/>
              <w:bottom w:w="0" w:type="dxa"/>
              <w:right w:w="108" w:type="dxa"/>
            </w:tcMar>
          </w:tcPr>
          <w:p w:rsidR="00B40C12" w:rsidRPr="00B40C12" w:rsidRDefault="00B40C12" w:rsidP="00B40C12">
            <w:pPr>
              <w:rPr>
                <w:rFonts w:eastAsiaTheme="minorHAnsi"/>
                <w:sz w:val="20"/>
                <w:szCs w:val="22"/>
                <w:u w:val="single"/>
              </w:rPr>
            </w:pPr>
            <w:r w:rsidRPr="00B40C12">
              <w:rPr>
                <w:rFonts w:eastAsiaTheme="minorHAnsi"/>
                <w:sz w:val="20"/>
                <w:szCs w:val="22"/>
                <w:u w:val="single"/>
              </w:rPr>
              <w:t>CFS activity within group</w:t>
            </w:r>
          </w:p>
          <w:p w:rsidR="00B40C12" w:rsidRPr="00B40C12" w:rsidRDefault="00B40C12" w:rsidP="00B40C12">
            <w:pPr>
              <w:ind w:left="720"/>
              <w:contextualSpacing/>
              <w:rPr>
                <w:rFonts w:eastAsiaTheme="minorHAnsi"/>
                <w:sz w:val="20"/>
                <w:szCs w:val="22"/>
              </w:rPr>
            </w:pP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285"/>
        </w:trPr>
        <w:tc>
          <w:tcPr>
            <w:tcW w:w="983" w:type="dxa"/>
            <w:vMerge/>
            <w:tcBorders>
              <w:left w:val="single" w:sz="8" w:space="0" w:color="auto"/>
              <w:right w:val="single" w:sz="8" w:space="0" w:color="auto"/>
            </w:tcBorders>
            <w:shd w:val="clear" w:color="auto" w:fill="C5E0B3" w:themeFill="accent6" w:themeFillTint="66"/>
            <w:tcMar>
              <w:top w:w="0" w:type="dxa"/>
              <w:left w:w="108" w:type="dxa"/>
              <w:bottom w:w="0" w:type="dxa"/>
              <w:right w:w="108" w:type="dxa"/>
            </w:tcMar>
          </w:tcPr>
          <w:p w:rsidR="00B40C12" w:rsidRPr="00B40C12" w:rsidRDefault="00B40C12" w:rsidP="00B40C12">
            <w:pPr>
              <w:rPr>
                <w:rFonts w:eastAsiaTheme="minorHAnsi"/>
                <w:b/>
                <w:sz w:val="22"/>
                <w:szCs w:val="22"/>
              </w:rPr>
            </w:pPr>
          </w:p>
        </w:tc>
        <w:tc>
          <w:tcPr>
            <w:tcW w:w="6158" w:type="dxa"/>
            <w:tcBorders>
              <w:top w:val="nil"/>
              <w:left w:val="nil"/>
              <w:bottom w:val="nil"/>
              <w:right w:val="single" w:sz="8" w:space="0" w:color="auto"/>
            </w:tcBorders>
            <w:shd w:val="clear" w:color="auto" w:fill="E2EFD9" w:themeFill="accent6" w:themeFillTint="33"/>
            <w:tcMar>
              <w:top w:w="0" w:type="dxa"/>
              <w:left w:w="108" w:type="dxa"/>
              <w:bottom w:w="0" w:type="dxa"/>
              <w:right w:w="108" w:type="dxa"/>
            </w:tcMar>
          </w:tcPr>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 xml:space="preserve">CSO </w:t>
            </w:r>
          </w:p>
          <w:p w:rsidR="00B40C12" w:rsidRPr="00B40C12" w:rsidRDefault="00B40C12" w:rsidP="00B40C12">
            <w:pPr>
              <w:numPr>
                <w:ilvl w:val="0"/>
                <w:numId w:val="40"/>
              </w:numPr>
              <w:contextualSpacing/>
              <w:rPr>
                <w:rFonts w:eastAsiaTheme="minorHAnsi"/>
                <w:sz w:val="20"/>
                <w:szCs w:val="22"/>
              </w:rPr>
            </w:pPr>
            <w:r w:rsidRPr="00B40C12">
              <w:rPr>
                <w:rFonts w:eastAsiaTheme="minorHAnsi"/>
                <w:sz w:val="20"/>
                <w:szCs w:val="22"/>
              </w:rPr>
              <w:t>CS</w:t>
            </w:r>
            <w:r w:rsidR="00F71586">
              <w:rPr>
                <w:rFonts w:eastAsiaTheme="minorHAnsi"/>
                <w:sz w:val="20"/>
                <w:szCs w:val="22"/>
              </w:rPr>
              <w:t>O</w:t>
            </w:r>
          </w:p>
        </w:tc>
        <w:tc>
          <w:tcPr>
            <w:tcW w:w="1506" w:type="dxa"/>
            <w:vMerge/>
            <w:tcBorders>
              <w:left w:val="nil"/>
              <w:right w:val="single" w:sz="8" w:space="0" w:color="auto"/>
            </w:tcBorders>
          </w:tcPr>
          <w:p w:rsidR="00B40C12" w:rsidRPr="00B40C12" w:rsidRDefault="00B40C12" w:rsidP="00B40C12">
            <w:pPr>
              <w:rPr>
                <w:rFonts w:eastAsiaTheme="minorHAnsi"/>
                <w:sz w:val="22"/>
                <w:szCs w:val="22"/>
              </w:rPr>
            </w:pPr>
          </w:p>
        </w:tc>
      </w:tr>
      <w:tr w:rsidR="00B40C12" w:rsidRPr="00B40C12" w:rsidTr="003B260A">
        <w:trPr>
          <w:trHeight w:val="630"/>
        </w:trPr>
        <w:tc>
          <w:tcPr>
            <w:tcW w:w="983" w:type="dxa"/>
            <w:vMerge/>
            <w:tcBorders>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tcPr>
          <w:p w:rsidR="00B40C12" w:rsidRPr="00B40C12" w:rsidRDefault="00B40C12" w:rsidP="00B40C12">
            <w:pPr>
              <w:rPr>
                <w:rFonts w:eastAsiaTheme="minorHAnsi"/>
                <w:sz w:val="22"/>
                <w:szCs w:val="22"/>
              </w:rPr>
            </w:pPr>
          </w:p>
        </w:tc>
        <w:tc>
          <w:tcPr>
            <w:tcW w:w="615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rsidR="00B40C12" w:rsidRPr="00B40C12" w:rsidRDefault="00B40C12" w:rsidP="00B40C12">
            <w:pPr>
              <w:rPr>
                <w:rFonts w:eastAsiaTheme="minorHAnsi"/>
                <w:sz w:val="20"/>
                <w:szCs w:val="22"/>
              </w:rPr>
            </w:pPr>
          </w:p>
        </w:tc>
        <w:tc>
          <w:tcPr>
            <w:tcW w:w="1506" w:type="dxa"/>
            <w:tcBorders>
              <w:left w:val="nil"/>
              <w:bottom w:val="single" w:sz="8" w:space="0" w:color="auto"/>
              <w:right w:val="single" w:sz="8" w:space="0" w:color="auto"/>
            </w:tcBorders>
          </w:tcPr>
          <w:p w:rsidR="00B40C12" w:rsidRPr="00B40C12" w:rsidRDefault="00B40C12" w:rsidP="00B40C12">
            <w:pPr>
              <w:rPr>
                <w:rFonts w:eastAsiaTheme="minorHAnsi"/>
                <w:sz w:val="22"/>
                <w:szCs w:val="22"/>
              </w:rPr>
            </w:pPr>
          </w:p>
        </w:tc>
      </w:tr>
    </w:tbl>
    <w:p w:rsidR="00B40C12" w:rsidRPr="00B40C12" w:rsidRDefault="00B40C12" w:rsidP="00B40C12">
      <w:pPr>
        <w:rPr>
          <w:rFonts w:eastAsiaTheme="minorHAnsi"/>
          <w:sz w:val="20"/>
          <w:szCs w:val="22"/>
          <w:u w:val="single"/>
        </w:rPr>
      </w:pPr>
    </w:p>
    <w:sectPr w:rsidR="00B40C12" w:rsidRPr="00B40C12"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C0" w:rsidRDefault="001F63C0">
      <w:r>
        <w:separator/>
      </w:r>
    </w:p>
  </w:endnote>
  <w:endnote w:type="continuationSeparator" w:id="0">
    <w:p w:rsidR="001F63C0" w:rsidRDefault="001F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A" w:rsidRDefault="003B260A" w:rsidP="00A8212D">
    <w:pPr>
      <w:pStyle w:val="Footer"/>
      <w:jc w:val="center"/>
      <w:rPr>
        <w:sz w:val="22"/>
        <w:szCs w:val="22"/>
      </w:rPr>
    </w:pPr>
  </w:p>
  <w:p w:rsidR="003B260A" w:rsidRPr="00A8212D" w:rsidRDefault="003B260A"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6904F6">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904F6">
      <w:rPr>
        <w:noProof/>
        <w:sz w:val="22"/>
        <w:szCs w:val="22"/>
      </w:rPr>
      <w:t>10</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A" w:rsidRDefault="003B260A" w:rsidP="00AA60E6">
    <w:pPr>
      <w:pStyle w:val="Footer"/>
      <w:jc w:val="center"/>
      <w:rPr>
        <w:sz w:val="22"/>
        <w:szCs w:val="22"/>
      </w:rPr>
    </w:pPr>
  </w:p>
  <w:p w:rsidR="003B260A" w:rsidRPr="00AA60E6" w:rsidRDefault="003B260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6904F6">
      <w:rPr>
        <w:noProof/>
        <w:sz w:val="22"/>
        <w:szCs w:val="22"/>
      </w:rPr>
      <w:t>10</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904F6">
      <w:rPr>
        <w:noProof/>
        <w:sz w:val="22"/>
        <w:szCs w:val="22"/>
      </w:rPr>
      <w:t>10</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A" w:rsidRPr="00AA60E6" w:rsidRDefault="003B260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D5D3B">
      <w:rPr>
        <w:noProof/>
        <w:sz w:val="22"/>
        <w:szCs w:val="22"/>
      </w:rPr>
      <w:t>11</w:t>
    </w:r>
    <w:r w:rsidRPr="00AA60E6">
      <w:rPr>
        <w:sz w:val="22"/>
        <w:szCs w:val="22"/>
      </w:rPr>
      <w:fldChar w:fldCharType="end"/>
    </w:r>
  </w:p>
  <w:p w:rsidR="003B260A" w:rsidRDefault="003B260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C0" w:rsidRDefault="001F63C0">
      <w:r>
        <w:separator/>
      </w:r>
    </w:p>
  </w:footnote>
  <w:footnote w:type="continuationSeparator" w:id="0">
    <w:p w:rsidR="001F63C0" w:rsidRDefault="001F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0A" w:rsidRPr="00A8212D" w:rsidRDefault="003B260A"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4AFD"/>
    <w:multiLevelType w:val="hybridMultilevel"/>
    <w:tmpl w:val="129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927"/>
    <w:multiLevelType w:val="hybridMultilevel"/>
    <w:tmpl w:val="95BA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46F0"/>
    <w:multiLevelType w:val="hybridMultilevel"/>
    <w:tmpl w:val="59D01C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C6D1A"/>
    <w:multiLevelType w:val="hybridMultilevel"/>
    <w:tmpl w:val="76AA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E7E87"/>
    <w:multiLevelType w:val="hybridMultilevel"/>
    <w:tmpl w:val="9A04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C1C7A"/>
    <w:multiLevelType w:val="hybridMultilevel"/>
    <w:tmpl w:val="59EC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145A95"/>
    <w:multiLevelType w:val="hybridMultilevel"/>
    <w:tmpl w:val="853C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3109F"/>
    <w:multiLevelType w:val="hybridMultilevel"/>
    <w:tmpl w:val="AB42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5581E"/>
    <w:multiLevelType w:val="hybridMultilevel"/>
    <w:tmpl w:val="9628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1DA2"/>
    <w:multiLevelType w:val="hybridMultilevel"/>
    <w:tmpl w:val="8AE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C319E"/>
    <w:multiLevelType w:val="hybridMultilevel"/>
    <w:tmpl w:val="4D0E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DE6A94"/>
    <w:multiLevelType w:val="hybridMultilevel"/>
    <w:tmpl w:val="C446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141E8"/>
    <w:multiLevelType w:val="hybridMultilevel"/>
    <w:tmpl w:val="2492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C727A"/>
    <w:multiLevelType w:val="hybridMultilevel"/>
    <w:tmpl w:val="0666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C35DF0"/>
    <w:multiLevelType w:val="hybridMultilevel"/>
    <w:tmpl w:val="1E76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C333D1"/>
    <w:multiLevelType w:val="hybridMultilevel"/>
    <w:tmpl w:val="124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50285"/>
    <w:multiLevelType w:val="hybridMultilevel"/>
    <w:tmpl w:val="027A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0"/>
  </w:num>
  <w:num w:numId="5">
    <w:abstractNumId w:val="31"/>
  </w:num>
  <w:num w:numId="6">
    <w:abstractNumId w:val="14"/>
  </w:num>
  <w:num w:numId="7">
    <w:abstractNumId w:val="9"/>
  </w:num>
  <w:num w:numId="8">
    <w:abstractNumId w:val="1"/>
  </w:num>
  <w:num w:numId="9">
    <w:abstractNumId w:val="21"/>
  </w:num>
  <w:num w:numId="10">
    <w:abstractNumId w:val="21"/>
  </w:num>
  <w:num w:numId="11">
    <w:abstractNumId w:val="25"/>
  </w:num>
  <w:num w:numId="12">
    <w:abstractNumId w:val="29"/>
  </w:num>
  <w:num w:numId="13">
    <w:abstractNumId w:val="28"/>
  </w:num>
  <w:num w:numId="14">
    <w:abstractNumId w:val="30"/>
  </w:num>
  <w:num w:numId="15">
    <w:abstractNumId w:val="5"/>
  </w:num>
  <w:num w:numId="16">
    <w:abstractNumId w:val="18"/>
  </w:num>
  <w:num w:numId="17">
    <w:abstractNumId w:val="35"/>
  </w:num>
  <w:num w:numId="18">
    <w:abstractNumId w:val="32"/>
  </w:num>
  <w:num w:numId="19">
    <w:abstractNumId w:val="17"/>
  </w:num>
  <w:num w:numId="20">
    <w:abstractNumId w:val="26"/>
  </w:num>
  <w:num w:numId="21">
    <w:abstractNumId w:val="11"/>
  </w:num>
  <w:num w:numId="22">
    <w:abstractNumId w:val="34"/>
  </w:num>
  <w:num w:numId="23">
    <w:abstractNumId w:val="33"/>
  </w:num>
  <w:num w:numId="24">
    <w:abstractNumId w:val="2"/>
  </w:num>
  <w:num w:numId="25">
    <w:abstractNumId w:val="22"/>
  </w:num>
  <w:num w:numId="26">
    <w:abstractNumId w:val="7"/>
  </w:num>
  <w:num w:numId="27">
    <w:abstractNumId w:val="37"/>
  </w:num>
  <w:num w:numId="28">
    <w:abstractNumId w:val="19"/>
  </w:num>
  <w:num w:numId="29">
    <w:abstractNumId w:val="13"/>
  </w:num>
  <w:num w:numId="30">
    <w:abstractNumId w:val="12"/>
  </w:num>
  <w:num w:numId="31">
    <w:abstractNumId w:val="15"/>
  </w:num>
  <w:num w:numId="32">
    <w:abstractNumId w:val="23"/>
  </w:num>
  <w:num w:numId="33">
    <w:abstractNumId w:val="3"/>
  </w:num>
  <w:num w:numId="34">
    <w:abstractNumId w:val="4"/>
  </w:num>
  <w:num w:numId="35">
    <w:abstractNumId w:val="24"/>
  </w:num>
  <w:num w:numId="36">
    <w:abstractNumId w:val="10"/>
  </w:num>
  <w:num w:numId="37">
    <w:abstractNumId w:val="6"/>
  </w:num>
  <w:num w:numId="38">
    <w:abstractNumId w:val="20"/>
  </w:num>
  <w:num w:numId="39">
    <w:abstractNumId w:val="36"/>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564D"/>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6D8C"/>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4C51"/>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3B0"/>
    <w:rsid w:val="001F38C8"/>
    <w:rsid w:val="001F44D5"/>
    <w:rsid w:val="001F4842"/>
    <w:rsid w:val="001F4941"/>
    <w:rsid w:val="001F61D1"/>
    <w:rsid w:val="001F63C0"/>
    <w:rsid w:val="001F6ACB"/>
    <w:rsid w:val="001F7EE7"/>
    <w:rsid w:val="0020041F"/>
    <w:rsid w:val="00200C8D"/>
    <w:rsid w:val="00203EB0"/>
    <w:rsid w:val="0020595C"/>
    <w:rsid w:val="00205FB6"/>
    <w:rsid w:val="0020693E"/>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5B43"/>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260A"/>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1A4"/>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3E59"/>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5D3B"/>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62"/>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87996"/>
    <w:rsid w:val="006904F6"/>
    <w:rsid w:val="006914DC"/>
    <w:rsid w:val="00691A70"/>
    <w:rsid w:val="00692E79"/>
    <w:rsid w:val="00693ABE"/>
    <w:rsid w:val="00693C95"/>
    <w:rsid w:val="00693D23"/>
    <w:rsid w:val="00694482"/>
    <w:rsid w:val="00697746"/>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2F7F"/>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5E0"/>
    <w:rsid w:val="007D1623"/>
    <w:rsid w:val="007E0119"/>
    <w:rsid w:val="007E137D"/>
    <w:rsid w:val="007E3809"/>
    <w:rsid w:val="007E3B90"/>
    <w:rsid w:val="007E67A3"/>
    <w:rsid w:val="007E6E14"/>
    <w:rsid w:val="007E7CFD"/>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32BA"/>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1B7"/>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569"/>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5736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B74EC"/>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3C7"/>
    <w:rsid w:val="00AF1C1B"/>
    <w:rsid w:val="00AF1F1D"/>
    <w:rsid w:val="00AF1FE8"/>
    <w:rsid w:val="00AF3A92"/>
    <w:rsid w:val="00AF59ED"/>
    <w:rsid w:val="00AF6800"/>
    <w:rsid w:val="00B014AA"/>
    <w:rsid w:val="00B01D9A"/>
    <w:rsid w:val="00B01DD2"/>
    <w:rsid w:val="00B01EEE"/>
    <w:rsid w:val="00B0340C"/>
    <w:rsid w:val="00B04138"/>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633"/>
    <w:rsid w:val="00B239AB"/>
    <w:rsid w:val="00B23D4C"/>
    <w:rsid w:val="00B24344"/>
    <w:rsid w:val="00B2481F"/>
    <w:rsid w:val="00B24C81"/>
    <w:rsid w:val="00B256D1"/>
    <w:rsid w:val="00B25924"/>
    <w:rsid w:val="00B306D9"/>
    <w:rsid w:val="00B339D9"/>
    <w:rsid w:val="00B37062"/>
    <w:rsid w:val="00B40C1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0CD"/>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0FD0"/>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01DF"/>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4F1B"/>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3F27"/>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586"/>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6C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15C79A"/>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TableGrid11">
    <w:name w:val="Table Grid11"/>
    <w:basedOn w:val="TableNormal"/>
    <w:next w:val="TableGrid"/>
    <w:uiPriority w:val="39"/>
    <w:rsid w:val="00B40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E65C-885F-4DBE-A9CE-5D5B35C5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2383</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3</cp:revision>
  <cp:lastPrinted>2019-02-15T16:25:00Z</cp:lastPrinted>
  <dcterms:created xsi:type="dcterms:W3CDTF">2019-02-18T12:09:00Z</dcterms:created>
  <dcterms:modified xsi:type="dcterms:W3CDTF">2019-02-20T08:35:00Z</dcterms:modified>
</cp:coreProperties>
</file>