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279" w:rsidRPr="00A308A8" w:rsidRDefault="00DB581B" w:rsidP="00101C54">
      <w:pPr>
        <w:tabs>
          <w:tab w:val="left" w:pos="7349"/>
        </w:tabs>
        <w:ind w:right="1253"/>
        <w:rPr>
          <w:rFonts w:cs="Arial"/>
        </w:rPr>
      </w:pPr>
      <w:bookmarkStart w:id="0" w:name="_GoBack"/>
      <w:bookmarkEnd w:id="0"/>
      <w:r w:rsidRPr="00DB581B">
        <w:rPr>
          <w:rFonts w:ascii="Times New Roman" w:hAnsi="Times New Roman" w:cs="Times New Roman"/>
          <w:noProof/>
          <w:szCs w:val="24"/>
          <w:lang w:eastAsia="en-GB"/>
        </w:rPr>
        <w:drawing>
          <wp:anchor distT="0" distB="0" distL="114300" distR="114300" simplePos="0" relativeHeight="251666432" behindDoc="1" locked="0" layoutInCell="1" allowOverlap="1" wp14:anchorId="4FA6F67D" wp14:editId="534AFBF1">
            <wp:simplePos x="0" y="0"/>
            <wp:positionH relativeFrom="page">
              <wp:posOffset>0</wp:posOffset>
            </wp:positionH>
            <wp:positionV relativeFrom="paragraph">
              <wp:posOffset>-1439603</wp:posOffset>
            </wp:positionV>
            <wp:extent cx="7571105" cy="107094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cover light EF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1105" cy="10709450"/>
                    </a:xfrm>
                    <a:prstGeom prst="rect">
                      <a:avLst/>
                    </a:prstGeom>
                  </pic:spPr>
                </pic:pic>
              </a:graphicData>
            </a:graphic>
            <wp14:sizeRelH relativeFrom="page">
              <wp14:pctWidth>0</wp14:pctWidth>
            </wp14:sizeRelH>
            <wp14:sizeRelV relativeFrom="page">
              <wp14:pctHeight>0</wp14:pctHeight>
            </wp14:sizeRelV>
          </wp:anchor>
        </w:drawing>
      </w:r>
      <w:r w:rsidR="00D64AB9">
        <w:rPr>
          <w:rFonts w:ascii="Arial" w:hAnsi="Arial" w:cs="Arial"/>
          <w:noProof/>
          <w:lang w:eastAsia="en-GB"/>
        </w:rPr>
        <mc:AlternateContent>
          <mc:Choice Requires="wps">
            <w:drawing>
              <wp:anchor distT="0" distB="0" distL="114300" distR="114300" simplePos="0" relativeHeight="251662336" behindDoc="0" locked="0" layoutInCell="1" allowOverlap="1" wp14:anchorId="7EB020EB" wp14:editId="45EBC571">
                <wp:simplePos x="0" y="0"/>
                <wp:positionH relativeFrom="column">
                  <wp:posOffset>23685</wp:posOffset>
                </wp:positionH>
                <wp:positionV relativeFrom="paragraph">
                  <wp:posOffset>814070</wp:posOffset>
                </wp:positionV>
                <wp:extent cx="61245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525A45"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5pt,64.1pt" to="484.1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" strokecolor="#1f497d [3215]"/>
            </w:pict>
          </mc:Fallback>
        </mc:AlternateContent>
      </w:r>
    </w:p>
    <w:p w:rsidR="00E41C25" w:rsidRDefault="00E41C25" w:rsidP="00A308A8">
      <w:pPr>
        <w:spacing w:line="240" w:lineRule="auto"/>
        <w:rPr>
          <w:rFonts w:asciiTheme="majorHAnsi" w:hAnsiTheme="majorHAnsi" w:cs="Arial"/>
          <w:b/>
          <w:bCs/>
          <w:color w:val="002D56"/>
          <w:sz w:val="48"/>
          <w:szCs w:val="48"/>
        </w:rPr>
      </w:pPr>
    </w:p>
    <w:p w:rsidR="0007112D" w:rsidRPr="00DB581B" w:rsidRDefault="00DB581B" w:rsidP="0007112D">
      <w:pPr>
        <w:tabs>
          <w:tab w:val="left" w:pos="7349"/>
        </w:tabs>
        <w:ind w:right="1253"/>
        <w:rPr>
          <w:rFonts w:cs="Arial"/>
          <w:sz w:val="20"/>
        </w:rPr>
      </w:pPr>
      <w:r w:rsidRPr="00DB581B">
        <w:rPr>
          <w:rFonts w:ascii="Arial" w:hAnsi="Arial" w:cs="Arial"/>
          <w:noProof/>
          <w:sz w:val="20"/>
          <w:lang w:eastAsia="en-GB"/>
        </w:rPr>
        <mc:AlternateContent>
          <mc:Choice Requires="wps">
            <w:drawing>
              <wp:anchor distT="0" distB="0" distL="114300" distR="114300" simplePos="0" relativeHeight="251664384" behindDoc="0" locked="0" layoutInCell="1" allowOverlap="1" wp14:anchorId="01025373" wp14:editId="51481C9F">
                <wp:simplePos x="0" y="0"/>
                <wp:positionH relativeFrom="margin">
                  <wp:align>left</wp:align>
                </wp:positionH>
                <wp:positionV relativeFrom="paragraph">
                  <wp:posOffset>676910</wp:posOffset>
                </wp:positionV>
                <wp:extent cx="6124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124575"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A3B1C" id="Straight Connector 3"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53.3pt" to="482.2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" strokecolor="#1f497d [3215]">
                <w10:wrap anchorx="margin"/>
              </v:line>
            </w:pict>
          </mc:Fallback>
        </mc:AlternateContent>
      </w:r>
      <w:r w:rsidR="00A40BA0">
        <w:rPr>
          <w:rFonts w:cs="Arial"/>
          <w:b/>
          <w:bCs/>
          <w:color w:val="002D56"/>
          <w:sz w:val="72"/>
          <w:szCs w:val="96"/>
        </w:rPr>
        <w:t>P&amp;R Board</w:t>
      </w:r>
      <w:r w:rsidR="0014765D">
        <w:rPr>
          <w:rFonts w:cs="Arial"/>
          <w:b/>
          <w:bCs/>
          <w:color w:val="002D56"/>
          <w:sz w:val="72"/>
          <w:szCs w:val="96"/>
        </w:rPr>
        <w:t xml:space="preserve"> </w:t>
      </w:r>
    </w:p>
    <w:p w:rsidR="0007112D" w:rsidRPr="00BB5146" w:rsidRDefault="00A40BA0" w:rsidP="0007112D">
      <w:pPr>
        <w:spacing w:line="240" w:lineRule="auto"/>
        <w:rPr>
          <w:rFonts w:cstheme="minorHAnsi"/>
          <w:b/>
          <w:bCs/>
          <w:color w:val="002D56"/>
          <w:sz w:val="48"/>
          <w:szCs w:val="48"/>
        </w:rPr>
      </w:pPr>
      <w:r>
        <w:rPr>
          <w:rFonts w:cstheme="minorHAnsi"/>
          <w:b/>
          <w:bCs/>
          <w:color w:val="002D56"/>
          <w:sz w:val="48"/>
          <w:szCs w:val="48"/>
        </w:rPr>
        <w:t>Action 98/2018: E</w:t>
      </w:r>
      <w:r w:rsidRPr="00A40BA0">
        <w:rPr>
          <w:rFonts w:cstheme="minorHAnsi"/>
          <w:b/>
          <w:bCs/>
          <w:color w:val="002D56"/>
          <w:sz w:val="48"/>
          <w:szCs w:val="48"/>
        </w:rPr>
        <w:t>xplore what the actual percentage change in recorded crime has been, in order to inform future forecasting of crime</w:t>
      </w:r>
    </w:p>
    <w:p w:rsidR="0007112D" w:rsidRDefault="00CC67B5" w:rsidP="0007112D">
      <w:pPr>
        <w:spacing w:line="240" w:lineRule="auto"/>
        <w:rPr>
          <w:rFonts w:asciiTheme="majorHAnsi" w:hAnsiTheme="majorHAnsi" w:cs="Arial"/>
          <w:b/>
          <w:bCs/>
          <w:color w:val="002D56"/>
          <w:sz w:val="48"/>
          <w:szCs w:val="48"/>
        </w:rPr>
      </w:pPr>
      <w:r w:rsidRPr="00BB5146">
        <w:rPr>
          <w:rFonts w:cstheme="minorHAnsi"/>
          <w:noProof/>
          <w:sz w:val="24"/>
          <w:szCs w:val="24"/>
          <w:lang w:eastAsia="en-GB"/>
        </w:rPr>
        <mc:AlternateContent>
          <mc:Choice Requires="wps">
            <w:drawing>
              <wp:anchor distT="0" distB="0" distL="114300" distR="114300" simplePos="0" relativeHeight="251665408" behindDoc="0" locked="0" layoutInCell="1" allowOverlap="1" wp14:anchorId="567EE24B" wp14:editId="5CBC3714">
                <wp:simplePos x="0" y="0"/>
                <wp:positionH relativeFrom="column">
                  <wp:posOffset>-64136</wp:posOffset>
                </wp:positionH>
                <wp:positionV relativeFrom="paragraph">
                  <wp:posOffset>55880</wp:posOffset>
                </wp:positionV>
                <wp:extent cx="5972175" cy="1246909"/>
                <wp:effectExtent l="0" t="0" r="0" b="0"/>
                <wp:wrapNone/>
                <wp:docPr id="7" name="Text Box 7"/>
                <wp:cNvGraphicFramePr/>
                <a:graphic xmlns:a="http://schemas.openxmlformats.org/drawingml/2006/main">
                  <a:graphicData uri="http://schemas.microsoft.com/office/word/2010/wordprocessingShape">
                    <wps:wsp>
                      <wps:cNvSpPr txBox="1"/>
                      <wps:spPr>
                        <a:xfrm>
                          <a:off x="0" y="0"/>
                          <a:ext cx="5972175" cy="12469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112D" w:rsidRDefault="0007112D" w:rsidP="0007112D">
                            <w:pPr>
                              <w:spacing w:before="240" w:after="0" w:line="240" w:lineRule="exact"/>
                              <w:rPr>
                                <w:rFonts w:cs="Arial"/>
                                <w:b/>
                                <w:color w:val="0F243E" w:themeColor="text2" w:themeShade="80"/>
                                <w:sz w:val="32"/>
                                <w:szCs w:val="32"/>
                              </w:rPr>
                            </w:pPr>
                            <w:r w:rsidRPr="00A308A8">
                              <w:rPr>
                                <w:rFonts w:cs="Arial"/>
                                <w:b/>
                                <w:color w:val="0F243E" w:themeColor="text2" w:themeShade="80"/>
                                <w:sz w:val="32"/>
                                <w:szCs w:val="32"/>
                              </w:rPr>
                              <w:t>Date:</w:t>
                            </w:r>
                            <w:r w:rsidR="00242E13">
                              <w:rPr>
                                <w:rFonts w:cs="Arial"/>
                                <w:b/>
                                <w:color w:val="0F243E" w:themeColor="text2" w:themeShade="80"/>
                                <w:sz w:val="32"/>
                                <w:szCs w:val="32"/>
                              </w:rPr>
                              <w:t xml:space="preserve"> </w:t>
                            </w:r>
                            <w:r w:rsidR="00A12D65">
                              <w:rPr>
                                <w:rFonts w:cs="Arial"/>
                                <w:b/>
                                <w:color w:val="0F243E" w:themeColor="text2" w:themeShade="80"/>
                                <w:sz w:val="32"/>
                                <w:szCs w:val="32"/>
                              </w:rPr>
                              <w:t>25</w:t>
                            </w:r>
                            <w:r w:rsidR="00325555">
                              <w:rPr>
                                <w:rFonts w:cs="Arial"/>
                                <w:b/>
                                <w:color w:val="0F243E" w:themeColor="text2" w:themeShade="80"/>
                                <w:sz w:val="32"/>
                                <w:szCs w:val="32"/>
                              </w:rPr>
                              <w:t xml:space="preserve"> </w:t>
                            </w:r>
                            <w:r w:rsidR="00103FB0">
                              <w:rPr>
                                <w:rFonts w:cs="Arial"/>
                                <w:b/>
                                <w:color w:val="0F243E" w:themeColor="text2" w:themeShade="80"/>
                                <w:sz w:val="32"/>
                                <w:szCs w:val="32"/>
                              </w:rPr>
                              <w:t>February</w:t>
                            </w:r>
                            <w:r w:rsidR="00242E13">
                              <w:rPr>
                                <w:rFonts w:cs="Arial"/>
                                <w:b/>
                                <w:color w:val="0F243E" w:themeColor="text2" w:themeShade="80"/>
                                <w:sz w:val="32"/>
                                <w:szCs w:val="32"/>
                              </w:rPr>
                              <w:t xml:space="preserve"> 2019</w:t>
                            </w:r>
                          </w:p>
                          <w:p w:rsidR="0014765D" w:rsidRDefault="0014765D" w:rsidP="0007112D">
                            <w:pPr>
                              <w:spacing w:before="240" w:after="0" w:line="240" w:lineRule="exact"/>
                              <w:rPr>
                                <w:rFonts w:cs="Arial"/>
                                <w:b/>
                                <w:color w:val="0F243E" w:themeColor="text2" w:themeShade="80"/>
                                <w:sz w:val="32"/>
                                <w:szCs w:val="32"/>
                              </w:rPr>
                            </w:pPr>
                            <w:r>
                              <w:rPr>
                                <w:rFonts w:cs="Arial"/>
                                <w:b/>
                                <w:color w:val="0F243E" w:themeColor="text2" w:themeShade="80"/>
                                <w:sz w:val="32"/>
                                <w:szCs w:val="32"/>
                              </w:rPr>
                              <w:t xml:space="preserve">Author: </w:t>
                            </w:r>
                            <w:r w:rsidR="00C17598">
                              <w:rPr>
                                <w:rFonts w:cs="Arial"/>
                                <w:b/>
                                <w:color w:val="0F243E" w:themeColor="text2" w:themeShade="80"/>
                                <w:sz w:val="32"/>
                                <w:szCs w:val="32"/>
                              </w:rPr>
                              <w:t>4</w:t>
                            </w:r>
                            <w:r w:rsidR="00325555">
                              <w:rPr>
                                <w:rFonts w:cs="Arial"/>
                                <w:b/>
                                <w:color w:val="0F243E" w:themeColor="text2" w:themeShade="80"/>
                                <w:sz w:val="32"/>
                                <w:szCs w:val="32"/>
                              </w:rPr>
                              <w:t>2073495 Matt Robbins</w:t>
                            </w:r>
                          </w:p>
                          <w:p w:rsidR="00D2680A" w:rsidRDefault="00903F40" w:rsidP="0007112D">
                            <w:pPr>
                              <w:spacing w:before="240" w:after="0" w:line="240" w:lineRule="exact"/>
                              <w:rPr>
                                <w:rFonts w:cs="Arial"/>
                                <w:b/>
                                <w:color w:val="0F243E" w:themeColor="text2" w:themeShade="80"/>
                                <w:sz w:val="32"/>
                                <w:szCs w:val="32"/>
                              </w:rPr>
                            </w:pPr>
                            <w:r>
                              <w:rPr>
                                <w:rFonts w:cs="Arial"/>
                                <w:b/>
                                <w:color w:val="0F243E" w:themeColor="text2" w:themeShade="80"/>
                                <w:sz w:val="32"/>
                                <w:szCs w:val="32"/>
                              </w:rPr>
                              <w:t>Version: 2.4</w:t>
                            </w:r>
                            <w:r w:rsidR="001713B1">
                              <w:rPr>
                                <w:rFonts w:cs="Arial"/>
                                <w:b/>
                                <w:color w:val="0F243E" w:themeColor="text2" w:themeShade="80"/>
                                <w:sz w:val="32"/>
                                <w:szCs w:val="32"/>
                              </w:rPr>
                              <w:tab/>
                            </w:r>
                          </w:p>
                          <w:p w:rsidR="0007112D" w:rsidRPr="00A308A8" w:rsidRDefault="0007112D" w:rsidP="0007112D">
                            <w:pPr>
                              <w:spacing w:before="240" w:after="0" w:line="240" w:lineRule="exact"/>
                              <w:rPr>
                                <w:rFonts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Pr="009C0279" w:rsidRDefault="0007112D" w:rsidP="0007112D">
                            <w:pPr>
                              <w:spacing w:before="240" w:after="0" w:line="240" w:lineRule="exact"/>
                              <w:rPr>
                                <w:rFonts w:ascii="Arial" w:hAnsi="Arial" w:cs="Arial"/>
                                <w:color w:val="0F243E" w:themeColor="text2" w:themeShade="8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EE24B" id="_x0000_t202" coordsize="21600,21600" o:spt="202" path="m,l,21600r21600,l21600,xe">
                <v:stroke joinstyle="miter"/>
                <v:path gradientshapeok="t" o:connecttype="rect"/>
              </v:shapetype>
              <v:shape id="Text Box 7" o:spid="_x0000_s1026" type="#_x0000_t202" style="position:absolute;margin-left:-5.05pt;margin-top:4.4pt;width:470.25pt;height:9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" filled="f" stroked="f" strokeweight=".5pt">
                <v:textbox>
                  <w:txbxContent>
                    <w:p w:rsidR="0007112D" w:rsidRDefault="0007112D" w:rsidP="0007112D">
                      <w:pPr>
                        <w:spacing w:before="240" w:after="0" w:line="240" w:lineRule="exact"/>
                        <w:rPr>
                          <w:rFonts w:cs="Arial"/>
                          <w:b/>
                          <w:color w:val="0F243E" w:themeColor="text2" w:themeShade="80"/>
                          <w:sz w:val="32"/>
                          <w:szCs w:val="32"/>
                        </w:rPr>
                      </w:pPr>
                      <w:r w:rsidRPr="00A308A8">
                        <w:rPr>
                          <w:rFonts w:cs="Arial"/>
                          <w:b/>
                          <w:color w:val="0F243E" w:themeColor="text2" w:themeShade="80"/>
                          <w:sz w:val="32"/>
                          <w:szCs w:val="32"/>
                        </w:rPr>
                        <w:t>Date:</w:t>
                      </w:r>
                      <w:r w:rsidR="00242E13">
                        <w:rPr>
                          <w:rFonts w:cs="Arial"/>
                          <w:b/>
                          <w:color w:val="0F243E" w:themeColor="text2" w:themeShade="80"/>
                          <w:sz w:val="32"/>
                          <w:szCs w:val="32"/>
                        </w:rPr>
                        <w:t xml:space="preserve"> </w:t>
                      </w:r>
                      <w:r w:rsidR="00A12D65">
                        <w:rPr>
                          <w:rFonts w:cs="Arial"/>
                          <w:b/>
                          <w:color w:val="0F243E" w:themeColor="text2" w:themeShade="80"/>
                          <w:sz w:val="32"/>
                          <w:szCs w:val="32"/>
                        </w:rPr>
                        <w:t>25</w:t>
                      </w:r>
                      <w:r w:rsidR="00325555">
                        <w:rPr>
                          <w:rFonts w:cs="Arial"/>
                          <w:b/>
                          <w:color w:val="0F243E" w:themeColor="text2" w:themeShade="80"/>
                          <w:sz w:val="32"/>
                          <w:szCs w:val="32"/>
                        </w:rPr>
                        <w:t xml:space="preserve"> </w:t>
                      </w:r>
                      <w:r w:rsidR="00103FB0">
                        <w:rPr>
                          <w:rFonts w:cs="Arial"/>
                          <w:b/>
                          <w:color w:val="0F243E" w:themeColor="text2" w:themeShade="80"/>
                          <w:sz w:val="32"/>
                          <w:szCs w:val="32"/>
                        </w:rPr>
                        <w:t>February</w:t>
                      </w:r>
                      <w:r w:rsidR="00242E13">
                        <w:rPr>
                          <w:rFonts w:cs="Arial"/>
                          <w:b/>
                          <w:color w:val="0F243E" w:themeColor="text2" w:themeShade="80"/>
                          <w:sz w:val="32"/>
                          <w:szCs w:val="32"/>
                        </w:rPr>
                        <w:t xml:space="preserve"> 2019</w:t>
                      </w:r>
                    </w:p>
                    <w:p w:rsidR="0014765D" w:rsidRDefault="0014765D" w:rsidP="0007112D">
                      <w:pPr>
                        <w:spacing w:before="240" w:after="0" w:line="240" w:lineRule="exact"/>
                        <w:rPr>
                          <w:rFonts w:cs="Arial"/>
                          <w:b/>
                          <w:color w:val="0F243E" w:themeColor="text2" w:themeShade="80"/>
                          <w:sz w:val="32"/>
                          <w:szCs w:val="32"/>
                        </w:rPr>
                      </w:pPr>
                      <w:r>
                        <w:rPr>
                          <w:rFonts w:cs="Arial"/>
                          <w:b/>
                          <w:color w:val="0F243E" w:themeColor="text2" w:themeShade="80"/>
                          <w:sz w:val="32"/>
                          <w:szCs w:val="32"/>
                        </w:rPr>
                        <w:t xml:space="preserve">Author: </w:t>
                      </w:r>
                      <w:r w:rsidR="00C17598">
                        <w:rPr>
                          <w:rFonts w:cs="Arial"/>
                          <w:b/>
                          <w:color w:val="0F243E" w:themeColor="text2" w:themeShade="80"/>
                          <w:sz w:val="32"/>
                          <w:szCs w:val="32"/>
                        </w:rPr>
                        <w:t>4</w:t>
                      </w:r>
                      <w:r w:rsidR="00325555">
                        <w:rPr>
                          <w:rFonts w:cs="Arial"/>
                          <w:b/>
                          <w:color w:val="0F243E" w:themeColor="text2" w:themeShade="80"/>
                          <w:sz w:val="32"/>
                          <w:szCs w:val="32"/>
                        </w:rPr>
                        <w:t>2073495 Matt Robbins</w:t>
                      </w:r>
                    </w:p>
                    <w:p w:rsidR="00D2680A" w:rsidRDefault="00903F40" w:rsidP="0007112D">
                      <w:pPr>
                        <w:spacing w:before="240" w:after="0" w:line="240" w:lineRule="exact"/>
                        <w:rPr>
                          <w:rFonts w:cs="Arial"/>
                          <w:b/>
                          <w:color w:val="0F243E" w:themeColor="text2" w:themeShade="80"/>
                          <w:sz w:val="32"/>
                          <w:szCs w:val="32"/>
                        </w:rPr>
                      </w:pPr>
                      <w:r>
                        <w:rPr>
                          <w:rFonts w:cs="Arial"/>
                          <w:b/>
                          <w:color w:val="0F243E" w:themeColor="text2" w:themeShade="80"/>
                          <w:sz w:val="32"/>
                          <w:szCs w:val="32"/>
                        </w:rPr>
                        <w:t>Version: 2.4</w:t>
                      </w:r>
                      <w:r w:rsidR="001713B1">
                        <w:rPr>
                          <w:rFonts w:cs="Arial"/>
                          <w:b/>
                          <w:color w:val="0F243E" w:themeColor="text2" w:themeShade="80"/>
                          <w:sz w:val="32"/>
                          <w:szCs w:val="32"/>
                        </w:rPr>
                        <w:tab/>
                      </w:r>
                    </w:p>
                    <w:p w:rsidR="0007112D" w:rsidRPr="00A308A8" w:rsidRDefault="0007112D" w:rsidP="0007112D">
                      <w:pPr>
                        <w:spacing w:before="240" w:after="0" w:line="240" w:lineRule="exact"/>
                        <w:rPr>
                          <w:rFonts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Default="0007112D" w:rsidP="0007112D">
                      <w:pPr>
                        <w:spacing w:before="240" w:after="0" w:line="240" w:lineRule="exact"/>
                        <w:rPr>
                          <w:rFonts w:ascii="Arial" w:hAnsi="Arial" w:cs="Arial"/>
                          <w:color w:val="0F243E" w:themeColor="text2" w:themeShade="80"/>
                          <w:sz w:val="32"/>
                          <w:szCs w:val="32"/>
                        </w:rPr>
                      </w:pPr>
                    </w:p>
                    <w:p w:rsidR="0007112D" w:rsidRPr="009C0279" w:rsidRDefault="0007112D" w:rsidP="0007112D">
                      <w:pPr>
                        <w:spacing w:before="240" w:after="0" w:line="240" w:lineRule="exact"/>
                        <w:rPr>
                          <w:rFonts w:ascii="Arial" w:hAnsi="Arial" w:cs="Arial"/>
                          <w:color w:val="0F243E" w:themeColor="text2" w:themeShade="80"/>
                          <w:sz w:val="32"/>
                          <w:szCs w:val="32"/>
                        </w:rPr>
                      </w:pPr>
                    </w:p>
                  </w:txbxContent>
                </v:textbox>
              </v:shape>
            </w:pict>
          </mc:Fallback>
        </mc:AlternateContent>
      </w: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Default="0007112D" w:rsidP="0007112D">
      <w:pPr>
        <w:spacing w:line="240" w:lineRule="auto"/>
        <w:rPr>
          <w:rFonts w:asciiTheme="majorHAnsi" w:hAnsiTheme="majorHAnsi" w:cs="Arial"/>
          <w:b/>
          <w:bCs/>
          <w:color w:val="002D56"/>
          <w:sz w:val="48"/>
          <w:szCs w:val="48"/>
        </w:rPr>
      </w:pPr>
    </w:p>
    <w:p w:rsidR="0007112D" w:rsidRPr="00A40BA0" w:rsidRDefault="0007112D" w:rsidP="0007112D">
      <w:pPr>
        <w:spacing w:line="240" w:lineRule="auto"/>
        <w:rPr>
          <w:rFonts w:asciiTheme="majorHAnsi" w:hAnsiTheme="majorHAnsi" w:cs="Arial"/>
          <w:b/>
          <w:bCs/>
          <w:color w:val="002D56"/>
          <w:sz w:val="16"/>
          <w:szCs w:val="16"/>
        </w:rPr>
      </w:pPr>
    </w:p>
    <w:p w:rsidR="00E5351B" w:rsidRPr="001E55BF" w:rsidRDefault="00E5351B" w:rsidP="00E5351B">
      <w:pPr>
        <w:pStyle w:val="ListParagraph"/>
        <w:numPr>
          <w:ilvl w:val="0"/>
          <w:numId w:val="1"/>
        </w:numPr>
        <w:spacing w:line="240" w:lineRule="auto"/>
        <w:ind w:left="360"/>
        <w:rPr>
          <w:rFonts w:cstheme="minorHAnsi"/>
          <w:b/>
          <w:bCs/>
          <w:color w:val="002D56"/>
          <w:sz w:val="24"/>
          <w:szCs w:val="24"/>
        </w:rPr>
      </w:pPr>
      <w:r w:rsidRPr="001E55BF">
        <w:rPr>
          <w:rFonts w:cstheme="minorHAnsi"/>
          <w:b/>
          <w:bCs/>
          <w:color w:val="002D56"/>
          <w:sz w:val="24"/>
          <w:szCs w:val="24"/>
        </w:rPr>
        <w:t>Aim and Purpose</w:t>
      </w:r>
    </w:p>
    <w:p w:rsidR="00E5351B" w:rsidRDefault="00FF6463" w:rsidP="00E5351B">
      <w:pPr>
        <w:spacing w:line="240" w:lineRule="auto"/>
        <w:rPr>
          <w:rFonts w:cstheme="minorHAnsi"/>
          <w:bCs/>
          <w:color w:val="000000" w:themeColor="text1"/>
          <w:sz w:val="24"/>
          <w:szCs w:val="24"/>
        </w:rPr>
      </w:pPr>
      <w:r>
        <w:rPr>
          <w:rFonts w:cstheme="minorHAnsi"/>
          <w:bCs/>
          <w:color w:val="000000" w:themeColor="text1"/>
          <w:sz w:val="24"/>
          <w:szCs w:val="24"/>
        </w:rPr>
        <w:t>P&amp;R</w:t>
      </w:r>
      <w:r w:rsidR="00E5351B">
        <w:rPr>
          <w:rFonts w:cstheme="minorHAnsi"/>
          <w:bCs/>
          <w:color w:val="000000" w:themeColor="text1"/>
          <w:sz w:val="24"/>
          <w:szCs w:val="24"/>
        </w:rPr>
        <w:t xml:space="preserve"> action </w:t>
      </w:r>
      <w:r w:rsidR="007F3A1D">
        <w:rPr>
          <w:rFonts w:cstheme="minorHAnsi"/>
          <w:bCs/>
          <w:color w:val="000000" w:themeColor="text1"/>
          <w:sz w:val="24"/>
          <w:szCs w:val="24"/>
        </w:rPr>
        <w:t>98/2018</w:t>
      </w:r>
      <w:r w:rsidR="00E5351B">
        <w:rPr>
          <w:rFonts w:cstheme="minorHAnsi"/>
          <w:bCs/>
          <w:color w:val="000000" w:themeColor="text1"/>
          <w:sz w:val="24"/>
          <w:szCs w:val="24"/>
        </w:rPr>
        <w:t>:</w:t>
      </w:r>
    </w:p>
    <w:p w:rsidR="007F3A1D" w:rsidRPr="00F16D4A" w:rsidRDefault="007F3A1D" w:rsidP="00F16D4A">
      <w:pPr>
        <w:spacing w:line="240" w:lineRule="auto"/>
        <w:ind w:left="720"/>
        <w:rPr>
          <w:rFonts w:cstheme="minorHAnsi"/>
          <w:bCs/>
          <w:i/>
          <w:sz w:val="24"/>
          <w:szCs w:val="24"/>
        </w:rPr>
      </w:pPr>
      <w:r w:rsidRPr="00F16D4A">
        <w:rPr>
          <w:rFonts w:cstheme="minorHAnsi"/>
          <w:bCs/>
          <w:i/>
          <w:sz w:val="24"/>
          <w:szCs w:val="24"/>
        </w:rPr>
        <w:t>Work on the Crime Data Tree back to May 2015 and explore what the actual percentage change in recorded crime has been, in order to inform future forecasting of crime. This piece of work once completed will be presented to the Board.</w:t>
      </w:r>
    </w:p>
    <w:p w:rsidR="00186616" w:rsidRPr="00F4212B" w:rsidRDefault="00202544" w:rsidP="00E5351B">
      <w:pPr>
        <w:spacing w:line="240" w:lineRule="auto"/>
        <w:rPr>
          <w:rFonts w:cstheme="minorHAnsi"/>
          <w:bCs/>
          <w:color w:val="000000" w:themeColor="text1"/>
          <w:sz w:val="24"/>
          <w:szCs w:val="24"/>
        </w:rPr>
      </w:pPr>
      <w:r>
        <w:rPr>
          <w:rFonts w:cstheme="minorHAnsi"/>
          <w:bCs/>
          <w:color w:val="000000" w:themeColor="text1"/>
          <w:sz w:val="24"/>
          <w:szCs w:val="24"/>
        </w:rPr>
        <w:t>This</w:t>
      </w:r>
      <w:r w:rsidR="00E4703A">
        <w:rPr>
          <w:rFonts w:cstheme="minorHAnsi"/>
          <w:bCs/>
          <w:color w:val="000000" w:themeColor="text1"/>
          <w:sz w:val="24"/>
          <w:szCs w:val="24"/>
        </w:rPr>
        <w:t xml:space="preserve"> report </w:t>
      </w:r>
      <w:r w:rsidR="00810992">
        <w:rPr>
          <w:rFonts w:cstheme="minorHAnsi"/>
          <w:bCs/>
          <w:color w:val="000000" w:themeColor="text1"/>
          <w:sz w:val="24"/>
          <w:szCs w:val="24"/>
        </w:rPr>
        <w:t xml:space="preserve">identifies </w:t>
      </w:r>
      <w:r w:rsidR="00C11A4C">
        <w:rPr>
          <w:rFonts w:cstheme="minorHAnsi"/>
          <w:bCs/>
          <w:color w:val="000000" w:themeColor="text1"/>
          <w:sz w:val="24"/>
          <w:szCs w:val="24"/>
        </w:rPr>
        <w:t>the rise in e</w:t>
      </w:r>
      <w:r w:rsidR="00C11A4C" w:rsidRPr="00C11A4C">
        <w:rPr>
          <w:rFonts w:cstheme="minorHAnsi"/>
          <w:bCs/>
          <w:color w:val="000000" w:themeColor="text1"/>
          <w:sz w:val="24"/>
          <w:szCs w:val="24"/>
        </w:rPr>
        <w:t xml:space="preserve">xternal </w:t>
      </w:r>
      <w:r w:rsidR="00810992">
        <w:rPr>
          <w:rFonts w:cstheme="minorHAnsi"/>
          <w:bCs/>
          <w:color w:val="000000" w:themeColor="text1"/>
          <w:sz w:val="24"/>
          <w:szCs w:val="24"/>
        </w:rPr>
        <w:t xml:space="preserve">levels of </w:t>
      </w:r>
      <w:r w:rsidR="00C11A4C" w:rsidRPr="00C11A4C">
        <w:rPr>
          <w:rFonts w:cstheme="minorHAnsi"/>
          <w:bCs/>
          <w:color w:val="000000" w:themeColor="text1"/>
          <w:sz w:val="24"/>
          <w:szCs w:val="24"/>
        </w:rPr>
        <w:t>crime</w:t>
      </w:r>
      <w:r w:rsidR="00810992">
        <w:rPr>
          <w:rFonts w:cstheme="minorHAnsi"/>
          <w:bCs/>
          <w:color w:val="000000" w:themeColor="text1"/>
          <w:sz w:val="24"/>
          <w:szCs w:val="24"/>
        </w:rPr>
        <w:t>, i.e.</w:t>
      </w:r>
      <w:r w:rsidR="00C11A4C">
        <w:rPr>
          <w:rFonts w:cstheme="minorHAnsi"/>
          <w:bCs/>
          <w:color w:val="000000" w:themeColor="text1"/>
          <w:sz w:val="24"/>
          <w:szCs w:val="24"/>
        </w:rPr>
        <w:t xml:space="preserve"> </w:t>
      </w:r>
      <w:r w:rsidR="00810992">
        <w:rPr>
          <w:rFonts w:cstheme="minorHAnsi"/>
          <w:bCs/>
          <w:color w:val="000000" w:themeColor="text1"/>
          <w:sz w:val="24"/>
          <w:szCs w:val="24"/>
        </w:rPr>
        <w:t xml:space="preserve">offences that are </w:t>
      </w:r>
      <w:r w:rsidR="00C11A4C" w:rsidRPr="00C11A4C">
        <w:rPr>
          <w:rFonts w:cstheme="minorHAnsi"/>
          <w:bCs/>
          <w:color w:val="000000" w:themeColor="text1"/>
          <w:sz w:val="24"/>
          <w:szCs w:val="24"/>
        </w:rPr>
        <w:t xml:space="preserve">unaffected by </w:t>
      </w:r>
      <w:r w:rsidR="00810992" w:rsidRPr="00C11A4C">
        <w:rPr>
          <w:rFonts w:cstheme="minorHAnsi"/>
          <w:bCs/>
          <w:color w:val="000000" w:themeColor="text1"/>
          <w:sz w:val="24"/>
          <w:szCs w:val="24"/>
        </w:rPr>
        <w:t>C</w:t>
      </w:r>
      <w:r w:rsidR="00810992">
        <w:rPr>
          <w:rFonts w:cstheme="minorHAnsi"/>
          <w:bCs/>
          <w:color w:val="000000" w:themeColor="text1"/>
          <w:sz w:val="24"/>
          <w:szCs w:val="24"/>
        </w:rPr>
        <w:t>rime Data Accuracy (C</w:t>
      </w:r>
      <w:r w:rsidR="00810992" w:rsidRPr="00C11A4C">
        <w:rPr>
          <w:rFonts w:cstheme="minorHAnsi"/>
          <w:bCs/>
          <w:color w:val="000000" w:themeColor="text1"/>
          <w:sz w:val="24"/>
          <w:szCs w:val="24"/>
        </w:rPr>
        <w:t>DA</w:t>
      </w:r>
      <w:r w:rsidR="00810992">
        <w:rPr>
          <w:rFonts w:cstheme="minorHAnsi"/>
          <w:bCs/>
          <w:color w:val="000000" w:themeColor="text1"/>
          <w:sz w:val="24"/>
          <w:szCs w:val="24"/>
        </w:rPr>
        <w:t>)</w:t>
      </w:r>
      <w:r w:rsidR="00810992" w:rsidRPr="00C11A4C">
        <w:rPr>
          <w:rFonts w:cstheme="minorHAnsi"/>
          <w:bCs/>
          <w:color w:val="000000" w:themeColor="text1"/>
          <w:sz w:val="24"/>
          <w:szCs w:val="24"/>
        </w:rPr>
        <w:t xml:space="preserve"> and </w:t>
      </w:r>
      <w:r w:rsidR="00810992">
        <w:rPr>
          <w:rFonts w:cstheme="minorHAnsi"/>
          <w:bCs/>
          <w:color w:val="000000" w:themeColor="text1"/>
          <w:sz w:val="24"/>
          <w:szCs w:val="24"/>
        </w:rPr>
        <w:t>Home Office Counting Rules (</w:t>
      </w:r>
      <w:r w:rsidR="00810992" w:rsidRPr="00C11A4C">
        <w:rPr>
          <w:rFonts w:cstheme="minorHAnsi"/>
          <w:bCs/>
          <w:color w:val="000000" w:themeColor="text1"/>
          <w:sz w:val="24"/>
          <w:szCs w:val="24"/>
        </w:rPr>
        <w:t>HOCR)</w:t>
      </w:r>
      <w:r w:rsidR="00810992">
        <w:rPr>
          <w:rFonts w:cstheme="minorHAnsi"/>
          <w:bCs/>
          <w:color w:val="000000" w:themeColor="text1"/>
          <w:sz w:val="24"/>
          <w:szCs w:val="24"/>
        </w:rPr>
        <w:t xml:space="preserve">.   It </w:t>
      </w:r>
      <w:r w:rsidR="00F4212B">
        <w:rPr>
          <w:rFonts w:cstheme="minorHAnsi"/>
          <w:bCs/>
          <w:color w:val="000000" w:themeColor="text1"/>
          <w:sz w:val="24"/>
          <w:szCs w:val="24"/>
        </w:rPr>
        <w:t>compare</w:t>
      </w:r>
      <w:r w:rsidR="00842840">
        <w:rPr>
          <w:rFonts w:cstheme="minorHAnsi"/>
          <w:bCs/>
          <w:color w:val="000000" w:themeColor="text1"/>
          <w:sz w:val="24"/>
          <w:szCs w:val="24"/>
        </w:rPr>
        <w:t>s</w:t>
      </w:r>
      <w:r w:rsidR="00F4212B">
        <w:rPr>
          <w:rFonts w:cstheme="minorHAnsi"/>
          <w:bCs/>
          <w:color w:val="000000" w:themeColor="text1"/>
          <w:sz w:val="24"/>
          <w:szCs w:val="24"/>
        </w:rPr>
        <w:t xml:space="preserve"> </w:t>
      </w:r>
      <w:r w:rsidR="00C11A4C">
        <w:rPr>
          <w:rFonts w:cstheme="minorHAnsi"/>
          <w:bCs/>
          <w:color w:val="000000" w:themeColor="text1"/>
          <w:sz w:val="24"/>
          <w:szCs w:val="24"/>
        </w:rPr>
        <w:t xml:space="preserve">this </w:t>
      </w:r>
      <w:r w:rsidR="00810992">
        <w:rPr>
          <w:rFonts w:cstheme="minorHAnsi"/>
          <w:bCs/>
          <w:color w:val="000000" w:themeColor="text1"/>
          <w:sz w:val="24"/>
          <w:szCs w:val="24"/>
        </w:rPr>
        <w:t xml:space="preserve">external increase </w:t>
      </w:r>
      <w:r w:rsidR="00100DF9">
        <w:rPr>
          <w:rFonts w:cstheme="minorHAnsi"/>
          <w:bCs/>
          <w:color w:val="000000" w:themeColor="text1"/>
          <w:sz w:val="24"/>
          <w:szCs w:val="24"/>
        </w:rPr>
        <w:t xml:space="preserve">in crime </w:t>
      </w:r>
      <w:r w:rsidR="00C11A4C">
        <w:rPr>
          <w:rFonts w:cstheme="minorHAnsi"/>
          <w:bCs/>
          <w:color w:val="000000" w:themeColor="text1"/>
          <w:sz w:val="24"/>
          <w:szCs w:val="24"/>
        </w:rPr>
        <w:t xml:space="preserve">to </w:t>
      </w:r>
      <w:r w:rsidR="00810992">
        <w:rPr>
          <w:rFonts w:cstheme="minorHAnsi"/>
          <w:bCs/>
          <w:color w:val="000000" w:themeColor="text1"/>
          <w:sz w:val="24"/>
          <w:szCs w:val="24"/>
        </w:rPr>
        <w:t>the overall increase that has been driven by</w:t>
      </w:r>
      <w:r w:rsidR="00E4703A">
        <w:rPr>
          <w:rFonts w:cstheme="minorHAnsi"/>
          <w:bCs/>
          <w:color w:val="000000" w:themeColor="text1"/>
          <w:sz w:val="24"/>
          <w:szCs w:val="24"/>
        </w:rPr>
        <w:t xml:space="preserve"> </w:t>
      </w:r>
      <w:r w:rsidR="00F4212B">
        <w:rPr>
          <w:rFonts w:cstheme="minorHAnsi"/>
          <w:bCs/>
          <w:color w:val="000000" w:themeColor="text1"/>
          <w:sz w:val="24"/>
          <w:szCs w:val="24"/>
        </w:rPr>
        <w:t>CDA</w:t>
      </w:r>
      <w:r w:rsidR="00051EE1">
        <w:rPr>
          <w:rFonts w:cstheme="minorHAnsi"/>
          <w:bCs/>
          <w:color w:val="000000" w:themeColor="text1"/>
          <w:sz w:val="24"/>
          <w:szCs w:val="24"/>
        </w:rPr>
        <w:t xml:space="preserve"> and</w:t>
      </w:r>
      <w:r w:rsidR="001E0093">
        <w:rPr>
          <w:rFonts w:cstheme="minorHAnsi"/>
          <w:bCs/>
          <w:color w:val="000000" w:themeColor="text1"/>
          <w:sz w:val="24"/>
          <w:szCs w:val="24"/>
        </w:rPr>
        <w:t xml:space="preserve"> </w:t>
      </w:r>
      <w:r w:rsidR="00051EE1">
        <w:rPr>
          <w:rFonts w:cstheme="minorHAnsi"/>
          <w:bCs/>
          <w:color w:val="000000" w:themeColor="text1"/>
          <w:sz w:val="24"/>
          <w:szCs w:val="24"/>
        </w:rPr>
        <w:t>HOCR</w:t>
      </w:r>
      <w:r w:rsidR="00F4212B">
        <w:rPr>
          <w:rFonts w:cstheme="minorHAnsi"/>
          <w:bCs/>
          <w:color w:val="000000" w:themeColor="text1"/>
          <w:sz w:val="24"/>
          <w:szCs w:val="24"/>
        </w:rPr>
        <w:t>.</w:t>
      </w:r>
    </w:p>
    <w:p w:rsidR="00E5351B" w:rsidRDefault="00E5351B" w:rsidP="00E5351B">
      <w:pPr>
        <w:pStyle w:val="ListParagraph"/>
        <w:numPr>
          <w:ilvl w:val="0"/>
          <w:numId w:val="1"/>
        </w:numPr>
        <w:spacing w:line="240" w:lineRule="auto"/>
        <w:ind w:left="360"/>
        <w:rPr>
          <w:rFonts w:cstheme="minorHAnsi"/>
          <w:b/>
          <w:bCs/>
          <w:color w:val="002D56"/>
          <w:sz w:val="24"/>
          <w:szCs w:val="24"/>
        </w:rPr>
      </w:pPr>
      <w:r>
        <w:rPr>
          <w:rFonts w:cstheme="minorHAnsi"/>
          <w:b/>
          <w:bCs/>
          <w:color w:val="002D56"/>
          <w:sz w:val="24"/>
          <w:szCs w:val="24"/>
        </w:rPr>
        <w:t>Executive Summary</w:t>
      </w:r>
    </w:p>
    <w:p w:rsidR="00810992" w:rsidRDefault="00810992" w:rsidP="00810992">
      <w:pPr>
        <w:pStyle w:val="ListParagraph"/>
        <w:spacing w:line="240" w:lineRule="auto"/>
        <w:ind w:left="1440"/>
        <w:rPr>
          <w:rFonts w:cstheme="minorHAnsi"/>
          <w:b/>
          <w:bCs/>
          <w:color w:val="002D56"/>
          <w:sz w:val="24"/>
          <w:szCs w:val="24"/>
        </w:rPr>
      </w:pPr>
    </w:p>
    <w:p w:rsidR="00CB5103" w:rsidRDefault="00CB5103" w:rsidP="00CB5103">
      <w:pPr>
        <w:pStyle w:val="ListParagraph"/>
        <w:numPr>
          <w:ilvl w:val="1"/>
          <w:numId w:val="1"/>
        </w:numPr>
        <w:spacing w:line="240" w:lineRule="auto"/>
        <w:rPr>
          <w:rFonts w:cstheme="minorHAnsi"/>
          <w:b/>
          <w:bCs/>
          <w:color w:val="002D56"/>
          <w:sz w:val="24"/>
          <w:szCs w:val="24"/>
        </w:rPr>
      </w:pPr>
      <w:r>
        <w:rPr>
          <w:rFonts w:cstheme="minorHAnsi"/>
          <w:b/>
          <w:bCs/>
          <w:color w:val="002D56"/>
          <w:sz w:val="24"/>
          <w:szCs w:val="24"/>
        </w:rPr>
        <w:lastRenderedPageBreak/>
        <w:t>10.9% genu</w:t>
      </w:r>
      <w:r w:rsidR="00835CA1">
        <w:rPr>
          <w:rFonts w:cstheme="minorHAnsi"/>
          <w:b/>
          <w:bCs/>
          <w:color w:val="002D56"/>
          <w:sz w:val="24"/>
          <w:szCs w:val="24"/>
        </w:rPr>
        <w:t>ine</w:t>
      </w:r>
      <w:r w:rsidR="00246525">
        <w:rPr>
          <w:rStyle w:val="FootnoteReference"/>
          <w:rFonts w:cstheme="minorHAnsi"/>
          <w:b/>
          <w:bCs/>
          <w:color w:val="002D56"/>
          <w:sz w:val="24"/>
          <w:szCs w:val="24"/>
        </w:rPr>
        <w:footnoteReference w:id="1"/>
      </w:r>
      <w:r w:rsidR="00835CA1">
        <w:rPr>
          <w:rFonts w:cstheme="minorHAnsi"/>
          <w:b/>
          <w:bCs/>
          <w:color w:val="002D56"/>
          <w:sz w:val="24"/>
          <w:szCs w:val="24"/>
        </w:rPr>
        <w:t xml:space="preserve"> increase in crime reporting</w:t>
      </w:r>
    </w:p>
    <w:p w:rsidR="00CB5103" w:rsidRDefault="00CB5103" w:rsidP="00CB5103">
      <w:pPr>
        <w:spacing w:line="240" w:lineRule="auto"/>
        <w:rPr>
          <w:rFonts w:cstheme="minorHAnsi"/>
          <w:bCs/>
          <w:color w:val="000000" w:themeColor="text1"/>
          <w:sz w:val="24"/>
          <w:szCs w:val="24"/>
        </w:rPr>
      </w:pPr>
      <w:r>
        <w:rPr>
          <w:rFonts w:cstheme="minorHAnsi"/>
          <w:bCs/>
          <w:color w:val="000000" w:themeColor="text1"/>
          <w:sz w:val="24"/>
          <w:szCs w:val="24"/>
        </w:rPr>
        <w:t>As a proxy measure to determine t</w:t>
      </w:r>
      <w:r w:rsidR="00835CA1">
        <w:rPr>
          <w:rFonts w:cstheme="minorHAnsi"/>
          <w:bCs/>
          <w:color w:val="000000" w:themeColor="text1"/>
          <w:sz w:val="24"/>
          <w:szCs w:val="24"/>
        </w:rPr>
        <w:t>he genuine increase in report</w:t>
      </w:r>
      <w:r w:rsidR="00903F40">
        <w:rPr>
          <w:rFonts w:cstheme="minorHAnsi"/>
          <w:bCs/>
          <w:color w:val="000000" w:themeColor="text1"/>
          <w:sz w:val="24"/>
          <w:szCs w:val="24"/>
        </w:rPr>
        <w:t>ed</w:t>
      </w:r>
      <w:r w:rsidR="00835CA1">
        <w:rPr>
          <w:rFonts w:cstheme="minorHAnsi"/>
          <w:bCs/>
          <w:color w:val="000000" w:themeColor="text1"/>
          <w:sz w:val="24"/>
          <w:szCs w:val="24"/>
        </w:rPr>
        <w:t xml:space="preserve"> crime</w:t>
      </w:r>
      <w:r>
        <w:rPr>
          <w:rFonts w:cstheme="minorHAnsi"/>
          <w:bCs/>
          <w:color w:val="000000" w:themeColor="text1"/>
          <w:sz w:val="24"/>
          <w:szCs w:val="24"/>
        </w:rPr>
        <w:t>, STORM incidents with a crime-related initial category</w:t>
      </w:r>
      <w:r w:rsidR="00835CA1">
        <w:rPr>
          <w:rFonts w:cstheme="minorHAnsi"/>
          <w:bCs/>
          <w:color w:val="000000" w:themeColor="text1"/>
          <w:sz w:val="24"/>
          <w:szCs w:val="24"/>
        </w:rPr>
        <w:t xml:space="preserve"> were analysed. These incidents are not </w:t>
      </w:r>
      <w:r>
        <w:rPr>
          <w:rFonts w:cstheme="minorHAnsi"/>
          <w:bCs/>
          <w:color w:val="000000" w:themeColor="text1"/>
          <w:sz w:val="24"/>
          <w:szCs w:val="24"/>
        </w:rPr>
        <w:t xml:space="preserve">subject to </w:t>
      </w:r>
      <w:r w:rsidRPr="00DF6581">
        <w:rPr>
          <w:rFonts w:cstheme="minorHAnsi"/>
          <w:bCs/>
          <w:color w:val="000000" w:themeColor="text1"/>
          <w:sz w:val="24"/>
          <w:szCs w:val="24"/>
        </w:rPr>
        <w:t>Crime Data Accuracy</w:t>
      </w:r>
      <w:r>
        <w:rPr>
          <w:rFonts w:cstheme="minorHAnsi"/>
          <w:bCs/>
          <w:color w:val="000000" w:themeColor="text1"/>
          <w:sz w:val="24"/>
          <w:szCs w:val="24"/>
        </w:rPr>
        <w:t xml:space="preserve"> (CDA) or </w:t>
      </w:r>
      <w:r w:rsidRPr="00DF6581">
        <w:rPr>
          <w:rFonts w:cstheme="minorHAnsi"/>
          <w:bCs/>
          <w:color w:val="000000" w:themeColor="text1"/>
          <w:sz w:val="24"/>
          <w:szCs w:val="24"/>
        </w:rPr>
        <w:t>Home Office Counting Rules</w:t>
      </w:r>
      <w:r>
        <w:rPr>
          <w:rFonts w:cstheme="minorHAnsi"/>
          <w:bCs/>
          <w:color w:val="000000" w:themeColor="text1"/>
          <w:sz w:val="24"/>
          <w:szCs w:val="24"/>
        </w:rPr>
        <w:t xml:space="preserve"> (HOCR).  By applying proportion changes to the volume of these STORM incidents to </w:t>
      </w:r>
      <w:r w:rsidR="00835CA1">
        <w:rPr>
          <w:rFonts w:cstheme="minorHAnsi"/>
          <w:bCs/>
          <w:color w:val="000000" w:themeColor="text1"/>
          <w:sz w:val="24"/>
          <w:szCs w:val="24"/>
        </w:rPr>
        <w:t xml:space="preserve">All Crime numbers, </w:t>
      </w:r>
      <w:r>
        <w:rPr>
          <w:rFonts w:cstheme="minorHAnsi"/>
          <w:bCs/>
          <w:color w:val="000000" w:themeColor="text1"/>
          <w:sz w:val="24"/>
          <w:szCs w:val="24"/>
        </w:rPr>
        <w:t>a 10.9% genuine increase in crime reported between May 2015 to January 2019</w:t>
      </w:r>
      <w:r w:rsidR="00835CA1">
        <w:rPr>
          <w:rFonts w:cstheme="minorHAnsi"/>
          <w:bCs/>
          <w:color w:val="000000" w:themeColor="text1"/>
          <w:sz w:val="24"/>
          <w:szCs w:val="24"/>
        </w:rPr>
        <w:t xml:space="preserve"> was found</w:t>
      </w:r>
      <w:r w:rsidR="00634E70">
        <w:rPr>
          <w:rFonts w:cstheme="minorHAnsi"/>
          <w:bCs/>
          <w:color w:val="000000" w:themeColor="text1"/>
          <w:sz w:val="24"/>
          <w:szCs w:val="24"/>
        </w:rPr>
        <w:t xml:space="preserve"> (</w:t>
      </w:r>
      <w:r w:rsidR="00100DF9">
        <w:rPr>
          <w:rFonts w:cstheme="minorHAnsi"/>
          <w:bCs/>
          <w:color w:val="000000" w:themeColor="text1"/>
          <w:sz w:val="24"/>
          <w:szCs w:val="24"/>
        </w:rPr>
        <w:t xml:space="preserve">this </w:t>
      </w:r>
      <w:r w:rsidR="00810992">
        <w:rPr>
          <w:rFonts w:cstheme="minorHAnsi"/>
          <w:bCs/>
          <w:color w:val="000000" w:themeColor="text1"/>
          <w:sz w:val="24"/>
          <w:szCs w:val="24"/>
        </w:rPr>
        <w:t>equat</w:t>
      </w:r>
      <w:r w:rsidR="00634E70">
        <w:rPr>
          <w:rFonts w:cstheme="minorHAnsi"/>
          <w:bCs/>
          <w:color w:val="000000" w:themeColor="text1"/>
          <w:sz w:val="24"/>
          <w:szCs w:val="24"/>
        </w:rPr>
        <w:t>e</w:t>
      </w:r>
      <w:r w:rsidR="00100DF9">
        <w:rPr>
          <w:rFonts w:cstheme="minorHAnsi"/>
          <w:bCs/>
          <w:color w:val="000000" w:themeColor="text1"/>
          <w:sz w:val="24"/>
          <w:szCs w:val="24"/>
        </w:rPr>
        <w:t>s</w:t>
      </w:r>
      <w:r w:rsidR="00810992">
        <w:rPr>
          <w:rFonts w:cstheme="minorHAnsi"/>
          <w:bCs/>
          <w:color w:val="000000" w:themeColor="text1"/>
          <w:sz w:val="24"/>
          <w:szCs w:val="24"/>
        </w:rPr>
        <w:t xml:space="preserve"> to 900 additional offences per month</w:t>
      </w:r>
      <w:r w:rsidR="00634E70">
        <w:rPr>
          <w:rFonts w:cstheme="minorHAnsi"/>
          <w:bCs/>
          <w:color w:val="000000" w:themeColor="text1"/>
          <w:sz w:val="24"/>
          <w:szCs w:val="24"/>
        </w:rPr>
        <w:t>)</w:t>
      </w:r>
      <w:r>
        <w:rPr>
          <w:rFonts w:cstheme="minorHAnsi"/>
          <w:bCs/>
          <w:color w:val="000000" w:themeColor="text1"/>
          <w:sz w:val="24"/>
          <w:szCs w:val="24"/>
        </w:rPr>
        <w:t>.  This can be compared to the 53.6% increase</w:t>
      </w:r>
      <w:r>
        <w:rPr>
          <w:rStyle w:val="FootnoteReference"/>
          <w:rFonts w:cstheme="minorHAnsi"/>
          <w:bCs/>
          <w:color w:val="000000" w:themeColor="text1"/>
          <w:sz w:val="24"/>
          <w:szCs w:val="24"/>
        </w:rPr>
        <w:footnoteReference w:id="2"/>
      </w:r>
      <w:r w:rsidR="00835CA1">
        <w:rPr>
          <w:rFonts w:cstheme="minorHAnsi"/>
          <w:bCs/>
          <w:color w:val="000000" w:themeColor="text1"/>
          <w:sz w:val="24"/>
          <w:szCs w:val="24"/>
        </w:rPr>
        <w:t xml:space="preserve"> in all crime recorded </w:t>
      </w:r>
      <w:r>
        <w:rPr>
          <w:rFonts w:cstheme="minorHAnsi"/>
          <w:bCs/>
          <w:color w:val="000000" w:themeColor="text1"/>
          <w:sz w:val="24"/>
          <w:szCs w:val="24"/>
        </w:rPr>
        <w:t>in the same time period.</w:t>
      </w:r>
    </w:p>
    <w:p w:rsidR="00CB5103" w:rsidRDefault="00CB5103" w:rsidP="00CB5103">
      <w:pPr>
        <w:pStyle w:val="ListParagraph"/>
        <w:numPr>
          <w:ilvl w:val="1"/>
          <w:numId w:val="1"/>
        </w:numPr>
        <w:spacing w:line="240" w:lineRule="auto"/>
        <w:rPr>
          <w:rFonts w:cstheme="minorHAnsi"/>
          <w:b/>
          <w:bCs/>
          <w:color w:val="002D56"/>
          <w:sz w:val="24"/>
          <w:szCs w:val="24"/>
        </w:rPr>
      </w:pPr>
      <w:r>
        <w:rPr>
          <w:rFonts w:cstheme="minorHAnsi"/>
          <w:b/>
          <w:bCs/>
          <w:color w:val="002D56"/>
          <w:sz w:val="24"/>
          <w:szCs w:val="24"/>
        </w:rPr>
        <w:t>21.6% rise in crime due to better Crime Data Accuracy (CDA)</w:t>
      </w:r>
    </w:p>
    <w:p w:rsidR="00CB5103" w:rsidRDefault="00CB5103" w:rsidP="00CB5103">
      <w:pPr>
        <w:spacing w:line="240" w:lineRule="auto"/>
        <w:rPr>
          <w:rFonts w:cstheme="minorHAnsi"/>
          <w:bCs/>
          <w:color w:val="000000" w:themeColor="text1"/>
          <w:sz w:val="24"/>
          <w:szCs w:val="24"/>
        </w:rPr>
      </w:pPr>
      <w:r>
        <w:rPr>
          <w:rFonts w:cstheme="minorHAnsi"/>
          <w:bCs/>
          <w:color w:val="000000" w:themeColor="text1"/>
          <w:sz w:val="24"/>
          <w:szCs w:val="24"/>
        </w:rPr>
        <w:t>Extending this methodology, the volume of the same STORM incidents (discussed above) that are closed as crimes can be used as a proxy measure to identify how effective</w:t>
      </w:r>
      <w:r w:rsidR="00835CA1">
        <w:rPr>
          <w:rFonts w:cstheme="minorHAnsi"/>
          <w:bCs/>
          <w:color w:val="000000" w:themeColor="text1"/>
          <w:sz w:val="24"/>
          <w:szCs w:val="24"/>
        </w:rPr>
        <w:t xml:space="preserve"> a police force is at </w:t>
      </w:r>
      <w:r>
        <w:rPr>
          <w:rFonts w:cstheme="minorHAnsi"/>
          <w:bCs/>
          <w:color w:val="000000" w:themeColor="text1"/>
          <w:sz w:val="24"/>
          <w:szCs w:val="24"/>
        </w:rPr>
        <w:t xml:space="preserve">CDA.  The number (and ratio) of STORM incidents that are closed as crimes indicate how proactive forces are at identifying offences; the more they identify, the better their CDA (this was identified as an Area for Improvement success measure by HMICFRS).  By applying this methodology, </w:t>
      </w:r>
      <w:r w:rsidRPr="005F68C2">
        <w:rPr>
          <w:rFonts w:cstheme="minorHAnsi"/>
          <w:bCs/>
          <w:color w:val="000000" w:themeColor="text1"/>
          <w:sz w:val="24"/>
          <w:szCs w:val="24"/>
        </w:rPr>
        <w:t xml:space="preserve">21.6% of the increase in crime </w:t>
      </w:r>
      <w:r>
        <w:rPr>
          <w:rFonts w:cstheme="minorHAnsi"/>
          <w:bCs/>
          <w:color w:val="000000" w:themeColor="text1"/>
          <w:sz w:val="24"/>
          <w:szCs w:val="24"/>
        </w:rPr>
        <w:t xml:space="preserve">recording </w:t>
      </w:r>
      <w:r w:rsidRPr="005F68C2">
        <w:rPr>
          <w:rFonts w:cstheme="minorHAnsi"/>
          <w:bCs/>
          <w:color w:val="000000" w:themeColor="text1"/>
          <w:sz w:val="24"/>
          <w:szCs w:val="24"/>
        </w:rPr>
        <w:t>since May 2015 is as a result of better CDA</w:t>
      </w:r>
      <w:r w:rsidR="00634E70">
        <w:rPr>
          <w:rFonts w:cstheme="minorHAnsi"/>
          <w:bCs/>
          <w:color w:val="000000" w:themeColor="text1"/>
          <w:sz w:val="24"/>
          <w:szCs w:val="24"/>
        </w:rPr>
        <w:t xml:space="preserve"> (this equate</w:t>
      </w:r>
      <w:r w:rsidR="00100DF9">
        <w:rPr>
          <w:rFonts w:cstheme="minorHAnsi"/>
          <w:bCs/>
          <w:color w:val="000000" w:themeColor="text1"/>
          <w:sz w:val="24"/>
          <w:szCs w:val="24"/>
        </w:rPr>
        <w:t>s</w:t>
      </w:r>
      <w:r w:rsidR="00634E70">
        <w:rPr>
          <w:rFonts w:cstheme="minorHAnsi"/>
          <w:bCs/>
          <w:color w:val="000000" w:themeColor="text1"/>
          <w:sz w:val="24"/>
          <w:szCs w:val="24"/>
        </w:rPr>
        <w:t xml:space="preserve"> to around 1,800 additional offences per month)</w:t>
      </w:r>
      <w:r>
        <w:rPr>
          <w:rFonts w:cstheme="minorHAnsi"/>
          <w:bCs/>
          <w:color w:val="000000" w:themeColor="text1"/>
          <w:sz w:val="24"/>
          <w:szCs w:val="24"/>
        </w:rPr>
        <w:t>.</w:t>
      </w:r>
    </w:p>
    <w:p w:rsidR="00835CA1" w:rsidRDefault="009E6364" w:rsidP="00835CA1">
      <w:pPr>
        <w:spacing w:line="240" w:lineRule="auto"/>
        <w:rPr>
          <w:rFonts w:cstheme="minorHAnsi"/>
          <w:bCs/>
          <w:color w:val="000000" w:themeColor="text1"/>
          <w:sz w:val="24"/>
          <w:szCs w:val="24"/>
        </w:rPr>
      </w:pPr>
      <w:r>
        <w:rPr>
          <w:rFonts w:cstheme="minorHAnsi"/>
          <w:bCs/>
          <w:color w:val="000000" w:themeColor="text1"/>
          <w:sz w:val="24"/>
          <w:szCs w:val="24"/>
        </w:rPr>
        <w:lastRenderedPageBreak/>
        <w:t xml:space="preserve">Until Essex Police have reached an </w:t>
      </w:r>
      <w:r w:rsidR="00E20128">
        <w:rPr>
          <w:rFonts w:cstheme="minorHAnsi"/>
          <w:bCs/>
          <w:color w:val="000000" w:themeColor="text1"/>
          <w:sz w:val="24"/>
          <w:szCs w:val="24"/>
        </w:rPr>
        <w:t>optimum</w:t>
      </w:r>
      <w:r>
        <w:rPr>
          <w:rFonts w:cstheme="minorHAnsi"/>
          <w:bCs/>
          <w:color w:val="000000" w:themeColor="text1"/>
          <w:sz w:val="24"/>
          <w:szCs w:val="24"/>
        </w:rPr>
        <w:t xml:space="preserve"> incident to crime conversion rate (work currently being undertaken by the </w:t>
      </w:r>
      <w:r w:rsidRPr="009E6364">
        <w:rPr>
          <w:rFonts w:cstheme="minorHAnsi"/>
          <w:bCs/>
          <w:color w:val="000000" w:themeColor="text1"/>
          <w:sz w:val="24"/>
          <w:szCs w:val="24"/>
        </w:rPr>
        <w:t xml:space="preserve">Strategic Force Crime </w:t>
      </w:r>
      <w:r>
        <w:rPr>
          <w:rFonts w:cstheme="minorHAnsi"/>
          <w:bCs/>
          <w:color w:val="000000" w:themeColor="text1"/>
          <w:sz w:val="24"/>
          <w:szCs w:val="24"/>
        </w:rPr>
        <w:t>and</w:t>
      </w:r>
      <w:r w:rsidRPr="009E6364">
        <w:rPr>
          <w:rFonts w:cstheme="minorHAnsi"/>
          <w:bCs/>
          <w:color w:val="000000" w:themeColor="text1"/>
          <w:sz w:val="24"/>
          <w:szCs w:val="24"/>
        </w:rPr>
        <w:t xml:space="preserve"> Incident Regist</w:t>
      </w:r>
      <w:r w:rsidR="00835CA1">
        <w:rPr>
          <w:rFonts w:cstheme="minorHAnsi"/>
          <w:bCs/>
          <w:color w:val="000000" w:themeColor="text1"/>
          <w:sz w:val="24"/>
          <w:szCs w:val="24"/>
        </w:rPr>
        <w:t xml:space="preserve">rar), </w:t>
      </w:r>
      <w:r>
        <w:rPr>
          <w:rFonts w:cstheme="minorHAnsi"/>
          <w:bCs/>
          <w:color w:val="000000" w:themeColor="text1"/>
          <w:sz w:val="24"/>
          <w:szCs w:val="24"/>
        </w:rPr>
        <w:t xml:space="preserve">it is not possible </w:t>
      </w:r>
      <w:r w:rsidR="00835CA1">
        <w:rPr>
          <w:rFonts w:cstheme="minorHAnsi"/>
          <w:bCs/>
          <w:color w:val="000000" w:themeColor="text1"/>
          <w:sz w:val="24"/>
          <w:szCs w:val="24"/>
        </w:rPr>
        <w:t xml:space="preserve">at this time to indicate how much </w:t>
      </w:r>
      <w:r>
        <w:rPr>
          <w:rFonts w:cstheme="minorHAnsi"/>
          <w:bCs/>
          <w:color w:val="000000" w:themeColor="text1"/>
          <w:sz w:val="24"/>
          <w:szCs w:val="24"/>
        </w:rPr>
        <w:t>CDA</w:t>
      </w:r>
      <w:r w:rsidR="00E20128">
        <w:rPr>
          <w:rFonts w:cstheme="minorHAnsi"/>
          <w:bCs/>
          <w:color w:val="000000" w:themeColor="text1"/>
          <w:sz w:val="24"/>
          <w:szCs w:val="24"/>
        </w:rPr>
        <w:t xml:space="preserve"> will influence crime volumes</w:t>
      </w:r>
      <w:r w:rsidR="00835CA1">
        <w:rPr>
          <w:rFonts w:cstheme="minorHAnsi"/>
          <w:bCs/>
          <w:color w:val="000000" w:themeColor="text1"/>
          <w:sz w:val="24"/>
          <w:szCs w:val="24"/>
        </w:rPr>
        <w:t xml:space="preserve">, beyond what is currently being experienced (21.6%). </w:t>
      </w:r>
      <w:r>
        <w:rPr>
          <w:rFonts w:cstheme="minorHAnsi"/>
          <w:bCs/>
          <w:color w:val="000000" w:themeColor="text1"/>
          <w:sz w:val="24"/>
          <w:szCs w:val="24"/>
        </w:rPr>
        <w:t xml:space="preserve"> </w:t>
      </w:r>
    </w:p>
    <w:p w:rsidR="003705F8" w:rsidRPr="003705F8" w:rsidRDefault="00CB5103" w:rsidP="003705F8">
      <w:pPr>
        <w:pStyle w:val="ListParagraph"/>
        <w:numPr>
          <w:ilvl w:val="1"/>
          <w:numId w:val="1"/>
        </w:numPr>
        <w:spacing w:line="240" w:lineRule="auto"/>
        <w:rPr>
          <w:rFonts w:cstheme="minorHAnsi"/>
          <w:b/>
          <w:bCs/>
          <w:color w:val="000000" w:themeColor="text1"/>
          <w:sz w:val="24"/>
          <w:szCs w:val="24"/>
        </w:rPr>
      </w:pPr>
      <w:r w:rsidRPr="003705F8">
        <w:rPr>
          <w:rFonts w:cstheme="minorHAnsi"/>
          <w:b/>
          <w:bCs/>
          <w:color w:val="002D56"/>
          <w:sz w:val="24"/>
          <w:szCs w:val="24"/>
        </w:rPr>
        <w:t>21.1% rise in crime due to Home Office Counting Rules (HOCR</w:t>
      </w:r>
      <w:r w:rsidR="003705F8" w:rsidRPr="003705F8">
        <w:rPr>
          <w:rFonts w:cstheme="minorHAnsi"/>
          <w:b/>
          <w:bCs/>
          <w:color w:val="002D56"/>
          <w:sz w:val="24"/>
          <w:szCs w:val="24"/>
        </w:rPr>
        <w:t xml:space="preserve">) </w:t>
      </w:r>
    </w:p>
    <w:p w:rsidR="009B7641" w:rsidRPr="003705F8" w:rsidRDefault="00516272" w:rsidP="003705F8">
      <w:pPr>
        <w:spacing w:line="240" w:lineRule="auto"/>
        <w:rPr>
          <w:rFonts w:cstheme="minorHAnsi"/>
          <w:bCs/>
          <w:color w:val="000000" w:themeColor="text1"/>
          <w:sz w:val="24"/>
          <w:szCs w:val="24"/>
        </w:rPr>
      </w:pPr>
      <w:r w:rsidRPr="003705F8">
        <w:rPr>
          <w:rFonts w:cstheme="minorHAnsi"/>
          <w:bCs/>
          <w:color w:val="000000" w:themeColor="text1"/>
          <w:sz w:val="24"/>
          <w:szCs w:val="24"/>
        </w:rPr>
        <w:t xml:space="preserve">The remaining 21.1% rise in crime recording </w:t>
      </w:r>
      <w:r w:rsidR="009E6364" w:rsidRPr="003705F8">
        <w:rPr>
          <w:rFonts w:cstheme="minorHAnsi"/>
          <w:bCs/>
          <w:color w:val="000000" w:themeColor="text1"/>
          <w:sz w:val="24"/>
          <w:szCs w:val="24"/>
        </w:rPr>
        <w:t xml:space="preserve">since May 2015 </w:t>
      </w:r>
      <w:r w:rsidR="009B7641">
        <w:rPr>
          <w:rFonts w:cstheme="minorHAnsi"/>
          <w:bCs/>
          <w:color w:val="000000" w:themeColor="text1"/>
          <w:sz w:val="24"/>
          <w:szCs w:val="24"/>
        </w:rPr>
        <w:t xml:space="preserve">is due to </w:t>
      </w:r>
      <w:r w:rsidRPr="003705F8">
        <w:rPr>
          <w:rFonts w:cstheme="minorHAnsi"/>
          <w:bCs/>
          <w:color w:val="000000" w:themeColor="text1"/>
          <w:sz w:val="24"/>
          <w:szCs w:val="24"/>
        </w:rPr>
        <w:t>changes in HOCR</w:t>
      </w:r>
      <w:r w:rsidR="00903F40">
        <w:rPr>
          <w:rFonts w:cstheme="minorHAnsi"/>
          <w:bCs/>
          <w:color w:val="000000" w:themeColor="text1"/>
          <w:sz w:val="24"/>
          <w:szCs w:val="24"/>
        </w:rPr>
        <w:t xml:space="preserve"> (this equates to around 1,800 additional offences per month in January 2019 compared to May 2015)</w:t>
      </w:r>
      <w:r w:rsidRPr="003705F8">
        <w:rPr>
          <w:rFonts w:cstheme="minorHAnsi"/>
          <w:bCs/>
          <w:color w:val="000000" w:themeColor="text1"/>
          <w:sz w:val="24"/>
          <w:szCs w:val="24"/>
        </w:rPr>
        <w:t xml:space="preserve">, </w:t>
      </w:r>
      <w:r w:rsidR="009B7641">
        <w:rPr>
          <w:rFonts w:cstheme="minorHAnsi"/>
          <w:bCs/>
          <w:color w:val="000000" w:themeColor="text1"/>
          <w:sz w:val="24"/>
          <w:szCs w:val="24"/>
        </w:rPr>
        <w:t>most notably the</w:t>
      </w:r>
      <w:r w:rsidRPr="003705F8">
        <w:rPr>
          <w:rFonts w:cstheme="minorHAnsi"/>
          <w:bCs/>
          <w:color w:val="000000" w:themeColor="text1"/>
          <w:sz w:val="24"/>
          <w:szCs w:val="24"/>
        </w:rPr>
        <w:t xml:space="preserve"> reco</w:t>
      </w:r>
      <w:r w:rsidR="009B7641">
        <w:rPr>
          <w:rFonts w:cstheme="minorHAnsi"/>
          <w:bCs/>
          <w:color w:val="000000" w:themeColor="text1"/>
          <w:sz w:val="24"/>
          <w:szCs w:val="24"/>
        </w:rPr>
        <w:t xml:space="preserve">rding of multiple offences in </w:t>
      </w:r>
      <w:r w:rsidRPr="003705F8">
        <w:rPr>
          <w:rFonts w:cstheme="minorHAnsi"/>
          <w:bCs/>
          <w:color w:val="000000" w:themeColor="text1"/>
          <w:sz w:val="24"/>
          <w:szCs w:val="24"/>
        </w:rPr>
        <w:t>Stalking &amp; Harassment</w:t>
      </w:r>
      <w:r w:rsidR="00B06CEF" w:rsidRPr="003705F8">
        <w:rPr>
          <w:rFonts w:cstheme="minorHAnsi"/>
          <w:bCs/>
          <w:color w:val="000000" w:themeColor="text1"/>
          <w:sz w:val="24"/>
          <w:szCs w:val="24"/>
        </w:rPr>
        <w:t>, which came into effect in April 2018</w:t>
      </w:r>
      <w:r w:rsidRPr="003705F8">
        <w:rPr>
          <w:rFonts w:cstheme="minorHAnsi"/>
          <w:bCs/>
          <w:color w:val="000000" w:themeColor="text1"/>
          <w:sz w:val="24"/>
          <w:szCs w:val="24"/>
        </w:rPr>
        <w:t>.</w:t>
      </w:r>
      <w:r w:rsidR="00B06CEF" w:rsidRPr="003705F8">
        <w:rPr>
          <w:rFonts w:cstheme="minorHAnsi"/>
          <w:bCs/>
          <w:color w:val="000000" w:themeColor="text1"/>
          <w:sz w:val="24"/>
          <w:szCs w:val="24"/>
        </w:rPr>
        <w:t xml:space="preserve">  Since </w:t>
      </w:r>
      <w:r w:rsidR="00E20128" w:rsidRPr="003705F8">
        <w:rPr>
          <w:rFonts w:cstheme="minorHAnsi"/>
          <w:bCs/>
          <w:color w:val="000000" w:themeColor="text1"/>
          <w:sz w:val="24"/>
          <w:szCs w:val="24"/>
        </w:rPr>
        <w:t>April 2018</w:t>
      </w:r>
      <w:r w:rsidR="00B06CEF" w:rsidRPr="003705F8">
        <w:rPr>
          <w:rFonts w:cstheme="minorHAnsi"/>
          <w:bCs/>
          <w:color w:val="000000" w:themeColor="text1"/>
          <w:sz w:val="24"/>
          <w:szCs w:val="24"/>
        </w:rPr>
        <w:t xml:space="preserve">, this offence category can no longer be forecasted </w:t>
      </w:r>
      <w:r w:rsidR="009B7641">
        <w:rPr>
          <w:rFonts w:cstheme="minorHAnsi"/>
          <w:bCs/>
          <w:color w:val="000000" w:themeColor="text1"/>
          <w:sz w:val="24"/>
          <w:szCs w:val="24"/>
        </w:rPr>
        <w:t xml:space="preserve">with statistical accuracy </w:t>
      </w:r>
      <w:r w:rsidR="00B06CEF" w:rsidRPr="003705F8">
        <w:rPr>
          <w:rFonts w:cstheme="minorHAnsi"/>
          <w:bCs/>
          <w:color w:val="000000" w:themeColor="text1"/>
          <w:sz w:val="24"/>
          <w:szCs w:val="24"/>
        </w:rPr>
        <w:t xml:space="preserve">due to </w:t>
      </w:r>
      <w:r w:rsidR="009B7641">
        <w:rPr>
          <w:rFonts w:cstheme="minorHAnsi"/>
          <w:bCs/>
          <w:color w:val="000000" w:themeColor="text1"/>
          <w:sz w:val="24"/>
          <w:szCs w:val="24"/>
        </w:rPr>
        <w:t xml:space="preserve">a </w:t>
      </w:r>
      <w:r w:rsidR="00B06CEF" w:rsidRPr="003705F8">
        <w:rPr>
          <w:rFonts w:cstheme="minorHAnsi"/>
          <w:bCs/>
          <w:color w:val="000000" w:themeColor="text1"/>
          <w:sz w:val="24"/>
          <w:szCs w:val="24"/>
        </w:rPr>
        <w:t>sudden spike in offences from this point.</w:t>
      </w:r>
      <w:r w:rsidR="009B7641">
        <w:rPr>
          <w:rFonts w:cstheme="minorHAnsi"/>
          <w:bCs/>
          <w:color w:val="000000" w:themeColor="text1"/>
          <w:sz w:val="24"/>
          <w:szCs w:val="24"/>
        </w:rPr>
        <w:t xml:space="preserve"> Once offence levels have stabilised, we will be able to more accuratel</w:t>
      </w:r>
      <w:r w:rsidR="00810992">
        <w:rPr>
          <w:rFonts w:cstheme="minorHAnsi"/>
          <w:bCs/>
          <w:color w:val="000000" w:themeColor="text1"/>
          <w:sz w:val="24"/>
          <w:szCs w:val="24"/>
        </w:rPr>
        <w:t>y forecast future crime levels.</w:t>
      </w:r>
    </w:p>
    <w:p w:rsidR="00CB5103" w:rsidRDefault="009E6364" w:rsidP="00CB5103">
      <w:pPr>
        <w:pStyle w:val="ListParagraph"/>
        <w:numPr>
          <w:ilvl w:val="1"/>
          <w:numId w:val="1"/>
        </w:numPr>
        <w:spacing w:line="240" w:lineRule="auto"/>
        <w:rPr>
          <w:rFonts w:cstheme="minorHAnsi"/>
          <w:b/>
          <w:bCs/>
          <w:color w:val="002D56"/>
          <w:sz w:val="24"/>
          <w:szCs w:val="24"/>
        </w:rPr>
      </w:pPr>
      <w:r>
        <w:rPr>
          <w:rFonts w:cstheme="minorHAnsi"/>
          <w:b/>
          <w:bCs/>
          <w:color w:val="002D56"/>
          <w:sz w:val="24"/>
          <w:szCs w:val="24"/>
        </w:rPr>
        <w:t>Essex Police would be experiencing over 3,500 fewer offences each month, had there been no CDA or HOCR changes</w:t>
      </w:r>
    </w:p>
    <w:p w:rsidR="00FD5DBE" w:rsidRDefault="009B7641" w:rsidP="00643088">
      <w:pPr>
        <w:spacing w:line="240" w:lineRule="auto"/>
        <w:rPr>
          <w:rFonts w:cstheme="minorHAnsi"/>
          <w:bCs/>
          <w:color w:val="000000" w:themeColor="text1"/>
          <w:sz w:val="24"/>
          <w:szCs w:val="24"/>
        </w:rPr>
      </w:pPr>
      <w:r>
        <w:rPr>
          <w:rFonts w:cstheme="minorHAnsi"/>
          <w:bCs/>
          <w:color w:val="000000" w:themeColor="text1"/>
          <w:sz w:val="24"/>
          <w:szCs w:val="24"/>
        </w:rPr>
        <w:t>Taking account of the 10.9% genuine increase in offences only</w:t>
      </w:r>
      <w:r w:rsidR="00481474">
        <w:rPr>
          <w:rFonts w:cstheme="minorHAnsi"/>
          <w:bCs/>
          <w:color w:val="000000" w:themeColor="text1"/>
          <w:sz w:val="24"/>
          <w:szCs w:val="24"/>
        </w:rPr>
        <w:t>,</w:t>
      </w:r>
      <w:r>
        <w:rPr>
          <w:rFonts w:cstheme="minorHAnsi"/>
          <w:bCs/>
          <w:color w:val="000000" w:themeColor="text1"/>
          <w:sz w:val="24"/>
          <w:szCs w:val="24"/>
        </w:rPr>
        <w:t xml:space="preserve"> there has been</w:t>
      </w:r>
      <w:r w:rsidR="00481474">
        <w:rPr>
          <w:rFonts w:cstheme="minorHAnsi"/>
          <w:bCs/>
          <w:color w:val="000000" w:themeColor="text1"/>
          <w:sz w:val="24"/>
          <w:szCs w:val="24"/>
        </w:rPr>
        <w:t xml:space="preserve"> a </w:t>
      </w:r>
      <w:r w:rsidR="00DD6CB2">
        <w:rPr>
          <w:rFonts w:cstheme="minorHAnsi"/>
          <w:bCs/>
          <w:color w:val="000000" w:themeColor="text1"/>
          <w:sz w:val="24"/>
          <w:szCs w:val="24"/>
        </w:rPr>
        <w:t>rise</w:t>
      </w:r>
      <w:r w:rsidR="00E50D69">
        <w:rPr>
          <w:rFonts w:cstheme="minorHAnsi"/>
          <w:bCs/>
          <w:color w:val="000000" w:themeColor="text1"/>
          <w:sz w:val="24"/>
          <w:szCs w:val="24"/>
        </w:rPr>
        <w:t xml:space="preserve"> in reporting</w:t>
      </w:r>
      <w:r w:rsidR="00481474">
        <w:rPr>
          <w:rFonts w:cstheme="minorHAnsi"/>
          <w:bCs/>
          <w:color w:val="000000" w:themeColor="text1"/>
          <w:sz w:val="24"/>
          <w:szCs w:val="24"/>
        </w:rPr>
        <w:t xml:space="preserve"> crime</w:t>
      </w:r>
      <w:r w:rsidR="00E50D69">
        <w:rPr>
          <w:rFonts w:cstheme="minorHAnsi"/>
          <w:bCs/>
          <w:color w:val="000000" w:themeColor="text1"/>
          <w:sz w:val="24"/>
          <w:szCs w:val="24"/>
        </w:rPr>
        <w:t xml:space="preserve"> of 9</w:t>
      </w:r>
      <w:r w:rsidR="003A194E">
        <w:rPr>
          <w:rFonts w:cstheme="minorHAnsi"/>
          <w:bCs/>
          <w:color w:val="000000" w:themeColor="text1"/>
          <w:sz w:val="24"/>
          <w:szCs w:val="24"/>
        </w:rPr>
        <w:t>00</w:t>
      </w:r>
      <w:r w:rsidR="001F515B">
        <w:rPr>
          <w:rFonts w:cstheme="minorHAnsi"/>
          <w:bCs/>
          <w:color w:val="000000" w:themeColor="text1"/>
          <w:sz w:val="24"/>
          <w:szCs w:val="24"/>
        </w:rPr>
        <w:t xml:space="preserve"> </w:t>
      </w:r>
      <w:r w:rsidR="00E50D69">
        <w:rPr>
          <w:rFonts w:cstheme="minorHAnsi"/>
          <w:bCs/>
          <w:color w:val="000000" w:themeColor="text1"/>
          <w:sz w:val="24"/>
          <w:szCs w:val="24"/>
        </w:rPr>
        <w:t xml:space="preserve">offences </w:t>
      </w:r>
      <w:r w:rsidR="003A194E">
        <w:rPr>
          <w:rFonts w:cstheme="minorHAnsi"/>
          <w:bCs/>
          <w:color w:val="000000" w:themeColor="text1"/>
          <w:sz w:val="24"/>
          <w:szCs w:val="24"/>
        </w:rPr>
        <w:t xml:space="preserve">per month compared to May 2015.  There </w:t>
      </w:r>
      <w:r w:rsidR="00DD6CB2">
        <w:rPr>
          <w:rFonts w:cstheme="minorHAnsi"/>
          <w:bCs/>
          <w:color w:val="000000" w:themeColor="text1"/>
          <w:sz w:val="24"/>
          <w:szCs w:val="24"/>
        </w:rPr>
        <w:t xml:space="preserve">has also been a rise of over </w:t>
      </w:r>
      <w:r w:rsidR="003A194E">
        <w:rPr>
          <w:rFonts w:cstheme="minorHAnsi"/>
          <w:bCs/>
          <w:color w:val="000000" w:themeColor="text1"/>
          <w:sz w:val="24"/>
          <w:szCs w:val="24"/>
        </w:rPr>
        <w:t>1,800 offences</w:t>
      </w:r>
      <w:r w:rsidR="00DD6CB2">
        <w:rPr>
          <w:rFonts w:cstheme="minorHAnsi"/>
          <w:bCs/>
          <w:color w:val="000000" w:themeColor="text1"/>
          <w:sz w:val="24"/>
          <w:szCs w:val="24"/>
        </w:rPr>
        <w:t xml:space="preserve"> per month as a result of better CDA, and a s</w:t>
      </w:r>
      <w:r>
        <w:rPr>
          <w:rFonts w:cstheme="minorHAnsi"/>
          <w:bCs/>
          <w:color w:val="000000" w:themeColor="text1"/>
          <w:sz w:val="24"/>
          <w:szCs w:val="24"/>
        </w:rPr>
        <w:t>imilar rise as a result of HOCR</w:t>
      </w:r>
      <w:r w:rsidR="00DD6CB2">
        <w:rPr>
          <w:rFonts w:cstheme="minorHAnsi"/>
          <w:bCs/>
          <w:color w:val="000000" w:themeColor="text1"/>
          <w:sz w:val="24"/>
          <w:szCs w:val="24"/>
        </w:rPr>
        <w:t xml:space="preserve">. </w:t>
      </w:r>
      <w:r w:rsidR="00D93EFA">
        <w:rPr>
          <w:rFonts w:cstheme="minorHAnsi"/>
          <w:bCs/>
          <w:color w:val="000000" w:themeColor="text1"/>
          <w:sz w:val="24"/>
          <w:szCs w:val="24"/>
        </w:rPr>
        <w:t xml:space="preserve"> </w:t>
      </w:r>
      <w:r w:rsidR="004E7C80">
        <w:rPr>
          <w:rFonts w:cstheme="minorHAnsi"/>
          <w:bCs/>
          <w:color w:val="000000" w:themeColor="text1"/>
          <w:sz w:val="24"/>
          <w:szCs w:val="24"/>
        </w:rPr>
        <w:t xml:space="preserve">Put another way, </w:t>
      </w:r>
      <w:r w:rsidR="00B65AFE">
        <w:rPr>
          <w:rFonts w:cstheme="minorHAnsi"/>
          <w:bCs/>
          <w:color w:val="000000" w:themeColor="text1"/>
          <w:sz w:val="24"/>
          <w:szCs w:val="24"/>
        </w:rPr>
        <w:t xml:space="preserve">Essex Police </w:t>
      </w:r>
      <w:r w:rsidR="00D93EFA">
        <w:rPr>
          <w:rFonts w:cstheme="minorHAnsi"/>
          <w:bCs/>
          <w:color w:val="000000" w:themeColor="text1"/>
          <w:sz w:val="24"/>
          <w:szCs w:val="24"/>
        </w:rPr>
        <w:t xml:space="preserve">would be </w:t>
      </w:r>
      <w:r w:rsidR="00B65AFE">
        <w:rPr>
          <w:rFonts w:cstheme="minorHAnsi"/>
          <w:bCs/>
          <w:color w:val="000000" w:themeColor="text1"/>
          <w:sz w:val="24"/>
          <w:szCs w:val="24"/>
        </w:rPr>
        <w:t xml:space="preserve">experiencing over 3,500 </w:t>
      </w:r>
      <w:r w:rsidR="00D93EFA">
        <w:rPr>
          <w:rFonts w:cstheme="minorHAnsi"/>
          <w:bCs/>
          <w:color w:val="000000" w:themeColor="text1"/>
          <w:sz w:val="24"/>
          <w:szCs w:val="24"/>
        </w:rPr>
        <w:t xml:space="preserve">fewer </w:t>
      </w:r>
      <w:r w:rsidR="008B66B2">
        <w:rPr>
          <w:rFonts w:cstheme="minorHAnsi"/>
          <w:bCs/>
          <w:color w:val="000000" w:themeColor="text1"/>
          <w:sz w:val="24"/>
          <w:szCs w:val="24"/>
        </w:rPr>
        <w:t>offences</w:t>
      </w:r>
      <w:r w:rsidR="007B459B">
        <w:rPr>
          <w:rFonts w:cstheme="minorHAnsi"/>
          <w:bCs/>
          <w:color w:val="000000" w:themeColor="text1"/>
          <w:sz w:val="24"/>
          <w:szCs w:val="24"/>
        </w:rPr>
        <w:t xml:space="preserve"> </w:t>
      </w:r>
      <w:r w:rsidR="00D93EFA">
        <w:rPr>
          <w:rFonts w:cstheme="minorHAnsi"/>
          <w:bCs/>
          <w:color w:val="000000" w:themeColor="text1"/>
          <w:sz w:val="24"/>
          <w:szCs w:val="24"/>
        </w:rPr>
        <w:t xml:space="preserve">(42.7%) each month </w:t>
      </w:r>
      <w:r w:rsidR="00B663A0">
        <w:rPr>
          <w:rFonts w:cstheme="minorHAnsi"/>
          <w:bCs/>
          <w:color w:val="000000" w:themeColor="text1"/>
          <w:sz w:val="24"/>
          <w:szCs w:val="24"/>
        </w:rPr>
        <w:t>if CDA and HOCR had not had an impact.</w:t>
      </w:r>
    </w:p>
    <w:p w:rsidR="00E20128" w:rsidRDefault="00E20128">
      <w:pPr>
        <w:rPr>
          <w:rFonts w:cstheme="minorHAnsi"/>
          <w:b/>
          <w:bCs/>
          <w:color w:val="002D56"/>
          <w:sz w:val="24"/>
          <w:szCs w:val="24"/>
        </w:rPr>
      </w:pPr>
      <w:r>
        <w:rPr>
          <w:rFonts w:cstheme="minorHAnsi"/>
          <w:b/>
          <w:bCs/>
          <w:color w:val="002D56"/>
          <w:sz w:val="24"/>
          <w:szCs w:val="24"/>
        </w:rPr>
        <w:br w:type="page"/>
      </w:r>
    </w:p>
    <w:p w:rsidR="00544876" w:rsidRDefault="00544876" w:rsidP="00E5351B">
      <w:pPr>
        <w:pStyle w:val="ListParagraph"/>
        <w:numPr>
          <w:ilvl w:val="0"/>
          <w:numId w:val="1"/>
        </w:numPr>
        <w:spacing w:line="240" w:lineRule="auto"/>
        <w:ind w:left="360"/>
        <w:rPr>
          <w:rFonts w:cstheme="minorHAnsi"/>
          <w:b/>
          <w:bCs/>
          <w:color w:val="002D56"/>
          <w:sz w:val="24"/>
          <w:szCs w:val="24"/>
        </w:rPr>
      </w:pPr>
      <w:r>
        <w:rPr>
          <w:rFonts w:cstheme="minorHAnsi"/>
          <w:b/>
          <w:bCs/>
          <w:color w:val="002D56"/>
          <w:sz w:val="24"/>
          <w:szCs w:val="24"/>
        </w:rPr>
        <w:lastRenderedPageBreak/>
        <w:t>Cr</w:t>
      </w:r>
      <w:r w:rsidR="00E44770">
        <w:rPr>
          <w:rFonts w:cstheme="minorHAnsi"/>
          <w:b/>
          <w:bCs/>
          <w:color w:val="002D56"/>
          <w:sz w:val="24"/>
          <w:szCs w:val="24"/>
        </w:rPr>
        <w:t>ime Table Changes - 12 Rolling months May 2015 vs. Dec 2018</w:t>
      </w:r>
      <w:r>
        <w:rPr>
          <w:rFonts w:cstheme="minorHAnsi"/>
          <w:b/>
          <w:bCs/>
          <w:color w:val="002D56"/>
          <w:sz w:val="24"/>
          <w:szCs w:val="24"/>
        </w:rPr>
        <w:t xml:space="preserve"> </w:t>
      </w:r>
      <w:r w:rsidRPr="007B2FCD">
        <w:rPr>
          <w:rFonts w:cstheme="minorHAnsi"/>
          <w:bCs/>
          <w:color w:val="002D56"/>
          <w:sz w:val="24"/>
          <w:szCs w:val="24"/>
        </w:rPr>
        <w:t>(</w:t>
      </w:r>
      <w:r w:rsidR="007B2FCD">
        <w:rPr>
          <w:rFonts w:cstheme="minorHAnsi"/>
          <w:bCs/>
          <w:color w:val="002D56"/>
          <w:sz w:val="24"/>
          <w:szCs w:val="24"/>
        </w:rPr>
        <w:t xml:space="preserve">a </w:t>
      </w:r>
      <w:r w:rsidRPr="007B2FCD">
        <w:rPr>
          <w:rFonts w:cstheme="minorHAnsi"/>
          <w:bCs/>
          <w:color w:val="002D56"/>
          <w:sz w:val="24"/>
          <w:szCs w:val="24"/>
        </w:rPr>
        <w:t>further breakdown can be found in Appendix 1)</w:t>
      </w:r>
    </w:p>
    <w:p w:rsidR="00544876" w:rsidRDefault="00544876" w:rsidP="00544876">
      <w:pPr>
        <w:spacing w:line="240" w:lineRule="auto"/>
        <w:jc w:val="center"/>
        <w:rPr>
          <w:rFonts w:cstheme="minorHAnsi"/>
          <w:b/>
          <w:bCs/>
          <w:color w:val="002D56"/>
          <w:sz w:val="24"/>
          <w:szCs w:val="24"/>
        </w:rPr>
      </w:pPr>
      <w:r w:rsidRPr="005F0615">
        <w:rPr>
          <w:noProof/>
          <w:lang w:eastAsia="en-GB"/>
        </w:rPr>
        <w:drawing>
          <wp:inline distT="0" distB="0" distL="0" distR="0" wp14:anchorId="3B99E052" wp14:editId="193F6C67">
            <wp:extent cx="3514725" cy="1333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1333500"/>
                    </a:xfrm>
                    <a:prstGeom prst="rect">
                      <a:avLst/>
                    </a:prstGeom>
                    <a:noFill/>
                    <a:ln>
                      <a:noFill/>
                    </a:ln>
                  </pic:spPr>
                </pic:pic>
              </a:graphicData>
            </a:graphic>
          </wp:inline>
        </w:drawing>
      </w:r>
    </w:p>
    <w:p w:rsidR="00E20128" w:rsidRDefault="00E20128" w:rsidP="00CB5103">
      <w:pPr>
        <w:spacing w:line="240" w:lineRule="auto"/>
        <w:rPr>
          <w:rFonts w:cstheme="minorHAnsi"/>
          <w:bCs/>
          <w:color w:val="000000" w:themeColor="text1"/>
          <w:sz w:val="24"/>
          <w:szCs w:val="24"/>
        </w:rPr>
      </w:pPr>
      <w:r>
        <w:rPr>
          <w:rFonts w:cstheme="minorHAnsi"/>
          <w:bCs/>
          <w:color w:val="000000" w:themeColor="text1"/>
          <w:sz w:val="24"/>
          <w:szCs w:val="24"/>
        </w:rPr>
        <w:t>49.7</w:t>
      </w:r>
      <w:r w:rsidR="00E44770">
        <w:rPr>
          <w:rFonts w:cstheme="minorHAnsi"/>
          <w:bCs/>
          <w:color w:val="000000" w:themeColor="text1"/>
          <w:sz w:val="24"/>
          <w:szCs w:val="24"/>
        </w:rPr>
        <w:t>% of the increase in crime compared to the 12 months to</w:t>
      </w:r>
      <w:r>
        <w:rPr>
          <w:rFonts w:cstheme="minorHAnsi"/>
          <w:bCs/>
          <w:color w:val="000000" w:themeColor="text1"/>
          <w:sz w:val="24"/>
          <w:szCs w:val="24"/>
        </w:rPr>
        <w:t xml:space="preserve"> May 2015 is due to the rise in the Violence with</w:t>
      </w:r>
      <w:r w:rsidR="00E44770">
        <w:rPr>
          <w:rFonts w:cstheme="minorHAnsi"/>
          <w:bCs/>
          <w:color w:val="000000" w:themeColor="text1"/>
          <w:sz w:val="24"/>
          <w:szCs w:val="24"/>
        </w:rPr>
        <w:t>out</w:t>
      </w:r>
      <w:r>
        <w:rPr>
          <w:rFonts w:cstheme="minorHAnsi"/>
          <w:bCs/>
          <w:color w:val="000000" w:themeColor="text1"/>
          <w:sz w:val="24"/>
          <w:szCs w:val="24"/>
        </w:rPr>
        <w:t xml:space="preserve"> Injury category (25,455 additional offences/198.3% </w:t>
      </w:r>
      <w:r w:rsidR="00E44770">
        <w:rPr>
          <w:rFonts w:cstheme="minorHAnsi"/>
          <w:bCs/>
          <w:color w:val="000000" w:themeColor="text1"/>
          <w:sz w:val="24"/>
          <w:szCs w:val="24"/>
        </w:rPr>
        <w:t xml:space="preserve">rise).  This has been </w:t>
      </w:r>
      <w:r>
        <w:rPr>
          <w:rFonts w:cstheme="minorHAnsi"/>
          <w:bCs/>
          <w:color w:val="000000" w:themeColor="text1"/>
          <w:sz w:val="24"/>
          <w:szCs w:val="24"/>
        </w:rPr>
        <w:t xml:space="preserve">driven by the </w:t>
      </w:r>
      <w:r w:rsidR="00E44770">
        <w:rPr>
          <w:rFonts w:cstheme="minorHAnsi"/>
          <w:bCs/>
          <w:color w:val="000000" w:themeColor="text1"/>
          <w:sz w:val="24"/>
          <w:szCs w:val="24"/>
        </w:rPr>
        <w:t>changes to HOCR (</w:t>
      </w:r>
      <w:r>
        <w:rPr>
          <w:rFonts w:cstheme="minorHAnsi"/>
          <w:bCs/>
          <w:color w:val="000000" w:themeColor="text1"/>
          <w:sz w:val="24"/>
          <w:szCs w:val="24"/>
        </w:rPr>
        <w:t>Stalking &amp; Harassment</w:t>
      </w:r>
      <w:r w:rsidR="00E44770">
        <w:rPr>
          <w:rFonts w:cstheme="minorHAnsi"/>
          <w:bCs/>
          <w:color w:val="000000" w:themeColor="text1"/>
          <w:sz w:val="24"/>
          <w:szCs w:val="24"/>
        </w:rPr>
        <w:t>)</w:t>
      </w:r>
      <w:r w:rsidR="00E03205">
        <w:rPr>
          <w:rFonts w:cstheme="minorHAnsi"/>
          <w:bCs/>
          <w:color w:val="000000" w:themeColor="text1"/>
          <w:sz w:val="24"/>
          <w:szCs w:val="24"/>
        </w:rPr>
        <w:t>.</w:t>
      </w:r>
    </w:p>
    <w:p w:rsidR="00CB5103" w:rsidRDefault="00E20128" w:rsidP="00CB5103">
      <w:pPr>
        <w:spacing w:line="240" w:lineRule="auto"/>
        <w:rPr>
          <w:rFonts w:cstheme="minorHAnsi"/>
          <w:bCs/>
          <w:color w:val="000000" w:themeColor="text1"/>
          <w:sz w:val="24"/>
          <w:szCs w:val="24"/>
        </w:rPr>
      </w:pPr>
      <w:r>
        <w:rPr>
          <w:rFonts w:cstheme="minorHAnsi"/>
          <w:bCs/>
          <w:color w:val="000000" w:themeColor="text1"/>
          <w:sz w:val="24"/>
          <w:szCs w:val="24"/>
        </w:rPr>
        <w:t>Domestic Abuse experienced a 113.6% increase</w:t>
      </w:r>
      <w:r w:rsidR="00E03205">
        <w:rPr>
          <w:rFonts w:cstheme="minorHAnsi"/>
          <w:bCs/>
          <w:color w:val="000000" w:themeColor="text1"/>
          <w:sz w:val="24"/>
          <w:szCs w:val="24"/>
        </w:rPr>
        <w:t xml:space="preserve"> (12,750 additional offences)</w:t>
      </w:r>
      <w:r w:rsidR="00E44770">
        <w:rPr>
          <w:rFonts w:cstheme="minorHAnsi"/>
          <w:bCs/>
          <w:color w:val="000000" w:themeColor="text1"/>
          <w:sz w:val="24"/>
          <w:szCs w:val="24"/>
        </w:rPr>
        <w:t xml:space="preserve"> compared to the 12 months to </w:t>
      </w:r>
      <w:r w:rsidR="000459C5">
        <w:rPr>
          <w:rFonts w:cstheme="minorHAnsi"/>
          <w:bCs/>
          <w:color w:val="000000" w:themeColor="text1"/>
          <w:sz w:val="24"/>
          <w:szCs w:val="24"/>
        </w:rPr>
        <w:t>May 2015</w:t>
      </w:r>
      <w:r w:rsidR="00E03205">
        <w:rPr>
          <w:rFonts w:cstheme="minorHAnsi"/>
          <w:bCs/>
          <w:color w:val="000000" w:themeColor="text1"/>
          <w:sz w:val="24"/>
          <w:szCs w:val="24"/>
        </w:rPr>
        <w:t xml:space="preserve">.  While Essex Police encourages the reporting of Domestic Abuse, </w:t>
      </w:r>
      <w:r w:rsidR="001D78C1">
        <w:rPr>
          <w:rFonts w:cstheme="minorHAnsi"/>
          <w:bCs/>
          <w:color w:val="000000" w:themeColor="text1"/>
          <w:sz w:val="24"/>
          <w:szCs w:val="24"/>
        </w:rPr>
        <w:t xml:space="preserve">this type of offence </w:t>
      </w:r>
      <w:r w:rsidR="000459C5">
        <w:rPr>
          <w:rFonts w:cstheme="minorHAnsi"/>
          <w:bCs/>
          <w:color w:val="000000" w:themeColor="text1"/>
          <w:sz w:val="24"/>
          <w:szCs w:val="24"/>
        </w:rPr>
        <w:t>has</w:t>
      </w:r>
      <w:r w:rsidR="001D78C1">
        <w:rPr>
          <w:rFonts w:cstheme="minorHAnsi"/>
          <w:bCs/>
          <w:color w:val="000000" w:themeColor="text1"/>
          <w:sz w:val="24"/>
          <w:szCs w:val="24"/>
        </w:rPr>
        <w:t xml:space="preserve"> also been </w:t>
      </w:r>
      <w:r w:rsidR="000459C5">
        <w:rPr>
          <w:rFonts w:cstheme="minorHAnsi"/>
          <w:bCs/>
          <w:color w:val="000000" w:themeColor="text1"/>
          <w:sz w:val="24"/>
          <w:szCs w:val="24"/>
        </w:rPr>
        <w:t xml:space="preserve">heavily </w:t>
      </w:r>
      <w:r w:rsidR="001D78C1">
        <w:rPr>
          <w:rFonts w:cstheme="minorHAnsi"/>
          <w:bCs/>
          <w:color w:val="000000" w:themeColor="text1"/>
          <w:sz w:val="24"/>
          <w:szCs w:val="24"/>
        </w:rPr>
        <w:t>affected by c</w:t>
      </w:r>
      <w:r w:rsidR="00E44770">
        <w:rPr>
          <w:rFonts w:cstheme="minorHAnsi"/>
          <w:bCs/>
          <w:color w:val="000000" w:themeColor="text1"/>
          <w:sz w:val="24"/>
          <w:szCs w:val="24"/>
        </w:rPr>
        <w:t>hanges to HOCR</w:t>
      </w:r>
      <w:r w:rsidR="001D78C1">
        <w:rPr>
          <w:rFonts w:cstheme="minorHAnsi"/>
          <w:bCs/>
          <w:color w:val="000000" w:themeColor="text1"/>
          <w:sz w:val="24"/>
          <w:szCs w:val="24"/>
        </w:rPr>
        <w:t>.</w:t>
      </w:r>
    </w:p>
    <w:p w:rsidR="00E20128" w:rsidRPr="00544876" w:rsidRDefault="00E20128" w:rsidP="00CB5103">
      <w:pPr>
        <w:spacing w:line="240" w:lineRule="auto"/>
        <w:rPr>
          <w:rFonts w:cstheme="minorHAnsi"/>
          <w:b/>
          <w:bCs/>
          <w:color w:val="002D56"/>
          <w:sz w:val="24"/>
          <w:szCs w:val="24"/>
        </w:rPr>
      </w:pPr>
      <w:r>
        <w:rPr>
          <w:rFonts w:cstheme="minorHAnsi"/>
          <w:bCs/>
          <w:color w:val="000000" w:themeColor="text1"/>
          <w:sz w:val="24"/>
          <w:szCs w:val="24"/>
        </w:rPr>
        <w:t>Charts detailing the rise in All Crime, Stalking &amp; Harassment and Domestic Abuse categories can be found in Appendix 2.</w:t>
      </w:r>
      <w:r w:rsidR="00E23123">
        <w:rPr>
          <w:rFonts w:cstheme="minorHAnsi"/>
          <w:bCs/>
          <w:color w:val="000000" w:themeColor="text1"/>
          <w:sz w:val="24"/>
          <w:szCs w:val="24"/>
        </w:rPr>
        <w:t xml:space="preserve"> The charts clearly show the effect of the increase in stalking and harassment on DA and all crime. </w:t>
      </w:r>
    </w:p>
    <w:p w:rsidR="001C17FB" w:rsidRDefault="001C17FB" w:rsidP="00E5351B">
      <w:pPr>
        <w:pStyle w:val="ListParagraph"/>
        <w:numPr>
          <w:ilvl w:val="0"/>
          <w:numId w:val="1"/>
        </w:numPr>
        <w:spacing w:line="240" w:lineRule="auto"/>
        <w:ind w:left="360"/>
        <w:rPr>
          <w:rFonts w:cstheme="minorHAnsi"/>
          <w:b/>
          <w:bCs/>
          <w:color w:val="002D56"/>
          <w:sz w:val="24"/>
          <w:szCs w:val="24"/>
        </w:rPr>
      </w:pPr>
      <w:r>
        <w:rPr>
          <w:rFonts w:cstheme="minorHAnsi"/>
          <w:b/>
          <w:bCs/>
          <w:color w:val="002D56"/>
          <w:sz w:val="24"/>
          <w:szCs w:val="24"/>
        </w:rPr>
        <w:t>STORM Incidents with a Crime-Related Category and Crime Data Accuracy (CDA)</w:t>
      </w:r>
    </w:p>
    <w:p w:rsidR="00E8428B" w:rsidRDefault="00E8428B" w:rsidP="00E8428B">
      <w:pPr>
        <w:pStyle w:val="ListParagraph"/>
        <w:spacing w:line="240" w:lineRule="auto"/>
        <w:ind w:left="360"/>
        <w:rPr>
          <w:rFonts w:cstheme="minorHAnsi"/>
          <w:b/>
          <w:bCs/>
          <w:color w:val="002D56"/>
          <w:sz w:val="24"/>
          <w:szCs w:val="24"/>
        </w:rPr>
      </w:pPr>
    </w:p>
    <w:p w:rsidR="00E8428B" w:rsidRDefault="00E8428B" w:rsidP="00E8428B">
      <w:pPr>
        <w:pStyle w:val="ListParagraph"/>
        <w:numPr>
          <w:ilvl w:val="1"/>
          <w:numId w:val="1"/>
        </w:numPr>
        <w:spacing w:line="240" w:lineRule="auto"/>
        <w:rPr>
          <w:rFonts w:cstheme="minorHAnsi"/>
          <w:b/>
          <w:bCs/>
          <w:color w:val="002D56"/>
          <w:sz w:val="24"/>
          <w:szCs w:val="24"/>
        </w:rPr>
      </w:pPr>
      <w:r>
        <w:rPr>
          <w:rFonts w:cstheme="minorHAnsi"/>
          <w:b/>
          <w:bCs/>
          <w:color w:val="002D56"/>
          <w:sz w:val="24"/>
          <w:szCs w:val="24"/>
        </w:rPr>
        <w:t>Genuine Crime Increase</w:t>
      </w:r>
    </w:p>
    <w:p w:rsidR="00E8428B" w:rsidRDefault="00E8428B" w:rsidP="00E8428B">
      <w:pPr>
        <w:rPr>
          <w:color w:val="000000" w:themeColor="text1"/>
          <w:sz w:val="24"/>
          <w:szCs w:val="24"/>
        </w:rPr>
      </w:pPr>
      <w:r>
        <w:rPr>
          <w:color w:val="000000" w:themeColor="text1"/>
          <w:sz w:val="24"/>
          <w:szCs w:val="24"/>
        </w:rPr>
        <w:t>The Strategic Force Crime and Incident Registrar tracks and monitors:</w:t>
      </w:r>
    </w:p>
    <w:p w:rsidR="00E8428B" w:rsidRDefault="00E8428B" w:rsidP="00E8428B">
      <w:pPr>
        <w:pStyle w:val="ListParagraph"/>
        <w:numPr>
          <w:ilvl w:val="0"/>
          <w:numId w:val="28"/>
        </w:numPr>
        <w:rPr>
          <w:color w:val="000000" w:themeColor="text1"/>
          <w:sz w:val="24"/>
          <w:szCs w:val="24"/>
        </w:rPr>
      </w:pPr>
      <w:r>
        <w:rPr>
          <w:color w:val="000000" w:themeColor="text1"/>
          <w:sz w:val="24"/>
          <w:szCs w:val="24"/>
        </w:rPr>
        <w:lastRenderedPageBreak/>
        <w:t>STORM incidents that contain a crime-related initial call type.</w:t>
      </w:r>
    </w:p>
    <w:p w:rsidR="00E8428B" w:rsidRPr="00325555" w:rsidRDefault="00E8428B" w:rsidP="00E8428B">
      <w:pPr>
        <w:pStyle w:val="ListParagraph"/>
        <w:numPr>
          <w:ilvl w:val="0"/>
          <w:numId w:val="28"/>
        </w:numPr>
        <w:rPr>
          <w:color w:val="000000" w:themeColor="text1"/>
          <w:sz w:val="24"/>
          <w:szCs w:val="24"/>
        </w:rPr>
      </w:pPr>
      <w:r>
        <w:rPr>
          <w:color w:val="000000" w:themeColor="text1"/>
          <w:sz w:val="24"/>
          <w:szCs w:val="24"/>
        </w:rPr>
        <w:t>The number (and rate) of the incidents described above that are closed off as Crime (i.e. those that have a ‘C’ closing code).</w:t>
      </w:r>
    </w:p>
    <w:p w:rsidR="00E8428B" w:rsidRDefault="00E8428B" w:rsidP="00E8428B">
      <w:pPr>
        <w:rPr>
          <w:color w:val="000000" w:themeColor="text1"/>
          <w:sz w:val="24"/>
          <w:szCs w:val="24"/>
        </w:rPr>
      </w:pPr>
      <w:r>
        <w:rPr>
          <w:color w:val="000000" w:themeColor="text1"/>
          <w:sz w:val="24"/>
          <w:szCs w:val="24"/>
        </w:rPr>
        <w:t>Working on the hypothesis that the genuine number of crimes being reported to Essex Police is more accurately reflected in the data relating to STORM incidents with crime-related categories, data was reviewed from May 2015 to the end of January 2019.  There was a:</w:t>
      </w:r>
    </w:p>
    <w:p w:rsidR="00E8428B" w:rsidRDefault="00E8428B" w:rsidP="00E8428B">
      <w:pPr>
        <w:pStyle w:val="ListParagraph"/>
        <w:numPr>
          <w:ilvl w:val="0"/>
          <w:numId w:val="29"/>
        </w:numPr>
        <w:rPr>
          <w:color w:val="000000" w:themeColor="text1"/>
          <w:sz w:val="24"/>
          <w:szCs w:val="24"/>
        </w:rPr>
      </w:pPr>
      <w:r>
        <w:rPr>
          <w:color w:val="000000" w:themeColor="text1"/>
          <w:sz w:val="24"/>
          <w:szCs w:val="24"/>
        </w:rPr>
        <w:t>10.9% increase in the volume of STORM incidents with a crime-related initial classification.</w:t>
      </w:r>
    </w:p>
    <w:p w:rsidR="00E8428B" w:rsidRDefault="00E8428B" w:rsidP="00E8428B">
      <w:pPr>
        <w:pStyle w:val="ListParagraph"/>
        <w:numPr>
          <w:ilvl w:val="0"/>
          <w:numId w:val="29"/>
        </w:numPr>
        <w:rPr>
          <w:color w:val="000000" w:themeColor="text1"/>
          <w:sz w:val="24"/>
          <w:szCs w:val="24"/>
        </w:rPr>
      </w:pPr>
      <w:r>
        <w:rPr>
          <w:color w:val="000000" w:themeColor="text1"/>
          <w:sz w:val="24"/>
          <w:szCs w:val="24"/>
        </w:rPr>
        <w:t>53.6% increase in All Crime.</w:t>
      </w:r>
    </w:p>
    <w:p w:rsidR="00E8428B" w:rsidRDefault="00E8428B" w:rsidP="00E8428B">
      <w:pPr>
        <w:rPr>
          <w:color w:val="000000" w:themeColor="text1"/>
          <w:sz w:val="24"/>
          <w:szCs w:val="24"/>
        </w:rPr>
      </w:pPr>
      <w:r>
        <w:rPr>
          <w:color w:val="000000" w:themeColor="text1"/>
          <w:sz w:val="24"/>
          <w:szCs w:val="24"/>
        </w:rPr>
        <w:t>If this 10.9% increase is therefore applied to All Crime, and no changes had occurred with regards CDA or HOCR, there would have been (based purely on a linear trend):</w:t>
      </w:r>
    </w:p>
    <w:p w:rsidR="00E8428B" w:rsidRDefault="00E8428B" w:rsidP="00E8428B">
      <w:pPr>
        <w:pStyle w:val="ListParagraph"/>
        <w:numPr>
          <w:ilvl w:val="0"/>
          <w:numId w:val="30"/>
        </w:numPr>
        <w:rPr>
          <w:color w:val="000000" w:themeColor="text1"/>
          <w:sz w:val="24"/>
          <w:szCs w:val="24"/>
        </w:rPr>
      </w:pPr>
      <w:r>
        <w:rPr>
          <w:color w:val="000000" w:themeColor="text1"/>
          <w:sz w:val="24"/>
          <w:szCs w:val="24"/>
        </w:rPr>
        <w:t>42.7% less crime overall, and</w:t>
      </w:r>
    </w:p>
    <w:p w:rsidR="00E8428B" w:rsidRDefault="00E8428B" w:rsidP="00E8428B">
      <w:pPr>
        <w:pStyle w:val="ListParagraph"/>
        <w:numPr>
          <w:ilvl w:val="0"/>
          <w:numId w:val="30"/>
        </w:numPr>
        <w:rPr>
          <w:color w:val="000000" w:themeColor="text1"/>
          <w:sz w:val="24"/>
          <w:szCs w:val="24"/>
        </w:rPr>
      </w:pPr>
      <w:r w:rsidRPr="0011311D">
        <w:rPr>
          <w:color w:val="000000" w:themeColor="text1"/>
          <w:sz w:val="24"/>
          <w:szCs w:val="24"/>
        </w:rPr>
        <w:t>3,67</w:t>
      </w:r>
      <w:r>
        <w:rPr>
          <w:color w:val="000000" w:themeColor="text1"/>
          <w:sz w:val="24"/>
          <w:szCs w:val="24"/>
        </w:rPr>
        <w:t>7</w:t>
      </w:r>
      <w:r w:rsidRPr="0011311D">
        <w:rPr>
          <w:color w:val="000000" w:themeColor="text1"/>
          <w:sz w:val="24"/>
          <w:szCs w:val="24"/>
        </w:rPr>
        <w:t xml:space="preserve"> fewer offences recorded each month.</w:t>
      </w:r>
    </w:p>
    <w:p w:rsidR="00E8428B" w:rsidRPr="00E8428B" w:rsidRDefault="00E8428B" w:rsidP="00E8428B">
      <w:pPr>
        <w:rPr>
          <w:color w:val="000000" w:themeColor="text1"/>
          <w:sz w:val="24"/>
          <w:szCs w:val="24"/>
        </w:rPr>
      </w:pPr>
      <w:r>
        <w:rPr>
          <w:noProof/>
          <w:color w:val="000000" w:themeColor="text1"/>
          <w:sz w:val="24"/>
          <w:szCs w:val="24"/>
          <w:lang w:eastAsia="en-GB"/>
        </w:rPr>
        <w:lastRenderedPageBreak/>
        <w:drawing>
          <wp:inline distT="0" distB="0" distL="0" distR="0" wp14:anchorId="312E7141" wp14:editId="5DBB892D">
            <wp:extent cx="5633121" cy="3560919"/>
            <wp:effectExtent l="0" t="0" r="571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8915" cy="3564581"/>
                    </a:xfrm>
                    <a:prstGeom prst="rect">
                      <a:avLst/>
                    </a:prstGeom>
                    <a:noFill/>
                  </pic:spPr>
                </pic:pic>
              </a:graphicData>
            </a:graphic>
          </wp:inline>
        </w:drawing>
      </w:r>
    </w:p>
    <w:p w:rsidR="00E8428B" w:rsidRDefault="00E8428B" w:rsidP="00E8428B">
      <w:pPr>
        <w:pStyle w:val="ListParagraph"/>
        <w:numPr>
          <w:ilvl w:val="1"/>
          <w:numId w:val="1"/>
        </w:numPr>
        <w:spacing w:line="240" w:lineRule="auto"/>
        <w:rPr>
          <w:rFonts w:cstheme="minorHAnsi"/>
          <w:b/>
          <w:bCs/>
          <w:color w:val="002D56"/>
          <w:sz w:val="24"/>
          <w:szCs w:val="24"/>
        </w:rPr>
      </w:pPr>
      <w:r>
        <w:rPr>
          <w:rFonts w:cstheme="minorHAnsi"/>
          <w:b/>
          <w:bCs/>
          <w:color w:val="002D56"/>
          <w:sz w:val="24"/>
          <w:szCs w:val="24"/>
        </w:rPr>
        <w:t>Better Crime Data Accuracy (CDA)</w:t>
      </w:r>
    </w:p>
    <w:p w:rsidR="00E23123" w:rsidRDefault="00E23123" w:rsidP="00E23123">
      <w:pPr>
        <w:rPr>
          <w:color w:val="000000" w:themeColor="text1"/>
          <w:sz w:val="24"/>
          <w:szCs w:val="24"/>
        </w:rPr>
      </w:pPr>
      <w:r>
        <w:rPr>
          <w:color w:val="000000" w:themeColor="text1"/>
          <w:sz w:val="24"/>
          <w:szCs w:val="24"/>
        </w:rPr>
        <w:t xml:space="preserve">In order to </w:t>
      </w:r>
      <w:r w:rsidR="00016836">
        <w:rPr>
          <w:color w:val="000000" w:themeColor="text1"/>
          <w:sz w:val="24"/>
          <w:szCs w:val="24"/>
        </w:rPr>
        <w:t>gauge</w:t>
      </w:r>
      <w:r w:rsidR="001E13F5">
        <w:rPr>
          <w:color w:val="000000" w:themeColor="text1"/>
          <w:sz w:val="24"/>
          <w:szCs w:val="24"/>
        </w:rPr>
        <w:t xml:space="preserve"> the extent </w:t>
      </w:r>
      <w:r w:rsidR="007B459B">
        <w:rPr>
          <w:color w:val="000000" w:themeColor="text1"/>
          <w:sz w:val="24"/>
          <w:szCs w:val="24"/>
        </w:rPr>
        <w:t xml:space="preserve">to which </w:t>
      </w:r>
      <w:r w:rsidR="001E13F5">
        <w:rPr>
          <w:color w:val="000000" w:themeColor="text1"/>
          <w:sz w:val="24"/>
          <w:szCs w:val="24"/>
        </w:rPr>
        <w:t xml:space="preserve">better CDA </w:t>
      </w:r>
      <w:r w:rsidR="00ED3402">
        <w:rPr>
          <w:color w:val="000000" w:themeColor="text1"/>
          <w:sz w:val="24"/>
          <w:szCs w:val="24"/>
        </w:rPr>
        <w:t>has</w:t>
      </w:r>
      <w:r w:rsidR="001E13F5">
        <w:rPr>
          <w:color w:val="000000" w:themeColor="text1"/>
          <w:sz w:val="24"/>
          <w:szCs w:val="24"/>
        </w:rPr>
        <w:t xml:space="preserve"> </w:t>
      </w:r>
      <w:r w:rsidR="007B459B">
        <w:rPr>
          <w:color w:val="000000" w:themeColor="text1"/>
          <w:sz w:val="24"/>
          <w:szCs w:val="24"/>
        </w:rPr>
        <w:t xml:space="preserve">impacted </w:t>
      </w:r>
      <w:r>
        <w:rPr>
          <w:color w:val="000000" w:themeColor="text1"/>
          <w:sz w:val="24"/>
          <w:szCs w:val="24"/>
        </w:rPr>
        <w:t xml:space="preserve">on crime levels, </w:t>
      </w:r>
      <w:r w:rsidR="003A40CC">
        <w:rPr>
          <w:color w:val="000000" w:themeColor="text1"/>
          <w:sz w:val="24"/>
          <w:szCs w:val="24"/>
        </w:rPr>
        <w:t>the</w:t>
      </w:r>
      <w:r w:rsidR="00016836">
        <w:rPr>
          <w:color w:val="000000" w:themeColor="text1"/>
          <w:sz w:val="24"/>
          <w:szCs w:val="24"/>
        </w:rPr>
        <w:t xml:space="preserve"> volume of incidents </w:t>
      </w:r>
      <w:r w:rsidR="003A40CC">
        <w:rPr>
          <w:color w:val="000000" w:themeColor="text1"/>
          <w:sz w:val="24"/>
          <w:szCs w:val="24"/>
        </w:rPr>
        <w:t xml:space="preserve">with crime-related initial classifications </w:t>
      </w:r>
      <w:r w:rsidR="00016836">
        <w:rPr>
          <w:color w:val="000000" w:themeColor="text1"/>
          <w:sz w:val="24"/>
          <w:szCs w:val="24"/>
        </w:rPr>
        <w:t>that have been closed as crimes</w:t>
      </w:r>
      <w:r>
        <w:rPr>
          <w:color w:val="000000" w:themeColor="text1"/>
          <w:sz w:val="24"/>
          <w:szCs w:val="24"/>
        </w:rPr>
        <w:t xml:space="preserve"> have been identified</w:t>
      </w:r>
      <w:r w:rsidR="00016836">
        <w:rPr>
          <w:color w:val="000000" w:themeColor="text1"/>
          <w:sz w:val="24"/>
          <w:szCs w:val="24"/>
        </w:rPr>
        <w:t>.  Better CDA w</w:t>
      </w:r>
      <w:r w:rsidR="007B459B">
        <w:rPr>
          <w:color w:val="000000" w:themeColor="text1"/>
          <w:sz w:val="24"/>
          <w:szCs w:val="24"/>
        </w:rPr>
        <w:t>ill</w:t>
      </w:r>
      <w:r w:rsidR="00016836">
        <w:rPr>
          <w:color w:val="000000" w:themeColor="text1"/>
          <w:sz w:val="24"/>
          <w:szCs w:val="24"/>
        </w:rPr>
        <w:t xml:space="preserve"> increase both the volume and ratio of </w:t>
      </w:r>
      <w:r w:rsidR="003A40CC">
        <w:rPr>
          <w:color w:val="000000" w:themeColor="text1"/>
          <w:sz w:val="24"/>
          <w:szCs w:val="24"/>
        </w:rPr>
        <w:t>these</w:t>
      </w:r>
      <w:r w:rsidR="00016836">
        <w:rPr>
          <w:color w:val="000000" w:themeColor="text1"/>
          <w:sz w:val="24"/>
          <w:szCs w:val="24"/>
        </w:rPr>
        <w:t xml:space="preserve"> incidents</w:t>
      </w:r>
      <w:r>
        <w:rPr>
          <w:color w:val="000000" w:themeColor="text1"/>
          <w:sz w:val="24"/>
          <w:szCs w:val="24"/>
        </w:rPr>
        <w:t>:</w:t>
      </w:r>
    </w:p>
    <w:p w:rsidR="00016836" w:rsidRPr="00E23123" w:rsidRDefault="00016836" w:rsidP="00E23123">
      <w:pPr>
        <w:pStyle w:val="ListParagraph"/>
        <w:numPr>
          <w:ilvl w:val="0"/>
          <w:numId w:val="34"/>
        </w:numPr>
        <w:rPr>
          <w:color w:val="000000" w:themeColor="text1"/>
          <w:sz w:val="24"/>
          <w:szCs w:val="24"/>
        </w:rPr>
      </w:pPr>
      <w:r w:rsidRPr="00E23123">
        <w:rPr>
          <w:color w:val="000000" w:themeColor="text1"/>
          <w:sz w:val="24"/>
          <w:szCs w:val="24"/>
        </w:rPr>
        <w:t xml:space="preserve">32.5% increase in the volume of </w:t>
      </w:r>
      <w:r w:rsidR="003A40CC" w:rsidRPr="00E23123">
        <w:rPr>
          <w:color w:val="000000" w:themeColor="text1"/>
          <w:sz w:val="24"/>
          <w:szCs w:val="24"/>
        </w:rPr>
        <w:t>STORM incidents with a crime-related initial category that were</w:t>
      </w:r>
      <w:r w:rsidRPr="00E23123">
        <w:rPr>
          <w:color w:val="000000" w:themeColor="text1"/>
          <w:sz w:val="24"/>
          <w:szCs w:val="24"/>
        </w:rPr>
        <w:t xml:space="preserve"> closed </w:t>
      </w:r>
      <w:r w:rsidR="00F63638" w:rsidRPr="00E23123">
        <w:rPr>
          <w:color w:val="000000" w:themeColor="text1"/>
          <w:sz w:val="24"/>
          <w:szCs w:val="24"/>
        </w:rPr>
        <w:t>as</w:t>
      </w:r>
      <w:r w:rsidRPr="00E23123">
        <w:rPr>
          <w:color w:val="000000" w:themeColor="text1"/>
          <w:sz w:val="24"/>
          <w:szCs w:val="24"/>
        </w:rPr>
        <w:t xml:space="preserve"> crime</w:t>
      </w:r>
      <w:r w:rsidR="00F63638" w:rsidRPr="00E23123">
        <w:rPr>
          <w:color w:val="000000" w:themeColor="text1"/>
          <w:sz w:val="24"/>
          <w:szCs w:val="24"/>
        </w:rPr>
        <w:t>s</w:t>
      </w:r>
      <w:r w:rsidRPr="00E23123">
        <w:rPr>
          <w:color w:val="000000" w:themeColor="text1"/>
          <w:sz w:val="24"/>
          <w:szCs w:val="24"/>
        </w:rPr>
        <w:t>.  This is a steeper increase</w:t>
      </w:r>
      <w:r w:rsidR="00F63638" w:rsidRPr="00E23123">
        <w:rPr>
          <w:color w:val="000000" w:themeColor="text1"/>
          <w:sz w:val="24"/>
          <w:szCs w:val="24"/>
        </w:rPr>
        <w:t xml:space="preserve"> than the rise in all STORM incidents with a crime-related initial category (10.9%).  This is </w:t>
      </w:r>
      <w:r w:rsidR="00E23123">
        <w:rPr>
          <w:color w:val="000000" w:themeColor="text1"/>
          <w:sz w:val="24"/>
          <w:szCs w:val="24"/>
        </w:rPr>
        <w:t xml:space="preserve">due </w:t>
      </w:r>
      <w:r w:rsidRPr="00E23123">
        <w:rPr>
          <w:color w:val="000000" w:themeColor="text1"/>
          <w:sz w:val="24"/>
          <w:szCs w:val="24"/>
        </w:rPr>
        <w:t>to better CDA</w:t>
      </w:r>
      <w:r w:rsidR="00253D4C" w:rsidRPr="00E23123">
        <w:rPr>
          <w:color w:val="000000" w:themeColor="text1"/>
          <w:sz w:val="24"/>
          <w:szCs w:val="24"/>
        </w:rPr>
        <w:t xml:space="preserve">. The chart below shows that </w:t>
      </w:r>
      <w:r w:rsidRPr="00E23123">
        <w:rPr>
          <w:color w:val="000000" w:themeColor="text1"/>
          <w:sz w:val="24"/>
          <w:szCs w:val="24"/>
        </w:rPr>
        <w:t>the volume of incidents closed as crime</w:t>
      </w:r>
      <w:r w:rsidR="00F63638" w:rsidRPr="00E23123">
        <w:rPr>
          <w:color w:val="000000" w:themeColor="text1"/>
          <w:sz w:val="24"/>
          <w:szCs w:val="24"/>
        </w:rPr>
        <w:t>s has risen in stark contrast to those with other</w:t>
      </w:r>
      <w:r w:rsidRPr="00E23123">
        <w:rPr>
          <w:color w:val="000000" w:themeColor="text1"/>
          <w:sz w:val="24"/>
          <w:szCs w:val="24"/>
        </w:rPr>
        <w:t xml:space="preserve"> closing codes since August 2017</w:t>
      </w:r>
      <w:r w:rsidR="00253D4C" w:rsidRPr="00E23123">
        <w:rPr>
          <w:color w:val="000000" w:themeColor="text1"/>
          <w:sz w:val="24"/>
          <w:szCs w:val="24"/>
        </w:rPr>
        <w:t>.</w:t>
      </w:r>
    </w:p>
    <w:p w:rsidR="001C17FB" w:rsidRDefault="0011311D" w:rsidP="0011311D">
      <w:pPr>
        <w:spacing w:line="240" w:lineRule="auto"/>
        <w:jc w:val="center"/>
        <w:rPr>
          <w:rFonts w:cstheme="minorHAnsi"/>
          <w:b/>
          <w:bCs/>
          <w:color w:val="002D56"/>
          <w:sz w:val="24"/>
          <w:szCs w:val="24"/>
        </w:rPr>
      </w:pPr>
      <w:r>
        <w:rPr>
          <w:rFonts w:cstheme="minorHAnsi"/>
          <w:b/>
          <w:bCs/>
          <w:noProof/>
          <w:color w:val="002D56"/>
          <w:sz w:val="24"/>
          <w:szCs w:val="24"/>
          <w:lang w:eastAsia="en-GB"/>
        </w:rPr>
        <w:lastRenderedPageBreak/>
        <w:drawing>
          <wp:inline distT="0" distB="0" distL="0" distR="0" wp14:anchorId="7E8A76E2" wp14:editId="20FFBFC1">
            <wp:extent cx="5743403" cy="3199286"/>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2910" cy="3204582"/>
                    </a:xfrm>
                    <a:prstGeom prst="rect">
                      <a:avLst/>
                    </a:prstGeom>
                    <a:noFill/>
                  </pic:spPr>
                </pic:pic>
              </a:graphicData>
            </a:graphic>
          </wp:inline>
        </w:drawing>
      </w:r>
    </w:p>
    <w:p w:rsidR="00F63638" w:rsidRDefault="00253D4C" w:rsidP="00F63638">
      <w:pPr>
        <w:rPr>
          <w:color w:val="000000" w:themeColor="text1"/>
          <w:sz w:val="24"/>
          <w:szCs w:val="24"/>
        </w:rPr>
      </w:pPr>
      <w:r>
        <w:rPr>
          <w:color w:val="000000" w:themeColor="text1"/>
          <w:sz w:val="24"/>
          <w:szCs w:val="24"/>
        </w:rPr>
        <w:t>Based on</w:t>
      </w:r>
      <w:r w:rsidR="005F68C2">
        <w:rPr>
          <w:color w:val="000000" w:themeColor="text1"/>
          <w:sz w:val="24"/>
          <w:szCs w:val="24"/>
        </w:rPr>
        <w:t xml:space="preserve"> </w:t>
      </w:r>
      <w:r w:rsidR="00F63638">
        <w:rPr>
          <w:color w:val="000000" w:themeColor="text1"/>
          <w:sz w:val="24"/>
          <w:szCs w:val="24"/>
        </w:rPr>
        <w:t>this methodology, it is reasonable to hypothesise that, since May 2015:</w:t>
      </w:r>
    </w:p>
    <w:p w:rsidR="00695D65" w:rsidRDefault="00695D65" w:rsidP="00695D65">
      <w:pPr>
        <w:pStyle w:val="ListParagraph"/>
        <w:numPr>
          <w:ilvl w:val="0"/>
          <w:numId w:val="32"/>
        </w:numPr>
        <w:rPr>
          <w:color w:val="000000" w:themeColor="text1"/>
          <w:sz w:val="24"/>
          <w:szCs w:val="24"/>
        </w:rPr>
      </w:pPr>
      <w:r w:rsidRPr="00051EE1">
        <w:rPr>
          <w:color w:val="000000" w:themeColor="text1"/>
          <w:sz w:val="24"/>
          <w:szCs w:val="24"/>
        </w:rPr>
        <w:t>10.9% as result of a genuine increase in crime reporting</w:t>
      </w:r>
      <w:r>
        <w:rPr>
          <w:color w:val="000000" w:themeColor="text1"/>
          <w:sz w:val="24"/>
          <w:szCs w:val="24"/>
        </w:rPr>
        <w:t xml:space="preserve"> (all incidents with a crime-related initial classification).</w:t>
      </w:r>
    </w:p>
    <w:p w:rsidR="00F63638" w:rsidRDefault="00F63638" w:rsidP="00F63638">
      <w:pPr>
        <w:pStyle w:val="ListParagraph"/>
        <w:numPr>
          <w:ilvl w:val="0"/>
          <w:numId w:val="32"/>
        </w:numPr>
        <w:rPr>
          <w:color w:val="000000" w:themeColor="text1"/>
          <w:sz w:val="24"/>
          <w:szCs w:val="24"/>
        </w:rPr>
      </w:pPr>
      <w:r w:rsidRPr="00051EE1">
        <w:rPr>
          <w:color w:val="000000" w:themeColor="text1"/>
          <w:sz w:val="24"/>
          <w:szCs w:val="24"/>
        </w:rPr>
        <w:t>21.6% of the increase in crime since May 2015 is as a result of better CDA</w:t>
      </w:r>
      <w:r>
        <w:rPr>
          <w:color w:val="000000" w:themeColor="text1"/>
          <w:sz w:val="24"/>
          <w:szCs w:val="24"/>
        </w:rPr>
        <w:t xml:space="preserve"> (increase in incidents closed as crimes, minus the overall rise).</w:t>
      </w:r>
    </w:p>
    <w:p w:rsidR="00F63638" w:rsidRDefault="00F63638" w:rsidP="00F63638">
      <w:pPr>
        <w:pStyle w:val="ListParagraph"/>
        <w:numPr>
          <w:ilvl w:val="0"/>
          <w:numId w:val="32"/>
        </w:numPr>
        <w:rPr>
          <w:color w:val="000000" w:themeColor="text1"/>
          <w:sz w:val="24"/>
          <w:szCs w:val="24"/>
        </w:rPr>
      </w:pPr>
      <w:r w:rsidRPr="00051EE1">
        <w:rPr>
          <w:color w:val="000000" w:themeColor="text1"/>
          <w:sz w:val="24"/>
          <w:szCs w:val="24"/>
        </w:rPr>
        <w:t xml:space="preserve">21.1% </w:t>
      </w:r>
      <w:r>
        <w:rPr>
          <w:color w:val="000000" w:themeColor="text1"/>
          <w:sz w:val="24"/>
          <w:szCs w:val="24"/>
        </w:rPr>
        <w:t xml:space="preserve">as a result in </w:t>
      </w:r>
      <w:r w:rsidRPr="00051EE1">
        <w:rPr>
          <w:color w:val="000000" w:themeColor="text1"/>
          <w:sz w:val="24"/>
          <w:szCs w:val="24"/>
        </w:rPr>
        <w:t>changes in HOCR</w:t>
      </w:r>
      <w:r>
        <w:rPr>
          <w:color w:val="000000" w:themeColor="text1"/>
          <w:sz w:val="24"/>
          <w:szCs w:val="24"/>
        </w:rPr>
        <w:t xml:space="preserve"> (such as the </w:t>
      </w:r>
      <w:r w:rsidRPr="00051EE1">
        <w:rPr>
          <w:color w:val="000000" w:themeColor="text1"/>
          <w:sz w:val="24"/>
          <w:szCs w:val="24"/>
        </w:rPr>
        <w:t xml:space="preserve">recording </w:t>
      </w:r>
      <w:r>
        <w:rPr>
          <w:color w:val="000000" w:themeColor="text1"/>
          <w:sz w:val="24"/>
          <w:szCs w:val="24"/>
        </w:rPr>
        <w:t xml:space="preserve">of </w:t>
      </w:r>
      <w:r w:rsidRPr="00051EE1">
        <w:rPr>
          <w:color w:val="000000" w:themeColor="text1"/>
          <w:sz w:val="24"/>
          <w:szCs w:val="24"/>
        </w:rPr>
        <w:t xml:space="preserve">multiple offences </w:t>
      </w:r>
      <w:r>
        <w:rPr>
          <w:color w:val="000000" w:themeColor="text1"/>
          <w:sz w:val="24"/>
          <w:szCs w:val="24"/>
        </w:rPr>
        <w:t>in relation to S</w:t>
      </w:r>
      <w:r w:rsidRPr="00051EE1">
        <w:rPr>
          <w:color w:val="000000" w:themeColor="text1"/>
          <w:sz w:val="24"/>
          <w:szCs w:val="24"/>
        </w:rPr>
        <w:t>talking &amp; Harassment</w:t>
      </w:r>
      <w:r>
        <w:rPr>
          <w:color w:val="000000" w:themeColor="text1"/>
          <w:sz w:val="24"/>
          <w:szCs w:val="24"/>
        </w:rPr>
        <w:t>).  Other internal and external influence are also likely to have affected this increase, however</w:t>
      </w:r>
      <w:r w:rsidRPr="00051EE1">
        <w:rPr>
          <w:color w:val="000000" w:themeColor="text1"/>
          <w:sz w:val="24"/>
          <w:szCs w:val="24"/>
        </w:rPr>
        <w:t>.</w:t>
      </w:r>
    </w:p>
    <w:p w:rsidR="00544876" w:rsidRPr="00544876" w:rsidRDefault="00544876" w:rsidP="00544876">
      <w:pPr>
        <w:rPr>
          <w:color w:val="000000" w:themeColor="text1"/>
          <w:sz w:val="24"/>
          <w:szCs w:val="24"/>
        </w:rPr>
      </w:pPr>
      <w:r>
        <w:rPr>
          <w:noProof/>
          <w:lang w:eastAsia="en-GB"/>
        </w:rPr>
        <w:lastRenderedPageBreak/>
        <w:drawing>
          <wp:inline distT="0" distB="0" distL="0" distR="0" wp14:anchorId="0E6C0823" wp14:editId="6180E2F5">
            <wp:extent cx="6480810" cy="4124325"/>
            <wp:effectExtent l="0" t="0" r="1524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95D65" w:rsidRDefault="00695D65">
      <w:pPr>
        <w:rPr>
          <w:rFonts w:cstheme="minorHAnsi"/>
          <w:b/>
          <w:bCs/>
          <w:color w:val="002D56"/>
          <w:sz w:val="24"/>
          <w:szCs w:val="24"/>
        </w:rPr>
      </w:pPr>
      <w:r w:rsidRPr="00695D65">
        <w:rPr>
          <w:noProof/>
          <w:lang w:eastAsia="en-GB"/>
        </w:rPr>
        <w:drawing>
          <wp:inline distT="0" distB="0" distL="0" distR="0" wp14:anchorId="288FAC58" wp14:editId="2AD36F8E">
            <wp:extent cx="6480810" cy="1229966"/>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1229966"/>
                    </a:xfrm>
                    <a:prstGeom prst="rect">
                      <a:avLst/>
                    </a:prstGeom>
                    <a:noFill/>
                    <a:ln>
                      <a:noFill/>
                    </a:ln>
                  </pic:spPr>
                </pic:pic>
              </a:graphicData>
            </a:graphic>
          </wp:inline>
        </w:drawing>
      </w:r>
    </w:p>
    <w:p w:rsidR="00695D65" w:rsidRDefault="00695D65">
      <w:pPr>
        <w:rPr>
          <w:rFonts w:cstheme="minorHAnsi"/>
          <w:b/>
          <w:bCs/>
          <w:color w:val="002D56"/>
          <w:sz w:val="24"/>
          <w:szCs w:val="24"/>
        </w:rPr>
      </w:pPr>
    </w:p>
    <w:p w:rsidR="00AB1352" w:rsidRDefault="00AB1352" w:rsidP="00AB1352">
      <w:pPr>
        <w:pStyle w:val="ListParagraph"/>
        <w:spacing w:line="240" w:lineRule="auto"/>
        <w:rPr>
          <w:rFonts w:cstheme="minorHAnsi"/>
          <w:b/>
          <w:bCs/>
          <w:color w:val="002D56"/>
          <w:sz w:val="24"/>
          <w:szCs w:val="24"/>
        </w:rPr>
      </w:pPr>
    </w:p>
    <w:p w:rsidR="008B5195" w:rsidRDefault="008B5195" w:rsidP="00AB1352">
      <w:pPr>
        <w:pStyle w:val="ListParagraph"/>
        <w:spacing w:line="240" w:lineRule="auto"/>
        <w:rPr>
          <w:rFonts w:cstheme="minorHAnsi"/>
          <w:b/>
          <w:bCs/>
          <w:color w:val="002D56"/>
          <w:sz w:val="24"/>
          <w:szCs w:val="24"/>
        </w:rPr>
      </w:pPr>
    </w:p>
    <w:p w:rsidR="008B5195" w:rsidRDefault="008B5195" w:rsidP="00AB1352">
      <w:pPr>
        <w:pStyle w:val="ListParagraph"/>
        <w:spacing w:line="240" w:lineRule="auto"/>
        <w:rPr>
          <w:rFonts w:cstheme="minorHAnsi"/>
          <w:b/>
          <w:bCs/>
          <w:color w:val="002D56"/>
          <w:sz w:val="24"/>
          <w:szCs w:val="24"/>
        </w:rPr>
      </w:pPr>
    </w:p>
    <w:p w:rsidR="00544876" w:rsidRDefault="00544876">
      <w:pPr>
        <w:rPr>
          <w:rFonts w:cstheme="minorHAnsi"/>
          <w:b/>
          <w:bCs/>
          <w:color w:val="002D56"/>
          <w:sz w:val="24"/>
          <w:szCs w:val="24"/>
        </w:rPr>
      </w:pPr>
      <w:r>
        <w:rPr>
          <w:rFonts w:cstheme="minorHAnsi"/>
          <w:b/>
          <w:bCs/>
          <w:color w:val="002D56"/>
          <w:sz w:val="24"/>
          <w:szCs w:val="24"/>
        </w:rPr>
        <w:br w:type="page"/>
      </w:r>
    </w:p>
    <w:p w:rsidR="00A9625D" w:rsidRPr="00364A15" w:rsidRDefault="00364A15" w:rsidP="00364A15">
      <w:pPr>
        <w:spacing w:line="240" w:lineRule="auto"/>
        <w:rPr>
          <w:rFonts w:cstheme="minorHAnsi"/>
          <w:b/>
          <w:bCs/>
          <w:color w:val="002D56"/>
          <w:sz w:val="24"/>
          <w:szCs w:val="24"/>
        </w:rPr>
      </w:pPr>
      <w:r>
        <w:rPr>
          <w:rFonts w:cstheme="minorHAnsi"/>
          <w:b/>
          <w:bCs/>
          <w:color w:val="002D56"/>
          <w:sz w:val="24"/>
          <w:szCs w:val="24"/>
        </w:rPr>
        <w:lastRenderedPageBreak/>
        <w:t>Appendix</w:t>
      </w:r>
      <w:r w:rsidR="00E8428B">
        <w:rPr>
          <w:rFonts w:cstheme="minorHAnsi"/>
          <w:b/>
          <w:bCs/>
          <w:color w:val="002D56"/>
          <w:sz w:val="24"/>
          <w:szCs w:val="24"/>
        </w:rPr>
        <w:t xml:space="preserve"> 1: </w:t>
      </w:r>
      <w:r w:rsidR="00A9625D" w:rsidRPr="00364A15">
        <w:rPr>
          <w:rFonts w:cstheme="minorHAnsi"/>
          <w:b/>
          <w:bCs/>
          <w:color w:val="002D56"/>
          <w:sz w:val="24"/>
          <w:szCs w:val="24"/>
        </w:rPr>
        <w:t>Crime</w:t>
      </w:r>
      <w:r>
        <w:rPr>
          <w:rFonts w:cstheme="minorHAnsi"/>
          <w:b/>
          <w:bCs/>
          <w:color w:val="002D56"/>
          <w:sz w:val="24"/>
          <w:szCs w:val="24"/>
        </w:rPr>
        <w:t xml:space="preserve"> Breakdown</w:t>
      </w:r>
    </w:p>
    <w:p w:rsidR="005F0615" w:rsidRDefault="005F0615" w:rsidP="00544876">
      <w:pPr>
        <w:spacing w:line="240" w:lineRule="auto"/>
        <w:ind w:left="360"/>
        <w:jc w:val="center"/>
        <w:rPr>
          <w:rFonts w:cstheme="minorHAnsi"/>
          <w:bCs/>
          <w:color w:val="000000" w:themeColor="text1"/>
          <w:sz w:val="24"/>
          <w:szCs w:val="24"/>
        </w:rPr>
      </w:pPr>
      <w:r w:rsidRPr="005F0615">
        <w:rPr>
          <w:noProof/>
          <w:lang w:eastAsia="en-GB"/>
        </w:rPr>
        <w:drawing>
          <wp:inline distT="0" distB="0" distL="0" distR="0" wp14:anchorId="0C6B6E49" wp14:editId="107295E1">
            <wp:extent cx="2964873" cy="4499536"/>
            <wp:effectExtent l="0" t="0" r="698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5115" cy="4515079"/>
                    </a:xfrm>
                    <a:prstGeom prst="rect">
                      <a:avLst/>
                    </a:prstGeom>
                    <a:noFill/>
                    <a:ln>
                      <a:noFill/>
                    </a:ln>
                  </pic:spPr>
                </pic:pic>
              </a:graphicData>
            </a:graphic>
          </wp:inline>
        </w:drawing>
      </w:r>
    </w:p>
    <w:p w:rsidR="00E8428B" w:rsidRDefault="005F0615" w:rsidP="00544876">
      <w:pPr>
        <w:spacing w:line="240" w:lineRule="auto"/>
        <w:ind w:left="360"/>
        <w:jc w:val="center"/>
        <w:rPr>
          <w:rFonts w:cstheme="minorHAnsi"/>
          <w:bCs/>
          <w:color w:val="000000" w:themeColor="text1"/>
          <w:sz w:val="24"/>
          <w:szCs w:val="24"/>
        </w:rPr>
      </w:pPr>
      <w:r w:rsidRPr="005F0615">
        <w:rPr>
          <w:noProof/>
          <w:lang w:eastAsia="en-GB"/>
        </w:rPr>
        <w:lastRenderedPageBreak/>
        <w:drawing>
          <wp:inline distT="0" distB="0" distL="0" distR="0" wp14:anchorId="16EC846D" wp14:editId="0AA0F91B">
            <wp:extent cx="2937164" cy="289736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4669" cy="2983686"/>
                    </a:xfrm>
                    <a:prstGeom prst="rect">
                      <a:avLst/>
                    </a:prstGeom>
                    <a:noFill/>
                    <a:ln>
                      <a:noFill/>
                    </a:ln>
                  </pic:spPr>
                </pic:pic>
              </a:graphicData>
            </a:graphic>
          </wp:inline>
        </w:drawing>
      </w:r>
    </w:p>
    <w:p w:rsidR="00E8428B" w:rsidRDefault="00E8428B">
      <w:pPr>
        <w:rPr>
          <w:rFonts w:cstheme="minorHAnsi"/>
          <w:bCs/>
          <w:color w:val="000000" w:themeColor="text1"/>
          <w:sz w:val="24"/>
          <w:szCs w:val="24"/>
        </w:rPr>
      </w:pPr>
      <w:r>
        <w:rPr>
          <w:rFonts w:cstheme="minorHAnsi"/>
          <w:bCs/>
          <w:color w:val="000000" w:themeColor="text1"/>
          <w:sz w:val="24"/>
          <w:szCs w:val="24"/>
        </w:rPr>
        <w:br w:type="page"/>
      </w:r>
    </w:p>
    <w:p w:rsidR="00E8428B" w:rsidRPr="00364A15" w:rsidRDefault="00E8428B" w:rsidP="00E8428B">
      <w:pPr>
        <w:spacing w:line="240" w:lineRule="auto"/>
        <w:rPr>
          <w:rFonts w:cstheme="minorHAnsi"/>
          <w:b/>
          <w:bCs/>
          <w:color w:val="002D56"/>
          <w:sz w:val="24"/>
          <w:szCs w:val="24"/>
        </w:rPr>
      </w:pPr>
      <w:r>
        <w:rPr>
          <w:rFonts w:cstheme="minorHAnsi"/>
          <w:b/>
          <w:bCs/>
          <w:color w:val="002D56"/>
          <w:sz w:val="24"/>
          <w:szCs w:val="24"/>
        </w:rPr>
        <w:lastRenderedPageBreak/>
        <w:t>Appendix 2: All Crime, and Stalking &amp; Harassment/DA Offences Recorded by Month</w:t>
      </w:r>
    </w:p>
    <w:p w:rsidR="001831EA" w:rsidRDefault="001831EA">
      <w:pPr>
        <w:rPr>
          <w:rFonts w:cstheme="minorHAnsi"/>
          <w:bCs/>
          <w:color w:val="000000" w:themeColor="text1"/>
          <w:sz w:val="24"/>
          <w:szCs w:val="24"/>
        </w:rPr>
      </w:pPr>
      <w:r>
        <w:rPr>
          <w:rFonts w:cstheme="minorHAnsi"/>
          <w:bCs/>
          <w:noProof/>
          <w:color w:val="000000" w:themeColor="text1"/>
          <w:sz w:val="24"/>
          <w:szCs w:val="24"/>
          <w:lang w:eastAsia="en-GB"/>
        </w:rPr>
        <w:drawing>
          <wp:inline distT="0" distB="0" distL="0" distR="0" wp14:anchorId="5C813A6D" wp14:editId="64AB5B96">
            <wp:extent cx="6678930" cy="3289548"/>
            <wp:effectExtent l="0" t="0" r="762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5483" cy="3297701"/>
                    </a:xfrm>
                    <a:prstGeom prst="rect">
                      <a:avLst/>
                    </a:prstGeom>
                    <a:noFill/>
                  </pic:spPr>
                </pic:pic>
              </a:graphicData>
            </a:graphic>
          </wp:inline>
        </w:drawing>
      </w:r>
    </w:p>
    <w:p w:rsidR="005F0615" w:rsidRPr="005A72C4" w:rsidRDefault="001831EA" w:rsidP="00544876">
      <w:pPr>
        <w:spacing w:line="240" w:lineRule="auto"/>
        <w:ind w:left="360"/>
        <w:jc w:val="center"/>
        <w:rPr>
          <w:rFonts w:cstheme="minorHAnsi"/>
          <w:bCs/>
          <w:color w:val="000000" w:themeColor="text1"/>
          <w:sz w:val="24"/>
          <w:szCs w:val="24"/>
        </w:rPr>
      </w:pPr>
      <w:r>
        <w:rPr>
          <w:rFonts w:cstheme="minorHAnsi"/>
          <w:bCs/>
          <w:noProof/>
          <w:color w:val="000000" w:themeColor="text1"/>
          <w:sz w:val="24"/>
          <w:szCs w:val="24"/>
          <w:lang w:eastAsia="en-GB"/>
        </w:rPr>
        <w:drawing>
          <wp:inline distT="0" distB="0" distL="0" distR="0" wp14:anchorId="1CE56A3A" wp14:editId="2828F9A8">
            <wp:extent cx="6459855" cy="31816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5843" cy="3184597"/>
                    </a:xfrm>
                    <a:prstGeom prst="rect">
                      <a:avLst/>
                    </a:prstGeom>
                    <a:noFill/>
                  </pic:spPr>
                </pic:pic>
              </a:graphicData>
            </a:graphic>
          </wp:inline>
        </w:drawing>
      </w:r>
    </w:p>
    <w:sectPr w:rsidR="005F0615" w:rsidRPr="005A72C4" w:rsidSect="00A40BA0">
      <w:headerReference w:type="default" r:id="rId18"/>
      <w:footerReference w:type="default" r:id="rId19"/>
      <w:pgSz w:w="11906" w:h="16838"/>
      <w:pgMar w:top="2269" w:right="849" w:bottom="1440" w:left="851"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D64" w:rsidRDefault="009B5D64" w:rsidP="00005966">
      <w:pPr>
        <w:spacing w:after="0" w:line="240" w:lineRule="auto"/>
      </w:pPr>
      <w:r>
        <w:separator/>
      </w:r>
    </w:p>
  </w:endnote>
  <w:endnote w:type="continuationSeparator" w:id="0">
    <w:p w:rsidR="009B5D64" w:rsidRDefault="009B5D64" w:rsidP="0000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FE1" w:rsidRDefault="00CC67B5" w:rsidP="00CC67B5">
    <w:pPr>
      <w:pStyle w:val="Footer"/>
      <w:jc w:val="center"/>
    </w:pPr>
    <w:r>
      <w:t xml:space="preserve">Page </w:t>
    </w:r>
    <w:r>
      <w:fldChar w:fldCharType="begin"/>
    </w:r>
    <w:r>
      <w:instrText xml:space="preserve"> PAGE   \* MERGEFORMAT </w:instrText>
    </w:r>
    <w:r>
      <w:fldChar w:fldCharType="separate"/>
    </w:r>
    <w:r w:rsidR="007D1E9D">
      <w:rPr>
        <w:noProof/>
      </w:rPr>
      <w:t>2</w:t>
    </w:r>
    <w:r>
      <w:fldChar w:fldCharType="end"/>
    </w:r>
    <w:r>
      <w:t xml:space="preserve"> of </w:t>
    </w:r>
    <w:r w:rsidR="003D513C">
      <w:rPr>
        <w:noProof/>
      </w:rPr>
      <w:fldChar w:fldCharType="begin"/>
    </w:r>
    <w:r w:rsidR="003D513C">
      <w:rPr>
        <w:noProof/>
      </w:rPr>
      <w:instrText xml:space="preserve"> NUMPAGES   \* MERGEFORMAT </w:instrText>
    </w:r>
    <w:r w:rsidR="003D513C">
      <w:rPr>
        <w:noProof/>
      </w:rPr>
      <w:fldChar w:fldCharType="separate"/>
    </w:r>
    <w:r w:rsidR="007D1E9D">
      <w:rPr>
        <w:noProof/>
      </w:rPr>
      <w:t>9</w:t>
    </w:r>
    <w:r w:rsidR="003D513C">
      <w:rPr>
        <w:noProof/>
      </w:rPr>
      <w:fldChar w:fldCharType="end"/>
    </w:r>
  </w:p>
  <w:p w:rsidR="00005966" w:rsidRPr="00005966" w:rsidRDefault="00005966" w:rsidP="00005966">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D64" w:rsidRDefault="009B5D64" w:rsidP="00005966">
      <w:pPr>
        <w:spacing w:after="0" w:line="240" w:lineRule="auto"/>
      </w:pPr>
      <w:r>
        <w:separator/>
      </w:r>
    </w:p>
  </w:footnote>
  <w:footnote w:type="continuationSeparator" w:id="0">
    <w:p w:rsidR="009B5D64" w:rsidRDefault="009B5D64" w:rsidP="00005966">
      <w:pPr>
        <w:spacing w:after="0" w:line="240" w:lineRule="auto"/>
      </w:pPr>
      <w:r>
        <w:continuationSeparator/>
      </w:r>
    </w:p>
  </w:footnote>
  <w:footnote w:id="1">
    <w:p w:rsidR="00246525" w:rsidRDefault="00246525">
      <w:pPr>
        <w:pStyle w:val="FootnoteText"/>
      </w:pPr>
      <w:r>
        <w:rPr>
          <w:rStyle w:val="FootnoteReference"/>
        </w:rPr>
        <w:footnoteRef/>
      </w:r>
      <w:r>
        <w:t xml:space="preserve"> </w:t>
      </w:r>
      <w:r w:rsidR="00810992">
        <w:t xml:space="preserve">For the purposes of this report, a </w:t>
      </w:r>
      <w:r w:rsidR="00C11A4C">
        <w:t>genuine i</w:t>
      </w:r>
      <w:r>
        <w:t xml:space="preserve">ncrease </w:t>
      </w:r>
      <w:r w:rsidR="00C11A4C">
        <w:t xml:space="preserve">refers to </w:t>
      </w:r>
      <w:r w:rsidR="00810992">
        <w:t xml:space="preserve">the level of crime that is unaffected by </w:t>
      </w:r>
      <w:r w:rsidR="00C11A4C">
        <w:t>CDA</w:t>
      </w:r>
      <w:r w:rsidR="00810992">
        <w:t xml:space="preserve"> and HOCR</w:t>
      </w:r>
      <w:r>
        <w:t>.</w:t>
      </w:r>
    </w:p>
  </w:footnote>
  <w:footnote w:id="2">
    <w:p w:rsidR="00CB5103" w:rsidRDefault="00CB5103" w:rsidP="00CB5103">
      <w:pPr>
        <w:pStyle w:val="FootnoteText"/>
      </w:pPr>
      <w:r>
        <w:rPr>
          <w:rStyle w:val="FootnoteReference"/>
        </w:rPr>
        <w:footnoteRef/>
      </w:r>
      <w:r>
        <w:t xml:space="preserve"> Note that this percentage change figure is different to the 12 month figure featured in the Crime Tree tables.  Forecasts were based on the linear trend-line for May 2015 to January 2019 start point rather than the actual crime figure in May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C25" w:rsidRDefault="00CC67B5" w:rsidP="005971EA">
    <w:pPr>
      <w:spacing w:before="100" w:beforeAutospacing="1" w:after="100" w:afterAutospacing="1" w:line="240" w:lineRule="auto"/>
      <w:ind w:left="-1134"/>
      <w:rPr>
        <w:rFonts w:ascii="Arial" w:hAnsi="Arial" w:cs="Arial"/>
        <w:b/>
        <w:bCs/>
        <w:color w:val="002D56"/>
        <w:sz w:val="36"/>
        <w:szCs w:val="36"/>
      </w:rPr>
    </w:pPr>
    <w:r w:rsidRPr="005971EA">
      <w:rPr>
        <w:noProof/>
        <w:sz w:val="36"/>
        <w:szCs w:val="36"/>
        <w:lang w:eastAsia="en-GB"/>
      </w:rPr>
      <w:drawing>
        <wp:anchor distT="0" distB="0" distL="114300" distR="114300" simplePos="0" relativeHeight="251656192" behindDoc="1" locked="0" layoutInCell="1" allowOverlap="1" wp14:anchorId="4F7B2C63" wp14:editId="4362A150">
          <wp:simplePos x="0" y="0"/>
          <wp:positionH relativeFrom="margin">
            <wp:align>right</wp:align>
          </wp:positionH>
          <wp:positionV relativeFrom="paragraph">
            <wp:posOffset>137795</wp:posOffset>
          </wp:positionV>
          <wp:extent cx="727364" cy="450342"/>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hite-0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7364" cy="450342"/>
                  </a:xfrm>
                  <a:prstGeom prst="rect">
                    <a:avLst/>
                  </a:prstGeom>
                </pic:spPr>
              </pic:pic>
            </a:graphicData>
          </a:graphic>
          <wp14:sizeRelH relativeFrom="page">
            <wp14:pctWidth>0</wp14:pctWidth>
          </wp14:sizeRelH>
          <wp14:sizeRelV relativeFrom="page">
            <wp14:pctHeight>0</wp14:pctHeight>
          </wp14:sizeRelV>
        </wp:anchor>
      </w:drawing>
    </w:r>
    <w:r w:rsidRPr="005971EA">
      <w:rPr>
        <w:rFonts w:ascii="Arial" w:hAnsi="Arial" w:cs="Arial"/>
        <w:b/>
        <w:bCs/>
        <w:noProof/>
        <w:color w:val="002D56"/>
        <w:sz w:val="36"/>
        <w:szCs w:val="36"/>
        <w:lang w:eastAsia="en-GB"/>
      </w:rPr>
      <mc:AlternateContent>
        <mc:Choice Requires="wps">
          <w:drawing>
            <wp:anchor distT="0" distB="0" distL="114300" distR="114300" simplePos="0" relativeHeight="251658240" behindDoc="1" locked="0" layoutInCell="1" allowOverlap="1" wp14:anchorId="39D3619D" wp14:editId="7D549EEB">
              <wp:simplePos x="0" y="0"/>
              <wp:positionH relativeFrom="column">
                <wp:posOffset>-801643</wp:posOffset>
              </wp:positionH>
              <wp:positionV relativeFrom="paragraph">
                <wp:posOffset>368135</wp:posOffset>
              </wp:positionV>
              <wp:extent cx="3538847" cy="4286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47" cy="428625"/>
                      </a:xfrm>
                      <a:prstGeom prst="rect">
                        <a:avLst/>
                      </a:prstGeom>
                      <a:noFill/>
                      <a:ln w="9525">
                        <a:noFill/>
                        <a:miter lim="800000"/>
                        <a:headEnd/>
                        <a:tailEnd/>
                      </a:ln>
                    </wps:spPr>
                    <wps:txbx>
                      <w:txbxContent>
                        <w:p w:rsidR="005971EA" w:rsidRPr="00E41C25" w:rsidRDefault="00636EBC" w:rsidP="00E41C25">
                          <w:pPr>
                            <w:ind w:left="709"/>
                            <w:rPr>
                              <w:b/>
                              <w:color w:val="365F91" w:themeColor="accent1" w:themeShade="BF"/>
                              <w:sz w:val="24"/>
                            </w:rPr>
                          </w:pPr>
                          <w:r>
                            <w:rPr>
                              <w:b/>
                              <w:color w:val="365F91" w:themeColor="accent1" w:themeShade="BF"/>
                              <w:sz w:val="24"/>
                            </w:rPr>
                            <w:t xml:space="preserve">Official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3619D" id="_x0000_t202" coordsize="21600,21600" o:spt="202" path="m,l,21600r21600,l21600,xe">
              <v:stroke joinstyle="miter"/>
              <v:path gradientshapeok="t" o:connecttype="rect"/>
            </v:shapetype>
            <v:shape id="Text Box 2" o:spid="_x0000_s1027" type="#_x0000_t202" style="position:absolute;left:0;text-align:left;margin-left:-63.1pt;margin-top:29pt;width:278.6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" filled="f" stroked="f">
              <v:textbox>
                <w:txbxContent>
                  <w:p w:rsidR="005971EA" w:rsidRPr="00E41C25" w:rsidRDefault="00636EBC" w:rsidP="00E41C25">
                    <w:pPr>
                      <w:ind w:left="709"/>
                      <w:rPr>
                        <w:b/>
                        <w:color w:val="365F91" w:themeColor="accent1" w:themeShade="BF"/>
                        <w:sz w:val="24"/>
                      </w:rPr>
                    </w:pPr>
                    <w:r>
                      <w:rPr>
                        <w:b/>
                        <w:color w:val="365F91" w:themeColor="accent1" w:themeShade="BF"/>
                        <w:sz w:val="24"/>
                      </w:rPr>
                      <w:t xml:space="preserve">Official </w:t>
                    </w:r>
                  </w:p>
                </w:txbxContent>
              </v:textbox>
            </v:shape>
          </w:pict>
        </mc:Fallback>
      </mc:AlternateContent>
    </w:r>
  </w:p>
  <w:p w:rsidR="00005966" w:rsidRPr="00A40BA0" w:rsidRDefault="00E41C25" w:rsidP="00DB581B">
    <w:pPr>
      <w:spacing w:after="100" w:afterAutospacing="1" w:line="240" w:lineRule="auto"/>
      <w:rPr>
        <w:b/>
        <w:sz w:val="20"/>
        <w:szCs w:val="20"/>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3261AA3D" wp14:editId="67CCAC37">
              <wp:simplePos x="0" y="0"/>
              <wp:positionH relativeFrom="column">
                <wp:posOffset>-377825</wp:posOffset>
              </wp:positionH>
              <wp:positionV relativeFrom="paragraph">
                <wp:posOffset>176530</wp:posOffset>
              </wp:positionV>
              <wp:extent cx="7181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18185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729AC"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75pt,13.9pt" to="535.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" strokecolor="#1f497d [3215]"/>
          </w:pict>
        </mc:Fallback>
      </mc:AlternateContent>
    </w:r>
    <w:r w:rsidR="005971EA">
      <w:rPr>
        <w:sz w:val="20"/>
      </w:rPr>
      <w:tab/>
    </w:r>
    <w:r w:rsidR="00A40BA0" w:rsidRPr="00A40BA0">
      <w:rPr>
        <w:b/>
        <w:color w:val="1F497D" w:themeColor="text2"/>
        <w:sz w:val="20"/>
        <w:szCs w:val="20"/>
      </w:rPr>
      <w:t>Action 98/2018</w:t>
    </w:r>
    <w:r w:rsidR="00F17092">
      <w:rPr>
        <w:b/>
        <w:color w:val="1F497D" w:themeColor="text2"/>
        <w:sz w:val="20"/>
        <w:szCs w:val="20"/>
      </w:rPr>
      <w:t>: Real Crime Increase</w:t>
    </w:r>
    <w:r w:rsidR="00DB581B" w:rsidRPr="00A40BA0">
      <w:rPr>
        <w:b/>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5F06"/>
    <w:multiLevelType w:val="hybridMultilevel"/>
    <w:tmpl w:val="E26AC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0A1CF7"/>
    <w:multiLevelType w:val="hybridMultilevel"/>
    <w:tmpl w:val="06CE6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8338F"/>
    <w:multiLevelType w:val="hybridMultilevel"/>
    <w:tmpl w:val="67BC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75BB3"/>
    <w:multiLevelType w:val="hybridMultilevel"/>
    <w:tmpl w:val="74EC1D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A1260"/>
    <w:multiLevelType w:val="hybridMultilevel"/>
    <w:tmpl w:val="598A9CE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5" w15:restartNumberingAfterBreak="0">
    <w:nsid w:val="19267E89"/>
    <w:multiLevelType w:val="hybridMultilevel"/>
    <w:tmpl w:val="7722DE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902AB9"/>
    <w:multiLevelType w:val="hybridMultilevel"/>
    <w:tmpl w:val="8C5C2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1E51890"/>
    <w:multiLevelType w:val="hybridMultilevel"/>
    <w:tmpl w:val="1D08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115A67"/>
    <w:multiLevelType w:val="hybridMultilevel"/>
    <w:tmpl w:val="8D128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1D6CD2"/>
    <w:multiLevelType w:val="hybridMultilevel"/>
    <w:tmpl w:val="62CECEBA"/>
    <w:lvl w:ilvl="0" w:tplc="4C5237CC">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8A69F0"/>
    <w:multiLevelType w:val="hybridMultilevel"/>
    <w:tmpl w:val="B6E27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9756E4D"/>
    <w:multiLevelType w:val="hybridMultilevel"/>
    <w:tmpl w:val="F06281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80EE3"/>
    <w:multiLevelType w:val="hybridMultilevel"/>
    <w:tmpl w:val="B53C5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751F3E"/>
    <w:multiLevelType w:val="hybridMultilevel"/>
    <w:tmpl w:val="69AA0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C17D66"/>
    <w:multiLevelType w:val="hybridMultilevel"/>
    <w:tmpl w:val="01CA0FD4"/>
    <w:lvl w:ilvl="0" w:tplc="6BC005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D5921E2"/>
    <w:multiLevelType w:val="hybridMultilevel"/>
    <w:tmpl w:val="22AEBD9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F77C3E"/>
    <w:multiLevelType w:val="hybridMultilevel"/>
    <w:tmpl w:val="60A404B0"/>
    <w:lvl w:ilvl="0" w:tplc="23306F4A">
      <w:start w:val="1"/>
      <w:numFmt w:val="decimal"/>
      <w:lvlText w:val="%1."/>
      <w:lvlJc w:val="left"/>
      <w:pPr>
        <w:ind w:left="720" w:hanging="360"/>
      </w:pPr>
      <w:rPr>
        <w:rFonts w:asciiTheme="minorHAnsi" w:eastAsiaTheme="minorHAnsi"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2D7015"/>
    <w:multiLevelType w:val="hybridMultilevel"/>
    <w:tmpl w:val="3D569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60CAB"/>
    <w:multiLevelType w:val="hybridMultilevel"/>
    <w:tmpl w:val="3D66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711162"/>
    <w:multiLevelType w:val="hybridMultilevel"/>
    <w:tmpl w:val="3F34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B633F"/>
    <w:multiLevelType w:val="hybridMultilevel"/>
    <w:tmpl w:val="46767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5179E"/>
    <w:multiLevelType w:val="hybridMultilevel"/>
    <w:tmpl w:val="6BAC37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FF03F7"/>
    <w:multiLevelType w:val="hybridMultilevel"/>
    <w:tmpl w:val="8E5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671246"/>
    <w:multiLevelType w:val="hybridMultilevel"/>
    <w:tmpl w:val="89E6C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BB0268"/>
    <w:multiLevelType w:val="hybridMultilevel"/>
    <w:tmpl w:val="B9B4E2D0"/>
    <w:lvl w:ilvl="0" w:tplc="65EA37C4">
      <w:start w:val="3"/>
      <w:numFmt w:val="upperLetter"/>
      <w:lvlText w:val="%1."/>
      <w:lvlJc w:val="left"/>
      <w:pPr>
        <w:ind w:left="720" w:hanging="360"/>
      </w:pPr>
      <w:rPr>
        <w:rFonts w:hint="default"/>
        <w:b/>
        <w:color w:val="002D5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D54E4A"/>
    <w:multiLevelType w:val="hybridMultilevel"/>
    <w:tmpl w:val="4050B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4E15EC"/>
    <w:multiLevelType w:val="hybridMultilevel"/>
    <w:tmpl w:val="70EED4DA"/>
    <w:lvl w:ilvl="0" w:tplc="39B06AD4">
      <w:start w:val="1"/>
      <w:numFmt w:val="bullet"/>
      <w:lvlText w:val=""/>
      <w:lvlJc w:val="left"/>
      <w:pPr>
        <w:ind w:left="1080" w:hanging="360"/>
      </w:pPr>
      <w:rPr>
        <w:rFonts w:ascii="Symbol" w:hAnsi="Symbol" w:hint="default"/>
        <w:color w:val="000000" w:themeColor="text1"/>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B04FB6"/>
    <w:multiLevelType w:val="hybridMultilevel"/>
    <w:tmpl w:val="8056E9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A172E"/>
    <w:multiLevelType w:val="hybridMultilevel"/>
    <w:tmpl w:val="B6660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411E1F"/>
    <w:multiLevelType w:val="hybridMultilevel"/>
    <w:tmpl w:val="881C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8119C"/>
    <w:multiLevelType w:val="hybridMultilevel"/>
    <w:tmpl w:val="9AEE23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F81942"/>
    <w:multiLevelType w:val="hybridMultilevel"/>
    <w:tmpl w:val="6FD6D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D23B19"/>
    <w:multiLevelType w:val="hybridMultilevel"/>
    <w:tmpl w:val="58AC49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C3641D"/>
    <w:multiLevelType w:val="hybridMultilevel"/>
    <w:tmpl w:val="0590A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7"/>
  </w:num>
  <w:num w:numId="3">
    <w:abstractNumId w:val="25"/>
  </w:num>
  <w:num w:numId="4">
    <w:abstractNumId w:val="9"/>
  </w:num>
  <w:num w:numId="5">
    <w:abstractNumId w:val="16"/>
  </w:num>
  <w:num w:numId="6">
    <w:abstractNumId w:val="1"/>
  </w:num>
  <w:num w:numId="7">
    <w:abstractNumId w:val="14"/>
  </w:num>
  <w:num w:numId="8">
    <w:abstractNumId w:val="5"/>
  </w:num>
  <w:num w:numId="9">
    <w:abstractNumId w:val="27"/>
  </w:num>
  <w:num w:numId="10">
    <w:abstractNumId w:val="22"/>
  </w:num>
  <w:num w:numId="11">
    <w:abstractNumId w:val="28"/>
  </w:num>
  <w:num w:numId="12">
    <w:abstractNumId w:val="3"/>
  </w:num>
  <w:num w:numId="13">
    <w:abstractNumId w:val="13"/>
  </w:num>
  <w:num w:numId="14">
    <w:abstractNumId w:val="33"/>
  </w:num>
  <w:num w:numId="15">
    <w:abstractNumId w:val="12"/>
  </w:num>
  <w:num w:numId="16">
    <w:abstractNumId w:val="15"/>
  </w:num>
  <w:num w:numId="17">
    <w:abstractNumId w:val="21"/>
  </w:num>
  <w:num w:numId="18">
    <w:abstractNumId w:val="31"/>
  </w:num>
  <w:num w:numId="19">
    <w:abstractNumId w:val="26"/>
  </w:num>
  <w:num w:numId="20">
    <w:abstractNumId w:val="8"/>
  </w:num>
  <w:num w:numId="21">
    <w:abstractNumId w:val="32"/>
  </w:num>
  <w:num w:numId="22">
    <w:abstractNumId w:val="29"/>
  </w:num>
  <w:num w:numId="23">
    <w:abstractNumId w:val="10"/>
  </w:num>
  <w:num w:numId="24">
    <w:abstractNumId w:val="6"/>
  </w:num>
  <w:num w:numId="25">
    <w:abstractNumId w:val="0"/>
  </w:num>
  <w:num w:numId="26">
    <w:abstractNumId w:val="23"/>
  </w:num>
  <w:num w:numId="27">
    <w:abstractNumId w:val="30"/>
  </w:num>
  <w:num w:numId="28">
    <w:abstractNumId w:val="20"/>
  </w:num>
  <w:num w:numId="29">
    <w:abstractNumId w:val="19"/>
  </w:num>
  <w:num w:numId="30">
    <w:abstractNumId w:val="7"/>
  </w:num>
  <w:num w:numId="31">
    <w:abstractNumId w:val="2"/>
  </w:num>
  <w:num w:numId="32">
    <w:abstractNumId w:val="4"/>
  </w:num>
  <w:num w:numId="33">
    <w:abstractNumId w:val="24"/>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966"/>
    <w:rsid w:val="00005966"/>
    <w:rsid w:val="0001573B"/>
    <w:rsid w:val="000166AE"/>
    <w:rsid w:val="00016836"/>
    <w:rsid w:val="000173BC"/>
    <w:rsid w:val="00021377"/>
    <w:rsid w:val="00036888"/>
    <w:rsid w:val="00037FE1"/>
    <w:rsid w:val="000447D5"/>
    <w:rsid w:val="000459C5"/>
    <w:rsid w:val="00046FC8"/>
    <w:rsid w:val="00051EE1"/>
    <w:rsid w:val="00053B08"/>
    <w:rsid w:val="00057094"/>
    <w:rsid w:val="0006193F"/>
    <w:rsid w:val="0007112D"/>
    <w:rsid w:val="000717DE"/>
    <w:rsid w:val="00072856"/>
    <w:rsid w:val="00073B86"/>
    <w:rsid w:val="000835CB"/>
    <w:rsid w:val="000B4161"/>
    <w:rsid w:val="000B7BE3"/>
    <w:rsid w:val="000E1FD9"/>
    <w:rsid w:val="000F58BD"/>
    <w:rsid w:val="00100DF9"/>
    <w:rsid w:val="00101C54"/>
    <w:rsid w:val="0010249E"/>
    <w:rsid w:val="00103FB0"/>
    <w:rsid w:val="00104118"/>
    <w:rsid w:val="001046BD"/>
    <w:rsid w:val="0011311D"/>
    <w:rsid w:val="00134506"/>
    <w:rsid w:val="001405D2"/>
    <w:rsid w:val="0014765D"/>
    <w:rsid w:val="0014773D"/>
    <w:rsid w:val="00152950"/>
    <w:rsid w:val="00167D0A"/>
    <w:rsid w:val="001713B1"/>
    <w:rsid w:val="00173AD6"/>
    <w:rsid w:val="00174E26"/>
    <w:rsid w:val="001831EA"/>
    <w:rsid w:val="00183229"/>
    <w:rsid w:val="00186616"/>
    <w:rsid w:val="00190D5F"/>
    <w:rsid w:val="001942A5"/>
    <w:rsid w:val="001A502F"/>
    <w:rsid w:val="001B5D97"/>
    <w:rsid w:val="001C17FB"/>
    <w:rsid w:val="001D2AC8"/>
    <w:rsid w:val="001D78C1"/>
    <w:rsid w:val="001D7A95"/>
    <w:rsid w:val="001E0093"/>
    <w:rsid w:val="001E13F5"/>
    <w:rsid w:val="001F515B"/>
    <w:rsid w:val="00202544"/>
    <w:rsid w:val="0020526F"/>
    <w:rsid w:val="002054A8"/>
    <w:rsid w:val="00212B56"/>
    <w:rsid w:val="00216636"/>
    <w:rsid w:val="0022222C"/>
    <w:rsid w:val="002356F2"/>
    <w:rsid w:val="00235FA7"/>
    <w:rsid w:val="00236230"/>
    <w:rsid w:val="00242E13"/>
    <w:rsid w:val="00246525"/>
    <w:rsid w:val="0024748C"/>
    <w:rsid w:val="00250B4D"/>
    <w:rsid w:val="00253D4C"/>
    <w:rsid w:val="002822C1"/>
    <w:rsid w:val="002846B7"/>
    <w:rsid w:val="00286246"/>
    <w:rsid w:val="00290BC5"/>
    <w:rsid w:val="002A2E2B"/>
    <w:rsid w:val="002A7768"/>
    <w:rsid w:val="002B2412"/>
    <w:rsid w:val="002C7B92"/>
    <w:rsid w:val="002D0201"/>
    <w:rsid w:val="002D472E"/>
    <w:rsid w:val="002E4C4A"/>
    <w:rsid w:val="002E5301"/>
    <w:rsid w:val="002E7B85"/>
    <w:rsid w:val="002F569C"/>
    <w:rsid w:val="00302DA9"/>
    <w:rsid w:val="00312A8C"/>
    <w:rsid w:val="00314EE7"/>
    <w:rsid w:val="0032100B"/>
    <w:rsid w:val="00321487"/>
    <w:rsid w:val="00325555"/>
    <w:rsid w:val="003264FE"/>
    <w:rsid w:val="003501AA"/>
    <w:rsid w:val="003529D7"/>
    <w:rsid w:val="00364A15"/>
    <w:rsid w:val="003705F8"/>
    <w:rsid w:val="00376AEF"/>
    <w:rsid w:val="00382894"/>
    <w:rsid w:val="00391EAC"/>
    <w:rsid w:val="003A194E"/>
    <w:rsid w:val="003A3142"/>
    <w:rsid w:val="003A40CC"/>
    <w:rsid w:val="003A4349"/>
    <w:rsid w:val="003A7F30"/>
    <w:rsid w:val="003C2612"/>
    <w:rsid w:val="003C7995"/>
    <w:rsid w:val="003D513C"/>
    <w:rsid w:val="003F135B"/>
    <w:rsid w:val="003F2F46"/>
    <w:rsid w:val="003F7CA0"/>
    <w:rsid w:val="00400524"/>
    <w:rsid w:val="004007C6"/>
    <w:rsid w:val="00407C75"/>
    <w:rsid w:val="00415949"/>
    <w:rsid w:val="00420FB3"/>
    <w:rsid w:val="004226B6"/>
    <w:rsid w:val="00427DA7"/>
    <w:rsid w:val="00434B56"/>
    <w:rsid w:val="00437F84"/>
    <w:rsid w:val="00444C20"/>
    <w:rsid w:val="004505AC"/>
    <w:rsid w:val="00467F71"/>
    <w:rsid w:val="00481474"/>
    <w:rsid w:val="0049040D"/>
    <w:rsid w:val="004909AD"/>
    <w:rsid w:val="004969B0"/>
    <w:rsid w:val="004A59B5"/>
    <w:rsid w:val="004A7876"/>
    <w:rsid w:val="004D501A"/>
    <w:rsid w:val="004E7C80"/>
    <w:rsid w:val="004F585C"/>
    <w:rsid w:val="00500F1C"/>
    <w:rsid w:val="00501615"/>
    <w:rsid w:val="005119A9"/>
    <w:rsid w:val="00515EA2"/>
    <w:rsid w:val="00516272"/>
    <w:rsid w:val="00521161"/>
    <w:rsid w:val="00521465"/>
    <w:rsid w:val="0054266E"/>
    <w:rsid w:val="00543081"/>
    <w:rsid w:val="00544876"/>
    <w:rsid w:val="00572F51"/>
    <w:rsid w:val="00575271"/>
    <w:rsid w:val="0058034A"/>
    <w:rsid w:val="0058752D"/>
    <w:rsid w:val="005923DA"/>
    <w:rsid w:val="00592CFC"/>
    <w:rsid w:val="005953D9"/>
    <w:rsid w:val="005971EA"/>
    <w:rsid w:val="005A5362"/>
    <w:rsid w:val="005A6AE9"/>
    <w:rsid w:val="005A72C4"/>
    <w:rsid w:val="005B0682"/>
    <w:rsid w:val="005D4731"/>
    <w:rsid w:val="005D66B9"/>
    <w:rsid w:val="005F0615"/>
    <w:rsid w:val="005F07C6"/>
    <w:rsid w:val="005F0E0A"/>
    <w:rsid w:val="005F2D65"/>
    <w:rsid w:val="005F68C2"/>
    <w:rsid w:val="005F7964"/>
    <w:rsid w:val="006112BD"/>
    <w:rsid w:val="00625FBB"/>
    <w:rsid w:val="0063407D"/>
    <w:rsid w:val="00634E70"/>
    <w:rsid w:val="00636EBC"/>
    <w:rsid w:val="00643088"/>
    <w:rsid w:val="00653639"/>
    <w:rsid w:val="00660380"/>
    <w:rsid w:val="00695D65"/>
    <w:rsid w:val="006C18B7"/>
    <w:rsid w:val="006D18E1"/>
    <w:rsid w:val="006E3FE8"/>
    <w:rsid w:val="006E5D16"/>
    <w:rsid w:val="006F5F12"/>
    <w:rsid w:val="00712EDE"/>
    <w:rsid w:val="00733B44"/>
    <w:rsid w:val="0073654A"/>
    <w:rsid w:val="00740089"/>
    <w:rsid w:val="007466ED"/>
    <w:rsid w:val="00761C77"/>
    <w:rsid w:val="007642D9"/>
    <w:rsid w:val="0077131D"/>
    <w:rsid w:val="00785F46"/>
    <w:rsid w:val="007869DA"/>
    <w:rsid w:val="0079300F"/>
    <w:rsid w:val="00793652"/>
    <w:rsid w:val="0079503E"/>
    <w:rsid w:val="0079766B"/>
    <w:rsid w:val="007A0050"/>
    <w:rsid w:val="007A13D2"/>
    <w:rsid w:val="007A4ABF"/>
    <w:rsid w:val="007B2FCD"/>
    <w:rsid w:val="007B459B"/>
    <w:rsid w:val="007B7733"/>
    <w:rsid w:val="007C4927"/>
    <w:rsid w:val="007D1E9D"/>
    <w:rsid w:val="007E0D35"/>
    <w:rsid w:val="007E0E71"/>
    <w:rsid w:val="007E3283"/>
    <w:rsid w:val="007F3A1D"/>
    <w:rsid w:val="00810992"/>
    <w:rsid w:val="008153F8"/>
    <w:rsid w:val="00820AEC"/>
    <w:rsid w:val="00835CA1"/>
    <w:rsid w:val="008419E9"/>
    <w:rsid w:val="00842840"/>
    <w:rsid w:val="00846224"/>
    <w:rsid w:val="0084658D"/>
    <w:rsid w:val="008547A0"/>
    <w:rsid w:val="00854C51"/>
    <w:rsid w:val="00874850"/>
    <w:rsid w:val="00884D74"/>
    <w:rsid w:val="0088536B"/>
    <w:rsid w:val="0088739F"/>
    <w:rsid w:val="008B0A5F"/>
    <w:rsid w:val="008B15DE"/>
    <w:rsid w:val="008B5195"/>
    <w:rsid w:val="008B66B2"/>
    <w:rsid w:val="008C2058"/>
    <w:rsid w:val="008D2E0F"/>
    <w:rsid w:val="008E210F"/>
    <w:rsid w:val="00901C58"/>
    <w:rsid w:val="00903F40"/>
    <w:rsid w:val="00904EE4"/>
    <w:rsid w:val="00907F8F"/>
    <w:rsid w:val="00917224"/>
    <w:rsid w:val="00932D13"/>
    <w:rsid w:val="0095048A"/>
    <w:rsid w:val="00974FA0"/>
    <w:rsid w:val="0099195D"/>
    <w:rsid w:val="00992FBA"/>
    <w:rsid w:val="00995268"/>
    <w:rsid w:val="009B5D64"/>
    <w:rsid w:val="009B6E1F"/>
    <w:rsid w:val="009B7641"/>
    <w:rsid w:val="009C0279"/>
    <w:rsid w:val="009D2A21"/>
    <w:rsid w:val="009D77C0"/>
    <w:rsid w:val="009E6364"/>
    <w:rsid w:val="009F0B75"/>
    <w:rsid w:val="009F0EF8"/>
    <w:rsid w:val="009F5B40"/>
    <w:rsid w:val="00A12D65"/>
    <w:rsid w:val="00A308A8"/>
    <w:rsid w:val="00A33B9E"/>
    <w:rsid w:val="00A3798F"/>
    <w:rsid w:val="00A37DC2"/>
    <w:rsid w:val="00A40BA0"/>
    <w:rsid w:val="00A46452"/>
    <w:rsid w:val="00A4749D"/>
    <w:rsid w:val="00A5208F"/>
    <w:rsid w:val="00A5339C"/>
    <w:rsid w:val="00A772D9"/>
    <w:rsid w:val="00A83A38"/>
    <w:rsid w:val="00A87544"/>
    <w:rsid w:val="00A90B20"/>
    <w:rsid w:val="00A95025"/>
    <w:rsid w:val="00A9625D"/>
    <w:rsid w:val="00AA2CB5"/>
    <w:rsid w:val="00AA3E69"/>
    <w:rsid w:val="00AA425C"/>
    <w:rsid w:val="00AA76C3"/>
    <w:rsid w:val="00AB0549"/>
    <w:rsid w:val="00AB1352"/>
    <w:rsid w:val="00AB2917"/>
    <w:rsid w:val="00AB31FA"/>
    <w:rsid w:val="00AB47F3"/>
    <w:rsid w:val="00AB7A29"/>
    <w:rsid w:val="00AC360D"/>
    <w:rsid w:val="00AE04FB"/>
    <w:rsid w:val="00B003AB"/>
    <w:rsid w:val="00B04531"/>
    <w:rsid w:val="00B06CEF"/>
    <w:rsid w:val="00B142ED"/>
    <w:rsid w:val="00B46875"/>
    <w:rsid w:val="00B54094"/>
    <w:rsid w:val="00B655C9"/>
    <w:rsid w:val="00B65AFE"/>
    <w:rsid w:val="00B663A0"/>
    <w:rsid w:val="00B67B75"/>
    <w:rsid w:val="00B774D8"/>
    <w:rsid w:val="00B83C6F"/>
    <w:rsid w:val="00B86116"/>
    <w:rsid w:val="00B87317"/>
    <w:rsid w:val="00B925A1"/>
    <w:rsid w:val="00BA066B"/>
    <w:rsid w:val="00BB24B3"/>
    <w:rsid w:val="00BB5146"/>
    <w:rsid w:val="00BC0563"/>
    <w:rsid w:val="00BD2DDE"/>
    <w:rsid w:val="00BE78CC"/>
    <w:rsid w:val="00C012A6"/>
    <w:rsid w:val="00C02434"/>
    <w:rsid w:val="00C05A2B"/>
    <w:rsid w:val="00C11A4C"/>
    <w:rsid w:val="00C17598"/>
    <w:rsid w:val="00C176F2"/>
    <w:rsid w:val="00C347DE"/>
    <w:rsid w:val="00C352E3"/>
    <w:rsid w:val="00C619DA"/>
    <w:rsid w:val="00C8445F"/>
    <w:rsid w:val="00C847CD"/>
    <w:rsid w:val="00C84856"/>
    <w:rsid w:val="00C86ED5"/>
    <w:rsid w:val="00CA2A17"/>
    <w:rsid w:val="00CA5DA6"/>
    <w:rsid w:val="00CB5103"/>
    <w:rsid w:val="00CC67B5"/>
    <w:rsid w:val="00CD1D51"/>
    <w:rsid w:val="00CD2DD5"/>
    <w:rsid w:val="00CD6406"/>
    <w:rsid w:val="00CD6757"/>
    <w:rsid w:val="00CF1CEA"/>
    <w:rsid w:val="00D137AB"/>
    <w:rsid w:val="00D1796D"/>
    <w:rsid w:val="00D25C9F"/>
    <w:rsid w:val="00D2680A"/>
    <w:rsid w:val="00D37672"/>
    <w:rsid w:val="00D4310A"/>
    <w:rsid w:val="00D4498A"/>
    <w:rsid w:val="00D56E34"/>
    <w:rsid w:val="00D64AB9"/>
    <w:rsid w:val="00D74A1D"/>
    <w:rsid w:val="00D82F72"/>
    <w:rsid w:val="00D85862"/>
    <w:rsid w:val="00D93EFA"/>
    <w:rsid w:val="00D96D2B"/>
    <w:rsid w:val="00DB581B"/>
    <w:rsid w:val="00DB657F"/>
    <w:rsid w:val="00DC3E4B"/>
    <w:rsid w:val="00DC5C46"/>
    <w:rsid w:val="00DD1EC5"/>
    <w:rsid w:val="00DD6CB2"/>
    <w:rsid w:val="00DE7F0E"/>
    <w:rsid w:val="00DF6581"/>
    <w:rsid w:val="00E03205"/>
    <w:rsid w:val="00E07AB2"/>
    <w:rsid w:val="00E20128"/>
    <w:rsid w:val="00E23123"/>
    <w:rsid w:val="00E325FA"/>
    <w:rsid w:val="00E37801"/>
    <w:rsid w:val="00E40532"/>
    <w:rsid w:val="00E41C25"/>
    <w:rsid w:val="00E445EC"/>
    <w:rsid w:val="00E44770"/>
    <w:rsid w:val="00E4703A"/>
    <w:rsid w:val="00E505A9"/>
    <w:rsid w:val="00E50D69"/>
    <w:rsid w:val="00E50D73"/>
    <w:rsid w:val="00E51291"/>
    <w:rsid w:val="00E51764"/>
    <w:rsid w:val="00E5351B"/>
    <w:rsid w:val="00E547D8"/>
    <w:rsid w:val="00E600F2"/>
    <w:rsid w:val="00E62462"/>
    <w:rsid w:val="00E72A7B"/>
    <w:rsid w:val="00E77E53"/>
    <w:rsid w:val="00E8428B"/>
    <w:rsid w:val="00E85204"/>
    <w:rsid w:val="00E932BB"/>
    <w:rsid w:val="00E94922"/>
    <w:rsid w:val="00EA2245"/>
    <w:rsid w:val="00EB35DF"/>
    <w:rsid w:val="00EC17E5"/>
    <w:rsid w:val="00ED3402"/>
    <w:rsid w:val="00F16D4A"/>
    <w:rsid w:val="00F17092"/>
    <w:rsid w:val="00F20A00"/>
    <w:rsid w:val="00F21B09"/>
    <w:rsid w:val="00F2255D"/>
    <w:rsid w:val="00F27DC7"/>
    <w:rsid w:val="00F33E4A"/>
    <w:rsid w:val="00F356EC"/>
    <w:rsid w:val="00F3790E"/>
    <w:rsid w:val="00F4212B"/>
    <w:rsid w:val="00F4600C"/>
    <w:rsid w:val="00F464EA"/>
    <w:rsid w:val="00F52094"/>
    <w:rsid w:val="00F63638"/>
    <w:rsid w:val="00F913A0"/>
    <w:rsid w:val="00F92AAF"/>
    <w:rsid w:val="00F96CEC"/>
    <w:rsid w:val="00FB0FD2"/>
    <w:rsid w:val="00FD5DBE"/>
    <w:rsid w:val="00FE0408"/>
    <w:rsid w:val="00FF4207"/>
    <w:rsid w:val="00FF64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C4D53D3-9918-46D0-86C6-A7A88080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5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966"/>
    <w:rPr>
      <w:rFonts w:ascii="Tahoma" w:hAnsi="Tahoma" w:cs="Tahoma"/>
      <w:sz w:val="16"/>
      <w:szCs w:val="16"/>
    </w:rPr>
  </w:style>
  <w:style w:type="paragraph" w:styleId="Header">
    <w:name w:val="header"/>
    <w:basedOn w:val="Normal"/>
    <w:link w:val="HeaderChar"/>
    <w:uiPriority w:val="99"/>
    <w:unhideWhenUsed/>
    <w:rsid w:val="000059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966"/>
  </w:style>
  <w:style w:type="paragraph" w:styleId="Footer">
    <w:name w:val="footer"/>
    <w:basedOn w:val="Normal"/>
    <w:link w:val="FooterChar"/>
    <w:uiPriority w:val="99"/>
    <w:unhideWhenUsed/>
    <w:rsid w:val="00005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966"/>
  </w:style>
  <w:style w:type="paragraph" w:styleId="NormalWeb">
    <w:name w:val="Normal (Web)"/>
    <w:basedOn w:val="Normal"/>
    <w:uiPriority w:val="99"/>
    <w:semiHidden/>
    <w:unhideWhenUsed/>
    <w:rsid w:val="00511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D2E0F"/>
    <w:pPr>
      <w:ind w:left="720"/>
      <w:contextualSpacing/>
    </w:pPr>
  </w:style>
  <w:style w:type="character" w:styleId="Hyperlink">
    <w:name w:val="Hyperlink"/>
    <w:basedOn w:val="DefaultParagraphFont"/>
    <w:uiPriority w:val="99"/>
    <w:unhideWhenUsed/>
    <w:rsid w:val="00D85862"/>
    <w:rPr>
      <w:color w:val="0000FF" w:themeColor="hyperlink"/>
      <w:u w:val="single"/>
    </w:rPr>
  </w:style>
  <w:style w:type="table" w:styleId="TableGrid">
    <w:name w:val="Table Grid"/>
    <w:basedOn w:val="TableNormal"/>
    <w:uiPriority w:val="59"/>
    <w:rsid w:val="0019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2434"/>
    <w:pPr>
      <w:spacing w:after="0" w:line="240" w:lineRule="auto"/>
    </w:pPr>
  </w:style>
  <w:style w:type="paragraph" w:styleId="FootnoteText">
    <w:name w:val="footnote text"/>
    <w:basedOn w:val="Normal"/>
    <w:link w:val="FootnoteTextChar"/>
    <w:uiPriority w:val="99"/>
    <w:semiHidden/>
    <w:unhideWhenUsed/>
    <w:rsid w:val="00580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34A"/>
    <w:rPr>
      <w:sz w:val="20"/>
      <w:szCs w:val="20"/>
    </w:rPr>
  </w:style>
  <w:style w:type="character" w:styleId="FootnoteReference">
    <w:name w:val="footnote reference"/>
    <w:basedOn w:val="DefaultParagraphFont"/>
    <w:uiPriority w:val="99"/>
    <w:semiHidden/>
    <w:unhideWhenUsed/>
    <w:rsid w:val="0058034A"/>
    <w:rPr>
      <w:vertAlign w:val="superscript"/>
    </w:rPr>
  </w:style>
  <w:style w:type="character" w:styleId="CommentReference">
    <w:name w:val="annotation reference"/>
    <w:basedOn w:val="DefaultParagraphFont"/>
    <w:uiPriority w:val="99"/>
    <w:semiHidden/>
    <w:unhideWhenUsed/>
    <w:rsid w:val="00842840"/>
    <w:rPr>
      <w:sz w:val="16"/>
      <w:szCs w:val="16"/>
    </w:rPr>
  </w:style>
  <w:style w:type="paragraph" w:styleId="CommentText">
    <w:name w:val="annotation text"/>
    <w:basedOn w:val="Normal"/>
    <w:link w:val="CommentTextChar"/>
    <w:uiPriority w:val="99"/>
    <w:semiHidden/>
    <w:unhideWhenUsed/>
    <w:rsid w:val="00842840"/>
    <w:pPr>
      <w:spacing w:line="240" w:lineRule="auto"/>
    </w:pPr>
    <w:rPr>
      <w:sz w:val="20"/>
      <w:szCs w:val="20"/>
    </w:rPr>
  </w:style>
  <w:style w:type="character" w:customStyle="1" w:styleId="CommentTextChar">
    <w:name w:val="Comment Text Char"/>
    <w:basedOn w:val="DefaultParagraphFont"/>
    <w:link w:val="CommentText"/>
    <w:uiPriority w:val="99"/>
    <w:semiHidden/>
    <w:rsid w:val="00842840"/>
    <w:rPr>
      <w:sz w:val="20"/>
      <w:szCs w:val="20"/>
    </w:rPr>
  </w:style>
  <w:style w:type="paragraph" w:styleId="CommentSubject">
    <w:name w:val="annotation subject"/>
    <w:basedOn w:val="CommentText"/>
    <w:next w:val="CommentText"/>
    <w:link w:val="CommentSubjectChar"/>
    <w:uiPriority w:val="99"/>
    <w:semiHidden/>
    <w:unhideWhenUsed/>
    <w:rsid w:val="00842840"/>
    <w:rPr>
      <w:b/>
      <w:bCs/>
    </w:rPr>
  </w:style>
  <w:style w:type="character" w:customStyle="1" w:styleId="CommentSubjectChar">
    <w:name w:val="Comment Subject Char"/>
    <w:basedOn w:val="CommentTextChar"/>
    <w:link w:val="CommentSubject"/>
    <w:uiPriority w:val="99"/>
    <w:semiHidden/>
    <w:rsid w:val="008428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00">
      <w:bodyDiv w:val="1"/>
      <w:marLeft w:val="0"/>
      <w:marRight w:val="0"/>
      <w:marTop w:val="0"/>
      <w:marBottom w:val="0"/>
      <w:divBdr>
        <w:top w:val="none" w:sz="0" w:space="0" w:color="auto"/>
        <w:left w:val="none" w:sz="0" w:space="0" w:color="auto"/>
        <w:bottom w:val="none" w:sz="0" w:space="0" w:color="auto"/>
        <w:right w:val="none" w:sz="0" w:space="0" w:color="auto"/>
      </w:divBdr>
    </w:div>
    <w:div w:id="539393441">
      <w:bodyDiv w:val="1"/>
      <w:marLeft w:val="0"/>
      <w:marRight w:val="0"/>
      <w:marTop w:val="0"/>
      <w:marBottom w:val="0"/>
      <w:divBdr>
        <w:top w:val="none" w:sz="0" w:space="0" w:color="auto"/>
        <w:left w:val="none" w:sz="0" w:space="0" w:color="auto"/>
        <w:bottom w:val="none" w:sz="0" w:space="0" w:color="auto"/>
        <w:right w:val="none" w:sz="0" w:space="0" w:color="auto"/>
      </w:divBdr>
    </w:div>
    <w:div w:id="691078470">
      <w:bodyDiv w:val="1"/>
      <w:marLeft w:val="0"/>
      <w:marRight w:val="0"/>
      <w:marTop w:val="0"/>
      <w:marBottom w:val="0"/>
      <w:divBdr>
        <w:top w:val="none" w:sz="0" w:space="0" w:color="auto"/>
        <w:left w:val="none" w:sz="0" w:space="0" w:color="auto"/>
        <w:bottom w:val="none" w:sz="0" w:space="0" w:color="auto"/>
        <w:right w:val="none" w:sz="0" w:space="0" w:color="auto"/>
      </w:divBdr>
      <w:divsChild>
        <w:div w:id="38564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eislegacy.netr.ecis.police.uk\legacydata\CDDATA26P\F\corpsupp\Performance%20Analysis\PA%20Outputs\Ad%20Hoc%20Data%20Requests\2018_19\20190121%20-%20CDA%20Impact%20-%20PFCC\Matt\Forecast%20Lines%20v.1.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Linear</a:t>
            </a:r>
            <a:r>
              <a:rPr lang="en-GB" baseline="0"/>
              <a:t> Projections</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Sheet1!$E$1</c:f>
              <c:strCache>
                <c:ptCount val="1"/>
                <c:pt idx="0">
                  <c:v>All Crime</c:v>
                </c:pt>
              </c:strCache>
            </c:strRef>
          </c:tx>
          <c:spPr>
            <a:ln w="28575" cap="rnd">
              <a:solidFill>
                <a:schemeClr val="accent1"/>
              </a:solidFill>
              <a:round/>
            </a:ln>
            <a:effectLst/>
          </c:spPr>
          <c:marker>
            <c:symbol val="none"/>
          </c:marker>
          <c:trendline>
            <c:spPr>
              <a:ln w="38100" cap="rnd">
                <a:solidFill>
                  <a:schemeClr val="accent1"/>
                </a:solidFill>
                <a:prstDash val="sysDot"/>
              </a:ln>
              <a:effectLst/>
            </c:spPr>
            <c:trendlineType val="linear"/>
            <c:dispRSqr val="0"/>
            <c:dispEq val="0"/>
          </c:trendline>
          <c:cat>
            <c:multiLvlStrRef>
              <c:f>Sheet1!$C$2:$D$46</c:f>
              <c:multiLvlStrCache>
                <c:ptCount val="45"/>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lvl>
                <c:lvl>
                  <c:pt idx="0">
                    <c:v>2015</c:v>
                  </c:pt>
                  <c:pt idx="8">
                    <c:v>2016</c:v>
                  </c:pt>
                  <c:pt idx="20">
                    <c:v>2017</c:v>
                  </c:pt>
                  <c:pt idx="32">
                    <c:v>2018</c:v>
                  </c:pt>
                  <c:pt idx="44">
                    <c:v>2019</c:v>
                  </c:pt>
                </c:lvl>
              </c:multiLvlStrCache>
            </c:multiLvlStrRef>
          </c:cat>
          <c:val>
            <c:numRef>
              <c:f>Sheet1!$E$2:$E$46</c:f>
              <c:numCache>
                <c:formatCode>General</c:formatCode>
                <c:ptCount val="45"/>
                <c:pt idx="0">
                  <c:v>9007</c:v>
                </c:pt>
                <c:pt idx="1">
                  <c:v>9100</c:v>
                </c:pt>
                <c:pt idx="2">
                  <c:v>10071</c:v>
                </c:pt>
                <c:pt idx="3">
                  <c:v>9487</c:v>
                </c:pt>
                <c:pt idx="4">
                  <c:v>9530</c:v>
                </c:pt>
                <c:pt idx="5">
                  <c:v>9591</c:v>
                </c:pt>
                <c:pt idx="6">
                  <c:v>9522</c:v>
                </c:pt>
                <c:pt idx="7">
                  <c:v>9390</c:v>
                </c:pt>
                <c:pt idx="8">
                  <c:v>9292</c:v>
                </c:pt>
                <c:pt idx="9">
                  <c:v>8879</c:v>
                </c:pt>
                <c:pt idx="10">
                  <c:v>9540</c:v>
                </c:pt>
                <c:pt idx="11">
                  <c:v>9576</c:v>
                </c:pt>
                <c:pt idx="12">
                  <c:v>10170</c:v>
                </c:pt>
                <c:pt idx="13">
                  <c:v>9817</c:v>
                </c:pt>
                <c:pt idx="14">
                  <c:v>10523</c:v>
                </c:pt>
                <c:pt idx="15">
                  <c:v>10248</c:v>
                </c:pt>
                <c:pt idx="16">
                  <c:v>10174</c:v>
                </c:pt>
                <c:pt idx="17">
                  <c:v>10612</c:v>
                </c:pt>
                <c:pt idx="18">
                  <c:v>10418</c:v>
                </c:pt>
                <c:pt idx="19">
                  <c:v>10183</c:v>
                </c:pt>
                <c:pt idx="20">
                  <c:v>9960</c:v>
                </c:pt>
                <c:pt idx="21">
                  <c:v>9433</c:v>
                </c:pt>
                <c:pt idx="22">
                  <c:v>11045</c:v>
                </c:pt>
                <c:pt idx="23">
                  <c:v>10691</c:v>
                </c:pt>
                <c:pt idx="24">
                  <c:v>11362</c:v>
                </c:pt>
                <c:pt idx="25">
                  <c:v>11163</c:v>
                </c:pt>
                <c:pt idx="26">
                  <c:v>12236</c:v>
                </c:pt>
                <c:pt idx="27">
                  <c:v>11414</c:v>
                </c:pt>
                <c:pt idx="28">
                  <c:v>11045</c:v>
                </c:pt>
                <c:pt idx="29">
                  <c:v>11912</c:v>
                </c:pt>
                <c:pt idx="30">
                  <c:v>11493</c:v>
                </c:pt>
                <c:pt idx="31">
                  <c:v>10673</c:v>
                </c:pt>
                <c:pt idx="32">
                  <c:v>11354</c:v>
                </c:pt>
                <c:pt idx="33">
                  <c:v>10496</c:v>
                </c:pt>
                <c:pt idx="34">
                  <c:v>12125</c:v>
                </c:pt>
                <c:pt idx="35">
                  <c:v>12464</c:v>
                </c:pt>
                <c:pt idx="36">
                  <c:v>13004</c:v>
                </c:pt>
                <c:pt idx="37">
                  <c:v>12600</c:v>
                </c:pt>
                <c:pt idx="38">
                  <c:v>13596</c:v>
                </c:pt>
                <c:pt idx="39">
                  <c:v>13064</c:v>
                </c:pt>
                <c:pt idx="40">
                  <c:v>12785</c:v>
                </c:pt>
                <c:pt idx="41">
                  <c:v>13876</c:v>
                </c:pt>
                <c:pt idx="42">
                  <c:v>13764</c:v>
                </c:pt>
                <c:pt idx="43">
                  <c:v>13470</c:v>
                </c:pt>
                <c:pt idx="44">
                  <c:v>13384</c:v>
                </c:pt>
              </c:numCache>
            </c:numRef>
          </c:val>
          <c:smooth val="0"/>
          <c:extLst>
            <c:ext xmlns:c16="http://schemas.microsoft.com/office/drawing/2014/chart" uri="{C3380CC4-5D6E-409C-BE32-E72D297353CC}">
              <c16:uniqueId val="{00000000-42A4-4642-8913-04748C3D49DF}"/>
            </c:ext>
          </c:extLst>
        </c:ser>
        <c:ser>
          <c:idx val="1"/>
          <c:order val="1"/>
          <c:tx>
            <c:strRef>
              <c:f>Sheet1!$I$1</c:f>
              <c:strCache>
                <c:ptCount val="1"/>
                <c:pt idx="0">
                  <c:v>Genuine Increase</c:v>
                </c:pt>
              </c:strCache>
            </c:strRef>
          </c:tx>
          <c:spPr>
            <a:ln w="28575" cap="rnd">
              <a:noFill/>
              <a:prstDash val="sysDot"/>
              <a:round/>
            </a:ln>
            <a:effectLst/>
          </c:spPr>
          <c:marker>
            <c:symbol val="none"/>
          </c:marker>
          <c:trendline>
            <c:spPr>
              <a:ln w="38100" cap="rnd">
                <a:solidFill>
                  <a:srgbClr val="FFC000"/>
                </a:solidFill>
                <a:prstDash val="sysDot"/>
              </a:ln>
              <a:effectLst/>
            </c:spPr>
            <c:trendlineType val="linear"/>
            <c:dispRSqr val="0"/>
            <c:dispEq val="0"/>
          </c:trendline>
          <c:cat>
            <c:multiLvlStrRef>
              <c:f>Sheet1!$C$2:$D$46</c:f>
              <c:multiLvlStrCache>
                <c:ptCount val="45"/>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lvl>
                <c:lvl>
                  <c:pt idx="0">
                    <c:v>2015</c:v>
                  </c:pt>
                  <c:pt idx="8">
                    <c:v>2016</c:v>
                  </c:pt>
                  <c:pt idx="20">
                    <c:v>2017</c:v>
                  </c:pt>
                  <c:pt idx="32">
                    <c:v>2018</c:v>
                  </c:pt>
                  <c:pt idx="44">
                    <c:v>2019</c:v>
                  </c:pt>
                </c:lvl>
              </c:multiLvlStrCache>
            </c:multiLvlStrRef>
          </c:cat>
          <c:val>
            <c:numRef>
              <c:f>Sheet1!$I$2:$I$46</c:f>
              <c:numCache>
                <c:formatCode>General</c:formatCode>
                <c:ptCount val="45"/>
                <c:pt idx="0">
                  <c:v>8626.7139999999999</c:v>
                </c:pt>
                <c:pt idx="1">
                  <c:v>8644.8279999999995</c:v>
                </c:pt>
                <c:pt idx="2">
                  <c:v>8662.9420000000009</c:v>
                </c:pt>
                <c:pt idx="3">
                  <c:v>8681.0560000000005</c:v>
                </c:pt>
                <c:pt idx="4">
                  <c:v>8699.17</c:v>
                </c:pt>
                <c:pt idx="5">
                  <c:v>8717.2839999999997</c:v>
                </c:pt>
                <c:pt idx="6">
                  <c:v>8735.398000000001</c:v>
                </c:pt>
                <c:pt idx="7">
                  <c:v>8753.5120000000006</c:v>
                </c:pt>
                <c:pt idx="8">
                  <c:v>8771.6260000000002</c:v>
                </c:pt>
                <c:pt idx="9">
                  <c:v>8789.74</c:v>
                </c:pt>
                <c:pt idx="10">
                  <c:v>8807.8540000000012</c:v>
                </c:pt>
                <c:pt idx="11">
                  <c:v>8825.9680000000008</c:v>
                </c:pt>
                <c:pt idx="12">
                  <c:v>8844.0820000000003</c:v>
                </c:pt>
                <c:pt idx="13">
                  <c:v>8862.1959999999999</c:v>
                </c:pt>
                <c:pt idx="14">
                  <c:v>8880.3100000000013</c:v>
                </c:pt>
                <c:pt idx="15">
                  <c:v>8898.4240000000009</c:v>
                </c:pt>
                <c:pt idx="16">
                  <c:v>8916.5380000000005</c:v>
                </c:pt>
                <c:pt idx="17">
                  <c:v>8934.652</c:v>
                </c:pt>
                <c:pt idx="18">
                  <c:v>8952.7659999999996</c:v>
                </c:pt>
                <c:pt idx="19">
                  <c:v>8970.880000000001</c:v>
                </c:pt>
                <c:pt idx="20">
                  <c:v>8988.9940000000006</c:v>
                </c:pt>
                <c:pt idx="21">
                  <c:v>9007.1080000000002</c:v>
                </c:pt>
                <c:pt idx="22">
                  <c:v>9025.2219999999998</c:v>
                </c:pt>
                <c:pt idx="23">
                  <c:v>9043.3360000000011</c:v>
                </c:pt>
                <c:pt idx="24">
                  <c:v>9061.4500000000007</c:v>
                </c:pt>
                <c:pt idx="25">
                  <c:v>9079.5640000000003</c:v>
                </c:pt>
                <c:pt idx="26">
                  <c:v>9097.6779999999999</c:v>
                </c:pt>
                <c:pt idx="27">
                  <c:v>9115.7920000000013</c:v>
                </c:pt>
                <c:pt idx="28">
                  <c:v>9133.9060000000009</c:v>
                </c:pt>
                <c:pt idx="29">
                  <c:v>9152.02</c:v>
                </c:pt>
                <c:pt idx="30">
                  <c:v>9170.134</c:v>
                </c:pt>
                <c:pt idx="31">
                  <c:v>9188.2479999999996</c:v>
                </c:pt>
                <c:pt idx="32">
                  <c:v>9206.362000000001</c:v>
                </c:pt>
                <c:pt idx="33">
                  <c:v>9224.4760000000006</c:v>
                </c:pt>
                <c:pt idx="34">
                  <c:v>9242.59</c:v>
                </c:pt>
                <c:pt idx="35">
                  <c:v>9260.7039999999997</c:v>
                </c:pt>
                <c:pt idx="36">
                  <c:v>9278.8180000000011</c:v>
                </c:pt>
                <c:pt idx="37">
                  <c:v>9296.9320000000007</c:v>
                </c:pt>
                <c:pt idx="38">
                  <c:v>9315.0460000000003</c:v>
                </c:pt>
                <c:pt idx="39">
                  <c:v>9333.16</c:v>
                </c:pt>
                <c:pt idx="40">
                  <c:v>9351.2740000000013</c:v>
                </c:pt>
                <c:pt idx="41">
                  <c:v>9369.3880000000008</c:v>
                </c:pt>
                <c:pt idx="42">
                  <c:v>9387.5020000000004</c:v>
                </c:pt>
                <c:pt idx="43">
                  <c:v>9405.616</c:v>
                </c:pt>
                <c:pt idx="44">
                  <c:v>9423.73</c:v>
                </c:pt>
              </c:numCache>
            </c:numRef>
          </c:val>
          <c:smooth val="0"/>
          <c:extLst>
            <c:ext xmlns:c16="http://schemas.microsoft.com/office/drawing/2014/chart" uri="{C3380CC4-5D6E-409C-BE32-E72D297353CC}">
              <c16:uniqueId val="{00000001-42A4-4642-8913-04748C3D49DF}"/>
            </c:ext>
          </c:extLst>
        </c:ser>
        <c:ser>
          <c:idx val="2"/>
          <c:order val="2"/>
          <c:tx>
            <c:strRef>
              <c:f>Sheet1!$M$1</c:f>
              <c:strCache>
                <c:ptCount val="1"/>
                <c:pt idx="0">
                  <c:v>CDA</c:v>
                </c:pt>
              </c:strCache>
            </c:strRef>
          </c:tx>
          <c:spPr>
            <a:ln w="28575" cap="rnd">
              <a:noFill/>
              <a:round/>
            </a:ln>
            <a:effectLst/>
          </c:spPr>
          <c:marker>
            <c:symbol val="none"/>
          </c:marker>
          <c:trendline>
            <c:spPr>
              <a:ln w="38100" cap="rnd">
                <a:solidFill>
                  <a:srgbClr val="C00000"/>
                </a:solidFill>
                <a:prstDash val="sysDot"/>
              </a:ln>
              <a:effectLst/>
            </c:spPr>
            <c:trendlineType val="linear"/>
            <c:dispRSqr val="0"/>
            <c:dispEq val="0"/>
          </c:trendline>
          <c:cat>
            <c:multiLvlStrRef>
              <c:f>Sheet1!$C$2:$D$46</c:f>
              <c:multiLvlStrCache>
                <c:ptCount val="45"/>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lvl>
                <c:lvl>
                  <c:pt idx="0">
                    <c:v>2015</c:v>
                  </c:pt>
                  <c:pt idx="8">
                    <c:v>2016</c:v>
                  </c:pt>
                  <c:pt idx="20">
                    <c:v>2017</c:v>
                  </c:pt>
                  <c:pt idx="32">
                    <c:v>2018</c:v>
                  </c:pt>
                  <c:pt idx="44">
                    <c:v>2019</c:v>
                  </c:pt>
                </c:lvl>
              </c:multiLvlStrCache>
            </c:multiLvlStrRef>
          </c:cat>
          <c:val>
            <c:numRef>
              <c:f>Sheet1!$M$2:$M$46</c:f>
              <c:numCache>
                <c:formatCode>General</c:formatCode>
                <c:ptCount val="45"/>
                <c:pt idx="0">
                  <c:v>8650.8850000000002</c:v>
                </c:pt>
                <c:pt idx="1">
                  <c:v>8693.17</c:v>
                </c:pt>
                <c:pt idx="2">
                  <c:v>8735.4549999999999</c:v>
                </c:pt>
                <c:pt idx="3">
                  <c:v>8777.74</c:v>
                </c:pt>
                <c:pt idx="4">
                  <c:v>8820.0249999999996</c:v>
                </c:pt>
                <c:pt idx="5">
                  <c:v>8862.31</c:v>
                </c:pt>
                <c:pt idx="6">
                  <c:v>8904.5950000000012</c:v>
                </c:pt>
                <c:pt idx="7">
                  <c:v>8946.880000000001</c:v>
                </c:pt>
                <c:pt idx="8">
                  <c:v>8989.1650000000009</c:v>
                </c:pt>
                <c:pt idx="9">
                  <c:v>9031.4500000000007</c:v>
                </c:pt>
                <c:pt idx="10">
                  <c:v>9073.7350000000006</c:v>
                </c:pt>
                <c:pt idx="11">
                  <c:v>9116.02</c:v>
                </c:pt>
                <c:pt idx="12">
                  <c:v>9158.3050000000003</c:v>
                </c:pt>
                <c:pt idx="13">
                  <c:v>9200.59</c:v>
                </c:pt>
                <c:pt idx="14">
                  <c:v>9242.875</c:v>
                </c:pt>
                <c:pt idx="15">
                  <c:v>9285.16</c:v>
                </c:pt>
                <c:pt idx="16">
                  <c:v>9327.4449999999997</c:v>
                </c:pt>
                <c:pt idx="17">
                  <c:v>9369.73</c:v>
                </c:pt>
                <c:pt idx="18">
                  <c:v>9412.0149999999994</c:v>
                </c:pt>
                <c:pt idx="19">
                  <c:v>9454.3000000000011</c:v>
                </c:pt>
                <c:pt idx="20">
                  <c:v>9496.5850000000009</c:v>
                </c:pt>
                <c:pt idx="21">
                  <c:v>9538.8700000000008</c:v>
                </c:pt>
                <c:pt idx="22">
                  <c:v>9581.1550000000007</c:v>
                </c:pt>
                <c:pt idx="23">
                  <c:v>9623.44</c:v>
                </c:pt>
                <c:pt idx="24">
                  <c:v>9665.7250000000004</c:v>
                </c:pt>
                <c:pt idx="25">
                  <c:v>9708.01</c:v>
                </c:pt>
                <c:pt idx="26">
                  <c:v>9750.2950000000001</c:v>
                </c:pt>
                <c:pt idx="27">
                  <c:v>9792.58</c:v>
                </c:pt>
                <c:pt idx="28">
                  <c:v>9834.8649999999998</c:v>
                </c:pt>
                <c:pt idx="29">
                  <c:v>9877.15</c:v>
                </c:pt>
                <c:pt idx="30">
                  <c:v>9919.4349999999995</c:v>
                </c:pt>
                <c:pt idx="31">
                  <c:v>9961.7200000000012</c:v>
                </c:pt>
                <c:pt idx="32">
                  <c:v>10004.005000000001</c:v>
                </c:pt>
                <c:pt idx="33">
                  <c:v>10046.290000000001</c:v>
                </c:pt>
                <c:pt idx="34">
                  <c:v>10088.575000000001</c:v>
                </c:pt>
                <c:pt idx="35">
                  <c:v>10130.86</c:v>
                </c:pt>
                <c:pt idx="36">
                  <c:v>10173.145</c:v>
                </c:pt>
                <c:pt idx="37">
                  <c:v>10215.43</c:v>
                </c:pt>
                <c:pt idx="38">
                  <c:v>10257.715</c:v>
                </c:pt>
                <c:pt idx="39">
                  <c:v>10300</c:v>
                </c:pt>
                <c:pt idx="40">
                  <c:v>10342.285</c:v>
                </c:pt>
                <c:pt idx="41">
                  <c:v>10384.57</c:v>
                </c:pt>
                <c:pt idx="42">
                  <c:v>10426.855</c:v>
                </c:pt>
                <c:pt idx="43">
                  <c:v>10469.14</c:v>
                </c:pt>
                <c:pt idx="44">
                  <c:v>10511.424999999999</c:v>
                </c:pt>
              </c:numCache>
            </c:numRef>
          </c:val>
          <c:smooth val="0"/>
          <c:extLst>
            <c:ext xmlns:c16="http://schemas.microsoft.com/office/drawing/2014/chart" uri="{C3380CC4-5D6E-409C-BE32-E72D297353CC}">
              <c16:uniqueId val="{00000002-42A4-4642-8913-04748C3D49DF}"/>
            </c:ext>
          </c:extLst>
        </c:ser>
        <c:ser>
          <c:idx val="3"/>
          <c:order val="3"/>
          <c:tx>
            <c:strRef>
              <c:f>Sheet1!$O$1</c:f>
              <c:strCache>
                <c:ptCount val="1"/>
                <c:pt idx="0">
                  <c:v>CDA Plus Genuine Increase</c:v>
                </c:pt>
              </c:strCache>
            </c:strRef>
          </c:tx>
          <c:spPr>
            <a:ln w="28575" cap="rnd">
              <a:noFill/>
              <a:round/>
            </a:ln>
            <a:effectLst/>
          </c:spPr>
          <c:marker>
            <c:symbol val="none"/>
          </c:marker>
          <c:trendline>
            <c:spPr>
              <a:ln w="38100" cap="rnd">
                <a:solidFill>
                  <a:schemeClr val="accent2"/>
                </a:solidFill>
                <a:prstDash val="sysDot"/>
              </a:ln>
              <a:effectLst/>
            </c:spPr>
            <c:trendlineType val="linear"/>
            <c:dispRSqr val="0"/>
            <c:dispEq val="0"/>
          </c:trendline>
          <c:cat>
            <c:multiLvlStrRef>
              <c:f>Sheet1!$C$2:$D$46</c:f>
              <c:multiLvlStrCache>
                <c:ptCount val="45"/>
                <c:lvl>
                  <c:pt idx="0">
                    <c:v>May</c:v>
                  </c:pt>
                  <c:pt idx="1">
                    <c:v>Jun</c:v>
                  </c:pt>
                  <c:pt idx="2">
                    <c:v>Jul</c:v>
                  </c:pt>
                  <c:pt idx="3">
                    <c:v>Aug</c:v>
                  </c:pt>
                  <c:pt idx="4">
                    <c:v>Sep</c:v>
                  </c:pt>
                  <c:pt idx="5">
                    <c:v>Oct</c:v>
                  </c:pt>
                  <c:pt idx="6">
                    <c:v>Nov</c:v>
                  </c:pt>
                  <c:pt idx="7">
                    <c:v>Dec</c:v>
                  </c:pt>
                  <c:pt idx="8">
                    <c:v>Jan</c:v>
                  </c:pt>
                  <c:pt idx="9">
                    <c:v>Feb</c:v>
                  </c:pt>
                  <c:pt idx="10">
                    <c:v>Mar</c:v>
                  </c:pt>
                  <c:pt idx="11">
                    <c:v>Apr</c:v>
                  </c:pt>
                  <c:pt idx="12">
                    <c:v>May</c:v>
                  </c:pt>
                  <c:pt idx="13">
                    <c:v>Jun</c:v>
                  </c:pt>
                  <c:pt idx="14">
                    <c:v>Jul</c:v>
                  </c:pt>
                  <c:pt idx="15">
                    <c:v>Aug</c:v>
                  </c:pt>
                  <c:pt idx="16">
                    <c:v>Sep</c:v>
                  </c:pt>
                  <c:pt idx="17">
                    <c:v>Oct</c:v>
                  </c:pt>
                  <c:pt idx="18">
                    <c:v>Nov</c:v>
                  </c:pt>
                  <c:pt idx="19">
                    <c:v>Dec</c:v>
                  </c:pt>
                  <c:pt idx="20">
                    <c:v>Jan</c:v>
                  </c:pt>
                  <c:pt idx="21">
                    <c:v>Feb</c:v>
                  </c:pt>
                  <c:pt idx="22">
                    <c:v>Mar</c:v>
                  </c:pt>
                  <c:pt idx="23">
                    <c:v>Apr</c:v>
                  </c:pt>
                  <c:pt idx="24">
                    <c:v>May</c:v>
                  </c:pt>
                  <c:pt idx="25">
                    <c:v>Jun</c:v>
                  </c:pt>
                  <c:pt idx="26">
                    <c:v>Jul</c:v>
                  </c:pt>
                  <c:pt idx="27">
                    <c:v>Aug</c:v>
                  </c:pt>
                  <c:pt idx="28">
                    <c:v>Sep</c:v>
                  </c:pt>
                  <c:pt idx="29">
                    <c:v>Oct</c:v>
                  </c:pt>
                  <c:pt idx="30">
                    <c:v>Nov</c:v>
                  </c:pt>
                  <c:pt idx="31">
                    <c:v>Dec</c:v>
                  </c:pt>
                  <c:pt idx="32">
                    <c:v>Jan</c:v>
                  </c:pt>
                  <c:pt idx="33">
                    <c:v>Feb</c:v>
                  </c:pt>
                  <c:pt idx="34">
                    <c:v>Mar</c:v>
                  </c:pt>
                  <c:pt idx="35">
                    <c:v>Apr</c:v>
                  </c:pt>
                  <c:pt idx="36">
                    <c:v>May</c:v>
                  </c:pt>
                  <c:pt idx="37">
                    <c:v>Jun</c:v>
                  </c:pt>
                  <c:pt idx="38">
                    <c:v>Jul</c:v>
                  </c:pt>
                  <c:pt idx="39">
                    <c:v>Aug</c:v>
                  </c:pt>
                  <c:pt idx="40">
                    <c:v>Sep</c:v>
                  </c:pt>
                  <c:pt idx="41">
                    <c:v>Oct</c:v>
                  </c:pt>
                  <c:pt idx="42">
                    <c:v>Nov</c:v>
                  </c:pt>
                  <c:pt idx="43">
                    <c:v>Dec</c:v>
                  </c:pt>
                  <c:pt idx="44">
                    <c:v>Jan</c:v>
                  </c:pt>
                </c:lvl>
                <c:lvl>
                  <c:pt idx="0">
                    <c:v>2015</c:v>
                  </c:pt>
                  <c:pt idx="8">
                    <c:v>2016</c:v>
                  </c:pt>
                  <c:pt idx="20">
                    <c:v>2017</c:v>
                  </c:pt>
                  <c:pt idx="32">
                    <c:v>2018</c:v>
                  </c:pt>
                  <c:pt idx="44">
                    <c:v>2019</c:v>
                  </c:pt>
                </c:lvl>
              </c:multiLvlStrCache>
            </c:multiLvlStrRef>
          </c:cat>
          <c:val>
            <c:numRef>
              <c:f>Sheet1!$O$2:$O$46</c:f>
              <c:numCache>
                <c:formatCode>General</c:formatCode>
                <c:ptCount val="45"/>
                <c:pt idx="0">
                  <c:v>8672.1869999999999</c:v>
                </c:pt>
                <c:pt idx="1">
                  <c:v>8735.7740000000013</c:v>
                </c:pt>
                <c:pt idx="2">
                  <c:v>8799.3610000000008</c:v>
                </c:pt>
                <c:pt idx="3">
                  <c:v>8862.9480000000003</c:v>
                </c:pt>
                <c:pt idx="4">
                  <c:v>8926.5349999999999</c:v>
                </c:pt>
                <c:pt idx="5">
                  <c:v>8990.1220000000012</c:v>
                </c:pt>
                <c:pt idx="6">
                  <c:v>9053.7090000000007</c:v>
                </c:pt>
                <c:pt idx="7">
                  <c:v>9117.2960000000003</c:v>
                </c:pt>
                <c:pt idx="8">
                  <c:v>9180.8829999999998</c:v>
                </c:pt>
                <c:pt idx="9">
                  <c:v>9244.4700000000012</c:v>
                </c:pt>
                <c:pt idx="10">
                  <c:v>9308.0570000000007</c:v>
                </c:pt>
                <c:pt idx="11">
                  <c:v>9371.6440000000002</c:v>
                </c:pt>
                <c:pt idx="12">
                  <c:v>9435.2309999999998</c:v>
                </c:pt>
                <c:pt idx="13">
                  <c:v>9498.8180000000011</c:v>
                </c:pt>
                <c:pt idx="14">
                  <c:v>9562.4050000000007</c:v>
                </c:pt>
                <c:pt idx="15">
                  <c:v>9625.9920000000002</c:v>
                </c:pt>
                <c:pt idx="16">
                  <c:v>9689.5789999999997</c:v>
                </c:pt>
                <c:pt idx="17">
                  <c:v>9753.1660000000011</c:v>
                </c:pt>
                <c:pt idx="18">
                  <c:v>9816.7530000000006</c:v>
                </c:pt>
                <c:pt idx="19">
                  <c:v>9880.34</c:v>
                </c:pt>
                <c:pt idx="20">
                  <c:v>9943.9269999999997</c:v>
                </c:pt>
                <c:pt idx="21">
                  <c:v>10007.514000000001</c:v>
                </c:pt>
                <c:pt idx="22">
                  <c:v>10071.101000000001</c:v>
                </c:pt>
                <c:pt idx="23">
                  <c:v>10134.688</c:v>
                </c:pt>
                <c:pt idx="24">
                  <c:v>10198.275000000001</c:v>
                </c:pt>
                <c:pt idx="25">
                  <c:v>10261.862000000001</c:v>
                </c:pt>
                <c:pt idx="26">
                  <c:v>10325.449000000001</c:v>
                </c:pt>
                <c:pt idx="27">
                  <c:v>10389.036</c:v>
                </c:pt>
                <c:pt idx="28">
                  <c:v>10452.623</c:v>
                </c:pt>
                <c:pt idx="29">
                  <c:v>10516.210000000001</c:v>
                </c:pt>
                <c:pt idx="30">
                  <c:v>10579.797</c:v>
                </c:pt>
                <c:pt idx="31">
                  <c:v>10643.384</c:v>
                </c:pt>
                <c:pt idx="32">
                  <c:v>10706.971000000001</c:v>
                </c:pt>
                <c:pt idx="33">
                  <c:v>10770.558000000001</c:v>
                </c:pt>
                <c:pt idx="34">
                  <c:v>10834.145</c:v>
                </c:pt>
                <c:pt idx="35">
                  <c:v>10897.732</c:v>
                </c:pt>
                <c:pt idx="36">
                  <c:v>10961.319</c:v>
                </c:pt>
                <c:pt idx="37">
                  <c:v>11024.906000000001</c:v>
                </c:pt>
                <c:pt idx="38">
                  <c:v>11088.493</c:v>
                </c:pt>
                <c:pt idx="39">
                  <c:v>11152.08</c:v>
                </c:pt>
                <c:pt idx="40">
                  <c:v>11215.667000000001</c:v>
                </c:pt>
                <c:pt idx="41">
                  <c:v>11279.254000000001</c:v>
                </c:pt>
                <c:pt idx="42">
                  <c:v>11342.841</c:v>
                </c:pt>
                <c:pt idx="43">
                  <c:v>11406.428</c:v>
                </c:pt>
                <c:pt idx="44">
                  <c:v>11470.014999999999</c:v>
                </c:pt>
              </c:numCache>
            </c:numRef>
          </c:val>
          <c:smooth val="0"/>
          <c:extLst>
            <c:ext xmlns:c16="http://schemas.microsoft.com/office/drawing/2014/chart" uri="{C3380CC4-5D6E-409C-BE32-E72D297353CC}">
              <c16:uniqueId val="{00000003-42A4-4642-8913-04748C3D49DF}"/>
            </c:ext>
          </c:extLst>
        </c:ser>
        <c:dLbls>
          <c:showLegendKey val="0"/>
          <c:showVal val="0"/>
          <c:showCatName val="0"/>
          <c:showSerName val="0"/>
          <c:showPercent val="0"/>
          <c:showBubbleSize val="0"/>
        </c:dLbls>
        <c:smooth val="0"/>
        <c:axId val="678493440"/>
        <c:axId val="678495080"/>
      </c:lineChart>
      <c:catAx>
        <c:axId val="678493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495080"/>
        <c:crosses val="autoZero"/>
        <c:auto val="1"/>
        <c:lblAlgn val="ctr"/>
        <c:lblOffset val="100"/>
        <c:noMultiLvlLbl val="0"/>
      </c:catAx>
      <c:valAx>
        <c:axId val="678495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8493440"/>
        <c:crosses val="autoZero"/>
        <c:crossBetween val="between"/>
      </c:valAx>
      <c:spPr>
        <a:noFill/>
        <a:ln>
          <a:noFill/>
        </a:ln>
        <a:effectLst/>
      </c:spPr>
    </c:plotArea>
    <c:legend>
      <c:legendPos val="b"/>
      <c:legendEntry>
        <c:idx val="1"/>
        <c:delete val="1"/>
      </c:legendEntry>
      <c:legendEntry>
        <c:idx val="2"/>
        <c:delete val="1"/>
      </c:legendEntry>
      <c:legendEntry>
        <c:idx val="3"/>
        <c:delete val="1"/>
      </c:legendEntry>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9144-D119-4534-8174-5114F037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993</Words>
  <Characters>5663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Knight</dc:creator>
  <cp:lastModifiedBy>Anna Hook 42078328</cp:lastModifiedBy>
  <cp:revision>2</cp:revision>
  <cp:lastPrinted>2019-02-07T13:07:00Z</cp:lastPrinted>
  <dcterms:created xsi:type="dcterms:W3CDTF">2019-02-25T14:37:00Z</dcterms:created>
  <dcterms:modified xsi:type="dcterms:W3CDTF">2019-02-25T14:37:00Z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70259</vt:lpwstr>
  </property>
  <property fmtid="{D5CDD505-2E9C-101B-9397-08002B2CF9AE}" pid="3" name="Protective Marking">
    <vt:lpwstr>NOT PROTECTIVELY MARKED</vt:lpwstr>
  </property>
  <property fmtid="{D5CDD505-2E9C-101B-9397-08002B2CF9AE}" pid="4" name="Descriptor">
    <vt:lpwstr/>
  </property>
</Properties>
</file>