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11EA" w14:textId="77777777"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Performance and Resource</w:t>
      </w:r>
      <w:r w:rsidR="007D3E9B">
        <w:rPr>
          <w:rFonts w:ascii="Arial" w:hAnsi="Arial" w:cs="Arial"/>
          <w:b/>
          <w:sz w:val="24"/>
          <w:szCs w:val="24"/>
        </w:rPr>
        <w:t>s</w:t>
      </w:r>
      <w:r w:rsidRPr="004F62BB">
        <w:rPr>
          <w:rFonts w:ascii="Arial" w:hAnsi="Arial" w:cs="Arial"/>
          <w:b/>
          <w:sz w:val="24"/>
          <w:szCs w:val="24"/>
        </w:rPr>
        <w:t xml:space="preserve"> Scrutiny Programme 201</w:t>
      </w:r>
      <w:r w:rsidR="002E0E52">
        <w:rPr>
          <w:rFonts w:ascii="Arial" w:hAnsi="Arial" w:cs="Arial"/>
          <w:b/>
          <w:sz w:val="24"/>
          <w:szCs w:val="24"/>
        </w:rPr>
        <w:t>8</w:t>
      </w:r>
      <w:r w:rsidRPr="004F62BB">
        <w:rPr>
          <w:rFonts w:ascii="Arial" w:hAnsi="Arial" w:cs="Arial"/>
          <w:b/>
          <w:sz w:val="24"/>
          <w:szCs w:val="24"/>
        </w:rPr>
        <w:t>/1</w:t>
      </w:r>
      <w:r w:rsidR="002E0E52">
        <w:rPr>
          <w:rFonts w:ascii="Arial" w:hAnsi="Arial" w:cs="Arial"/>
          <w:b/>
          <w:sz w:val="24"/>
          <w:szCs w:val="24"/>
        </w:rPr>
        <w:t>9</w:t>
      </w:r>
    </w:p>
    <w:p w14:paraId="456D13CE" w14:textId="77777777"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9D8F7F" w14:textId="77777777"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Report to: the Office of the Police</w:t>
      </w:r>
      <w:r w:rsidR="00AC1ABD">
        <w:rPr>
          <w:rFonts w:ascii="Arial" w:hAnsi="Arial" w:cs="Arial"/>
          <w:b/>
          <w:sz w:val="24"/>
          <w:szCs w:val="24"/>
        </w:rPr>
        <w:t>, Fire</w:t>
      </w:r>
      <w:r w:rsidRPr="004F62BB">
        <w:rPr>
          <w:rFonts w:ascii="Arial" w:hAnsi="Arial" w:cs="Arial"/>
          <w:b/>
          <w:sz w:val="24"/>
          <w:szCs w:val="24"/>
        </w:rPr>
        <w:t xml:space="preserve"> and Crime Commissioner for Essex</w:t>
      </w:r>
    </w:p>
    <w:p w14:paraId="2B969D75" w14:textId="77777777"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34C52" w14:textId="77777777" w:rsidR="004F62BB" w:rsidRDefault="004F62BB" w:rsidP="004F62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652B9C" w:rsidRPr="00046E42" w14:paraId="42D96060" w14:textId="77777777" w:rsidTr="00773654">
        <w:tc>
          <w:tcPr>
            <w:tcW w:w="3260" w:type="dxa"/>
          </w:tcPr>
          <w:p w14:paraId="0133D630" w14:textId="77777777" w:rsidR="00773654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Title of Report:</w:t>
            </w:r>
          </w:p>
        </w:tc>
        <w:tc>
          <w:tcPr>
            <w:tcW w:w="5103" w:type="dxa"/>
          </w:tcPr>
          <w:p w14:paraId="3CAC8E3C" w14:textId="4334EC9E" w:rsidR="00652B9C" w:rsidRPr="00046E42" w:rsidRDefault="003549A5" w:rsidP="00F137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D191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137E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D191F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137EF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8D191F">
              <w:rPr>
                <w:rFonts w:ascii="Arial" w:hAnsi="Arial" w:cs="Arial"/>
                <w:b/>
                <w:sz w:val="24"/>
                <w:szCs w:val="24"/>
              </w:rPr>
              <w:t xml:space="preserve"> Investment supporting the Police &amp; Crime Plan</w:t>
            </w:r>
            <w:r w:rsidR="00886EB3">
              <w:rPr>
                <w:rFonts w:ascii="Arial" w:hAnsi="Arial" w:cs="Arial"/>
                <w:b/>
                <w:sz w:val="24"/>
                <w:szCs w:val="24"/>
              </w:rPr>
              <w:t xml:space="preserve"> – Month 9 monitoring</w:t>
            </w:r>
          </w:p>
        </w:tc>
      </w:tr>
      <w:tr w:rsidR="00652B9C" w:rsidRPr="00046E42" w14:paraId="23BE8D2B" w14:textId="77777777" w:rsidTr="00773654">
        <w:tc>
          <w:tcPr>
            <w:tcW w:w="3260" w:type="dxa"/>
          </w:tcPr>
          <w:p w14:paraId="28531A3E" w14:textId="77777777" w:rsidR="00773654" w:rsidRPr="00046E42" w:rsidRDefault="00517DD2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Chief Officer</w:t>
            </w:r>
          </w:p>
        </w:tc>
        <w:tc>
          <w:tcPr>
            <w:tcW w:w="5103" w:type="dxa"/>
          </w:tcPr>
          <w:p w14:paraId="17228E6C" w14:textId="77777777" w:rsidR="00652B9C" w:rsidRPr="00046E42" w:rsidRDefault="007750CD" w:rsidP="00957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CD">
              <w:rPr>
                <w:rFonts w:ascii="Arial" w:hAnsi="Arial" w:cs="Arial"/>
                <w:b/>
                <w:sz w:val="24"/>
                <w:szCs w:val="24"/>
              </w:rPr>
              <w:t>Dr Vicki Harrington</w:t>
            </w:r>
          </w:p>
        </w:tc>
      </w:tr>
      <w:tr w:rsidR="00A07AEA" w:rsidRPr="00046E42" w14:paraId="61974E82" w14:textId="77777777" w:rsidTr="00773654">
        <w:tc>
          <w:tcPr>
            <w:tcW w:w="3260" w:type="dxa"/>
          </w:tcPr>
          <w:p w14:paraId="603A6C7B" w14:textId="77777777" w:rsidR="00A07AEA" w:rsidRPr="00046E42" w:rsidRDefault="00A07AEA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Paper was Written</w:t>
            </w:r>
          </w:p>
        </w:tc>
        <w:tc>
          <w:tcPr>
            <w:tcW w:w="5103" w:type="dxa"/>
          </w:tcPr>
          <w:p w14:paraId="3C609DED" w14:textId="05597D4A" w:rsidR="00A07AEA" w:rsidRPr="00046E42" w:rsidRDefault="00F137EF" w:rsidP="0074786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B7D3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137E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786A">
              <w:rPr>
                <w:rFonts w:ascii="Arial" w:hAnsi="Arial" w:cs="Arial"/>
                <w:b/>
                <w:sz w:val="24"/>
                <w:szCs w:val="24"/>
              </w:rPr>
              <w:t xml:space="preserve">January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74786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A07AEA" w:rsidRPr="00046E42" w14:paraId="6B2F9C2F" w14:textId="77777777" w:rsidTr="00773654">
        <w:tc>
          <w:tcPr>
            <w:tcW w:w="3260" w:type="dxa"/>
          </w:tcPr>
          <w:p w14:paraId="04ABC106" w14:textId="77777777" w:rsidR="00A07AEA" w:rsidRPr="00046E42" w:rsidRDefault="00A07AEA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Version Number</w:t>
            </w:r>
          </w:p>
        </w:tc>
        <w:tc>
          <w:tcPr>
            <w:tcW w:w="5103" w:type="dxa"/>
          </w:tcPr>
          <w:p w14:paraId="4C18B6F4" w14:textId="3B0FBBB5" w:rsidR="00A07AEA" w:rsidRPr="00046E42" w:rsidRDefault="00C63BA0" w:rsidP="00C63BA0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</w:tr>
      <w:tr w:rsidR="00652B9C" w:rsidRPr="00046E42" w14:paraId="35854334" w14:textId="77777777" w:rsidTr="00773654">
        <w:tc>
          <w:tcPr>
            <w:tcW w:w="3260" w:type="dxa"/>
          </w:tcPr>
          <w:p w14:paraId="1C87A658" w14:textId="77777777" w:rsidR="00652B9C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Report from: </w:t>
            </w:r>
          </w:p>
        </w:tc>
        <w:tc>
          <w:tcPr>
            <w:tcW w:w="5103" w:type="dxa"/>
          </w:tcPr>
          <w:p w14:paraId="1B054DC5" w14:textId="77777777" w:rsidR="00652B9C" w:rsidRPr="00046E42" w:rsidRDefault="00773654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Essex Police</w:t>
            </w:r>
          </w:p>
        </w:tc>
      </w:tr>
      <w:tr w:rsidR="00652B9C" w:rsidRPr="00046E42" w14:paraId="27348C40" w14:textId="77777777" w:rsidTr="00773654">
        <w:tc>
          <w:tcPr>
            <w:tcW w:w="3260" w:type="dxa"/>
          </w:tcPr>
          <w:p w14:paraId="546FE40D" w14:textId="77777777" w:rsidR="00652B9C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Meeting</w:t>
            </w:r>
            <w:r w:rsidR="00773654" w:rsidRPr="00046E4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14:paraId="638CAF78" w14:textId="588ED073" w:rsidR="00652B9C" w:rsidRPr="00046E42" w:rsidRDefault="0074786A" w:rsidP="0074786A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74786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January </w:t>
            </w:r>
            <w:r w:rsidR="002B4DD9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652B9C" w:rsidRPr="00046E42" w14:paraId="7BC4BEB0" w14:textId="77777777" w:rsidTr="00773654">
        <w:tc>
          <w:tcPr>
            <w:tcW w:w="3260" w:type="dxa"/>
          </w:tcPr>
          <w:p w14:paraId="25F53E2E" w14:textId="77777777" w:rsidR="00652B9C" w:rsidRPr="00046E42" w:rsidRDefault="00517DD2" w:rsidP="009F3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 on behalf of</w:t>
            </w: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52B9C" w:rsidRPr="00046E42">
              <w:rPr>
                <w:rFonts w:ascii="Arial" w:hAnsi="Arial" w:cs="Arial"/>
                <w:b/>
                <w:sz w:val="24"/>
                <w:szCs w:val="24"/>
              </w:rPr>
              <w:t>Chief Officer:</w:t>
            </w:r>
          </w:p>
        </w:tc>
        <w:tc>
          <w:tcPr>
            <w:tcW w:w="5103" w:type="dxa"/>
          </w:tcPr>
          <w:p w14:paraId="4C5F36C3" w14:textId="77777777" w:rsidR="00652B9C" w:rsidRPr="00046E42" w:rsidRDefault="007750CD" w:rsidP="009F3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Paul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Nagle</w:t>
            </w:r>
          </w:p>
        </w:tc>
      </w:tr>
      <w:tr w:rsidR="00652B9C" w:rsidRPr="00046E42" w14:paraId="1B3814CA" w14:textId="77777777" w:rsidTr="00773654">
        <w:tc>
          <w:tcPr>
            <w:tcW w:w="3260" w:type="dxa"/>
          </w:tcPr>
          <w:p w14:paraId="45D45CB3" w14:textId="77777777" w:rsidR="00652B9C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Approval:</w:t>
            </w:r>
          </w:p>
        </w:tc>
        <w:tc>
          <w:tcPr>
            <w:tcW w:w="5103" w:type="dxa"/>
          </w:tcPr>
          <w:p w14:paraId="7EF5151E" w14:textId="641E5406" w:rsidR="00652B9C" w:rsidRPr="00046E42" w:rsidRDefault="00906534" w:rsidP="00F137E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90653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786A">
              <w:rPr>
                <w:rFonts w:ascii="Arial" w:hAnsi="Arial" w:cs="Arial"/>
                <w:b/>
                <w:sz w:val="24"/>
                <w:szCs w:val="24"/>
              </w:rPr>
              <w:t>January 2019</w:t>
            </w:r>
            <w:bookmarkStart w:id="0" w:name="_GoBack"/>
            <w:bookmarkEnd w:id="0"/>
          </w:p>
        </w:tc>
      </w:tr>
    </w:tbl>
    <w:p w14:paraId="51824AA5" w14:textId="77777777" w:rsidR="001D5222" w:rsidRPr="004F62BB" w:rsidRDefault="001D5222" w:rsidP="00E92E89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0E767DCD" w14:textId="77777777" w:rsidR="004F62BB" w:rsidRDefault="004F62BB" w:rsidP="00E92E89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72C4DD7D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Purpose of Report</w:t>
      </w:r>
    </w:p>
    <w:p w14:paraId="0571F136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7F3F4E33" w14:textId="1D11FC20" w:rsidR="0049768F" w:rsidRDefault="000A6EF4" w:rsidP="00D32834">
      <w:pPr>
        <w:pStyle w:val="NoSpacing"/>
        <w:ind w:left="720"/>
        <w:rPr>
          <w:rFonts w:ascii="Calibri" w:hAnsi="Calibri" w:cs="Calibri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D32834">
        <w:rPr>
          <w:rFonts w:ascii="Arial" w:hAnsi="Arial" w:cs="Arial"/>
          <w:sz w:val="24"/>
          <w:szCs w:val="24"/>
        </w:rPr>
        <w:t xml:space="preserve">is an overarching paper on the </w:t>
      </w:r>
      <w:r w:rsidR="00D85DA2">
        <w:rPr>
          <w:rFonts w:ascii="Arial" w:hAnsi="Arial" w:cs="Arial"/>
          <w:sz w:val="24"/>
          <w:szCs w:val="24"/>
        </w:rPr>
        <w:t xml:space="preserve">new </w:t>
      </w:r>
      <w:r w:rsidR="00D32834">
        <w:rPr>
          <w:rFonts w:ascii="Arial" w:hAnsi="Arial" w:cs="Arial"/>
          <w:sz w:val="24"/>
          <w:szCs w:val="24"/>
        </w:rPr>
        <w:t xml:space="preserve">investments we </w:t>
      </w:r>
      <w:r w:rsidR="00D85DA2">
        <w:rPr>
          <w:rFonts w:ascii="Arial" w:hAnsi="Arial" w:cs="Arial"/>
          <w:sz w:val="24"/>
          <w:szCs w:val="24"/>
        </w:rPr>
        <w:t xml:space="preserve">are making </w:t>
      </w:r>
      <w:r w:rsidR="00D32834">
        <w:rPr>
          <w:rFonts w:ascii="Arial" w:hAnsi="Arial" w:cs="Arial"/>
          <w:sz w:val="24"/>
          <w:szCs w:val="24"/>
        </w:rPr>
        <w:t>to support the Police &amp; Crime Plan</w:t>
      </w:r>
      <w:r w:rsidR="00333603">
        <w:rPr>
          <w:rFonts w:ascii="Arial" w:hAnsi="Arial" w:cs="Arial"/>
          <w:sz w:val="24"/>
          <w:szCs w:val="24"/>
        </w:rPr>
        <w:t xml:space="preserve"> and </w:t>
      </w:r>
      <w:r w:rsidR="00D85DA2">
        <w:rPr>
          <w:rFonts w:ascii="Arial" w:hAnsi="Arial" w:cs="Arial"/>
          <w:sz w:val="24"/>
          <w:szCs w:val="24"/>
        </w:rPr>
        <w:t xml:space="preserve">the forecast </w:t>
      </w:r>
      <w:r w:rsidR="00AF473E">
        <w:rPr>
          <w:rFonts w:ascii="Arial" w:hAnsi="Arial" w:cs="Arial"/>
          <w:sz w:val="24"/>
          <w:szCs w:val="24"/>
        </w:rPr>
        <w:t xml:space="preserve">expenditure from </w:t>
      </w:r>
      <w:r w:rsidR="00D85DA2">
        <w:rPr>
          <w:rFonts w:ascii="Arial" w:hAnsi="Arial" w:cs="Arial"/>
          <w:sz w:val="24"/>
          <w:szCs w:val="24"/>
        </w:rPr>
        <w:t xml:space="preserve">that investment at Quarter </w:t>
      </w:r>
      <w:r w:rsidR="0074786A">
        <w:rPr>
          <w:rFonts w:ascii="Arial" w:hAnsi="Arial" w:cs="Arial"/>
          <w:sz w:val="24"/>
          <w:szCs w:val="24"/>
        </w:rPr>
        <w:t>3</w:t>
      </w:r>
      <w:r w:rsidR="00D85DA2">
        <w:rPr>
          <w:rFonts w:ascii="Arial" w:hAnsi="Arial" w:cs="Arial"/>
          <w:sz w:val="24"/>
          <w:szCs w:val="24"/>
        </w:rPr>
        <w:t>.</w:t>
      </w:r>
    </w:p>
    <w:p w14:paraId="3AA7F376" w14:textId="77777777" w:rsidR="0049768F" w:rsidRDefault="0049768F" w:rsidP="0049768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833D64C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14:paraId="57B1190B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401AA95E" w14:textId="77777777" w:rsidR="00652B9C" w:rsidRPr="00652B9C" w:rsidRDefault="007750CD" w:rsidP="00652B9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92E89">
        <w:rPr>
          <w:rFonts w:ascii="Arial" w:hAnsi="Arial" w:cs="Arial"/>
          <w:sz w:val="24"/>
          <w:szCs w:val="24"/>
        </w:rPr>
        <w:t>eport is for the Board to note.</w:t>
      </w:r>
    </w:p>
    <w:p w14:paraId="59E043FA" w14:textId="77777777" w:rsidR="00665862" w:rsidRPr="00665862" w:rsidRDefault="00665862" w:rsidP="0066586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B9CBCF1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Summary</w:t>
      </w:r>
    </w:p>
    <w:p w14:paraId="17092B57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55D06E83" w14:textId="68E25966" w:rsidR="00615DCF" w:rsidRDefault="00615DCF" w:rsidP="00615DC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948F9">
        <w:rPr>
          <w:rFonts w:ascii="Arial" w:hAnsi="Arial" w:cs="Arial"/>
          <w:sz w:val="24"/>
          <w:szCs w:val="24"/>
        </w:rPr>
        <w:t xml:space="preserve">Of the </w:t>
      </w:r>
      <w:r w:rsidRPr="00C948F9">
        <w:rPr>
          <w:rFonts w:ascii="Arial" w:hAnsi="Arial" w:cs="Arial"/>
          <w:b/>
          <w:sz w:val="24"/>
          <w:szCs w:val="24"/>
        </w:rPr>
        <w:t>£</w:t>
      </w:r>
      <w:r>
        <w:rPr>
          <w:rFonts w:ascii="Arial" w:hAnsi="Arial" w:cs="Arial"/>
          <w:b/>
          <w:sz w:val="24"/>
          <w:szCs w:val="24"/>
        </w:rPr>
        <w:t>9</w:t>
      </w:r>
      <w:r w:rsidRPr="00C948F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611</w:t>
      </w:r>
      <w:r w:rsidR="003D1451">
        <w:rPr>
          <w:rFonts w:ascii="Arial" w:hAnsi="Arial" w:cs="Arial"/>
          <w:b/>
          <w:sz w:val="24"/>
          <w:szCs w:val="24"/>
        </w:rPr>
        <w:t>m</w:t>
      </w:r>
      <w:r w:rsidRPr="00C94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new investments </w:t>
      </w:r>
      <w:r w:rsidRPr="00C948F9">
        <w:rPr>
          <w:rFonts w:ascii="Arial" w:hAnsi="Arial" w:cs="Arial"/>
          <w:sz w:val="24"/>
          <w:szCs w:val="24"/>
        </w:rPr>
        <w:t>identified in 2018/19</w:t>
      </w:r>
      <w:r>
        <w:rPr>
          <w:rFonts w:ascii="Arial" w:hAnsi="Arial" w:cs="Arial"/>
          <w:sz w:val="24"/>
          <w:szCs w:val="24"/>
        </w:rPr>
        <w:t xml:space="preserve"> budget</w:t>
      </w:r>
      <w:r w:rsidRPr="00C948F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£1.104</w:t>
      </w:r>
      <w:r w:rsidR="008B320B">
        <w:rPr>
          <w:rFonts w:ascii="Arial" w:hAnsi="Arial" w:cs="Arial"/>
          <w:b/>
          <w:sz w:val="24"/>
          <w:szCs w:val="24"/>
        </w:rPr>
        <w:t>m</w:t>
      </w:r>
      <w:r w:rsidRPr="00C948F9">
        <w:rPr>
          <w:rFonts w:ascii="Arial" w:hAnsi="Arial" w:cs="Arial"/>
          <w:sz w:val="24"/>
          <w:szCs w:val="24"/>
        </w:rPr>
        <w:t xml:space="preserve"> are amber risk and </w:t>
      </w:r>
      <w:r w:rsidRPr="00C948F9">
        <w:rPr>
          <w:rFonts w:ascii="Arial" w:hAnsi="Arial" w:cs="Arial"/>
          <w:b/>
          <w:sz w:val="24"/>
          <w:szCs w:val="24"/>
        </w:rPr>
        <w:t>£</w:t>
      </w:r>
      <w:r>
        <w:rPr>
          <w:rFonts w:ascii="Arial" w:hAnsi="Arial" w:cs="Arial"/>
          <w:b/>
          <w:sz w:val="24"/>
          <w:szCs w:val="24"/>
        </w:rPr>
        <w:t>8</w:t>
      </w:r>
      <w:r w:rsidRPr="00C948F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507</w:t>
      </w:r>
      <w:r w:rsidR="008B320B">
        <w:rPr>
          <w:rFonts w:ascii="Arial" w:hAnsi="Arial" w:cs="Arial"/>
          <w:b/>
          <w:sz w:val="24"/>
          <w:szCs w:val="24"/>
        </w:rPr>
        <w:t>m</w:t>
      </w:r>
      <w:r w:rsidRPr="00C948F9">
        <w:rPr>
          <w:rFonts w:ascii="Arial" w:hAnsi="Arial" w:cs="Arial"/>
          <w:sz w:val="24"/>
          <w:szCs w:val="24"/>
        </w:rPr>
        <w:t xml:space="preserve"> are green risk.</w:t>
      </w:r>
      <w:r>
        <w:rPr>
          <w:rFonts w:ascii="Arial" w:hAnsi="Arial" w:cs="Arial"/>
          <w:sz w:val="24"/>
          <w:szCs w:val="24"/>
        </w:rPr>
        <w:t xml:space="preserve"> </w:t>
      </w:r>
      <w:r w:rsidR="00F647CE">
        <w:rPr>
          <w:rFonts w:ascii="Arial" w:hAnsi="Arial" w:cs="Arial"/>
          <w:sz w:val="24"/>
          <w:szCs w:val="24"/>
        </w:rPr>
        <w:t>Changes since the 25</w:t>
      </w:r>
      <w:r w:rsidR="00F647CE" w:rsidRPr="00C63BA0">
        <w:rPr>
          <w:rFonts w:ascii="Arial" w:hAnsi="Arial" w:cs="Arial"/>
          <w:sz w:val="24"/>
          <w:szCs w:val="24"/>
          <w:vertAlign w:val="superscript"/>
        </w:rPr>
        <w:t>th</w:t>
      </w:r>
      <w:r w:rsidR="00F647CE">
        <w:rPr>
          <w:rFonts w:ascii="Arial" w:hAnsi="Arial" w:cs="Arial"/>
          <w:sz w:val="24"/>
          <w:szCs w:val="24"/>
        </w:rPr>
        <w:t xml:space="preserve"> October 2018 </w:t>
      </w:r>
      <w:r w:rsidR="00886EB3">
        <w:rPr>
          <w:rFonts w:ascii="Arial" w:hAnsi="Arial" w:cs="Arial"/>
          <w:sz w:val="24"/>
          <w:szCs w:val="24"/>
        </w:rPr>
        <w:t xml:space="preserve">Month 6 </w:t>
      </w:r>
      <w:r w:rsidR="00F647CE">
        <w:rPr>
          <w:rFonts w:ascii="Arial" w:hAnsi="Arial" w:cs="Arial"/>
          <w:sz w:val="24"/>
          <w:szCs w:val="24"/>
        </w:rPr>
        <w:t xml:space="preserve">investment </w:t>
      </w:r>
      <w:r w:rsidR="000B5078">
        <w:rPr>
          <w:rFonts w:ascii="Arial" w:hAnsi="Arial" w:cs="Arial"/>
          <w:sz w:val="24"/>
          <w:szCs w:val="24"/>
        </w:rPr>
        <w:t xml:space="preserve">monitoring </w:t>
      </w:r>
      <w:r w:rsidR="00F647CE">
        <w:rPr>
          <w:rFonts w:ascii="Arial" w:hAnsi="Arial" w:cs="Arial"/>
          <w:sz w:val="24"/>
          <w:szCs w:val="24"/>
        </w:rPr>
        <w:t xml:space="preserve">report are the updates on the two Capital Programme – Revenue Consequences and the </w:t>
      </w:r>
      <w:r w:rsidR="000B5078">
        <w:rPr>
          <w:rFonts w:ascii="Arial" w:hAnsi="Arial" w:cs="Arial"/>
          <w:sz w:val="24"/>
          <w:szCs w:val="24"/>
        </w:rPr>
        <w:t>change in relation to</w:t>
      </w:r>
      <w:r w:rsidR="00F647CE">
        <w:rPr>
          <w:rFonts w:ascii="Arial" w:hAnsi="Arial" w:cs="Arial"/>
          <w:sz w:val="24"/>
          <w:szCs w:val="24"/>
        </w:rPr>
        <w:t xml:space="preserve"> 2017/18</w:t>
      </w:r>
      <w:r w:rsidR="00190141">
        <w:rPr>
          <w:rFonts w:ascii="Arial" w:hAnsi="Arial" w:cs="Arial"/>
          <w:sz w:val="24"/>
          <w:szCs w:val="24"/>
        </w:rPr>
        <w:t xml:space="preserve"> </w:t>
      </w:r>
      <w:r w:rsidR="00F647CE">
        <w:rPr>
          <w:rFonts w:ascii="Arial" w:hAnsi="Arial" w:cs="Arial"/>
          <w:sz w:val="24"/>
          <w:szCs w:val="24"/>
        </w:rPr>
        <w:t xml:space="preserve">£0.118m for Director of Finance investment which is </w:t>
      </w:r>
      <w:r w:rsidR="00190141">
        <w:rPr>
          <w:rFonts w:ascii="Arial" w:hAnsi="Arial" w:cs="Arial"/>
          <w:sz w:val="24"/>
          <w:szCs w:val="24"/>
        </w:rPr>
        <w:t xml:space="preserve">now </w:t>
      </w:r>
      <w:r w:rsidR="00F647CE">
        <w:rPr>
          <w:rFonts w:ascii="Arial" w:hAnsi="Arial" w:cs="Arial"/>
          <w:sz w:val="24"/>
          <w:szCs w:val="24"/>
        </w:rPr>
        <w:t>no longer required.</w:t>
      </w:r>
      <w:r w:rsidR="000B5078">
        <w:rPr>
          <w:rFonts w:ascii="Arial" w:hAnsi="Arial" w:cs="Arial"/>
          <w:sz w:val="24"/>
          <w:szCs w:val="24"/>
        </w:rPr>
        <w:t xml:space="preserve"> </w:t>
      </w:r>
    </w:p>
    <w:p w14:paraId="382C837D" w14:textId="77777777" w:rsidR="00615DCF" w:rsidRDefault="00615DCF" w:rsidP="00615D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EBD1B78" w14:textId="67D44EBA" w:rsidR="00615DCF" w:rsidRDefault="00B91A3A" w:rsidP="00615DC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91A3A">
        <w:rPr>
          <w:rFonts w:ascii="Arial" w:hAnsi="Arial" w:cs="Arial"/>
          <w:sz w:val="24"/>
          <w:szCs w:val="24"/>
        </w:rPr>
        <w:t xml:space="preserve">Detailed </w:t>
      </w:r>
      <w:r>
        <w:rPr>
          <w:rFonts w:ascii="Arial" w:hAnsi="Arial" w:cs="Arial"/>
          <w:sz w:val="24"/>
          <w:szCs w:val="24"/>
        </w:rPr>
        <w:t xml:space="preserve">analysis </w:t>
      </w:r>
      <w:r w:rsidR="00615DCF" w:rsidRPr="00E4620E">
        <w:rPr>
          <w:rFonts w:ascii="Arial" w:hAnsi="Arial" w:cs="Arial"/>
          <w:sz w:val="24"/>
          <w:szCs w:val="24"/>
        </w:rPr>
        <w:t>on the profiling and monitoring of the £4m police recruitment for 150 officers and £1m supporting staff and non-pay cost arising from the 150 officer uplift</w:t>
      </w:r>
      <w:r w:rsidRPr="00E4620E">
        <w:rPr>
          <w:rFonts w:ascii="Arial" w:hAnsi="Arial" w:cs="Arial"/>
          <w:sz w:val="24"/>
          <w:szCs w:val="24"/>
        </w:rPr>
        <w:t xml:space="preserve"> has been completed, and is now being monitored</w:t>
      </w:r>
      <w:r w:rsidR="002D1310">
        <w:rPr>
          <w:rFonts w:ascii="Arial" w:hAnsi="Arial" w:cs="Arial"/>
          <w:sz w:val="24"/>
          <w:szCs w:val="24"/>
        </w:rPr>
        <w:t xml:space="preserve"> by Corporate Finance and Strategic Change.</w:t>
      </w:r>
    </w:p>
    <w:p w14:paraId="57D381E4" w14:textId="77777777" w:rsidR="00615DCF" w:rsidRDefault="00615DCF" w:rsidP="00615D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82AE39D" w14:textId="12CCEB37" w:rsidR="00852069" w:rsidRPr="004B55E7" w:rsidRDefault="00571633" w:rsidP="00E92E8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B55E7">
        <w:rPr>
          <w:rFonts w:ascii="Arial" w:hAnsi="Arial" w:cs="Arial"/>
          <w:sz w:val="24"/>
          <w:szCs w:val="24"/>
        </w:rPr>
        <w:t>T</w:t>
      </w:r>
      <w:r w:rsidR="005D3A59">
        <w:rPr>
          <w:rFonts w:ascii="Arial" w:hAnsi="Arial" w:cs="Arial"/>
          <w:sz w:val="24"/>
          <w:szCs w:val="24"/>
        </w:rPr>
        <w:t xml:space="preserve">wo </w:t>
      </w:r>
      <w:r w:rsidRPr="004B55E7">
        <w:rPr>
          <w:rFonts w:ascii="Arial" w:hAnsi="Arial" w:cs="Arial"/>
          <w:sz w:val="24"/>
          <w:szCs w:val="24"/>
        </w:rPr>
        <w:t xml:space="preserve">areas of 2018/19 investment assessed as Amber risk are:- </w:t>
      </w:r>
    </w:p>
    <w:p w14:paraId="506AEB6E" w14:textId="77777777" w:rsidR="00571633" w:rsidRDefault="00571633" w:rsidP="005D0DE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0D6BC4B" w14:textId="77777777" w:rsidR="00571633" w:rsidRDefault="00571633" w:rsidP="00AF473E">
      <w:pPr>
        <w:pStyle w:val="NoSpacing"/>
        <w:numPr>
          <w:ilvl w:val="0"/>
          <w:numId w:val="1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£0.499m </w:t>
      </w:r>
      <w:r w:rsidR="004B55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4B55E7">
        <w:rPr>
          <w:rFonts w:ascii="Arial" w:hAnsi="Arial" w:cs="Arial"/>
          <w:sz w:val="24"/>
          <w:szCs w:val="24"/>
        </w:rPr>
        <w:t xml:space="preserve">Revenue Consequences - </w:t>
      </w:r>
      <w:r>
        <w:rPr>
          <w:rFonts w:ascii="Arial" w:hAnsi="Arial" w:cs="Arial"/>
          <w:sz w:val="24"/>
          <w:szCs w:val="24"/>
        </w:rPr>
        <w:t>Capital Programme – Approved</w:t>
      </w:r>
    </w:p>
    <w:p w14:paraId="39026136" w14:textId="77777777" w:rsidR="00451CE2" w:rsidRPr="00AF473E" w:rsidRDefault="004B55E7" w:rsidP="00AF473E">
      <w:pPr>
        <w:pStyle w:val="NoSpacing"/>
        <w:numPr>
          <w:ilvl w:val="0"/>
          <w:numId w:val="13"/>
        </w:numPr>
        <w:ind w:left="1080"/>
        <w:rPr>
          <w:rFonts w:ascii="Arial" w:hAnsi="Arial" w:cs="Arial"/>
          <w:sz w:val="24"/>
          <w:szCs w:val="24"/>
        </w:rPr>
      </w:pPr>
      <w:r w:rsidRPr="00AF473E">
        <w:rPr>
          <w:rFonts w:ascii="Arial" w:hAnsi="Arial" w:cs="Arial"/>
          <w:sz w:val="24"/>
          <w:szCs w:val="24"/>
        </w:rPr>
        <w:t>£0.605m – Revenue Consequences - Capital Programme – Proposed</w:t>
      </w:r>
    </w:p>
    <w:p w14:paraId="2B5837E6" w14:textId="77777777" w:rsidR="00665862" w:rsidRDefault="00665862" w:rsidP="00AF473E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14:paraId="2AADD21A" w14:textId="77777777" w:rsidR="005D3A59" w:rsidRDefault="005D3A59" w:rsidP="00AF473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2653FE1" w14:textId="004D25BF" w:rsidR="00AF473E" w:rsidRDefault="00AF473E" w:rsidP="00055AA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F473E">
        <w:rPr>
          <w:rFonts w:ascii="Arial" w:hAnsi="Arial" w:cs="Arial"/>
          <w:sz w:val="24"/>
          <w:szCs w:val="24"/>
        </w:rPr>
        <w:t xml:space="preserve">Amber status </w:t>
      </w:r>
      <w:r>
        <w:rPr>
          <w:rFonts w:ascii="Arial" w:hAnsi="Arial" w:cs="Arial"/>
          <w:sz w:val="24"/>
          <w:szCs w:val="24"/>
        </w:rPr>
        <w:t xml:space="preserve">on both revenue consequences investment lines </w:t>
      </w:r>
      <w:r w:rsidRPr="00AF473E">
        <w:rPr>
          <w:rFonts w:ascii="Arial" w:hAnsi="Arial" w:cs="Arial"/>
          <w:sz w:val="24"/>
          <w:szCs w:val="24"/>
        </w:rPr>
        <w:t xml:space="preserve">reflects slippage in </w:t>
      </w:r>
      <w:r>
        <w:rPr>
          <w:rFonts w:ascii="Arial" w:hAnsi="Arial" w:cs="Arial"/>
          <w:sz w:val="24"/>
          <w:szCs w:val="24"/>
        </w:rPr>
        <w:t>the Capital Programme which is reported to the Strategic Board on a quarterly basis.</w:t>
      </w:r>
      <w:r w:rsidR="00047164">
        <w:rPr>
          <w:rFonts w:ascii="Arial" w:hAnsi="Arial" w:cs="Arial"/>
          <w:sz w:val="24"/>
          <w:szCs w:val="24"/>
        </w:rPr>
        <w:t xml:space="preserve"> It should also be noted that the force only budgets for 75% of proposed revenue consequences.</w:t>
      </w:r>
    </w:p>
    <w:p w14:paraId="315085F6" w14:textId="77777777" w:rsidR="003451C5" w:rsidRDefault="003451C5" w:rsidP="00AF473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9699B2C" w14:textId="77777777" w:rsidR="005D3A59" w:rsidRDefault="003C3379" w:rsidP="003C337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9300581" w14:textId="375E727E" w:rsidR="003451C5" w:rsidRDefault="005D3A59" w:rsidP="005D3A5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o</w:t>
      </w:r>
      <w:r w:rsidR="00B91A3A">
        <w:rPr>
          <w:rFonts w:ascii="Arial" w:hAnsi="Arial" w:cs="Arial"/>
          <w:sz w:val="24"/>
          <w:szCs w:val="24"/>
        </w:rPr>
        <w:t xml:space="preserve">ne </w:t>
      </w:r>
      <w:r w:rsidR="003C3379">
        <w:rPr>
          <w:rFonts w:ascii="Arial" w:hAnsi="Arial" w:cs="Arial"/>
          <w:sz w:val="24"/>
          <w:szCs w:val="24"/>
        </w:rPr>
        <w:t>area</w:t>
      </w:r>
      <w:r w:rsidR="00B91A3A">
        <w:rPr>
          <w:rFonts w:ascii="Arial" w:hAnsi="Arial" w:cs="Arial"/>
          <w:sz w:val="24"/>
          <w:szCs w:val="24"/>
        </w:rPr>
        <w:t xml:space="preserve"> </w:t>
      </w:r>
      <w:r w:rsidR="003C3379">
        <w:rPr>
          <w:rFonts w:ascii="Arial" w:hAnsi="Arial" w:cs="Arial"/>
          <w:sz w:val="24"/>
          <w:szCs w:val="24"/>
        </w:rPr>
        <w:t xml:space="preserve">of investment </w:t>
      </w:r>
      <w:r>
        <w:rPr>
          <w:rFonts w:ascii="Arial" w:hAnsi="Arial" w:cs="Arial"/>
          <w:sz w:val="24"/>
          <w:szCs w:val="24"/>
        </w:rPr>
        <w:t xml:space="preserve">that is </w:t>
      </w:r>
      <w:r w:rsidR="00B91A3A">
        <w:rPr>
          <w:rFonts w:ascii="Arial" w:hAnsi="Arial" w:cs="Arial"/>
          <w:sz w:val="24"/>
          <w:szCs w:val="24"/>
        </w:rPr>
        <w:t xml:space="preserve">no </w:t>
      </w:r>
      <w:r w:rsidR="003C3379">
        <w:rPr>
          <w:rFonts w:ascii="Arial" w:hAnsi="Arial" w:cs="Arial"/>
          <w:sz w:val="24"/>
          <w:szCs w:val="24"/>
        </w:rPr>
        <w:t>longer required</w:t>
      </w:r>
      <w:r>
        <w:rPr>
          <w:rFonts w:ascii="Arial" w:hAnsi="Arial" w:cs="Arial"/>
          <w:sz w:val="24"/>
          <w:szCs w:val="24"/>
        </w:rPr>
        <w:t xml:space="preserve"> in 2018/19</w:t>
      </w:r>
    </w:p>
    <w:p w14:paraId="42502F95" w14:textId="77777777" w:rsidR="003C3379" w:rsidRDefault="003C3379" w:rsidP="003C3379">
      <w:pPr>
        <w:pStyle w:val="NoSpacing"/>
        <w:rPr>
          <w:rFonts w:ascii="Arial" w:hAnsi="Arial" w:cs="Arial"/>
          <w:sz w:val="24"/>
          <w:szCs w:val="24"/>
        </w:rPr>
      </w:pPr>
    </w:p>
    <w:p w14:paraId="193E3B93" w14:textId="0C2F702D" w:rsidR="003C3379" w:rsidRDefault="003C3379" w:rsidP="003C3379">
      <w:pPr>
        <w:pStyle w:val="NoSpacing"/>
        <w:numPr>
          <w:ilvl w:val="0"/>
          <w:numId w:val="1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£0.055m Additional Rents. </w:t>
      </w:r>
      <w:r w:rsidRPr="003C3379">
        <w:rPr>
          <w:rFonts w:ascii="Arial" w:hAnsi="Arial" w:cs="Arial"/>
          <w:sz w:val="24"/>
          <w:szCs w:val="24"/>
        </w:rPr>
        <w:t xml:space="preserve">No formal plans to spend remainder of this investment £55k </w:t>
      </w:r>
      <w:r w:rsidR="00B91A3A">
        <w:rPr>
          <w:rFonts w:ascii="Arial" w:hAnsi="Arial" w:cs="Arial"/>
          <w:sz w:val="24"/>
          <w:szCs w:val="24"/>
        </w:rPr>
        <w:t xml:space="preserve">in-year </w:t>
      </w:r>
      <w:r w:rsidRPr="003C3379">
        <w:rPr>
          <w:rFonts w:ascii="Arial" w:hAnsi="Arial" w:cs="Arial"/>
          <w:sz w:val="24"/>
          <w:szCs w:val="24"/>
        </w:rPr>
        <w:t>as allocation was made on the assumption that Wethersfield store would be closed and a temporary replacement would be required until a permanent replacement was identified.</w:t>
      </w:r>
    </w:p>
    <w:p w14:paraId="12EF1C0F" w14:textId="5309F77C" w:rsidR="005D3A59" w:rsidRDefault="005D3A59" w:rsidP="005D3A59">
      <w:pPr>
        <w:pStyle w:val="NoSpacing"/>
        <w:rPr>
          <w:rFonts w:ascii="Arial" w:hAnsi="Arial" w:cs="Arial"/>
          <w:sz w:val="24"/>
          <w:szCs w:val="24"/>
        </w:rPr>
      </w:pPr>
    </w:p>
    <w:p w14:paraId="2F862875" w14:textId="3F68DBD5" w:rsidR="005D3A59" w:rsidRDefault="005D3A59" w:rsidP="005D3A5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</w:t>
      </w:r>
      <w:r w:rsidRPr="003C3379">
        <w:rPr>
          <w:rFonts w:ascii="Arial" w:hAnsi="Arial" w:cs="Arial"/>
          <w:sz w:val="24"/>
          <w:szCs w:val="24"/>
        </w:rPr>
        <w:t>£0.313m</w:t>
      </w:r>
      <w:r>
        <w:rPr>
          <w:rFonts w:ascii="Arial" w:hAnsi="Arial" w:cs="Arial"/>
          <w:sz w:val="24"/>
          <w:szCs w:val="24"/>
        </w:rPr>
        <w:t xml:space="preserve"> of investments that were agreed but not utilised in the 2017/18 budget, these are reflected in the 2018/19 base budget. There is one area </w:t>
      </w:r>
      <w:r w:rsidR="00055AA1">
        <w:rPr>
          <w:rFonts w:ascii="Arial" w:hAnsi="Arial" w:cs="Arial"/>
          <w:sz w:val="24"/>
          <w:szCs w:val="24"/>
        </w:rPr>
        <w:t>of investment that is no longer required</w:t>
      </w:r>
      <w:r w:rsidR="002D1310">
        <w:rPr>
          <w:rFonts w:ascii="Arial" w:hAnsi="Arial" w:cs="Arial"/>
          <w:sz w:val="24"/>
          <w:szCs w:val="24"/>
        </w:rPr>
        <w:t xml:space="preserve"> as set out below:-</w:t>
      </w:r>
      <w:r w:rsidR="00055AA1">
        <w:rPr>
          <w:rFonts w:ascii="Arial" w:hAnsi="Arial" w:cs="Arial"/>
          <w:sz w:val="24"/>
          <w:szCs w:val="24"/>
        </w:rPr>
        <w:t>.</w:t>
      </w:r>
      <w:r w:rsidRPr="004B55E7">
        <w:rPr>
          <w:rFonts w:ascii="Arial" w:hAnsi="Arial" w:cs="Arial"/>
          <w:sz w:val="24"/>
          <w:szCs w:val="24"/>
        </w:rPr>
        <w:t xml:space="preserve"> </w:t>
      </w:r>
    </w:p>
    <w:p w14:paraId="7A541458" w14:textId="77777777" w:rsidR="005D3A59" w:rsidRDefault="005D3A59" w:rsidP="005D3A5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068283D" w14:textId="6F1362F3" w:rsidR="005D3A59" w:rsidRDefault="00055AA1" w:rsidP="00055AA1">
      <w:pPr>
        <w:pStyle w:val="NoSpacing"/>
        <w:numPr>
          <w:ilvl w:val="0"/>
          <w:numId w:val="1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£0.118m for Director of Finance investment is no longer required as there are no plans to establish and recruit to this role</w:t>
      </w:r>
      <w:r w:rsidR="00791AC4">
        <w:rPr>
          <w:rFonts w:ascii="Arial" w:hAnsi="Arial" w:cs="Arial"/>
          <w:sz w:val="24"/>
          <w:szCs w:val="24"/>
        </w:rPr>
        <w:t>.</w:t>
      </w:r>
    </w:p>
    <w:p w14:paraId="62015718" w14:textId="77777777" w:rsidR="00055AA1" w:rsidRDefault="00055AA1" w:rsidP="00055AA1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617B1D8" w14:textId="77777777" w:rsidR="00121A7F" w:rsidRPr="007D3E9B" w:rsidRDefault="00665862" w:rsidP="00665862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</w:rPr>
        <w:t>4.0</w:t>
      </w:r>
      <w:r w:rsidRPr="00665862">
        <w:rPr>
          <w:rFonts w:ascii="Arial" w:hAnsi="Arial" w:cs="Arial"/>
          <w:b/>
          <w:sz w:val="24"/>
          <w:szCs w:val="24"/>
        </w:rPr>
        <w:tab/>
      </w:r>
      <w:r w:rsidR="004F62BB" w:rsidRPr="007D3E9B">
        <w:rPr>
          <w:rFonts w:ascii="Arial" w:hAnsi="Arial" w:cs="Arial"/>
          <w:b/>
          <w:sz w:val="24"/>
          <w:szCs w:val="24"/>
          <w:u w:val="single"/>
        </w:rPr>
        <w:t>Introduction</w:t>
      </w:r>
      <w:r w:rsidR="00E92E89">
        <w:rPr>
          <w:rFonts w:ascii="Arial" w:hAnsi="Arial" w:cs="Arial"/>
          <w:b/>
          <w:sz w:val="24"/>
          <w:szCs w:val="24"/>
          <w:u w:val="single"/>
        </w:rPr>
        <w:t>/</w:t>
      </w:r>
      <w:r w:rsidR="001D5222">
        <w:rPr>
          <w:rFonts w:ascii="Arial" w:hAnsi="Arial" w:cs="Arial"/>
          <w:b/>
          <w:sz w:val="24"/>
          <w:szCs w:val="24"/>
          <w:u w:val="single"/>
        </w:rPr>
        <w:t xml:space="preserve">Background </w:t>
      </w:r>
    </w:p>
    <w:p w14:paraId="460E8E99" w14:textId="77777777" w:rsidR="00121A7F" w:rsidRPr="007D3E9B" w:rsidRDefault="00121A7F" w:rsidP="007D3E9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37816956" w14:textId="77777777" w:rsidR="00801ECC" w:rsidRDefault="006F7CD8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Police Precept increase of 7.62% was approved by the </w:t>
      </w:r>
      <w:r w:rsidRPr="009D22AA">
        <w:rPr>
          <w:rFonts w:ascii="Arial" w:hAnsi="Arial" w:cs="Arial"/>
          <w:sz w:val="24"/>
          <w:szCs w:val="24"/>
        </w:rPr>
        <w:t xml:space="preserve">Essex Police, Fire and Crime Panel </w:t>
      </w:r>
      <w:r>
        <w:rPr>
          <w:rFonts w:ascii="Arial" w:hAnsi="Arial" w:cs="Arial"/>
          <w:sz w:val="24"/>
          <w:szCs w:val="24"/>
        </w:rPr>
        <w:t>on the 22</w:t>
      </w:r>
      <w:r w:rsidRPr="009D22A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January 2018. </w:t>
      </w:r>
      <w:r w:rsidR="00C040BE" w:rsidRPr="00373F7B">
        <w:rPr>
          <w:rFonts w:ascii="Arial" w:hAnsi="Arial" w:cs="Arial"/>
          <w:sz w:val="24"/>
          <w:szCs w:val="24"/>
        </w:rPr>
        <w:t>The P</w:t>
      </w:r>
      <w:r w:rsidR="00E55BFD">
        <w:rPr>
          <w:rFonts w:ascii="Arial" w:hAnsi="Arial" w:cs="Arial"/>
          <w:sz w:val="24"/>
          <w:szCs w:val="24"/>
        </w:rPr>
        <w:t>F</w:t>
      </w:r>
      <w:r w:rsidR="00C040BE" w:rsidRPr="00373F7B">
        <w:rPr>
          <w:rFonts w:ascii="Arial" w:hAnsi="Arial" w:cs="Arial"/>
          <w:sz w:val="24"/>
          <w:szCs w:val="24"/>
        </w:rPr>
        <w:t>CC agreed savings and investment plans within the</w:t>
      </w:r>
      <w:r w:rsidR="00C14888">
        <w:rPr>
          <w:rFonts w:ascii="Arial" w:hAnsi="Arial" w:cs="Arial"/>
          <w:sz w:val="24"/>
          <w:szCs w:val="24"/>
        </w:rPr>
        <w:t xml:space="preserve"> 2018/19 budget.</w:t>
      </w:r>
    </w:p>
    <w:p w14:paraId="1EEDCB8B" w14:textId="77777777" w:rsidR="00852069" w:rsidRDefault="00852069" w:rsidP="00852069">
      <w:pPr>
        <w:pStyle w:val="NoSpacing"/>
        <w:ind w:left="720"/>
        <w:rPr>
          <w:rFonts w:ascii="Arial" w:hAnsi="Arial" w:cs="Arial"/>
          <w:sz w:val="24"/>
          <w:szCs w:val="24"/>
        </w:rPr>
      </w:pPr>
    </w:p>
    <w:tbl>
      <w:tblPr>
        <w:tblW w:w="8596" w:type="dxa"/>
        <w:tblInd w:w="983" w:type="dxa"/>
        <w:tblLook w:val="04A0" w:firstRow="1" w:lastRow="0" w:firstColumn="1" w:lastColumn="0" w:noHBand="0" w:noVBand="1"/>
      </w:tblPr>
      <w:tblGrid>
        <w:gridCol w:w="7619"/>
        <w:gridCol w:w="977"/>
      </w:tblGrid>
      <w:tr w:rsidR="00852069" w:rsidRPr="00852069" w14:paraId="3E5C405A" w14:textId="77777777" w:rsidTr="00E4620E">
        <w:trPr>
          <w:trHeight w:val="667"/>
        </w:trPr>
        <w:tc>
          <w:tcPr>
            <w:tcW w:w="8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3A6501D" w14:textId="10F57D27" w:rsidR="00852069" w:rsidRPr="00852069" w:rsidRDefault="00E4620E" w:rsidP="004A2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Table 1 - </w:t>
            </w:r>
            <w:r w:rsidR="00852069"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2018/19 Budget</w:t>
            </w:r>
          </w:p>
        </w:tc>
      </w:tr>
      <w:tr w:rsidR="00852069" w:rsidRPr="00852069" w14:paraId="7DE91226" w14:textId="77777777" w:rsidTr="00BE2FE8">
        <w:trPr>
          <w:trHeight w:val="360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D9209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85F34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£m</w:t>
            </w:r>
          </w:p>
        </w:tc>
      </w:tr>
      <w:tr w:rsidR="00852069" w:rsidRPr="00852069" w14:paraId="40119FAC" w14:textId="77777777" w:rsidTr="00BE2FE8">
        <w:trPr>
          <w:trHeight w:val="360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A27D9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Original Budget - Budget Book Net Expenditure (prior year)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7AD57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268.9 </w:t>
            </w:r>
          </w:p>
        </w:tc>
      </w:tr>
      <w:tr w:rsidR="00852069" w:rsidRPr="00852069" w14:paraId="293CAC0B" w14:textId="77777777" w:rsidTr="00BE2FE8">
        <w:trPr>
          <w:trHeight w:val="510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764BE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Adjustment from prior year activity agreed at Budget Setting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0D65E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0.6 </w:t>
            </w:r>
          </w:p>
        </w:tc>
      </w:tr>
      <w:tr w:rsidR="00852069" w:rsidRPr="00852069" w14:paraId="7A112444" w14:textId="77777777" w:rsidTr="00BE2FE8">
        <w:trPr>
          <w:trHeight w:val="540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14:paraId="17A0D7F2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Opening Budget Requirement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089305D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269.5 </w:t>
            </w:r>
          </w:p>
        </w:tc>
      </w:tr>
      <w:tr w:rsidR="00852069" w:rsidRPr="00852069" w14:paraId="0075F1E3" w14:textId="77777777" w:rsidTr="00BE2FE8">
        <w:trPr>
          <w:trHeight w:val="13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945A7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08BC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52069" w:rsidRPr="00852069" w14:paraId="0A46EFE4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D3FEC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Unavoidable Cost Pressure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A0BE4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1.5 </w:t>
            </w:r>
          </w:p>
        </w:tc>
      </w:tr>
      <w:tr w:rsidR="00852069" w:rsidRPr="00852069" w14:paraId="27AC3069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DAAEF" w14:textId="77777777" w:rsidR="00852069" w:rsidRPr="005F315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5F31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>New Investment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37A00" w14:textId="77777777" w:rsidR="00852069" w:rsidRPr="005F315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</w:pPr>
            <w:r w:rsidRPr="005F315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GB"/>
              </w:rPr>
              <w:t xml:space="preserve">9.6 </w:t>
            </w:r>
          </w:p>
        </w:tc>
      </w:tr>
      <w:tr w:rsidR="00852069" w:rsidRPr="00852069" w14:paraId="1E2E2B2C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A00E4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Short Term one-off costs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EF03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2.3 </w:t>
            </w:r>
          </w:p>
        </w:tc>
      </w:tr>
      <w:tr w:rsidR="00852069" w:rsidRPr="00852069" w14:paraId="5DE6C9BD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AEBBB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Transfer to / (from) Reserves - one off costs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6058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0.8 </w:t>
            </w:r>
          </w:p>
        </w:tc>
      </w:tr>
      <w:tr w:rsidR="00852069" w:rsidRPr="00852069" w14:paraId="78606DEE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63338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Removal of one-off costs - Short Term budget already in base budget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7EA33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(2.8)</w:t>
            </w:r>
          </w:p>
        </w:tc>
      </w:tr>
      <w:tr w:rsidR="00852069" w:rsidRPr="00852069" w14:paraId="1E7E1B8F" w14:textId="77777777" w:rsidTr="00BE2FE8">
        <w:trPr>
          <w:trHeight w:val="495"/>
        </w:trPr>
        <w:tc>
          <w:tcPr>
            <w:tcW w:w="7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66647A3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Budget Requirement - before Savings &amp; Efficiencies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D6FB93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283.7 </w:t>
            </w:r>
          </w:p>
        </w:tc>
      </w:tr>
      <w:tr w:rsidR="00852069" w:rsidRPr="00852069" w14:paraId="28714B6E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3F8AA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Government Funding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7890B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(169.6)</w:t>
            </w:r>
          </w:p>
        </w:tc>
      </w:tr>
      <w:tr w:rsidR="00852069" w:rsidRPr="00852069" w14:paraId="04C855A1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78C09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 Tax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3FD47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(106.2)</w:t>
            </w:r>
          </w:p>
        </w:tc>
      </w:tr>
      <w:tr w:rsidR="00852069" w:rsidRPr="00852069" w14:paraId="4120AEBD" w14:textId="77777777" w:rsidTr="00BE2FE8">
        <w:trPr>
          <w:trHeight w:val="49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9A3E2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 Tax - surplus on Collection Fund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0D6E3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(1.6)</w:t>
            </w:r>
          </w:p>
        </w:tc>
      </w:tr>
      <w:tr w:rsidR="00852069" w:rsidRPr="00852069" w14:paraId="2BD2B4E5" w14:textId="77777777" w:rsidTr="00BE2FE8">
        <w:trPr>
          <w:trHeight w:val="495"/>
        </w:trPr>
        <w:tc>
          <w:tcPr>
            <w:tcW w:w="7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DDC4E45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Funding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B37D17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(277.4)</w:t>
            </w:r>
          </w:p>
        </w:tc>
      </w:tr>
      <w:tr w:rsidR="00852069" w:rsidRPr="00852069" w14:paraId="71DE94C3" w14:textId="77777777" w:rsidTr="00BE2FE8">
        <w:trPr>
          <w:trHeight w:val="135"/>
        </w:trPr>
        <w:tc>
          <w:tcPr>
            <w:tcW w:w="76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2915A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F1392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52069" w:rsidRPr="00852069" w14:paraId="35493962" w14:textId="77777777" w:rsidTr="00BE2FE8">
        <w:trPr>
          <w:trHeight w:val="915"/>
        </w:trPr>
        <w:tc>
          <w:tcPr>
            <w:tcW w:w="7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14:paraId="02FDFD0C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Annual (Shortfall) / Surplus</w:t>
            </w: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 xml:space="preserve"> before cashable</w:t>
            </w: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Savings &amp; Efficiencies Plans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4E160BE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(3.5)</w:t>
            </w:r>
          </w:p>
        </w:tc>
      </w:tr>
      <w:tr w:rsidR="00852069" w:rsidRPr="00852069" w14:paraId="781E1A2D" w14:textId="77777777" w:rsidTr="00BE2FE8">
        <w:trPr>
          <w:trHeight w:val="623"/>
        </w:trPr>
        <w:tc>
          <w:tcPr>
            <w:tcW w:w="8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552B45B5" w14:textId="77777777" w:rsidR="00852069" w:rsidRPr="00852069" w:rsidRDefault="00852069" w:rsidP="004A29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lastRenderedPageBreak/>
              <w:t>Funded by:</w:t>
            </w:r>
          </w:p>
        </w:tc>
      </w:tr>
      <w:tr w:rsidR="00852069" w:rsidRPr="00852069" w14:paraId="30591A7D" w14:textId="77777777" w:rsidTr="00BE2FE8">
        <w:trPr>
          <w:trHeight w:val="705"/>
        </w:trPr>
        <w:tc>
          <w:tcPr>
            <w:tcW w:w="7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14:paraId="35DF1FFE" w14:textId="77777777" w:rsidR="00852069" w:rsidRPr="00852069" w:rsidRDefault="00852069" w:rsidP="004A29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Strategic Change Savings &amp; Efficiencies Plan (S&amp;EP) - </w:t>
            </w: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GB"/>
              </w:rPr>
              <w:t>cashable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4BDB1FA0" w14:textId="77777777" w:rsidR="00852069" w:rsidRPr="00852069" w:rsidRDefault="00852069" w:rsidP="004A29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520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(3.5)</w:t>
            </w:r>
          </w:p>
        </w:tc>
      </w:tr>
    </w:tbl>
    <w:p w14:paraId="6559ED52" w14:textId="77777777" w:rsidR="00852069" w:rsidRDefault="00852069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413C97B" w14:textId="2328E394" w:rsidR="00E4620E" w:rsidRPr="00364221" w:rsidRDefault="00E4620E" w:rsidP="00E4620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6422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able 1 </w:t>
      </w:r>
      <w:r w:rsidRPr="00364221">
        <w:rPr>
          <w:rFonts w:ascii="Arial" w:hAnsi="Arial" w:cs="Arial"/>
          <w:sz w:val="24"/>
          <w:szCs w:val="24"/>
        </w:rPr>
        <w:t xml:space="preserve">shows the summary budget requirement agreed for 2018/19, the movement in the budget from 2017/18 and within it the £9.6m re-occurring new investments.  </w:t>
      </w:r>
    </w:p>
    <w:p w14:paraId="45F260AB" w14:textId="77777777" w:rsidR="00852069" w:rsidRDefault="00852069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E735FF3" w14:textId="77777777" w:rsidR="008B320B" w:rsidRDefault="008B320B" w:rsidP="00451CE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E42DBD5" w14:textId="77777777" w:rsidR="00C654B8" w:rsidRPr="007D3E9B" w:rsidRDefault="00E92E89" w:rsidP="0030288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65862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451CE2">
        <w:rPr>
          <w:rFonts w:ascii="Arial" w:hAnsi="Arial" w:cs="Arial"/>
          <w:b/>
          <w:sz w:val="24"/>
          <w:szCs w:val="24"/>
          <w:u w:val="single"/>
        </w:rPr>
        <w:t xml:space="preserve">2018/19 </w:t>
      </w:r>
      <w:proofErr w:type="gramStart"/>
      <w:r w:rsidR="00451CE2">
        <w:rPr>
          <w:rFonts w:ascii="Arial" w:hAnsi="Arial" w:cs="Arial"/>
          <w:b/>
          <w:sz w:val="24"/>
          <w:szCs w:val="24"/>
          <w:u w:val="single"/>
        </w:rPr>
        <w:t>New</w:t>
      </w:r>
      <w:proofErr w:type="gramEnd"/>
      <w:r w:rsidR="00451CE2">
        <w:rPr>
          <w:rFonts w:ascii="Arial" w:hAnsi="Arial" w:cs="Arial"/>
          <w:b/>
          <w:sz w:val="24"/>
          <w:szCs w:val="24"/>
          <w:u w:val="single"/>
        </w:rPr>
        <w:t xml:space="preserve"> investment</w:t>
      </w:r>
    </w:p>
    <w:p w14:paraId="65F86EAA" w14:textId="77777777" w:rsidR="00A85689" w:rsidRPr="007D3E9B" w:rsidRDefault="00A85689" w:rsidP="0030288C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14:paraId="06BA6C5E" w14:textId="26E6E3AD" w:rsidR="00785D02" w:rsidRPr="007E7A29" w:rsidRDefault="00C14888" w:rsidP="00017D7D">
      <w:pPr>
        <w:spacing w:after="0" w:line="240" w:lineRule="auto"/>
        <w:ind w:left="72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E94ACD" w:rsidRPr="007E7A29">
        <w:rPr>
          <w:rFonts w:ascii="Arial" w:hAnsi="Arial"/>
          <w:sz w:val="24"/>
        </w:rPr>
        <w:t>he 201</w:t>
      </w:r>
      <w:r w:rsidR="00466C37">
        <w:rPr>
          <w:rFonts w:ascii="Arial" w:hAnsi="Arial"/>
          <w:sz w:val="24"/>
        </w:rPr>
        <w:t>8</w:t>
      </w:r>
      <w:r w:rsidR="00E94ACD" w:rsidRPr="007E7A29">
        <w:rPr>
          <w:rFonts w:ascii="Arial" w:hAnsi="Arial"/>
          <w:sz w:val="24"/>
        </w:rPr>
        <w:t>/1</w:t>
      </w:r>
      <w:r w:rsidR="00466C37">
        <w:rPr>
          <w:rFonts w:ascii="Arial" w:hAnsi="Arial"/>
          <w:sz w:val="24"/>
        </w:rPr>
        <w:t>9</w:t>
      </w:r>
      <w:r w:rsidR="00E94ACD" w:rsidRPr="007E7A29">
        <w:rPr>
          <w:rFonts w:ascii="Arial" w:hAnsi="Arial"/>
          <w:sz w:val="24"/>
        </w:rPr>
        <w:t xml:space="preserve"> </w:t>
      </w:r>
      <w:r w:rsidR="00451CE2">
        <w:rPr>
          <w:rFonts w:ascii="Arial" w:hAnsi="Arial"/>
          <w:sz w:val="24"/>
        </w:rPr>
        <w:t xml:space="preserve">investment and status of investment </w:t>
      </w:r>
      <w:r w:rsidR="00466C37">
        <w:rPr>
          <w:rFonts w:ascii="Arial" w:hAnsi="Arial"/>
          <w:sz w:val="24"/>
        </w:rPr>
        <w:t xml:space="preserve">is </w:t>
      </w:r>
      <w:r w:rsidR="00E94ACD" w:rsidRPr="007E7A29">
        <w:rPr>
          <w:rFonts w:ascii="Arial" w:hAnsi="Arial"/>
          <w:sz w:val="24"/>
        </w:rPr>
        <w:t xml:space="preserve">summarised in </w:t>
      </w:r>
      <w:r w:rsidR="00E4620E">
        <w:rPr>
          <w:rFonts w:ascii="Arial" w:hAnsi="Arial"/>
          <w:sz w:val="24"/>
        </w:rPr>
        <w:t>T</w:t>
      </w:r>
      <w:r w:rsidR="00E94ACD" w:rsidRPr="007E7A29">
        <w:rPr>
          <w:rFonts w:ascii="Arial" w:hAnsi="Arial"/>
          <w:sz w:val="24"/>
        </w:rPr>
        <w:t xml:space="preserve">able </w:t>
      </w:r>
      <w:r w:rsidR="00E4620E">
        <w:rPr>
          <w:rFonts w:ascii="Arial" w:hAnsi="Arial"/>
          <w:sz w:val="24"/>
        </w:rPr>
        <w:t xml:space="preserve">2 </w:t>
      </w:r>
      <w:r w:rsidR="00E94ACD" w:rsidRPr="007E7A29">
        <w:rPr>
          <w:rFonts w:ascii="Arial" w:hAnsi="Arial"/>
          <w:sz w:val="24"/>
        </w:rPr>
        <w:t xml:space="preserve">below. </w:t>
      </w:r>
    </w:p>
    <w:p w14:paraId="38DC083F" w14:textId="77777777" w:rsidR="00B1490E" w:rsidRDefault="00B1490E" w:rsidP="00017D7D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  <w:r>
        <w:rPr>
          <w:rFonts w:ascii="Arial" w:hAnsi="Arial"/>
          <w:sz w:val="24"/>
          <w:highlight w:val="yellow"/>
        </w:rPr>
        <w:t xml:space="preserve">  </w:t>
      </w:r>
    </w:p>
    <w:tbl>
      <w:tblPr>
        <w:tblW w:w="5883" w:type="dxa"/>
        <w:tblInd w:w="1625" w:type="dxa"/>
        <w:tblLook w:val="04A0" w:firstRow="1" w:lastRow="0" w:firstColumn="1" w:lastColumn="0" w:noHBand="0" w:noVBand="1"/>
      </w:tblPr>
      <w:tblGrid>
        <w:gridCol w:w="4060"/>
        <w:gridCol w:w="1823"/>
      </w:tblGrid>
      <w:tr w:rsidR="00466C37" w:rsidRPr="00FE76FC" w14:paraId="6D2D4ED2" w14:textId="77777777" w:rsidTr="00B7514F">
        <w:trPr>
          <w:trHeight w:val="44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3845" w14:textId="52E53562" w:rsidR="00466C37" w:rsidRPr="00C63BA0" w:rsidRDefault="00E4620E" w:rsidP="00E462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63B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Table 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91AC" w14:textId="77777777" w:rsidR="00466C37" w:rsidRPr="00FE76FC" w:rsidRDefault="00466C37" w:rsidP="00B1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2018/19</w:t>
            </w:r>
          </w:p>
        </w:tc>
      </w:tr>
      <w:tr w:rsidR="00466C37" w:rsidRPr="00FE76FC" w14:paraId="3DDD9A18" w14:textId="77777777" w:rsidTr="00466C37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B83C" w14:textId="77777777" w:rsidR="00466C37" w:rsidRPr="00FE76FC" w:rsidRDefault="00466C37" w:rsidP="00B14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D001" w14:textId="77777777" w:rsidR="00466C37" w:rsidRPr="00FE76FC" w:rsidRDefault="00466C37" w:rsidP="00B149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</w:tr>
      <w:tr w:rsidR="00466C37" w:rsidRPr="00FE76FC" w14:paraId="10A5716D" w14:textId="77777777" w:rsidTr="00466C37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5B90" w14:textId="77777777" w:rsidR="00466C37" w:rsidRPr="00FE76FC" w:rsidRDefault="00451CE2" w:rsidP="0045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Investment p</w:t>
            </w:r>
            <w:r w:rsidR="00466C37"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lans </w:t>
            </w:r>
            <w:r w:rsidR="00925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="00466C37"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25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A323" w14:textId="77777777" w:rsidR="00466C37" w:rsidRPr="00FE76FC" w:rsidRDefault="00336733" w:rsidP="00336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Nil</w:t>
            </w:r>
          </w:p>
        </w:tc>
      </w:tr>
      <w:tr w:rsidR="00466C37" w:rsidRPr="00FE76FC" w14:paraId="4A9CBEEA" w14:textId="77777777" w:rsidTr="00466C37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1E1" w14:textId="77777777" w:rsidR="00466C37" w:rsidRPr="00FE76FC" w:rsidRDefault="00451CE2" w:rsidP="0045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Investment </w:t>
            </w:r>
            <w:r w:rsidR="00466C37"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plans </w:t>
            </w:r>
            <w:r w:rsidR="00925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="00466C37"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9250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Amber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AFD1" w14:textId="77777777" w:rsidR="00466C37" w:rsidRPr="00FE76FC" w:rsidRDefault="00336733" w:rsidP="003367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466C37"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104</w:t>
            </w:r>
          </w:p>
        </w:tc>
      </w:tr>
      <w:tr w:rsidR="00466C37" w:rsidRPr="00FE76FC" w14:paraId="326AB5E9" w14:textId="77777777" w:rsidTr="00466C37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F69D" w14:textId="56DD21EA" w:rsidR="00466C37" w:rsidRPr="00FE76FC" w:rsidRDefault="00451CE2" w:rsidP="00451C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Investment </w:t>
            </w:r>
            <w:r w:rsidR="00466C37"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plans </w:t>
            </w:r>
            <w:r w:rsidR="00886E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–</w:t>
            </w:r>
            <w:r w:rsidR="00466C37"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Green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DC8C" w14:textId="77777777" w:rsidR="00466C37" w:rsidRPr="00FE76FC" w:rsidRDefault="00336733" w:rsidP="003C3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466C3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 w:rsidR="003C3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452</w:t>
            </w:r>
          </w:p>
        </w:tc>
      </w:tr>
      <w:tr w:rsidR="003451C5" w:rsidRPr="00FE76FC" w14:paraId="156AB9E7" w14:textId="77777777" w:rsidTr="00466C37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7752" w14:textId="77777777" w:rsidR="003451C5" w:rsidRPr="003451C5" w:rsidRDefault="003451C5" w:rsidP="00451C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451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Investment plans – no longer required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7028" w14:textId="77777777" w:rsidR="003451C5" w:rsidRDefault="003C3379" w:rsidP="003C33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C3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0.055</w:t>
            </w:r>
          </w:p>
        </w:tc>
      </w:tr>
      <w:tr w:rsidR="00466C37" w:rsidRPr="00FE76FC" w14:paraId="5A24337C" w14:textId="77777777" w:rsidTr="00466C37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0B3" w14:textId="77777777" w:rsidR="00466C37" w:rsidRPr="00FE76FC" w:rsidRDefault="00466C37" w:rsidP="00451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</w:t>
            </w:r>
            <w:r w:rsidR="003367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new </w:t>
            </w:r>
            <w:r w:rsidR="00451C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investment – agreed for 2018/19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C32" w14:textId="77777777" w:rsidR="00466C37" w:rsidRPr="00FE76FC" w:rsidRDefault="00336733" w:rsidP="00336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="00466C37"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611</w:t>
            </w:r>
          </w:p>
        </w:tc>
      </w:tr>
      <w:tr w:rsidR="00336733" w:rsidRPr="00FE76FC" w14:paraId="2BF6AF9F" w14:textId="77777777" w:rsidTr="0033673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F42A" w14:textId="77777777" w:rsidR="00336733" w:rsidRPr="00336733" w:rsidRDefault="00336733" w:rsidP="004E4F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3367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Investments agreed from 17/18</w:t>
            </w:r>
            <w:r w:rsidR="004E4F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,</w:t>
            </w:r>
            <w:r w:rsidRPr="003367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85D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outstanding but still required</w:t>
            </w:r>
            <w:r w:rsidRPr="003367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85D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–</w:t>
            </w:r>
            <w:r w:rsidRPr="003367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Green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BA1D" w14:textId="7DB716FB" w:rsidR="00336733" w:rsidRPr="00336733" w:rsidRDefault="00336733" w:rsidP="00E462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0</w:t>
            </w:r>
            <w:r w:rsidRPr="003367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.</w:t>
            </w:r>
            <w:r w:rsidR="00E462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195</w:t>
            </w:r>
          </w:p>
        </w:tc>
      </w:tr>
      <w:tr w:rsidR="00E4620E" w:rsidRPr="00FE76FC" w14:paraId="7DE7A232" w14:textId="77777777" w:rsidTr="0033673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7EA8" w14:textId="5658D1D4" w:rsidR="00E4620E" w:rsidRPr="00336733" w:rsidRDefault="00055AA1" w:rsidP="00055A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Investment plans </w:t>
            </w:r>
            <w:r w:rsidR="002D1310" w:rsidRPr="003367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agreed from 17/18</w:t>
            </w:r>
            <w:r w:rsidR="002D13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– no longer required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B4D2" w14:textId="5F3F5558" w:rsidR="00E4620E" w:rsidRDefault="00E4620E" w:rsidP="003C337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0.118</w:t>
            </w:r>
          </w:p>
        </w:tc>
      </w:tr>
      <w:tr w:rsidR="00933524" w:rsidRPr="00FE76FC" w14:paraId="3A45DC12" w14:textId="77777777" w:rsidTr="0033673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B71A8" w14:textId="6AB11AB1" w:rsidR="00933524" w:rsidRDefault="00933524" w:rsidP="0033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investment from 2017/28 – not utilised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F333" w14:textId="1C442CE6" w:rsidR="00933524" w:rsidRDefault="00933524" w:rsidP="00336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0.313</w:t>
            </w:r>
          </w:p>
        </w:tc>
      </w:tr>
      <w:tr w:rsidR="00933524" w:rsidRPr="00FE76FC" w14:paraId="25DDD6A3" w14:textId="77777777" w:rsidTr="00C63BA0">
        <w:trPr>
          <w:trHeight w:val="1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7DFA" w14:textId="77777777" w:rsidR="00933524" w:rsidRDefault="00933524" w:rsidP="0033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E0C5" w14:textId="77777777" w:rsidR="00933524" w:rsidRDefault="00933524" w:rsidP="00336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36733" w:rsidRPr="00FE76FC" w14:paraId="4EE64AD6" w14:textId="77777777" w:rsidTr="00336733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37DC" w14:textId="77777777" w:rsidR="00336733" w:rsidRPr="00336733" w:rsidRDefault="00336733" w:rsidP="00336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re-occurring investments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DCCC" w14:textId="77777777" w:rsidR="00336733" w:rsidRPr="00336733" w:rsidRDefault="00336733" w:rsidP="00336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9.924</w:t>
            </w:r>
          </w:p>
        </w:tc>
      </w:tr>
    </w:tbl>
    <w:p w14:paraId="73D1CD94" w14:textId="77777777" w:rsidR="00E94ACD" w:rsidRDefault="00E94ACD" w:rsidP="00017D7D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</w:p>
    <w:p w14:paraId="52C89ECD" w14:textId="77777777" w:rsidR="00E94ACD" w:rsidRDefault="00E94ACD" w:rsidP="00454962">
      <w:pPr>
        <w:spacing w:after="0" w:line="240" w:lineRule="auto"/>
        <w:contextualSpacing/>
        <w:rPr>
          <w:rFonts w:ascii="Arial" w:hAnsi="Arial"/>
          <w:sz w:val="24"/>
          <w:highlight w:val="yellow"/>
        </w:rPr>
      </w:pPr>
    </w:p>
    <w:p w14:paraId="7580F802" w14:textId="0AB4F2BD" w:rsidR="00B804D3" w:rsidRDefault="00881EA0" w:rsidP="00A12B8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33BD6">
        <w:rPr>
          <w:rFonts w:ascii="Arial" w:hAnsi="Arial" w:cs="Arial"/>
          <w:sz w:val="24"/>
          <w:szCs w:val="24"/>
        </w:rPr>
        <w:t xml:space="preserve">or 2018/19 </w:t>
      </w:r>
      <w:r w:rsidR="00451CE2">
        <w:rPr>
          <w:rFonts w:ascii="Arial" w:hAnsi="Arial" w:cs="Arial"/>
          <w:sz w:val="24"/>
          <w:szCs w:val="24"/>
        </w:rPr>
        <w:t xml:space="preserve">new investment of </w:t>
      </w:r>
      <w:r w:rsidR="00B804D3" w:rsidRPr="007E7A29">
        <w:rPr>
          <w:rFonts w:ascii="Arial" w:hAnsi="Arial" w:cs="Arial"/>
          <w:b/>
          <w:sz w:val="24"/>
          <w:szCs w:val="24"/>
        </w:rPr>
        <w:t>£</w:t>
      </w:r>
      <w:r w:rsidR="00336733">
        <w:rPr>
          <w:rFonts w:ascii="Arial" w:hAnsi="Arial" w:cs="Arial"/>
          <w:b/>
          <w:sz w:val="24"/>
          <w:szCs w:val="24"/>
        </w:rPr>
        <w:t>9</w:t>
      </w:r>
      <w:r w:rsidR="00277BEB">
        <w:rPr>
          <w:rFonts w:ascii="Arial" w:hAnsi="Arial" w:cs="Arial"/>
          <w:b/>
          <w:sz w:val="24"/>
          <w:szCs w:val="24"/>
        </w:rPr>
        <w:t>.</w:t>
      </w:r>
      <w:r w:rsidR="00336733">
        <w:rPr>
          <w:rFonts w:ascii="Arial" w:hAnsi="Arial" w:cs="Arial"/>
          <w:b/>
          <w:sz w:val="24"/>
          <w:szCs w:val="24"/>
        </w:rPr>
        <w:t>611</w:t>
      </w:r>
      <w:r w:rsidR="003549A5">
        <w:rPr>
          <w:rFonts w:ascii="Arial" w:hAnsi="Arial" w:cs="Arial"/>
          <w:b/>
          <w:sz w:val="24"/>
          <w:szCs w:val="24"/>
        </w:rPr>
        <w:t>m</w:t>
      </w:r>
      <w:r w:rsidR="00B804D3">
        <w:rPr>
          <w:rFonts w:ascii="Arial" w:hAnsi="Arial" w:cs="Arial"/>
          <w:sz w:val="24"/>
          <w:szCs w:val="24"/>
        </w:rPr>
        <w:t xml:space="preserve"> </w:t>
      </w:r>
      <w:r w:rsidR="00C97305">
        <w:rPr>
          <w:rFonts w:ascii="Arial" w:hAnsi="Arial" w:cs="Arial"/>
          <w:sz w:val="24"/>
          <w:szCs w:val="24"/>
        </w:rPr>
        <w:t xml:space="preserve">was </w:t>
      </w:r>
      <w:r w:rsidR="00336733">
        <w:rPr>
          <w:rFonts w:ascii="Arial" w:hAnsi="Arial" w:cs="Arial"/>
          <w:sz w:val="24"/>
          <w:szCs w:val="24"/>
        </w:rPr>
        <w:t xml:space="preserve">agreed </w:t>
      </w:r>
      <w:r w:rsidR="00B804D3">
        <w:rPr>
          <w:rFonts w:ascii="Arial" w:hAnsi="Arial" w:cs="Arial"/>
          <w:sz w:val="24"/>
          <w:szCs w:val="24"/>
        </w:rPr>
        <w:t xml:space="preserve">as set out in the </w:t>
      </w:r>
      <w:r w:rsidR="006E07B1">
        <w:rPr>
          <w:rFonts w:ascii="Arial" w:hAnsi="Arial" w:cs="Arial"/>
          <w:sz w:val="24"/>
          <w:szCs w:val="24"/>
        </w:rPr>
        <w:t xml:space="preserve">2018/19 </w:t>
      </w:r>
      <w:r w:rsidR="00FE76FC">
        <w:rPr>
          <w:rFonts w:ascii="Arial" w:hAnsi="Arial" w:cs="Arial"/>
          <w:sz w:val="24"/>
          <w:szCs w:val="24"/>
        </w:rPr>
        <w:t>b</w:t>
      </w:r>
      <w:r w:rsidR="006E07B1">
        <w:rPr>
          <w:rFonts w:ascii="Arial" w:hAnsi="Arial" w:cs="Arial"/>
          <w:sz w:val="24"/>
          <w:szCs w:val="24"/>
        </w:rPr>
        <w:t>udget</w:t>
      </w:r>
      <w:r w:rsidR="007E7A29">
        <w:rPr>
          <w:rFonts w:ascii="Arial" w:hAnsi="Arial" w:cs="Arial"/>
          <w:sz w:val="24"/>
          <w:szCs w:val="24"/>
        </w:rPr>
        <w:t xml:space="preserve">. See </w:t>
      </w:r>
      <w:r w:rsidR="00F9769C">
        <w:rPr>
          <w:rFonts w:ascii="Arial" w:hAnsi="Arial" w:cs="Arial"/>
          <w:sz w:val="24"/>
          <w:szCs w:val="24"/>
        </w:rPr>
        <w:t xml:space="preserve">Appendix 1 </w:t>
      </w:r>
      <w:r w:rsidR="007E7A29">
        <w:rPr>
          <w:rFonts w:ascii="Arial" w:hAnsi="Arial" w:cs="Arial"/>
          <w:sz w:val="24"/>
          <w:szCs w:val="24"/>
        </w:rPr>
        <w:t xml:space="preserve">for a detailed breakdown of the 2018/19 </w:t>
      </w:r>
      <w:r w:rsidR="00451CE2">
        <w:rPr>
          <w:rFonts w:ascii="Arial" w:hAnsi="Arial" w:cs="Arial"/>
          <w:sz w:val="24"/>
          <w:szCs w:val="24"/>
        </w:rPr>
        <w:t>investments</w:t>
      </w:r>
      <w:r w:rsidR="00D85DA2">
        <w:rPr>
          <w:rFonts w:ascii="Arial" w:hAnsi="Arial" w:cs="Arial"/>
          <w:sz w:val="24"/>
          <w:szCs w:val="24"/>
        </w:rPr>
        <w:t xml:space="preserve">, their purpose and </w:t>
      </w:r>
      <w:r w:rsidR="00886EB3">
        <w:rPr>
          <w:rFonts w:ascii="Arial" w:hAnsi="Arial" w:cs="Arial"/>
          <w:sz w:val="24"/>
          <w:szCs w:val="24"/>
        </w:rPr>
        <w:t xml:space="preserve">Month 9 </w:t>
      </w:r>
      <w:r w:rsidR="00D85DA2">
        <w:rPr>
          <w:rFonts w:ascii="Arial" w:hAnsi="Arial" w:cs="Arial"/>
          <w:sz w:val="24"/>
          <w:szCs w:val="24"/>
        </w:rPr>
        <w:t xml:space="preserve">expenditure forecast in terms of 2018/19 expenditure and </w:t>
      </w:r>
      <w:r w:rsidR="003549A5">
        <w:rPr>
          <w:rFonts w:ascii="Arial" w:hAnsi="Arial" w:cs="Arial"/>
          <w:sz w:val="24"/>
          <w:szCs w:val="24"/>
        </w:rPr>
        <w:t>20</w:t>
      </w:r>
      <w:r w:rsidR="00D85DA2">
        <w:rPr>
          <w:rFonts w:ascii="Arial" w:hAnsi="Arial" w:cs="Arial"/>
          <w:sz w:val="24"/>
          <w:szCs w:val="24"/>
        </w:rPr>
        <w:t>19/20 on-going impact.</w:t>
      </w:r>
      <w:r w:rsidR="00BA4FE9">
        <w:rPr>
          <w:rFonts w:ascii="Arial" w:hAnsi="Arial" w:cs="Arial"/>
          <w:sz w:val="24"/>
          <w:szCs w:val="24"/>
        </w:rPr>
        <w:t xml:space="preserve"> </w:t>
      </w:r>
    </w:p>
    <w:p w14:paraId="6FB76740" w14:textId="77777777" w:rsidR="00336733" w:rsidRDefault="00336733" w:rsidP="00A12B8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1BB2071" w14:textId="77777777" w:rsidR="002D1310" w:rsidRDefault="002D1310" w:rsidP="002D131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also </w:t>
      </w:r>
      <w:r w:rsidRPr="003C3379">
        <w:rPr>
          <w:rFonts w:ascii="Arial" w:hAnsi="Arial" w:cs="Arial"/>
          <w:sz w:val="24"/>
          <w:szCs w:val="24"/>
        </w:rPr>
        <w:t>£0.313m</w:t>
      </w:r>
      <w:r>
        <w:rPr>
          <w:rFonts w:ascii="Arial" w:hAnsi="Arial" w:cs="Arial"/>
          <w:sz w:val="24"/>
          <w:szCs w:val="24"/>
        </w:rPr>
        <w:t xml:space="preserve"> of investments that were agreed but not utilised in the 2017/18 budget, these are reflected in the 2018/19 base budget. The status of these investments is also shown in Appendix 1</w:t>
      </w:r>
      <w:r w:rsidRPr="00E4620E">
        <w:rPr>
          <w:rFonts w:ascii="Arial" w:hAnsi="Arial" w:cs="Arial"/>
          <w:sz w:val="24"/>
          <w:szCs w:val="24"/>
        </w:rPr>
        <w:t xml:space="preserve">. </w:t>
      </w:r>
    </w:p>
    <w:p w14:paraId="7FB6ACD3" w14:textId="77777777" w:rsidR="002D1310" w:rsidRDefault="002D1310" w:rsidP="003C337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875E1DF" w14:textId="304573A1" w:rsidR="006709F9" w:rsidRPr="00C63BA0" w:rsidRDefault="006709F9" w:rsidP="003C3379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  <w:r w:rsidRPr="00C63BA0">
        <w:rPr>
          <w:rFonts w:ascii="Arial" w:hAnsi="Arial" w:cs="Arial"/>
          <w:sz w:val="24"/>
          <w:szCs w:val="24"/>
          <w:u w:val="single"/>
        </w:rPr>
        <w:t>New Investment</w:t>
      </w:r>
    </w:p>
    <w:p w14:paraId="6A00EC45" w14:textId="5A7197C8" w:rsidR="003C3379" w:rsidRDefault="00561A5C" w:rsidP="003C337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948F9">
        <w:rPr>
          <w:rFonts w:ascii="Arial" w:hAnsi="Arial" w:cs="Arial"/>
          <w:sz w:val="24"/>
          <w:szCs w:val="24"/>
        </w:rPr>
        <w:t xml:space="preserve">Of the </w:t>
      </w:r>
      <w:r w:rsidRPr="003C3379">
        <w:rPr>
          <w:rFonts w:ascii="Arial" w:hAnsi="Arial" w:cs="Arial"/>
          <w:sz w:val="24"/>
          <w:szCs w:val="24"/>
        </w:rPr>
        <w:t>£</w:t>
      </w:r>
      <w:r w:rsidR="00C97305" w:rsidRPr="003C3379">
        <w:rPr>
          <w:rFonts w:ascii="Arial" w:hAnsi="Arial" w:cs="Arial"/>
          <w:sz w:val="24"/>
          <w:szCs w:val="24"/>
        </w:rPr>
        <w:t>9</w:t>
      </w:r>
      <w:r w:rsidRPr="003C3379">
        <w:rPr>
          <w:rFonts w:ascii="Arial" w:hAnsi="Arial" w:cs="Arial"/>
          <w:sz w:val="24"/>
          <w:szCs w:val="24"/>
        </w:rPr>
        <w:t>.</w:t>
      </w:r>
      <w:r w:rsidR="00D85DA2" w:rsidRPr="003C3379">
        <w:rPr>
          <w:rFonts w:ascii="Arial" w:hAnsi="Arial" w:cs="Arial"/>
          <w:sz w:val="24"/>
          <w:szCs w:val="24"/>
        </w:rPr>
        <w:t>611</w:t>
      </w:r>
      <w:r w:rsidR="0096423E">
        <w:rPr>
          <w:rFonts w:ascii="Arial" w:hAnsi="Arial" w:cs="Arial"/>
          <w:sz w:val="24"/>
          <w:szCs w:val="24"/>
        </w:rPr>
        <w:t>m</w:t>
      </w:r>
      <w:r w:rsidRPr="00C948F9">
        <w:rPr>
          <w:rFonts w:ascii="Arial" w:hAnsi="Arial" w:cs="Arial"/>
          <w:sz w:val="24"/>
          <w:szCs w:val="24"/>
        </w:rPr>
        <w:t xml:space="preserve"> </w:t>
      </w:r>
      <w:r w:rsidR="00D85DA2">
        <w:rPr>
          <w:rFonts w:ascii="Arial" w:hAnsi="Arial" w:cs="Arial"/>
          <w:sz w:val="24"/>
          <w:szCs w:val="24"/>
        </w:rPr>
        <w:t xml:space="preserve">new </w:t>
      </w:r>
      <w:r w:rsidR="00451CE2">
        <w:rPr>
          <w:rFonts w:ascii="Arial" w:hAnsi="Arial" w:cs="Arial"/>
          <w:sz w:val="24"/>
          <w:szCs w:val="24"/>
        </w:rPr>
        <w:t xml:space="preserve">investments </w:t>
      </w:r>
      <w:r w:rsidRPr="00C948F9">
        <w:rPr>
          <w:rFonts w:ascii="Arial" w:hAnsi="Arial" w:cs="Arial"/>
          <w:sz w:val="24"/>
          <w:szCs w:val="24"/>
        </w:rPr>
        <w:t>identified in 2018/19</w:t>
      </w:r>
      <w:r w:rsidR="00C97305">
        <w:rPr>
          <w:rFonts w:ascii="Arial" w:hAnsi="Arial" w:cs="Arial"/>
          <w:sz w:val="24"/>
          <w:szCs w:val="24"/>
        </w:rPr>
        <w:t xml:space="preserve"> budget</w:t>
      </w:r>
      <w:r w:rsidRPr="00C948F9">
        <w:rPr>
          <w:rFonts w:ascii="Arial" w:hAnsi="Arial" w:cs="Arial"/>
          <w:sz w:val="24"/>
          <w:szCs w:val="24"/>
        </w:rPr>
        <w:t xml:space="preserve">, </w:t>
      </w:r>
      <w:r w:rsidR="006C15EF" w:rsidRPr="003C3379">
        <w:rPr>
          <w:rFonts w:ascii="Arial" w:hAnsi="Arial" w:cs="Arial"/>
          <w:sz w:val="24"/>
          <w:szCs w:val="24"/>
        </w:rPr>
        <w:t>£</w:t>
      </w:r>
      <w:r w:rsidR="00C97305" w:rsidRPr="003C3379">
        <w:rPr>
          <w:rFonts w:ascii="Arial" w:hAnsi="Arial" w:cs="Arial"/>
          <w:sz w:val="24"/>
          <w:szCs w:val="24"/>
        </w:rPr>
        <w:t>1</w:t>
      </w:r>
      <w:r w:rsidR="006C15EF" w:rsidRPr="003C3379">
        <w:rPr>
          <w:rFonts w:ascii="Arial" w:hAnsi="Arial" w:cs="Arial"/>
          <w:sz w:val="24"/>
          <w:szCs w:val="24"/>
        </w:rPr>
        <w:t>.</w:t>
      </w:r>
      <w:r w:rsidR="00C97305" w:rsidRPr="003C3379">
        <w:rPr>
          <w:rFonts w:ascii="Arial" w:hAnsi="Arial" w:cs="Arial"/>
          <w:sz w:val="24"/>
          <w:szCs w:val="24"/>
        </w:rPr>
        <w:t>104</w:t>
      </w:r>
      <w:r w:rsidR="008B320B" w:rsidRPr="003C3379">
        <w:rPr>
          <w:rFonts w:ascii="Arial" w:hAnsi="Arial" w:cs="Arial"/>
          <w:sz w:val="24"/>
          <w:szCs w:val="24"/>
        </w:rPr>
        <w:t>m</w:t>
      </w:r>
      <w:r w:rsidR="00454962" w:rsidRPr="00C948F9">
        <w:rPr>
          <w:rFonts w:ascii="Arial" w:hAnsi="Arial" w:cs="Arial"/>
          <w:sz w:val="24"/>
          <w:szCs w:val="24"/>
        </w:rPr>
        <w:t xml:space="preserve"> are amber risk</w:t>
      </w:r>
      <w:r w:rsidR="0027632B" w:rsidRPr="00C948F9">
        <w:rPr>
          <w:rFonts w:ascii="Arial" w:hAnsi="Arial" w:cs="Arial"/>
          <w:sz w:val="24"/>
          <w:szCs w:val="24"/>
        </w:rPr>
        <w:t xml:space="preserve"> and </w:t>
      </w:r>
      <w:r w:rsidR="001458B4" w:rsidRPr="003C3379">
        <w:rPr>
          <w:rFonts w:ascii="Arial" w:hAnsi="Arial" w:cs="Arial"/>
          <w:sz w:val="24"/>
          <w:szCs w:val="24"/>
        </w:rPr>
        <w:t>£</w:t>
      </w:r>
      <w:r w:rsidR="00C97305" w:rsidRPr="003C3379">
        <w:rPr>
          <w:rFonts w:ascii="Arial" w:hAnsi="Arial" w:cs="Arial"/>
          <w:sz w:val="24"/>
          <w:szCs w:val="24"/>
        </w:rPr>
        <w:t>8</w:t>
      </w:r>
      <w:r w:rsidR="001458B4" w:rsidRPr="003C3379">
        <w:rPr>
          <w:rFonts w:ascii="Arial" w:hAnsi="Arial" w:cs="Arial"/>
          <w:sz w:val="24"/>
          <w:szCs w:val="24"/>
        </w:rPr>
        <w:t>.</w:t>
      </w:r>
      <w:r w:rsidR="003C3379" w:rsidRPr="003C3379">
        <w:rPr>
          <w:rFonts w:ascii="Arial" w:hAnsi="Arial" w:cs="Arial"/>
          <w:sz w:val="24"/>
          <w:szCs w:val="24"/>
        </w:rPr>
        <w:t>452</w:t>
      </w:r>
      <w:r w:rsidR="008B320B" w:rsidRPr="003C3379">
        <w:rPr>
          <w:rFonts w:ascii="Arial" w:hAnsi="Arial" w:cs="Arial"/>
          <w:sz w:val="24"/>
          <w:szCs w:val="24"/>
        </w:rPr>
        <w:t>m</w:t>
      </w:r>
      <w:r w:rsidR="0027632B" w:rsidRPr="00C948F9">
        <w:rPr>
          <w:rFonts w:ascii="Arial" w:hAnsi="Arial" w:cs="Arial"/>
          <w:sz w:val="24"/>
          <w:szCs w:val="24"/>
        </w:rPr>
        <w:t xml:space="preserve"> are green risk.</w:t>
      </w:r>
      <w:r w:rsidR="003C3379" w:rsidRPr="003C3379">
        <w:rPr>
          <w:rFonts w:ascii="Arial" w:hAnsi="Arial" w:cs="Arial"/>
          <w:sz w:val="24"/>
          <w:szCs w:val="24"/>
        </w:rPr>
        <w:t xml:space="preserve"> </w:t>
      </w:r>
      <w:r w:rsidR="003C3379" w:rsidRPr="00E4620E">
        <w:rPr>
          <w:rFonts w:ascii="Arial" w:hAnsi="Arial" w:cs="Arial"/>
          <w:sz w:val="24"/>
          <w:szCs w:val="24"/>
        </w:rPr>
        <w:t xml:space="preserve">Within </w:t>
      </w:r>
      <w:r w:rsidR="006709F9">
        <w:rPr>
          <w:rFonts w:ascii="Arial" w:hAnsi="Arial" w:cs="Arial"/>
          <w:sz w:val="24"/>
          <w:szCs w:val="24"/>
        </w:rPr>
        <w:t xml:space="preserve">the </w:t>
      </w:r>
      <w:r w:rsidR="003C3379" w:rsidRPr="00E4620E">
        <w:rPr>
          <w:rFonts w:ascii="Arial" w:hAnsi="Arial" w:cs="Arial"/>
          <w:sz w:val="24"/>
          <w:szCs w:val="24"/>
        </w:rPr>
        <w:t>£0.237m Additional Rents investments</w:t>
      </w:r>
      <w:r w:rsidR="006709F9">
        <w:rPr>
          <w:rFonts w:ascii="Arial" w:hAnsi="Arial" w:cs="Arial"/>
          <w:sz w:val="24"/>
          <w:szCs w:val="24"/>
        </w:rPr>
        <w:t xml:space="preserve">, £0.055m </w:t>
      </w:r>
      <w:r w:rsidR="003C3379" w:rsidRPr="00E4620E">
        <w:rPr>
          <w:rFonts w:ascii="Arial" w:hAnsi="Arial" w:cs="Arial"/>
          <w:sz w:val="24"/>
          <w:szCs w:val="24"/>
        </w:rPr>
        <w:t>is no longer required</w:t>
      </w:r>
      <w:r w:rsidR="0096423E" w:rsidRPr="00E4620E">
        <w:rPr>
          <w:rFonts w:ascii="Arial" w:hAnsi="Arial" w:cs="Arial"/>
          <w:sz w:val="24"/>
          <w:szCs w:val="24"/>
        </w:rPr>
        <w:t xml:space="preserve"> in 2018/19 </w:t>
      </w:r>
      <w:r w:rsidR="003C3379" w:rsidRPr="00E4620E">
        <w:rPr>
          <w:rFonts w:ascii="Arial" w:hAnsi="Arial" w:cs="Arial"/>
          <w:sz w:val="24"/>
          <w:szCs w:val="24"/>
        </w:rPr>
        <w:t>as there are</w:t>
      </w:r>
      <w:r w:rsidR="003C3379">
        <w:rPr>
          <w:rFonts w:ascii="Arial" w:hAnsi="Arial" w:cs="Arial"/>
          <w:sz w:val="24"/>
          <w:szCs w:val="24"/>
        </w:rPr>
        <w:t xml:space="preserve"> no </w:t>
      </w:r>
      <w:r w:rsidR="003C3379" w:rsidRPr="003C3379">
        <w:rPr>
          <w:rFonts w:ascii="Arial" w:hAnsi="Arial" w:cs="Arial"/>
          <w:sz w:val="24"/>
          <w:szCs w:val="24"/>
        </w:rPr>
        <w:t xml:space="preserve">plans to spend </w:t>
      </w:r>
      <w:r w:rsidR="003C3379">
        <w:rPr>
          <w:rFonts w:ascii="Arial" w:hAnsi="Arial" w:cs="Arial"/>
          <w:sz w:val="24"/>
          <w:szCs w:val="24"/>
        </w:rPr>
        <w:t>th</w:t>
      </w:r>
      <w:r w:rsidR="006709F9">
        <w:rPr>
          <w:rFonts w:ascii="Arial" w:hAnsi="Arial" w:cs="Arial"/>
          <w:sz w:val="24"/>
          <w:szCs w:val="24"/>
        </w:rPr>
        <w:t>is amount. T</w:t>
      </w:r>
      <w:r w:rsidR="003C3379">
        <w:rPr>
          <w:rFonts w:ascii="Arial" w:hAnsi="Arial" w:cs="Arial"/>
          <w:sz w:val="24"/>
          <w:szCs w:val="24"/>
        </w:rPr>
        <w:t xml:space="preserve">he </w:t>
      </w:r>
      <w:r w:rsidR="003C3379" w:rsidRPr="003C3379">
        <w:rPr>
          <w:rFonts w:ascii="Arial" w:hAnsi="Arial" w:cs="Arial"/>
          <w:sz w:val="24"/>
          <w:szCs w:val="24"/>
        </w:rPr>
        <w:t>allocation was made on the assumption that Wethersfield store would be closed and a temporary replacement would be required until a permanent replacement was identified.</w:t>
      </w:r>
    </w:p>
    <w:p w14:paraId="4075142B" w14:textId="658EA254" w:rsidR="003E1D0C" w:rsidRDefault="003E1D0C" w:rsidP="003C337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C3E2ACE" w14:textId="77777777" w:rsidR="0048515E" w:rsidRPr="004B55E7" w:rsidRDefault="0048515E" w:rsidP="0048515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B55E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wo </w:t>
      </w:r>
      <w:r w:rsidRPr="004B55E7">
        <w:rPr>
          <w:rFonts w:ascii="Arial" w:hAnsi="Arial" w:cs="Arial"/>
          <w:sz w:val="24"/>
          <w:szCs w:val="24"/>
        </w:rPr>
        <w:t xml:space="preserve">areas of 2018/19 investment assessed as Amber risk are:- </w:t>
      </w:r>
    </w:p>
    <w:p w14:paraId="47FCD97B" w14:textId="77777777" w:rsidR="0048515E" w:rsidRDefault="0048515E" w:rsidP="0048515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A3029D0" w14:textId="77777777" w:rsidR="0048515E" w:rsidRDefault="0048515E" w:rsidP="0048515E">
      <w:pPr>
        <w:pStyle w:val="NoSpacing"/>
        <w:numPr>
          <w:ilvl w:val="0"/>
          <w:numId w:val="1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£0.499m – Revenue Consequences - Capital Programme – Approved</w:t>
      </w:r>
    </w:p>
    <w:p w14:paraId="34C0DA25" w14:textId="77777777" w:rsidR="0048515E" w:rsidRPr="00AF473E" w:rsidRDefault="0048515E" w:rsidP="0048515E">
      <w:pPr>
        <w:pStyle w:val="NoSpacing"/>
        <w:numPr>
          <w:ilvl w:val="0"/>
          <w:numId w:val="13"/>
        </w:numPr>
        <w:ind w:left="1080"/>
        <w:rPr>
          <w:rFonts w:ascii="Arial" w:hAnsi="Arial" w:cs="Arial"/>
          <w:sz w:val="24"/>
          <w:szCs w:val="24"/>
        </w:rPr>
      </w:pPr>
      <w:r w:rsidRPr="00AF473E">
        <w:rPr>
          <w:rFonts w:ascii="Arial" w:hAnsi="Arial" w:cs="Arial"/>
          <w:sz w:val="24"/>
          <w:szCs w:val="24"/>
        </w:rPr>
        <w:lastRenderedPageBreak/>
        <w:t>£0.605m – Revenue Consequences - Capital Programme – Proposed</w:t>
      </w:r>
    </w:p>
    <w:p w14:paraId="2BF650CD" w14:textId="7659BCDE" w:rsidR="0048515E" w:rsidRDefault="0048515E" w:rsidP="003C337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4D3D1EE" w14:textId="65DD04A6" w:rsidR="0048515E" w:rsidRDefault="0048515E" w:rsidP="003E1D0C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8515E">
        <w:rPr>
          <w:rFonts w:ascii="Arial" w:hAnsi="Arial" w:cs="Arial"/>
          <w:sz w:val="24"/>
          <w:szCs w:val="24"/>
        </w:rPr>
        <w:t xml:space="preserve">Updates on </w:t>
      </w:r>
      <w:r w:rsidR="00791AC4">
        <w:rPr>
          <w:rFonts w:ascii="Arial" w:hAnsi="Arial" w:cs="Arial"/>
          <w:sz w:val="24"/>
          <w:szCs w:val="24"/>
        </w:rPr>
        <w:t xml:space="preserve">the </w:t>
      </w:r>
      <w:r w:rsidRPr="0048515E">
        <w:rPr>
          <w:rFonts w:ascii="Arial" w:hAnsi="Arial" w:cs="Arial"/>
          <w:sz w:val="24"/>
          <w:szCs w:val="24"/>
        </w:rPr>
        <w:t xml:space="preserve">Capital Programme </w:t>
      </w:r>
      <w:r>
        <w:rPr>
          <w:rFonts w:ascii="Arial" w:hAnsi="Arial" w:cs="Arial"/>
          <w:sz w:val="24"/>
          <w:szCs w:val="24"/>
        </w:rPr>
        <w:t xml:space="preserve">are </w:t>
      </w:r>
      <w:r w:rsidRPr="0048515E">
        <w:rPr>
          <w:rFonts w:ascii="Arial" w:hAnsi="Arial" w:cs="Arial"/>
          <w:sz w:val="24"/>
          <w:szCs w:val="24"/>
        </w:rPr>
        <w:t xml:space="preserve">provided at the Strategic Board, including </w:t>
      </w:r>
      <w:r w:rsidR="00791AC4">
        <w:rPr>
          <w:rFonts w:ascii="Arial" w:hAnsi="Arial" w:cs="Arial"/>
          <w:sz w:val="24"/>
          <w:szCs w:val="24"/>
        </w:rPr>
        <w:t xml:space="preserve">the impact of </w:t>
      </w:r>
      <w:r w:rsidRPr="0048515E">
        <w:rPr>
          <w:rFonts w:ascii="Arial" w:hAnsi="Arial" w:cs="Arial"/>
          <w:sz w:val="24"/>
          <w:szCs w:val="24"/>
        </w:rPr>
        <w:t>revenue consequences. Amber status reflects risk of slippage in</w:t>
      </w:r>
      <w:r w:rsidR="006D1175">
        <w:rPr>
          <w:rFonts w:ascii="Arial" w:hAnsi="Arial" w:cs="Arial"/>
          <w:sz w:val="24"/>
          <w:szCs w:val="24"/>
        </w:rPr>
        <w:t xml:space="preserve"> the</w:t>
      </w:r>
      <w:r w:rsidRPr="0048515E">
        <w:rPr>
          <w:rFonts w:ascii="Arial" w:hAnsi="Arial" w:cs="Arial"/>
          <w:sz w:val="24"/>
          <w:szCs w:val="24"/>
        </w:rPr>
        <w:t xml:space="preserve"> timing of revenue consequence</w:t>
      </w:r>
      <w:r w:rsidR="006D1175">
        <w:rPr>
          <w:rFonts w:ascii="Arial" w:hAnsi="Arial" w:cs="Arial"/>
          <w:sz w:val="24"/>
          <w:szCs w:val="24"/>
        </w:rPr>
        <w:t>s</w:t>
      </w:r>
      <w:r w:rsidRPr="0048515E">
        <w:rPr>
          <w:rFonts w:ascii="Arial" w:hAnsi="Arial" w:cs="Arial"/>
          <w:sz w:val="24"/>
          <w:szCs w:val="24"/>
        </w:rPr>
        <w:t xml:space="preserve">. </w:t>
      </w:r>
      <w:r w:rsidR="00190141">
        <w:rPr>
          <w:rFonts w:ascii="Arial" w:hAnsi="Arial" w:cs="Arial"/>
          <w:sz w:val="24"/>
          <w:szCs w:val="24"/>
        </w:rPr>
        <w:t xml:space="preserve">Since the </w:t>
      </w:r>
      <w:r w:rsidR="00886EB3">
        <w:rPr>
          <w:rFonts w:ascii="Arial" w:hAnsi="Arial" w:cs="Arial"/>
          <w:sz w:val="24"/>
          <w:szCs w:val="24"/>
        </w:rPr>
        <w:t xml:space="preserve">last month 6 </w:t>
      </w:r>
      <w:r w:rsidR="00190141">
        <w:rPr>
          <w:rFonts w:ascii="Arial" w:hAnsi="Arial" w:cs="Arial"/>
          <w:sz w:val="24"/>
          <w:szCs w:val="24"/>
        </w:rPr>
        <w:t>update, t</w:t>
      </w:r>
      <w:r w:rsidRPr="0048515E">
        <w:rPr>
          <w:rFonts w:ascii="Arial" w:hAnsi="Arial" w:cs="Arial"/>
          <w:sz w:val="24"/>
          <w:szCs w:val="24"/>
        </w:rPr>
        <w:t>otal underspends on</w:t>
      </w:r>
      <w:r w:rsidR="006D1175">
        <w:rPr>
          <w:rFonts w:ascii="Arial" w:hAnsi="Arial" w:cs="Arial"/>
          <w:sz w:val="24"/>
          <w:szCs w:val="24"/>
        </w:rPr>
        <w:t xml:space="preserve"> the</w:t>
      </w:r>
      <w:r w:rsidRPr="0048515E">
        <w:rPr>
          <w:rFonts w:ascii="Arial" w:hAnsi="Arial" w:cs="Arial"/>
          <w:sz w:val="24"/>
          <w:szCs w:val="24"/>
        </w:rPr>
        <w:t xml:space="preserve"> IT project revenue consequence</w:t>
      </w:r>
      <w:r w:rsidR="006D1175">
        <w:rPr>
          <w:rFonts w:ascii="Arial" w:hAnsi="Arial" w:cs="Arial"/>
          <w:sz w:val="24"/>
          <w:szCs w:val="24"/>
        </w:rPr>
        <w:t>’</w:t>
      </w:r>
      <w:r w:rsidRPr="0048515E">
        <w:rPr>
          <w:rFonts w:ascii="Arial" w:hAnsi="Arial" w:cs="Arial"/>
          <w:sz w:val="24"/>
          <w:szCs w:val="24"/>
        </w:rPr>
        <w:t xml:space="preserve">s budget have been declared in </w:t>
      </w:r>
      <w:r w:rsidR="00791AC4">
        <w:rPr>
          <w:rFonts w:ascii="Arial" w:hAnsi="Arial" w:cs="Arial"/>
          <w:sz w:val="24"/>
          <w:szCs w:val="24"/>
        </w:rPr>
        <w:t>m</w:t>
      </w:r>
      <w:r w:rsidRPr="0048515E">
        <w:rPr>
          <w:rFonts w:ascii="Arial" w:hAnsi="Arial" w:cs="Arial"/>
          <w:sz w:val="24"/>
          <w:szCs w:val="24"/>
        </w:rPr>
        <w:t>onths 7, 8 and 9. Total underspend of £503,094 against one-off and reoccurring budget is no longer required and has been returned.</w:t>
      </w:r>
      <w:r w:rsidR="00886EB3">
        <w:rPr>
          <w:rFonts w:ascii="Arial" w:hAnsi="Arial" w:cs="Arial"/>
          <w:sz w:val="24"/>
          <w:szCs w:val="24"/>
        </w:rPr>
        <w:t xml:space="preserve"> Revenue Consequences budgets have all been updated as part of 2019/20 budget setting.</w:t>
      </w:r>
    </w:p>
    <w:p w14:paraId="5073C7E4" w14:textId="77777777" w:rsidR="0048515E" w:rsidRDefault="0048515E" w:rsidP="003E1D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6F9FF92" w14:textId="2D843F00" w:rsidR="0048515E" w:rsidRPr="00C63BA0" w:rsidRDefault="00190141" w:rsidP="00190141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  <w:r w:rsidRPr="00C63BA0">
        <w:rPr>
          <w:rFonts w:ascii="Arial" w:hAnsi="Arial" w:cs="Arial"/>
          <w:sz w:val="24"/>
          <w:szCs w:val="24"/>
          <w:u w:val="single"/>
        </w:rPr>
        <w:t>Investments agreed from 17/18, outstanding but still required</w:t>
      </w:r>
    </w:p>
    <w:p w14:paraId="45C295BD" w14:textId="7E4712A4" w:rsidR="003E1D0C" w:rsidRDefault="003E1D0C" w:rsidP="003E1D0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also </w:t>
      </w:r>
      <w:r w:rsidRPr="003C3379">
        <w:rPr>
          <w:rFonts w:ascii="Arial" w:hAnsi="Arial" w:cs="Arial"/>
          <w:sz w:val="24"/>
          <w:szCs w:val="24"/>
        </w:rPr>
        <w:t>£0.313m</w:t>
      </w:r>
      <w:r>
        <w:rPr>
          <w:rFonts w:ascii="Arial" w:hAnsi="Arial" w:cs="Arial"/>
          <w:sz w:val="24"/>
          <w:szCs w:val="24"/>
        </w:rPr>
        <w:t xml:space="preserve"> of investments that were agreed but not utilised in the 2017/18 budget, these are reflected in the 2018/19 base budget. The status of these investments is also shown in Appendix 1</w:t>
      </w:r>
      <w:r w:rsidRPr="00E4620E">
        <w:rPr>
          <w:rFonts w:ascii="Arial" w:hAnsi="Arial" w:cs="Arial"/>
          <w:sz w:val="24"/>
          <w:szCs w:val="24"/>
        </w:rPr>
        <w:t xml:space="preserve">. </w:t>
      </w:r>
    </w:p>
    <w:p w14:paraId="00FC7F92" w14:textId="77777777" w:rsidR="00055AA1" w:rsidRDefault="00055AA1" w:rsidP="003E1D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1AEF38F" w14:textId="0D277F9F" w:rsidR="005B4008" w:rsidRPr="003C3379" w:rsidRDefault="005B4008" w:rsidP="005B400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Within</w:t>
      </w:r>
      <w:r w:rsidR="006709F9">
        <w:rPr>
          <w:rFonts w:ascii="Arial" w:hAnsi="Arial" w:cs="Arial"/>
          <w:sz w:val="24"/>
          <w:szCs w:val="24"/>
        </w:rPr>
        <w:t xml:space="preserve"> the </w:t>
      </w:r>
      <w:r w:rsidR="006709F9" w:rsidRPr="003C3379">
        <w:rPr>
          <w:rFonts w:ascii="Arial" w:hAnsi="Arial" w:cs="Arial"/>
          <w:sz w:val="24"/>
          <w:szCs w:val="24"/>
        </w:rPr>
        <w:t>£0.313m</w:t>
      </w:r>
      <w:r w:rsidR="006709F9">
        <w:rPr>
          <w:rFonts w:ascii="Arial" w:hAnsi="Arial" w:cs="Arial"/>
          <w:sz w:val="24"/>
          <w:szCs w:val="24"/>
        </w:rPr>
        <w:t xml:space="preserve"> of investments that were agreed but not utilised in the 2017/18 budget was </w:t>
      </w:r>
      <w:r>
        <w:rPr>
          <w:rFonts w:ascii="Arial" w:hAnsi="Arial" w:cs="Arial"/>
          <w:sz w:val="24"/>
          <w:szCs w:val="24"/>
        </w:rPr>
        <w:t xml:space="preserve">£0.118m </w:t>
      </w:r>
      <w:r w:rsidR="002767F6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Director of Finance investment</w:t>
      </w:r>
      <w:r w:rsidR="006709F9">
        <w:rPr>
          <w:rFonts w:ascii="Arial" w:hAnsi="Arial" w:cs="Arial"/>
          <w:sz w:val="24"/>
          <w:szCs w:val="24"/>
        </w:rPr>
        <w:t xml:space="preserve">. </w:t>
      </w:r>
      <w:r w:rsidR="00190141">
        <w:rPr>
          <w:rFonts w:ascii="Arial" w:hAnsi="Arial" w:cs="Arial"/>
          <w:sz w:val="24"/>
          <w:szCs w:val="24"/>
        </w:rPr>
        <w:t xml:space="preserve">Since the last </w:t>
      </w:r>
      <w:r w:rsidR="00886EB3">
        <w:rPr>
          <w:rFonts w:ascii="Arial" w:hAnsi="Arial" w:cs="Arial"/>
          <w:sz w:val="24"/>
          <w:szCs w:val="24"/>
        </w:rPr>
        <w:t xml:space="preserve">month 6 </w:t>
      </w:r>
      <w:r w:rsidR="00190141">
        <w:rPr>
          <w:rFonts w:ascii="Arial" w:hAnsi="Arial" w:cs="Arial"/>
          <w:sz w:val="24"/>
          <w:szCs w:val="24"/>
        </w:rPr>
        <w:t xml:space="preserve">update it has been confirmed that this investment is </w:t>
      </w:r>
      <w:r>
        <w:rPr>
          <w:rFonts w:ascii="Arial" w:hAnsi="Arial" w:cs="Arial"/>
          <w:sz w:val="24"/>
          <w:szCs w:val="24"/>
        </w:rPr>
        <w:t xml:space="preserve">no longer required as there are no plans to establish and recruit to this role. </w:t>
      </w:r>
      <w:r w:rsidR="002D1310">
        <w:rPr>
          <w:rFonts w:ascii="Arial" w:hAnsi="Arial" w:cs="Arial"/>
          <w:sz w:val="24"/>
          <w:szCs w:val="24"/>
        </w:rPr>
        <w:t xml:space="preserve">Appendix </w:t>
      </w:r>
      <w:proofErr w:type="gramStart"/>
      <w:r w:rsidR="002D1310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 shows</w:t>
      </w:r>
      <w:proofErr w:type="gramEnd"/>
      <w:r>
        <w:rPr>
          <w:rFonts w:ascii="Arial" w:hAnsi="Arial" w:cs="Arial"/>
          <w:sz w:val="24"/>
          <w:szCs w:val="24"/>
        </w:rPr>
        <w:t xml:space="preserve"> £20k that was being retained at the end of</w:t>
      </w:r>
      <w:r w:rsidR="00886EB3">
        <w:rPr>
          <w:rFonts w:ascii="Arial" w:hAnsi="Arial" w:cs="Arial"/>
          <w:sz w:val="24"/>
          <w:szCs w:val="24"/>
        </w:rPr>
        <w:t xml:space="preserve"> Month 9 </w:t>
      </w:r>
      <w:r>
        <w:rPr>
          <w:rFonts w:ascii="Arial" w:hAnsi="Arial" w:cs="Arial"/>
          <w:sz w:val="24"/>
          <w:szCs w:val="24"/>
        </w:rPr>
        <w:t xml:space="preserve"> for </w:t>
      </w:r>
      <w:r w:rsidR="00886EB3">
        <w:rPr>
          <w:rFonts w:ascii="Arial" w:hAnsi="Arial" w:cs="Arial"/>
          <w:sz w:val="24"/>
          <w:szCs w:val="24"/>
        </w:rPr>
        <w:t>administration support,</w:t>
      </w:r>
      <w:r>
        <w:rPr>
          <w:rFonts w:ascii="Arial" w:hAnsi="Arial" w:cs="Arial"/>
          <w:sz w:val="24"/>
          <w:szCs w:val="24"/>
        </w:rPr>
        <w:t xml:space="preserve">, this budget is no longer required and was returned in </w:t>
      </w:r>
      <w:r w:rsidR="006D117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onth 10.</w:t>
      </w:r>
    </w:p>
    <w:p w14:paraId="27DFD84F" w14:textId="5CE49E03" w:rsidR="005B4008" w:rsidRDefault="005B4008" w:rsidP="003E1D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98EAF8F" w14:textId="77777777" w:rsidR="005B4008" w:rsidRDefault="005B4008" w:rsidP="003E1D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A3020D4" w14:textId="77777777" w:rsidR="005D3A59" w:rsidRDefault="005D3A59" w:rsidP="003E1D0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4F74661" w14:textId="77777777" w:rsidR="00121A7F" w:rsidRPr="007D3E9B" w:rsidRDefault="00E92E89" w:rsidP="003832F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65862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3832F7">
        <w:rPr>
          <w:rFonts w:ascii="Arial" w:hAnsi="Arial" w:cs="Arial"/>
          <w:b/>
          <w:sz w:val="24"/>
          <w:szCs w:val="24"/>
          <w:u w:val="single"/>
        </w:rPr>
        <w:t>I</w:t>
      </w:r>
      <w:r w:rsidR="001D5222">
        <w:rPr>
          <w:rFonts w:ascii="Arial" w:hAnsi="Arial" w:cs="Arial"/>
          <w:b/>
          <w:sz w:val="24"/>
          <w:szCs w:val="24"/>
          <w:u w:val="single"/>
        </w:rPr>
        <w:t>mplications (Issues)</w:t>
      </w:r>
    </w:p>
    <w:p w14:paraId="2D53E576" w14:textId="77777777" w:rsidR="00121A7F" w:rsidRPr="007D3E9B" w:rsidRDefault="00121A7F" w:rsidP="006279A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6969AC4" w14:textId="77777777" w:rsidR="00121A7F" w:rsidRDefault="0073463F" w:rsidP="00881EA0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73463F">
        <w:rPr>
          <w:rFonts w:ascii="Arial" w:hAnsi="Arial" w:cs="Arial"/>
          <w:sz w:val="24"/>
          <w:szCs w:val="24"/>
        </w:rPr>
        <w:t xml:space="preserve">Failure to </w:t>
      </w:r>
      <w:r w:rsidR="00E05132">
        <w:rPr>
          <w:rFonts w:ascii="Arial" w:hAnsi="Arial" w:cs="Arial"/>
          <w:sz w:val="24"/>
          <w:szCs w:val="24"/>
        </w:rPr>
        <w:t>deliver on agreed investment</w:t>
      </w:r>
      <w:r w:rsidR="00451CE2">
        <w:rPr>
          <w:rFonts w:ascii="Arial" w:hAnsi="Arial" w:cs="Arial"/>
          <w:sz w:val="24"/>
          <w:szCs w:val="24"/>
        </w:rPr>
        <w:t>s will result in the opportunities for service improvement not being realised and the positive impact on the Police &amp; Crime Plan priorities not being realised.</w:t>
      </w:r>
    </w:p>
    <w:p w14:paraId="5ABBFBD6" w14:textId="77777777" w:rsidR="00BA4FE9" w:rsidRPr="00656F5B" w:rsidRDefault="00BA4FE9" w:rsidP="00881EA0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78B92824" w14:textId="77777777" w:rsidR="00E836C6" w:rsidRDefault="00E92E89" w:rsidP="00E836C6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 w:rsidRPr="00DE144B">
        <w:rPr>
          <w:rFonts w:ascii="Arial" w:hAnsi="Arial" w:cs="Arial"/>
          <w:b/>
          <w:sz w:val="24"/>
          <w:szCs w:val="24"/>
        </w:rPr>
        <w:t>6.1</w:t>
      </w:r>
      <w:r w:rsidR="00652B9C" w:rsidRPr="00DE144B">
        <w:rPr>
          <w:rFonts w:ascii="Arial" w:hAnsi="Arial" w:cs="Arial"/>
          <w:b/>
          <w:sz w:val="24"/>
          <w:szCs w:val="24"/>
        </w:rPr>
        <w:tab/>
      </w:r>
      <w:r w:rsidR="00E836C6" w:rsidRPr="00411145">
        <w:rPr>
          <w:rFonts w:ascii="Arial" w:hAnsi="Arial" w:cs="Arial"/>
          <w:b/>
          <w:sz w:val="24"/>
          <w:szCs w:val="24"/>
          <w:u w:val="single"/>
        </w:rPr>
        <w:t>Links to Police and Crime Plan Priorities</w:t>
      </w:r>
    </w:p>
    <w:p w14:paraId="7245E064" w14:textId="77777777" w:rsidR="00E836C6" w:rsidRDefault="00E836C6" w:rsidP="00E836C6">
      <w:pPr>
        <w:pStyle w:val="NoSpacing"/>
        <w:ind w:left="1418" w:hanging="709"/>
        <w:rPr>
          <w:rFonts w:ascii="Arial" w:hAnsi="Arial" w:cs="Arial"/>
          <w:b/>
          <w:sz w:val="24"/>
          <w:szCs w:val="24"/>
        </w:rPr>
      </w:pPr>
    </w:p>
    <w:p w14:paraId="7DBE4B25" w14:textId="77777777"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investment plans are considered in their potential </w:t>
      </w:r>
      <w:r w:rsidR="00F027F3">
        <w:rPr>
          <w:rFonts w:ascii="Arial" w:hAnsi="Arial" w:cs="Arial"/>
          <w:sz w:val="24"/>
          <w:szCs w:val="24"/>
        </w:rPr>
        <w:t>impact to</w:t>
      </w:r>
      <w:r>
        <w:rPr>
          <w:rFonts w:ascii="Arial" w:hAnsi="Arial" w:cs="Arial"/>
          <w:sz w:val="24"/>
          <w:szCs w:val="24"/>
        </w:rPr>
        <w:t xml:space="preserve"> ensure they align and are consistent with </w:t>
      </w:r>
      <w:r w:rsidRPr="00411145">
        <w:rPr>
          <w:rFonts w:ascii="Arial" w:hAnsi="Arial" w:cs="Arial"/>
          <w:sz w:val="24"/>
          <w:szCs w:val="24"/>
        </w:rPr>
        <w:t>the priorities set out in the Police and Crime Plan.</w:t>
      </w:r>
    </w:p>
    <w:p w14:paraId="0855BD29" w14:textId="77777777"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5C4684F7" w14:textId="77777777" w:rsidR="00E836C6" w:rsidRDefault="00E836C6" w:rsidP="00E836C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11145">
        <w:rPr>
          <w:rFonts w:ascii="Arial" w:hAnsi="Arial" w:cs="Arial"/>
          <w:b/>
          <w:sz w:val="24"/>
          <w:szCs w:val="24"/>
        </w:rPr>
        <w:t>6.2</w:t>
      </w:r>
      <w:r w:rsidRPr="00411145">
        <w:rPr>
          <w:rFonts w:ascii="Arial" w:hAnsi="Arial" w:cs="Arial"/>
          <w:b/>
          <w:sz w:val="24"/>
          <w:szCs w:val="24"/>
        </w:rPr>
        <w:tab/>
      </w:r>
      <w:r w:rsidRPr="00411145">
        <w:rPr>
          <w:rFonts w:ascii="Arial" w:hAnsi="Arial" w:cs="Arial"/>
          <w:b/>
          <w:sz w:val="24"/>
          <w:szCs w:val="24"/>
          <w:u w:val="single"/>
        </w:rPr>
        <w:t>Demand</w:t>
      </w:r>
    </w:p>
    <w:p w14:paraId="1867E4FB" w14:textId="77777777" w:rsidR="00E836C6" w:rsidRDefault="00E836C6" w:rsidP="00E836C6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14:paraId="64C81E37" w14:textId="77777777" w:rsidR="005D04EF" w:rsidRPr="00F56078" w:rsidRDefault="005D04EF" w:rsidP="00E0513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F56078">
        <w:rPr>
          <w:rFonts w:ascii="Arial" w:hAnsi="Arial" w:cs="Arial"/>
          <w:sz w:val="24"/>
          <w:szCs w:val="24"/>
        </w:rPr>
        <w:t xml:space="preserve">Work undertaken by PA Consulting identified an increase in crime and demand for the force. They state </w:t>
      </w:r>
      <w:r w:rsidRPr="00543514">
        <w:rPr>
          <w:rFonts w:ascii="Arial" w:hAnsi="Arial" w:cs="Arial"/>
          <w:b/>
          <w:i/>
          <w:sz w:val="24"/>
          <w:szCs w:val="24"/>
        </w:rPr>
        <w:t>‘</w:t>
      </w:r>
      <w:proofErr w:type="gramStart"/>
      <w:r w:rsidRPr="00543514">
        <w:rPr>
          <w:rFonts w:ascii="Arial" w:hAnsi="Arial" w:cs="Arial"/>
          <w:b/>
          <w:i/>
          <w:sz w:val="24"/>
          <w:szCs w:val="24"/>
        </w:rPr>
        <w:t>The</w:t>
      </w:r>
      <w:proofErr w:type="gramEnd"/>
      <w:r w:rsidRPr="00543514">
        <w:rPr>
          <w:rFonts w:ascii="Arial" w:hAnsi="Arial" w:cs="Arial"/>
          <w:b/>
          <w:i/>
          <w:sz w:val="24"/>
          <w:szCs w:val="24"/>
        </w:rPr>
        <w:t xml:space="preserve"> current demand analysis shows that there has been a sustained and, in many areas recently, accelerating increase in crime and incident demand</w:t>
      </w:r>
      <w:r w:rsidRPr="00F56078">
        <w:rPr>
          <w:rFonts w:ascii="Arial" w:hAnsi="Arial" w:cs="Arial"/>
          <w:sz w:val="24"/>
          <w:szCs w:val="24"/>
        </w:rPr>
        <w:t xml:space="preserve">.’ </w:t>
      </w:r>
    </w:p>
    <w:p w14:paraId="6C3C0430" w14:textId="77777777" w:rsidR="005D04EF" w:rsidRDefault="005D04EF" w:rsidP="005D04E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57987F8" w14:textId="3F57AE82" w:rsidR="00E05132" w:rsidRDefault="00E05132" w:rsidP="00E05132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investment in Police Officers number will start to address the findings of the </w:t>
      </w:r>
      <w:r w:rsidRPr="00411145">
        <w:rPr>
          <w:rFonts w:ascii="Arial" w:hAnsi="Arial" w:cs="Arial"/>
          <w:sz w:val="24"/>
          <w:szCs w:val="24"/>
        </w:rPr>
        <w:t>PA Consulting Demand Analysis Report</w:t>
      </w:r>
      <w:r>
        <w:rPr>
          <w:rFonts w:ascii="Arial" w:hAnsi="Arial" w:cs="Arial"/>
          <w:sz w:val="24"/>
          <w:szCs w:val="24"/>
        </w:rPr>
        <w:t xml:space="preserve"> which concluded that significant additional staffing may be needed in Local Policing Areas to cope with increasing levels of demand and to enable a shift towards preventative policing.</w:t>
      </w:r>
    </w:p>
    <w:p w14:paraId="3262098A" w14:textId="77777777" w:rsidR="005D04EF" w:rsidRDefault="005D04EF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7614C1CE" w14:textId="77777777" w:rsidR="005D04EF" w:rsidRDefault="005D04EF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155BF167" w14:textId="77777777" w:rsidR="00121A7F" w:rsidRPr="00DE144B" w:rsidRDefault="00E836C6" w:rsidP="00DE144B">
      <w:pPr>
        <w:pStyle w:val="NoSpacing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 w:rsidRPr="00E836C6">
        <w:rPr>
          <w:rFonts w:ascii="Arial" w:hAnsi="Arial" w:cs="Arial"/>
          <w:b/>
          <w:sz w:val="24"/>
          <w:szCs w:val="24"/>
        </w:rPr>
        <w:t>6.3</w:t>
      </w:r>
      <w:r w:rsidRPr="00E836C6">
        <w:rPr>
          <w:rFonts w:ascii="Arial" w:hAnsi="Arial" w:cs="Arial"/>
          <w:b/>
          <w:sz w:val="24"/>
          <w:szCs w:val="24"/>
        </w:rPr>
        <w:tab/>
      </w:r>
      <w:r w:rsidR="006279AB" w:rsidRPr="00DE144B">
        <w:rPr>
          <w:rFonts w:ascii="Arial" w:hAnsi="Arial" w:cs="Arial"/>
          <w:b/>
          <w:sz w:val="24"/>
          <w:szCs w:val="24"/>
          <w:u w:val="single"/>
        </w:rPr>
        <w:t>Risks</w:t>
      </w:r>
      <w:r w:rsidR="00D8103E" w:rsidRPr="00DE144B">
        <w:rPr>
          <w:rFonts w:ascii="Arial" w:hAnsi="Arial" w:cs="Arial"/>
          <w:b/>
          <w:sz w:val="24"/>
          <w:szCs w:val="24"/>
          <w:u w:val="single"/>
        </w:rPr>
        <w:t>/Mitigation</w:t>
      </w:r>
    </w:p>
    <w:p w14:paraId="0348AFBF" w14:textId="77777777" w:rsidR="00121A7F" w:rsidRPr="007D3E9B" w:rsidRDefault="00121A7F" w:rsidP="003028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68AF620" w14:textId="77777777" w:rsidR="00121A7F" w:rsidRDefault="0073463F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  <w:r w:rsidRPr="0073463F">
        <w:rPr>
          <w:rFonts w:ascii="Arial" w:hAnsi="Arial"/>
          <w:sz w:val="24"/>
        </w:rPr>
        <w:t>If the Force fails to plan ad</w:t>
      </w:r>
      <w:r w:rsidR="00207FCB">
        <w:rPr>
          <w:rFonts w:ascii="Arial" w:hAnsi="Arial"/>
          <w:sz w:val="24"/>
        </w:rPr>
        <w:t>equately</w:t>
      </w:r>
      <w:r w:rsidRPr="0073463F">
        <w:rPr>
          <w:rFonts w:ascii="Arial" w:hAnsi="Arial"/>
          <w:sz w:val="24"/>
        </w:rPr>
        <w:t>, emergency measure</w:t>
      </w:r>
      <w:r w:rsidR="00BD4A2F">
        <w:rPr>
          <w:rFonts w:ascii="Arial" w:hAnsi="Arial"/>
          <w:sz w:val="24"/>
        </w:rPr>
        <w:t>s</w:t>
      </w:r>
      <w:r w:rsidRPr="0073463F">
        <w:rPr>
          <w:rFonts w:ascii="Arial" w:hAnsi="Arial"/>
          <w:sz w:val="24"/>
        </w:rPr>
        <w:t xml:space="preserve"> may need to be taken which could result in reduction in service and protection for the public. </w:t>
      </w:r>
    </w:p>
    <w:p w14:paraId="6C10E4E5" w14:textId="77777777" w:rsidR="00207FCB" w:rsidRPr="007D3E9B" w:rsidRDefault="00207FCB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</w:p>
    <w:p w14:paraId="5F2A09AB" w14:textId="77777777" w:rsidR="002B56D6" w:rsidRPr="002B56D6" w:rsidRDefault="002B56D6" w:rsidP="002B56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B56D6">
        <w:rPr>
          <w:rFonts w:ascii="Arial" w:hAnsi="Arial" w:cs="Arial"/>
          <w:b/>
          <w:sz w:val="24"/>
          <w:szCs w:val="24"/>
        </w:rPr>
        <w:t>6.4</w:t>
      </w:r>
      <w:r w:rsidRPr="002B56D6">
        <w:rPr>
          <w:rFonts w:ascii="Arial" w:hAnsi="Arial" w:cs="Arial"/>
          <w:b/>
          <w:sz w:val="24"/>
          <w:szCs w:val="24"/>
        </w:rPr>
        <w:tab/>
      </w:r>
      <w:r w:rsidRPr="002B56D6">
        <w:rPr>
          <w:rFonts w:ascii="Arial" w:hAnsi="Arial" w:cs="Arial"/>
          <w:b/>
          <w:sz w:val="24"/>
          <w:szCs w:val="24"/>
          <w:u w:val="single"/>
        </w:rPr>
        <w:t xml:space="preserve">Equality and/or Human Rights Implications </w:t>
      </w:r>
    </w:p>
    <w:p w14:paraId="6AC1D549" w14:textId="77777777" w:rsidR="002B56D6" w:rsidRDefault="002B56D6" w:rsidP="002B56D6">
      <w:pPr>
        <w:pStyle w:val="NoSpacing"/>
        <w:rPr>
          <w:rFonts w:ascii="Arial" w:hAnsi="Arial" w:cs="Arial"/>
          <w:sz w:val="24"/>
          <w:szCs w:val="24"/>
        </w:rPr>
      </w:pPr>
    </w:p>
    <w:p w14:paraId="29204E80" w14:textId="77777777" w:rsidR="001D5222" w:rsidRDefault="002B56D6" w:rsidP="00DE144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Pr="007D3E9B">
        <w:rPr>
          <w:rFonts w:ascii="Arial" w:hAnsi="Arial" w:cs="Arial"/>
          <w:sz w:val="24"/>
          <w:szCs w:val="24"/>
        </w:rPr>
        <w:t>impact on equa</w:t>
      </w:r>
      <w:r>
        <w:rPr>
          <w:rFonts w:ascii="Arial" w:hAnsi="Arial" w:cs="Arial"/>
          <w:sz w:val="24"/>
          <w:szCs w:val="24"/>
        </w:rPr>
        <w:t>lity, diversity or human rights are considered within the evaluation of detailed investment proposals individually</w:t>
      </w:r>
    </w:p>
    <w:p w14:paraId="57705D70" w14:textId="77777777" w:rsidR="002B56D6" w:rsidRPr="00DE144B" w:rsidRDefault="002B56D6" w:rsidP="002B56D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CBD82D5" w14:textId="77777777" w:rsidR="001D5222" w:rsidRPr="00DE144B" w:rsidRDefault="002B56D6" w:rsidP="00652B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6.5</w:t>
      </w:r>
      <w:r w:rsidR="00E92E89" w:rsidRPr="00DE144B">
        <w:rPr>
          <w:rFonts w:ascii="Arial" w:hAnsi="Arial" w:cs="Arial"/>
          <w:b/>
          <w:sz w:val="24"/>
          <w:szCs w:val="24"/>
        </w:rPr>
        <w:tab/>
      </w:r>
      <w:r w:rsidR="00E92E89" w:rsidRPr="00DE144B">
        <w:rPr>
          <w:rFonts w:ascii="Arial" w:hAnsi="Arial" w:cs="Arial"/>
          <w:b/>
          <w:sz w:val="24"/>
          <w:szCs w:val="24"/>
          <w:u w:val="single"/>
        </w:rPr>
        <w:t>Health and</w:t>
      </w:r>
      <w:r w:rsidR="00652B9C" w:rsidRPr="00DE144B">
        <w:rPr>
          <w:rFonts w:ascii="Arial" w:hAnsi="Arial" w:cs="Arial"/>
          <w:b/>
          <w:sz w:val="24"/>
          <w:szCs w:val="24"/>
          <w:u w:val="single"/>
        </w:rPr>
        <w:t xml:space="preserve"> Safety Implications</w:t>
      </w:r>
      <w:r w:rsidR="00652B9C" w:rsidRPr="00DE144B">
        <w:rPr>
          <w:rFonts w:ascii="Arial" w:hAnsi="Arial" w:cs="Arial"/>
          <w:b/>
          <w:sz w:val="24"/>
          <w:szCs w:val="24"/>
        </w:rPr>
        <w:t xml:space="preserve"> </w:t>
      </w:r>
    </w:p>
    <w:p w14:paraId="5D50E37E" w14:textId="77777777"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33448DF" w14:textId="77777777"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health and safety implications are considered within the evaluation of detailed investment proposals individually</w:t>
      </w:r>
      <w:r w:rsidRPr="007D3E9B">
        <w:rPr>
          <w:rFonts w:ascii="Arial" w:hAnsi="Arial" w:cs="Arial"/>
          <w:sz w:val="24"/>
          <w:szCs w:val="24"/>
        </w:rPr>
        <w:t>.</w:t>
      </w:r>
    </w:p>
    <w:p w14:paraId="07DC3C4D" w14:textId="77777777" w:rsidR="003832F7" w:rsidRPr="007D3E9B" w:rsidRDefault="003832F7" w:rsidP="003832F7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27020CAD" w14:textId="77777777" w:rsidR="003832F7" w:rsidRDefault="00E92E89" w:rsidP="00665862">
      <w:pPr>
        <w:pStyle w:val="NoSpacing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7.0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Consultation/Engagement</w:t>
      </w:r>
    </w:p>
    <w:p w14:paraId="14AD03E2" w14:textId="77777777" w:rsidR="009F3263" w:rsidRDefault="009F3263" w:rsidP="009F3263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4C7AC4CA" w14:textId="77777777" w:rsidR="005D04EF" w:rsidRDefault="005D04EF" w:rsidP="005D04EF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has been Unison, Police Federation and Superintendents Association representatives involved throughout the process of </w:t>
      </w:r>
      <w:r w:rsidR="00E05132">
        <w:rPr>
          <w:rFonts w:ascii="Arial" w:hAnsi="Arial" w:cs="Arial"/>
          <w:sz w:val="24"/>
          <w:szCs w:val="24"/>
        </w:rPr>
        <w:t>setting the budget and agreeing investment priorities for the force.</w:t>
      </w:r>
    </w:p>
    <w:p w14:paraId="1CDC46C0" w14:textId="77777777" w:rsidR="005D04EF" w:rsidRDefault="005D04EF" w:rsidP="005D04EF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4992E8F3" w14:textId="77777777" w:rsidR="005D04EF" w:rsidRDefault="005D04EF" w:rsidP="005D04E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lead for local policing ACC Prophet wrote to all Essex Chief Executives to secure views on proposals to increase officer numbers in the general areas proposed. There were </w:t>
      </w:r>
      <w:r w:rsidR="003549A5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replies indicating broad support for increased numbers in local policing.</w:t>
      </w:r>
    </w:p>
    <w:p w14:paraId="23FF8AC5" w14:textId="77777777" w:rsidR="005D04EF" w:rsidRDefault="005D04EF" w:rsidP="005D04E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D7B6EE7" w14:textId="77777777" w:rsidR="003832F7" w:rsidRPr="007D3E9B" w:rsidRDefault="003832F7" w:rsidP="00665862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235A4466" w14:textId="21CE9076" w:rsidR="00017D7D" w:rsidRPr="007D3E9B" w:rsidRDefault="000B5733" w:rsidP="007D3E9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8.0</w:t>
      </w:r>
      <w:r w:rsidR="007D3E9B" w:rsidRPr="007D3E9B">
        <w:rPr>
          <w:rFonts w:ascii="Arial" w:hAnsi="Arial" w:cs="Arial"/>
          <w:b/>
          <w:sz w:val="24"/>
          <w:szCs w:val="24"/>
        </w:rPr>
        <w:tab/>
      </w:r>
      <w:r w:rsidR="007D3E9B" w:rsidRPr="007D3E9B">
        <w:rPr>
          <w:rFonts w:ascii="Arial" w:hAnsi="Arial" w:cs="Arial"/>
          <w:b/>
          <w:sz w:val="24"/>
          <w:szCs w:val="24"/>
          <w:u w:val="single"/>
        </w:rPr>
        <w:t>Future Work/Development</w:t>
      </w:r>
    </w:p>
    <w:p w14:paraId="58FEC489" w14:textId="77777777" w:rsidR="007D3E9B" w:rsidRPr="007D3E9B" w:rsidRDefault="007D3E9B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0C6A08C" w14:textId="78281259" w:rsidR="00E05132" w:rsidRDefault="00E05132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focuses on progress </w:t>
      </w:r>
      <w:r w:rsidR="003549A5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the £9.6m new investments</w:t>
      </w:r>
      <w:r w:rsidR="00933524">
        <w:rPr>
          <w:rFonts w:ascii="Arial" w:hAnsi="Arial" w:cs="Arial"/>
          <w:sz w:val="24"/>
          <w:szCs w:val="24"/>
        </w:rPr>
        <w:t xml:space="preserve"> and </w:t>
      </w:r>
      <w:r w:rsidR="00933524" w:rsidRPr="003C3379">
        <w:rPr>
          <w:rFonts w:ascii="Arial" w:hAnsi="Arial" w:cs="Arial"/>
          <w:sz w:val="24"/>
          <w:szCs w:val="24"/>
        </w:rPr>
        <w:t>£0.313m</w:t>
      </w:r>
      <w:r w:rsidR="00933524">
        <w:rPr>
          <w:rFonts w:ascii="Arial" w:hAnsi="Arial" w:cs="Arial"/>
          <w:sz w:val="24"/>
          <w:szCs w:val="24"/>
        </w:rPr>
        <w:t xml:space="preserve"> of investments that were agreed but not utilised in the 2017/18 </w:t>
      </w:r>
      <w:r w:rsidR="00C13926">
        <w:rPr>
          <w:rFonts w:ascii="Arial" w:hAnsi="Arial" w:cs="Arial"/>
          <w:sz w:val="24"/>
          <w:szCs w:val="24"/>
        </w:rPr>
        <w:t xml:space="preserve">budget. </w:t>
      </w:r>
      <w:r>
        <w:rPr>
          <w:rFonts w:ascii="Arial" w:hAnsi="Arial" w:cs="Arial"/>
          <w:sz w:val="24"/>
          <w:szCs w:val="24"/>
        </w:rPr>
        <w:t xml:space="preserve">Identifying and monitoring the </w:t>
      </w:r>
      <w:r w:rsidR="00333603">
        <w:rPr>
          <w:rFonts w:ascii="Arial" w:hAnsi="Arial" w:cs="Arial"/>
          <w:sz w:val="24"/>
          <w:szCs w:val="24"/>
        </w:rPr>
        <w:t xml:space="preserve">£1.5m unavoidable </w:t>
      </w:r>
      <w:r w:rsidR="005F3159">
        <w:rPr>
          <w:rFonts w:ascii="Arial" w:hAnsi="Arial" w:cs="Arial"/>
          <w:sz w:val="24"/>
          <w:szCs w:val="24"/>
        </w:rPr>
        <w:t xml:space="preserve">cost pressures </w:t>
      </w:r>
      <w:r w:rsidR="00333603">
        <w:rPr>
          <w:rFonts w:ascii="Arial" w:hAnsi="Arial" w:cs="Arial"/>
          <w:sz w:val="24"/>
          <w:szCs w:val="24"/>
        </w:rPr>
        <w:t xml:space="preserve">agreed in setting the 2018/19 budget </w:t>
      </w:r>
      <w:r>
        <w:rPr>
          <w:rFonts w:ascii="Arial" w:hAnsi="Arial" w:cs="Arial"/>
          <w:sz w:val="24"/>
          <w:szCs w:val="24"/>
        </w:rPr>
        <w:t>would require a new reporting structure to be developed over many budget</w:t>
      </w:r>
      <w:r w:rsidR="003549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order to isolate the spend to date of the cost pressure increases</w:t>
      </w:r>
      <w:r w:rsidR="003549A5">
        <w:rPr>
          <w:rFonts w:ascii="Arial" w:hAnsi="Arial" w:cs="Arial"/>
          <w:sz w:val="24"/>
          <w:szCs w:val="24"/>
        </w:rPr>
        <w:t xml:space="preserve"> e.g. inflation increases within a budget containing </w:t>
      </w:r>
      <w:r w:rsidR="00E4620E">
        <w:rPr>
          <w:rFonts w:ascii="Arial" w:hAnsi="Arial" w:cs="Arial"/>
          <w:sz w:val="24"/>
          <w:szCs w:val="24"/>
        </w:rPr>
        <w:t>non-inflationary</w:t>
      </w:r>
      <w:r w:rsidR="003549A5">
        <w:rPr>
          <w:rFonts w:ascii="Arial" w:hAnsi="Arial" w:cs="Arial"/>
          <w:sz w:val="24"/>
          <w:szCs w:val="24"/>
        </w:rPr>
        <w:t xml:space="preserve"> items</w:t>
      </w:r>
      <w:r w:rsidR="00736BF4">
        <w:rPr>
          <w:rFonts w:ascii="Arial" w:hAnsi="Arial" w:cs="Arial"/>
          <w:sz w:val="24"/>
          <w:szCs w:val="24"/>
        </w:rPr>
        <w:t>; it should be noted that this monitoring is addressed via the Force Monthly Monitoring Report.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F0A0077" w14:textId="77777777" w:rsidR="00E05132" w:rsidRDefault="00E05132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DC09465" w14:textId="3AB47744" w:rsidR="00732BBA" w:rsidRDefault="00F544EC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Reporting of </w:t>
      </w:r>
      <w:r w:rsidR="00605446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 xml:space="preserve">forecast variances on </w:t>
      </w:r>
      <w:r w:rsidR="00E05132">
        <w:rPr>
          <w:rFonts w:ascii="Arial" w:hAnsi="Arial" w:cs="Arial"/>
          <w:sz w:val="24"/>
          <w:szCs w:val="24"/>
        </w:rPr>
        <w:t xml:space="preserve">projected investment </w:t>
      </w:r>
      <w:r w:rsidR="0058623C">
        <w:rPr>
          <w:rFonts w:ascii="Arial" w:hAnsi="Arial" w:cs="Arial"/>
          <w:sz w:val="24"/>
          <w:szCs w:val="24"/>
        </w:rPr>
        <w:t xml:space="preserve">continues </w:t>
      </w:r>
      <w:r w:rsidR="00E05132">
        <w:rPr>
          <w:rFonts w:ascii="Arial" w:hAnsi="Arial" w:cs="Arial"/>
          <w:sz w:val="24"/>
          <w:szCs w:val="24"/>
        </w:rPr>
        <w:t>and will be updated as financial monitoring indicates any variances from investment plans.</w:t>
      </w:r>
      <w:r w:rsidR="00605446">
        <w:rPr>
          <w:rFonts w:ascii="Arial" w:hAnsi="Arial" w:cs="Arial"/>
          <w:sz w:val="24"/>
          <w:szCs w:val="24"/>
        </w:rPr>
        <w:t xml:space="preserve"> </w:t>
      </w:r>
      <w:r w:rsidR="00902645">
        <w:rPr>
          <w:rFonts w:ascii="Arial" w:hAnsi="Arial" w:cs="Arial"/>
          <w:sz w:val="24"/>
          <w:szCs w:val="24"/>
        </w:rPr>
        <w:t xml:space="preserve">A final report on the 2018/19 investments will be provided in </w:t>
      </w:r>
      <w:r w:rsidR="000B5733">
        <w:rPr>
          <w:rFonts w:ascii="Arial" w:hAnsi="Arial" w:cs="Arial"/>
          <w:sz w:val="24"/>
          <w:szCs w:val="24"/>
        </w:rPr>
        <w:t>May</w:t>
      </w:r>
      <w:r w:rsidR="00886EB3">
        <w:rPr>
          <w:rFonts w:ascii="Arial" w:hAnsi="Arial" w:cs="Arial"/>
          <w:sz w:val="24"/>
          <w:szCs w:val="24"/>
        </w:rPr>
        <w:t xml:space="preserve"> 2019</w:t>
      </w:r>
      <w:r w:rsidR="000B5733">
        <w:rPr>
          <w:rFonts w:ascii="Arial" w:hAnsi="Arial" w:cs="Arial"/>
          <w:sz w:val="24"/>
          <w:szCs w:val="24"/>
        </w:rPr>
        <w:t>. Q</w:t>
      </w:r>
      <w:r w:rsidR="00902645">
        <w:rPr>
          <w:rFonts w:ascii="Arial" w:hAnsi="Arial" w:cs="Arial"/>
          <w:sz w:val="24"/>
          <w:szCs w:val="24"/>
        </w:rPr>
        <w:t>uarterly monitoring of 2019/20 investments will commence</w:t>
      </w:r>
      <w:r w:rsidR="000B5733">
        <w:rPr>
          <w:rFonts w:ascii="Arial" w:hAnsi="Arial" w:cs="Arial"/>
          <w:sz w:val="24"/>
          <w:szCs w:val="24"/>
        </w:rPr>
        <w:t xml:space="preserve"> in July 2019</w:t>
      </w:r>
      <w:r w:rsidR="00902645">
        <w:rPr>
          <w:rFonts w:ascii="Arial" w:hAnsi="Arial" w:cs="Arial"/>
          <w:sz w:val="24"/>
          <w:szCs w:val="24"/>
        </w:rPr>
        <w:t xml:space="preserve">. </w:t>
      </w:r>
    </w:p>
    <w:p w14:paraId="4009C540" w14:textId="77777777" w:rsidR="00602597" w:rsidRDefault="00602597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1E10AEE" w14:textId="77777777" w:rsidR="00665862" w:rsidRDefault="00665862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16D2EC4" w14:textId="7BAA4B9E" w:rsidR="007750CD" w:rsidRDefault="000B5733" w:rsidP="0066586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9.</w:t>
      </w:r>
      <w:r w:rsidR="00E92E89">
        <w:rPr>
          <w:rFonts w:ascii="Arial" w:hAnsi="Arial" w:cs="Arial"/>
          <w:b/>
          <w:sz w:val="24"/>
          <w:szCs w:val="24"/>
        </w:rPr>
        <w:t>10.0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Decisions Required by the P</w:t>
      </w:r>
      <w:r w:rsidR="00E92E89">
        <w:rPr>
          <w:rFonts w:ascii="Arial" w:hAnsi="Arial" w:cs="Arial"/>
          <w:b/>
          <w:sz w:val="24"/>
          <w:szCs w:val="24"/>
          <w:u w:val="single"/>
        </w:rPr>
        <w:t xml:space="preserve">olice, </w:t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F</w:t>
      </w:r>
      <w:r w:rsidR="00E92E89">
        <w:rPr>
          <w:rFonts w:ascii="Arial" w:hAnsi="Arial" w:cs="Arial"/>
          <w:b/>
          <w:sz w:val="24"/>
          <w:szCs w:val="24"/>
          <w:u w:val="single"/>
        </w:rPr>
        <w:t xml:space="preserve">ire and </w:t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C</w:t>
      </w:r>
      <w:r w:rsidR="00E92E89">
        <w:rPr>
          <w:rFonts w:ascii="Arial" w:hAnsi="Arial" w:cs="Arial"/>
          <w:b/>
          <w:sz w:val="24"/>
          <w:szCs w:val="24"/>
          <w:u w:val="single"/>
        </w:rPr>
        <w:t xml:space="preserve">rime </w:t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C</w:t>
      </w:r>
      <w:r w:rsidR="00E92E89">
        <w:rPr>
          <w:rFonts w:ascii="Arial" w:hAnsi="Arial" w:cs="Arial"/>
          <w:b/>
          <w:sz w:val="24"/>
          <w:szCs w:val="24"/>
          <w:u w:val="single"/>
        </w:rPr>
        <w:t>ommissioner</w:t>
      </w:r>
    </w:p>
    <w:p w14:paraId="14A7FB09" w14:textId="77777777" w:rsidR="00146E8F" w:rsidRDefault="00146E8F" w:rsidP="00146E8F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6DFA2559" w14:textId="0EFFE8CD" w:rsidR="00617F1E" w:rsidRDefault="00146E8F" w:rsidP="00F9769C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decisions required from the PFCC at this stage, report is for information only, and updates will continue</w:t>
      </w:r>
      <w:r w:rsidR="00F9769C">
        <w:rPr>
          <w:rFonts w:ascii="Arial" w:hAnsi="Arial" w:cs="Arial"/>
          <w:sz w:val="24"/>
          <w:szCs w:val="24"/>
        </w:rPr>
        <w:t xml:space="preserve"> to be presented to this board.</w:t>
      </w:r>
    </w:p>
    <w:sectPr w:rsidR="00617F1E" w:rsidSect="00A7645F">
      <w:headerReference w:type="default" r:id="rId8"/>
      <w:footerReference w:type="default" r:id="rId9"/>
      <w:pgSz w:w="11906" w:h="16838"/>
      <w:pgMar w:top="720" w:right="426" w:bottom="720" w:left="568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DFD86" w14:textId="77777777" w:rsidR="002306ED" w:rsidRDefault="002306ED" w:rsidP="00121A7F">
      <w:pPr>
        <w:spacing w:after="0" w:line="240" w:lineRule="auto"/>
      </w:pPr>
      <w:r>
        <w:separator/>
      </w:r>
    </w:p>
  </w:endnote>
  <w:endnote w:type="continuationSeparator" w:id="0">
    <w:p w14:paraId="496AC763" w14:textId="77777777" w:rsidR="002306ED" w:rsidRDefault="002306ED" w:rsidP="001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13103"/>
      <w:docPartObj>
        <w:docPartGallery w:val="Page Numbers (Bottom of Page)"/>
        <w:docPartUnique/>
      </w:docPartObj>
    </w:sdtPr>
    <w:sdtEndPr/>
    <w:sdtContent>
      <w:sdt>
        <w:sdtPr>
          <w:id w:val="344214935"/>
          <w:docPartObj>
            <w:docPartGallery w:val="Page Numbers (Top of Page)"/>
            <w:docPartUnique/>
          </w:docPartObj>
        </w:sdtPr>
        <w:sdtEndPr/>
        <w:sdtContent>
          <w:p w14:paraId="2A786ECE" w14:textId="77D6D634" w:rsidR="00BD4A2F" w:rsidRDefault="00A7645F">
            <w:pPr>
              <w:pStyle w:val="Footer"/>
              <w:jc w:val="center"/>
            </w:pPr>
            <w:r>
              <w:t>OFFICIAL</w:t>
            </w:r>
          </w:p>
          <w:p w14:paraId="693FA1DC" w14:textId="114904C7" w:rsidR="00BD4A2F" w:rsidRPr="005D43EC" w:rsidRDefault="00BD4A2F">
            <w:pPr>
              <w:pStyle w:val="Footer"/>
              <w:jc w:val="center"/>
            </w:pPr>
            <w:r w:rsidRPr="005D43EC">
              <w:t xml:space="preserve">Page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PAGE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906534">
              <w:rPr>
                <w:bCs/>
                <w:noProof/>
              </w:rPr>
              <w:t>1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  <w:r w:rsidRPr="005D43EC">
              <w:t xml:space="preserve"> of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NUMPAGES 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906534">
              <w:rPr>
                <w:bCs/>
                <w:noProof/>
              </w:rPr>
              <w:t>5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01FF" w14:textId="77777777" w:rsidR="002306ED" w:rsidRDefault="002306ED" w:rsidP="00121A7F">
      <w:pPr>
        <w:spacing w:after="0" w:line="240" w:lineRule="auto"/>
      </w:pPr>
      <w:r>
        <w:separator/>
      </w:r>
    </w:p>
  </w:footnote>
  <w:footnote w:type="continuationSeparator" w:id="0">
    <w:p w14:paraId="090B6856" w14:textId="77777777" w:rsidR="002306ED" w:rsidRDefault="002306ED" w:rsidP="001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5A1B" w14:textId="3850338F" w:rsidR="00BD4A2F" w:rsidRDefault="00A7645F" w:rsidP="007750CD">
    <w:pPr>
      <w:pStyle w:val="Header"/>
      <w:jc w:val="center"/>
    </w:pPr>
    <w: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613"/>
    <w:multiLevelType w:val="hybridMultilevel"/>
    <w:tmpl w:val="2F3A0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032E4"/>
    <w:multiLevelType w:val="multilevel"/>
    <w:tmpl w:val="18443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1CFC1FF5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20B91E01"/>
    <w:multiLevelType w:val="hybridMultilevel"/>
    <w:tmpl w:val="A2CE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1BA"/>
    <w:multiLevelType w:val="hybridMultilevel"/>
    <w:tmpl w:val="B2C82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2129"/>
    <w:multiLevelType w:val="hybridMultilevel"/>
    <w:tmpl w:val="9B882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A279B3"/>
    <w:multiLevelType w:val="multilevel"/>
    <w:tmpl w:val="316E960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7" w15:restartNumberingAfterBreak="0">
    <w:nsid w:val="4784494E"/>
    <w:multiLevelType w:val="hybridMultilevel"/>
    <w:tmpl w:val="F430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443F"/>
    <w:multiLevelType w:val="hybridMultilevel"/>
    <w:tmpl w:val="E1087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F35C5"/>
    <w:multiLevelType w:val="hybridMultilevel"/>
    <w:tmpl w:val="E4FE7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3E3AC4"/>
    <w:multiLevelType w:val="hybridMultilevel"/>
    <w:tmpl w:val="6890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71C218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9708D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6CC1031A"/>
    <w:multiLevelType w:val="hybridMultilevel"/>
    <w:tmpl w:val="5E3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F"/>
    <w:rsid w:val="000000D6"/>
    <w:rsid w:val="00004C66"/>
    <w:rsid w:val="00011353"/>
    <w:rsid w:val="00017D7D"/>
    <w:rsid w:val="00027D5B"/>
    <w:rsid w:val="00031E89"/>
    <w:rsid w:val="00046E42"/>
    <w:rsid w:val="00047164"/>
    <w:rsid w:val="000530FA"/>
    <w:rsid w:val="00055AA1"/>
    <w:rsid w:val="00060F58"/>
    <w:rsid w:val="0006544B"/>
    <w:rsid w:val="00072162"/>
    <w:rsid w:val="000738E5"/>
    <w:rsid w:val="00084225"/>
    <w:rsid w:val="000A183E"/>
    <w:rsid w:val="000A34E4"/>
    <w:rsid w:val="000A6EF4"/>
    <w:rsid w:val="000B5078"/>
    <w:rsid w:val="000B5733"/>
    <w:rsid w:val="000B59B9"/>
    <w:rsid w:val="000B5BA3"/>
    <w:rsid w:val="000C2D1D"/>
    <w:rsid w:val="000C774D"/>
    <w:rsid w:val="000D6353"/>
    <w:rsid w:val="000E247C"/>
    <w:rsid w:val="000F02F6"/>
    <w:rsid w:val="00121849"/>
    <w:rsid w:val="00121A7F"/>
    <w:rsid w:val="001309FA"/>
    <w:rsid w:val="001409E3"/>
    <w:rsid w:val="00143B66"/>
    <w:rsid w:val="001458B4"/>
    <w:rsid w:val="00146E8F"/>
    <w:rsid w:val="0015099C"/>
    <w:rsid w:val="00172B39"/>
    <w:rsid w:val="0017706A"/>
    <w:rsid w:val="00182A62"/>
    <w:rsid w:val="00190141"/>
    <w:rsid w:val="00194F93"/>
    <w:rsid w:val="001A25EF"/>
    <w:rsid w:val="001D1D15"/>
    <w:rsid w:val="001D5222"/>
    <w:rsid w:val="001D7396"/>
    <w:rsid w:val="001E1EA2"/>
    <w:rsid w:val="001E2DAF"/>
    <w:rsid w:val="001F76DD"/>
    <w:rsid w:val="00207FCB"/>
    <w:rsid w:val="00215C52"/>
    <w:rsid w:val="002169F9"/>
    <w:rsid w:val="00220B41"/>
    <w:rsid w:val="002306ED"/>
    <w:rsid w:val="0023169A"/>
    <w:rsid w:val="00233BD6"/>
    <w:rsid w:val="00234BCF"/>
    <w:rsid w:val="00234CBD"/>
    <w:rsid w:val="0023660D"/>
    <w:rsid w:val="002433D5"/>
    <w:rsid w:val="0025158C"/>
    <w:rsid w:val="002551A3"/>
    <w:rsid w:val="00261C9E"/>
    <w:rsid w:val="0027082F"/>
    <w:rsid w:val="0027632B"/>
    <w:rsid w:val="002767F6"/>
    <w:rsid w:val="00277BEB"/>
    <w:rsid w:val="00282721"/>
    <w:rsid w:val="002A20A4"/>
    <w:rsid w:val="002A40D7"/>
    <w:rsid w:val="002B02A3"/>
    <w:rsid w:val="002B4DD9"/>
    <w:rsid w:val="002B56D6"/>
    <w:rsid w:val="002C373B"/>
    <w:rsid w:val="002D1310"/>
    <w:rsid w:val="002D1694"/>
    <w:rsid w:val="002D5F70"/>
    <w:rsid w:val="002E0E52"/>
    <w:rsid w:val="002E46DF"/>
    <w:rsid w:val="002E6DF5"/>
    <w:rsid w:val="002F5D84"/>
    <w:rsid w:val="0030288C"/>
    <w:rsid w:val="00303CE2"/>
    <w:rsid w:val="003334D3"/>
    <w:rsid w:val="00333603"/>
    <w:rsid w:val="00336733"/>
    <w:rsid w:val="00336E37"/>
    <w:rsid w:val="003451C5"/>
    <w:rsid w:val="003473DC"/>
    <w:rsid w:val="003549A5"/>
    <w:rsid w:val="00364221"/>
    <w:rsid w:val="00373F7B"/>
    <w:rsid w:val="003740E3"/>
    <w:rsid w:val="00376772"/>
    <w:rsid w:val="003832F7"/>
    <w:rsid w:val="00391A28"/>
    <w:rsid w:val="003A0F89"/>
    <w:rsid w:val="003A1588"/>
    <w:rsid w:val="003A6527"/>
    <w:rsid w:val="003B390D"/>
    <w:rsid w:val="003B3AFA"/>
    <w:rsid w:val="003C3379"/>
    <w:rsid w:val="003D1451"/>
    <w:rsid w:val="003D3276"/>
    <w:rsid w:val="003D7E50"/>
    <w:rsid w:val="003E1D0C"/>
    <w:rsid w:val="003E37B2"/>
    <w:rsid w:val="003F7C58"/>
    <w:rsid w:val="00420751"/>
    <w:rsid w:val="00421F6F"/>
    <w:rsid w:val="00422532"/>
    <w:rsid w:val="0044665D"/>
    <w:rsid w:val="00451CE2"/>
    <w:rsid w:val="004521B5"/>
    <w:rsid w:val="00454962"/>
    <w:rsid w:val="00454A8B"/>
    <w:rsid w:val="004633EE"/>
    <w:rsid w:val="00466C37"/>
    <w:rsid w:val="00477477"/>
    <w:rsid w:val="00481761"/>
    <w:rsid w:val="0048515E"/>
    <w:rsid w:val="00493615"/>
    <w:rsid w:val="0049768F"/>
    <w:rsid w:val="004B55E7"/>
    <w:rsid w:val="004C1619"/>
    <w:rsid w:val="004E393C"/>
    <w:rsid w:val="004E4F0C"/>
    <w:rsid w:val="004E7E29"/>
    <w:rsid w:val="004F3338"/>
    <w:rsid w:val="004F62BB"/>
    <w:rsid w:val="00517DD2"/>
    <w:rsid w:val="00523007"/>
    <w:rsid w:val="005254F4"/>
    <w:rsid w:val="00537502"/>
    <w:rsid w:val="00545BE3"/>
    <w:rsid w:val="00553C96"/>
    <w:rsid w:val="00557DCB"/>
    <w:rsid w:val="00561A5C"/>
    <w:rsid w:val="00571633"/>
    <w:rsid w:val="0058070A"/>
    <w:rsid w:val="00583860"/>
    <w:rsid w:val="0058623C"/>
    <w:rsid w:val="00596599"/>
    <w:rsid w:val="005A7360"/>
    <w:rsid w:val="005B0777"/>
    <w:rsid w:val="005B4008"/>
    <w:rsid w:val="005B5642"/>
    <w:rsid w:val="005B7D39"/>
    <w:rsid w:val="005C0DD5"/>
    <w:rsid w:val="005C2D39"/>
    <w:rsid w:val="005D04EF"/>
    <w:rsid w:val="005D0DEE"/>
    <w:rsid w:val="005D3A59"/>
    <w:rsid w:val="005D4366"/>
    <w:rsid w:val="005F3159"/>
    <w:rsid w:val="005F5CFC"/>
    <w:rsid w:val="00602597"/>
    <w:rsid w:val="00604089"/>
    <w:rsid w:val="00605446"/>
    <w:rsid w:val="00605A97"/>
    <w:rsid w:val="0060785B"/>
    <w:rsid w:val="00612F87"/>
    <w:rsid w:val="00615DCF"/>
    <w:rsid w:val="00617F1E"/>
    <w:rsid w:val="00625A6B"/>
    <w:rsid w:val="006279AB"/>
    <w:rsid w:val="0063208F"/>
    <w:rsid w:val="00651C0B"/>
    <w:rsid w:val="00652B9C"/>
    <w:rsid w:val="00656F5B"/>
    <w:rsid w:val="006615E2"/>
    <w:rsid w:val="00665862"/>
    <w:rsid w:val="006709F9"/>
    <w:rsid w:val="0067460B"/>
    <w:rsid w:val="00681F66"/>
    <w:rsid w:val="0068430E"/>
    <w:rsid w:val="00691459"/>
    <w:rsid w:val="006A0919"/>
    <w:rsid w:val="006B0DD2"/>
    <w:rsid w:val="006C15EF"/>
    <w:rsid w:val="006D1175"/>
    <w:rsid w:val="006E07B1"/>
    <w:rsid w:val="006E1977"/>
    <w:rsid w:val="006F0768"/>
    <w:rsid w:val="006F271A"/>
    <w:rsid w:val="006F7CD8"/>
    <w:rsid w:val="007068DB"/>
    <w:rsid w:val="007150A3"/>
    <w:rsid w:val="00715AEC"/>
    <w:rsid w:val="00716FC2"/>
    <w:rsid w:val="007219A0"/>
    <w:rsid w:val="007222D9"/>
    <w:rsid w:val="00722432"/>
    <w:rsid w:val="00732BBA"/>
    <w:rsid w:val="0073463F"/>
    <w:rsid w:val="0073617C"/>
    <w:rsid w:val="00736BF4"/>
    <w:rsid w:val="007427EA"/>
    <w:rsid w:val="0074786A"/>
    <w:rsid w:val="007571F5"/>
    <w:rsid w:val="007574E7"/>
    <w:rsid w:val="00773654"/>
    <w:rsid w:val="007750CD"/>
    <w:rsid w:val="00785D02"/>
    <w:rsid w:val="00785D1E"/>
    <w:rsid w:val="00791AC4"/>
    <w:rsid w:val="00794A51"/>
    <w:rsid w:val="007A4CFA"/>
    <w:rsid w:val="007A7C60"/>
    <w:rsid w:val="007B066F"/>
    <w:rsid w:val="007B4F45"/>
    <w:rsid w:val="007B7FD5"/>
    <w:rsid w:val="007C30C4"/>
    <w:rsid w:val="007D3E9B"/>
    <w:rsid w:val="007D46DE"/>
    <w:rsid w:val="007E313F"/>
    <w:rsid w:val="007E7A29"/>
    <w:rsid w:val="007F244C"/>
    <w:rsid w:val="00801ECC"/>
    <w:rsid w:val="00802D3B"/>
    <w:rsid w:val="00817206"/>
    <w:rsid w:val="00826A22"/>
    <w:rsid w:val="00841A12"/>
    <w:rsid w:val="00846579"/>
    <w:rsid w:val="0084761D"/>
    <w:rsid w:val="0085074A"/>
    <w:rsid w:val="00851884"/>
    <w:rsid w:val="00851B2D"/>
    <w:rsid w:val="00852069"/>
    <w:rsid w:val="0086018B"/>
    <w:rsid w:val="0088090F"/>
    <w:rsid w:val="00881EA0"/>
    <w:rsid w:val="00885D18"/>
    <w:rsid w:val="00886EB3"/>
    <w:rsid w:val="00896252"/>
    <w:rsid w:val="008A5ABB"/>
    <w:rsid w:val="008A679C"/>
    <w:rsid w:val="008B19D3"/>
    <w:rsid w:val="008B320B"/>
    <w:rsid w:val="008C59EB"/>
    <w:rsid w:val="008D191F"/>
    <w:rsid w:val="008E522B"/>
    <w:rsid w:val="008F3195"/>
    <w:rsid w:val="00902645"/>
    <w:rsid w:val="00906534"/>
    <w:rsid w:val="00913EEA"/>
    <w:rsid w:val="0092106F"/>
    <w:rsid w:val="009250FB"/>
    <w:rsid w:val="00933524"/>
    <w:rsid w:val="009572B1"/>
    <w:rsid w:val="0096423E"/>
    <w:rsid w:val="00973AC1"/>
    <w:rsid w:val="00977757"/>
    <w:rsid w:val="00982775"/>
    <w:rsid w:val="00993DE1"/>
    <w:rsid w:val="009B18EC"/>
    <w:rsid w:val="009D0CC1"/>
    <w:rsid w:val="009E1BC0"/>
    <w:rsid w:val="009F3263"/>
    <w:rsid w:val="00A0687C"/>
    <w:rsid w:val="00A07AEA"/>
    <w:rsid w:val="00A11306"/>
    <w:rsid w:val="00A11310"/>
    <w:rsid w:val="00A12B81"/>
    <w:rsid w:val="00A20D3C"/>
    <w:rsid w:val="00A2231D"/>
    <w:rsid w:val="00A300A3"/>
    <w:rsid w:val="00A3756C"/>
    <w:rsid w:val="00A471C9"/>
    <w:rsid w:val="00A6525B"/>
    <w:rsid w:val="00A67619"/>
    <w:rsid w:val="00A73F34"/>
    <w:rsid w:val="00A7645F"/>
    <w:rsid w:val="00A85689"/>
    <w:rsid w:val="00AA1B3B"/>
    <w:rsid w:val="00AA4995"/>
    <w:rsid w:val="00AB1FBF"/>
    <w:rsid w:val="00AB247E"/>
    <w:rsid w:val="00AC1ABD"/>
    <w:rsid w:val="00AD1F17"/>
    <w:rsid w:val="00AF473E"/>
    <w:rsid w:val="00AF7F10"/>
    <w:rsid w:val="00B1372E"/>
    <w:rsid w:val="00B1490E"/>
    <w:rsid w:val="00B173B6"/>
    <w:rsid w:val="00B179F2"/>
    <w:rsid w:val="00B22C94"/>
    <w:rsid w:val="00B420C0"/>
    <w:rsid w:val="00B51396"/>
    <w:rsid w:val="00B52952"/>
    <w:rsid w:val="00B6614B"/>
    <w:rsid w:val="00B72A27"/>
    <w:rsid w:val="00B7514F"/>
    <w:rsid w:val="00B804D3"/>
    <w:rsid w:val="00B82AD0"/>
    <w:rsid w:val="00B86FD0"/>
    <w:rsid w:val="00B91A3A"/>
    <w:rsid w:val="00B93107"/>
    <w:rsid w:val="00BA4FE9"/>
    <w:rsid w:val="00BB061F"/>
    <w:rsid w:val="00BC3DD7"/>
    <w:rsid w:val="00BC5DCA"/>
    <w:rsid w:val="00BD2EAA"/>
    <w:rsid w:val="00BD4A2F"/>
    <w:rsid w:val="00BE2FE8"/>
    <w:rsid w:val="00C03CC6"/>
    <w:rsid w:val="00C040BE"/>
    <w:rsid w:val="00C07266"/>
    <w:rsid w:val="00C1201E"/>
    <w:rsid w:val="00C13482"/>
    <w:rsid w:val="00C13926"/>
    <w:rsid w:val="00C14888"/>
    <w:rsid w:val="00C157CE"/>
    <w:rsid w:val="00C203C9"/>
    <w:rsid w:val="00C30181"/>
    <w:rsid w:val="00C309B4"/>
    <w:rsid w:val="00C37DBF"/>
    <w:rsid w:val="00C4106D"/>
    <w:rsid w:val="00C440FF"/>
    <w:rsid w:val="00C44E4F"/>
    <w:rsid w:val="00C63BA0"/>
    <w:rsid w:val="00C64F88"/>
    <w:rsid w:val="00C654B8"/>
    <w:rsid w:val="00C73C8C"/>
    <w:rsid w:val="00C8083A"/>
    <w:rsid w:val="00C82CAE"/>
    <w:rsid w:val="00C948F9"/>
    <w:rsid w:val="00C97305"/>
    <w:rsid w:val="00CA1344"/>
    <w:rsid w:val="00CB4533"/>
    <w:rsid w:val="00D051FC"/>
    <w:rsid w:val="00D10FF4"/>
    <w:rsid w:val="00D27368"/>
    <w:rsid w:val="00D32834"/>
    <w:rsid w:val="00D417D2"/>
    <w:rsid w:val="00D44BCC"/>
    <w:rsid w:val="00D459B2"/>
    <w:rsid w:val="00D76F55"/>
    <w:rsid w:val="00D8103E"/>
    <w:rsid w:val="00D83DE6"/>
    <w:rsid w:val="00D84F3C"/>
    <w:rsid w:val="00D85DA2"/>
    <w:rsid w:val="00DA617B"/>
    <w:rsid w:val="00DE144B"/>
    <w:rsid w:val="00DF07AE"/>
    <w:rsid w:val="00DF3881"/>
    <w:rsid w:val="00DF6E8D"/>
    <w:rsid w:val="00E05132"/>
    <w:rsid w:val="00E165E9"/>
    <w:rsid w:val="00E2703B"/>
    <w:rsid w:val="00E31EA3"/>
    <w:rsid w:val="00E4620E"/>
    <w:rsid w:val="00E46E83"/>
    <w:rsid w:val="00E5308C"/>
    <w:rsid w:val="00E55BFD"/>
    <w:rsid w:val="00E633E1"/>
    <w:rsid w:val="00E705B2"/>
    <w:rsid w:val="00E836C6"/>
    <w:rsid w:val="00E84792"/>
    <w:rsid w:val="00E92E89"/>
    <w:rsid w:val="00E94ACD"/>
    <w:rsid w:val="00EA4712"/>
    <w:rsid w:val="00EA7F85"/>
    <w:rsid w:val="00EB1329"/>
    <w:rsid w:val="00EB41AC"/>
    <w:rsid w:val="00EE31B8"/>
    <w:rsid w:val="00EF20B1"/>
    <w:rsid w:val="00EF448C"/>
    <w:rsid w:val="00EF49BE"/>
    <w:rsid w:val="00F027F3"/>
    <w:rsid w:val="00F04AA9"/>
    <w:rsid w:val="00F11D66"/>
    <w:rsid w:val="00F137EF"/>
    <w:rsid w:val="00F14A2E"/>
    <w:rsid w:val="00F31E8F"/>
    <w:rsid w:val="00F33F6B"/>
    <w:rsid w:val="00F36501"/>
    <w:rsid w:val="00F44851"/>
    <w:rsid w:val="00F539B0"/>
    <w:rsid w:val="00F544EC"/>
    <w:rsid w:val="00F54896"/>
    <w:rsid w:val="00F55E6F"/>
    <w:rsid w:val="00F62826"/>
    <w:rsid w:val="00F647BE"/>
    <w:rsid w:val="00F647CE"/>
    <w:rsid w:val="00F8243D"/>
    <w:rsid w:val="00F86457"/>
    <w:rsid w:val="00F9769C"/>
    <w:rsid w:val="00FA0511"/>
    <w:rsid w:val="00FB1AEC"/>
    <w:rsid w:val="00FB268D"/>
    <w:rsid w:val="00FC17CD"/>
    <w:rsid w:val="00FD55ED"/>
    <w:rsid w:val="00FD6CAB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49A8D7"/>
  <w15:docId w15:val="{24A6F812-93C9-4486-9D73-8C3D1D44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7F"/>
  </w:style>
  <w:style w:type="paragraph" w:styleId="Footer">
    <w:name w:val="footer"/>
    <w:basedOn w:val="Normal"/>
    <w:link w:val="Foot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7F"/>
  </w:style>
  <w:style w:type="paragraph" w:styleId="ListParagraph">
    <w:name w:val="List Paragraph"/>
    <w:basedOn w:val="Normal"/>
    <w:uiPriority w:val="34"/>
    <w:qFormat/>
    <w:rsid w:val="004F62BB"/>
    <w:pPr>
      <w:spacing w:before="100" w:beforeAutospacing="1" w:after="100" w:afterAutospacing="1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8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2B9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75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0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1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976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4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4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CBD0-FD23-426E-9FC9-7FC1298D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Fry</dc:creator>
  <cp:lastModifiedBy>Samantha Dowdeswell 42073768</cp:lastModifiedBy>
  <cp:revision>3</cp:revision>
  <cp:lastPrinted>2017-10-18T10:29:00Z</cp:lastPrinted>
  <dcterms:created xsi:type="dcterms:W3CDTF">2019-01-22T15:21:00Z</dcterms:created>
  <dcterms:modified xsi:type="dcterms:W3CDTF">2019-01-22T15:22:00Z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76064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